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1428" w14:textId="5B83FDA1" w:rsidR="005C50E6" w:rsidRPr="00DA257A" w:rsidRDefault="009C6475" w:rsidP="009C6475">
      <w:pPr>
        <w:pStyle w:val="Pagedecouverture"/>
        <w:rPr>
          <w:noProof/>
        </w:rPr>
      </w:pPr>
      <w:bookmarkStart w:id="0" w:name="LW_BM_COVERPAGE"/>
      <w:r>
        <w:rPr>
          <w:noProof/>
        </w:rPr>
        <w:pict w14:anchorId="5572D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AE25016-E01A-46D2-8313-33E543541424" style="width:455.25pt;height:365.25pt">
            <v:imagedata r:id="rId11" o:title=""/>
          </v:shape>
        </w:pict>
      </w:r>
    </w:p>
    <w:bookmarkEnd w:id="0"/>
    <w:p w14:paraId="1BCC1D1F" w14:textId="77777777" w:rsidR="005C50E6" w:rsidRPr="00DA257A" w:rsidRDefault="005C50E6" w:rsidP="005C50E6">
      <w:pPr>
        <w:rPr>
          <w:noProof/>
        </w:rPr>
        <w:sectPr w:rsidR="005C50E6" w:rsidRPr="00DA257A" w:rsidSect="009C647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085F8E5" w14:textId="77777777" w:rsidR="00E14899" w:rsidRPr="00DA257A" w:rsidRDefault="00E14899" w:rsidP="00E14899">
      <w:pPr>
        <w:spacing w:after="120"/>
        <w:jc w:val="center"/>
        <w:rPr>
          <w:b/>
          <w:bCs/>
          <w:noProof/>
        </w:rPr>
      </w:pPr>
      <w:bookmarkStart w:id="1" w:name="_GoBack"/>
      <w:bookmarkEnd w:id="1"/>
      <w:r w:rsidRPr="00DA257A">
        <w:rPr>
          <w:b/>
          <w:noProof/>
        </w:rPr>
        <w:lastRenderedPageBreak/>
        <w:t xml:space="preserve">KOMUNIKAT KOMISJI DO PARLAMENTU EUROPEJSKIEGO, RADY EUROPEJSKIEJ, RADY, EUROPEJSKIEGO KOMITETU EKONOMICZNO-SPOŁECZNEGO I KOMITETU REGIONÓW </w:t>
      </w:r>
    </w:p>
    <w:p w14:paraId="2EAA195F" w14:textId="4877F837" w:rsidR="00AC2253" w:rsidRPr="00DA257A" w:rsidRDefault="6E958833" w:rsidP="00E14899">
      <w:pPr>
        <w:spacing w:after="120"/>
        <w:jc w:val="center"/>
        <w:rPr>
          <w:b/>
          <w:bCs/>
          <w:noProof/>
        </w:rPr>
      </w:pPr>
      <w:r w:rsidRPr="00DA257A">
        <w:rPr>
          <w:b/>
          <w:noProof/>
        </w:rPr>
        <w:t>Sprawozdanie</w:t>
      </w:r>
      <w:r w:rsidR="00DA257A" w:rsidRPr="00DA257A">
        <w:rPr>
          <w:b/>
          <w:noProof/>
        </w:rPr>
        <w:t xml:space="preserve"> w spr</w:t>
      </w:r>
      <w:r w:rsidRPr="00DA257A">
        <w:rPr>
          <w:b/>
          <w:noProof/>
        </w:rPr>
        <w:t>awie stanu strefy Schengen</w:t>
      </w:r>
      <w:r w:rsidR="00DA257A" w:rsidRPr="00DA257A">
        <w:rPr>
          <w:b/>
          <w:noProof/>
        </w:rPr>
        <w:t xml:space="preserve"> z 2</w:t>
      </w:r>
      <w:r w:rsidRPr="00DA257A">
        <w:rPr>
          <w:b/>
          <w:noProof/>
        </w:rPr>
        <w:t>022</w:t>
      </w:r>
      <w:r w:rsidR="007C7210" w:rsidRPr="00DA257A">
        <w:rPr>
          <w:b/>
          <w:noProof/>
        </w:rPr>
        <w:t> </w:t>
      </w:r>
      <w:r w:rsidRPr="00DA257A">
        <w:rPr>
          <w:b/>
          <w:noProof/>
        </w:rPr>
        <w:t>r.</w:t>
      </w:r>
    </w:p>
    <w:p w14:paraId="4E9C237C" w14:textId="429C072C" w:rsidR="002F56E9" w:rsidRPr="00DA257A" w:rsidRDefault="002F56E9" w:rsidP="006E7B16">
      <w:pPr>
        <w:spacing w:after="120"/>
        <w:rPr>
          <w:i/>
          <w:iCs/>
          <w:noProof/>
        </w:rPr>
      </w:pPr>
      <w:r w:rsidRPr="00DA257A">
        <w:rPr>
          <w:i/>
          <w:noProof/>
        </w:rPr>
        <w:t>Strefa Schengen bez kontroli na granicach wewnętrznych („strefa Schengen”) jest historycznym osiągnięciem integracji europejskiej. Od czasu gdy</w:t>
      </w:r>
      <w:r w:rsidR="00DA257A" w:rsidRPr="00DA257A">
        <w:rPr>
          <w:i/>
          <w:noProof/>
        </w:rPr>
        <w:t xml:space="preserve"> w 1</w:t>
      </w:r>
      <w:r w:rsidRPr="00DA257A">
        <w:rPr>
          <w:i/>
          <w:noProof/>
        </w:rPr>
        <w:t>985</w:t>
      </w:r>
      <w:r w:rsidR="007C7210" w:rsidRPr="00DA257A">
        <w:rPr>
          <w:i/>
          <w:noProof/>
        </w:rPr>
        <w:t> </w:t>
      </w:r>
      <w:r w:rsidRPr="00DA257A">
        <w:rPr>
          <w:i/>
          <w:noProof/>
        </w:rPr>
        <w:t>r. położono podwaliny pod jej utworzenie, zmieniła ona życie codzienne milionów ludzi. Projekt Schengen przełamał bariery, zbliżył ludzi do siebie</w:t>
      </w:r>
      <w:r w:rsidR="00DA257A" w:rsidRPr="00DA257A">
        <w:rPr>
          <w:i/>
          <w:noProof/>
        </w:rPr>
        <w:t xml:space="preserve"> i wzm</w:t>
      </w:r>
      <w:r w:rsidRPr="00DA257A">
        <w:rPr>
          <w:i/>
          <w:noProof/>
        </w:rPr>
        <w:t>ocnił europejskie gospodarki. Szybkość,</w:t>
      </w:r>
      <w:r w:rsidR="00DA257A" w:rsidRPr="00DA257A">
        <w:rPr>
          <w:i/>
          <w:noProof/>
        </w:rPr>
        <w:t xml:space="preserve"> z jak</w:t>
      </w:r>
      <w:r w:rsidRPr="00DA257A">
        <w:rPr>
          <w:i/>
          <w:noProof/>
        </w:rPr>
        <w:t>ą ludzie, towary</w:t>
      </w:r>
      <w:r w:rsidR="00DA257A" w:rsidRPr="00DA257A">
        <w:rPr>
          <w:i/>
          <w:noProof/>
        </w:rPr>
        <w:t xml:space="preserve"> i usł</w:t>
      </w:r>
      <w:r w:rsidRPr="00DA257A">
        <w:rPr>
          <w:i/>
          <w:noProof/>
        </w:rPr>
        <w:t>ugi przemieszczają się</w:t>
      </w:r>
      <w:r w:rsidR="00DA257A" w:rsidRPr="00DA257A">
        <w:rPr>
          <w:i/>
          <w:noProof/>
        </w:rPr>
        <w:t xml:space="preserve"> w obr</w:t>
      </w:r>
      <w:r w:rsidRPr="00DA257A">
        <w:rPr>
          <w:i/>
          <w:noProof/>
        </w:rPr>
        <w:t>ębie UE, sprzyja europejskiej konkurencyjności, tworzeniu miejsc pracy</w:t>
      </w:r>
      <w:r w:rsidR="00DA257A" w:rsidRPr="00DA257A">
        <w:rPr>
          <w:i/>
          <w:noProof/>
        </w:rPr>
        <w:t xml:space="preserve"> i gen</w:t>
      </w:r>
      <w:r w:rsidRPr="00DA257A">
        <w:rPr>
          <w:i/>
          <w:noProof/>
        </w:rPr>
        <w:t xml:space="preserve">erowaniu wzrostu gospodarczego. </w:t>
      </w:r>
    </w:p>
    <w:p w14:paraId="570A2672" w14:textId="16F1A258" w:rsidR="00016FD9" w:rsidRPr="00DA257A" w:rsidRDefault="00361854" w:rsidP="006E7B16">
      <w:pPr>
        <w:spacing w:after="120"/>
        <w:rPr>
          <w:i/>
          <w:iCs/>
          <w:noProof/>
        </w:rPr>
      </w:pPr>
      <w:r w:rsidRPr="00DA257A">
        <w:rPr>
          <w:i/>
          <w:noProof/>
        </w:rPr>
        <w:t>Utworzenie strefy Schengen zjednoczyło również kontynent poprzez ustanowienie obszaru bez granic, który ma symboliczne znaczenie dla wszystkich Europejczyków. Projekt ten cieszy się on ogromnym poparciem</w:t>
      </w:r>
      <w:r w:rsidR="00E10F75" w:rsidRPr="00DA257A">
        <w:rPr>
          <w:rStyle w:val="FootnoteReference"/>
          <w:i/>
          <w:iCs/>
          <w:noProof/>
        </w:rPr>
        <w:footnoteReference w:id="2"/>
      </w:r>
      <w:r w:rsidRPr="00DA257A">
        <w:rPr>
          <w:i/>
          <w:noProof/>
        </w:rPr>
        <w:t>. Dla całego pokolenia Europejczyków wizja poddawania się kontrolom granicznym na wewnętrznych granicach UE jest niemal niewyobrażalna. Dzięki Schengen obywatele mogą bez przeszkód podróżować między państwami członkowskimi, aby zwiedzać, uczyć się lub pracować. Ponadto koszty</w:t>
      </w:r>
      <w:r w:rsidR="00DA257A" w:rsidRPr="00DA257A">
        <w:rPr>
          <w:i/>
          <w:noProof/>
        </w:rPr>
        <w:t xml:space="preserve"> w prz</w:t>
      </w:r>
      <w:r w:rsidRPr="00DA257A">
        <w:rPr>
          <w:i/>
          <w:noProof/>
        </w:rPr>
        <w:t>ypadku braku Schengen byłyby bardzo wysokie</w:t>
      </w:r>
      <w:r w:rsidR="007F1C7E" w:rsidRPr="00DA257A">
        <w:rPr>
          <w:rStyle w:val="FootnoteReference"/>
          <w:i/>
          <w:iCs/>
          <w:noProof/>
        </w:rPr>
        <w:footnoteReference w:id="3"/>
      </w:r>
      <w:r w:rsidRPr="00DA257A">
        <w:rPr>
          <w:i/>
          <w:noProof/>
        </w:rPr>
        <w:t xml:space="preserve">, co ostatnio dobitnie pokazała pandemia COVID-19. </w:t>
      </w:r>
    </w:p>
    <w:p w14:paraId="3B71D634" w14:textId="4D9A84B4" w:rsidR="001244D6" w:rsidRPr="00DA257A" w:rsidRDefault="00F0116C" w:rsidP="009A6FCD">
      <w:pPr>
        <w:spacing w:after="120"/>
        <w:rPr>
          <w:i/>
          <w:iCs/>
          <w:noProof/>
        </w:rPr>
      </w:pPr>
      <w:r w:rsidRPr="00DA257A">
        <w:rPr>
          <w:i/>
          <w:noProof/>
        </w:rPr>
        <w:t>W istocie kilka kryzysów</w:t>
      </w:r>
      <w:r w:rsidR="00DA257A" w:rsidRPr="00DA257A">
        <w:rPr>
          <w:i/>
          <w:noProof/>
        </w:rPr>
        <w:t xml:space="preserve"> w ost</w:t>
      </w:r>
      <w:r w:rsidRPr="00DA257A">
        <w:rPr>
          <w:i/>
          <w:noProof/>
        </w:rPr>
        <w:t>atnich latach pokazało, że nie można traktować tego osiągnięcia jako czegoś oczywistego. W 2015</w:t>
      </w:r>
      <w:r w:rsidR="007C7210" w:rsidRPr="00DA257A">
        <w:rPr>
          <w:i/>
          <w:noProof/>
        </w:rPr>
        <w:t> </w:t>
      </w:r>
      <w:r w:rsidRPr="00DA257A">
        <w:rPr>
          <w:i/>
          <w:noProof/>
        </w:rPr>
        <w:t>r. strefa Schengen stanęła</w:t>
      </w:r>
      <w:r w:rsidR="00DA257A" w:rsidRPr="00DA257A">
        <w:rPr>
          <w:i/>
          <w:noProof/>
        </w:rPr>
        <w:t xml:space="preserve"> w obl</w:t>
      </w:r>
      <w:r w:rsidRPr="00DA257A">
        <w:rPr>
          <w:i/>
          <w:noProof/>
        </w:rPr>
        <w:t>iczu pierwszego poważnego testu, jakim był kryzys migracyjny oraz szereg poważnych zagrożeń dla bezpieczeństwa</w:t>
      </w:r>
      <w:r w:rsidR="00DA257A" w:rsidRPr="00DA257A">
        <w:rPr>
          <w:i/>
          <w:noProof/>
        </w:rPr>
        <w:t>. W ost</w:t>
      </w:r>
      <w:r w:rsidRPr="00DA257A">
        <w:rPr>
          <w:i/>
          <w:noProof/>
        </w:rPr>
        <w:t>atnim czasie pojawiły się nowe wyzwania związane</w:t>
      </w:r>
      <w:r w:rsidR="00DA257A" w:rsidRPr="00DA257A">
        <w:rPr>
          <w:i/>
          <w:noProof/>
        </w:rPr>
        <w:t xml:space="preserve"> z pan</w:t>
      </w:r>
      <w:r w:rsidRPr="00DA257A">
        <w:rPr>
          <w:i/>
          <w:noProof/>
        </w:rPr>
        <w:t>demią oraz znaczną liczbą osób przybywających</w:t>
      </w:r>
      <w:r w:rsidR="00DA257A" w:rsidRPr="00DA257A">
        <w:rPr>
          <w:i/>
          <w:noProof/>
        </w:rPr>
        <w:t xml:space="preserve"> w zwi</w:t>
      </w:r>
      <w:r w:rsidRPr="00DA257A">
        <w:rPr>
          <w:i/>
          <w:noProof/>
        </w:rPr>
        <w:t>ązku</w:t>
      </w:r>
      <w:r w:rsidR="00DA257A" w:rsidRPr="00DA257A">
        <w:rPr>
          <w:i/>
          <w:noProof/>
        </w:rPr>
        <w:t xml:space="preserve"> z woj</w:t>
      </w:r>
      <w:r w:rsidRPr="00DA257A">
        <w:rPr>
          <w:i/>
          <w:noProof/>
        </w:rPr>
        <w:t>ną</w:t>
      </w:r>
      <w:r w:rsidR="00DA257A" w:rsidRPr="00DA257A">
        <w:rPr>
          <w:i/>
          <w:noProof/>
        </w:rPr>
        <w:t xml:space="preserve"> w Ukr</w:t>
      </w:r>
      <w:r w:rsidRPr="00DA257A">
        <w:rPr>
          <w:i/>
          <w:noProof/>
        </w:rPr>
        <w:t xml:space="preserve">ainie. </w:t>
      </w:r>
    </w:p>
    <w:p w14:paraId="19336D39" w14:textId="68C8BB25" w:rsidR="00FF3425" w:rsidRPr="00DA257A" w:rsidRDefault="00FF3425" w:rsidP="006E7B16">
      <w:pPr>
        <w:spacing w:after="120"/>
        <w:rPr>
          <w:i/>
          <w:iCs/>
          <w:noProof/>
        </w:rPr>
      </w:pPr>
      <w:r w:rsidRPr="00DA257A">
        <w:rPr>
          <w:i/>
          <w:noProof/>
        </w:rPr>
        <w:t>Dzięki determinacji UE</w:t>
      </w:r>
      <w:r w:rsidR="00DA257A" w:rsidRPr="00DA257A">
        <w:rPr>
          <w:i/>
          <w:noProof/>
        </w:rPr>
        <w:t xml:space="preserve"> i pań</w:t>
      </w:r>
      <w:r w:rsidRPr="00DA257A">
        <w:rPr>
          <w:i/>
          <w:noProof/>
        </w:rPr>
        <w:t>stw członkowskich oraz postępom osiągniętym</w:t>
      </w:r>
      <w:r w:rsidR="00DA257A" w:rsidRPr="00DA257A">
        <w:rPr>
          <w:i/>
          <w:noProof/>
        </w:rPr>
        <w:t xml:space="preserve"> w ost</w:t>
      </w:r>
      <w:r w:rsidRPr="00DA257A">
        <w:rPr>
          <w:i/>
          <w:noProof/>
        </w:rPr>
        <w:t>atnich latach strefa Schengen dowiodła swojej odporności</w:t>
      </w:r>
      <w:r w:rsidR="00DA257A" w:rsidRPr="00DA257A">
        <w:rPr>
          <w:i/>
          <w:noProof/>
        </w:rPr>
        <w:t xml:space="preserve"> i wys</w:t>
      </w:r>
      <w:r w:rsidRPr="00DA257A">
        <w:rPr>
          <w:i/>
          <w:noProof/>
        </w:rPr>
        <w:t>zła</w:t>
      </w:r>
      <w:r w:rsidR="00DA257A" w:rsidRPr="00DA257A">
        <w:rPr>
          <w:i/>
          <w:noProof/>
        </w:rPr>
        <w:t xml:space="preserve"> z tyc</w:t>
      </w:r>
      <w:r w:rsidRPr="00DA257A">
        <w:rPr>
          <w:i/>
          <w:noProof/>
        </w:rPr>
        <w:t>h wyzwań silniejsza. Chociaż nadal istnieją pewne wyzwania, strefa Schengen ogólnie funkcjonuje dobrze. Potwierdzają to wyniki regularnych ocen Schengen, które wykazują tylko nieliczne przypadki niedociągnięć systemowych,</w:t>
      </w:r>
      <w:r w:rsidR="00DA257A" w:rsidRPr="00DA257A">
        <w:rPr>
          <w:i/>
          <w:noProof/>
        </w:rPr>
        <w:t xml:space="preserve"> a tak</w:t>
      </w:r>
      <w:r w:rsidRPr="00DA257A">
        <w:rPr>
          <w:i/>
          <w:noProof/>
        </w:rPr>
        <w:t>że inne narzędzia, które umożliwiają ocenę jej funkcjonowania, oraz krajowe zdolności</w:t>
      </w:r>
      <w:r w:rsidR="00DA257A" w:rsidRPr="00DA257A">
        <w:rPr>
          <w:i/>
          <w:noProof/>
        </w:rPr>
        <w:t xml:space="preserve"> w zak</w:t>
      </w:r>
      <w:r w:rsidRPr="00DA257A">
        <w:rPr>
          <w:i/>
          <w:noProof/>
        </w:rPr>
        <w:t>resie kontroli granicznej</w:t>
      </w:r>
      <w:r w:rsidR="00DA257A" w:rsidRPr="00DA257A">
        <w:rPr>
          <w:i/>
          <w:noProof/>
        </w:rPr>
        <w:t xml:space="preserve"> w pań</w:t>
      </w:r>
      <w:r w:rsidRPr="00DA257A">
        <w:rPr>
          <w:i/>
          <w:noProof/>
        </w:rPr>
        <w:t xml:space="preserve">stwach członkowskich. </w:t>
      </w:r>
    </w:p>
    <w:p w14:paraId="64F1DF7F" w14:textId="60A9743F" w:rsidR="001D6EFF" w:rsidRPr="00DA257A" w:rsidRDefault="00C775EC" w:rsidP="002215E4">
      <w:pPr>
        <w:spacing w:after="120"/>
        <w:rPr>
          <w:i/>
          <w:noProof/>
        </w:rPr>
      </w:pPr>
      <w:r w:rsidRPr="00DA257A">
        <w:rPr>
          <w:i/>
          <w:noProof/>
        </w:rPr>
        <w:t>W ostatnich latach system Schengen był wystawiany na próbę podczas różnych kryzysów, które prowadziły do doraźnych dyskusji politycznych wokół Schengen. Bardziej niż kiedykolwiek stało się jasne, że osiągnięć Schengen nie można traktować jako czegoś oczywistego. Ostatnie wyzwania uwypukliły potrzebę podjęcia zdecydowanych działań na rzecz poprawy struktury zarządzania strefą Schengen, aby zapewnić jej sprawne funkcjonowanie</w:t>
      </w:r>
      <w:r w:rsidR="00DA257A" w:rsidRPr="00DA257A">
        <w:rPr>
          <w:i/>
          <w:noProof/>
        </w:rPr>
        <w:t>. W lis</w:t>
      </w:r>
      <w:r w:rsidRPr="00DA257A">
        <w:rPr>
          <w:i/>
          <w:noProof/>
        </w:rPr>
        <w:t>topadzie 2020</w:t>
      </w:r>
      <w:r w:rsidR="007C7210" w:rsidRPr="00DA257A">
        <w:rPr>
          <w:i/>
          <w:noProof/>
        </w:rPr>
        <w:t> </w:t>
      </w:r>
      <w:r w:rsidRPr="00DA257A">
        <w:rPr>
          <w:i/>
          <w:noProof/>
        </w:rPr>
        <w:t>r. Komisja ustanowiła doroczne forum Schengen jako pierwszy krok</w:t>
      </w:r>
      <w:r w:rsidR="00DA257A" w:rsidRPr="00DA257A">
        <w:rPr>
          <w:i/>
          <w:noProof/>
        </w:rPr>
        <w:t xml:space="preserve"> w kie</w:t>
      </w:r>
      <w:r w:rsidRPr="00DA257A">
        <w:rPr>
          <w:i/>
          <w:noProof/>
        </w:rPr>
        <w:t>runku promowania powszechnej debaty politycznej poświęconej budowaniu silniejszej strefy Schengen</w:t>
      </w:r>
      <w:r w:rsidR="00DA257A" w:rsidRPr="00DA257A">
        <w:rPr>
          <w:i/>
          <w:noProof/>
        </w:rPr>
        <w:t xml:space="preserve"> w opa</w:t>
      </w:r>
      <w:r w:rsidRPr="00DA257A">
        <w:rPr>
          <w:i/>
          <w:noProof/>
        </w:rPr>
        <w:t>rciu</w:t>
      </w:r>
      <w:r w:rsidR="00DA257A" w:rsidRPr="00DA257A">
        <w:rPr>
          <w:i/>
          <w:noProof/>
        </w:rPr>
        <w:t xml:space="preserve"> o wza</w:t>
      </w:r>
      <w:r w:rsidRPr="00DA257A">
        <w:rPr>
          <w:i/>
          <w:noProof/>
        </w:rPr>
        <w:t>jemne zaufanie. Rozmowy polityczne na wysokim szczeblu potwierdziły konieczność wzmocnienia zarządzania strefą Schengen, co zostało potwierdzone podczas drugiego forum Schengen</w:t>
      </w:r>
      <w:r w:rsidR="00DA257A" w:rsidRPr="00DA257A">
        <w:rPr>
          <w:i/>
          <w:noProof/>
        </w:rPr>
        <w:t xml:space="preserve"> w maj</w:t>
      </w:r>
      <w:r w:rsidRPr="00DA257A">
        <w:rPr>
          <w:i/>
          <w:noProof/>
        </w:rPr>
        <w:t>u 2021</w:t>
      </w:r>
      <w:r w:rsidR="007C7210" w:rsidRPr="00DA257A">
        <w:rPr>
          <w:i/>
          <w:noProof/>
        </w:rPr>
        <w:t> </w:t>
      </w:r>
      <w:r w:rsidRPr="00DA257A">
        <w:rPr>
          <w:i/>
          <w:noProof/>
        </w:rPr>
        <w:t xml:space="preserve">r. </w:t>
      </w:r>
    </w:p>
    <w:p w14:paraId="2E180964" w14:textId="5CD362B4" w:rsidR="00AD67C9" w:rsidRPr="00DA257A" w:rsidRDefault="000316F8" w:rsidP="002215E4">
      <w:pPr>
        <w:spacing w:after="120"/>
        <w:rPr>
          <w:i/>
          <w:noProof/>
        </w:rPr>
      </w:pPr>
      <w:r w:rsidRPr="00DA257A">
        <w:rPr>
          <w:i/>
          <w:noProof/>
        </w:rPr>
        <w:t>W tym kontekście Komisja opracowała nowy model zarządzania strefą Schengen</w:t>
      </w:r>
      <w:r w:rsidR="00DA257A" w:rsidRPr="00DA257A">
        <w:rPr>
          <w:i/>
          <w:noProof/>
        </w:rPr>
        <w:t xml:space="preserve"> w for</w:t>
      </w:r>
      <w:r w:rsidRPr="00DA257A">
        <w:rPr>
          <w:i/>
          <w:noProof/>
        </w:rPr>
        <w:t>mie „cyklu Schengen”,</w:t>
      </w:r>
      <w:r w:rsidRPr="00DA257A">
        <w:rPr>
          <w:noProof/>
        </w:rPr>
        <w:t xml:space="preserve"> </w:t>
      </w:r>
      <w:r w:rsidRPr="00DA257A">
        <w:rPr>
          <w:i/>
          <w:noProof/>
        </w:rPr>
        <w:t>który zapewnia regularne „oceny funkcjonowania strefy Schengen”. Po rozmowach na spotkaniu Rady ds. Wymiaru Sprawiedliwości</w:t>
      </w:r>
      <w:r w:rsidR="00DA257A" w:rsidRPr="00DA257A">
        <w:rPr>
          <w:i/>
          <w:noProof/>
        </w:rPr>
        <w:t xml:space="preserve"> i Spr</w:t>
      </w:r>
      <w:r w:rsidRPr="00DA257A">
        <w:rPr>
          <w:i/>
          <w:noProof/>
        </w:rPr>
        <w:t>aw Wewnętrznych</w:t>
      </w:r>
      <w:r w:rsidR="00DA257A" w:rsidRPr="00DA257A">
        <w:rPr>
          <w:i/>
          <w:noProof/>
        </w:rPr>
        <w:t xml:space="preserve"> w Lil</w:t>
      </w:r>
      <w:r w:rsidRPr="00DA257A">
        <w:rPr>
          <w:i/>
          <w:noProof/>
        </w:rPr>
        <w:t>le zaczęto urzeczywistniać te pomysły,</w:t>
      </w:r>
      <w:r w:rsidR="00DA257A" w:rsidRPr="00DA257A">
        <w:rPr>
          <w:i/>
          <w:noProof/>
        </w:rPr>
        <w:t xml:space="preserve"> a pie</w:t>
      </w:r>
      <w:r w:rsidRPr="00DA257A">
        <w:rPr>
          <w:i/>
          <w:noProof/>
        </w:rPr>
        <w:t>rwsze posiedzenie Rady ds. Schengen odbyło się</w:t>
      </w:r>
      <w:r w:rsidR="007C7210" w:rsidRPr="00DA257A">
        <w:rPr>
          <w:i/>
          <w:noProof/>
        </w:rPr>
        <w:t> </w:t>
      </w:r>
      <w:r w:rsidRPr="00DA257A">
        <w:rPr>
          <w:i/>
          <w:noProof/>
        </w:rPr>
        <w:t>3 marca 2022</w:t>
      </w:r>
      <w:r w:rsidR="007C7210" w:rsidRPr="00DA257A">
        <w:rPr>
          <w:i/>
          <w:noProof/>
        </w:rPr>
        <w:t> </w:t>
      </w:r>
      <w:r w:rsidRPr="00DA257A">
        <w:rPr>
          <w:i/>
          <w:noProof/>
        </w:rPr>
        <w:t>r. Schengen to wspólny projekt, który wymaga wspólnej odpowiedzi na obecne</w:t>
      </w:r>
      <w:r w:rsidR="00DA257A" w:rsidRPr="00DA257A">
        <w:rPr>
          <w:i/>
          <w:noProof/>
        </w:rPr>
        <w:t xml:space="preserve"> i prz</w:t>
      </w:r>
      <w:r w:rsidRPr="00DA257A">
        <w:rPr>
          <w:i/>
          <w:noProof/>
        </w:rPr>
        <w:t>yszłe wyzwania oraz zaangażowania państw członkowskich, instytucji Unii</w:t>
      </w:r>
      <w:r w:rsidR="00DA257A" w:rsidRPr="00DA257A">
        <w:rPr>
          <w:i/>
          <w:noProof/>
        </w:rPr>
        <w:t xml:space="preserve"> i odp</w:t>
      </w:r>
      <w:r w:rsidRPr="00DA257A">
        <w:rPr>
          <w:i/>
          <w:noProof/>
        </w:rPr>
        <w:t>owiednich agencji. Nowe rozporządzenie reformujące mechanizm oceny</w:t>
      </w:r>
      <w:r w:rsidR="00DA257A" w:rsidRPr="00DA257A">
        <w:rPr>
          <w:i/>
          <w:noProof/>
        </w:rPr>
        <w:t xml:space="preserve"> i mon</w:t>
      </w:r>
      <w:r w:rsidRPr="00DA257A">
        <w:rPr>
          <w:i/>
          <w:noProof/>
        </w:rPr>
        <w:t>itorowania Schengen ma</w:t>
      </w:r>
      <w:r w:rsidR="00DA257A" w:rsidRPr="00DA257A">
        <w:rPr>
          <w:i/>
          <w:noProof/>
        </w:rPr>
        <w:t xml:space="preserve"> w dal</w:t>
      </w:r>
      <w:r w:rsidRPr="00DA257A">
        <w:rPr>
          <w:i/>
          <w:noProof/>
        </w:rPr>
        <w:t>szym ciągu przyczyniać się do realizacji tego celu, ponieważ zapewnia szybką identyfikację niedociągnięć</w:t>
      </w:r>
      <w:r w:rsidR="00DA257A" w:rsidRPr="00DA257A">
        <w:rPr>
          <w:i/>
          <w:noProof/>
        </w:rPr>
        <w:t xml:space="preserve"> i sku</w:t>
      </w:r>
      <w:r w:rsidRPr="00DA257A">
        <w:rPr>
          <w:i/>
          <w:noProof/>
        </w:rPr>
        <w:t xml:space="preserve">teczne procedury działań następczych. </w:t>
      </w:r>
    </w:p>
    <w:p w14:paraId="6B2D1DA3" w14:textId="0EE52852" w:rsidR="00AD67C9" w:rsidRPr="00DA257A" w:rsidRDefault="00F0116C" w:rsidP="006E7B16">
      <w:pPr>
        <w:spacing w:after="120"/>
        <w:rPr>
          <w:i/>
          <w:noProof/>
        </w:rPr>
      </w:pPr>
      <w:r w:rsidRPr="00DA257A">
        <w:rPr>
          <w:i/>
          <w:noProof/>
        </w:rPr>
        <w:t>Takie wzmocnione zarządzanie ma zasadnicze znaczenie dla realizacji ambitnego planu działania na rzecz Schengen określonego</w:t>
      </w:r>
      <w:r w:rsidR="00DA257A" w:rsidRPr="00DA257A">
        <w:rPr>
          <w:i/>
          <w:noProof/>
        </w:rPr>
        <w:t xml:space="preserve"> w </w:t>
      </w:r>
      <w:r w:rsidR="00DA257A" w:rsidRPr="00DA257A">
        <w:rPr>
          <w:b/>
          <w:i/>
          <w:noProof/>
        </w:rPr>
        <w:t>str</w:t>
      </w:r>
      <w:r w:rsidRPr="00DA257A">
        <w:rPr>
          <w:b/>
          <w:i/>
          <w:noProof/>
        </w:rPr>
        <w:t>ategii dotyczącej Schengen przedstawionej przez Komisję</w:t>
      </w:r>
      <w:r w:rsidR="00DA257A" w:rsidRPr="00DA257A">
        <w:rPr>
          <w:b/>
          <w:i/>
          <w:noProof/>
        </w:rPr>
        <w:t xml:space="preserve"> w cze</w:t>
      </w:r>
      <w:r w:rsidRPr="00DA257A">
        <w:rPr>
          <w:b/>
          <w:i/>
          <w:noProof/>
        </w:rPr>
        <w:t>rwcu 2021</w:t>
      </w:r>
      <w:r w:rsidR="007C7210" w:rsidRPr="00DA257A">
        <w:rPr>
          <w:b/>
          <w:i/>
          <w:noProof/>
        </w:rPr>
        <w:t> </w:t>
      </w:r>
      <w:r w:rsidRPr="00DA257A">
        <w:rPr>
          <w:b/>
          <w:i/>
          <w:noProof/>
        </w:rPr>
        <w:t xml:space="preserve">r. </w:t>
      </w:r>
      <w:r w:rsidRPr="00DA257A">
        <w:rPr>
          <w:i/>
          <w:noProof/>
        </w:rPr>
        <w:t>Pilne przyjęcie wzmocnionych ram legislacyjnych oraz ich wdrożenie jest konieczne, aby uczynić strefę Schengen silniejszą</w:t>
      </w:r>
      <w:r w:rsidR="00DA257A" w:rsidRPr="00DA257A">
        <w:rPr>
          <w:i/>
          <w:noProof/>
        </w:rPr>
        <w:t xml:space="preserve"> i bar</w:t>
      </w:r>
      <w:r w:rsidRPr="00DA257A">
        <w:rPr>
          <w:i/>
          <w:noProof/>
        </w:rPr>
        <w:t>dziej odporną.</w:t>
      </w:r>
    </w:p>
    <w:p w14:paraId="3CD6EE07" w14:textId="1F0E9AD8" w:rsidR="00AD67C9" w:rsidRPr="00DA257A" w:rsidRDefault="00AD67C9" w:rsidP="0059165B">
      <w:pPr>
        <w:spacing w:after="120"/>
        <w:rPr>
          <w:i/>
          <w:noProof/>
        </w:rPr>
      </w:pPr>
      <w:r w:rsidRPr="00DA257A">
        <w:rPr>
          <w:i/>
          <w:noProof/>
        </w:rPr>
        <w:t xml:space="preserve">W niniejszym </w:t>
      </w:r>
      <w:r w:rsidRPr="00DA257A">
        <w:rPr>
          <w:b/>
          <w:i/>
          <w:noProof/>
        </w:rPr>
        <w:t>sprawozdaniu</w:t>
      </w:r>
      <w:r w:rsidR="00DA257A" w:rsidRPr="00DA257A">
        <w:rPr>
          <w:b/>
          <w:i/>
          <w:noProof/>
        </w:rPr>
        <w:t xml:space="preserve"> w spr</w:t>
      </w:r>
      <w:r w:rsidRPr="00DA257A">
        <w:rPr>
          <w:b/>
          <w:i/>
          <w:noProof/>
        </w:rPr>
        <w:t>awie stanu strefy Schengen</w:t>
      </w:r>
      <w:r w:rsidRPr="00DA257A">
        <w:rPr>
          <w:i/>
          <w:noProof/>
        </w:rPr>
        <w:t xml:space="preserve"> przedstawiono kluczowe elementy nowego modelu zarządzania strefą Schengen, podsumowano realizację strategii dotyczącej Schengen</w:t>
      </w:r>
      <w:r w:rsidR="00DA257A" w:rsidRPr="00DA257A">
        <w:rPr>
          <w:i/>
          <w:noProof/>
        </w:rPr>
        <w:t xml:space="preserve"> w uję</w:t>
      </w:r>
      <w:r w:rsidRPr="00DA257A">
        <w:rPr>
          <w:i/>
          <w:noProof/>
        </w:rPr>
        <w:t>ciu ogólnym oraz jej poszczególnych elementów,</w:t>
      </w:r>
      <w:r w:rsidR="00DA257A" w:rsidRPr="00DA257A">
        <w:rPr>
          <w:i/>
          <w:noProof/>
        </w:rPr>
        <w:t xml:space="preserve"> a tak</w:t>
      </w:r>
      <w:r w:rsidRPr="00DA257A">
        <w:rPr>
          <w:i/>
          <w:noProof/>
        </w:rPr>
        <w:t>że określono priorytety dla strefy Schengen na lata 2022–2023. Poruszono</w:t>
      </w:r>
      <w:r w:rsidR="00DA257A" w:rsidRPr="00DA257A">
        <w:rPr>
          <w:i/>
          <w:noProof/>
        </w:rPr>
        <w:t xml:space="preserve"> w nim</w:t>
      </w:r>
      <w:r w:rsidRPr="00DA257A">
        <w:rPr>
          <w:i/>
          <w:noProof/>
        </w:rPr>
        <w:t xml:space="preserve"> również kwestię prawnych zobowiązań Komisji</w:t>
      </w:r>
      <w:r w:rsidR="0059165B" w:rsidRPr="00DA257A">
        <w:rPr>
          <w:rStyle w:val="FootnoteReference"/>
          <w:i/>
          <w:iCs/>
          <w:noProof/>
        </w:rPr>
        <w:footnoteReference w:id="4"/>
      </w:r>
      <w:r w:rsidRPr="00DA257A">
        <w:rPr>
          <w:i/>
          <w:noProof/>
        </w:rPr>
        <w:t xml:space="preserve"> do składania sprawozdań na temat sytuacji</w:t>
      </w:r>
      <w:r w:rsidR="00DA257A" w:rsidRPr="00DA257A">
        <w:rPr>
          <w:i/>
          <w:noProof/>
        </w:rPr>
        <w:t xml:space="preserve"> w zak</w:t>
      </w:r>
      <w:r w:rsidRPr="00DA257A">
        <w:rPr>
          <w:i/>
          <w:noProof/>
        </w:rPr>
        <w:t>resie braku kontroli na granicach wewnętrznych, wyników ocen Schengen oraz stanu wdrażania zaleceń. Niniejsze sprawozdanie służy jako wzór na przyszłość: jako pierwszy krok</w:t>
      </w:r>
      <w:r w:rsidR="00DA257A" w:rsidRPr="00DA257A">
        <w:rPr>
          <w:i/>
          <w:noProof/>
        </w:rPr>
        <w:t xml:space="preserve"> w roc</w:t>
      </w:r>
      <w:r w:rsidRPr="00DA257A">
        <w:rPr>
          <w:i/>
          <w:noProof/>
        </w:rPr>
        <w:t>znym cyklu Schengen każde przyszłe sprawozdanie</w:t>
      </w:r>
      <w:r w:rsidR="00DA257A" w:rsidRPr="00DA257A">
        <w:rPr>
          <w:i/>
          <w:noProof/>
        </w:rPr>
        <w:t xml:space="preserve"> w spr</w:t>
      </w:r>
      <w:r w:rsidRPr="00DA257A">
        <w:rPr>
          <w:i/>
          <w:noProof/>
        </w:rPr>
        <w:t>awie stanu strefy Schengen powinno dać początek rocznym sprawozdaniom na temat stanu strefy Schengen, które będą określały priorytety na nadchodzący rok</w:t>
      </w:r>
      <w:r w:rsidR="00DA257A" w:rsidRPr="00DA257A">
        <w:rPr>
          <w:i/>
          <w:noProof/>
        </w:rPr>
        <w:t xml:space="preserve"> i któ</w:t>
      </w:r>
      <w:r w:rsidRPr="00DA257A">
        <w:rPr>
          <w:i/>
          <w:noProof/>
        </w:rPr>
        <w:t>rych celem będzie zapoczątkowanie dyskusji na temat poczynionych postępów pod koniec danego roku. Sprawozdanie</w:t>
      </w:r>
      <w:r w:rsidR="00DA257A" w:rsidRPr="00DA257A">
        <w:rPr>
          <w:i/>
          <w:noProof/>
        </w:rPr>
        <w:t xml:space="preserve"> w spr</w:t>
      </w:r>
      <w:r w:rsidRPr="00DA257A">
        <w:rPr>
          <w:i/>
          <w:noProof/>
        </w:rPr>
        <w:t>awie stanu strefy Schengen powinno stanowić podstawę wzmożonego dialogu politycznego oraz monitorowania</w:t>
      </w:r>
      <w:r w:rsidR="00DA257A" w:rsidRPr="00DA257A">
        <w:rPr>
          <w:i/>
          <w:noProof/>
        </w:rPr>
        <w:t xml:space="preserve"> i egz</w:t>
      </w:r>
      <w:r w:rsidRPr="00DA257A">
        <w:rPr>
          <w:i/>
          <w:noProof/>
        </w:rPr>
        <w:t xml:space="preserve">ekwowania dorobku Schengen. </w:t>
      </w:r>
    </w:p>
    <w:p w14:paraId="1C76471B" w14:textId="77777777" w:rsidR="00B116A1" w:rsidRPr="00DA257A" w:rsidRDefault="00B116A1" w:rsidP="00B116A1">
      <w:pPr>
        <w:pStyle w:val="ListParagraph"/>
        <w:numPr>
          <w:ilvl w:val="0"/>
          <w:numId w:val="1"/>
        </w:numPr>
        <w:spacing w:before="240" w:after="120"/>
        <w:rPr>
          <w:noProof/>
          <w:sz w:val="28"/>
        </w:rPr>
      </w:pPr>
      <w:r w:rsidRPr="00DA257A">
        <w:rPr>
          <w:b/>
          <w:noProof/>
          <w:sz w:val="28"/>
        </w:rPr>
        <w:t>Wzmocnienie zarządzania strefą Schengen</w:t>
      </w:r>
    </w:p>
    <w:p w14:paraId="00929202" w14:textId="25536AE1" w:rsidR="00F7245C" w:rsidRPr="00DA257A" w:rsidRDefault="00F0116C" w:rsidP="00B116A1">
      <w:pPr>
        <w:spacing w:after="120"/>
        <w:rPr>
          <w:noProof/>
        </w:rPr>
      </w:pPr>
      <w:r w:rsidRPr="00DA257A">
        <w:rPr>
          <w:noProof/>
        </w:rPr>
        <w:t>Obszar, który zależy od wzajemnego zaufania między państwami członkowskimi,</w:t>
      </w:r>
      <w:r w:rsidR="00DA257A" w:rsidRPr="00DA257A">
        <w:rPr>
          <w:noProof/>
        </w:rPr>
        <w:t xml:space="preserve"> a doc</w:t>
      </w:r>
      <w:r w:rsidRPr="00DA257A">
        <w:rPr>
          <w:noProof/>
        </w:rPr>
        <w:t>elowo – od prawidłowego</w:t>
      </w:r>
      <w:r w:rsidR="00DA257A" w:rsidRPr="00DA257A">
        <w:rPr>
          <w:noProof/>
        </w:rPr>
        <w:t xml:space="preserve"> i sku</w:t>
      </w:r>
      <w:r w:rsidRPr="00DA257A">
        <w:rPr>
          <w:noProof/>
        </w:rPr>
        <w:t>tecznego wdrożenia ram prawnych Schengen, wymaga silnego</w:t>
      </w:r>
      <w:r w:rsidR="00DA257A" w:rsidRPr="00DA257A">
        <w:rPr>
          <w:noProof/>
        </w:rPr>
        <w:t xml:space="preserve"> i zor</w:t>
      </w:r>
      <w:r w:rsidRPr="00DA257A">
        <w:rPr>
          <w:noProof/>
        </w:rPr>
        <w:t>ganizowanego zarządzania</w:t>
      </w:r>
      <w:r w:rsidR="00DA257A" w:rsidRPr="00DA257A">
        <w:rPr>
          <w:noProof/>
        </w:rPr>
        <w:t>. W nas</w:t>
      </w:r>
      <w:r w:rsidRPr="00DA257A">
        <w:rPr>
          <w:noProof/>
        </w:rPr>
        <w:t>tępstwie dyskusji na pierwszym</w:t>
      </w:r>
      <w:r w:rsidR="00577F08" w:rsidRPr="00DA257A">
        <w:rPr>
          <w:rStyle w:val="FootnoteReference"/>
          <w:noProof/>
        </w:rPr>
        <w:footnoteReference w:id="5"/>
      </w:r>
      <w:r w:rsidR="00DA257A" w:rsidRPr="00DA257A">
        <w:rPr>
          <w:noProof/>
        </w:rPr>
        <w:t xml:space="preserve"> i dru</w:t>
      </w:r>
      <w:r w:rsidRPr="00DA257A">
        <w:rPr>
          <w:noProof/>
        </w:rPr>
        <w:t>gim</w:t>
      </w:r>
      <w:r w:rsidR="00577F08" w:rsidRPr="00DA257A">
        <w:rPr>
          <w:rStyle w:val="FootnoteReference"/>
          <w:noProof/>
        </w:rPr>
        <w:footnoteReference w:id="6"/>
      </w:r>
      <w:r w:rsidRPr="00DA257A">
        <w:rPr>
          <w:noProof/>
        </w:rPr>
        <w:t xml:space="preserve"> forum Schengen</w:t>
      </w:r>
      <w:r w:rsidR="00577F08" w:rsidRPr="00DA257A">
        <w:rPr>
          <w:rStyle w:val="FootnoteReference"/>
          <w:noProof/>
        </w:rPr>
        <w:footnoteReference w:id="7"/>
      </w:r>
      <w:r w:rsidRPr="00DA257A">
        <w:rPr>
          <w:noProof/>
        </w:rPr>
        <w:t xml:space="preserve"> oraz</w:t>
      </w:r>
      <w:r w:rsidR="00DA257A" w:rsidRPr="00DA257A">
        <w:rPr>
          <w:noProof/>
        </w:rPr>
        <w:t xml:space="preserve"> w cel</w:t>
      </w:r>
      <w:r w:rsidRPr="00DA257A">
        <w:rPr>
          <w:noProof/>
        </w:rPr>
        <w:t>u rzeczywistego wzmocnienia strefy Schengen</w:t>
      </w:r>
      <w:r w:rsidR="00DA257A" w:rsidRPr="00DA257A">
        <w:rPr>
          <w:noProof/>
        </w:rPr>
        <w:t xml:space="preserve"> w per</w:t>
      </w:r>
      <w:r w:rsidRPr="00DA257A">
        <w:rPr>
          <w:noProof/>
        </w:rPr>
        <w:t>spektywie długoterminowej ustanowiono nowy model zarządzania strefą Schengen. Podczas pierwszego posiedzenia Rady ds. Schengen</w:t>
      </w:r>
      <w:r w:rsidR="00DA257A" w:rsidRPr="00DA257A">
        <w:rPr>
          <w:noProof/>
        </w:rPr>
        <w:t xml:space="preserve"> w mar</w:t>
      </w:r>
      <w:r w:rsidRPr="00DA257A">
        <w:rPr>
          <w:noProof/>
        </w:rPr>
        <w:t>cu 2022</w:t>
      </w:r>
      <w:r w:rsidR="007C7210" w:rsidRPr="00DA257A">
        <w:rPr>
          <w:noProof/>
        </w:rPr>
        <w:t> </w:t>
      </w:r>
      <w:r w:rsidRPr="00DA257A">
        <w:rPr>
          <w:noProof/>
        </w:rPr>
        <w:t>r. państwa członkowskie ponownie potwierdziły tę potrzebę</w:t>
      </w:r>
      <w:r w:rsidR="00DA257A" w:rsidRPr="00DA257A">
        <w:rPr>
          <w:noProof/>
        </w:rPr>
        <w:t xml:space="preserve"> i zat</w:t>
      </w:r>
      <w:r w:rsidRPr="00DA257A">
        <w:rPr>
          <w:noProof/>
        </w:rPr>
        <w:t xml:space="preserve">wierdziły </w:t>
      </w:r>
      <w:r w:rsidRPr="00DA257A">
        <w:rPr>
          <w:b/>
          <w:noProof/>
        </w:rPr>
        <w:t>cykl Schengen</w:t>
      </w:r>
      <w:r w:rsidRPr="00DA257A">
        <w:rPr>
          <w:noProof/>
        </w:rPr>
        <w:t xml:space="preserve"> przedstawiony przez Komisję</w:t>
      </w:r>
      <w:r w:rsidR="00DA257A" w:rsidRPr="00DA257A">
        <w:rPr>
          <w:noProof/>
        </w:rPr>
        <w:t>. W ram</w:t>
      </w:r>
      <w:r w:rsidRPr="00DA257A">
        <w:rPr>
          <w:noProof/>
        </w:rPr>
        <w:t>ach cyklu przewiduje się regularne oceny funkcjonowania strefy Schengen, co umożliwia wczesne wykrywanie problemów, aby zapewnić wspólną odpowiedzialność</w:t>
      </w:r>
      <w:r w:rsidR="00DA257A" w:rsidRPr="00DA257A">
        <w:rPr>
          <w:noProof/>
        </w:rPr>
        <w:t xml:space="preserve"> i pro</w:t>
      </w:r>
      <w:r w:rsidRPr="00DA257A">
        <w:rPr>
          <w:noProof/>
        </w:rPr>
        <w:t>mować podejmowanie odpowiednich działań.</w:t>
      </w:r>
    </w:p>
    <w:p w14:paraId="11F7F6E0" w14:textId="1FA91D2A" w:rsidR="003C4B0A" w:rsidRPr="00DA257A" w:rsidRDefault="00B116A1" w:rsidP="00B116A1">
      <w:pPr>
        <w:spacing w:after="120"/>
        <w:rPr>
          <w:b/>
          <w:noProof/>
        </w:rPr>
      </w:pPr>
      <w:r w:rsidRPr="00DA257A">
        <w:rPr>
          <w:b/>
          <w:noProof/>
        </w:rPr>
        <w:t>Punktem wyjścia rocznego cyklu Schengen jest roczne sprawozdanie</w:t>
      </w:r>
      <w:r w:rsidR="00DA257A" w:rsidRPr="00DA257A">
        <w:rPr>
          <w:b/>
          <w:noProof/>
        </w:rPr>
        <w:t xml:space="preserve"> w spr</w:t>
      </w:r>
      <w:r w:rsidRPr="00DA257A">
        <w:rPr>
          <w:b/>
          <w:noProof/>
        </w:rPr>
        <w:t>awie stanu strefy Schengen</w:t>
      </w:r>
      <w:r w:rsidRPr="00DA257A">
        <w:rPr>
          <w:noProof/>
        </w:rPr>
        <w:t>,</w:t>
      </w:r>
      <w:r w:rsidR="00DA257A" w:rsidRPr="00DA257A">
        <w:rPr>
          <w:noProof/>
        </w:rPr>
        <w:t xml:space="preserve"> w któ</w:t>
      </w:r>
      <w:r w:rsidRPr="00DA257A">
        <w:rPr>
          <w:noProof/>
        </w:rPr>
        <w:t>rym Komisja inicjuje proces zarządzania poprzez określenie głównych wyzwań stojących przez strefą Schengen oraz działań priorytetowych, którymi należy się zająć na szczeblu zarówno krajowym, jak</w:t>
      </w:r>
      <w:r w:rsidR="00DA257A" w:rsidRPr="00DA257A">
        <w:rPr>
          <w:noProof/>
        </w:rPr>
        <w:t xml:space="preserve"> i eur</w:t>
      </w:r>
      <w:r w:rsidRPr="00DA257A">
        <w:rPr>
          <w:noProof/>
        </w:rPr>
        <w:t>opejskim</w:t>
      </w:r>
      <w:r w:rsidR="00DA257A" w:rsidRPr="00DA257A">
        <w:rPr>
          <w:noProof/>
        </w:rPr>
        <w:t>. W ram</w:t>
      </w:r>
      <w:r w:rsidRPr="00DA257A">
        <w:rPr>
          <w:noProof/>
        </w:rPr>
        <w:t>ach cyklu Schengen, aby zapewnić aktualne informacje</w:t>
      </w:r>
      <w:r w:rsidR="00DA257A" w:rsidRPr="00DA257A">
        <w:rPr>
          <w:noProof/>
        </w:rPr>
        <w:t xml:space="preserve"> o sta</w:t>
      </w:r>
      <w:r w:rsidRPr="00DA257A">
        <w:rPr>
          <w:noProof/>
        </w:rPr>
        <w:t>nie strefy Schengen, Komisja będzie regularnie przedstawiać barometr Schengen</w:t>
      </w:r>
      <w:r w:rsidR="00112219" w:rsidRPr="00DA257A">
        <w:rPr>
          <w:rStyle w:val="FootnoteReference"/>
          <w:noProof/>
        </w:rPr>
        <w:footnoteReference w:id="8"/>
      </w:r>
      <w:r w:rsidRPr="00DA257A">
        <w:rPr>
          <w:noProof/>
        </w:rPr>
        <w:t>.</w:t>
      </w:r>
    </w:p>
    <w:p w14:paraId="70C69FED" w14:textId="205EF237" w:rsidR="00022E41" w:rsidRPr="00DA257A" w:rsidRDefault="00B116A1" w:rsidP="009107CD">
      <w:pPr>
        <w:spacing w:after="120"/>
        <w:rPr>
          <w:noProof/>
        </w:rPr>
      </w:pPr>
      <w:r w:rsidRPr="00DA257A">
        <w:rPr>
          <w:noProof/>
        </w:rPr>
        <w:t xml:space="preserve">Dyskusje międzyinstytucjonalne na </w:t>
      </w:r>
      <w:r w:rsidRPr="00DA257A">
        <w:rPr>
          <w:b/>
          <w:noProof/>
        </w:rPr>
        <w:t>forum Schengen</w:t>
      </w:r>
      <w:r w:rsidR="00DA257A" w:rsidRPr="00DA257A">
        <w:rPr>
          <w:noProof/>
        </w:rPr>
        <w:t xml:space="preserve"> i obr</w:t>
      </w:r>
      <w:r w:rsidRPr="00DA257A">
        <w:rPr>
          <w:noProof/>
        </w:rPr>
        <w:t xml:space="preserve">ady polityczne podczas czerwcowego posiedzenia </w:t>
      </w:r>
      <w:r w:rsidRPr="00DA257A">
        <w:rPr>
          <w:b/>
          <w:noProof/>
        </w:rPr>
        <w:t>Rady ds. Schengen</w:t>
      </w:r>
      <w:r w:rsidRPr="00DA257A">
        <w:rPr>
          <w:rStyle w:val="FootnoteReference"/>
          <w:b/>
          <w:noProof/>
        </w:rPr>
        <w:footnoteReference w:id="9"/>
      </w:r>
      <w:r w:rsidRPr="00DA257A">
        <w:rPr>
          <w:b/>
          <w:noProof/>
        </w:rPr>
        <w:t xml:space="preserve"> </w:t>
      </w:r>
      <w:r w:rsidRPr="00DA257A">
        <w:rPr>
          <w:noProof/>
        </w:rPr>
        <w:t>zapewnią potrzebny impuls polityczny</w:t>
      </w:r>
      <w:r w:rsidR="00DA257A" w:rsidRPr="00DA257A">
        <w:rPr>
          <w:noProof/>
        </w:rPr>
        <w:t xml:space="preserve"> w klu</w:t>
      </w:r>
      <w:r w:rsidRPr="00DA257A">
        <w:rPr>
          <w:noProof/>
        </w:rPr>
        <w:t>czowych kwestiach strategicznych. Realizacja działań priorytetowych będzie wymagała zaangażowania wszystkich stron. Model zarządzania strefą Schengen stanowi ramy zapewniające właściwe działania następcze, obejmujące regularną wymianę informacji na temat wspólnych wyzwań, skoordynowane rozwiązania</w:t>
      </w:r>
      <w:r w:rsidR="00DA257A" w:rsidRPr="00DA257A">
        <w:rPr>
          <w:noProof/>
        </w:rPr>
        <w:t xml:space="preserve"> i dzi</w:t>
      </w:r>
      <w:r w:rsidRPr="00DA257A">
        <w:rPr>
          <w:noProof/>
        </w:rPr>
        <w:t>elenie się dobrymi praktykami, co pozwoli utorować drogę do skutecznego</w:t>
      </w:r>
      <w:r w:rsidR="00DA257A" w:rsidRPr="00DA257A">
        <w:rPr>
          <w:noProof/>
        </w:rPr>
        <w:t xml:space="preserve"> i ter</w:t>
      </w:r>
      <w:r w:rsidRPr="00DA257A">
        <w:rPr>
          <w:noProof/>
        </w:rPr>
        <w:t>minowego wdrożenia wymaganych działań. Podczas ostatnich etapów pod koniec roku dyskusje będą koncentrowały się na sprawdzeniu, jak poradzono sobie</w:t>
      </w:r>
      <w:r w:rsidR="00DA257A" w:rsidRPr="00DA257A">
        <w:rPr>
          <w:noProof/>
        </w:rPr>
        <w:t xml:space="preserve"> z głó</w:t>
      </w:r>
      <w:r w:rsidRPr="00DA257A">
        <w:rPr>
          <w:noProof/>
        </w:rPr>
        <w:t>wnymi wyzwaniami związanymi ze strefą Schengen, jak również na wytycznych dotyczących działań prowadzonych przez Europejską Agencję Straży Granicznej</w:t>
      </w:r>
      <w:r w:rsidR="00DA257A" w:rsidRPr="00DA257A">
        <w:rPr>
          <w:noProof/>
        </w:rPr>
        <w:t xml:space="preserve"> i Prz</w:t>
      </w:r>
      <w:r w:rsidRPr="00DA257A">
        <w:rPr>
          <w:noProof/>
        </w:rPr>
        <w:t>ybrzeżnej („Frontex”). Pomoże to zapewnić silniejsze zaangażowanie polityczne we wspólne zarządzanie strefą Schengen na szczeblu europejskim oraz pozwoli określić działania, jakie należy podjąć</w:t>
      </w:r>
      <w:r w:rsidR="00DA257A" w:rsidRPr="00DA257A">
        <w:rPr>
          <w:noProof/>
        </w:rPr>
        <w:t xml:space="preserve"> w kol</w:t>
      </w:r>
      <w:r w:rsidRPr="00DA257A">
        <w:rPr>
          <w:noProof/>
        </w:rPr>
        <w:t xml:space="preserve">ejnym cyklu rocznym. </w:t>
      </w:r>
    </w:p>
    <w:p w14:paraId="0EF2476A" w14:textId="571EE7FD" w:rsidR="002F68B6" w:rsidRPr="00DA257A" w:rsidRDefault="00C906B0" w:rsidP="009107CD">
      <w:pPr>
        <w:spacing w:after="120"/>
        <w:rPr>
          <w:noProof/>
        </w:rPr>
      </w:pPr>
      <w:r w:rsidRPr="00DA257A">
        <w:rPr>
          <w:noProof/>
        </w:rPr>
        <w:t xml:space="preserve">Nowy </w:t>
      </w:r>
      <w:r w:rsidRPr="00DA257A">
        <w:rPr>
          <w:b/>
          <w:noProof/>
        </w:rPr>
        <w:t>mechanizm oceny</w:t>
      </w:r>
      <w:r w:rsidR="00DA257A" w:rsidRPr="00DA257A">
        <w:rPr>
          <w:b/>
          <w:noProof/>
        </w:rPr>
        <w:t xml:space="preserve"> i mon</w:t>
      </w:r>
      <w:r w:rsidRPr="00DA257A">
        <w:rPr>
          <w:b/>
          <w:noProof/>
        </w:rPr>
        <w:t>itorowania Schengen</w:t>
      </w:r>
      <w:r w:rsidRPr="00DA257A">
        <w:rPr>
          <w:noProof/>
        </w:rPr>
        <w:t>, który Komisja zaproponowała</w:t>
      </w:r>
      <w:r w:rsidR="00DA257A" w:rsidRPr="00DA257A">
        <w:rPr>
          <w:noProof/>
        </w:rPr>
        <w:t xml:space="preserve"> w cze</w:t>
      </w:r>
      <w:r w:rsidRPr="00DA257A">
        <w:rPr>
          <w:noProof/>
        </w:rPr>
        <w:t>rwcu 2021</w:t>
      </w:r>
      <w:r w:rsidR="007C7210" w:rsidRPr="00DA257A">
        <w:rPr>
          <w:noProof/>
        </w:rPr>
        <w:t> </w:t>
      </w:r>
      <w:r w:rsidRPr="00DA257A">
        <w:rPr>
          <w:noProof/>
        </w:rPr>
        <w:t>r.</w:t>
      </w:r>
      <w:r w:rsidR="00DA257A" w:rsidRPr="00DA257A">
        <w:rPr>
          <w:noProof/>
        </w:rPr>
        <w:t xml:space="preserve"> i któ</w:t>
      </w:r>
      <w:r w:rsidRPr="00DA257A">
        <w:rPr>
          <w:noProof/>
        </w:rPr>
        <w:t>ry został niedawno przyjęty przez Radę, odegra kluczową rolę</w:t>
      </w:r>
      <w:r w:rsidR="00DA257A" w:rsidRPr="00DA257A">
        <w:rPr>
          <w:noProof/>
        </w:rPr>
        <w:t xml:space="preserve"> w tym</w:t>
      </w:r>
      <w:r w:rsidRPr="00DA257A">
        <w:rPr>
          <w:noProof/>
        </w:rPr>
        <w:t xml:space="preserve"> nowym modelu zarządzania strefą Schengen. Będzie to kluczowy mechanizm umożliwiający identyfikację wyzwań stojących przed państwami członkowskimi oraz zapewnienie szybkich działań zaradczych. Pomoże to uniknąć sytuacji,</w:t>
      </w:r>
      <w:r w:rsidR="00DA257A" w:rsidRPr="00DA257A">
        <w:rPr>
          <w:noProof/>
        </w:rPr>
        <w:t xml:space="preserve"> w któ</w:t>
      </w:r>
      <w:r w:rsidRPr="00DA257A">
        <w:rPr>
          <w:noProof/>
        </w:rPr>
        <w:t>rej jakiekolwiek problemy związane</w:t>
      </w:r>
      <w:r w:rsidR="00DA257A" w:rsidRPr="00DA257A">
        <w:rPr>
          <w:noProof/>
        </w:rPr>
        <w:t xml:space="preserve"> z wdr</w:t>
      </w:r>
      <w:r w:rsidRPr="00DA257A">
        <w:rPr>
          <w:noProof/>
        </w:rPr>
        <w:t>ażaniem,</w:t>
      </w:r>
      <w:r w:rsidR="00DA257A" w:rsidRPr="00DA257A">
        <w:rPr>
          <w:noProof/>
        </w:rPr>
        <w:t xml:space="preserve"> a zwł</w:t>
      </w:r>
      <w:r w:rsidRPr="00DA257A">
        <w:rPr>
          <w:noProof/>
        </w:rPr>
        <w:t>aszcza przypadki poważnych niedociągnięć, wywoływałyby skutki uboczne</w:t>
      </w:r>
      <w:r w:rsidR="00DA257A" w:rsidRPr="00DA257A">
        <w:rPr>
          <w:noProof/>
        </w:rPr>
        <w:t xml:space="preserve"> w cał</w:t>
      </w:r>
      <w:r w:rsidRPr="00DA257A">
        <w:rPr>
          <w:noProof/>
        </w:rPr>
        <w:t>ej strefie Schengen. Szybkie wdrożenie tej reformy pozwoli zagwarantować, że strefa Schengen będzie dysponowała bardziej skutecznym, strategicznym</w:t>
      </w:r>
      <w:r w:rsidR="00DA257A" w:rsidRPr="00DA257A">
        <w:rPr>
          <w:noProof/>
        </w:rPr>
        <w:t xml:space="preserve"> i ela</w:t>
      </w:r>
      <w:r w:rsidRPr="00DA257A">
        <w:rPr>
          <w:noProof/>
        </w:rPr>
        <w:t>stycznym instrumentem umożliwiającym radzenie sobie</w:t>
      </w:r>
      <w:r w:rsidR="00DA257A" w:rsidRPr="00DA257A">
        <w:rPr>
          <w:noProof/>
        </w:rPr>
        <w:t xml:space="preserve"> z now</w:t>
      </w:r>
      <w:r w:rsidRPr="00DA257A">
        <w:rPr>
          <w:noProof/>
        </w:rPr>
        <w:t>ymi wyzwaniami, reagowanie na zmiany realiów</w:t>
      </w:r>
      <w:r w:rsidR="00DA257A" w:rsidRPr="00DA257A">
        <w:rPr>
          <w:noProof/>
        </w:rPr>
        <w:t xml:space="preserve"> i dos</w:t>
      </w:r>
      <w:r w:rsidRPr="00DA257A">
        <w:rPr>
          <w:noProof/>
        </w:rPr>
        <w:t>tosowywanie się do nowych okoliczności. Komisja podejmuje już niezbędne kroki, aby zapewnić jego terminowe</w:t>
      </w:r>
      <w:r w:rsidR="00DA257A" w:rsidRPr="00DA257A">
        <w:rPr>
          <w:noProof/>
        </w:rPr>
        <w:t xml:space="preserve"> i sku</w:t>
      </w:r>
      <w:r w:rsidRPr="00DA257A">
        <w:rPr>
          <w:noProof/>
        </w:rPr>
        <w:t xml:space="preserve">teczne stosowanie. </w:t>
      </w:r>
    </w:p>
    <w:p w14:paraId="7FAA768F" w14:textId="14716F5A" w:rsidR="009107CD" w:rsidRPr="00DA257A" w:rsidRDefault="002F68B6" w:rsidP="009107CD">
      <w:pPr>
        <w:spacing w:after="120"/>
        <w:rPr>
          <w:noProof/>
        </w:rPr>
      </w:pPr>
      <w:r w:rsidRPr="00DA257A">
        <w:rPr>
          <w:noProof/>
        </w:rPr>
        <w:t>We współpracy</w:t>
      </w:r>
      <w:r w:rsidR="00DA257A" w:rsidRPr="00DA257A">
        <w:rPr>
          <w:noProof/>
        </w:rPr>
        <w:t xml:space="preserve"> z pań</w:t>
      </w:r>
      <w:r w:rsidRPr="00DA257A">
        <w:rPr>
          <w:noProof/>
        </w:rPr>
        <w:t xml:space="preserve">stwami członkowskimi wyznaczony przez Komisję </w:t>
      </w:r>
      <w:r w:rsidRPr="00DA257A">
        <w:rPr>
          <w:b/>
          <w:noProof/>
        </w:rPr>
        <w:t>koordynator ds. Schengen</w:t>
      </w:r>
      <w:r w:rsidRPr="00DA257A">
        <w:rPr>
          <w:noProof/>
        </w:rPr>
        <w:t xml:space="preserve"> będzie kierował cyklem Schengen</w:t>
      </w:r>
      <w:r w:rsidR="00DA257A" w:rsidRPr="00DA257A">
        <w:rPr>
          <w:noProof/>
        </w:rPr>
        <w:t xml:space="preserve"> i koo</w:t>
      </w:r>
      <w:r w:rsidRPr="00DA257A">
        <w:rPr>
          <w:noProof/>
        </w:rPr>
        <w:t>rdynował jego przebieg.</w:t>
      </w:r>
    </w:p>
    <w:p w14:paraId="49934FF9" w14:textId="768CA494" w:rsidR="00134A63" w:rsidRPr="00DA257A" w:rsidRDefault="009C0FEF" w:rsidP="005F1A9D">
      <w:pPr>
        <w:spacing w:after="120"/>
        <w:ind w:right="-1"/>
        <w:rPr>
          <w:noProof/>
        </w:rPr>
      </w:pPr>
      <w:r w:rsidRPr="00DA257A">
        <w:rPr>
          <w:noProof/>
        </w:rPr>
        <w:t xml:space="preserve"> </w:t>
      </w:r>
      <w:r w:rsidR="007C7210" w:rsidRPr="00DA257A">
        <w:rPr>
          <w:noProof/>
          <w:lang w:val="en-GB"/>
        </w:rPr>
        <w:drawing>
          <wp:inline distT="0" distB="0" distL="0" distR="0" wp14:anchorId="6FE62481" wp14:editId="526B3488">
            <wp:extent cx="6030595" cy="4265254"/>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0595" cy="4265254"/>
                    </a:xfrm>
                    <a:prstGeom prst="rect">
                      <a:avLst/>
                    </a:prstGeom>
                    <a:noFill/>
                    <a:ln>
                      <a:noFill/>
                    </a:ln>
                  </pic:spPr>
                </pic:pic>
              </a:graphicData>
            </a:graphic>
          </wp:inline>
        </w:drawing>
      </w:r>
      <w:r w:rsidR="006C09E1" w:rsidRPr="00DA257A">
        <w:rPr>
          <w:rStyle w:val="FootnoteReference"/>
          <w:noProof/>
        </w:rPr>
        <w:footnoteReference w:id="10"/>
      </w:r>
    </w:p>
    <w:p w14:paraId="6DC7C330" w14:textId="1A678316" w:rsidR="00E135BB" w:rsidRPr="00DA257A" w:rsidRDefault="00134A63" w:rsidP="00134A63">
      <w:pPr>
        <w:spacing w:after="160" w:line="259" w:lineRule="auto"/>
        <w:jc w:val="left"/>
        <w:rPr>
          <w:noProof/>
        </w:rPr>
      </w:pPr>
      <w:r w:rsidRPr="00DA257A">
        <w:rPr>
          <w:noProof/>
        </w:rPr>
        <w:br w:type="page"/>
      </w:r>
    </w:p>
    <w:tbl>
      <w:tblPr>
        <w:tblStyle w:val="TableGrid"/>
        <w:tblW w:w="0" w:type="auto"/>
        <w:tblLook w:val="04A0" w:firstRow="1" w:lastRow="0" w:firstColumn="1" w:lastColumn="0" w:noHBand="0" w:noVBand="1"/>
      </w:tblPr>
      <w:tblGrid>
        <w:gridCol w:w="9549"/>
      </w:tblGrid>
      <w:tr w:rsidR="00B116A1" w:rsidRPr="00DA257A" w14:paraId="42388AB9" w14:textId="77777777" w:rsidTr="0041695E">
        <w:tc>
          <w:tcPr>
            <w:tcW w:w="9549" w:type="dxa"/>
          </w:tcPr>
          <w:p w14:paraId="336FDF65" w14:textId="77777777" w:rsidR="00B116A1" w:rsidRPr="00DA257A" w:rsidRDefault="0093729B" w:rsidP="00F25F03">
            <w:pPr>
              <w:spacing w:after="120"/>
              <w:rPr>
                <w:b/>
                <w:bCs/>
                <w:noProof/>
                <w:sz w:val="22"/>
                <w:szCs w:val="22"/>
                <w:u w:val="single"/>
              </w:rPr>
            </w:pPr>
            <w:r w:rsidRPr="00DA257A">
              <w:rPr>
                <w:b/>
                <w:noProof/>
                <w:sz w:val="22"/>
                <w:u w:val="single"/>
              </w:rPr>
              <w:t>Ramka 1. Pierwszy cykl Schengen – priorytety na lata 2022–2023</w:t>
            </w:r>
          </w:p>
          <w:p w14:paraId="65D9FAA8" w14:textId="77777777" w:rsidR="00B116A1" w:rsidRPr="00DA257A" w:rsidRDefault="00B116A1" w:rsidP="00B116A1">
            <w:pPr>
              <w:spacing w:after="120"/>
              <w:rPr>
                <w:noProof/>
                <w:sz w:val="22"/>
                <w:szCs w:val="22"/>
              </w:rPr>
            </w:pPr>
            <w:r w:rsidRPr="00DA257A">
              <w:rPr>
                <w:noProof/>
                <w:sz w:val="22"/>
              </w:rPr>
              <w:t>Do najważniejszych działań priorytetowych na rzecz strefy Schengen należą:</w:t>
            </w:r>
          </w:p>
          <w:p w14:paraId="7671FE7B" w14:textId="77777777" w:rsidR="00B116A1" w:rsidRPr="00DA257A" w:rsidRDefault="00B116A1" w:rsidP="00B116A1">
            <w:pPr>
              <w:pStyle w:val="ListParagraph"/>
              <w:numPr>
                <w:ilvl w:val="0"/>
                <w:numId w:val="19"/>
              </w:numPr>
              <w:spacing w:after="120"/>
              <w:rPr>
                <w:noProof/>
                <w:sz w:val="22"/>
                <w:szCs w:val="22"/>
              </w:rPr>
            </w:pPr>
            <w:r w:rsidRPr="00DA257A">
              <w:rPr>
                <w:noProof/>
                <w:sz w:val="22"/>
              </w:rPr>
              <w:t xml:space="preserve">wzmocnione zarządzanie </w:t>
            </w:r>
            <w:r w:rsidRPr="00DA257A">
              <w:rPr>
                <w:b/>
                <w:noProof/>
                <w:sz w:val="22"/>
              </w:rPr>
              <w:t>granicami zewnętrznymi</w:t>
            </w:r>
            <w:r w:rsidRPr="00DA257A">
              <w:rPr>
                <w:noProof/>
                <w:sz w:val="22"/>
              </w:rPr>
              <w:t>;</w:t>
            </w:r>
          </w:p>
          <w:p w14:paraId="0E3CB3C4" w14:textId="03C8C3F8" w:rsidR="00B116A1" w:rsidRPr="00DA257A" w:rsidRDefault="00B116A1" w:rsidP="00B116A1">
            <w:pPr>
              <w:pStyle w:val="ListParagraph"/>
              <w:numPr>
                <w:ilvl w:val="0"/>
                <w:numId w:val="19"/>
              </w:numPr>
              <w:spacing w:after="120"/>
              <w:rPr>
                <w:noProof/>
                <w:sz w:val="22"/>
                <w:szCs w:val="22"/>
              </w:rPr>
            </w:pPr>
            <w:r w:rsidRPr="00DA257A">
              <w:rPr>
                <w:noProof/>
                <w:sz w:val="22"/>
              </w:rPr>
              <w:t xml:space="preserve">zapewnienie, by </w:t>
            </w:r>
            <w:r w:rsidRPr="00DA257A">
              <w:rPr>
                <w:b/>
                <w:noProof/>
                <w:sz w:val="22"/>
              </w:rPr>
              <w:t>kontrole na granicach wewnętrznych</w:t>
            </w:r>
            <w:r w:rsidRPr="00DA257A">
              <w:rPr>
                <w:noProof/>
                <w:sz w:val="22"/>
              </w:rPr>
              <w:t xml:space="preserve"> były środkami </w:t>
            </w:r>
            <w:r w:rsidRPr="00DA257A">
              <w:rPr>
                <w:b/>
                <w:noProof/>
                <w:sz w:val="22"/>
              </w:rPr>
              <w:t>stosowanymi</w:t>
            </w:r>
            <w:r w:rsidR="00DA257A" w:rsidRPr="00DA257A">
              <w:rPr>
                <w:b/>
                <w:noProof/>
                <w:sz w:val="22"/>
              </w:rPr>
              <w:t xml:space="preserve"> w ost</w:t>
            </w:r>
            <w:r w:rsidRPr="00DA257A">
              <w:rPr>
                <w:b/>
                <w:noProof/>
                <w:sz w:val="22"/>
              </w:rPr>
              <w:t>ateczności</w:t>
            </w:r>
            <w:r w:rsidRPr="00DA257A">
              <w:rPr>
                <w:noProof/>
                <w:sz w:val="22"/>
              </w:rPr>
              <w:t>, utrzymywanymi przez ograniczony czas</w:t>
            </w:r>
            <w:r w:rsidR="00DA257A" w:rsidRPr="00DA257A">
              <w:rPr>
                <w:noProof/>
                <w:sz w:val="22"/>
              </w:rPr>
              <w:t xml:space="preserve"> i w raz</w:t>
            </w:r>
            <w:r w:rsidRPr="00DA257A">
              <w:rPr>
                <w:noProof/>
                <w:sz w:val="22"/>
              </w:rPr>
              <w:t>ie potrzeby uzupełnianymi środkami łagodzącymi;</w:t>
            </w:r>
          </w:p>
          <w:p w14:paraId="49C91C14" w14:textId="77777777" w:rsidR="00B116A1" w:rsidRPr="00DA257A" w:rsidRDefault="00B116A1" w:rsidP="00B116A1">
            <w:pPr>
              <w:pStyle w:val="ListParagraph"/>
              <w:numPr>
                <w:ilvl w:val="0"/>
                <w:numId w:val="19"/>
              </w:numPr>
              <w:spacing w:after="120"/>
              <w:rPr>
                <w:noProof/>
                <w:sz w:val="22"/>
                <w:szCs w:val="22"/>
              </w:rPr>
            </w:pPr>
            <w:r w:rsidRPr="00DA257A">
              <w:rPr>
                <w:noProof/>
                <w:sz w:val="22"/>
              </w:rPr>
              <w:t xml:space="preserve">wzmocnienie </w:t>
            </w:r>
            <w:r w:rsidRPr="00DA257A">
              <w:rPr>
                <w:b/>
                <w:noProof/>
                <w:sz w:val="22"/>
              </w:rPr>
              <w:t>bezpieczeństwa wewnętrznego</w:t>
            </w:r>
            <w:r w:rsidRPr="00DA257A">
              <w:rPr>
                <w:noProof/>
                <w:sz w:val="22"/>
              </w:rPr>
              <w:t xml:space="preserve"> poprzez zacieśnienie współpracy policyjnej w UE.</w:t>
            </w:r>
          </w:p>
          <w:p w14:paraId="4346F5BF" w14:textId="77777777" w:rsidR="00B116A1" w:rsidRPr="00DA257A" w:rsidRDefault="00B116A1" w:rsidP="00B116A1">
            <w:pPr>
              <w:spacing w:after="120"/>
              <w:rPr>
                <w:noProof/>
                <w:sz w:val="22"/>
                <w:szCs w:val="22"/>
              </w:rPr>
            </w:pPr>
            <w:r w:rsidRPr="00DA257A">
              <w:rPr>
                <w:noProof/>
                <w:sz w:val="22"/>
              </w:rPr>
              <w:t>Aby osiągnąć te cele, konieczne jest szybkie wdrożenie następujących działań priorytetowych:</w:t>
            </w:r>
          </w:p>
          <w:p w14:paraId="144E68FF" w14:textId="3C4F61F0" w:rsidR="00FB0274" w:rsidRPr="00DA257A" w:rsidRDefault="00FB0274" w:rsidP="00FB0274">
            <w:pPr>
              <w:pStyle w:val="ListParagraph"/>
              <w:numPr>
                <w:ilvl w:val="0"/>
                <w:numId w:val="18"/>
              </w:numPr>
              <w:spacing w:after="120"/>
              <w:rPr>
                <w:noProof/>
                <w:sz w:val="22"/>
                <w:szCs w:val="22"/>
              </w:rPr>
            </w:pPr>
            <w:r w:rsidRPr="00DA257A">
              <w:rPr>
                <w:noProof/>
                <w:sz w:val="22"/>
              </w:rPr>
              <w:t>przyjęcie</w:t>
            </w:r>
            <w:r w:rsidR="00DA257A" w:rsidRPr="00DA257A">
              <w:rPr>
                <w:noProof/>
                <w:sz w:val="22"/>
              </w:rPr>
              <w:t xml:space="preserve"> i wdr</w:t>
            </w:r>
            <w:r w:rsidRPr="00DA257A">
              <w:rPr>
                <w:noProof/>
                <w:sz w:val="22"/>
              </w:rPr>
              <w:t>ożenie wieloletniej polityki strategicznej</w:t>
            </w:r>
            <w:r w:rsidR="00DA257A" w:rsidRPr="00DA257A">
              <w:rPr>
                <w:noProof/>
                <w:sz w:val="22"/>
              </w:rPr>
              <w:t xml:space="preserve"> w zak</w:t>
            </w:r>
            <w:r w:rsidRPr="00DA257A">
              <w:rPr>
                <w:noProof/>
                <w:sz w:val="22"/>
              </w:rPr>
              <w:t xml:space="preserve">resie </w:t>
            </w:r>
            <w:r w:rsidRPr="00DA257A">
              <w:rPr>
                <w:b/>
                <w:noProof/>
                <w:sz w:val="22"/>
              </w:rPr>
              <w:t>europejskiego zintegrowanego zarządzania granicami</w:t>
            </w:r>
            <w:r w:rsidRPr="00DA257A">
              <w:rPr>
                <w:noProof/>
                <w:sz w:val="22"/>
              </w:rPr>
              <w:t>;</w:t>
            </w:r>
          </w:p>
          <w:p w14:paraId="1F1EB27D" w14:textId="77777777" w:rsidR="00B116A1" w:rsidRPr="00DA257A" w:rsidRDefault="00B116A1" w:rsidP="00956023">
            <w:pPr>
              <w:pStyle w:val="ListParagraph"/>
              <w:numPr>
                <w:ilvl w:val="0"/>
                <w:numId w:val="18"/>
              </w:numPr>
              <w:spacing w:after="120"/>
              <w:rPr>
                <w:noProof/>
                <w:sz w:val="22"/>
                <w:szCs w:val="22"/>
              </w:rPr>
            </w:pPr>
            <w:r w:rsidRPr="00DA257A">
              <w:rPr>
                <w:noProof/>
                <w:sz w:val="22"/>
              </w:rPr>
              <w:t>zapewnienie systematycznych odpraw wszystkich podróżnych na granicach zewnętrznych;</w:t>
            </w:r>
          </w:p>
          <w:p w14:paraId="77B2338F" w14:textId="2BEA2F81" w:rsidR="00B116A1" w:rsidRPr="00DA257A" w:rsidRDefault="00B116A1" w:rsidP="00B116A1">
            <w:pPr>
              <w:pStyle w:val="ListParagraph"/>
              <w:numPr>
                <w:ilvl w:val="0"/>
                <w:numId w:val="18"/>
              </w:numPr>
              <w:spacing w:after="120"/>
              <w:rPr>
                <w:noProof/>
                <w:sz w:val="22"/>
                <w:szCs w:val="22"/>
              </w:rPr>
            </w:pPr>
            <w:r w:rsidRPr="00DA257A">
              <w:rPr>
                <w:noProof/>
                <w:sz w:val="22"/>
              </w:rPr>
              <w:t xml:space="preserve">terminowe wdrożenie </w:t>
            </w:r>
            <w:r w:rsidRPr="00DA257A">
              <w:rPr>
                <w:b/>
                <w:noProof/>
                <w:sz w:val="22"/>
              </w:rPr>
              <w:t>nowej architektury informatycznej</w:t>
            </w:r>
            <w:r w:rsidRPr="00DA257A">
              <w:rPr>
                <w:noProof/>
                <w:sz w:val="22"/>
              </w:rPr>
              <w:t xml:space="preserve"> oraz rozwiązań</w:t>
            </w:r>
            <w:r w:rsidR="00DA257A" w:rsidRPr="00DA257A">
              <w:rPr>
                <w:noProof/>
                <w:sz w:val="22"/>
              </w:rPr>
              <w:t xml:space="preserve"> w zak</w:t>
            </w:r>
            <w:r w:rsidRPr="00DA257A">
              <w:rPr>
                <w:noProof/>
                <w:sz w:val="22"/>
              </w:rPr>
              <w:t xml:space="preserve">resie </w:t>
            </w:r>
            <w:r w:rsidRPr="00DA257A">
              <w:rPr>
                <w:b/>
                <w:noProof/>
                <w:sz w:val="22"/>
              </w:rPr>
              <w:t>interoperacyjności na potrzeby zarządzania granicami</w:t>
            </w:r>
            <w:r w:rsidRPr="00DA257A">
              <w:rPr>
                <w:noProof/>
                <w:sz w:val="22"/>
              </w:rPr>
              <w:t xml:space="preserve"> do</w:t>
            </w:r>
            <w:r w:rsidR="007C7210" w:rsidRPr="00DA257A">
              <w:rPr>
                <w:noProof/>
                <w:sz w:val="22"/>
              </w:rPr>
              <w:t> </w:t>
            </w:r>
            <w:r w:rsidRPr="00DA257A">
              <w:rPr>
                <w:noProof/>
                <w:sz w:val="22"/>
              </w:rPr>
              <w:t>2023</w:t>
            </w:r>
            <w:r w:rsidR="007C7210" w:rsidRPr="00DA257A">
              <w:rPr>
                <w:noProof/>
                <w:sz w:val="22"/>
              </w:rPr>
              <w:t> </w:t>
            </w:r>
            <w:r w:rsidRPr="00DA257A">
              <w:rPr>
                <w:noProof/>
                <w:sz w:val="22"/>
              </w:rPr>
              <w:t>r.;</w:t>
            </w:r>
          </w:p>
          <w:p w14:paraId="0A70E01A" w14:textId="7E6DFC6C" w:rsidR="00B116A1" w:rsidRPr="00DA257A" w:rsidRDefault="00B116A1" w:rsidP="00B116A1">
            <w:pPr>
              <w:pStyle w:val="ListParagraph"/>
              <w:numPr>
                <w:ilvl w:val="0"/>
                <w:numId w:val="18"/>
              </w:numPr>
              <w:spacing w:after="120"/>
              <w:rPr>
                <w:noProof/>
                <w:sz w:val="22"/>
                <w:szCs w:val="22"/>
              </w:rPr>
            </w:pPr>
            <w:r w:rsidRPr="00DA257A">
              <w:rPr>
                <w:noProof/>
                <w:sz w:val="22"/>
              </w:rPr>
              <w:t xml:space="preserve">zastosowanie nowego </w:t>
            </w:r>
            <w:r w:rsidRPr="00DA257A">
              <w:rPr>
                <w:b/>
                <w:noProof/>
                <w:sz w:val="22"/>
              </w:rPr>
              <w:t>mechanizmu oceny</w:t>
            </w:r>
            <w:r w:rsidR="00DA257A" w:rsidRPr="00DA257A">
              <w:rPr>
                <w:b/>
                <w:noProof/>
                <w:sz w:val="22"/>
              </w:rPr>
              <w:t xml:space="preserve"> i mon</w:t>
            </w:r>
            <w:r w:rsidRPr="00DA257A">
              <w:rPr>
                <w:b/>
                <w:noProof/>
                <w:sz w:val="22"/>
              </w:rPr>
              <w:t>itorowania Schengen</w:t>
            </w:r>
            <w:r w:rsidRPr="00DA257A">
              <w:rPr>
                <w:noProof/>
                <w:sz w:val="22"/>
              </w:rPr>
              <w:t>;</w:t>
            </w:r>
          </w:p>
          <w:p w14:paraId="2751EF55" w14:textId="5A9A578A" w:rsidR="00B116A1" w:rsidRPr="00DA257A" w:rsidRDefault="007A3FFB" w:rsidP="00B116A1">
            <w:pPr>
              <w:pStyle w:val="ListParagraph"/>
              <w:numPr>
                <w:ilvl w:val="0"/>
                <w:numId w:val="18"/>
              </w:numPr>
              <w:spacing w:after="120"/>
              <w:rPr>
                <w:noProof/>
                <w:sz w:val="22"/>
                <w:szCs w:val="22"/>
              </w:rPr>
            </w:pPr>
            <w:r w:rsidRPr="00DA257A">
              <w:rPr>
                <w:noProof/>
                <w:sz w:val="22"/>
              </w:rPr>
              <w:t xml:space="preserve">zapewnienie pełnego wdrożenia mandatów </w:t>
            </w:r>
            <w:r w:rsidRPr="00DA257A">
              <w:rPr>
                <w:b/>
                <w:noProof/>
                <w:sz w:val="22"/>
              </w:rPr>
              <w:t>Frontexu</w:t>
            </w:r>
            <w:r w:rsidR="00DA257A" w:rsidRPr="00DA257A">
              <w:rPr>
                <w:noProof/>
                <w:sz w:val="22"/>
              </w:rPr>
              <w:t xml:space="preserve"> i </w:t>
            </w:r>
            <w:r w:rsidR="00DA257A" w:rsidRPr="00DA257A">
              <w:rPr>
                <w:b/>
                <w:noProof/>
                <w:sz w:val="22"/>
              </w:rPr>
              <w:t>Eur</w:t>
            </w:r>
            <w:r w:rsidRPr="00DA257A">
              <w:rPr>
                <w:b/>
                <w:noProof/>
                <w:sz w:val="22"/>
              </w:rPr>
              <w:t>opolu</w:t>
            </w:r>
            <w:r w:rsidRPr="00DA257A">
              <w:rPr>
                <w:noProof/>
                <w:sz w:val="22"/>
              </w:rPr>
              <w:t>;</w:t>
            </w:r>
          </w:p>
          <w:p w14:paraId="0D5757F7" w14:textId="77777777" w:rsidR="003864DC" w:rsidRPr="00DA257A" w:rsidRDefault="003864DC" w:rsidP="00B116A1">
            <w:pPr>
              <w:pStyle w:val="ListParagraph"/>
              <w:numPr>
                <w:ilvl w:val="0"/>
                <w:numId w:val="18"/>
              </w:numPr>
              <w:spacing w:after="120"/>
              <w:rPr>
                <w:noProof/>
                <w:sz w:val="22"/>
                <w:szCs w:val="22"/>
              </w:rPr>
            </w:pPr>
            <w:r w:rsidRPr="00DA257A">
              <w:rPr>
                <w:noProof/>
                <w:sz w:val="22"/>
              </w:rPr>
              <w:t>wzmocnienie krajowych systemów powrotów;</w:t>
            </w:r>
          </w:p>
          <w:p w14:paraId="6AD6482A" w14:textId="77777777" w:rsidR="00B116A1" w:rsidRPr="00DA257A" w:rsidRDefault="00B116A1" w:rsidP="00B116A1">
            <w:pPr>
              <w:pStyle w:val="ListParagraph"/>
              <w:numPr>
                <w:ilvl w:val="0"/>
                <w:numId w:val="18"/>
              </w:numPr>
              <w:spacing w:after="120"/>
              <w:rPr>
                <w:noProof/>
                <w:sz w:val="22"/>
                <w:szCs w:val="22"/>
              </w:rPr>
            </w:pPr>
            <w:r w:rsidRPr="00DA257A">
              <w:rPr>
                <w:noProof/>
                <w:sz w:val="22"/>
              </w:rPr>
              <w:t xml:space="preserve">pełne wykorzystanie dostępnych </w:t>
            </w:r>
            <w:r w:rsidRPr="00DA257A">
              <w:rPr>
                <w:b/>
                <w:noProof/>
                <w:sz w:val="22"/>
              </w:rPr>
              <w:t>narzędzi transgranicznej współpracy policyjnej</w:t>
            </w:r>
            <w:r w:rsidRPr="00DA257A">
              <w:rPr>
                <w:noProof/>
                <w:sz w:val="22"/>
              </w:rPr>
              <w:t>;</w:t>
            </w:r>
          </w:p>
          <w:p w14:paraId="399B5E42" w14:textId="77777777" w:rsidR="00B116A1" w:rsidRPr="00DA257A" w:rsidRDefault="00B116A1" w:rsidP="00B116A1">
            <w:pPr>
              <w:pStyle w:val="ListParagraph"/>
              <w:numPr>
                <w:ilvl w:val="0"/>
                <w:numId w:val="18"/>
              </w:numPr>
              <w:spacing w:after="120"/>
              <w:rPr>
                <w:noProof/>
                <w:sz w:val="22"/>
                <w:szCs w:val="22"/>
              </w:rPr>
            </w:pPr>
            <w:r w:rsidRPr="00DA257A">
              <w:rPr>
                <w:noProof/>
                <w:sz w:val="22"/>
              </w:rPr>
              <w:t xml:space="preserve">zniesienie wszystkich długoterminowych </w:t>
            </w:r>
            <w:r w:rsidRPr="00DA257A">
              <w:rPr>
                <w:b/>
                <w:noProof/>
                <w:sz w:val="22"/>
              </w:rPr>
              <w:t>kontroli na granicach wewnętrznych</w:t>
            </w:r>
            <w:r w:rsidRPr="00DA257A">
              <w:rPr>
                <w:noProof/>
                <w:sz w:val="22"/>
              </w:rPr>
              <w:t xml:space="preserve">. </w:t>
            </w:r>
          </w:p>
          <w:p w14:paraId="187BCC24" w14:textId="6C3289A1" w:rsidR="00B116A1" w:rsidRPr="00DA257A" w:rsidRDefault="00B116A1" w:rsidP="00B116A1">
            <w:pPr>
              <w:spacing w:after="120"/>
              <w:rPr>
                <w:noProof/>
                <w:sz w:val="22"/>
                <w:szCs w:val="22"/>
              </w:rPr>
            </w:pPr>
            <w:r w:rsidRPr="00DA257A">
              <w:rPr>
                <w:noProof/>
                <w:sz w:val="22"/>
              </w:rPr>
              <w:t>Kolejnym kluczowym priorytetem</w:t>
            </w:r>
            <w:r w:rsidR="00DA257A" w:rsidRPr="00DA257A">
              <w:rPr>
                <w:noProof/>
                <w:sz w:val="22"/>
              </w:rPr>
              <w:t xml:space="preserve"> w zak</w:t>
            </w:r>
            <w:r w:rsidRPr="00DA257A">
              <w:rPr>
                <w:noProof/>
                <w:sz w:val="22"/>
              </w:rPr>
              <w:t>resie poprawy ram legislacyjnych jest szybkie przyjęcie wniosków przedstawionych przez Komisję,</w:t>
            </w:r>
            <w:r w:rsidR="00DA257A" w:rsidRPr="00DA257A">
              <w:rPr>
                <w:noProof/>
                <w:sz w:val="22"/>
              </w:rPr>
              <w:t xml:space="preserve"> w tym</w:t>
            </w:r>
            <w:r w:rsidRPr="00DA257A">
              <w:rPr>
                <w:noProof/>
                <w:sz w:val="22"/>
              </w:rPr>
              <w:t>:</w:t>
            </w:r>
          </w:p>
          <w:p w14:paraId="60534377" w14:textId="77777777" w:rsidR="00B116A1" w:rsidRPr="00DA257A" w:rsidRDefault="00B116A1" w:rsidP="009E45AD">
            <w:pPr>
              <w:pStyle w:val="ListParagraph"/>
              <w:numPr>
                <w:ilvl w:val="0"/>
                <w:numId w:val="17"/>
              </w:numPr>
              <w:spacing w:after="120"/>
              <w:ind w:left="709"/>
              <w:rPr>
                <w:noProof/>
                <w:sz w:val="22"/>
                <w:szCs w:val="22"/>
              </w:rPr>
            </w:pPr>
            <w:r w:rsidRPr="00DA257A">
              <w:rPr>
                <w:noProof/>
                <w:sz w:val="22"/>
              </w:rPr>
              <w:t xml:space="preserve">zmiany </w:t>
            </w:r>
            <w:r w:rsidRPr="00DA257A">
              <w:rPr>
                <w:b/>
                <w:noProof/>
                <w:sz w:val="22"/>
              </w:rPr>
              <w:t>kodeksu granicznego Schengen</w:t>
            </w:r>
            <w:r w:rsidRPr="00DA257A">
              <w:rPr>
                <w:noProof/>
                <w:sz w:val="22"/>
              </w:rPr>
              <w:t>;</w:t>
            </w:r>
          </w:p>
          <w:p w14:paraId="75500385" w14:textId="4FBAF986" w:rsidR="00B116A1" w:rsidRPr="00DA257A" w:rsidRDefault="00B116A1" w:rsidP="009E45AD">
            <w:pPr>
              <w:pStyle w:val="ListParagraph"/>
              <w:numPr>
                <w:ilvl w:val="0"/>
                <w:numId w:val="17"/>
              </w:numPr>
              <w:spacing w:after="120"/>
              <w:ind w:left="709"/>
              <w:rPr>
                <w:noProof/>
                <w:sz w:val="22"/>
                <w:szCs w:val="22"/>
              </w:rPr>
            </w:pPr>
            <w:r w:rsidRPr="00DA257A">
              <w:rPr>
                <w:noProof/>
                <w:sz w:val="22"/>
              </w:rPr>
              <w:t>wniosków</w:t>
            </w:r>
            <w:r w:rsidR="00DA257A" w:rsidRPr="00DA257A">
              <w:rPr>
                <w:noProof/>
                <w:sz w:val="22"/>
              </w:rPr>
              <w:t xml:space="preserve"> w spr</w:t>
            </w:r>
            <w:r w:rsidRPr="00DA257A">
              <w:rPr>
                <w:noProof/>
                <w:sz w:val="22"/>
              </w:rPr>
              <w:t xml:space="preserve">awie </w:t>
            </w:r>
            <w:r w:rsidRPr="00DA257A">
              <w:rPr>
                <w:b/>
                <w:noProof/>
                <w:sz w:val="22"/>
              </w:rPr>
              <w:t>współpracy policyjnej</w:t>
            </w:r>
            <w:r w:rsidRPr="00DA257A">
              <w:rPr>
                <w:noProof/>
                <w:sz w:val="22"/>
              </w:rPr>
              <w:t xml:space="preserve">; </w:t>
            </w:r>
          </w:p>
          <w:p w14:paraId="19A3F69C" w14:textId="6B23F14D" w:rsidR="00194086" w:rsidRPr="00DA257A" w:rsidRDefault="00C62081" w:rsidP="00606258">
            <w:pPr>
              <w:pStyle w:val="ListParagraph"/>
              <w:numPr>
                <w:ilvl w:val="0"/>
                <w:numId w:val="17"/>
              </w:numPr>
              <w:spacing w:after="120"/>
              <w:ind w:left="709"/>
              <w:rPr>
                <w:noProof/>
                <w:sz w:val="22"/>
                <w:szCs w:val="22"/>
              </w:rPr>
            </w:pPr>
            <w:r w:rsidRPr="00DA257A">
              <w:rPr>
                <w:noProof/>
                <w:sz w:val="22"/>
              </w:rPr>
              <w:t>wniosków</w:t>
            </w:r>
            <w:r w:rsidR="00DA257A" w:rsidRPr="00DA257A">
              <w:rPr>
                <w:noProof/>
                <w:sz w:val="22"/>
              </w:rPr>
              <w:t xml:space="preserve"> w spr</w:t>
            </w:r>
            <w:r w:rsidRPr="00DA257A">
              <w:rPr>
                <w:noProof/>
                <w:sz w:val="22"/>
              </w:rPr>
              <w:t xml:space="preserve">awie </w:t>
            </w:r>
            <w:r w:rsidRPr="00DA257A">
              <w:rPr>
                <w:b/>
                <w:noProof/>
                <w:sz w:val="22"/>
              </w:rPr>
              <w:t>kontroli przesiewowej</w:t>
            </w:r>
            <w:r w:rsidRPr="00DA257A">
              <w:rPr>
                <w:noProof/>
                <w:sz w:val="22"/>
              </w:rPr>
              <w:t>.</w:t>
            </w:r>
          </w:p>
        </w:tc>
      </w:tr>
    </w:tbl>
    <w:p w14:paraId="0E2EC310" w14:textId="47CB135F" w:rsidR="00AD7B8D" w:rsidRPr="00DA257A" w:rsidRDefault="00AA29FA" w:rsidP="006E7B16">
      <w:pPr>
        <w:pStyle w:val="ListParagraph"/>
        <w:numPr>
          <w:ilvl w:val="0"/>
          <w:numId w:val="1"/>
        </w:numPr>
        <w:spacing w:before="240" w:after="120"/>
        <w:rPr>
          <w:noProof/>
          <w:sz w:val="28"/>
        </w:rPr>
      </w:pPr>
      <w:r w:rsidRPr="00DA257A">
        <w:rPr>
          <w:b/>
          <w:noProof/>
          <w:sz w:val="28"/>
        </w:rPr>
        <w:t>Postępy</w:t>
      </w:r>
      <w:r w:rsidR="00DA257A" w:rsidRPr="00DA257A">
        <w:rPr>
          <w:b/>
          <w:noProof/>
          <w:sz w:val="28"/>
        </w:rPr>
        <w:t xml:space="preserve"> w rea</w:t>
      </w:r>
      <w:r w:rsidRPr="00DA257A">
        <w:rPr>
          <w:b/>
          <w:noProof/>
          <w:sz w:val="28"/>
        </w:rPr>
        <w:t xml:space="preserve">lizacji strategii dotyczącej Schengen </w:t>
      </w:r>
    </w:p>
    <w:p w14:paraId="32FDE6D9" w14:textId="0D73C25A" w:rsidR="00C556C8" w:rsidRPr="00DA257A" w:rsidRDefault="00CF2C92" w:rsidP="00C556C8">
      <w:pPr>
        <w:rPr>
          <w:noProof/>
        </w:rPr>
      </w:pPr>
      <w:r w:rsidRPr="00DA257A">
        <w:rPr>
          <w:noProof/>
        </w:rPr>
        <w:t>W strategii dotyczącej Schengen Komisja określiła działania mające na celu zapewnienie dobrego funkcjonowania strefy Schengen. Od czasu jej przyjęcia</w:t>
      </w:r>
      <w:r w:rsidR="00DA257A" w:rsidRPr="00DA257A">
        <w:rPr>
          <w:noProof/>
        </w:rPr>
        <w:t xml:space="preserve"> w cze</w:t>
      </w:r>
      <w:r w:rsidRPr="00DA257A">
        <w:rPr>
          <w:noProof/>
        </w:rPr>
        <w:t>rwcu 2021</w:t>
      </w:r>
      <w:r w:rsidR="007C7210" w:rsidRPr="00DA257A">
        <w:rPr>
          <w:noProof/>
        </w:rPr>
        <w:t> </w:t>
      </w:r>
      <w:r w:rsidRPr="00DA257A">
        <w:rPr>
          <w:noProof/>
        </w:rPr>
        <w:t>r. Komisja wywiązała się</w:t>
      </w:r>
      <w:r w:rsidR="00DA257A" w:rsidRPr="00DA257A">
        <w:rPr>
          <w:noProof/>
        </w:rPr>
        <w:t xml:space="preserve"> z pod</w:t>
      </w:r>
      <w:r w:rsidRPr="00DA257A">
        <w:rPr>
          <w:noProof/>
        </w:rPr>
        <w:t>jętego zobowiązania</w:t>
      </w:r>
      <w:r w:rsidR="00DA257A" w:rsidRPr="00DA257A">
        <w:rPr>
          <w:noProof/>
        </w:rPr>
        <w:t xml:space="preserve"> i zap</w:t>
      </w:r>
      <w:r w:rsidRPr="00DA257A">
        <w:rPr>
          <w:noProof/>
        </w:rPr>
        <w:t xml:space="preserve">ewniła szybkie wprowadzenie narzędzi wspierających strefę Schengen. Trzy filary, na których opiera się strefa Schengen, tj. </w:t>
      </w:r>
      <w:r w:rsidRPr="00DA257A">
        <w:rPr>
          <w:b/>
          <w:noProof/>
        </w:rPr>
        <w:t>skuteczne zarządzanie granicami zewnętrznymi, środki równoważące brak kontroli na granicach wewnętrznych</w:t>
      </w:r>
      <w:r w:rsidRPr="00DA257A">
        <w:rPr>
          <w:noProof/>
        </w:rPr>
        <w:t xml:space="preserve"> oraz </w:t>
      </w:r>
      <w:r w:rsidRPr="00DA257A">
        <w:rPr>
          <w:b/>
          <w:noProof/>
        </w:rPr>
        <w:t>rzetelny nadzór</w:t>
      </w:r>
      <w:r w:rsidRPr="00DA257A">
        <w:rPr>
          <w:noProof/>
        </w:rPr>
        <w:t>, zostały wzmocnione</w:t>
      </w:r>
      <w:r w:rsidR="00DA257A" w:rsidRPr="00DA257A">
        <w:rPr>
          <w:noProof/>
        </w:rPr>
        <w:t xml:space="preserve"> i wyp</w:t>
      </w:r>
      <w:r w:rsidRPr="00DA257A">
        <w:rPr>
          <w:noProof/>
        </w:rPr>
        <w:t>osażone</w:t>
      </w:r>
      <w:r w:rsidR="00DA257A" w:rsidRPr="00DA257A">
        <w:rPr>
          <w:noProof/>
        </w:rPr>
        <w:t xml:space="preserve"> w zak</w:t>
      </w:r>
      <w:r w:rsidRPr="00DA257A">
        <w:rPr>
          <w:noProof/>
        </w:rPr>
        <w:t>tualizowane narzędzia umożliwiające skuteczne reagowanie na nowe okoliczności. Nadszedł czas, aby zrealizować zaległe propozycje</w:t>
      </w:r>
      <w:r w:rsidR="00DA257A" w:rsidRPr="00DA257A">
        <w:rPr>
          <w:noProof/>
        </w:rPr>
        <w:t xml:space="preserve"> i zob</w:t>
      </w:r>
      <w:r w:rsidRPr="00DA257A">
        <w:rPr>
          <w:noProof/>
        </w:rPr>
        <w:t>owiązania, przy czym zaangażowanie państw członkowskich</w:t>
      </w:r>
      <w:r w:rsidR="00DA257A" w:rsidRPr="00DA257A">
        <w:rPr>
          <w:noProof/>
        </w:rPr>
        <w:t xml:space="preserve"> i inn</w:t>
      </w:r>
      <w:r w:rsidRPr="00DA257A">
        <w:rPr>
          <w:noProof/>
        </w:rPr>
        <w:t xml:space="preserve">ych zainteresowanych stron jest niezbędne do zapewnienia wspólnej odpowiedzialności. </w:t>
      </w:r>
    </w:p>
    <w:p w14:paraId="518DE8D9" w14:textId="097D100F" w:rsidR="00BE147F" w:rsidRPr="00DA257A" w:rsidRDefault="00BE147F" w:rsidP="00BE147F">
      <w:pPr>
        <w:spacing w:after="120"/>
        <w:rPr>
          <w:bCs/>
          <w:noProof/>
        </w:rPr>
      </w:pPr>
      <w:r w:rsidRPr="00DA257A">
        <w:rPr>
          <w:noProof/>
        </w:rPr>
        <w:t>Kluczowym priorytetem pozostaje wdrożenie jednego</w:t>
      </w:r>
      <w:r w:rsidR="00DA257A" w:rsidRPr="00DA257A">
        <w:rPr>
          <w:noProof/>
        </w:rPr>
        <w:t xml:space="preserve"> z naj</w:t>
      </w:r>
      <w:r w:rsidRPr="00DA257A">
        <w:rPr>
          <w:noProof/>
        </w:rPr>
        <w:t>bardziej zaawansowanych technologicznie systemów zarządzania granicami na świecie</w:t>
      </w:r>
      <w:r w:rsidR="00DA257A" w:rsidRPr="00DA257A">
        <w:rPr>
          <w:noProof/>
        </w:rPr>
        <w:t>. W ost</w:t>
      </w:r>
      <w:r w:rsidRPr="00DA257A">
        <w:rPr>
          <w:noProof/>
        </w:rPr>
        <w:t>atnim roku państwa członkowskie, eu-LISA</w:t>
      </w:r>
      <w:r w:rsidRPr="00DA257A">
        <w:rPr>
          <w:rStyle w:val="FootnoteReference"/>
          <w:noProof/>
        </w:rPr>
        <w:footnoteReference w:id="11"/>
      </w:r>
      <w:r w:rsidR="00DA257A" w:rsidRPr="00DA257A">
        <w:rPr>
          <w:noProof/>
        </w:rPr>
        <w:t xml:space="preserve"> i Kom</w:t>
      </w:r>
      <w:r w:rsidRPr="00DA257A">
        <w:rPr>
          <w:noProof/>
        </w:rPr>
        <w:t xml:space="preserve">isja zwiększyły starania na rzecz wdrożenia </w:t>
      </w:r>
      <w:r w:rsidRPr="00DA257A">
        <w:rPr>
          <w:b/>
          <w:noProof/>
        </w:rPr>
        <w:t>nowej architektury informatycznej</w:t>
      </w:r>
      <w:r w:rsidR="00DA257A" w:rsidRPr="00DA257A">
        <w:rPr>
          <w:b/>
          <w:noProof/>
        </w:rPr>
        <w:t xml:space="preserve"> i int</w:t>
      </w:r>
      <w:r w:rsidRPr="00DA257A">
        <w:rPr>
          <w:b/>
          <w:noProof/>
        </w:rPr>
        <w:t>eroperacyjności</w:t>
      </w:r>
      <w:r w:rsidRPr="00DA257A">
        <w:rPr>
          <w:noProof/>
        </w:rPr>
        <w:t xml:space="preserve"> zgodnie</w:t>
      </w:r>
      <w:r w:rsidR="00DA257A" w:rsidRPr="00DA257A">
        <w:rPr>
          <w:noProof/>
        </w:rPr>
        <w:t xml:space="preserve"> z ust</w:t>
      </w:r>
      <w:r w:rsidRPr="00DA257A">
        <w:rPr>
          <w:noProof/>
        </w:rPr>
        <w:t>alonym harmonogramem. Obecnie niezwykle ważne jest zapewnienie, aby wszystkie zainteresowane strony podjęły niezbędne kroki</w:t>
      </w:r>
      <w:r w:rsidR="00DA257A" w:rsidRPr="00DA257A">
        <w:rPr>
          <w:noProof/>
        </w:rPr>
        <w:t xml:space="preserve"> w ram</w:t>
      </w:r>
      <w:r w:rsidRPr="00DA257A">
        <w:rPr>
          <w:noProof/>
        </w:rPr>
        <w:t>ach swoich obowiązków</w:t>
      </w:r>
      <w:r w:rsidR="00DA257A" w:rsidRPr="00DA257A">
        <w:rPr>
          <w:noProof/>
        </w:rPr>
        <w:t xml:space="preserve"> w cel</w:t>
      </w:r>
      <w:r w:rsidRPr="00DA257A">
        <w:rPr>
          <w:noProof/>
        </w:rPr>
        <w:t>u uniknięcia nowych opóźnień, które zagroziłyby ogólnemu harmonogramowi</w:t>
      </w:r>
      <w:r w:rsidRPr="00DA257A">
        <w:rPr>
          <w:rStyle w:val="FootnoteReference"/>
          <w:noProof/>
        </w:rPr>
        <w:footnoteReference w:id="12"/>
      </w:r>
      <w:r w:rsidRPr="00DA257A">
        <w:rPr>
          <w:noProof/>
        </w:rPr>
        <w:t xml:space="preserve"> przewidującemu wdrożenie pełnej nowej architektury</w:t>
      </w:r>
      <w:r w:rsidR="00DA257A" w:rsidRPr="00DA257A">
        <w:rPr>
          <w:noProof/>
        </w:rPr>
        <w:t xml:space="preserve"> i int</w:t>
      </w:r>
      <w:r w:rsidRPr="00DA257A">
        <w:rPr>
          <w:noProof/>
        </w:rPr>
        <w:t>eroperacyjności do końca 2023 roku. Opóźnienia</w:t>
      </w:r>
      <w:r w:rsidR="00DA257A" w:rsidRPr="00DA257A">
        <w:rPr>
          <w:noProof/>
        </w:rPr>
        <w:t xml:space="preserve"> w dos</w:t>
      </w:r>
      <w:r w:rsidRPr="00DA257A">
        <w:rPr>
          <w:noProof/>
        </w:rPr>
        <w:t>tawach, źle wyposażone przejścia graniczne</w:t>
      </w:r>
      <w:r w:rsidR="00DA257A" w:rsidRPr="00DA257A">
        <w:rPr>
          <w:noProof/>
        </w:rPr>
        <w:t xml:space="preserve"> i pro</w:t>
      </w:r>
      <w:r w:rsidRPr="00DA257A">
        <w:rPr>
          <w:noProof/>
        </w:rPr>
        <w:t>blemy</w:t>
      </w:r>
      <w:r w:rsidR="00DA257A" w:rsidRPr="00DA257A">
        <w:rPr>
          <w:noProof/>
        </w:rPr>
        <w:t xml:space="preserve"> z jak</w:t>
      </w:r>
      <w:r w:rsidRPr="00DA257A">
        <w:rPr>
          <w:noProof/>
        </w:rPr>
        <w:t>ością mogą wywołać efekt domina</w:t>
      </w:r>
      <w:r w:rsidR="00DA257A" w:rsidRPr="00DA257A">
        <w:rPr>
          <w:noProof/>
        </w:rPr>
        <w:t xml:space="preserve"> w odn</w:t>
      </w:r>
      <w:r w:rsidRPr="00DA257A">
        <w:rPr>
          <w:noProof/>
        </w:rPr>
        <w:t>iesieniu do innych systemów</w:t>
      </w:r>
      <w:r w:rsidR="00DA257A" w:rsidRPr="00DA257A">
        <w:rPr>
          <w:noProof/>
        </w:rPr>
        <w:t xml:space="preserve"> i fun</w:t>
      </w:r>
      <w:r w:rsidRPr="00DA257A">
        <w:rPr>
          <w:noProof/>
        </w:rPr>
        <w:t xml:space="preserve">kcji. </w:t>
      </w:r>
    </w:p>
    <w:p w14:paraId="4C2ABAC0" w14:textId="040148C1" w:rsidR="0036341A" w:rsidRPr="00DA257A" w:rsidRDefault="00310D64" w:rsidP="00BE147F">
      <w:pPr>
        <w:spacing w:after="120"/>
        <w:rPr>
          <w:noProof/>
        </w:rPr>
      </w:pPr>
      <w:r w:rsidRPr="00DA257A">
        <w:rPr>
          <w:noProof/>
        </w:rPr>
        <w:t>Podjęto ważne kroki</w:t>
      </w:r>
      <w:r w:rsidR="00DA257A" w:rsidRPr="00DA257A">
        <w:rPr>
          <w:noProof/>
        </w:rPr>
        <w:t xml:space="preserve"> w cel</w:t>
      </w:r>
      <w:r w:rsidRPr="00DA257A">
        <w:rPr>
          <w:noProof/>
        </w:rPr>
        <w:t>u zmodernizowania</w:t>
      </w:r>
      <w:r w:rsidR="00DA257A" w:rsidRPr="00DA257A">
        <w:rPr>
          <w:noProof/>
        </w:rPr>
        <w:t xml:space="preserve"> i usp</w:t>
      </w:r>
      <w:r w:rsidRPr="00DA257A">
        <w:rPr>
          <w:noProof/>
        </w:rPr>
        <w:t>rawnienia procesu składania</w:t>
      </w:r>
      <w:r w:rsidR="00DA257A" w:rsidRPr="00DA257A">
        <w:rPr>
          <w:noProof/>
        </w:rPr>
        <w:t xml:space="preserve"> i prz</w:t>
      </w:r>
      <w:r w:rsidRPr="00DA257A">
        <w:rPr>
          <w:noProof/>
        </w:rPr>
        <w:t>etwarzania wniosków wizowych,</w:t>
      </w:r>
      <w:r w:rsidR="00DA257A" w:rsidRPr="00DA257A">
        <w:rPr>
          <w:noProof/>
        </w:rPr>
        <w:t xml:space="preserve"> a jed</w:t>
      </w:r>
      <w:r w:rsidRPr="00DA257A">
        <w:rPr>
          <w:noProof/>
        </w:rPr>
        <w:t>nocześnie zwiększenia bezpieczeństwa strefy Schengen. Dokumenty elektroniczne są zarówno bardziej wydajne, jak</w:t>
      </w:r>
      <w:r w:rsidR="00DA257A" w:rsidRPr="00DA257A">
        <w:rPr>
          <w:noProof/>
        </w:rPr>
        <w:t xml:space="preserve"> i bez</w:t>
      </w:r>
      <w:r w:rsidRPr="00DA257A">
        <w:rPr>
          <w:noProof/>
        </w:rPr>
        <w:t>pieczne. 27 kwietnia 2022</w:t>
      </w:r>
      <w:r w:rsidR="007C7210" w:rsidRPr="00DA257A">
        <w:rPr>
          <w:noProof/>
        </w:rPr>
        <w:t> </w:t>
      </w:r>
      <w:r w:rsidRPr="00DA257A">
        <w:rPr>
          <w:noProof/>
        </w:rPr>
        <w:t>r. Komisja przedstawiła wniosek</w:t>
      </w:r>
      <w:r w:rsidR="00DA257A" w:rsidRPr="00DA257A">
        <w:rPr>
          <w:noProof/>
        </w:rPr>
        <w:t xml:space="preserve"> w spr</w:t>
      </w:r>
      <w:r w:rsidRPr="00DA257A">
        <w:rPr>
          <w:noProof/>
        </w:rPr>
        <w:t xml:space="preserve">awie </w:t>
      </w:r>
      <w:r w:rsidRPr="00DA257A">
        <w:rPr>
          <w:b/>
          <w:noProof/>
        </w:rPr>
        <w:t>cyfryzacji procedur wizowych</w:t>
      </w:r>
      <w:r w:rsidRPr="00DA257A">
        <w:rPr>
          <w:noProof/>
        </w:rPr>
        <w:t>.</w:t>
      </w:r>
    </w:p>
    <w:p w14:paraId="1E4B4380" w14:textId="5B4940CC" w:rsidR="00B03D9C" w:rsidRPr="00DA257A" w:rsidRDefault="00FF3425" w:rsidP="00BE147F">
      <w:pPr>
        <w:rPr>
          <w:noProof/>
        </w:rPr>
      </w:pPr>
      <w:r w:rsidRPr="00DA257A">
        <w:rPr>
          <w:noProof/>
        </w:rPr>
        <w:t>W grudniu 2021</w:t>
      </w:r>
      <w:r w:rsidR="007C7210" w:rsidRPr="00DA257A">
        <w:rPr>
          <w:noProof/>
        </w:rPr>
        <w:t> </w:t>
      </w:r>
      <w:r w:rsidRPr="00DA257A">
        <w:rPr>
          <w:noProof/>
        </w:rPr>
        <w:t>r. Komisja przyjęła zestaw wniosków</w:t>
      </w:r>
      <w:r w:rsidR="00DA257A" w:rsidRPr="00DA257A">
        <w:rPr>
          <w:noProof/>
        </w:rPr>
        <w:t xml:space="preserve"> w spr</w:t>
      </w:r>
      <w:r w:rsidRPr="00DA257A">
        <w:rPr>
          <w:noProof/>
        </w:rPr>
        <w:t>awie Schengen</w:t>
      </w:r>
      <w:r w:rsidR="00DA257A" w:rsidRPr="00DA257A">
        <w:rPr>
          <w:noProof/>
        </w:rPr>
        <w:t xml:space="preserve"> i wsp</w:t>
      </w:r>
      <w:r w:rsidRPr="00DA257A">
        <w:rPr>
          <w:noProof/>
        </w:rPr>
        <w:t xml:space="preserve">ółpracy policyjnej. Wniosek dotyczący zmiany </w:t>
      </w:r>
      <w:r w:rsidRPr="00DA257A">
        <w:rPr>
          <w:b/>
          <w:noProof/>
        </w:rPr>
        <w:t>kodeksu granicznego Schengen</w:t>
      </w:r>
      <w:r w:rsidR="009A3E7D" w:rsidRPr="00DA257A">
        <w:rPr>
          <w:rStyle w:val="FootnoteReference"/>
          <w:noProof/>
        </w:rPr>
        <w:footnoteReference w:id="13"/>
      </w:r>
      <w:r w:rsidRPr="00DA257A">
        <w:rPr>
          <w:noProof/>
        </w:rPr>
        <w:t xml:space="preserve"> ma na celu zwiększenie przejrzystości zasad dotyczących przywracania kontroli na granicach wewnętrznych</w:t>
      </w:r>
      <w:r w:rsidR="00DA257A" w:rsidRPr="00DA257A">
        <w:rPr>
          <w:noProof/>
        </w:rPr>
        <w:t xml:space="preserve"> i sto</w:t>
      </w:r>
      <w:r w:rsidRPr="00DA257A">
        <w:rPr>
          <w:noProof/>
        </w:rPr>
        <w:t>sowania środków alternatywnych. Zaproponowano</w:t>
      </w:r>
      <w:r w:rsidR="00DA257A" w:rsidRPr="00DA257A">
        <w:rPr>
          <w:noProof/>
        </w:rPr>
        <w:t xml:space="preserve"> w nim</w:t>
      </w:r>
      <w:r w:rsidRPr="00DA257A">
        <w:rPr>
          <w:noProof/>
        </w:rPr>
        <w:t xml:space="preserve"> także ustanowienie wspólnych narzędzi umożliwiających skuteczniejsze zarządzanie granicami zewnętrznymi</w:t>
      </w:r>
      <w:r w:rsidR="00DA257A" w:rsidRPr="00DA257A">
        <w:rPr>
          <w:noProof/>
        </w:rPr>
        <w:t xml:space="preserve"> w syt</w:t>
      </w:r>
      <w:r w:rsidRPr="00DA257A">
        <w:rPr>
          <w:noProof/>
        </w:rPr>
        <w:t>uacjach kryzysowych, np.</w:t>
      </w:r>
      <w:r w:rsidR="00DA257A" w:rsidRPr="00DA257A">
        <w:rPr>
          <w:noProof/>
        </w:rPr>
        <w:t xml:space="preserve"> w obl</w:t>
      </w:r>
      <w:r w:rsidRPr="00DA257A">
        <w:rPr>
          <w:noProof/>
        </w:rPr>
        <w:t>iczu kryzysu</w:t>
      </w:r>
      <w:r w:rsidR="00DA257A" w:rsidRPr="00DA257A">
        <w:rPr>
          <w:noProof/>
        </w:rPr>
        <w:t xml:space="preserve"> w dzi</w:t>
      </w:r>
      <w:r w:rsidRPr="00DA257A">
        <w:rPr>
          <w:noProof/>
        </w:rPr>
        <w:t>edzinie zdrowia publicznego lub</w:t>
      </w:r>
      <w:r w:rsidR="00DA257A" w:rsidRPr="00DA257A">
        <w:rPr>
          <w:noProof/>
        </w:rPr>
        <w:t xml:space="preserve"> w syt</w:t>
      </w:r>
      <w:r w:rsidRPr="00DA257A">
        <w:rPr>
          <w:noProof/>
        </w:rPr>
        <w:t xml:space="preserve">uacji, gdy migranci są instrumentalnie wykorzystywani do celów politycznych. </w:t>
      </w:r>
    </w:p>
    <w:p w14:paraId="4869409E" w14:textId="6CC91144" w:rsidR="00AD7B8D" w:rsidRPr="00DA257A" w:rsidRDefault="00AD7B8D" w:rsidP="006E7B16">
      <w:pPr>
        <w:rPr>
          <w:noProof/>
        </w:rPr>
      </w:pPr>
      <w:r w:rsidRPr="00DA257A">
        <w:rPr>
          <w:noProof/>
        </w:rPr>
        <w:t>Uzupełnieniem tych środków są wnioski ustawodawcze mające na celu wzmocnienie bezpieczeństwa wewnętrznego Unii Europejskiej zgodnie ze strategią</w:t>
      </w:r>
      <w:r w:rsidR="00DA257A" w:rsidRPr="00DA257A">
        <w:rPr>
          <w:noProof/>
        </w:rPr>
        <w:t xml:space="preserve"> w zak</w:t>
      </w:r>
      <w:r w:rsidRPr="00DA257A">
        <w:rPr>
          <w:noProof/>
        </w:rPr>
        <w:t xml:space="preserve">resie unii bezpieczeństwa. </w:t>
      </w:r>
      <w:r w:rsidRPr="00DA257A">
        <w:rPr>
          <w:b/>
          <w:noProof/>
        </w:rPr>
        <w:t>Wnioski</w:t>
      </w:r>
      <w:r w:rsidR="00DA257A" w:rsidRPr="00DA257A">
        <w:rPr>
          <w:b/>
          <w:noProof/>
        </w:rPr>
        <w:t xml:space="preserve"> w spr</w:t>
      </w:r>
      <w:r w:rsidRPr="00DA257A">
        <w:rPr>
          <w:b/>
          <w:noProof/>
        </w:rPr>
        <w:t>awie współpracy policyjnej</w:t>
      </w:r>
      <w:r w:rsidR="00C967A2" w:rsidRPr="00DA257A">
        <w:rPr>
          <w:rStyle w:val="FootnoteReference"/>
          <w:b/>
          <w:noProof/>
        </w:rPr>
        <w:footnoteReference w:id="14"/>
      </w:r>
      <w:r w:rsidRPr="00DA257A">
        <w:rPr>
          <w:noProof/>
        </w:rPr>
        <w:t xml:space="preserve"> przewidują spójne ramy prawne UE, które zapewnią organom ścigania odpowiedni dostęp do informacji będących</w:t>
      </w:r>
      <w:r w:rsidR="00DA257A" w:rsidRPr="00DA257A">
        <w:rPr>
          <w:noProof/>
        </w:rPr>
        <w:t xml:space="preserve"> w pos</w:t>
      </w:r>
      <w:r w:rsidRPr="00DA257A">
        <w:rPr>
          <w:noProof/>
        </w:rPr>
        <w:t>iadaniu innych państw członkowskich</w:t>
      </w:r>
      <w:r w:rsidR="00DA257A" w:rsidRPr="00DA257A">
        <w:rPr>
          <w:noProof/>
        </w:rPr>
        <w:t xml:space="preserve"> w cel</w:t>
      </w:r>
      <w:r w:rsidRPr="00DA257A">
        <w:rPr>
          <w:noProof/>
        </w:rPr>
        <w:t>u zwalczania przestępczości</w:t>
      </w:r>
      <w:r w:rsidR="00DA257A" w:rsidRPr="00DA257A">
        <w:rPr>
          <w:noProof/>
        </w:rPr>
        <w:t xml:space="preserve"> i ter</w:t>
      </w:r>
      <w:r w:rsidRPr="00DA257A">
        <w:rPr>
          <w:noProof/>
        </w:rPr>
        <w:t>roryzmu. Efektywna</w:t>
      </w:r>
      <w:r w:rsidR="00DA257A" w:rsidRPr="00DA257A">
        <w:rPr>
          <w:noProof/>
        </w:rPr>
        <w:t xml:space="preserve"> i spr</w:t>
      </w:r>
      <w:r w:rsidRPr="00DA257A">
        <w:rPr>
          <w:noProof/>
        </w:rPr>
        <w:t>awna współpraca policyjna przyczyni się do skuteczniejszego zapobiegania przestępstwom w UE, ich wykrywania</w:t>
      </w:r>
      <w:r w:rsidR="00DA257A" w:rsidRPr="00DA257A">
        <w:rPr>
          <w:noProof/>
        </w:rPr>
        <w:t xml:space="preserve"> i pro</w:t>
      </w:r>
      <w:r w:rsidRPr="00DA257A">
        <w:rPr>
          <w:noProof/>
        </w:rPr>
        <w:t>wadzenia dochodzeń</w:t>
      </w:r>
      <w:r w:rsidR="00DA257A" w:rsidRPr="00DA257A">
        <w:rPr>
          <w:noProof/>
        </w:rPr>
        <w:t xml:space="preserve"> w ich</w:t>
      </w:r>
      <w:r w:rsidRPr="00DA257A">
        <w:rPr>
          <w:noProof/>
        </w:rPr>
        <w:t xml:space="preserve"> sprawie, co</w:t>
      </w:r>
      <w:r w:rsidR="00DA257A" w:rsidRPr="00DA257A">
        <w:rPr>
          <w:noProof/>
        </w:rPr>
        <w:t xml:space="preserve"> z kol</w:t>
      </w:r>
      <w:r w:rsidRPr="00DA257A">
        <w:rPr>
          <w:noProof/>
        </w:rPr>
        <w:t>ei zwiększy bezpieczeństwo wszystkich osób mieszkających</w:t>
      </w:r>
      <w:r w:rsidR="00DA257A" w:rsidRPr="00DA257A">
        <w:rPr>
          <w:noProof/>
        </w:rPr>
        <w:t xml:space="preserve"> i prz</w:t>
      </w:r>
      <w:r w:rsidRPr="00DA257A">
        <w:rPr>
          <w:noProof/>
        </w:rPr>
        <w:t>emieszczających się</w:t>
      </w:r>
      <w:r w:rsidR="00DA257A" w:rsidRPr="00DA257A">
        <w:rPr>
          <w:noProof/>
        </w:rPr>
        <w:t xml:space="preserve"> w str</w:t>
      </w:r>
      <w:r w:rsidRPr="00DA257A">
        <w:rPr>
          <w:noProof/>
        </w:rPr>
        <w:t>efie Schengen. Wspólne standardy dotyczące wspólnych patroli ułatwią pracę funkcjonariuszy policji uczestniczących</w:t>
      </w:r>
      <w:r w:rsidR="00DA257A" w:rsidRPr="00DA257A">
        <w:rPr>
          <w:noProof/>
        </w:rPr>
        <w:t xml:space="preserve"> w dzi</w:t>
      </w:r>
      <w:r w:rsidRPr="00DA257A">
        <w:rPr>
          <w:noProof/>
        </w:rPr>
        <w:t>ałaniach</w:t>
      </w:r>
      <w:r w:rsidR="00DA257A" w:rsidRPr="00DA257A">
        <w:rPr>
          <w:noProof/>
        </w:rPr>
        <w:t xml:space="preserve"> i pro</w:t>
      </w:r>
      <w:r w:rsidRPr="00DA257A">
        <w:rPr>
          <w:noProof/>
        </w:rPr>
        <w:t>wadzących działania na terytorium innych państw UE,</w:t>
      </w:r>
      <w:r w:rsidR="00DA257A" w:rsidRPr="00DA257A">
        <w:rPr>
          <w:noProof/>
        </w:rPr>
        <w:t xml:space="preserve"> a tak</w:t>
      </w:r>
      <w:r w:rsidRPr="00DA257A">
        <w:rPr>
          <w:noProof/>
        </w:rPr>
        <w:t>że będą sprzyjać wspólnej unijnej kulturze działań policji. Szybkie postępy</w:t>
      </w:r>
      <w:r w:rsidR="00DA257A" w:rsidRPr="00DA257A">
        <w:rPr>
          <w:noProof/>
        </w:rPr>
        <w:t xml:space="preserve"> w rea</w:t>
      </w:r>
      <w:r w:rsidRPr="00DA257A">
        <w:rPr>
          <w:noProof/>
        </w:rPr>
        <w:t>lizacji tego porozumienia przyczynią się do zapewnienia sprawnego funkcjonowania strefy Schengen. Przewiduje się, że proces negocjacyjny zakończy się</w:t>
      </w:r>
      <w:r w:rsidR="00DA257A" w:rsidRPr="00DA257A">
        <w:rPr>
          <w:noProof/>
        </w:rPr>
        <w:t xml:space="preserve"> w 2</w:t>
      </w:r>
      <w:r w:rsidRPr="00DA257A">
        <w:rPr>
          <w:noProof/>
        </w:rPr>
        <w:t>023</w:t>
      </w:r>
      <w:r w:rsidR="007C7210" w:rsidRPr="00DA257A">
        <w:rPr>
          <w:noProof/>
        </w:rPr>
        <w:t> </w:t>
      </w:r>
      <w:r w:rsidRPr="00DA257A">
        <w:rPr>
          <w:noProof/>
        </w:rPr>
        <w:t xml:space="preserve">r. </w:t>
      </w:r>
    </w:p>
    <w:p w14:paraId="08E0D34E" w14:textId="1A55E0DE" w:rsidR="001F1CC1" w:rsidRPr="00DA257A" w:rsidRDefault="00A520B7" w:rsidP="00100A7B">
      <w:pPr>
        <w:spacing w:after="120"/>
        <w:rPr>
          <w:noProof/>
        </w:rPr>
      </w:pPr>
      <w:r w:rsidRPr="00DA257A">
        <w:rPr>
          <w:noProof/>
        </w:rPr>
        <w:t>Zwiększenie bezpieczeństwa na obszarze bez kontroli na granicach wewnętrznych wymaga bezpiecznych granic zewnętrznych. Od 2017</w:t>
      </w:r>
      <w:r w:rsidR="007C7210" w:rsidRPr="00DA257A">
        <w:rPr>
          <w:noProof/>
        </w:rPr>
        <w:t> </w:t>
      </w:r>
      <w:r w:rsidRPr="00DA257A">
        <w:rPr>
          <w:noProof/>
        </w:rPr>
        <w:t>r. państwa członkowskie</w:t>
      </w:r>
      <w:r w:rsidR="00DA257A" w:rsidRPr="00DA257A">
        <w:rPr>
          <w:noProof/>
        </w:rPr>
        <w:t xml:space="preserve"> i pań</w:t>
      </w:r>
      <w:r w:rsidRPr="00DA257A">
        <w:rPr>
          <w:noProof/>
        </w:rPr>
        <w:t>stwa stowarzyszone</w:t>
      </w:r>
      <w:r w:rsidR="00DA257A" w:rsidRPr="00DA257A">
        <w:rPr>
          <w:noProof/>
        </w:rPr>
        <w:t xml:space="preserve"> w ram</w:t>
      </w:r>
      <w:r w:rsidRPr="00DA257A">
        <w:rPr>
          <w:noProof/>
        </w:rPr>
        <w:t xml:space="preserve">ach Schengen są zobowiązane do przeprowadzania </w:t>
      </w:r>
      <w:r w:rsidRPr="00DA257A">
        <w:rPr>
          <w:b/>
          <w:noProof/>
        </w:rPr>
        <w:t>systematycznych odpraw wszystkich osób przekraczających granice zewnętrzne UE</w:t>
      </w:r>
      <w:r w:rsidR="00A01323" w:rsidRPr="00DA257A">
        <w:rPr>
          <w:rStyle w:val="FootnoteReference"/>
          <w:b/>
          <w:noProof/>
        </w:rPr>
        <w:footnoteReference w:id="15"/>
      </w:r>
      <w:r w:rsidRPr="00DA257A">
        <w:rPr>
          <w:b/>
          <w:noProof/>
        </w:rPr>
        <w:t>,</w:t>
      </w:r>
      <w:r w:rsidR="00DA257A" w:rsidRPr="00DA257A">
        <w:rPr>
          <w:b/>
          <w:noProof/>
        </w:rPr>
        <w:t xml:space="preserve"> </w:t>
      </w:r>
      <w:r w:rsidR="00DA257A" w:rsidRPr="00DA257A">
        <w:rPr>
          <w:noProof/>
        </w:rPr>
        <w:t>w</w:t>
      </w:r>
      <w:r w:rsidR="00DA257A" w:rsidRPr="00DA257A">
        <w:rPr>
          <w:b/>
          <w:noProof/>
        </w:rPr>
        <w:t> </w:t>
      </w:r>
      <w:r w:rsidR="00DA257A" w:rsidRPr="00DA257A">
        <w:rPr>
          <w:noProof/>
        </w:rPr>
        <w:t>tym</w:t>
      </w:r>
      <w:r w:rsidRPr="00DA257A">
        <w:rPr>
          <w:noProof/>
        </w:rPr>
        <w:t xml:space="preserve"> osób korzystających</w:t>
      </w:r>
      <w:r w:rsidR="00DA257A" w:rsidRPr="00DA257A">
        <w:rPr>
          <w:noProof/>
        </w:rPr>
        <w:t xml:space="preserve"> z pra</w:t>
      </w:r>
      <w:r w:rsidRPr="00DA257A">
        <w:rPr>
          <w:noProof/>
        </w:rPr>
        <w:t>wa do swobodnego przemieszczania się,</w:t>
      </w:r>
      <w:r w:rsidR="00DA257A" w:rsidRPr="00DA257A">
        <w:rPr>
          <w:noProof/>
        </w:rPr>
        <w:t xml:space="preserve"> </w:t>
      </w:r>
      <w:r w:rsidR="00DA257A" w:rsidRPr="00DA257A">
        <w:rPr>
          <w:b/>
          <w:bCs/>
          <w:noProof/>
        </w:rPr>
        <w:t>z</w:t>
      </w:r>
      <w:r w:rsidR="00DA257A" w:rsidRPr="00DA257A">
        <w:rPr>
          <w:noProof/>
        </w:rPr>
        <w:t> </w:t>
      </w:r>
      <w:r w:rsidR="00DA257A" w:rsidRPr="00DA257A">
        <w:rPr>
          <w:b/>
          <w:bCs/>
          <w:noProof/>
        </w:rPr>
        <w:t>wyk</w:t>
      </w:r>
      <w:r w:rsidRPr="00DA257A">
        <w:rPr>
          <w:b/>
          <w:bCs/>
          <w:noProof/>
        </w:rPr>
        <w:t>orzystaniem odpowiednich baz danych</w:t>
      </w:r>
      <w:r w:rsidRPr="00DA257A">
        <w:rPr>
          <w:noProof/>
        </w:rPr>
        <w:t>. Środek ten miał na celu wzmocnienie bezpieczeństwa wewnętrznego UE</w:t>
      </w:r>
      <w:r w:rsidR="00DA257A" w:rsidRPr="00DA257A">
        <w:rPr>
          <w:noProof/>
        </w:rPr>
        <w:t xml:space="preserve"> w zwi</w:t>
      </w:r>
      <w:r w:rsidRPr="00DA257A">
        <w:rPr>
          <w:noProof/>
        </w:rPr>
        <w:t>ązku</w:t>
      </w:r>
      <w:r w:rsidR="00DA257A" w:rsidRPr="00DA257A">
        <w:rPr>
          <w:noProof/>
        </w:rPr>
        <w:t xml:space="preserve"> z ust</w:t>
      </w:r>
      <w:r w:rsidRPr="00DA257A">
        <w:rPr>
          <w:noProof/>
        </w:rPr>
        <w:t>aleniami, że wśród zagranicznych bojowników terrorystycznych powracających do UE są obywatele UE. Wdrożenie</w:t>
      </w:r>
      <w:r w:rsidR="00DA257A" w:rsidRPr="00DA257A">
        <w:rPr>
          <w:noProof/>
        </w:rPr>
        <w:t xml:space="preserve"> i wpł</w:t>
      </w:r>
      <w:r w:rsidRPr="00DA257A">
        <w:rPr>
          <w:noProof/>
        </w:rPr>
        <w:t>yw tych systematycznych odpraw przeanalizowano</w:t>
      </w:r>
      <w:r w:rsidR="00DA257A" w:rsidRPr="00DA257A">
        <w:rPr>
          <w:noProof/>
        </w:rPr>
        <w:t xml:space="preserve"> w spr</w:t>
      </w:r>
      <w:r w:rsidRPr="00DA257A">
        <w:rPr>
          <w:noProof/>
        </w:rPr>
        <w:t>awozdaniu dla Parlamentu Europejskiego</w:t>
      </w:r>
      <w:r w:rsidR="00DA257A" w:rsidRPr="00DA257A">
        <w:rPr>
          <w:noProof/>
        </w:rPr>
        <w:t xml:space="preserve"> i Rad</w:t>
      </w:r>
      <w:r w:rsidRPr="00DA257A">
        <w:rPr>
          <w:noProof/>
        </w:rPr>
        <w:t>y. Stwierdzono</w:t>
      </w:r>
      <w:r w:rsidR="00DA257A" w:rsidRPr="00DA257A">
        <w:rPr>
          <w:noProof/>
        </w:rPr>
        <w:t xml:space="preserve"> w nim</w:t>
      </w:r>
      <w:r w:rsidRPr="00DA257A">
        <w:rPr>
          <w:noProof/>
        </w:rPr>
        <w:t>, że stosowanie systematycznych odpraw –</w:t>
      </w:r>
      <w:r w:rsidR="00DA257A" w:rsidRPr="00DA257A">
        <w:rPr>
          <w:noProof/>
        </w:rPr>
        <w:t xml:space="preserve"> z wyk</w:t>
      </w:r>
      <w:r w:rsidRPr="00DA257A">
        <w:rPr>
          <w:noProof/>
        </w:rPr>
        <w:t>orzystaniem odpowiednich baz danych – osób korzystających</w:t>
      </w:r>
      <w:r w:rsidR="00DA257A" w:rsidRPr="00DA257A">
        <w:rPr>
          <w:noProof/>
        </w:rPr>
        <w:t xml:space="preserve"> z pra</w:t>
      </w:r>
      <w:r w:rsidRPr="00DA257A">
        <w:rPr>
          <w:noProof/>
        </w:rPr>
        <w:t>wa do swobodnego przemieszczania się na mocy prawa UE wypełniło istotną lukę regulacyjną pomimo wyzwań, jakie państwa członkowskie napotykają przy wdrażaniu tych zasad. Komisja zamierza odnieść się do tych wyzwań</w:t>
      </w:r>
      <w:r w:rsidR="00DA257A" w:rsidRPr="00DA257A">
        <w:rPr>
          <w:noProof/>
        </w:rPr>
        <w:t xml:space="preserve"> i udz</w:t>
      </w:r>
      <w:r w:rsidRPr="00DA257A">
        <w:rPr>
          <w:noProof/>
        </w:rPr>
        <w:t>ielić wsparcia państwom członkowskim przy pomocy „prawa miękkiego”,</w:t>
      </w:r>
      <w:r w:rsidR="00DA257A" w:rsidRPr="00DA257A">
        <w:rPr>
          <w:noProof/>
        </w:rPr>
        <w:t xml:space="preserve"> w szc</w:t>
      </w:r>
      <w:r w:rsidRPr="00DA257A">
        <w:rPr>
          <w:noProof/>
        </w:rPr>
        <w:t>zególności poprzez zaplanowany przegląd Praktycznego podręcznika dla straży granicznej</w:t>
      </w:r>
      <w:r w:rsidR="009D03DF" w:rsidRPr="00DA257A">
        <w:rPr>
          <w:rStyle w:val="FootnoteReference"/>
          <w:noProof/>
        </w:rPr>
        <w:footnoteReference w:id="16"/>
      </w:r>
      <w:r w:rsidRPr="00DA257A">
        <w:rPr>
          <w:noProof/>
        </w:rPr>
        <w:t>,</w:t>
      </w:r>
      <w:r w:rsidR="00DA257A" w:rsidRPr="00DA257A">
        <w:rPr>
          <w:noProof/>
        </w:rPr>
        <w:t xml:space="preserve"> z któ</w:t>
      </w:r>
      <w:r w:rsidRPr="00DA257A">
        <w:rPr>
          <w:noProof/>
        </w:rPr>
        <w:t>rego korzystają właściwe organy państw członkowskich przy przeprowadzaniu odpraw na granicach.</w:t>
      </w:r>
    </w:p>
    <w:tbl>
      <w:tblPr>
        <w:tblStyle w:val="TableGrid"/>
        <w:tblW w:w="0" w:type="auto"/>
        <w:tblInd w:w="108" w:type="dxa"/>
        <w:tblLook w:val="04A0" w:firstRow="1" w:lastRow="0" w:firstColumn="1" w:lastColumn="0" w:noHBand="0" w:noVBand="1"/>
      </w:tblPr>
      <w:tblGrid>
        <w:gridCol w:w="9441"/>
      </w:tblGrid>
      <w:tr w:rsidR="00EB6791" w:rsidRPr="00DA257A" w14:paraId="1CFF9694" w14:textId="77777777" w:rsidTr="0041695E">
        <w:tc>
          <w:tcPr>
            <w:tcW w:w="9441" w:type="dxa"/>
          </w:tcPr>
          <w:p w14:paraId="73349D2A" w14:textId="0C5496E8" w:rsidR="00EB6791" w:rsidRPr="00DA257A" w:rsidRDefault="0093729B" w:rsidP="001D33F1">
            <w:pPr>
              <w:spacing w:after="120"/>
              <w:rPr>
                <w:b/>
                <w:bCs/>
                <w:noProof/>
                <w:sz w:val="22"/>
                <w:szCs w:val="22"/>
                <w:u w:val="single"/>
              </w:rPr>
            </w:pPr>
            <w:r w:rsidRPr="00DA257A">
              <w:rPr>
                <w:b/>
                <w:noProof/>
                <w:sz w:val="22"/>
                <w:u w:val="single"/>
              </w:rPr>
              <w:t>Ramka 2. Europejska Straż Graniczna</w:t>
            </w:r>
            <w:r w:rsidR="00DA257A" w:rsidRPr="00DA257A">
              <w:rPr>
                <w:b/>
                <w:noProof/>
                <w:sz w:val="22"/>
                <w:u w:val="single"/>
              </w:rPr>
              <w:t xml:space="preserve"> i Prz</w:t>
            </w:r>
            <w:r w:rsidRPr="00DA257A">
              <w:rPr>
                <w:b/>
                <w:noProof/>
                <w:sz w:val="22"/>
                <w:u w:val="single"/>
              </w:rPr>
              <w:t>ybrzeżna – najważniejsze zmiany</w:t>
            </w:r>
          </w:p>
          <w:p w14:paraId="447E3870" w14:textId="40D104BC" w:rsidR="007B362E" w:rsidRPr="00DA257A" w:rsidRDefault="00481D7F" w:rsidP="00CC703D">
            <w:pPr>
              <w:pStyle w:val="ListParagraph"/>
              <w:numPr>
                <w:ilvl w:val="0"/>
                <w:numId w:val="34"/>
              </w:numPr>
              <w:spacing w:after="120"/>
              <w:rPr>
                <w:noProof/>
                <w:sz w:val="22"/>
                <w:szCs w:val="22"/>
              </w:rPr>
            </w:pPr>
            <w:r w:rsidRPr="00DA257A">
              <w:rPr>
                <w:noProof/>
                <w:sz w:val="22"/>
              </w:rPr>
              <w:t>Poczyniono istotne postępy</w:t>
            </w:r>
            <w:r w:rsidR="00DA257A" w:rsidRPr="00DA257A">
              <w:rPr>
                <w:noProof/>
                <w:sz w:val="22"/>
              </w:rPr>
              <w:t xml:space="preserve"> w zak</w:t>
            </w:r>
            <w:r w:rsidRPr="00DA257A">
              <w:rPr>
                <w:noProof/>
                <w:sz w:val="22"/>
              </w:rPr>
              <w:t>resie wdrożenia rozporządzenia</w:t>
            </w:r>
            <w:r w:rsidR="00DA257A" w:rsidRPr="00DA257A">
              <w:rPr>
                <w:noProof/>
                <w:sz w:val="22"/>
              </w:rPr>
              <w:t xml:space="preserve"> w spr</w:t>
            </w:r>
            <w:r w:rsidRPr="00DA257A">
              <w:rPr>
                <w:noProof/>
                <w:sz w:val="22"/>
              </w:rPr>
              <w:t>awie Europejskiej Straży Granicznej</w:t>
            </w:r>
            <w:r w:rsidR="00DA257A" w:rsidRPr="00DA257A">
              <w:rPr>
                <w:noProof/>
                <w:sz w:val="22"/>
              </w:rPr>
              <w:t xml:space="preserve"> i Prz</w:t>
            </w:r>
            <w:r w:rsidRPr="00DA257A">
              <w:rPr>
                <w:noProof/>
                <w:sz w:val="22"/>
              </w:rPr>
              <w:t>ybrzeżnej</w:t>
            </w:r>
            <w:r w:rsidR="00DA257A" w:rsidRPr="00DA257A">
              <w:rPr>
                <w:noProof/>
                <w:sz w:val="22"/>
              </w:rPr>
              <w:t xml:space="preserve"> z 2</w:t>
            </w:r>
            <w:r w:rsidRPr="00DA257A">
              <w:rPr>
                <w:noProof/>
                <w:sz w:val="22"/>
              </w:rPr>
              <w:t>019</w:t>
            </w:r>
            <w:r w:rsidR="007C7210" w:rsidRPr="00DA257A">
              <w:rPr>
                <w:noProof/>
                <w:sz w:val="22"/>
              </w:rPr>
              <w:t> </w:t>
            </w:r>
            <w:r w:rsidRPr="00DA257A">
              <w:rPr>
                <w:noProof/>
                <w:sz w:val="22"/>
              </w:rPr>
              <w:t>r.</w:t>
            </w:r>
            <w:r w:rsidRPr="00DA257A">
              <w:rPr>
                <w:rStyle w:val="FootnoteReference"/>
                <w:noProof/>
                <w:sz w:val="22"/>
                <w:szCs w:val="22"/>
              </w:rPr>
              <w:footnoteReference w:id="17"/>
            </w:r>
            <w:r w:rsidRPr="00DA257A">
              <w:rPr>
                <w:noProof/>
                <w:sz w:val="22"/>
              </w:rPr>
              <w:t xml:space="preserve"> </w:t>
            </w:r>
          </w:p>
          <w:p w14:paraId="3947F4FC" w14:textId="10EDC808" w:rsidR="007B362E" w:rsidRPr="00DA257A" w:rsidRDefault="00326363" w:rsidP="00CC703D">
            <w:pPr>
              <w:pStyle w:val="ListParagraph"/>
              <w:numPr>
                <w:ilvl w:val="0"/>
                <w:numId w:val="34"/>
              </w:numPr>
              <w:spacing w:after="120"/>
              <w:rPr>
                <w:noProof/>
                <w:sz w:val="22"/>
                <w:szCs w:val="22"/>
              </w:rPr>
            </w:pPr>
            <w:r w:rsidRPr="00DA257A">
              <w:rPr>
                <w:noProof/>
                <w:sz w:val="22"/>
              </w:rPr>
              <w:t>Od 1 stycznia 2021</w:t>
            </w:r>
            <w:r w:rsidR="007C7210" w:rsidRPr="00DA257A">
              <w:rPr>
                <w:noProof/>
                <w:sz w:val="22"/>
              </w:rPr>
              <w:t> </w:t>
            </w:r>
            <w:r w:rsidRPr="00DA257A">
              <w:rPr>
                <w:noProof/>
                <w:sz w:val="22"/>
              </w:rPr>
              <w:t>r. poprzez działania stałej służby Europejskiej Straży Granicznej</w:t>
            </w:r>
            <w:r w:rsidR="00DA257A" w:rsidRPr="00DA257A">
              <w:rPr>
                <w:noProof/>
                <w:sz w:val="22"/>
              </w:rPr>
              <w:t xml:space="preserve"> i Prz</w:t>
            </w:r>
            <w:r w:rsidRPr="00DA257A">
              <w:rPr>
                <w:noProof/>
                <w:sz w:val="22"/>
              </w:rPr>
              <w:t>ybrzeżnej Frontex wspiera państwa członkowskie</w:t>
            </w:r>
            <w:r w:rsidR="00DA257A" w:rsidRPr="00DA257A">
              <w:rPr>
                <w:noProof/>
                <w:sz w:val="22"/>
              </w:rPr>
              <w:t xml:space="preserve"> w och</w:t>
            </w:r>
            <w:r w:rsidRPr="00DA257A">
              <w:rPr>
                <w:noProof/>
                <w:sz w:val="22"/>
              </w:rPr>
              <w:t>ronie granic zewnętrznych</w:t>
            </w:r>
            <w:r w:rsidR="00DA257A" w:rsidRPr="00DA257A">
              <w:rPr>
                <w:noProof/>
                <w:sz w:val="22"/>
              </w:rPr>
              <w:t xml:space="preserve"> i w org</w:t>
            </w:r>
            <w:r w:rsidRPr="00DA257A">
              <w:rPr>
                <w:noProof/>
                <w:sz w:val="22"/>
              </w:rPr>
              <w:t>anizowaniu powrotów</w:t>
            </w:r>
            <w:r w:rsidR="00DA257A" w:rsidRPr="00DA257A">
              <w:rPr>
                <w:noProof/>
                <w:sz w:val="22"/>
              </w:rPr>
              <w:t>. W skł</w:t>
            </w:r>
            <w:r w:rsidRPr="00DA257A">
              <w:rPr>
                <w:noProof/>
                <w:sz w:val="22"/>
              </w:rPr>
              <w:t>ad stałej służby wchodzi obecnie ponad 6 000 funkcjonariuszy, a do</w:t>
            </w:r>
            <w:r w:rsidR="007C7210" w:rsidRPr="00DA257A">
              <w:rPr>
                <w:noProof/>
                <w:sz w:val="22"/>
              </w:rPr>
              <w:t> </w:t>
            </w:r>
            <w:r w:rsidRPr="00DA257A">
              <w:rPr>
                <w:noProof/>
                <w:sz w:val="22"/>
              </w:rPr>
              <w:t>2027</w:t>
            </w:r>
            <w:r w:rsidR="007C7210" w:rsidRPr="00DA257A">
              <w:rPr>
                <w:noProof/>
                <w:sz w:val="22"/>
              </w:rPr>
              <w:t> </w:t>
            </w:r>
            <w:r w:rsidRPr="00DA257A">
              <w:rPr>
                <w:noProof/>
                <w:sz w:val="22"/>
              </w:rPr>
              <w:t>r. osiągnie ona pełną zdolność do działania</w:t>
            </w:r>
            <w:r w:rsidR="00DA257A" w:rsidRPr="00DA257A">
              <w:rPr>
                <w:noProof/>
                <w:sz w:val="22"/>
              </w:rPr>
              <w:t xml:space="preserve"> i będ</w:t>
            </w:r>
            <w:r w:rsidRPr="00DA257A">
              <w:rPr>
                <w:noProof/>
                <w:sz w:val="22"/>
              </w:rPr>
              <w:t>zie liczyć 10 000 funkcjonariuszy. Obecnie Frontex każdego dnia oddelegowuje średnio 2 000 funkcjonariuszy na lądowe, morskie</w:t>
            </w:r>
            <w:r w:rsidR="00DA257A" w:rsidRPr="00DA257A">
              <w:rPr>
                <w:noProof/>
                <w:sz w:val="22"/>
              </w:rPr>
              <w:t xml:space="preserve"> i pow</w:t>
            </w:r>
            <w:r w:rsidRPr="00DA257A">
              <w:rPr>
                <w:noProof/>
                <w:sz w:val="22"/>
              </w:rPr>
              <w:t xml:space="preserve">ietrzne granice zewnętrzne oraz do służby przy operacjach wsparcia powrotów. </w:t>
            </w:r>
          </w:p>
          <w:p w14:paraId="188E284A" w14:textId="6CC1CF02" w:rsidR="00481D7F" w:rsidRPr="00DA257A" w:rsidRDefault="00481D7F" w:rsidP="00CC703D">
            <w:pPr>
              <w:pStyle w:val="ListParagraph"/>
              <w:numPr>
                <w:ilvl w:val="0"/>
                <w:numId w:val="34"/>
              </w:numPr>
              <w:spacing w:after="120"/>
              <w:rPr>
                <w:noProof/>
                <w:sz w:val="22"/>
                <w:szCs w:val="22"/>
              </w:rPr>
            </w:pPr>
            <w:r w:rsidRPr="00DA257A">
              <w:rPr>
                <w:noProof/>
                <w:sz w:val="22"/>
              </w:rPr>
              <w:t>Celem nowego cyklu polityki strategicznej będzie zagwarantowanie skutecznego</w:t>
            </w:r>
            <w:r w:rsidR="00DA257A" w:rsidRPr="00DA257A">
              <w:rPr>
                <w:noProof/>
                <w:sz w:val="22"/>
              </w:rPr>
              <w:t xml:space="preserve"> i spó</w:t>
            </w:r>
            <w:r w:rsidRPr="00DA257A">
              <w:rPr>
                <w:noProof/>
                <w:sz w:val="22"/>
              </w:rPr>
              <w:t>jnego wykorzystania Europejskiej Straży Granicznej</w:t>
            </w:r>
            <w:r w:rsidR="00DA257A" w:rsidRPr="00DA257A">
              <w:rPr>
                <w:noProof/>
                <w:sz w:val="22"/>
              </w:rPr>
              <w:t xml:space="preserve"> i Prz</w:t>
            </w:r>
            <w:r w:rsidRPr="00DA257A">
              <w:rPr>
                <w:noProof/>
                <w:sz w:val="22"/>
              </w:rPr>
              <w:t>ybrzeżnej poprzez zaangażowanie we wspólne działania ponad 120 000 funkcjonariuszy straży granicznej</w:t>
            </w:r>
            <w:r w:rsidR="00DA257A" w:rsidRPr="00DA257A">
              <w:rPr>
                <w:noProof/>
                <w:sz w:val="22"/>
              </w:rPr>
              <w:t xml:space="preserve"> i prz</w:t>
            </w:r>
            <w:r w:rsidRPr="00DA257A">
              <w:rPr>
                <w:noProof/>
                <w:sz w:val="22"/>
              </w:rPr>
              <w:t>ybrzeżnej oraz ekspertów ds. powrotów</w:t>
            </w:r>
            <w:r w:rsidR="00DA257A" w:rsidRPr="00DA257A">
              <w:rPr>
                <w:noProof/>
                <w:sz w:val="22"/>
              </w:rPr>
              <w:t xml:space="preserve"> z pań</w:t>
            </w:r>
            <w:r w:rsidRPr="00DA257A">
              <w:rPr>
                <w:noProof/>
                <w:sz w:val="22"/>
              </w:rPr>
              <w:t>stw członkowskich</w:t>
            </w:r>
            <w:r w:rsidR="00DA257A" w:rsidRPr="00DA257A">
              <w:rPr>
                <w:noProof/>
                <w:sz w:val="22"/>
              </w:rPr>
              <w:t xml:space="preserve"> i Fro</w:t>
            </w:r>
            <w:r w:rsidRPr="00DA257A">
              <w:rPr>
                <w:noProof/>
                <w:sz w:val="22"/>
              </w:rPr>
              <w:t>ntexu. Ramy te pozwolą lepiej powiązać różne strategie</w:t>
            </w:r>
            <w:r w:rsidR="00DA257A" w:rsidRPr="00DA257A">
              <w:rPr>
                <w:noProof/>
                <w:sz w:val="22"/>
              </w:rPr>
              <w:t xml:space="preserve"> i nar</w:t>
            </w:r>
            <w:r w:rsidRPr="00DA257A">
              <w:rPr>
                <w:noProof/>
                <w:sz w:val="22"/>
              </w:rPr>
              <w:t>zędzia oraz będą miały na celu zlikwidowanie luk między ochroną granic, bezpieczeństwem, powrotami</w:t>
            </w:r>
            <w:r w:rsidR="00DA257A" w:rsidRPr="00DA257A">
              <w:rPr>
                <w:noProof/>
                <w:sz w:val="22"/>
              </w:rPr>
              <w:t xml:space="preserve"> i mig</w:t>
            </w:r>
            <w:r w:rsidRPr="00DA257A">
              <w:rPr>
                <w:noProof/>
                <w:sz w:val="22"/>
              </w:rPr>
              <w:t xml:space="preserve">racją przy jednoczesnym zapewnieniu ochrony praw podstawowych. </w:t>
            </w:r>
          </w:p>
          <w:p w14:paraId="20AC4FF7" w14:textId="0E5EE1D5" w:rsidR="00E138C0" w:rsidRPr="00DA257A" w:rsidRDefault="00E138C0" w:rsidP="00CC703D">
            <w:pPr>
              <w:pStyle w:val="ListParagraph"/>
              <w:numPr>
                <w:ilvl w:val="0"/>
                <w:numId w:val="34"/>
              </w:numPr>
              <w:spacing w:after="120"/>
              <w:rPr>
                <w:noProof/>
                <w:sz w:val="22"/>
                <w:szCs w:val="22"/>
              </w:rPr>
            </w:pPr>
            <w:r w:rsidRPr="00DA257A">
              <w:rPr>
                <w:noProof/>
                <w:sz w:val="22"/>
              </w:rPr>
              <w:t>Po rozpoczętych dziś konsultacjach</w:t>
            </w:r>
            <w:r w:rsidR="00DA257A" w:rsidRPr="00DA257A">
              <w:rPr>
                <w:noProof/>
                <w:sz w:val="22"/>
              </w:rPr>
              <w:t xml:space="preserve"> z Par</w:t>
            </w:r>
            <w:r w:rsidRPr="00DA257A">
              <w:rPr>
                <w:noProof/>
                <w:sz w:val="22"/>
              </w:rPr>
              <w:t>lamentem Europejskim</w:t>
            </w:r>
            <w:r w:rsidR="00DA257A" w:rsidRPr="00DA257A">
              <w:rPr>
                <w:noProof/>
                <w:sz w:val="22"/>
              </w:rPr>
              <w:t xml:space="preserve"> i Rad</w:t>
            </w:r>
            <w:r w:rsidRPr="00DA257A">
              <w:rPr>
                <w:noProof/>
                <w:sz w:val="22"/>
              </w:rPr>
              <w:t>ą Komisja planuje przyjąć do końca 2022</w:t>
            </w:r>
            <w:r w:rsidR="007C7210" w:rsidRPr="00DA257A">
              <w:rPr>
                <w:noProof/>
                <w:sz w:val="22"/>
              </w:rPr>
              <w:t> </w:t>
            </w:r>
            <w:r w:rsidRPr="00DA257A">
              <w:rPr>
                <w:noProof/>
                <w:sz w:val="22"/>
              </w:rPr>
              <w:t>r. pierwszą wieloletnią strategiczną politykę</w:t>
            </w:r>
            <w:r w:rsidR="00DA257A" w:rsidRPr="00DA257A">
              <w:rPr>
                <w:noProof/>
                <w:sz w:val="22"/>
              </w:rPr>
              <w:t xml:space="preserve"> w zak</w:t>
            </w:r>
            <w:r w:rsidRPr="00DA257A">
              <w:rPr>
                <w:noProof/>
                <w:sz w:val="22"/>
              </w:rPr>
              <w:t>resie europejskiego zintegrowanego zarządzania granicami, która zostanie wdrożona</w:t>
            </w:r>
            <w:r w:rsidR="00DA257A" w:rsidRPr="00DA257A">
              <w:rPr>
                <w:noProof/>
                <w:sz w:val="22"/>
              </w:rPr>
              <w:t xml:space="preserve"> i uzu</w:t>
            </w:r>
            <w:r w:rsidRPr="00DA257A">
              <w:rPr>
                <w:noProof/>
                <w:sz w:val="22"/>
              </w:rPr>
              <w:t>pełniona strategiami przyjętymi przez Frontex</w:t>
            </w:r>
            <w:r w:rsidR="00DA257A" w:rsidRPr="00DA257A">
              <w:rPr>
                <w:noProof/>
                <w:sz w:val="22"/>
              </w:rPr>
              <w:t xml:space="preserve"> i org</w:t>
            </w:r>
            <w:r w:rsidRPr="00DA257A">
              <w:rPr>
                <w:noProof/>
                <w:sz w:val="22"/>
              </w:rPr>
              <w:t>any krajowe.</w:t>
            </w:r>
          </w:p>
          <w:p w14:paraId="0D84693C" w14:textId="28E11BBD" w:rsidR="00DE614D" w:rsidRPr="00DA257A" w:rsidRDefault="00DE614D" w:rsidP="00DE614D">
            <w:pPr>
              <w:pStyle w:val="ListParagraph"/>
              <w:numPr>
                <w:ilvl w:val="0"/>
                <w:numId w:val="34"/>
              </w:numPr>
              <w:rPr>
                <w:noProof/>
                <w:sz w:val="22"/>
                <w:szCs w:val="22"/>
              </w:rPr>
            </w:pPr>
            <w:r w:rsidRPr="00DA257A">
              <w:rPr>
                <w:noProof/>
                <w:sz w:val="22"/>
              </w:rPr>
              <w:t>Dodatkowe kierownictwo strategiczne zostanie zapewnione na posiedzeniu zarządu Agencji na wysokim szczeblu. Posiedzenia Rady ds. Schengen dają także możliwość omówienia raz</w:t>
            </w:r>
            <w:r w:rsidR="00DA257A" w:rsidRPr="00DA257A">
              <w:rPr>
                <w:noProof/>
                <w:sz w:val="22"/>
              </w:rPr>
              <w:t xml:space="preserve"> w rok</w:t>
            </w:r>
            <w:r w:rsidRPr="00DA257A">
              <w:rPr>
                <w:noProof/>
                <w:sz w:val="22"/>
              </w:rPr>
              <w:t>u na szczeblu politycznym spraw związanych</w:t>
            </w:r>
            <w:r w:rsidR="00DA257A" w:rsidRPr="00DA257A">
              <w:rPr>
                <w:noProof/>
                <w:sz w:val="22"/>
              </w:rPr>
              <w:t xml:space="preserve"> z wdr</w:t>
            </w:r>
            <w:r w:rsidRPr="00DA257A">
              <w:rPr>
                <w:noProof/>
                <w:sz w:val="22"/>
              </w:rPr>
              <w:t>ażaniem europejskiego zintegrowanego zarządzania granicami przez Europejską Straż Graniczną</w:t>
            </w:r>
            <w:r w:rsidR="00DA257A" w:rsidRPr="00DA257A">
              <w:rPr>
                <w:noProof/>
                <w:sz w:val="22"/>
              </w:rPr>
              <w:t xml:space="preserve"> i Prz</w:t>
            </w:r>
            <w:r w:rsidRPr="00DA257A">
              <w:rPr>
                <w:noProof/>
                <w:sz w:val="22"/>
              </w:rPr>
              <w:t>ybrzeżną,</w:t>
            </w:r>
            <w:r w:rsidR="00DA257A" w:rsidRPr="00DA257A">
              <w:rPr>
                <w:noProof/>
                <w:sz w:val="22"/>
              </w:rPr>
              <w:t xml:space="preserve"> w tym</w:t>
            </w:r>
            <w:r w:rsidRPr="00DA257A">
              <w:rPr>
                <w:noProof/>
                <w:sz w:val="22"/>
              </w:rPr>
              <w:t xml:space="preserve"> Frontex.</w:t>
            </w:r>
          </w:p>
          <w:p w14:paraId="2BC5E69C" w14:textId="4FD9A082" w:rsidR="00481D7F" w:rsidRPr="00DA257A" w:rsidRDefault="00481D7F" w:rsidP="00CC703D">
            <w:pPr>
              <w:pStyle w:val="ListParagraph"/>
              <w:numPr>
                <w:ilvl w:val="0"/>
                <w:numId w:val="34"/>
              </w:numPr>
              <w:spacing w:after="120"/>
              <w:rPr>
                <w:noProof/>
                <w:sz w:val="22"/>
                <w:szCs w:val="22"/>
              </w:rPr>
            </w:pPr>
            <w:r w:rsidRPr="00DA257A">
              <w:rPr>
                <w:noProof/>
                <w:sz w:val="22"/>
              </w:rPr>
              <w:t>21 grudnia 2021</w:t>
            </w:r>
            <w:r w:rsidR="007C7210" w:rsidRPr="00DA257A">
              <w:rPr>
                <w:noProof/>
                <w:sz w:val="22"/>
              </w:rPr>
              <w:t> </w:t>
            </w:r>
            <w:r w:rsidRPr="00DA257A">
              <w:rPr>
                <w:noProof/>
                <w:sz w:val="22"/>
              </w:rPr>
              <w:t>r. Komisja przyjęła również wzór ustaleń roboczych, który ma być stosowany przez Frontex podczas współpracy</w:t>
            </w:r>
            <w:r w:rsidR="00DA257A" w:rsidRPr="00DA257A">
              <w:rPr>
                <w:noProof/>
                <w:sz w:val="22"/>
              </w:rPr>
              <w:t xml:space="preserve"> z pań</w:t>
            </w:r>
            <w:r w:rsidRPr="00DA257A">
              <w:rPr>
                <w:noProof/>
                <w:sz w:val="22"/>
              </w:rPr>
              <w:t>stwami trzecimi, oraz wzór umowy</w:t>
            </w:r>
            <w:r w:rsidR="00DA257A" w:rsidRPr="00DA257A">
              <w:rPr>
                <w:noProof/>
                <w:sz w:val="22"/>
              </w:rPr>
              <w:t xml:space="preserve"> o sta</w:t>
            </w:r>
            <w:r w:rsidRPr="00DA257A">
              <w:rPr>
                <w:noProof/>
                <w:sz w:val="22"/>
              </w:rPr>
              <w:t>tusie regulującej rozmieszczanie zespołów stałej służby Europejskiej Straży Granicznej</w:t>
            </w:r>
            <w:r w:rsidR="00DA257A" w:rsidRPr="00DA257A">
              <w:rPr>
                <w:noProof/>
                <w:sz w:val="22"/>
              </w:rPr>
              <w:t xml:space="preserve"> i Prz</w:t>
            </w:r>
            <w:r w:rsidRPr="00DA257A">
              <w:rPr>
                <w:noProof/>
                <w:sz w:val="22"/>
              </w:rPr>
              <w:t>ybrzeżnej</w:t>
            </w:r>
            <w:r w:rsidR="00DA257A" w:rsidRPr="00DA257A">
              <w:rPr>
                <w:noProof/>
                <w:sz w:val="22"/>
              </w:rPr>
              <w:t xml:space="preserve"> w pań</w:t>
            </w:r>
            <w:r w:rsidRPr="00DA257A">
              <w:rPr>
                <w:noProof/>
                <w:sz w:val="22"/>
              </w:rPr>
              <w:t>stwach trzecich.</w:t>
            </w:r>
          </w:p>
          <w:p w14:paraId="622CB0E8" w14:textId="1CACB792" w:rsidR="007D3351" w:rsidRPr="00DA257A" w:rsidRDefault="007D3351" w:rsidP="00CC703D">
            <w:pPr>
              <w:pStyle w:val="ListParagraph"/>
              <w:numPr>
                <w:ilvl w:val="0"/>
                <w:numId w:val="34"/>
              </w:numPr>
              <w:spacing w:after="120"/>
              <w:rPr>
                <w:noProof/>
                <w:sz w:val="22"/>
                <w:szCs w:val="22"/>
              </w:rPr>
            </w:pPr>
            <w:r w:rsidRPr="00DA257A">
              <w:rPr>
                <w:noProof/>
                <w:sz w:val="22"/>
              </w:rPr>
              <w:t>W dziedzinie powrotów Frontex poczynił również istotne postępy</w:t>
            </w:r>
            <w:r w:rsidR="00DA257A" w:rsidRPr="00DA257A">
              <w:rPr>
                <w:noProof/>
                <w:sz w:val="22"/>
              </w:rPr>
              <w:t xml:space="preserve"> w roz</w:t>
            </w:r>
            <w:r w:rsidRPr="00DA257A">
              <w:rPr>
                <w:noProof/>
                <w:sz w:val="22"/>
              </w:rPr>
              <w:t>wijaniu swoich zdolności</w:t>
            </w:r>
            <w:r w:rsidR="00DA257A" w:rsidRPr="00DA257A">
              <w:rPr>
                <w:noProof/>
                <w:sz w:val="22"/>
              </w:rPr>
              <w:t xml:space="preserve"> w zak</w:t>
            </w:r>
            <w:r w:rsidRPr="00DA257A">
              <w:rPr>
                <w:noProof/>
                <w:sz w:val="22"/>
              </w:rPr>
              <w:t>resie wspierania państw członkowskich</w:t>
            </w:r>
            <w:r w:rsidR="00DA257A" w:rsidRPr="00DA257A">
              <w:rPr>
                <w:noProof/>
                <w:sz w:val="22"/>
              </w:rPr>
              <w:t xml:space="preserve"> w dzi</w:t>
            </w:r>
            <w:r w:rsidRPr="00DA257A">
              <w:rPr>
                <w:noProof/>
                <w:sz w:val="22"/>
              </w:rPr>
              <w:t>ałaniach na rzecz powrotów</w:t>
            </w:r>
            <w:r w:rsidR="00DA257A" w:rsidRPr="00DA257A">
              <w:rPr>
                <w:noProof/>
                <w:sz w:val="22"/>
              </w:rPr>
              <w:t xml:space="preserve"> i rei</w:t>
            </w:r>
            <w:r w:rsidRPr="00DA257A">
              <w:rPr>
                <w:noProof/>
                <w:sz w:val="22"/>
              </w:rPr>
              <w:t>ntegracji</w:t>
            </w:r>
            <w:r w:rsidR="00DA257A" w:rsidRPr="00DA257A">
              <w:rPr>
                <w:noProof/>
                <w:sz w:val="22"/>
              </w:rPr>
              <w:t>. W szc</w:t>
            </w:r>
            <w:r w:rsidRPr="00DA257A">
              <w:rPr>
                <w:noProof/>
                <w:sz w:val="22"/>
              </w:rPr>
              <w:t>zególności</w:t>
            </w:r>
            <w:r w:rsidR="00DA257A" w:rsidRPr="00DA257A">
              <w:rPr>
                <w:noProof/>
                <w:sz w:val="22"/>
              </w:rPr>
              <w:t xml:space="preserve"> w lut</w:t>
            </w:r>
            <w:r w:rsidRPr="00DA257A">
              <w:rPr>
                <w:noProof/>
                <w:sz w:val="22"/>
              </w:rPr>
              <w:t>ym 2022</w:t>
            </w:r>
            <w:r w:rsidR="007C7210" w:rsidRPr="00DA257A">
              <w:rPr>
                <w:noProof/>
                <w:sz w:val="22"/>
              </w:rPr>
              <w:t> </w:t>
            </w:r>
            <w:r w:rsidRPr="00DA257A">
              <w:rPr>
                <w:noProof/>
                <w:sz w:val="22"/>
              </w:rPr>
              <w:t>r. powołano zastępcę dyrektora generalnego ds. powrotów</w:t>
            </w:r>
            <w:r w:rsidR="00DA257A" w:rsidRPr="00DA257A">
              <w:rPr>
                <w:noProof/>
                <w:sz w:val="22"/>
              </w:rPr>
              <w:t xml:space="preserve"> i ope</w:t>
            </w:r>
            <w:r w:rsidRPr="00DA257A">
              <w:rPr>
                <w:noProof/>
                <w:sz w:val="22"/>
              </w:rPr>
              <w:t>racji, który stoi na czele nowego wydziału ds. powrotów.</w:t>
            </w:r>
          </w:p>
          <w:p w14:paraId="678BA3FF" w14:textId="39FA14E2" w:rsidR="007D3351" w:rsidRPr="00DA257A" w:rsidRDefault="007D3351">
            <w:pPr>
              <w:pStyle w:val="ListParagraph"/>
              <w:numPr>
                <w:ilvl w:val="0"/>
                <w:numId w:val="34"/>
              </w:numPr>
              <w:spacing w:after="120"/>
              <w:rPr>
                <w:noProof/>
                <w:sz w:val="22"/>
                <w:szCs w:val="22"/>
              </w:rPr>
            </w:pPr>
            <w:r w:rsidRPr="00DA257A">
              <w:rPr>
                <w:noProof/>
                <w:sz w:val="22"/>
              </w:rPr>
              <w:t>Państwa członkowskie otrzymują zwiększone wsparcie</w:t>
            </w:r>
            <w:r w:rsidR="00DA257A" w:rsidRPr="00DA257A">
              <w:rPr>
                <w:noProof/>
                <w:sz w:val="22"/>
              </w:rPr>
              <w:t xml:space="preserve"> w zak</w:t>
            </w:r>
            <w:r w:rsidRPr="00DA257A">
              <w:rPr>
                <w:noProof/>
                <w:sz w:val="22"/>
              </w:rPr>
              <w:t>resie dobrowolnych powrotów,</w:t>
            </w:r>
            <w:r w:rsidR="00DA257A" w:rsidRPr="00DA257A">
              <w:rPr>
                <w:noProof/>
                <w:sz w:val="22"/>
              </w:rPr>
              <w:t xml:space="preserve"> a Fro</w:t>
            </w:r>
            <w:r w:rsidRPr="00DA257A">
              <w:rPr>
                <w:noProof/>
                <w:sz w:val="22"/>
              </w:rPr>
              <w:t>ntex uruchomił wspólne usługi reintegracyjne, aby od kwietnia 2022</w:t>
            </w:r>
            <w:r w:rsidR="007C7210" w:rsidRPr="00DA257A">
              <w:rPr>
                <w:noProof/>
                <w:sz w:val="22"/>
              </w:rPr>
              <w:t> </w:t>
            </w:r>
            <w:r w:rsidRPr="00DA257A">
              <w:rPr>
                <w:noProof/>
                <w:sz w:val="22"/>
              </w:rPr>
              <w:t>r. zapewnić państwom członkowskim wsparcie</w:t>
            </w:r>
            <w:r w:rsidR="00DA257A" w:rsidRPr="00DA257A">
              <w:rPr>
                <w:noProof/>
                <w:sz w:val="22"/>
              </w:rPr>
              <w:t xml:space="preserve"> w zak</w:t>
            </w:r>
            <w:r w:rsidRPr="00DA257A">
              <w:rPr>
                <w:noProof/>
                <w:sz w:val="22"/>
              </w:rPr>
              <w:t xml:space="preserve">resie reintegracji. </w:t>
            </w:r>
          </w:p>
          <w:p w14:paraId="731F672B" w14:textId="355FAF54" w:rsidR="007D3351" w:rsidRPr="00DA257A" w:rsidRDefault="007D3351">
            <w:pPr>
              <w:pStyle w:val="ListParagraph"/>
              <w:numPr>
                <w:ilvl w:val="0"/>
                <w:numId w:val="34"/>
              </w:numPr>
              <w:spacing w:after="120"/>
              <w:rPr>
                <w:noProof/>
                <w:sz w:val="22"/>
                <w:szCs w:val="22"/>
              </w:rPr>
            </w:pPr>
            <w:r w:rsidRPr="00DA257A">
              <w:rPr>
                <w:noProof/>
                <w:sz w:val="22"/>
              </w:rPr>
              <w:t>Frontex czyni postępy</w:t>
            </w:r>
            <w:r w:rsidR="00DA257A" w:rsidRPr="00DA257A">
              <w:rPr>
                <w:noProof/>
                <w:sz w:val="22"/>
              </w:rPr>
              <w:t xml:space="preserve"> w two</w:t>
            </w:r>
            <w:r w:rsidRPr="00DA257A">
              <w:rPr>
                <w:noProof/>
                <w:sz w:val="22"/>
              </w:rPr>
              <w:t>rzeniu swoich zdolności do organizowania operacji powrotowych</w:t>
            </w:r>
            <w:r w:rsidR="00DA257A" w:rsidRPr="00DA257A">
              <w:rPr>
                <w:noProof/>
                <w:sz w:val="22"/>
              </w:rPr>
              <w:t xml:space="preserve"> z wła</w:t>
            </w:r>
            <w:r w:rsidRPr="00DA257A">
              <w:rPr>
                <w:noProof/>
                <w:sz w:val="22"/>
              </w:rPr>
              <w:t>snej inicjatywy,</w:t>
            </w:r>
            <w:r w:rsidR="00DA257A" w:rsidRPr="00DA257A">
              <w:rPr>
                <w:noProof/>
                <w:sz w:val="22"/>
              </w:rPr>
              <w:t xml:space="preserve"> a pie</w:t>
            </w:r>
            <w:r w:rsidRPr="00DA257A">
              <w:rPr>
                <w:noProof/>
                <w:sz w:val="22"/>
              </w:rPr>
              <w:t>rwszy udany lot do Albanii odbył się</w:t>
            </w:r>
            <w:r w:rsidR="00DA257A" w:rsidRPr="00DA257A">
              <w:rPr>
                <w:noProof/>
                <w:sz w:val="22"/>
              </w:rPr>
              <w:t xml:space="preserve"> w sty</w:t>
            </w:r>
            <w:r w:rsidRPr="00DA257A">
              <w:rPr>
                <w:noProof/>
                <w:sz w:val="22"/>
              </w:rPr>
              <w:t>czniu 2022</w:t>
            </w:r>
            <w:r w:rsidR="007C7210" w:rsidRPr="00DA257A">
              <w:rPr>
                <w:noProof/>
                <w:sz w:val="22"/>
              </w:rPr>
              <w:t> </w:t>
            </w:r>
            <w:r w:rsidRPr="00DA257A">
              <w:rPr>
                <w:noProof/>
                <w:sz w:val="22"/>
              </w:rPr>
              <w:t xml:space="preserve">r. </w:t>
            </w:r>
          </w:p>
          <w:p w14:paraId="16C5CE4A" w14:textId="3308BAD9" w:rsidR="00D02291" w:rsidRPr="00DA257A" w:rsidRDefault="00D02291" w:rsidP="00D02291">
            <w:pPr>
              <w:pStyle w:val="ListParagraph"/>
              <w:numPr>
                <w:ilvl w:val="0"/>
                <w:numId w:val="34"/>
              </w:numPr>
              <w:spacing w:after="120"/>
              <w:rPr>
                <w:noProof/>
                <w:szCs w:val="24"/>
              </w:rPr>
            </w:pPr>
            <w:r w:rsidRPr="00DA257A">
              <w:rPr>
                <w:noProof/>
                <w:sz w:val="22"/>
              </w:rPr>
              <w:t>W strukturach Agencji wprowadzono istotne zmiany – trzech zastępców dyrektora wykonawczego objęło stanowiska odpowiednio</w:t>
            </w:r>
            <w:r w:rsidR="00DA257A" w:rsidRPr="00DA257A">
              <w:rPr>
                <w:noProof/>
                <w:sz w:val="22"/>
              </w:rPr>
              <w:t xml:space="preserve"> w lis</w:t>
            </w:r>
            <w:r w:rsidRPr="00DA257A">
              <w:rPr>
                <w:noProof/>
                <w:sz w:val="22"/>
              </w:rPr>
              <w:t>topadzie 2021</w:t>
            </w:r>
            <w:r w:rsidR="007C7210" w:rsidRPr="00DA257A">
              <w:rPr>
                <w:noProof/>
                <w:sz w:val="22"/>
              </w:rPr>
              <w:t> </w:t>
            </w:r>
            <w:r w:rsidRPr="00DA257A">
              <w:rPr>
                <w:noProof/>
                <w:sz w:val="22"/>
              </w:rPr>
              <w:t>r., styczniu 2022</w:t>
            </w:r>
            <w:r w:rsidR="007C7210" w:rsidRPr="00DA257A">
              <w:rPr>
                <w:noProof/>
                <w:sz w:val="22"/>
              </w:rPr>
              <w:t> </w:t>
            </w:r>
            <w:r w:rsidRPr="00DA257A">
              <w:rPr>
                <w:noProof/>
                <w:sz w:val="22"/>
              </w:rPr>
              <w:t>r.</w:t>
            </w:r>
            <w:r w:rsidR="00DA257A" w:rsidRPr="00DA257A">
              <w:rPr>
                <w:noProof/>
                <w:sz w:val="22"/>
              </w:rPr>
              <w:t xml:space="preserve"> i lut</w:t>
            </w:r>
            <w:r w:rsidRPr="00DA257A">
              <w:rPr>
                <w:noProof/>
                <w:sz w:val="22"/>
              </w:rPr>
              <w:t>ym 2022</w:t>
            </w:r>
            <w:r w:rsidR="007C7210" w:rsidRPr="00DA257A">
              <w:rPr>
                <w:noProof/>
                <w:sz w:val="22"/>
              </w:rPr>
              <w:t> </w:t>
            </w:r>
            <w:r w:rsidRPr="00DA257A">
              <w:rPr>
                <w:noProof/>
                <w:sz w:val="22"/>
              </w:rPr>
              <w:t>r.</w:t>
            </w:r>
          </w:p>
          <w:p w14:paraId="3D87B57D" w14:textId="785D58C2" w:rsidR="00D02291" w:rsidRPr="00DA257A" w:rsidRDefault="00D02291" w:rsidP="00D02291">
            <w:pPr>
              <w:pStyle w:val="ListParagraph"/>
              <w:numPr>
                <w:ilvl w:val="0"/>
                <w:numId w:val="34"/>
              </w:numPr>
              <w:rPr>
                <w:noProof/>
                <w:sz w:val="22"/>
                <w:szCs w:val="22"/>
              </w:rPr>
            </w:pPr>
            <w:r w:rsidRPr="00DA257A">
              <w:rPr>
                <w:noProof/>
                <w:sz w:val="22"/>
              </w:rPr>
              <w:t>Aby zapewnić zgodność działań Frontexu</w:t>
            </w:r>
            <w:r w:rsidR="00DA257A" w:rsidRPr="00DA257A">
              <w:rPr>
                <w:noProof/>
                <w:sz w:val="22"/>
              </w:rPr>
              <w:t xml:space="preserve"> z pra</w:t>
            </w:r>
            <w:r w:rsidRPr="00DA257A">
              <w:rPr>
                <w:noProof/>
                <w:sz w:val="22"/>
              </w:rPr>
              <w:t>wami podstawowymi, wprowadzono wszystkie główne elementy</w:t>
            </w:r>
            <w:r w:rsidR="00DA257A" w:rsidRPr="00DA257A">
              <w:rPr>
                <w:noProof/>
                <w:sz w:val="22"/>
              </w:rPr>
              <w:t xml:space="preserve"> w peł</w:t>
            </w:r>
            <w:r w:rsidRPr="00DA257A">
              <w:rPr>
                <w:noProof/>
                <w:sz w:val="22"/>
              </w:rPr>
              <w:t>ni funkcjonującego systemu monitorowania</w:t>
            </w:r>
            <w:r w:rsidR="00DA257A" w:rsidRPr="00DA257A">
              <w:rPr>
                <w:noProof/>
                <w:sz w:val="22"/>
              </w:rPr>
              <w:t>. W szc</w:t>
            </w:r>
            <w:r w:rsidRPr="00DA257A">
              <w:rPr>
                <w:noProof/>
                <w:sz w:val="22"/>
              </w:rPr>
              <w:t>zególności nowy urzędnik ds. praw podstawowych</w:t>
            </w:r>
            <w:r w:rsidR="00DA257A" w:rsidRPr="00DA257A">
              <w:rPr>
                <w:noProof/>
                <w:sz w:val="22"/>
              </w:rPr>
              <w:t xml:space="preserve"> i zas</w:t>
            </w:r>
            <w:r w:rsidRPr="00DA257A">
              <w:rPr>
                <w:noProof/>
                <w:sz w:val="22"/>
              </w:rPr>
              <w:t>tępca urzędnika ds. praw podstawowych objęli stanowiska odpowiednio</w:t>
            </w:r>
            <w:r w:rsidR="00DA257A" w:rsidRPr="00DA257A">
              <w:rPr>
                <w:noProof/>
                <w:sz w:val="22"/>
              </w:rPr>
              <w:t xml:space="preserve"> w cze</w:t>
            </w:r>
            <w:r w:rsidRPr="00DA257A">
              <w:rPr>
                <w:noProof/>
                <w:sz w:val="22"/>
              </w:rPr>
              <w:t>rwcu 2021</w:t>
            </w:r>
            <w:r w:rsidR="007C7210" w:rsidRPr="00DA257A">
              <w:rPr>
                <w:noProof/>
                <w:sz w:val="22"/>
              </w:rPr>
              <w:t> </w:t>
            </w:r>
            <w:r w:rsidRPr="00DA257A">
              <w:rPr>
                <w:noProof/>
                <w:sz w:val="22"/>
              </w:rPr>
              <w:t>r.</w:t>
            </w:r>
            <w:r w:rsidR="00DA257A" w:rsidRPr="00DA257A">
              <w:rPr>
                <w:noProof/>
                <w:sz w:val="22"/>
              </w:rPr>
              <w:t xml:space="preserve"> i mar</w:t>
            </w:r>
            <w:r w:rsidRPr="00DA257A">
              <w:rPr>
                <w:noProof/>
                <w:sz w:val="22"/>
              </w:rPr>
              <w:t>cu 2022</w:t>
            </w:r>
            <w:r w:rsidR="007C7210" w:rsidRPr="00DA257A">
              <w:rPr>
                <w:noProof/>
                <w:sz w:val="22"/>
              </w:rPr>
              <w:t> </w:t>
            </w:r>
            <w:r w:rsidRPr="00DA257A">
              <w:rPr>
                <w:noProof/>
                <w:sz w:val="22"/>
              </w:rPr>
              <w:t>r. Ich działalność wspiera 20 obserwatorów praw podstawowych, a do końca lata ich liczba wzrośnie do</w:t>
            </w:r>
            <w:r w:rsidR="007C7210" w:rsidRPr="00DA257A">
              <w:rPr>
                <w:noProof/>
                <w:sz w:val="22"/>
              </w:rPr>
              <w:t> </w:t>
            </w:r>
            <w:r w:rsidRPr="00DA257A">
              <w:rPr>
                <w:noProof/>
                <w:sz w:val="22"/>
              </w:rPr>
              <w:t xml:space="preserve">46 obserwatorów. </w:t>
            </w:r>
          </w:p>
          <w:p w14:paraId="1A4A56A0" w14:textId="5D7796EB" w:rsidR="0093729B" w:rsidRPr="00DA257A" w:rsidRDefault="00E27711" w:rsidP="001D33F1">
            <w:pPr>
              <w:pStyle w:val="ListParagraph"/>
              <w:numPr>
                <w:ilvl w:val="0"/>
                <w:numId w:val="34"/>
              </w:numPr>
              <w:spacing w:after="120"/>
              <w:rPr>
                <w:noProof/>
                <w:sz w:val="22"/>
                <w:szCs w:val="22"/>
              </w:rPr>
            </w:pPr>
            <w:r w:rsidRPr="00DA257A">
              <w:rPr>
                <w:noProof/>
                <w:sz w:val="22"/>
              </w:rPr>
              <w:t>Frontex wypełnia niezwykle ważne zadanie polegające na wspieraniu państw członkowskich</w:t>
            </w:r>
            <w:r w:rsidR="00DA257A" w:rsidRPr="00DA257A">
              <w:rPr>
                <w:noProof/>
                <w:sz w:val="22"/>
              </w:rPr>
              <w:t xml:space="preserve"> w zar</w:t>
            </w:r>
            <w:r w:rsidRPr="00DA257A">
              <w:rPr>
                <w:noProof/>
                <w:sz w:val="22"/>
              </w:rPr>
              <w:t xml:space="preserve">ządzaniu wspólnymi granicami zewnętrznymi Unii Europejskiej. Aby zapewnić pełną ciągłość pracy Agencji, Komisja niezwłocznie przeprowadzi proces rekrutacji prowadzący do mianowania nowego dyrektora wykonawczego. </w:t>
            </w:r>
          </w:p>
          <w:p w14:paraId="30EA0647" w14:textId="2315DB19" w:rsidR="00E730CE" w:rsidRPr="00DA257A" w:rsidRDefault="00D065EE" w:rsidP="00326363">
            <w:pPr>
              <w:pStyle w:val="ListParagraph"/>
              <w:numPr>
                <w:ilvl w:val="0"/>
                <w:numId w:val="34"/>
              </w:numPr>
              <w:spacing w:after="120"/>
              <w:rPr>
                <w:noProof/>
                <w:sz w:val="22"/>
                <w:szCs w:val="22"/>
              </w:rPr>
            </w:pPr>
            <w:r w:rsidRPr="00DA257A">
              <w:rPr>
                <w:noProof/>
                <w:sz w:val="22"/>
              </w:rPr>
              <w:t>Zarząd Frontexu będzie nadal wzmacniał nadzór nad wewnętrznym zarządzaniem Agencją</w:t>
            </w:r>
            <w:r w:rsidR="00DA257A" w:rsidRPr="00DA257A">
              <w:rPr>
                <w:noProof/>
                <w:sz w:val="22"/>
              </w:rPr>
              <w:t xml:space="preserve"> i jej</w:t>
            </w:r>
            <w:r w:rsidRPr="00DA257A">
              <w:rPr>
                <w:noProof/>
                <w:sz w:val="22"/>
              </w:rPr>
              <w:t xml:space="preserve"> działaniami. Jednocześnie, biorąc pod uwagę rozszerzony mandat</w:t>
            </w:r>
            <w:r w:rsidR="00DA257A" w:rsidRPr="00DA257A">
              <w:rPr>
                <w:noProof/>
                <w:sz w:val="22"/>
              </w:rPr>
              <w:t xml:space="preserve"> i zna</w:t>
            </w:r>
            <w:r w:rsidRPr="00DA257A">
              <w:rPr>
                <w:noProof/>
                <w:sz w:val="22"/>
              </w:rPr>
              <w:t>cznie zwiększone zasoby, Agencja powinna zapewnić pełną rozliczalność wobec instytucji UE</w:t>
            </w:r>
            <w:r w:rsidR="00DA257A" w:rsidRPr="00DA257A">
              <w:rPr>
                <w:noProof/>
                <w:sz w:val="22"/>
              </w:rPr>
              <w:t>. W okr</w:t>
            </w:r>
            <w:r w:rsidRPr="00DA257A">
              <w:rPr>
                <w:noProof/>
                <w:sz w:val="22"/>
              </w:rPr>
              <w:t>esie poprzedzającym zbliżającą się ocenę funkcjonowania Agencji Komisja rozpocznie dialog</w:t>
            </w:r>
            <w:r w:rsidR="00DA257A" w:rsidRPr="00DA257A">
              <w:rPr>
                <w:noProof/>
                <w:sz w:val="22"/>
              </w:rPr>
              <w:t xml:space="preserve"> z Par</w:t>
            </w:r>
            <w:r w:rsidRPr="00DA257A">
              <w:rPr>
                <w:noProof/>
                <w:sz w:val="22"/>
              </w:rPr>
              <w:t>lamentem Europejskim</w:t>
            </w:r>
            <w:r w:rsidR="00DA257A" w:rsidRPr="00DA257A">
              <w:rPr>
                <w:noProof/>
                <w:sz w:val="22"/>
              </w:rPr>
              <w:t xml:space="preserve"> i Rad</w:t>
            </w:r>
            <w:r w:rsidRPr="00DA257A">
              <w:rPr>
                <w:noProof/>
                <w:sz w:val="22"/>
              </w:rPr>
              <w:t>ą na temat zarządzania Agencją.</w:t>
            </w:r>
          </w:p>
        </w:tc>
      </w:tr>
    </w:tbl>
    <w:p w14:paraId="14407BDE" w14:textId="77777777" w:rsidR="00AC2253" w:rsidRPr="00DA257A" w:rsidRDefault="008F47E2" w:rsidP="006E7B16">
      <w:pPr>
        <w:pStyle w:val="ListParagraph"/>
        <w:numPr>
          <w:ilvl w:val="0"/>
          <w:numId w:val="1"/>
        </w:numPr>
        <w:spacing w:before="240" w:after="120"/>
        <w:contextualSpacing w:val="0"/>
        <w:rPr>
          <w:b/>
          <w:noProof/>
          <w:sz w:val="28"/>
        </w:rPr>
      </w:pPr>
      <w:r w:rsidRPr="00DA257A">
        <w:rPr>
          <w:b/>
          <w:noProof/>
          <w:sz w:val="28"/>
        </w:rPr>
        <w:t xml:space="preserve">Stan strefy Schengen </w:t>
      </w:r>
    </w:p>
    <w:p w14:paraId="08DCADCC" w14:textId="77777777" w:rsidR="00AC2253" w:rsidRPr="00DA257A" w:rsidRDefault="6E958833" w:rsidP="006E7B16">
      <w:pPr>
        <w:pStyle w:val="ListParagraph"/>
        <w:numPr>
          <w:ilvl w:val="1"/>
          <w:numId w:val="1"/>
        </w:numPr>
        <w:spacing w:after="120"/>
        <w:contextualSpacing w:val="0"/>
        <w:rPr>
          <w:b/>
          <w:bCs/>
          <w:noProof/>
        </w:rPr>
      </w:pPr>
      <w:r w:rsidRPr="00DA257A">
        <w:rPr>
          <w:b/>
          <w:noProof/>
        </w:rPr>
        <w:t>Sytuacja na granicach zewnętrznych</w:t>
      </w:r>
    </w:p>
    <w:p w14:paraId="15041CCA" w14:textId="57E41A75" w:rsidR="00B31E99" w:rsidRPr="00DA257A" w:rsidRDefault="00EE4CD4" w:rsidP="00832FE7">
      <w:pPr>
        <w:spacing w:after="120"/>
        <w:rPr>
          <w:noProof/>
        </w:rPr>
      </w:pPr>
      <w:r w:rsidRPr="00DA257A">
        <w:rPr>
          <w:noProof/>
        </w:rPr>
        <w:t>Każdego roku granice zewnętrzne UE przekraczają setki milionów ludzi, co czyni UE najbardziej przyjaznym miejscem przeznaczenia na świecie. Obecnie około 1,3 miliarda osób</w:t>
      </w:r>
      <w:r w:rsidR="00DA257A" w:rsidRPr="00DA257A">
        <w:rPr>
          <w:noProof/>
        </w:rPr>
        <w:t xml:space="preserve"> z oko</w:t>
      </w:r>
      <w:r w:rsidRPr="00DA257A">
        <w:rPr>
          <w:noProof/>
        </w:rPr>
        <w:t>ło 60 krajów świata może korzystać</w:t>
      </w:r>
      <w:r w:rsidR="00DA257A" w:rsidRPr="00DA257A">
        <w:rPr>
          <w:noProof/>
        </w:rPr>
        <w:t xml:space="preserve"> z ruc</w:t>
      </w:r>
      <w:r w:rsidRPr="00DA257A">
        <w:rPr>
          <w:noProof/>
        </w:rPr>
        <w:t xml:space="preserve">hu bezwizowego do Unii Europejskiej. </w:t>
      </w:r>
    </w:p>
    <w:p w14:paraId="59D13544" w14:textId="219DDEBE" w:rsidR="00BE6F4B" w:rsidRPr="00DA257A" w:rsidRDefault="00112BD1" w:rsidP="00832FE7">
      <w:pPr>
        <w:spacing w:after="120"/>
        <w:rPr>
          <w:noProof/>
        </w:rPr>
      </w:pPr>
      <w:r w:rsidRPr="00DA257A">
        <w:rPr>
          <w:noProof/>
        </w:rPr>
        <w:t>Chociaż zdecydowana większość obywateli państw trzecich przybywa do UE</w:t>
      </w:r>
      <w:r w:rsidR="00DA257A" w:rsidRPr="00DA257A">
        <w:rPr>
          <w:noProof/>
        </w:rPr>
        <w:t xml:space="preserve"> w spo</w:t>
      </w:r>
      <w:r w:rsidRPr="00DA257A">
        <w:rPr>
          <w:noProof/>
        </w:rPr>
        <w:t>sób dozwolony, migracja nieuregulowana nadal stanowi wyzwanie. W 2021</w:t>
      </w:r>
      <w:r w:rsidR="007C7210" w:rsidRPr="00DA257A">
        <w:rPr>
          <w:noProof/>
        </w:rPr>
        <w:t> </w:t>
      </w:r>
      <w:r w:rsidRPr="00DA257A">
        <w:rPr>
          <w:noProof/>
        </w:rPr>
        <w:t>r. Frontex odnotował 200 000 przypadków nielegalnego przekroczenia granicy</w:t>
      </w:r>
      <w:r w:rsidR="00DA257A" w:rsidRPr="00DA257A">
        <w:rPr>
          <w:noProof/>
        </w:rPr>
        <w:t>. W tym</w:t>
      </w:r>
      <w:r w:rsidRPr="00DA257A">
        <w:rPr>
          <w:noProof/>
        </w:rPr>
        <w:t xml:space="preserve"> samym roku liczba nielegalnych przyjazdów na Litwę, do Polski i na Łotwę była ponad dziesięciokrotnie wyższa niż</w:t>
      </w:r>
      <w:r w:rsidR="00DA257A" w:rsidRPr="00DA257A">
        <w:rPr>
          <w:noProof/>
        </w:rPr>
        <w:t xml:space="preserve"> w 2</w:t>
      </w:r>
      <w:r w:rsidRPr="00DA257A">
        <w:rPr>
          <w:noProof/>
        </w:rPr>
        <w:t>020</w:t>
      </w:r>
      <w:r w:rsidR="007C7210" w:rsidRPr="00DA257A">
        <w:rPr>
          <w:noProof/>
        </w:rPr>
        <w:t> </w:t>
      </w:r>
      <w:r w:rsidRPr="00DA257A">
        <w:rPr>
          <w:noProof/>
        </w:rPr>
        <w:t>r.</w:t>
      </w:r>
      <w:r w:rsidR="00DA257A" w:rsidRPr="00DA257A">
        <w:rPr>
          <w:noProof/>
        </w:rPr>
        <w:t xml:space="preserve"> z pow</w:t>
      </w:r>
      <w:r w:rsidRPr="00DA257A">
        <w:rPr>
          <w:noProof/>
        </w:rPr>
        <w:t xml:space="preserve">odu zorganizowanej przez reżim białoruski </w:t>
      </w:r>
      <w:r w:rsidRPr="00DA257A">
        <w:rPr>
          <w:b/>
          <w:noProof/>
        </w:rPr>
        <w:t>instrumentalizacji</w:t>
      </w:r>
      <w:r w:rsidRPr="00DA257A">
        <w:rPr>
          <w:noProof/>
        </w:rPr>
        <w:t xml:space="preserve"> migrantów do celów politycznych. Dzięki zdecydowanym</w:t>
      </w:r>
      <w:r w:rsidR="00DA257A" w:rsidRPr="00DA257A">
        <w:rPr>
          <w:noProof/>
        </w:rPr>
        <w:t xml:space="preserve"> i sta</w:t>
      </w:r>
      <w:r w:rsidRPr="00DA257A">
        <w:rPr>
          <w:noProof/>
        </w:rPr>
        <w:t>nowczym działaniom UE sytuacja została jednak ustabilizowana,</w:t>
      </w:r>
      <w:r w:rsidR="00DA257A" w:rsidRPr="00DA257A">
        <w:rPr>
          <w:noProof/>
        </w:rPr>
        <w:t xml:space="preserve"> a lic</w:t>
      </w:r>
      <w:r w:rsidRPr="00DA257A">
        <w:rPr>
          <w:noProof/>
        </w:rPr>
        <w:t>zba osób przybywających</w:t>
      </w:r>
      <w:r w:rsidR="00DA257A" w:rsidRPr="00DA257A">
        <w:rPr>
          <w:noProof/>
        </w:rPr>
        <w:t xml:space="preserve"> z Bia</w:t>
      </w:r>
      <w:r w:rsidRPr="00DA257A">
        <w:rPr>
          <w:noProof/>
        </w:rPr>
        <w:t xml:space="preserve">łorusi znacznie spadła. </w:t>
      </w:r>
    </w:p>
    <w:p w14:paraId="2B8B6FB5" w14:textId="48852F04" w:rsidR="007C7210" w:rsidRPr="00DA257A" w:rsidRDefault="007C7210" w:rsidP="00832FE7">
      <w:pPr>
        <w:spacing w:after="120"/>
        <w:rPr>
          <w:noProof/>
        </w:rPr>
      </w:pPr>
      <w:r w:rsidRPr="00DA257A">
        <w:rPr>
          <w:noProof/>
          <w:lang w:val="en-GB"/>
        </w:rPr>
        <w:drawing>
          <wp:inline distT="0" distB="0" distL="0" distR="0" wp14:anchorId="18C7070D" wp14:editId="585A5F99">
            <wp:extent cx="6030595" cy="4270184"/>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30595" cy="4270184"/>
                    </a:xfrm>
                    <a:prstGeom prst="rect">
                      <a:avLst/>
                    </a:prstGeom>
                    <a:noFill/>
                    <a:ln>
                      <a:noFill/>
                    </a:ln>
                  </pic:spPr>
                </pic:pic>
              </a:graphicData>
            </a:graphic>
          </wp:inline>
        </w:drawing>
      </w:r>
    </w:p>
    <w:p w14:paraId="49F56145" w14:textId="1DF6C813" w:rsidR="00EE4CD4" w:rsidRPr="00DA257A" w:rsidRDefault="00EE4CD4" w:rsidP="00832FE7">
      <w:pPr>
        <w:spacing w:after="120"/>
        <w:rPr>
          <w:noProof/>
        </w:rPr>
      </w:pPr>
    </w:p>
    <w:p w14:paraId="65A17FA9" w14:textId="333CC5A5" w:rsidR="00852769" w:rsidRPr="00DA257A" w:rsidRDefault="005E6AAF" w:rsidP="00AD03D1">
      <w:pPr>
        <w:spacing w:before="240" w:after="120"/>
        <w:rPr>
          <w:noProof/>
        </w:rPr>
      </w:pPr>
      <w:r w:rsidRPr="00DA257A">
        <w:rPr>
          <w:noProof/>
        </w:rPr>
        <w:t>Jeśli chodzi</w:t>
      </w:r>
      <w:r w:rsidR="00DA257A" w:rsidRPr="00DA257A">
        <w:rPr>
          <w:noProof/>
        </w:rPr>
        <w:t xml:space="preserve"> o ten</w:t>
      </w:r>
      <w:r w:rsidRPr="00DA257A">
        <w:rPr>
          <w:noProof/>
        </w:rPr>
        <w:t xml:space="preserve">dencje, </w:t>
      </w:r>
      <w:r w:rsidRPr="00DA257A">
        <w:rPr>
          <w:b/>
          <w:noProof/>
        </w:rPr>
        <w:t>szlak środkowośródziemnomorski, którego głównym krajem docelowym są Włochy</w:t>
      </w:r>
      <w:r w:rsidRPr="00DA257A">
        <w:rPr>
          <w:noProof/>
        </w:rPr>
        <w:t>, ponownie był najczęściej wykorzystywanym szlakiem migracyjnym do celów nieuregulowanej migracji do UE</w:t>
      </w:r>
      <w:r w:rsidR="00DA257A" w:rsidRPr="00DA257A">
        <w:rPr>
          <w:noProof/>
        </w:rPr>
        <w:t xml:space="preserve"> w 2</w:t>
      </w:r>
      <w:r w:rsidRPr="00DA257A">
        <w:rPr>
          <w:noProof/>
        </w:rPr>
        <w:t>021</w:t>
      </w:r>
      <w:r w:rsidR="007C7210" w:rsidRPr="00DA257A">
        <w:rPr>
          <w:noProof/>
        </w:rPr>
        <w:t> </w:t>
      </w:r>
      <w:r w:rsidRPr="00DA257A">
        <w:rPr>
          <w:noProof/>
        </w:rPr>
        <w:t>r. (34</w:t>
      </w:r>
      <w:r w:rsidR="007C7210" w:rsidRPr="00DA257A">
        <w:rPr>
          <w:noProof/>
        </w:rPr>
        <w:t> </w:t>
      </w:r>
      <w:r w:rsidRPr="00DA257A">
        <w:rPr>
          <w:noProof/>
        </w:rPr>
        <w:t>% zgłoszonych przypadków nielegalnego przekroczenia granicy). Tendencja ta utrzymała się</w:t>
      </w:r>
      <w:r w:rsidR="00DA257A" w:rsidRPr="00DA257A">
        <w:rPr>
          <w:noProof/>
        </w:rPr>
        <w:t xml:space="preserve"> w 2</w:t>
      </w:r>
      <w:r w:rsidRPr="00DA257A">
        <w:rPr>
          <w:noProof/>
        </w:rPr>
        <w:t>022</w:t>
      </w:r>
      <w:r w:rsidR="007C7210" w:rsidRPr="00DA257A">
        <w:rPr>
          <w:noProof/>
        </w:rPr>
        <w:t> </w:t>
      </w:r>
      <w:r w:rsidRPr="00DA257A">
        <w:rPr>
          <w:noProof/>
        </w:rPr>
        <w:t>r.: na dzień 8 maja 2022</w:t>
      </w:r>
      <w:r w:rsidR="007C7210" w:rsidRPr="00DA257A">
        <w:rPr>
          <w:noProof/>
        </w:rPr>
        <w:t> </w:t>
      </w:r>
      <w:r w:rsidRPr="00DA257A">
        <w:rPr>
          <w:noProof/>
        </w:rPr>
        <w:t>r. na tej trasie zgłoszono prawie 11 800 przybyłych osób, co oznacza spadek</w:t>
      </w:r>
      <w:r w:rsidR="00DA257A" w:rsidRPr="00DA257A">
        <w:rPr>
          <w:noProof/>
        </w:rPr>
        <w:t xml:space="preserve"> o 7</w:t>
      </w:r>
      <w:r w:rsidRPr="00DA257A">
        <w:rPr>
          <w:noProof/>
        </w:rPr>
        <w:t>,6</w:t>
      </w:r>
      <w:r w:rsidR="007C7210" w:rsidRPr="00DA257A">
        <w:rPr>
          <w:noProof/>
        </w:rPr>
        <w:t> </w:t>
      </w:r>
      <w:r w:rsidRPr="00DA257A">
        <w:rPr>
          <w:noProof/>
        </w:rPr>
        <w:t>%</w:t>
      </w:r>
      <w:r w:rsidR="00DA257A" w:rsidRPr="00DA257A">
        <w:rPr>
          <w:noProof/>
        </w:rPr>
        <w:t xml:space="preserve"> w por</w:t>
      </w:r>
      <w:r w:rsidRPr="00DA257A">
        <w:rPr>
          <w:noProof/>
        </w:rPr>
        <w:t>ównaniu</w:t>
      </w:r>
      <w:r w:rsidR="00DA257A" w:rsidRPr="00DA257A">
        <w:rPr>
          <w:noProof/>
        </w:rPr>
        <w:t xml:space="preserve"> z tym</w:t>
      </w:r>
      <w:r w:rsidRPr="00DA257A">
        <w:rPr>
          <w:noProof/>
        </w:rPr>
        <w:t xml:space="preserve"> samym okresem ubiegłego roku. Całkowita liczba przypadków nielegalnego przekroczenia granicy</w:t>
      </w:r>
      <w:r w:rsidR="00DA257A" w:rsidRPr="00DA257A">
        <w:rPr>
          <w:noProof/>
        </w:rPr>
        <w:t xml:space="preserve"> w 2</w:t>
      </w:r>
      <w:r w:rsidRPr="00DA257A">
        <w:rPr>
          <w:noProof/>
        </w:rPr>
        <w:t>022</w:t>
      </w:r>
      <w:r w:rsidR="007C7210" w:rsidRPr="00DA257A">
        <w:rPr>
          <w:noProof/>
        </w:rPr>
        <w:t> </w:t>
      </w:r>
      <w:r w:rsidRPr="00DA257A">
        <w:rPr>
          <w:noProof/>
        </w:rPr>
        <w:t>r., według stanu na dzień 8 maja, wynosi 11 797 do Włoch</w:t>
      </w:r>
      <w:r w:rsidR="00DA257A" w:rsidRPr="00DA257A">
        <w:rPr>
          <w:noProof/>
        </w:rPr>
        <w:t xml:space="preserve"> i tyl</w:t>
      </w:r>
      <w:r w:rsidRPr="00DA257A">
        <w:rPr>
          <w:noProof/>
        </w:rPr>
        <w:t xml:space="preserve">ko 1 na Maltę. Nadal utrzymywał się wysoki poziom przyjazdów do Hiszpanii przez </w:t>
      </w:r>
      <w:r w:rsidRPr="00DA257A">
        <w:rPr>
          <w:b/>
          <w:noProof/>
        </w:rPr>
        <w:t>zachodni region Morza Śródziemnego</w:t>
      </w:r>
      <w:r w:rsidR="00DA257A" w:rsidRPr="00DA257A">
        <w:rPr>
          <w:noProof/>
        </w:rPr>
        <w:t xml:space="preserve"> i </w:t>
      </w:r>
      <w:r w:rsidR="00DA257A" w:rsidRPr="00DA257A">
        <w:rPr>
          <w:b/>
          <w:noProof/>
        </w:rPr>
        <w:t>zac</w:t>
      </w:r>
      <w:r w:rsidRPr="00DA257A">
        <w:rPr>
          <w:b/>
          <w:noProof/>
        </w:rPr>
        <w:t>hodnią Afrykę</w:t>
      </w:r>
      <w:r w:rsidRPr="00DA257A">
        <w:rPr>
          <w:noProof/>
        </w:rPr>
        <w:t>: na dzień 8 maja 2022</w:t>
      </w:r>
      <w:r w:rsidR="007C7210" w:rsidRPr="00DA257A">
        <w:rPr>
          <w:noProof/>
        </w:rPr>
        <w:t> </w:t>
      </w:r>
      <w:r w:rsidRPr="00DA257A">
        <w:rPr>
          <w:noProof/>
        </w:rPr>
        <w:t>r. zgłoszono 10 475 przypadków nielegalnego przekroczenia granicy, czyli</w:t>
      </w:r>
      <w:r w:rsidR="00DA257A" w:rsidRPr="00DA257A">
        <w:rPr>
          <w:noProof/>
        </w:rPr>
        <w:t xml:space="preserve"> o 3</w:t>
      </w:r>
      <w:r w:rsidRPr="00DA257A">
        <w:rPr>
          <w:noProof/>
        </w:rPr>
        <w:t>2</w:t>
      </w:r>
      <w:r w:rsidR="007C7210" w:rsidRPr="00DA257A">
        <w:rPr>
          <w:noProof/>
        </w:rPr>
        <w:t> </w:t>
      </w:r>
      <w:r w:rsidRPr="00DA257A">
        <w:rPr>
          <w:noProof/>
        </w:rPr>
        <w:t>% więcej niż</w:t>
      </w:r>
      <w:r w:rsidR="00DA257A" w:rsidRPr="00DA257A">
        <w:rPr>
          <w:noProof/>
        </w:rPr>
        <w:t xml:space="preserve"> w tym</w:t>
      </w:r>
      <w:r w:rsidRPr="00DA257A">
        <w:rPr>
          <w:noProof/>
        </w:rPr>
        <w:t xml:space="preserve"> samym okresie</w:t>
      </w:r>
      <w:r w:rsidR="00DA257A" w:rsidRPr="00DA257A">
        <w:rPr>
          <w:noProof/>
        </w:rPr>
        <w:t xml:space="preserve"> w 2</w:t>
      </w:r>
      <w:r w:rsidRPr="00DA257A">
        <w:rPr>
          <w:noProof/>
        </w:rPr>
        <w:t>021</w:t>
      </w:r>
      <w:r w:rsidR="007C7210" w:rsidRPr="00DA257A">
        <w:rPr>
          <w:noProof/>
        </w:rPr>
        <w:t> </w:t>
      </w:r>
      <w:r w:rsidRPr="00DA257A">
        <w:rPr>
          <w:noProof/>
        </w:rPr>
        <w:t>r. Podczas gdy liczba osób przybyłych do Hiszpanii kontynentalnej zmniejszyła się</w:t>
      </w:r>
      <w:r w:rsidR="00DA257A" w:rsidRPr="00DA257A">
        <w:rPr>
          <w:noProof/>
        </w:rPr>
        <w:t xml:space="preserve"> w 2</w:t>
      </w:r>
      <w:r w:rsidRPr="00DA257A">
        <w:rPr>
          <w:noProof/>
        </w:rPr>
        <w:t>022</w:t>
      </w:r>
      <w:r w:rsidR="007C7210" w:rsidRPr="00DA257A">
        <w:rPr>
          <w:noProof/>
        </w:rPr>
        <w:t> </w:t>
      </w:r>
      <w:r w:rsidRPr="00DA257A">
        <w:rPr>
          <w:noProof/>
        </w:rPr>
        <w:t>r.</w:t>
      </w:r>
      <w:r w:rsidR="00DA257A" w:rsidRPr="00DA257A">
        <w:rPr>
          <w:noProof/>
        </w:rPr>
        <w:t xml:space="preserve"> w por</w:t>
      </w:r>
      <w:r w:rsidRPr="00DA257A">
        <w:rPr>
          <w:noProof/>
        </w:rPr>
        <w:t>ównaniu</w:t>
      </w:r>
      <w:r w:rsidR="00DA257A" w:rsidRPr="00DA257A">
        <w:rPr>
          <w:noProof/>
        </w:rPr>
        <w:t xml:space="preserve"> z tym</w:t>
      </w:r>
      <w:r w:rsidRPr="00DA257A">
        <w:rPr>
          <w:noProof/>
        </w:rPr>
        <w:t xml:space="preserve"> samym okresem</w:t>
      </w:r>
      <w:r w:rsidR="00DA257A" w:rsidRPr="00DA257A">
        <w:rPr>
          <w:noProof/>
        </w:rPr>
        <w:t xml:space="preserve"> w 2</w:t>
      </w:r>
      <w:r w:rsidRPr="00DA257A">
        <w:rPr>
          <w:noProof/>
        </w:rPr>
        <w:t>021</w:t>
      </w:r>
      <w:r w:rsidR="007C7210" w:rsidRPr="00DA257A">
        <w:rPr>
          <w:noProof/>
        </w:rPr>
        <w:t> </w:t>
      </w:r>
      <w:r w:rsidRPr="00DA257A">
        <w:rPr>
          <w:noProof/>
        </w:rPr>
        <w:t>r., nastąpił znaczny wzrost (53</w:t>
      </w:r>
      <w:r w:rsidR="007C7210" w:rsidRPr="00DA257A">
        <w:rPr>
          <w:noProof/>
        </w:rPr>
        <w:t> </w:t>
      </w:r>
      <w:r w:rsidRPr="00DA257A">
        <w:rPr>
          <w:noProof/>
        </w:rPr>
        <w:t xml:space="preserve">%) liczby osób przybyłych na Wyspy Kanaryjskie. </w:t>
      </w:r>
    </w:p>
    <w:p w14:paraId="7FAB704D" w14:textId="3949565A" w:rsidR="005E6AAF" w:rsidRPr="00DA257A" w:rsidRDefault="00852769" w:rsidP="006E7B16">
      <w:pPr>
        <w:spacing w:after="120"/>
        <w:rPr>
          <w:noProof/>
        </w:rPr>
      </w:pPr>
      <w:r w:rsidRPr="00DA257A">
        <w:rPr>
          <w:noProof/>
        </w:rPr>
        <w:t>Choć presja migracyjna nadal malała</w:t>
      </w:r>
      <w:r w:rsidR="00DA257A" w:rsidRPr="00DA257A">
        <w:rPr>
          <w:noProof/>
        </w:rPr>
        <w:t xml:space="preserve"> w </w:t>
      </w:r>
      <w:r w:rsidR="00DA257A" w:rsidRPr="00DA257A">
        <w:rPr>
          <w:b/>
          <w:noProof/>
        </w:rPr>
        <w:t>Gre</w:t>
      </w:r>
      <w:r w:rsidRPr="00DA257A">
        <w:rPr>
          <w:b/>
          <w:noProof/>
        </w:rPr>
        <w:t>cji</w:t>
      </w:r>
      <w:r w:rsidRPr="00DA257A">
        <w:rPr>
          <w:noProof/>
        </w:rPr>
        <w:t xml:space="preserve">, liczba osób przybyłych na </w:t>
      </w:r>
      <w:r w:rsidRPr="00DA257A">
        <w:rPr>
          <w:b/>
          <w:noProof/>
        </w:rPr>
        <w:t>Cypr</w:t>
      </w:r>
      <w:r w:rsidRPr="00DA257A">
        <w:rPr>
          <w:noProof/>
        </w:rPr>
        <w:t xml:space="preserve"> wyraźnie wzrosła (o 123</w:t>
      </w:r>
      <w:r w:rsidR="007C7210" w:rsidRPr="00DA257A">
        <w:rPr>
          <w:noProof/>
        </w:rPr>
        <w:t> </w:t>
      </w:r>
      <w:r w:rsidRPr="00DA257A">
        <w:rPr>
          <w:noProof/>
        </w:rPr>
        <w:t>%)</w:t>
      </w:r>
      <w:r w:rsidR="00DA257A" w:rsidRPr="00DA257A">
        <w:rPr>
          <w:noProof/>
        </w:rPr>
        <w:t xml:space="preserve"> w 2</w:t>
      </w:r>
      <w:r w:rsidRPr="00DA257A">
        <w:rPr>
          <w:noProof/>
        </w:rPr>
        <w:t>021</w:t>
      </w:r>
      <w:r w:rsidR="007C7210" w:rsidRPr="00DA257A">
        <w:rPr>
          <w:noProof/>
        </w:rPr>
        <w:t> </w:t>
      </w:r>
      <w:r w:rsidRPr="00DA257A">
        <w:rPr>
          <w:noProof/>
        </w:rPr>
        <w:t>r.</w:t>
      </w:r>
      <w:r w:rsidR="00DA257A" w:rsidRPr="00DA257A">
        <w:rPr>
          <w:noProof/>
        </w:rPr>
        <w:t xml:space="preserve"> w por</w:t>
      </w:r>
      <w:r w:rsidRPr="00DA257A">
        <w:rPr>
          <w:noProof/>
        </w:rPr>
        <w:t>ównaniu</w:t>
      </w:r>
      <w:r w:rsidR="00DA257A" w:rsidRPr="00DA257A">
        <w:rPr>
          <w:noProof/>
        </w:rPr>
        <w:t xml:space="preserve"> z rok</w:t>
      </w:r>
      <w:r w:rsidRPr="00DA257A">
        <w:rPr>
          <w:noProof/>
        </w:rPr>
        <w:t>iem 2020. W 2022</w:t>
      </w:r>
      <w:r w:rsidR="007C7210" w:rsidRPr="00DA257A">
        <w:rPr>
          <w:noProof/>
        </w:rPr>
        <w:t> </w:t>
      </w:r>
      <w:r w:rsidRPr="00DA257A">
        <w:rPr>
          <w:noProof/>
        </w:rPr>
        <w:t>r., według stanu na</w:t>
      </w:r>
      <w:r w:rsidR="007C7210" w:rsidRPr="00DA257A">
        <w:rPr>
          <w:noProof/>
        </w:rPr>
        <w:t> </w:t>
      </w:r>
      <w:r w:rsidRPr="00DA257A">
        <w:rPr>
          <w:noProof/>
        </w:rPr>
        <w:t>8 maja, zgłoszono 3 031 osób przybyłych do Grecji (wzrost</w:t>
      </w:r>
      <w:r w:rsidR="00DA257A" w:rsidRPr="00DA257A">
        <w:rPr>
          <w:noProof/>
        </w:rPr>
        <w:t xml:space="preserve"> o 2</w:t>
      </w:r>
      <w:r w:rsidRPr="00DA257A">
        <w:rPr>
          <w:noProof/>
        </w:rPr>
        <w:t>4</w:t>
      </w:r>
      <w:r w:rsidR="007C7210" w:rsidRPr="00DA257A">
        <w:rPr>
          <w:noProof/>
        </w:rPr>
        <w:t> </w:t>
      </w:r>
      <w:r w:rsidRPr="00DA257A">
        <w:rPr>
          <w:noProof/>
        </w:rPr>
        <w:t>%</w:t>
      </w:r>
      <w:r w:rsidR="00DA257A" w:rsidRPr="00DA257A">
        <w:rPr>
          <w:noProof/>
        </w:rPr>
        <w:t xml:space="preserve"> w por</w:t>
      </w:r>
      <w:r w:rsidRPr="00DA257A">
        <w:rPr>
          <w:noProof/>
        </w:rPr>
        <w:t>ównaniu</w:t>
      </w:r>
      <w:r w:rsidR="00DA257A" w:rsidRPr="00DA257A">
        <w:rPr>
          <w:noProof/>
        </w:rPr>
        <w:t xml:space="preserve"> z tym</w:t>
      </w:r>
      <w:r w:rsidRPr="00DA257A">
        <w:rPr>
          <w:noProof/>
        </w:rPr>
        <w:t xml:space="preserve"> samym okresem</w:t>
      </w:r>
      <w:r w:rsidR="00DA257A" w:rsidRPr="00DA257A">
        <w:rPr>
          <w:noProof/>
        </w:rPr>
        <w:t xml:space="preserve"> w 2</w:t>
      </w:r>
      <w:r w:rsidRPr="00DA257A">
        <w:rPr>
          <w:noProof/>
        </w:rPr>
        <w:t>021</w:t>
      </w:r>
      <w:r w:rsidR="007C7210" w:rsidRPr="00DA257A">
        <w:rPr>
          <w:noProof/>
        </w:rPr>
        <w:t> </w:t>
      </w:r>
      <w:r w:rsidRPr="00DA257A">
        <w:rPr>
          <w:noProof/>
        </w:rPr>
        <w:t>r.)</w:t>
      </w:r>
      <w:r w:rsidR="00DA257A" w:rsidRPr="00DA257A">
        <w:rPr>
          <w:noProof/>
        </w:rPr>
        <w:t xml:space="preserve"> i 6</w:t>
      </w:r>
      <w:r w:rsidRPr="00DA257A">
        <w:rPr>
          <w:noProof/>
        </w:rPr>
        <w:t xml:space="preserve"> 755 osób przybyłych na Cypr (wzrost</w:t>
      </w:r>
      <w:r w:rsidR="00DA257A" w:rsidRPr="00DA257A">
        <w:rPr>
          <w:noProof/>
        </w:rPr>
        <w:t xml:space="preserve"> o 1</w:t>
      </w:r>
      <w:r w:rsidRPr="00DA257A">
        <w:rPr>
          <w:noProof/>
        </w:rPr>
        <w:t>42</w:t>
      </w:r>
      <w:r w:rsidR="007C7210" w:rsidRPr="00DA257A">
        <w:rPr>
          <w:noProof/>
        </w:rPr>
        <w:t> </w:t>
      </w:r>
      <w:r w:rsidRPr="00DA257A">
        <w:rPr>
          <w:noProof/>
        </w:rPr>
        <w:t xml:space="preserve">%). </w:t>
      </w:r>
    </w:p>
    <w:p w14:paraId="6F00281D" w14:textId="6B5D4E4E" w:rsidR="0004781D" w:rsidRPr="00DA257A" w:rsidRDefault="0004781D" w:rsidP="006E7B16">
      <w:pPr>
        <w:spacing w:after="120"/>
        <w:rPr>
          <w:noProof/>
        </w:rPr>
      </w:pPr>
      <w:r w:rsidRPr="00DA257A">
        <w:rPr>
          <w:noProof/>
        </w:rPr>
        <w:t xml:space="preserve">Presja wzrosła również na </w:t>
      </w:r>
      <w:r w:rsidRPr="00DA257A">
        <w:rPr>
          <w:b/>
          <w:noProof/>
        </w:rPr>
        <w:t>szlaku</w:t>
      </w:r>
      <w:r w:rsidRPr="00DA257A">
        <w:rPr>
          <w:noProof/>
        </w:rPr>
        <w:t xml:space="preserve"> </w:t>
      </w:r>
      <w:r w:rsidRPr="00DA257A">
        <w:rPr>
          <w:b/>
          <w:noProof/>
        </w:rPr>
        <w:t>zachodniobałkańskim</w:t>
      </w:r>
      <w:r w:rsidRPr="00DA257A">
        <w:rPr>
          <w:noProof/>
        </w:rPr>
        <w:t>, gdzie</w:t>
      </w:r>
      <w:r w:rsidR="00DA257A" w:rsidRPr="00DA257A">
        <w:rPr>
          <w:noProof/>
        </w:rPr>
        <w:t xml:space="preserve"> w pie</w:t>
      </w:r>
      <w:r w:rsidRPr="00DA257A">
        <w:rPr>
          <w:noProof/>
        </w:rPr>
        <w:t>rwszych trzech miesiącach 2022</w:t>
      </w:r>
      <w:r w:rsidR="007C7210" w:rsidRPr="00DA257A">
        <w:rPr>
          <w:noProof/>
        </w:rPr>
        <w:t> </w:t>
      </w:r>
      <w:r w:rsidRPr="00DA257A">
        <w:rPr>
          <w:noProof/>
        </w:rPr>
        <w:t>r. zgłoszono 19 029 przypadków nielegalnego przekroczenia granicy, co stanowi wzrost</w:t>
      </w:r>
      <w:r w:rsidR="00DA257A" w:rsidRPr="00DA257A">
        <w:rPr>
          <w:noProof/>
        </w:rPr>
        <w:t xml:space="preserve"> o 1</w:t>
      </w:r>
      <w:r w:rsidRPr="00DA257A">
        <w:rPr>
          <w:noProof/>
        </w:rPr>
        <w:t>25</w:t>
      </w:r>
      <w:r w:rsidR="007C7210" w:rsidRPr="00DA257A">
        <w:rPr>
          <w:noProof/>
        </w:rPr>
        <w:t> </w:t>
      </w:r>
      <w:r w:rsidRPr="00DA257A">
        <w:rPr>
          <w:noProof/>
        </w:rPr>
        <w:t>%</w:t>
      </w:r>
      <w:r w:rsidR="00DA257A" w:rsidRPr="00DA257A">
        <w:rPr>
          <w:noProof/>
        </w:rPr>
        <w:t xml:space="preserve"> w por</w:t>
      </w:r>
      <w:r w:rsidRPr="00DA257A">
        <w:rPr>
          <w:noProof/>
        </w:rPr>
        <w:t>ównaniu</w:t>
      </w:r>
      <w:r w:rsidR="00DA257A" w:rsidRPr="00DA257A">
        <w:rPr>
          <w:noProof/>
        </w:rPr>
        <w:t xml:space="preserve"> z tym</w:t>
      </w:r>
      <w:r w:rsidRPr="00DA257A">
        <w:rPr>
          <w:noProof/>
        </w:rPr>
        <w:t xml:space="preserve"> samym okresem</w:t>
      </w:r>
      <w:r w:rsidR="00DA257A" w:rsidRPr="00DA257A">
        <w:rPr>
          <w:noProof/>
        </w:rPr>
        <w:t xml:space="preserve"> w rok</w:t>
      </w:r>
      <w:r w:rsidRPr="00DA257A">
        <w:rPr>
          <w:noProof/>
        </w:rPr>
        <w:t>u poprzednim.</w:t>
      </w:r>
    </w:p>
    <w:p w14:paraId="740FE156" w14:textId="10B83CE6" w:rsidR="00AD03D1" w:rsidRPr="00DA257A" w:rsidRDefault="00AD03D1" w:rsidP="00AD03D1">
      <w:pPr>
        <w:spacing w:after="120"/>
        <w:rPr>
          <w:noProof/>
        </w:rPr>
      </w:pPr>
      <w:r w:rsidRPr="00DA257A">
        <w:rPr>
          <w:noProof/>
        </w:rPr>
        <w:t>Liczba osób</w:t>
      </w:r>
      <w:r w:rsidR="00DA257A" w:rsidRPr="00DA257A">
        <w:rPr>
          <w:noProof/>
        </w:rPr>
        <w:t xml:space="preserve"> o nie</w:t>
      </w:r>
      <w:r w:rsidRPr="00DA257A">
        <w:rPr>
          <w:noProof/>
        </w:rPr>
        <w:t>uregulowanym statusie przybywających do UE</w:t>
      </w:r>
      <w:r w:rsidR="00DA257A" w:rsidRPr="00DA257A">
        <w:rPr>
          <w:noProof/>
        </w:rPr>
        <w:t xml:space="preserve"> z </w:t>
      </w:r>
      <w:r w:rsidR="00DA257A" w:rsidRPr="00DA257A">
        <w:rPr>
          <w:b/>
          <w:noProof/>
        </w:rPr>
        <w:t>Afg</w:t>
      </w:r>
      <w:r w:rsidRPr="00DA257A">
        <w:rPr>
          <w:b/>
          <w:noProof/>
        </w:rPr>
        <w:t>anistanu</w:t>
      </w:r>
      <w:r w:rsidRPr="00DA257A">
        <w:rPr>
          <w:noProof/>
        </w:rPr>
        <w:t xml:space="preserve"> wzrosła od czasu przejęcia władzy przez talibów</w:t>
      </w:r>
      <w:r w:rsidR="00DA257A" w:rsidRPr="00DA257A">
        <w:rPr>
          <w:noProof/>
        </w:rPr>
        <w:t xml:space="preserve"> w sie</w:t>
      </w:r>
      <w:r w:rsidRPr="00DA257A">
        <w:rPr>
          <w:noProof/>
        </w:rPr>
        <w:t>rpniu 2021</w:t>
      </w:r>
      <w:r w:rsidR="007C7210" w:rsidRPr="00DA257A">
        <w:rPr>
          <w:noProof/>
        </w:rPr>
        <w:t> </w:t>
      </w:r>
      <w:r w:rsidRPr="00DA257A">
        <w:rPr>
          <w:noProof/>
        </w:rPr>
        <w:t xml:space="preserve">r., ale utrzymuje się na umiarkowanym poziomie. </w:t>
      </w:r>
    </w:p>
    <w:p w14:paraId="20448360" w14:textId="4AB01906" w:rsidR="00AD03D1" w:rsidRPr="00DA257A" w:rsidRDefault="00AD03D1" w:rsidP="006E7B16">
      <w:pPr>
        <w:spacing w:after="120"/>
        <w:rPr>
          <w:noProof/>
        </w:rPr>
      </w:pPr>
      <w:r w:rsidRPr="00DA257A">
        <w:rPr>
          <w:noProof/>
        </w:rPr>
        <w:t>Według danych Europolu</w:t>
      </w:r>
      <w:r w:rsidR="003C4807" w:rsidRPr="00DA257A">
        <w:rPr>
          <w:rStyle w:val="FootnoteReference"/>
          <w:noProof/>
        </w:rPr>
        <w:footnoteReference w:id="18"/>
      </w:r>
      <w:r w:rsidRPr="00DA257A">
        <w:rPr>
          <w:noProof/>
        </w:rPr>
        <w:t xml:space="preserve"> ponad 90</w:t>
      </w:r>
      <w:r w:rsidR="007C7210" w:rsidRPr="00DA257A">
        <w:rPr>
          <w:noProof/>
        </w:rPr>
        <w:t> </w:t>
      </w:r>
      <w:r w:rsidRPr="00DA257A">
        <w:rPr>
          <w:noProof/>
        </w:rPr>
        <w:t>% migrantów</w:t>
      </w:r>
      <w:r w:rsidR="00DA257A" w:rsidRPr="00DA257A">
        <w:rPr>
          <w:noProof/>
        </w:rPr>
        <w:t xml:space="preserve"> o nie</w:t>
      </w:r>
      <w:r w:rsidRPr="00DA257A">
        <w:rPr>
          <w:noProof/>
        </w:rPr>
        <w:t>uregulowanym statusie, którzy docierają do UE, korzysta</w:t>
      </w:r>
      <w:r w:rsidR="00DA257A" w:rsidRPr="00DA257A">
        <w:rPr>
          <w:noProof/>
        </w:rPr>
        <w:t xml:space="preserve"> z usł</w:t>
      </w:r>
      <w:r w:rsidRPr="00DA257A">
        <w:rPr>
          <w:noProof/>
        </w:rPr>
        <w:t>ug przemytników podczas całej podróży albo jej części. Dwie trzecie</w:t>
      </w:r>
      <w:r w:rsidR="00DA257A" w:rsidRPr="00DA257A">
        <w:rPr>
          <w:noProof/>
        </w:rPr>
        <w:t xml:space="preserve"> z nic</w:t>
      </w:r>
      <w:r w:rsidRPr="00DA257A">
        <w:rPr>
          <w:noProof/>
        </w:rPr>
        <w:t>h nie spełnia kryteriów pozwalających uzyskać ochronę międzynarodową</w:t>
      </w:r>
      <w:r w:rsidR="00DA257A" w:rsidRPr="00DA257A">
        <w:rPr>
          <w:noProof/>
        </w:rPr>
        <w:t xml:space="preserve"> w pie</w:t>
      </w:r>
      <w:r w:rsidRPr="00DA257A">
        <w:rPr>
          <w:noProof/>
        </w:rPr>
        <w:t>rwszej instancji</w:t>
      </w:r>
      <w:r w:rsidR="00DA257A" w:rsidRPr="00DA257A">
        <w:rPr>
          <w:noProof/>
        </w:rPr>
        <w:t xml:space="preserve"> i ost</w:t>
      </w:r>
      <w:r w:rsidRPr="00DA257A">
        <w:rPr>
          <w:noProof/>
        </w:rPr>
        <w:t>atecznie osoby te będą musiały zostać zawrócone.</w:t>
      </w:r>
    </w:p>
    <w:p w14:paraId="7F70B956" w14:textId="42854031" w:rsidR="00670934" w:rsidRPr="00DA257A" w:rsidRDefault="00246066" w:rsidP="006E7B16">
      <w:pPr>
        <w:spacing w:after="120"/>
        <w:rPr>
          <w:noProof/>
        </w:rPr>
      </w:pPr>
      <w:r w:rsidRPr="00DA257A">
        <w:rPr>
          <w:noProof/>
          <w:lang w:val="en-GB"/>
        </w:rPr>
        <w:drawing>
          <wp:inline distT="0" distB="0" distL="0" distR="0" wp14:anchorId="59D55C3B" wp14:editId="0A6ECB70">
            <wp:extent cx="6030595" cy="388456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30595" cy="3884565"/>
                    </a:xfrm>
                    <a:prstGeom prst="rect">
                      <a:avLst/>
                    </a:prstGeom>
                    <a:noFill/>
                    <a:ln>
                      <a:noFill/>
                    </a:ln>
                  </pic:spPr>
                </pic:pic>
              </a:graphicData>
            </a:graphic>
          </wp:inline>
        </w:drawing>
      </w:r>
    </w:p>
    <w:p w14:paraId="3CBB4C20" w14:textId="589FAA28" w:rsidR="00EE4CD4" w:rsidRPr="00DA257A" w:rsidRDefault="00670934" w:rsidP="00670934">
      <w:pPr>
        <w:spacing w:after="160" w:line="259" w:lineRule="auto"/>
        <w:jc w:val="left"/>
        <w:rPr>
          <w:noProof/>
        </w:rPr>
      </w:pPr>
      <w:r w:rsidRPr="00DA257A">
        <w:rPr>
          <w:noProof/>
        </w:rPr>
        <w:br w:type="page"/>
      </w:r>
    </w:p>
    <w:tbl>
      <w:tblPr>
        <w:tblStyle w:val="TableGrid"/>
        <w:tblW w:w="0" w:type="auto"/>
        <w:tblLook w:val="04A0" w:firstRow="1" w:lastRow="0" w:firstColumn="1" w:lastColumn="0" w:noHBand="0" w:noVBand="1"/>
      </w:tblPr>
      <w:tblGrid>
        <w:gridCol w:w="9606"/>
      </w:tblGrid>
      <w:tr w:rsidR="006632DF" w:rsidRPr="00DA257A" w14:paraId="2AE0A7E6" w14:textId="77777777" w:rsidTr="0041695E">
        <w:tc>
          <w:tcPr>
            <w:tcW w:w="9606" w:type="dxa"/>
          </w:tcPr>
          <w:p w14:paraId="228312AD" w14:textId="117BAD9B" w:rsidR="006632DF" w:rsidRPr="00DA257A" w:rsidRDefault="006632DF" w:rsidP="006632DF">
            <w:pPr>
              <w:spacing w:after="120"/>
              <w:rPr>
                <w:b/>
                <w:bCs/>
                <w:noProof/>
                <w:sz w:val="22"/>
                <w:szCs w:val="22"/>
              </w:rPr>
            </w:pPr>
            <w:r w:rsidRPr="00DA257A">
              <w:rPr>
                <w:b/>
                <w:noProof/>
                <w:sz w:val="22"/>
              </w:rPr>
              <w:t>Ramka 3. Agresja Rosji na Ukrainę – największe</w:t>
            </w:r>
            <w:r w:rsidR="00DA257A" w:rsidRPr="00DA257A">
              <w:rPr>
                <w:b/>
                <w:noProof/>
                <w:sz w:val="22"/>
              </w:rPr>
              <w:t xml:space="preserve"> w Eur</w:t>
            </w:r>
            <w:r w:rsidRPr="00DA257A">
              <w:rPr>
                <w:b/>
                <w:noProof/>
                <w:sz w:val="22"/>
              </w:rPr>
              <w:t>opie przymusowe przesiedlenie ludności od czasów II wojny światowej</w:t>
            </w:r>
            <w:r w:rsidR="00DA257A" w:rsidRPr="00DA257A">
              <w:rPr>
                <w:b/>
                <w:noProof/>
                <w:sz w:val="22"/>
              </w:rPr>
              <w:t xml:space="preserve"> i nat</w:t>
            </w:r>
            <w:r w:rsidRPr="00DA257A">
              <w:rPr>
                <w:b/>
                <w:noProof/>
                <w:sz w:val="22"/>
              </w:rPr>
              <w:t>ychmiastowa reakcja UE</w:t>
            </w:r>
          </w:p>
          <w:p w14:paraId="19704932" w14:textId="7ED93005" w:rsidR="0004096A" w:rsidRPr="00DA257A" w:rsidRDefault="006632DF" w:rsidP="006632DF">
            <w:pPr>
              <w:spacing w:after="120"/>
              <w:rPr>
                <w:noProof/>
                <w:sz w:val="22"/>
              </w:rPr>
            </w:pPr>
            <w:r w:rsidRPr="00DA257A">
              <w:rPr>
                <w:noProof/>
                <w:sz w:val="22"/>
              </w:rPr>
              <w:t>Od początku inwazji wojsk rosyjskich na Ukrainę do Unii Europejskiej</w:t>
            </w:r>
            <w:r w:rsidR="00DA257A" w:rsidRPr="00DA257A">
              <w:rPr>
                <w:noProof/>
                <w:sz w:val="22"/>
              </w:rPr>
              <w:t xml:space="preserve"> z Ukr</w:t>
            </w:r>
            <w:r w:rsidRPr="00DA257A">
              <w:rPr>
                <w:noProof/>
                <w:sz w:val="22"/>
              </w:rPr>
              <w:t>ainy</w:t>
            </w:r>
            <w:r w:rsidR="00DA257A" w:rsidRPr="00DA257A">
              <w:rPr>
                <w:noProof/>
                <w:sz w:val="22"/>
              </w:rPr>
              <w:t xml:space="preserve"> i Moł</w:t>
            </w:r>
            <w:r w:rsidRPr="00DA257A">
              <w:rPr>
                <w:noProof/>
                <w:sz w:val="22"/>
              </w:rPr>
              <w:t>dawii przybyło około 6 milionów osób,</w:t>
            </w:r>
            <w:r w:rsidR="00DA257A" w:rsidRPr="00DA257A">
              <w:rPr>
                <w:noProof/>
                <w:sz w:val="22"/>
              </w:rPr>
              <w:t xml:space="preserve"> z cze</w:t>
            </w:r>
            <w:r w:rsidRPr="00DA257A">
              <w:rPr>
                <w:noProof/>
                <w:sz w:val="22"/>
              </w:rPr>
              <w:t>go 200 000 to obywatele państw trzecich nieposiadający obywatelstwa Ukrainy. Ukraińcy posiadający paszport biometryczny przyjeżdżają jako podróżni nieobjęci obowiązkiem wizowym</w:t>
            </w:r>
            <w:r w:rsidR="00DA257A" w:rsidRPr="00DA257A">
              <w:rPr>
                <w:noProof/>
                <w:sz w:val="22"/>
              </w:rPr>
              <w:t xml:space="preserve"> i czę</w:t>
            </w:r>
            <w:r w:rsidRPr="00DA257A">
              <w:rPr>
                <w:noProof/>
                <w:sz w:val="22"/>
              </w:rPr>
              <w:t>sto dołączają do swoich rodzin</w:t>
            </w:r>
            <w:r w:rsidR="00DA257A" w:rsidRPr="00DA257A">
              <w:rPr>
                <w:noProof/>
                <w:sz w:val="22"/>
              </w:rPr>
              <w:t xml:space="preserve"> i prz</w:t>
            </w:r>
            <w:r w:rsidRPr="00DA257A">
              <w:rPr>
                <w:noProof/>
                <w:sz w:val="22"/>
              </w:rPr>
              <w:t>yjaciół</w:t>
            </w:r>
            <w:r w:rsidR="00DA257A" w:rsidRPr="00DA257A">
              <w:rPr>
                <w:noProof/>
                <w:sz w:val="22"/>
              </w:rPr>
              <w:t xml:space="preserve"> w róż</w:t>
            </w:r>
            <w:r w:rsidRPr="00DA257A">
              <w:rPr>
                <w:noProof/>
                <w:sz w:val="22"/>
              </w:rPr>
              <w:t xml:space="preserve">nych państwach członkowskich. </w:t>
            </w:r>
          </w:p>
          <w:p w14:paraId="03B4CE8C" w14:textId="1571B9BF" w:rsidR="0004096A" w:rsidRPr="00DA257A" w:rsidRDefault="0004096A" w:rsidP="006632DF">
            <w:pPr>
              <w:spacing w:after="120"/>
              <w:rPr>
                <w:noProof/>
                <w:sz w:val="22"/>
              </w:rPr>
            </w:pPr>
            <w:r w:rsidRPr="00DA257A">
              <w:rPr>
                <w:noProof/>
                <w:sz w:val="22"/>
              </w:rPr>
              <w:t>UE skutecznie poradziła sobie</w:t>
            </w:r>
            <w:r w:rsidR="00DA257A" w:rsidRPr="00DA257A">
              <w:rPr>
                <w:noProof/>
                <w:sz w:val="22"/>
              </w:rPr>
              <w:t xml:space="preserve"> z pow</w:t>
            </w:r>
            <w:r w:rsidRPr="00DA257A">
              <w:rPr>
                <w:noProof/>
                <w:sz w:val="22"/>
              </w:rPr>
              <w:t>ażnymi konsekwencjami dzięki zastosowaniu środków dostępnych zarówno</w:t>
            </w:r>
            <w:r w:rsidR="00DA257A" w:rsidRPr="00DA257A">
              <w:rPr>
                <w:noProof/>
                <w:sz w:val="22"/>
              </w:rPr>
              <w:t xml:space="preserve"> w ram</w:t>
            </w:r>
            <w:r w:rsidRPr="00DA257A">
              <w:rPr>
                <w:noProof/>
                <w:sz w:val="22"/>
              </w:rPr>
              <w:t>ach dorobku Schengen, jak</w:t>
            </w:r>
            <w:r w:rsidR="00DA257A" w:rsidRPr="00DA257A">
              <w:rPr>
                <w:noProof/>
                <w:sz w:val="22"/>
              </w:rPr>
              <w:t xml:space="preserve"> i poz</w:t>
            </w:r>
            <w:r w:rsidRPr="00DA257A">
              <w:rPr>
                <w:noProof/>
                <w:sz w:val="22"/>
              </w:rPr>
              <w:t xml:space="preserve">a nim: </w:t>
            </w:r>
          </w:p>
          <w:p w14:paraId="4A6479FF" w14:textId="039ABE07" w:rsidR="004F6C28" w:rsidRPr="00DA257A" w:rsidRDefault="0004096A" w:rsidP="0004096A">
            <w:pPr>
              <w:pStyle w:val="ListParagraph"/>
              <w:numPr>
                <w:ilvl w:val="0"/>
                <w:numId w:val="7"/>
              </w:numPr>
              <w:spacing w:after="120"/>
              <w:rPr>
                <w:noProof/>
                <w:sz w:val="22"/>
                <w:szCs w:val="22"/>
              </w:rPr>
            </w:pPr>
            <w:r w:rsidRPr="00DA257A">
              <w:rPr>
                <w:noProof/>
                <w:sz w:val="22"/>
              </w:rPr>
              <w:t>biorąc pod uwagę wyjątkową sytuację na granicach Unii</w:t>
            </w:r>
            <w:r w:rsidR="00DA257A" w:rsidRPr="00DA257A">
              <w:rPr>
                <w:noProof/>
                <w:sz w:val="22"/>
              </w:rPr>
              <w:t xml:space="preserve"> z Ukr</w:t>
            </w:r>
            <w:r w:rsidRPr="00DA257A">
              <w:rPr>
                <w:noProof/>
                <w:sz w:val="22"/>
              </w:rPr>
              <w:t>ainą, Komisja przedstawiła wytyczne operacyjne</w:t>
            </w:r>
            <w:r w:rsidR="004C3A65" w:rsidRPr="00DA257A">
              <w:rPr>
                <w:rStyle w:val="FootnoteReference"/>
                <w:noProof/>
                <w:sz w:val="22"/>
                <w:szCs w:val="22"/>
              </w:rPr>
              <w:footnoteReference w:id="19"/>
            </w:r>
            <w:r w:rsidRPr="00DA257A">
              <w:rPr>
                <w:noProof/>
                <w:sz w:val="22"/>
              </w:rPr>
              <w:t>, które mają pomóc funkcjonariuszom straży granicznej państw członkowskich</w:t>
            </w:r>
            <w:r w:rsidR="00DA257A" w:rsidRPr="00DA257A">
              <w:rPr>
                <w:noProof/>
                <w:sz w:val="22"/>
              </w:rPr>
              <w:t xml:space="preserve"> w </w:t>
            </w:r>
            <w:r w:rsidR="00DA257A" w:rsidRPr="00DA257A">
              <w:rPr>
                <w:b/>
                <w:noProof/>
                <w:sz w:val="22"/>
              </w:rPr>
              <w:t>sku</w:t>
            </w:r>
            <w:r w:rsidRPr="00DA257A">
              <w:rPr>
                <w:b/>
                <w:noProof/>
                <w:sz w:val="22"/>
              </w:rPr>
              <w:t>tecznym zarządzaniu napływem</w:t>
            </w:r>
            <w:r w:rsidRPr="00DA257A">
              <w:rPr>
                <w:noProof/>
                <w:sz w:val="22"/>
              </w:rPr>
              <w:t xml:space="preserve"> migrantów na granicach, przy jednoczesnym zachowaniu wysokiego poziomu bezpieczeństwa;</w:t>
            </w:r>
          </w:p>
          <w:p w14:paraId="0BA8FAC4" w14:textId="71EC22D5" w:rsidR="006632DF" w:rsidRPr="00DA257A" w:rsidRDefault="006632DF" w:rsidP="00B82B0D">
            <w:pPr>
              <w:pStyle w:val="ListParagraph"/>
              <w:numPr>
                <w:ilvl w:val="0"/>
                <w:numId w:val="7"/>
              </w:numPr>
              <w:spacing w:after="120"/>
              <w:rPr>
                <w:noProof/>
                <w:sz w:val="22"/>
                <w:szCs w:val="22"/>
              </w:rPr>
            </w:pPr>
            <w:r w:rsidRPr="00DA257A">
              <w:rPr>
                <w:noProof/>
                <w:sz w:val="22"/>
              </w:rPr>
              <w:t>4 marca 2022</w:t>
            </w:r>
            <w:r w:rsidR="007C7210" w:rsidRPr="00DA257A">
              <w:rPr>
                <w:noProof/>
                <w:sz w:val="22"/>
              </w:rPr>
              <w:t> </w:t>
            </w:r>
            <w:r w:rsidRPr="00DA257A">
              <w:rPr>
                <w:noProof/>
                <w:sz w:val="22"/>
              </w:rPr>
              <w:t>r. Rada, na wniosek Komisji, jednogłośnie przyjęła po raz pierwszy decyzję wykonawczą</w:t>
            </w:r>
            <w:r w:rsidR="00D02291" w:rsidRPr="00DA257A">
              <w:rPr>
                <w:rStyle w:val="FootnoteReference"/>
                <w:noProof/>
                <w:sz w:val="22"/>
                <w:szCs w:val="22"/>
              </w:rPr>
              <w:footnoteReference w:id="20"/>
            </w:r>
            <w:r w:rsidRPr="00DA257A">
              <w:rPr>
                <w:noProof/>
                <w:sz w:val="22"/>
              </w:rPr>
              <w:t xml:space="preserve"> wprowadzającą tymczasową ochronę</w:t>
            </w:r>
            <w:r w:rsidR="00EE4CD4" w:rsidRPr="00DA257A">
              <w:rPr>
                <w:rStyle w:val="FootnoteReference"/>
                <w:noProof/>
                <w:sz w:val="22"/>
                <w:szCs w:val="22"/>
              </w:rPr>
              <w:footnoteReference w:id="21"/>
            </w:r>
            <w:r w:rsidRPr="00DA257A">
              <w:rPr>
                <w:noProof/>
                <w:sz w:val="22"/>
              </w:rPr>
              <w:t xml:space="preserve"> ze względu na masowy napływ osób uciekających</w:t>
            </w:r>
            <w:r w:rsidR="00DA257A" w:rsidRPr="00DA257A">
              <w:rPr>
                <w:noProof/>
                <w:sz w:val="22"/>
              </w:rPr>
              <w:t xml:space="preserve"> z Ukr</w:t>
            </w:r>
            <w:r w:rsidRPr="00DA257A">
              <w:rPr>
                <w:noProof/>
                <w:sz w:val="22"/>
              </w:rPr>
              <w:t>ainy</w:t>
            </w:r>
            <w:r w:rsidR="00DA257A" w:rsidRPr="00DA257A">
              <w:rPr>
                <w:noProof/>
                <w:sz w:val="22"/>
              </w:rPr>
              <w:t xml:space="preserve"> w wyn</w:t>
            </w:r>
            <w:r w:rsidRPr="00DA257A">
              <w:rPr>
                <w:noProof/>
                <w:sz w:val="22"/>
              </w:rPr>
              <w:t xml:space="preserve">iku działań wojennych; </w:t>
            </w:r>
          </w:p>
          <w:p w14:paraId="6CA8DD7C" w14:textId="701B9C63" w:rsidR="006632DF" w:rsidRPr="00DA257A" w:rsidRDefault="006632DF" w:rsidP="00E16C95">
            <w:pPr>
              <w:pStyle w:val="ListParagraph"/>
              <w:numPr>
                <w:ilvl w:val="0"/>
                <w:numId w:val="7"/>
              </w:numPr>
              <w:spacing w:after="120"/>
              <w:rPr>
                <w:noProof/>
                <w:sz w:val="22"/>
                <w:szCs w:val="22"/>
              </w:rPr>
            </w:pPr>
            <w:r w:rsidRPr="00DA257A">
              <w:rPr>
                <w:noProof/>
                <w:sz w:val="22"/>
              </w:rPr>
              <w:t>zintensyfikowano działania</w:t>
            </w:r>
            <w:r w:rsidR="00DA257A" w:rsidRPr="00DA257A">
              <w:rPr>
                <w:noProof/>
                <w:sz w:val="22"/>
              </w:rPr>
              <w:t xml:space="preserve"> w ram</w:t>
            </w:r>
            <w:r w:rsidRPr="00DA257A">
              <w:rPr>
                <w:noProof/>
                <w:sz w:val="22"/>
              </w:rPr>
              <w:t>ach unijnej sieci ds. reagowania</w:t>
            </w:r>
            <w:r w:rsidR="00DA257A" w:rsidRPr="00DA257A">
              <w:rPr>
                <w:noProof/>
                <w:sz w:val="22"/>
              </w:rPr>
              <w:t xml:space="preserve"> w obs</w:t>
            </w:r>
            <w:r w:rsidRPr="00DA257A">
              <w:rPr>
                <w:noProof/>
                <w:sz w:val="22"/>
              </w:rPr>
              <w:t>zarze migracji i na wypadek kryzysu migracyjnego („sieci ds. planu gotowości</w:t>
            </w:r>
            <w:r w:rsidR="00DA257A" w:rsidRPr="00DA257A">
              <w:rPr>
                <w:noProof/>
                <w:sz w:val="22"/>
              </w:rPr>
              <w:t xml:space="preserve"> i zar</w:t>
            </w:r>
            <w:r w:rsidRPr="00DA257A">
              <w:rPr>
                <w:noProof/>
                <w:sz w:val="22"/>
              </w:rPr>
              <w:t>ządzania kryzysowego”)</w:t>
            </w:r>
            <w:r w:rsidR="00D92CC3" w:rsidRPr="00DA257A">
              <w:rPr>
                <w:rStyle w:val="FootnoteReference"/>
                <w:noProof/>
                <w:sz w:val="22"/>
                <w:szCs w:val="22"/>
              </w:rPr>
              <w:footnoteReference w:id="22"/>
            </w:r>
            <w:r w:rsidRPr="00DA257A">
              <w:rPr>
                <w:noProof/>
                <w:sz w:val="22"/>
              </w:rPr>
              <w:t>, aby zapewnić stałą wymianę informacji</w:t>
            </w:r>
            <w:r w:rsidR="00DA257A" w:rsidRPr="00DA257A">
              <w:rPr>
                <w:noProof/>
                <w:sz w:val="22"/>
              </w:rPr>
              <w:t xml:space="preserve"> i sko</w:t>
            </w:r>
            <w:r w:rsidRPr="00DA257A">
              <w:rPr>
                <w:noProof/>
                <w:sz w:val="22"/>
              </w:rPr>
              <w:t>ordynowaną reakcję na wyzwania związane</w:t>
            </w:r>
            <w:r w:rsidR="00DA257A" w:rsidRPr="00DA257A">
              <w:rPr>
                <w:noProof/>
                <w:sz w:val="22"/>
              </w:rPr>
              <w:t xml:space="preserve"> z tak</w:t>
            </w:r>
            <w:r w:rsidRPr="00DA257A">
              <w:rPr>
                <w:noProof/>
                <w:sz w:val="22"/>
              </w:rPr>
              <w:t>imi zdarzeniami;</w:t>
            </w:r>
          </w:p>
          <w:p w14:paraId="2545C54D" w14:textId="559732E0" w:rsidR="00E55BA0" w:rsidRPr="00DA257A" w:rsidRDefault="00E55BA0" w:rsidP="006632DF">
            <w:pPr>
              <w:pStyle w:val="ListParagraph"/>
              <w:numPr>
                <w:ilvl w:val="0"/>
                <w:numId w:val="7"/>
              </w:numPr>
              <w:spacing w:after="120"/>
              <w:rPr>
                <w:noProof/>
                <w:sz w:val="22"/>
                <w:szCs w:val="22"/>
              </w:rPr>
            </w:pPr>
            <w:r w:rsidRPr="00DA257A">
              <w:rPr>
                <w:noProof/>
                <w:sz w:val="22"/>
              </w:rPr>
              <w:t xml:space="preserve">Komisja utworzyła również </w:t>
            </w:r>
            <w:r w:rsidRPr="00DA257A">
              <w:rPr>
                <w:b/>
                <w:noProof/>
                <w:sz w:val="22"/>
              </w:rPr>
              <w:t>platformę solidarności</w:t>
            </w:r>
            <w:r w:rsidRPr="00DA257A">
              <w:rPr>
                <w:noProof/>
                <w:sz w:val="22"/>
              </w:rPr>
              <w:t>, skupiającą państwa członkowskie</w:t>
            </w:r>
            <w:r w:rsidR="00DA257A" w:rsidRPr="00DA257A">
              <w:rPr>
                <w:noProof/>
                <w:sz w:val="22"/>
              </w:rPr>
              <w:t xml:space="preserve"> i pań</w:t>
            </w:r>
            <w:r w:rsidRPr="00DA257A">
              <w:rPr>
                <w:noProof/>
                <w:sz w:val="22"/>
              </w:rPr>
              <w:t>stwa stowarzyszone</w:t>
            </w:r>
            <w:r w:rsidR="00DA257A" w:rsidRPr="00DA257A">
              <w:rPr>
                <w:noProof/>
                <w:sz w:val="22"/>
              </w:rPr>
              <w:t xml:space="preserve"> w ram</w:t>
            </w:r>
            <w:r w:rsidRPr="00DA257A">
              <w:rPr>
                <w:noProof/>
                <w:sz w:val="22"/>
              </w:rPr>
              <w:t>ach Schengen, agencje UE, organizacje międzynarodowe,</w:t>
            </w:r>
            <w:r w:rsidR="00DA257A" w:rsidRPr="00DA257A">
              <w:rPr>
                <w:noProof/>
                <w:sz w:val="22"/>
              </w:rPr>
              <w:t xml:space="preserve"> z udz</w:t>
            </w:r>
            <w:r w:rsidRPr="00DA257A">
              <w:rPr>
                <w:noProof/>
                <w:sz w:val="22"/>
              </w:rPr>
              <w:t>iałem Ukrainy</w:t>
            </w:r>
            <w:r w:rsidR="00DA257A" w:rsidRPr="00DA257A">
              <w:rPr>
                <w:noProof/>
                <w:sz w:val="22"/>
              </w:rPr>
              <w:t xml:space="preserve"> i Moł</w:t>
            </w:r>
            <w:r w:rsidRPr="00DA257A">
              <w:rPr>
                <w:noProof/>
                <w:sz w:val="22"/>
              </w:rPr>
              <w:t>dawii,</w:t>
            </w:r>
            <w:r w:rsidR="00DA257A" w:rsidRPr="00DA257A">
              <w:rPr>
                <w:noProof/>
                <w:sz w:val="22"/>
              </w:rPr>
              <w:t xml:space="preserve"> w cel</w:t>
            </w:r>
            <w:r w:rsidRPr="00DA257A">
              <w:rPr>
                <w:noProof/>
                <w:sz w:val="22"/>
              </w:rPr>
              <w:t>u koordynowania wsparcia dla osób uciekających przed wojną</w:t>
            </w:r>
            <w:r w:rsidR="00DA257A" w:rsidRPr="00DA257A">
              <w:rPr>
                <w:noProof/>
                <w:sz w:val="22"/>
              </w:rPr>
              <w:t xml:space="preserve"> w Ukr</w:t>
            </w:r>
            <w:r w:rsidRPr="00DA257A">
              <w:rPr>
                <w:noProof/>
                <w:sz w:val="22"/>
              </w:rPr>
              <w:t xml:space="preserve">ainie oraz dla krajów, które je przyjmują. </w:t>
            </w:r>
          </w:p>
          <w:p w14:paraId="00AEDA24" w14:textId="5DD2A630" w:rsidR="006632DF" w:rsidRPr="00DA257A" w:rsidRDefault="006914D9" w:rsidP="00342DE5">
            <w:pPr>
              <w:pStyle w:val="ListParagraph"/>
              <w:numPr>
                <w:ilvl w:val="0"/>
                <w:numId w:val="7"/>
              </w:numPr>
              <w:spacing w:after="120"/>
              <w:rPr>
                <w:noProof/>
                <w:sz w:val="22"/>
                <w:szCs w:val="22"/>
              </w:rPr>
            </w:pPr>
            <w:r w:rsidRPr="00DA257A">
              <w:rPr>
                <w:noProof/>
                <w:sz w:val="22"/>
              </w:rPr>
              <w:t>na nadzwyczajnym posiedzeniu Rady ds. Wymiaru Sprawiedliwości</w:t>
            </w:r>
            <w:r w:rsidR="00DA257A" w:rsidRPr="00DA257A">
              <w:rPr>
                <w:noProof/>
                <w:sz w:val="22"/>
              </w:rPr>
              <w:t xml:space="preserve"> i Spr</w:t>
            </w:r>
            <w:r w:rsidRPr="00DA257A">
              <w:rPr>
                <w:noProof/>
                <w:sz w:val="22"/>
              </w:rPr>
              <w:t>aw Wewnętrznych</w:t>
            </w:r>
            <w:r w:rsidR="00DA257A" w:rsidRPr="00DA257A">
              <w:rPr>
                <w:noProof/>
                <w:sz w:val="22"/>
              </w:rPr>
              <w:t xml:space="preserve"> w dni</w:t>
            </w:r>
            <w:r w:rsidRPr="00DA257A">
              <w:rPr>
                <w:noProof/>
                <w:sz w:val="22"/>
              </w:rPr>
              <w:t>u 28 marca Komisja przedstawiła 10-punktowy plan działania</w:t>
            </w:r>
            <w:r w:rsidR="006632DF" w:rsidRPr="00DA257A">
              <w:rPr>
                <w:rStyle w:val="FootnoteReference"/>
                <w:noProof/>
                <w:sz w:val="22"/>
                <w:szCs w:val="22"/>
              </w:rPr>
              <w:footnoteReference w:id="23"/>
            </w:r>
            <w:r w:rsidRPr="00DA257A">
              <w:rPr>
                <w:noProof/>
                <w:sz w:val="22"/>
              </w:rPr>
              <w:t>, uzgodniony wcześniej</w:t>
            </w:r>
            <w:r w:rsidR="00DA257A" w:rsidRPr="00DA257A">
              <w:rPr>
                <w:noProof/>
                <w:sz w:val="22"/>
              </w:rPr>
              <w:t xml:space="preserve"> z fra</w:t>
            </w:r>
            <w:r w:rsidRPr="00DA257A">
              <w:rPr>
                <w:noProof/>
                <w:sz w:val="22"/>
              </w:rPr>
              <w:t>ncuską prezydencją</w:t>
            </w:r>
            <w:r w:rsidR="00DA257A" w:rsidRPr="00DA257A">
              <w:rPr>
                <w:noProof/>
                <w:sz w:val="22"/>
              </w:rPr>
              <w:t xml:space="preserve"> w Rad</w:t>
            </w:r>
            <w:r w:rsidRPr="00DA257A">
              <w:rPr>
                <w:noProof/>
                <w:sz w:val="22"/>
              </w:rPr>
              <w:t>zie UE, który ma ułatwić ściślejszą koordynację na szczeblu europejskim</w:t>
            </w:r>
            <w:r w:rsidR="00DA257A" w:rsidRPr="00DA257A">
              <w:rPr>
                <w:noProof/>
                <w:sz w:val="22"/>
              </w:rPr>
              <w:t xml:space="preserve"> w kwe</w:t>
            </w:r>
            <w:r w:rsidRPr="00DA257A">
              <w:rPr>
                <w:noProof/>
                <w:sz w:val="22"/>
              </w:rPr>
              <w:t>stii przyjmowania osób uciekających przed wojną</w:t>
            </w:r>
            <w:r w:rsidR="00DA257A" w:rsidRPr="00DA257A">
              <w:rPr>
                <w:noProof/>
                <w:sz w:val="22"/>
              </w:rPr>
              <w:t xml:space="preserve"> w Ukr</w:t>
            </w:r>
            <w:r w:rsidRPr="00DA257A">
              <w:rPr>
                <w:noProof/>
                <w:sz w:val="22"/>
              </w:rPr>
              <w:t>ainie;</w:t>
            </w:r>
          </w:p>
          <w:p w14:paraId="4EF34F46" w14:textId="77777777" w:rsidR="006632DF" w:rsidRPr="00DA257A" w:rsidRDefault="006632DF" w:rsidP="006632DF">
            <w:pPr>
              <w:pStyle w:val="ListParagraph"/>
              <w:numPr>
                <w:ilvl w:val="0"/>
                <w:numId w:val="7"/>
              </w:numPr>
              <w:rPr>
                <w:noProof/>
                <w:sz w:val="22"/>
                <w:szCs w:val="22"/>
              </w:rPr>
            </w:pPr>
            <w:r w:rsidRPr="00DA257A">
              <w:rPr>
                <w:b/>
                <w:noProof/>
                <w:sz w:val="22"/>
              </w:rPr>
              <w:t>agencje UE</w:t>
            </w:r>
            <w:r w:rsidRPr="00DA257A">
              <w:rPr>
                <w:noProof/>
                <w:sz w:val="22"/>
              </w:rPr>
              <w:t xml:space="preserve"> szybko udzieliły konkretnego wsparcia:</w:t>
            </w:r>
          </w:p>
          <w:p w14:paraId="2A9ECA4F" w14:textId="5BF64022" w:rsidR="00DB2E0B" w:rsidRPr="00DA257A" w:rsidRDefault="006632DF" w:rsidP="00DB2E0B">
            <w:pPr>
              <w:pStyle w:val="ListParagraph"/>
              <w:numPr>
                <w:ilvl w:val="1"/>
                <w:numId w:val="7"/>
              </w:numPr>
              <w:ind w:left="1134"/>
              <w:rPr>
                <w:noProof/>
                <w:sz w:val="22"/>
                <w:szCs w:val="22"/>
              </w:rPr>
            </w:pPr>
            <w:r w:rsidRPr="00DA257A">
              <w:rPr>
                <w:b/>
                <w:noProof/>
                <w:sz w:val="22"/>
              </w:rPr>
              <w:t>Frontex</w:t>
            </w:r>
            <w:r w:rsidRPr="00DA257A">
              <w:rPr>
                <w:noProof/>
                <w:sz w:val="22"/>
              </w:rPr>
              <w:t xml:space="preserve"> natychmiast rozmieścił dodatkowy personel na granicach między Unią Europejską</w:t>
            </w:r>
            <w:r w:rsidR="00DA257A" w:rsidRPr="00DA257A">
              <w:rPr>
                <w:noProof/>
                <w:sz w:val="22"/>
              </w:rPr>
              <w:t xml:space="preserve"> a Ukr</w:t>
            </w:r>
            <w:r w:rsidRPr="00DA257A">
              <w:rPr>
                <w:noProof/>
                <w:sz w:val="22"/>
              </w:rPr>
              <w:t>ainą</w:t>
            </w:r>
            <w:r w:rsidR="00DA257A" w:rsidRPr="00DA257A">
              <w:rPr>
                <w:noProof/>
                <w:sz w:val="22"/>
              </w:rPr>
              <w:t xml:space="preserve"> w ram</w:t>
            </w:r>
            <w:r w:rsidRPr="00DA257A">
              <w:rPr>
                <w:noProof/>
                <w:sz w:val="22"/>
              </w:rPr>
              <w:t>ach prowadzonej już wspólnej operacji „Terra”</w:t>
            </w:r>
            <w:r w:rsidRPr="00DA257A">
              <w:rPr>
                <w:rStyle w:val="FootnoteReference"/>
                <w:noProof/>
                <w:sz w:val="22"/>
                <w:szCs w:val="22"/>
              </w:rPr>
              <w:footnoteReference w:id="24"/>
            </w:r>
            <w:r w:rsidRPr="00DA257A">
              <w:rPr>
                <w:noProof/>
                <w:sz w:val="22"/>
              </w:rPr>
              <w:t>,</w:t>
            </w:r>
            <w:r w:rsidR="00DA257A" w:rsidRPr="00DA257A">
              <w:rPr>
                <w:noProof/>
                <w:sz w:val="22"/>
              </w:rPr>
              <w:t xml:space="preserve"> a tak</w:t>
            </w:r>
            <w:r w:rsidRPr="00DA257A">
              <w:rPr>
                <w:noProof/>
                <w:sz w:val="22"/>
              </w:rPr>
              <w:t>że na wniosek państw członkowskich. Od 27 kwietnia 2022</w:t>
            </w:r>
            <w:r w:rsidR="007C7210" w:rsidRPr="00DA257A">
              <w:rPr>
                <w:noProof/>
                <w:sz w:val="22"/>
              </w:rPr>
              <w:t> </w:t>
            </w:r>
            <w:r w:rsidRPr="00DA257A">
              <w:rPr>
                <w:noProof/>
                <w:sz w:val="22"/>
              </w:rPr>
              <w:t>r. na wschodnich granicach zewnętrznych UE (w tym</w:t>
            </w:r>
            <w:r w:rsidR="00DA257A" w:rsidRPr="00DA257A">
              <w:rPr>
                <w:noProof/>
                <w:sz w:val="22"/>
              </w:rPr>
              <w:t xml:space="preserve"> z Ukr</w:t>
            </w:r>
            <w:r w:rsidRPr="00DA257A">
              <w:rPr>
                <w:noProof/>
                <w:sz w:val="22"/>
              </w:rPr>
              <w:t>ainą, Mołdawią, Rosją</w:t>
            </w:r>
            <w:r w:rsidR="00DA257A" w:rsidRPr="00DA257A">
              <w:rPr>
                <w:noProof/>
                <w:sz w:val="22"/>
              </w:rPr>
              <w:t xml:space="preserve"> i Bia</w:t>
            </w:r>
            <w:r w:rsidRPr="00DA257A">
              <w:rPr>
                <w:noProof/>
                <w:sz w:val="22"/>
              </w:rPr>
              <w:t>łorusią) stacjonuje 297 funkcjonariuszy stałej służby Europejskiej Straży Granicznej</w:t>
            </w:r>
            <w:r w:rsidR="00DA257A" w:rsidRPr="00DA257A">
              <w:rPr>
                <w:noProof/>
                <w:sz w:val="22"/>
              </w:rPr>
              <w:t xml:space="preserve"> i Prz</w:t>
            </w:r>
            <w:r w:rsidRPr="00DA257A">
              <w:rPr>
                <w:noProof/>
                <w:sz w:val="22"/>
              </w:rPr>
              <w:t xml:space="preserve">ybrzeżnej. Frontex pomógł również 718 obywatelom państw trzecich uciekającym przed wojną bezpiecznie powrócić do ich krajów pochodzenia; </w:t>
            </w:r>
          </w:p>
          <w:p w14:paraId="7A2B06F0" w14:textId="39709BDB" w:rsidR="00AF7093" w:rsidRPr="00DA257A" w:rsidRDefault="00732BDE" w:rsidP="003E6B22">
            <w:pPr>
              <w:pStyle w:val="ListParagraph"/>
              <w:numPr>
                <w:ilvl w:val="1"/>
                <w:numId w:val="7"/>
              </w:numPr>
              <w:ind w:left="1134"/>
              <w:rPr>
                <w:noProof/>
                <w:sz w:val="22"/>
                <w:szCs w:val="22"/>
              </w:rPr>
            </w:pPr>
            <w:r w:rsidRPr="00DA257A">
              <w:rPr>
                <w:noProof/>
                <w:sz w:val="22"/>
              </w:rPr>
              <w:t>Frontex aktywnie wspiera lokalne działania władz mołdawskich</w:t>
            </w:r>
            <w:r w:rsidR="00DA257A" w:rsidRPr="00DA257A">
              <w:rPr>
                <w:noProof/>
                <w:sz w:val="22"/>
              </w:rPr>
              <w:t xml:space="preserve"> w roz</w:t>
            </w:r>
            <w:r w:rsidRPr="00DA257A">
              <w:rPr>
                <w:noProof/>
                <w:sz w:val="22"/>
              </w:rPr>
              <w:t>wiązywaniu podwójnych problemów związanych</w:t>
            </w:r>
            <w:r w:rsidR="00DA257A" w:rsidRPr="00DA257A">
              <w:rPr>
                <w:noProof/>
                <w:sz w:val="22"/>
              </w:rPr>
              <w:t xml:space="preserve"> z reg</w:t>
            </w:r>
            <w:r w:rsidRPr="00DA257A">
              <w:rPr>
                <w:noProof/>
                <w:sz w:val="22"/>
              </w:rPr>
              <w:t>ulowaniem napływu,</w:t>
            </w:r>
            <w:r w:rsidR="00DA257A" w:rsidRPr="00DA257A">
              <w:rPr>
                <w:noProof/>
                <w:sz w:val="22"/>
              </w:rPr>
              <w:t xml:space="preserve"> a nas</w:t>
            </w:r>
            <w:r w:rsidRPr="00DA257A">
              <w:rPr>
                <w:noProof/>
                <w:sz w:val="22"/>
              </w:rPr>
              <w:t>tępnie odpływu setek tysięcy uchodźców uciekających przed wojną</w:t>
            </w:r>
            <w:r w:rsidR="00DA257A" w:rsidRPr="00DA257A">
              <w:rPr>
                <w:noProof/>
                <w:sz w:val="22"/>
              </w:rPr>
              <w:t xml:space="preserve"> w Ukr</w:t>
            </w:r>
            <w:r w:rsidRPr="00DA257A">
              <w:rPr>
                <w:noProof/>
                <w:sz w:val="22"/>
              </w:rPr>
              <w:t>ainie. Po zawarciu</w:t>
            </w:r>
            <w:r w:rsidR="00DA257A" w:rsidRPr="00DA257A">
              <w:rPr>
                <w:noProof/>
                <w:sz w:val="22"/>
              </w:rPr>
              <w:t xml:space="preserve"> w rek</w:t>
            </w:r>
            <w:r w:rsidRPr="00DA257A">
              <w:rPr>
                <w:noProof/>
                <w:sz w:val="22"/>
              </w:rPr>
              <w:t>ordowym czasie umowy</w:t>
            </w:r>
            <w:r w:rsidR="00DA257A" w:rsidRPr="00DA257A">
              <w:rPr>
                <w:noProof/>
                <w:sz w:val="22"/>
              </w:rPr>
              <w:t xml:space="preserve"> o sta</w:t>
            </w:r>
            <w:r w:rsidRPr="00DA257A">
              <w:rPr>
                <w:noProof/>
                <w:sz w:val="22"/>
              </w:rPr>
              <w:t>tusie</w:t>
            </w:r>
            <w:r w:rsidR="00DA257A" w:rsidRPr="00DA257A">
              <w:rPr>
                <w:noProof/>
                <w:sz w:val="22"/>
              </w:rPr>
              <w:t xml:space="preserve"> z Moł</w:t>
            </w:r>
            <w:r w:rsidRPr="00DA257A">
              <w:rPr>
                <w:noProof/>
                <w:sz w:val="22"/>
              </w:rPr>
              <w:t>dawią od</w:t>
            </w:r>
            <w:r w:rsidR="007C7210" w:rsidRPr="00DA257A">
              <w:rPr>
                <w:noProof/>
                <w:sz w:val="22"/>
              </w:rPr>
              <w:t> </w:t>
            </w:r>
            <w:r w:rsidRPr="00DA257A">
              <w:rPr>
                <w:noProof/>
                <w:sz w:val="22"/>
              </w:rPr>
              <w:t>27 kwietnia</w:t>
            </w:r>
            <w:r w:rsidR="00DA257A" w:rsidRPr="00DA257A">
              <w:rPr>
                <w:noProof/>
                <w:sz w:val="22"/>
              </w:rPr>
              <w:t xml:space="preserve"> w Moł</w:t>
            </w:r>
            <w:r w:rsidRPr="00DA257A">
              <w:rPr>
                <w:noProof/>
                <w:sz w:val="22"/>
              </w:rPr>
              <w:t>dawii stacjonuje 70 funkcjonariuszy stałej służby Europejskiej Straży Granicznej</w:t>
            </w:r>
            <w:r w:rsidR="00DA257A" w:rsidRPr="00DA257A">
              <w:rPr>
                <w:noProof/>
                <w:sz w:val="22"/>
              </w:rPr>
              <w:t xml:space="preserve"> i Prz</w:t>
            </w:r>
            <w:r w:rsidRPr="00DA257A">
              <w:rPr>
                <w:noProof/>
                <w:sz w:val="22"/>
              </w:rPr>
              <w:t>ybrzeżnej;</w:t>
            </w:r>
          </w:p>
          <w:p w14:paraId="5FB6295C" w14:textId="7B26BDF9" w:rsidR="00D02291" w:rsidRPr="00DA257A" w:rsidRDefault="006632DF" w:rsidP="00851EC1">
            <w:pPr>
              <w:pStyle w:val="ListParagraph"/>
              <w:numPr>
                <w:ilvl w:val="1"/>
                <w:numId w:val="7"/>
              </w:numPr>
              <w:ind w:left="1134"/>
              <w:rPr>
                <w:noProof/>
                <w:sz w:val="22"/>
                <w:szCs w:val="22"/>
              </w:rPr>
            </w:pPr>
            <w:r w:rsidRPr="00DA257A">
              <w:rPr>
                <w:noProof/>
                <w:sz w:val="22"/>
              </w:rPr>
              <w:t xml:space="preserve">eksperci </w:t>
            </w:r>
            <w:r w:rsidRPr="00DA257A">
              <w:rPr>
                <w:b/>
                <w:noProof/>
                <w:sz w:val="22"/>
              </w:rPr>
              <w:t>Europolu</w:t>
            </w:r>
            <w:r w:rsidR="00DA257A" w:rsidRPr="00DA257A">
              <w:rPr>
                <w:noProof/>
                <w:sz w:val="22"/>
              </w:rPr>
              <w:t xml:space="preserve"> i zap</w:t>
            </w:r>
            <w:r w:rsidRPr="00DA257A">
              <w:rPr>
                <w:noProof/>
                <w:sz w:val="22"/>
              </w:rPr>
              <w:t>roszeni funkcjonariusze rozmieszczeni na zewnętrznej granicy UE wspierają państwa członkowskie, wzmacniają dodatkowe kontrole bezpieczeństwa,</w:t>
            </w:r>
            <w:r w:rsidR="00DA257A" w:rsidRPr="00DA257A">
              <w:rPr>
                <w:noProof/>
                <w:sz w:val="22"/>
              </w:rPr>
              <w:t xml:space="preserve"> a tak</w:t>
            </w:r>
            <w:r w:rsidRPr="00DA257A">
              <w:rPr>
                <w:noProof/>
                <w:sz w:val="22"/>
              </w:rPr>
              <w:t>że analizują informacje kryminalne, aby móc wspierać dochodzenia</w:t>
            </w:r>
            <w:r w:rsidR="00DA257A" w:rsidRPr="00DA257A">
              <w:rPr>
                <w:noProof/>
                <w:sz w:val="22"/>
              </w:rPr>
              <w:t xml:space="preserve"> i two</w:t>
            </w:r>
            <w:r w:rsidRPr="00DA257A">
              <w:rPr>
                <w:noProof/>
                <w:sz w:val="22"/>
              </w:rPr>
              <w:t>rzyć pełny obraz wywiadu kryminalnego oraz skonsolidowane analizy danych;</w:t>
            </w:r>
          </w:p>
          <w:p w14:paraId="6A5D9825" w14:textId="046493BE" w:rsidR="006632DF" w:rsidRPr="00DA257A" w:rsidRDefault="000800AB" w:rsidP="00612720">
            <w:pPr>
              <w:pStyle w:val="ListParagraph"/>
              <w:numPr>
                <w:ilvl w:val="1"/>
                <w:numId w:val="7"/>
              </w:numPr>
              <w:ind w:left="1134"/>
              <w:rPr>
                <w:noProof/>
                <w:sz w:val="22"/>
                <w:szCs w:val="22"/>
              </w:rPr>
            </w:pPr>
            <w:r w:rsidRPr="00DA257A">
              <w:rPr>
                <w:noProof/>
                <w:sz w:val="22"/>
              </w:rPr>
              <w:t xml:space="preserve">przedstawiciele </w:t>
            </w:r>
            <w:r w:rsidRPr="00DA257A">
              <w:rPr>
                <w:b/>
                <w:noProof/>
                <w:sz w:val="22"/>
              </w:rPr>
              <w:t>Agencji Praw Podstawowych</w:t>
            </w:r>
            <w:r w:rsidRPr="00DA257A">
              <w:rPr>
                <w:noProof/>
                <w:sz w:val="22"/>
              </w:rPr>
              <w:t xml:space="preserve"> odwiedzili wszystkie państwa członkowskie graniczące</w:t>
            </w:r>
            <w:r w:rsidR="00DA257A" w:rsidRPr="00DA257A">
              <w:rPr>
                <w:noProof/>
                <w:sz w:val="22"/>
              </w:rPr>
              <w:t xml:space="preserve"> z Ukr</w:t>
            </w:r>
            <w:r w:rsidRPr="00DA257A">
              <w:rPr>
                <w:noProof/>
                <w:sz w:val="22"/>
              </w:rPr>
              <w:t>ainą</w:t>
            </w:r>
            <w:r w:rsidR="00DA257A" w:rsidRPr="00DA257A">
              <w:rPr>
                <w:noProof/>
                <w:sz w:val="22"/>
              </w:rPr>
              <w:t xml:space="preserve"> i Moł</w:t>
            </w:r>
            <w:r w:rsidRPr="00DA257A">
              <w:rPr>
                <w:noProof/>
                <w:sz w:val="22"/>
              </w:rPr>
              <w:t>dawią, gdzie monitorowali</w:t>
            </w:r>
            <w:r w:rsidR="00DA257A" w:rsidRPr="00DA257A">
              <w:rPr>
                <w:noProof/>
                <w:sz w:val="22"/>
              </w:rPr>
              <w:t xml:space="preserve"> i ana</w:t>
            </w:r>
            <w:r w:rsidRPr="00DA257A">
              <w:rPr>
                <w:noProof/>
                <w:sz w:val="22"/>
              </w:rPr>
              <w:t>lizowali sytuację</w:t>
            </w:r>
            <w:r w:rsidR="00DA257A" w:rsidRPr="00DA257A">
              <w:rPr>
                <w:noProof/>
                <w:sz w:val="22"/>
              </w:rPr>
              <w:t xml:space="preserve"> w zak</w:t>
            </w:r>
            <w:r w:rsidRPr="00DA257A">
              <w:rPr>
                <w:noProof/>
                <w:sz w:val="22"/>
              </w:rPr>
              <w:t>resie praw podstawowych na przejściach granicznych oraz</w:t>
            </w:r>
            <w:r w:rsidR="00DA257A" w:rsidRPr="00DA257A">
              <w:rPr>
                <w:noProof/>
                <w:sz w:val="22"/>
              </w:rPr>
              <w:t xml:space="preserve"> w ośr</w:t>
            </w:r>
            <w:r w:rsidRPr="00DA257A">
              <w:rPr>
                <w:noProof/>
                <w:sz w:val="22"/>
              </w:rPr>
              <w:t>odkach rejestracji/recepcyjnych;</w:t>
            </w:r>
          </w:p>
          <w:p w14:paraId="23A2A899" w14:textId="29F39C5F" w:rsidR="009B0448" w:rsidRPr="00DA257A" w:rsidRDefault="007F37E6" w:rsidP="00DF1CC0">
            <w:pPr>
              <w:pStyle w:val="ListParagraph"/>
              <w:numPr>
                <w:ilvl w:val="0"/>
                <w:numId w:val="7"/>
              </w:numPr>
              <w:rPr>
                <w:noProof/>
                <w:sz w:val="22"/>
                <w:szCs w:val="22"/>
              </w:rPr>
            </w:pPr>
            <w:r w:rsidRPr="00DA257A">
              <w:rPr>
                <w:noProof/>
                <w:sz w:val="22"/>
              </w:rPr>
              <w:t xml:space="preserve">na wniosek Komisji Rada przyjęła </w:t>
            </w:r>
            <w:r w:rsidRPr="00DA257A">
              <w:rPr>
                <w:b/>
                <w:noProof/>
                <w:sz w:val="22"/>
              </w:rPr>
              <w:t>częściowe zawieszenie ułatwień wizowych między UE</w:t>
            </w:r>
            <w:r w:rsidR="00DA257A" w:rsidRPr="00DA257A">
              <w:rPr>
                <w:b/>
                <w:noProof/>
                <w:sz w:val="22"/>
              </w:rPr>
              <w:t xml:space="preserve"> a Ros</w:t>
            </w:r>
            <w:r w:rsidRPr="00DA257A">
              <w:rPr>
                <w:b/>
                <w:noProof/>
                <w:sz w:val="22"/>
              </w:rPr>
              <w:t>ją</w:t>
            </w:r>
            <w:r w:rsidRPr="00DA257A">
              <w:rPr>
                <w:noProof/>
                <w:sz w:val="22"/>
              </w:rPr>
              <w:t xml:space="preserve"> od</w:t>
            </w:r>
            <w:r w:rsidR="007C7210" w:rsidRPr="00DA257A">
              <w:rPr>
                <w:noProof/>
                <w:sz w:val="22"/>
              </w:rPr>
              <w:t> </w:t>
            </w:r>
            <w:r w:rsidRPr="00DA257A">
              <w:rPr>
                <w:noProof/>
                <w:sz w:val="22"/>
              </w:rPr>
              <w:t>25 lutego 2022</w:t>
            </w:r>
            <w:r w:rsidR="007C7210" w:rsidRPr="00DA257A">
              <w:rPr>
                <w:noProof/>
                <w:sz w:val="22"/>
              </w:rPr>
              <w:t> </w:t>
            </w:r>
            <w:r w:rsidRPr="00DA257A">
              <w:rPr>
                <w:noProof/>
                <w:sz w:val="22"/>
              </w:rPr>
              <w:t>r.</w:t>
            </w:r>
          </w:p>
          <w:p w14:paraId="322AB14D" w14:textId="016285AA" w:rsidR="006632DF" w:rsidRPr="00DA257A" w:rsidRDefault="006632DF" w:rsidP="00DE246F">
            <w:pPr>
              <w:spacing w:after="120"/>
              <w:rPr>
                <w:noProof/>
              </w:rPr>
            </w:pPr>
            <w:r w:rsidRPr="00DA257A">
              <w:rPr>
                <w:noProof/>
                <w:sz w:val="22"/>
              </w:rPr>
              <w:t>Ogólnie rzecz biorąc, samo istnienie strefy Schengen bez granic dało Europie wyjątkową możliwość spójnego reagowania na wyzwania poprzez zapewnienie osobom uciekającym szansy skorzystania</w:t>
            </w:r>
            <w:r w:rsidR="00DA257A" w:rsidRPr="00DA257A">
              <w:rPr>
                <w:noProof/>
                <w:sz w:val="22"/>
              </w:rPr>
              <w:t xml:space="preserve"> z och</w:t>
            </w:r>
            <w:r w:rsidRPr="00DA257A">
              <w:rPr>
                <w:noProof/>
                <w:sz w:val="22"/>
              </w:rPr>
              <w:t>rony</w:t>
            </w:r>
            <w:r w:rsidR="00DA257A" w:rsidRPr="00DA257A">
              <w:rPr>
                <w:noProof/>
                <w:sz w:val="22"/>
              </w:rPr>
              <w:t xml:space="preserve"> w kra</w:t>
            </w:r>
            <w:r w:rsidRPr="00DA257A">
              <w:rPr>
                <w:noProof/>
                <w:sz w:val="22"/>
              </w:rPr>
              <w:t>ju najbardziej dla nich odpowiednim, jak również ułatwienie realizacji ofert działań solidarnościowych</w:t>
            </w:r>
            <w:r w:rsidR="00DA257A" w:rsidRPr="00DA257A">
              <w:rPr>
                <w:noProof/>
                <w:sz w:val="22"/>
              </w:rPr>
              <w:t xml:space="preserve"> i tra</w:t>
            </w:r>
            <w:r w:rsidRPr="00DA257A">
              <w:rPr>
                <w:noProof/>
                <w:sz w:val="22"/>
              </w:rPr>
              <w:t>nsferów</w:t>
            </w:r>
            <w:r w:rsidR="00DA257A" w:rsidRPr="00DA257A">
              <w:rPr>
                <w:noProof/>
                <w:sz w:val="22"/>
              </w:rPr>
              <w:t xml:space="preserve"> z pań</w:t>
            </w:r>
            <w:r w:rsidRPr="00DA257A">
              <w:rPr>
                <w:noProof/>
                <w:sz w:val="22"/>
              </w:rPr>
              <w:t>stw członkowskich pierwszej linii do innych państw.</w:t>
            </w:r>
          </w:p>
        </w:tc>
      </w:tr>
    </w:tbl>
    <w:p w14:paraId="0795DCA1" w14:textId="77777777" w:rsidR="00D760CB" w:rsidRPr="00DA257A" w:rsidRDefault="00D760CB" w:rsidP="00D760CB">
      <w:pPr>
        <w:pStyle w:val="ListParagraph"/>
        <w:spacing w:after="120"/>
        <w:ind w:left="792"/>
        <w:rPr>
          <w:b/>
          <w:bCs/>
          <w:noProof/>
        </w:rPr>
      </w:pPr>
    </w:p>
    <w:p w14:paraId="1B3DB733" w14:textId="77777777" w:rsidR="00AC2253" w:rsidRPr="00DA257A" w:rsidRDefault="6E958833" w:rsidP="006E7B16">
      <w:pPr>
        <w:pStyle w:val="ListParagraph"/>
        <w:numPr>
          <w:ilvl w:val="1"/>
          <w:numId w:val="1"/>
        </w:numPr>
        <w:spacing w:after="120"/>
        <w:rPr>
          <w:b/>
          <w:bCs/>
          <w:noProof/>
        </w:rPr>
      </w:pPr>
      <w:r w:rsidRPr="00DA257A">
        <w:rPr>
          <w:b/>
          <w:noProof/>
        </w:rPr>
        <w:t>Sytuacja na granicach wewnętrznych</w:t>
      </w:r>
    </w:p>
    <w:p w14:paraId="29A9E789" w14:textId="16535E83" w:rsidR="00D905F6" w:rsidRPr="00DA257A" w:rsidRDefault="6E958833" w:rsidP="00D905F6">
      <w:pPr>
        <w:spacing w:after="120"/>
        <w:rPr>
          <w:noProof/>
        </w:rPr>
      </w:pPr>
      <w:r w:rsidRPr="00DA257A">
        <w:rPr>
          <w:noProof/>
        </w:rPr>
        <w:t>Od września 2015</w:t>
      </w:r>
      <w:r w:rsidR="007C7210" w:rsidRPr="00DA257A">
        <w:rPr>
          <w:noProof/>
        </w:rPr>
        <w:t> </w:t>
      </w:r>
      <w:r w:rsidRPr="00DA257A">
        <w:rPr>
          <w:noProof/>
        </w:rPr>
        <w:t>r. odprawy graniczne na granicach wewnętrznych były przywracane ponad 280 razy. Państwa członkowskie zgłaszały Komisji tymczasowe przywrócenie kontroli granicznych</w:t>
      </w:r>
      <w:r w:rsidR="00DA257A" w:rsidRPr="00DA257A">
        <w:rPr>
          <w:noProof/>
        </w:rPr>
        <w:t xml:space="preserve"> w str</w:t>
      </w:r>
      <w:r w:rsidRPr="00DA257A">
        <w:rPr>
          <w:noProof/>
        </w:rPr>
        <w:t>efie Schengen</w:t>
      </w:r>
      <w:r w:rsidR="00DA257A" w:rsidRPr="00DA257A">
        <w:rPr>
          <w:noProof/>
        </w:rPr>
        <w:t xml:space="preserve"> z trz</w:t>
      </w:r>
      <w:r w:rsidRPr="00DA257A">
        <w:rPr>
          <w:noProof/>
        </w:rPr>
        <w:t>ech głównych powodów: 1)</w:t>
      </w:r>
      <w:r w:rsidR="00DA257A" w:rsidRPr="00DA257A">
        <w:rPr>
          <w:noProof/>
        </w:rPr>
        <w:t xml:space="preserve"> w zwi</w:t>
      </w:r>
      <w:r w:rsidRPr="00DA257A">
        <w:rPr>
          <w:noProof/>
        </w:rPr>
        <w:t>ązku</w:t>
      </w:r>
      <w:r w:rsidR="00DA257A" w:rsidRPr="00DA257A">
        <w:rPr>
          <w:noProof/>
        </w:rPr>
        <w:t xml:space="preserve"> z kry</w:t>
      </w:r>
      <w:r w:rsidRPr="00DA257A">
        <w:rPr>
          <w:noProof/>
        </w:rPr>
        <w:t>zysem uchodźczym</w:t>
      </w:r>
      <w:r w:rsidR="00DA257A" w:rsidRPr="00DA257A">
        <w:rPr>
          <w:noProof/>
        </w:rPr>
        <w:t xml:space="preserve"> z 2</w:t>
      </w:r>
      <w:r w:rsidRPr="00DA257A">
        <w:rPr>
          <w:noProof/>
        </w:rPr>
        <w:t>015</w:t>
      </w:r>
      <w:r w:rsidR="007C7210" w:rsidRPr="00DA257A">
        <w:rPr>
          <w:noProof/>
        </w:rPr>
        <w:t> </w:t>
      </w:r>
      <w:r w:rsidRPr="00DA257A">
        <w:rPr>
          <w:noProof/>
        </w:rPr>
        <w:t>r. ze względu na wtórne przepływy; 2)</w:t>
      </w:r>
      <w:r w:rsidR="00DA257A" w:rsidRPr="00DA257A">
        <w:rPr>
          <w:noProof/>
        </w:rPr>
        <w:t xml:space="preserve"> w cel</w:t>
      </w:r>
      <w:r w:rsidRPr="00DA257A">
        <w:rPr>
          <w:noProof/>
        </w:rPr>
        <w:t>u zwalczania terroryzmu oraz 3)</w:t>
      </w:r>
      <w:r w:rsidR="00DA257A" w:rsidRPr="00DA257A">
        <w:rPr>
          <w:noProof/>
        </w:rPr>
        <w:t xml:space="preserve"> w cel</w:t>
      </w:r>
      <w:r w:rsidRPr="00DA257A">
        <w:rPr>
          <w:noProof/>
        </w:rPr>
        <w:t xml:space="preserve">u ograniczenia rozprzestrzeniania się COVID-19. </w:t>
      </w:r>
    </w:p>
    <w:p w14:paraId="76243B99" w14:textId="4B81A8AF" w:rsidR="00D905F6" w:rsidRPr="00DA257A" w:rsidRDefault="00D905F6" w:rsidP="00D905F6">
      <w:pPr>
        <w:spacing w:after="120"/>
        <w:rPr>
          <w:noProof/>
        </w:rPr>
      </w:pPr>
      <w:r w:rsidRPr="00DA257A">
        <w:rPr>
          <w:noProof/>
        </w:rPr>
        <w:t>Komisja od lat prowadzi ścisły dialog dotyczący kwestii politycznych</w:t>
      </w:r>
      <w:r w:rsidR="00DA257A" w:rsidRPr="00DA257A">
        <w:rPr>
          <w:noProof/>
        </w:rPr>
        <w:t xml:space="preserve"> i tec</w:t>
      </w:r>
      <w:r w:rsidRPr="00DA257A">
        <w:rPr>
          <w:noProof/>
        </w:rPr>
        <w:t>hnicznych</w:t>
      </w:r>
      <w:r w:rsidR="00DA257A" w:rsidRPr="00DA257A">
        <w:rPr>
          <w:noProof/>
        </w:rPr>
        <w:t xml:space="preserve"> z pań</w:t>
      </w:r>
      <w:r w:rsidRPr="00DA257A">
        <w:rPr>
          <w:noProof/>
        </w:rPr>
        <w:t>stwami członkowskimi,</w:t>
      </w:r>
      <w:r w:rsidR="00DA257A" w:rsidRPr="00DA257A">
        <w:rPr>
          <w:noProof/>
        </w:rPr>
        <w:t xml:space="preserve"> w któ</w:t>
      </w:r>
      <w:r w:rsidRPr="00DA257A">
        <w:rPr>
          <w:noProof/>
        </w:rPr>
        <w:t>rych obowiązują długotrwałe kontrole na granicach wewnętrznych,</w:t>
      </w:r>
      <w:r w:rsidR="00DA257A" w:rsidRPr="00DA257A">
        <w:rPr>
          <w:noProof/>
        </w:rPr>
        <w:t xml:space="preserve"> w cel</w:t>
      </w:r>
      <w:r w:rsidRPr="00DA257A">
        <w:rPr>
          <w:noProof/>
        </w:rPr>
        <w:t>u zrozumienia sytuacji</w:t>
      </w:r>
      <w:r w:rsidR="00DA257A" w:rsidRPr="00DA257A">
        <w:rPr>
          <w:noProof/>
        </w:rPr>
        <w:t xml:space="preserve"> i zba</w:t>
      </w:r>
      <w:r w:rsidRPr="00DA257A">
        <w:rPr>
          <w:noProof/>
        </w:rPr>
        <w:t>dania możliwości wprowadzenia konkretnych środków alternatywnych. W 2017</w:t>
      </w:r>
      <w:r w:rsidR="007C7210" w:rsidRPr="00DA257A">
        <w:rPr>
          <w:noProof/>
        </w:rPr>
        <w:t> </w:t>
      </w:r>
      <w:r w:rsidRPr="00DA257A">
        <w:rPr>
          <w:noProof/>
        </w:rPr>
        <w:t>r. Komisja przedstawiła wniosek</w:t>
      </w:r>
      <w:r w:rsidR="00DA257A" w:rsidRPr="00DA257A">
        <w:rPr>
          <w:noProof/>
        </w:rPr>
        <w:t xml:space="preserve"> w spr</w:t>
      </w:r>
      <w:r w:rsidRPr="00DA257A">
        <w:rPr>
          <w:noProof/>
        </w:rPr>
        <w:t>awie zmiany obowiązujących przepisów</w:t>
      </w:r>
      <w:r w:rsidR="00DA257A" w:rsidRPr="00DA257A">
        <w:rPr>
          <w:noProof/>
        </w:rPr>
        <w:t xml:space="preserve"> w opa</w:t>
      </w:r>
      <w:r w:rsidRPr="00DA257A">
        <w:rPr>
          <w:noProof/>
        </w:rPr>
        <w:t>rciu</w:t>
      </w:r>
      <w:r w:rsidR="00DA257A" w:rsidRPr="00DA257A">
        <w:rPr>
          <w:noProof/>
        </w:rPr>
        <w:t xml:space="preserve"> o zal</w:t>
      </w:r>
      <w:r w:rsidRPr="00DA257A">
        <w:rPr>
          <w:noProof/>
        </w:rPr>
        <w:t>ecenia Komisji</w:t>
      </w:r>
      <w:r w:rsidRPr="00DA257A">
        <w:rPr>
          <w:rStyle w:val="FootnoteReference"/>
          <w:noProof/>
        </w:rPr>
        <w:footnoteReference w:id="25"/>
      </w:r>
      <w:r w:rsidRPr="00DA257A">
        <w:rPr>
          <w:noProof/>
        </w:rPr>
        <w:t xml:space="preserve"> przyjęte</w:t>
      </w:r>
      <w:r w:rsidR="00DA257A" w:rsidRPr="00DA257A">
        <w:rPr>
          <w:noProof/>
        </w:rPr>
        <w:t xml:space="preserve"> w tym</w:t>
      </w:r>
      <w:r w:rsidRPr="00DA257A">
        <w:rPr>
          <w:noProof/>
        </w:rPr>
        <w:t xml:space="preserve"> samym roku</w:t>
      </w:r>
      <w:r w:rsidR="00DA257A" w:rsidRPr="00DA257A">
        <w:rPr>
          <w:noProof/>
        </w:rPr>
        <w:t xml:space="preserve"> w cel</w:t>
      </w:r>
      <w:r w:rsidRPr="00DA257A">
        <w:rPr>
          <w:noProof/>
        </w:rPr>
        <w:t>u utorowania drogi do zniesienia długotrwałych kontroli na granicach wewnętrznych. Wniosek ten nie uzyskał jednak wystarczającego poparcia</w:t>
      </w:r>
      <w:r w:rsidR="00DA257A" w:rsidRPr="00DA257A">
        <w:rPr>
          <w:noProof/>
        </w:rPr>
        <w:t xml:space="preserve"> w Rad</w:t>
      </w:r>
      <w:r w:rsidRPr="00DA257A">
        <w:rPr>
          <w:noProof/>
        </w:rPr>
        <w:t>zie</w:t>
      </w:r>
      <w:r w:rsidR="00DA257A" w:rsidRPr="00DA257A">
        <w:rPr>
          <w:noProof/>
        </w:rPr>
        <w:t>. W wyn</w:t>
      </w:r>
      <w:r w:rsidRPr="00DA257A">
        <w:rPr>
          <w:noProof/>
        </w:rPr>
        <w:t>iku tych dyskusji oraz na podstawie konsultacji</w:t>
      </w:r>
      <w:r w:rsidR="00DA257A" w:rsidRPr="00DA257A">
        <w:rPr>
          <w:noProof/>
        </w:rPr>
        <w:t xml:space="preserve"> z pań</w:t>
      </w:r>
      <w:r w:rsidRPr="00DA257A">
        <w:rPr>
          <w:noProof/>
        </w:rPr>
        <w:t>stwami członkowskimi</w:t>
      </w:r>
      <w:r w:rsidR="00DA257A" w:rsidRPr="00DA257A">
        <w:rPr>
          <w:noProof/>
        </w:rPr>
        <w:t xml:space="preserve"> i zai</w:t>
      </w:r>
      <w:r w:rsidRPr="00DA257A">
        <w:rPr>
          <w:noProof/>
        </w:rPr>
        <w:t>nteresowanymi stronami</w:t>
      </w:r>
      <w:r w:rsidRPr="00DA257A">
        <w:rPr>
          <w:rStyle w:val="FootnoteReference"/>
          <w:noProof/>
        </w:rPr>
        <w:footnoteReference w:id="26"/>
      </w:r>
      <w:r w:rsidR="00DA257A" w:rsidRPr="00DA257A">
        <w:rPr>
          <w:noProof/>
        </w:rPr>
        <w:t xml:space="preserve"> w gru</w:t>
      </w:r>
      <w:r w:rsidRPr="00DA257A">
        <w:rPr>
          <w:noProof/>
        </w:rPr>
        <w:t>dniu 2021</w:t>
      </w:r>
      <w:r w:rsidR="007C7210" w:rsidRPr="00DA257A">
        <w:rPr>
          <w:noProof/>
        </w:rPr>
        <w:t> </w:t>
      </w:r>
      <w:r w:rsidRPr="00DA257A">
        <w:rPr>
          <w:noProof/>
        </w:rPr>
        <w:t>r. Komisja przedstawiła nowe zmiany</w:t>
      </w:r>
      <w:r w:rsidR="00DA257A" w:rsidRPr="00DA257A">
        <w:rPr>
          <w:noProof/>
        </w:rPr>
        <w:t xml:space="preserve"> w kod</w:t>
      </w:r>
      <w:r w:rsidRPr="00DA257A">
        <w:rPr>
          <w:noProof/>
        </w:rPr>
        <w:t>eksie granicznym Schengen, które zastąpiły jej poprzedni wniosek. Proponowane ukierunkowane zmiany opierają się na wyciągniętych wnioskach, jak również na doświadczeniach zebranych podczas pandemii COVID-19,</w:t>
      </w:r>
      <w:r w:rsidR="00DA257A" w:rsidRPr="00DA257A">
        <w:rPr>
          <w:noProof/>
        </w:rPr>
        <w:t xml:space="preserve"> i uwz</w:t>
      </w:r>
      <w:r w:rsidRPr="00DA257A">
        <w:rPr>
          <w:noProof/>
        </w:rPr>
        <w:t>ględniają obawy zgłoszone przez państwa członkowskie,</w:t>
      </w:r>
      <w:r w:rsidR="00DA257A" w:rsidRPr="00DA257A">
        <w:rPr>
          <w:noProof/>
        </w:rPr>
        <w:t xml:space="preserve"> a jed</w:t>
      </w:r>
      <w:r w:rsidRPr="00DA257A">
        <w:rPr>
          <w:noProof/>
        </w:rPr>
        <w:t>nocześnie zapewniają ochronę strefy Schengen,</w:t>
      </w:r>
      <w:r w:rsidR="00DA257A" w:rsidRPr="00DA257A">
        <w:rPr>
          <w:noProof/>
        </w:rPr>
        <w:t xml:space="preserve"> w któ</w:t>
      </w:r>
      <w:r w:rsidRPr="00DA257A">
        <w:rPr>
          <w:noProof/>
        </w:rPr>
        <w:t>rej wszelkie kontrole na granicach wewnętrznych powinny pozostać środkiem stosowanym</w:t>
      </w:r>
      <w:r w:rsidR="00DA257A" w:rsidRPr="00DA257A">
        <w:rPr>
          <w:noProof/>
        </w:rPr>
        <w:t xml:space="preserve"> w ost</w:t>
      </w:r>
      <w:r w:rsidRPr="00DA257A">
        <w:rPr>
          <w:noProof/>
        </w:rPr>
        <w:t xml:space="preserve">ateczności. </w:t>
      </w:r>
    </w:p>
    <w:p w14:paraId="670F4BB3" w14:textId="39025C8B" w:rsidR="00D905F6" w:rsidRPr="00DA257A" w:rsidRDefault="00D905F6" w:rsidP="00D905F6">
      <w:pPr>
        <w:spacing w:after="120"/>
        <w:rPr>
          <w:noProof/>
        </w:rPr>
      </w:pPr>
      <w:r w:rsidRPr="00DA257A">
        <w:rPr>
          <w:noProof/>
        </w:rPr>
        <w:t>W niedawnym wyroku</w:t>
      </w:r>
      <w:r w:rsidR="00DA257A" w:rsidRPr="00DA257A">
        <w:rPr>
          <w:noProof/>
        </w:rPr>
        <w:t xml:space="preserve"> w spr</w:t>
      </w:r>
      <w:r w:rsidRPr="00DA257A">
        <w:rPr>
          <w:noProof/>
        </w:rPr>
        <w:t>awach połączonych C-368/20 i C-369/20</w:t>
      </w:r>
      <w:r w:rsidRPr="00DA257A">
        <w:rPr>
          <w:rStyle w:val="FootnoteReference"/>
          <w:noProof/>
        </w:rPr>
        <w:footnoteReference w:id="27"/>
      </w:r>
      <w:r w:rsidRPr="00DA257A">
        <w:rPr>
          <w:noProof/>
        </w:rPr>
        <w:t xml:space="preserve"> Trybunał Sprawiedliwości podkreślił, że możliwość przywrócenia kontroli na granicach wewnętrznych, jako środek wyjątkowy, należy interpretować</w:t>
      </w:r>
      <w:r w:rsidR="00DA257A" w:rsidRPr="00DA257A">
        <w:rPr>
          <w:noProof/>
        </w:rPr>
        <w:t xml:space="preserve"> w spo</w:t>
      </w:r>
      <w:r w:rsidRPr="00DA257A">
        <w:rPr>
          <w:noProof/>
        </w:rPr>
        <w:t>sób ścisły</w:t>
      </w:r>
      <w:r w:rsidRPr="00DA257A">
        <w:rPr>
          <w:rStyle w:val="FootnoteReference"/>
          <w:noProof/>
        </w:rPr>
        <w:footnoteReference w:id="28"/>
      </w:r>
      <w:r w:rsidRPr="00DA257A">
        <w:rPr>
          <w:noProof/>
        </w:rPr>
        <w:t>. Komisja</w:t>
      </w:r>
      <w:r w:rsidR="00DA257A" w:rsidRPr="00DA257A">
        <w:rPr>
          <w:noProof/>
        </w:rPr>
        <w:t xml:space="preserve"> i Rad</w:t>
      </w:r>
      <w:r w:rsidRPr="00DA257A">
        <w:rPr>
          <w:noProof/>
        </w:rPr>
        <w:t>a rozpoczęły rozmowy</w:t>
      </w:r>
      <w:r w:rsidR="00DA257A" w:rsidRPr="00DA257A">
        <w:rPr>
          <w:noProof/>
        </w:rPr>
        <w:t xml:space="preserve"> z pań</w:t>
      </w:r>
      <w:r w:rsidRPr="00DA257A">
        <w:rPr>
          <w:noProof/>
        </w:rPr>
        <w:t>stwami członkowskimi na temat implikacji tego wyroku</w:t>
      </w:r>
      <w:r w:rsidR="00DA257A" w:rsidRPr="00DA257A">
        <w:rPr>
          <w:noProof/>
        </w:rPr>
        <w:t>. W mię</w:t>
      </w:r>
      <w:r w:rsidRPr="00DA257A">
        <w:rPr>
          <w:noProof/>
        </w:rPr>
        <w:t>dzyczasie Komisja dokonuje ponownej oceny najnowszych zgłoszeń dotyczących kontroli na granicach wewnętrznych</w:t>
      </w:r>
      <w:r w:rsidR="00DA257A" w:rsidRPr="00DA257A">
        <w:rPr>
          <w:noProof/>
        </w:rPr>
        <w:t xml:space="preserve"> w świ</w:t>
      </w:r>
      <w:r w:rsidRPr="00DA257A">
        <w:rPr>
          <w:noProof/>
        </w:rPr>
        <w:t xml:space="preserve">etle tego wyroku. </w:t>
      </w:r>
    </w:p>
    <w:p w14:paraId="0D0F5014" w14:textId="1F7FC3CB" w:rsidR="00670934" w:rsidRPr="00DA257A" w:rsidRDefault="00670934" w:rsidP="00D905F6">
      <w:pPr>
        <w:spacing w:after="120"/>
        <w:rPr>
          <w:noProof/>
        </w:rPr>
      </w:pPr>
    </w:p>
    <w:p w14:paraId="03871144" w14:textId="77777777" w:rsidR="00670934" w:rsidRPr="00DA257A" w:rsidRDefault="00670934" w:rsidP="00D905F6">
      <w:pPr>
        <w:spacing w:after="120"/>
        <w:rPr>
          <w:noProof/>
        </w:rPr>
      </w:pPr>
    </w:p>
    <w:tbl>
      <w:tblPr>
        <w:tblStyle w:val="TableGrid"/>
        <w:tblW w:w="0" w:type="auto"/>
        <w:tblLook w:val="04A0" w:firstRow="1" w:lastRow="0" w:firstColumn="1" w:lastColumn="0" w:noHBand="0" w:noVBand="1"/>
      </w:tblPr>
      <w:tblGrid>
        <w:gridCol w:w="9606"/>
      </w:tblGrid>
      <w:tr w:rsidR="00251F22" w:rsidRPr="00DA257A" w14:paraId="3DF10F30" w14:textId="77777777" w:rsidTr="0041695E">
        <w:tc>
          <w:tcPr>
            <w:tcW w:w="9606" w:type="dxa"/>
          </w:tcPr>
          <w:p w14:paraId="50D7FA40" w14:textId="77777777" w:rsidR="00251F22" w:rsidRPr="00DA257A" w:rsidRDefault="0093729B" w:rsidP="00251F22">
            <w:pPr>
              <w:spacing w:after="120"/>
              <w:rPr>
                <w:b/>
                <w:bCs/>
                <w:noProof/>
                <w:sz w:val="22"/>
                <w:szCs w:val="22"/>
              </w:rPr>
            </w:pPr>
            <w:r w:rsidRPr="00DA257A">
              <w:rPr>
                <w:b/>
                <w:noProof/>
                <w:sz w:val="22"/>
              </w:rPr>
              <w:t>Ramka 4. Wpływ pandemii COVID-19</w:t>
            </w:r>
          </w:p>
          <w:p w14:paraId="08A85C7E" w14:textId="68FD8B2E" w:rsidR="00251F22" w:rsidRPr="00DA257A" w:rsidRDefault="00251F22" w:rsidP="00E071E3">
            <w:pPr>
              <w:spacing w:after="120"/>
              <w:rPr>
                <w:noProof/>
              </w:rPr>
            </w:pPr>
            <w:r w:rsidRPr="00DA257A">
              <w:rPr>
                <w:noProof/>
                <w:sz w:val="22"/>
              </w:rPr>
              <w:t>Pandemia COVID-19 uwidoczniła konieczność stabilnych ram</w:t>
            </w:r>
            <w:r w:rsidR="00DA257A" w:rsidRPr="00DA257A">
              <w:rPr>
                <w:noProof/>
                <w:sz w:val="22"/>
              </w:rPr>
              <w:t xml:space="preserve"> w zak</w:t>
            </w:r>
            <w:r w:rsidRPr="00DA257A">
              <w:rPr>
                <w:noProof/>
                <w:sz w:val="22"/>
              </w:rPr>
              <w:t>resie koordynacji</w:t>
            </w:r>
            <w:r w:rsidR="00DA257A" w:rsidRPr="00DA257A">
              <w:rPr>
                <w:noProof/>
                <w:sz w:val="22"/>
              </w:rPr>
              <w:t xml:space="preserve"> i pod</w:t>
            </w:r>
            <w:r w:rsidRPr="00DA257A">
              <w:rPr>
                <w:noProof/>
                <w:sz w:val="22"/>
              </w:rPr>
              <w:t>ejmowania decyzji na granicy zewnętrznej</w:t>
            </w:r>
            <w:r w:rsidR="00DA257A" w:rsidRPr="00DA257A">
              <w:rPr>
                <w:noProof/>
                <w:sz w:val="22"/>
              </w:rPr>
              <w:t xml:space="preserve"> i w obr</w:t>
            </w:r>
            <w:r w:rsidRPr="00DA257A">
              <w:rPr>
                <w:noProof/>
                <w:sz w:val="22"/>
              </w:rPr>
              <w:t>ębie strefy Schengen</w:t>
            </w:r>
            <w:r w:rsidR="00DA257A" w:rsidRPr="00DA257A">
              <w:rPr>
                <w:noProof/>
                <w:sz w:val="22"/>
              </w:rPr>
              <w:t xml:space="preserve"> w syt</w:t>
            </w:r>
            <w:r w:rsidRPr="00DA257A">
              <w:rPr>
                <w:noProof/>
                <w:sz w:val="22"/>
              </w:rPr>
              <w:t>uacjach kryzysowych. Na początku pandemii większość państw członkowskich przywróciła kontrole na granicach wewnętrznych, przy czym dopiero później zaczęły one koordynować wspólne działania, co niekiedy zagrażało prawidłowemu funkcjonowaniu jednolitego rynku</w:t>
            </w:r>
            <w:r w:rsidR="00DA257A" w:rsidRPr="00DA257A">
              <w:rPr>
                <w:noProof/>
                <w:sz w:val="22"/>
              </w:rPr>
              <w:t>. W odp</w:t>
            </w:r>
            <w:r w:rsidRPr="00DA257A">
              <w:rPr>
                <w:noProof/>
                <w:sz w:val="22"/>
              </w:rPr>
              <w:t>owiedzi Komisja wezwała Radę do podjęcia skoordynowanej decyzji</w:t>
            </w:r>
            <w:r w:rsidR="00614027" w:rsidRPr="00DA257A">
              <w:rPr>
                <w:rStyle w:val="FootnoteReference"/>
                <w:noProof/>
                <w:sz w:val="22"/>
              </w:rPr>
              <w:footnoteReference w:id="29"/>
            </w:r>
            <w:r w:rsidR="00DA257A" w:rsidRPr="00DA257A">
              <w:rPr>
                <w:noProof/>
                <w:sz w:val="22"/>
              </w:rPr>
              <w:t xml:space="preserve"> w spr</w:t>
            </w:r>
            <w:r w:rsidRPr="00DA257A">
              <w:rPr>
                <w:noProof/>
                <w:sz w:val="22"/>
              </w:rPr>
              <w:t>awie ograniczeń związanych</w:t>
            </w:r>
            <w:r w:rsidR="00DA257A" w:rsidRPr="00DA257A">
              <w:rPr>
                <w:noProof/>
                <w:sz w:val="22"/>
              </w:rPr>
              <w:t xml:space="preserve"> z pod</w:t>
            </w:r>
            <w:r w:rsidRPr="00DA257A">
              <w:rPr>
                <w:noProof/>
                <w:sz w:val="22"/>
              </w:rPr>
              <w:t>różami innymi niż niezbędne</w:t>
            </w:r>
            <w:r w:rsidR="00DA257A" w:rsidRPr="00DA257A">
              <w:rPr>
                <w:noProof/>
                <w:sz w:val="22"/>
              </w:rPr>
              <w:t xml:space="preserve"> z pań</w:t>
            </w:r>
            <w:r w:rsidRPr="00DA257A">
              <w:rPr>
                <w:noProof/>
                <w:sz w:val="22"/>
              </w:rPr>
              <w:t>stw trzecich do strefy Schengen. Wezwanie to poparły wszystkie państwa członkowskie UE (z wyjątkiem Irlandii)</w:t>
            </w:r>
            <w:r w:rsidR="00DA257A" w:rsidRPr="00DA257A">
              <w:rPr>
                <w:noProof/>
                <w:sz w:val="22"/>
              </w:rPr>
              <w:t xml:space="preserve"> i wsz</w:t>
            </w:r>
            <w:r w:rsidRPr="00DA257A">
              <w:rPr>
                <w:noProof/>
                <w:sz w:val="22"/>
              </w:rPr>
              <w:t>ystkie państwa stowarzyszone</w:t>
            </w:r>
            <w:r w:rsidR="00DA257A" w:rsidRPr="00DA257A">
              <w:rPr>
                <w:noProof/>
                <w:sz w:val="22"/>
              </w:rPr>
              <w:t xml:space="preserve"> w ram</w:t>
            </w:r>
            <w:r w:rsidRPr="00DA257A">
              <w:rPr>
                <w:noProof/>
                <w:sz w:val="22"/>
              </w:rPr>
              <w:t>ach Schengen,</w:t>
            </w:r>
            <w:r w:rsidR="00DA257A" w:rsidRPr="00DA257A">
              <w:rPr>
                <w:noProof/>
                <w:sz w:val="22"/>
              </w:rPr>
              <w:t xml:space="preserve"> a nas</w:t>
            </w:r>
            <w:r w:rsidRPr="00DA257A">
              <w:rPr>
                <w:noProof/>
                <w:sz w:val="22"/>
              </w:rPr>
              <w:t>tępnie uwzględniono je</w:t>
            </w:r>
            <w:r w:rsidR="00DA257A" w:rsidRPr="00DA257A">
              <w:rPr>
                <w:noProof/>
                <w:sz w:val="22"/>
              </w:rPr>
              <w:t xml:space="preserve"> w zal</w:t>
            </w:r>
            <w:r w:rsidRPr="00DA257A">
              <w:rPr>
                <w:noProof/>
                <w:sz w:val="22"/>
              </w:rPr>
              <w:t>eceniu Rady</w:t>
            </w:r>
            <w:r w:rsidRPr="00DA257A">
              <w:rPr>
                <w:rStyle w:val="FootnoteReference"/>
                <w:noProof/>
                <w:sz w:val="22"/>
              </w:rPr>
              <w:footnoteReference w:id="30"/>
            </w:r>
            <w:r w:rsidRPr="00DA257A">
              <w:rPr>
                <w:noProof/>
                <w:sz w:val="22"/>
              </w:rPr>
              <w:t>. Państwa członkowskie stosują jednak to zalecenie</w:t>
            </w:r>
            <w:r w:rsidR="00DA257A" w:rsidRPr="00DA257A">
              <w:rPr>
                <w:noProof/>
                <w:sz w:val="22"/>
              </w:rPr>
              <w:t xml:space="preserve"> w bar</w:t>
            </w:r>
            <w:r w:rsidRPr="00DA257A">
              <w:rPr>
                <w:noProof/>
                <w:sz w:val="22"/>
              </w:rPr>
              <w:t>dzo różny sposób, co zagraża ogólnemu funkcjonowaniu strefy Schengen. Doraźne środki koordynacji wprowadzone przez Komisję</w:t>
            </w:r>
            <w:r w:rsidR="00DA257A" w:rsidRPr="00DA257A">
              <w:rPr>
                <w:noProof/>
                <w:sz w:val="22"/>
              </w:rPr>
              <w:t xml:space="preserve"> w cią</w:t>
            </w:r>
            <w:r w:rsidRPr="00DA257A">
              <w:rPr>
                <w:noProof/>
                <w:sz w:val="22"/>
              </w:rPr>
              <w:t>gu ostatnich dwóch lat umożliwiły zarządzanie kryzysem</w:t>
            </w:r>
            <w:r w:rsidR="00DA257A" w:rsidRPr="00DA257A">
              <w:rPr>
                <w:noProof/>
                <w:sz w:val="22"/>
              </w:rPr>
              <w:t xml:space="preserve"> w bar</w:t>
            </w:r>
            <w:r w:rsidRPr="00DA257A">
              <w:rPr>
                <w:noProof/>
                <w:sz w:val="22"/>
              </w:rPr>
              <w:t>dziej uporządkowany sposób. Komisja współpracowała również</w:t>
            </w:r>
            <w:r w:rsidR="00DA257A" w:rsidRPr="00DA257A">
              <w:rPr>
                <w:noProof/>
                <w:sz w:val="22"/>
              </w:rPr>
              <w:t xml:space="preserve"> z pań</w:t>
            </w:r>
            <w:r w:rsidRPr="00DA257A">
              <w:rPr>
                <w:noProof/>
                <w:sz w:val="22"/>
              </w:rPr>
              <w:t>stwami członkowskimi</w:t>
            </w:r>
            <w:r w:rsidR="00DA257A" w:rsidRPr="00DA257A">
              <w:rPr>
                <w:noProof/>
                <w:sz w:val="22"/>
              </w:rPr>
              <w:t xml:space="preserve"> w cel</w:t>
            </w:r>
            <w:r w:rsidRPr="00DA257A">
              <w:rPr>
                <w:noProof/>
                <w:sz w:val="22"/>
              </w:rPr>
              <w:t>u określenia ich potrzeb</w:t>
            </w:r>
            <w:r w:rsidR="00DA257A" w:rsidRPr="00DA257A">
              <w:rPr>
                <w:noProof/>
                <w:sz w:val="22"/>
              </w:rPr>
              <w:t xml:space="preserve"> w zak</w:t>
            </w:r>
            <w:r w:rsidRPr="00DA257A">
              <w:rPr>
                <w:noProof/>
                <w:sz w:val="22"/>
              </w:rPr>
              <w:t>resie skutecznego przeciwdziałania pandemii,</w:t>
            </w:r>
            <w:r w:rsidR="00DA257A" w:rsidRPr="00DA257A">
              <w:rPr>
                <w:noProof/>
                <w:sz w:val="22"/>
              </w:rPr>
              <w:t xml:space="preserve"> w szc</w:t>
            </w:r>
            <w:r w:rsidRPr="00DA257A">
              <w:rPr>
                <w:noProof/>
                <w:sz w:val="22"/>
              </w:rPr>
              <w:t>zególności</w:t>
            </w:r>
            <w:r w:rsidR="00DA257A" w:rsidRPr="00DA257A">
              <w:rPr>
                <w:noProof/>
                <w:sz w:val="22"/>
              </w:rPr>
              <w:t xml:space="preserve"> w kon</w:t>
            </w:r>
            <w:r w:rsidRPr="00DA257A">
              <w:rPr>
                <w:noProof/>
                <w:sz w:val="22"/>
              </w:rPr>
              <w:t>tekście mechanizmu Rady dotyczącego reagowania na szczeblu politycznym</w:t>
            </w:r>
            <w:r w:rsidR="00DA257A" w:rsidRPr="00DA257A">
              <w:rPr>
                <w:noProof/>
                <w:sz w:val="22"/>
              </w:rPr>
              <w:t xml:space="preserve"> w syt</w:t>
            </w:r>
            <w:r w:rsidRPr="00DA257A">
              <w:rPr>
                <w:noProof/>
                <w:sz w:val="22"/>
              </w:rPr>
              <w:t>uacjach kryzysowych (IPCR). Kryzys ujawnił jednak także potrzebę opracowania szczegółowych ram prawnych dotyczących takich działań na granicach zewnętrznych na wypadek podobnych sytuacji</w:t>
            </w:r>
            <w:r w:rsidR="00DA257A" w:rsidRPr="00DA257A">
              <w:rPr>
                <w:noProof/>
                <w:sz w:val="22"/>
              </w:rPr>
              <w:t xml:space="preserve"> w prz</w:t>
            </w:r>
            <w:r w:rsidRPr="00DA257A">
              <w:rPr>
                <w:noProof/>
                <w:sz w:val="22"/>
              </w:rPr>
              <w:t>yszłości, co stanowi część wniosku Komisji</w:t>
            </w:r>
            <w:r w:rsidR="00DA257A" w:rsidRPr="00DA257A">
              <w:rPr>
                <w:noProof/>
                <w:sz w:val="22"/>
              </w:rPr>
              <w:t xml:space="preserve"> w spr</w:t>
            </w:r>
            <w:r w:rsidRPr="00DA257A">
              <w:rPr>
                <w:noProof/>
                <w:sz w:val="22"/>
              </w:rPr>
              <w:t>awie zmiany kodeksu granicznego Schengen, który przyjęto</w:t>
            </w:r>
            <w:r w:rsidR="00DA257A" w:rsidRPr="00DA257A">
              <w:rPr>
                <w:noProof/>
                <w:sz w:val="22"/>
              </w:rPr>
              <w:t xml:space="preserve"> w gru</w:t>
            </w:r>
            <w:r w:rsidRPr="00DA257A">
              <w:rPr>
                <w:noProof/>
                <w:sz w:val="22"/>
              </w:rPr>
              <w:t>dniu 2021</w:t>
            </w:r>
            <w:r w:rsidR="007C7210" w:rsidRPr="00DA257A">
              <w:rPr>
                <w:noProof/>
                <w:sz w:val="22"/>
              </w:rPr>
              <w:t> </w:t>
            </w:r>
            <w:r w:rsidRPr="00DA257A">
              <w:rPr>
                <w:noProof/>
                <w:sz w:val="22"/>
              </w:rPr>
              <w:t>r. Okoliczności pandemii mają również wpływ na planowanie</w:t>
            </w:r>
            <w:r w:rsidR="00DA257A" w:rsidRPr="00DA257A">
              <w:rPr>
                <w:noProof/>
                <w:sz w:val="22"/>
              </w:rPr>
              <w:t xml:space="preserve"> i wdr</w:t>
            </w:r>
            <w:r w:rsidRPr="00DA257A">
              <w:rPr>
                <w:noProof/>
                <w:sz w:val="22"/>
              </w:rPr>
              <w:t>ażanie procesu oceny</w:t>
            </w:r>
            <w:r w:rsidR="00DA257A" w:rsidRPr="00DA257A">
              <w:rPr>
                <w:noProof/>
                <w:sz w:val="22"/>
              </w:rPr>
              <w:t xml:space="preserve"> i mon</w:t>
            </w:r>
            <w:r w:rsidRPr="00DA257A">
              <w:rPr>
                <w:noProof/>
                <w:sz w:val="22"/>
              </w:rPr>
              <w:t>itorowania Schengen,</w:t>
            </w:r>
            <w:r w:rsidR="00DA257A" w:rsidRPr="00DA257A">
              <w:rPr>
                <w:noProof/>
                <w:sz w:val="22"/>
              </w:rPr>
              <w:t xml:space="preserve"> w szc</w:t>
            </w:r>
            <w:r w:rsidRPr="00DA257A">
              <w:rPr>
                <w:noProof/>
                <w:sz w:val="22"/>
              </w:rPr>
              <w:t>zególności</w:t>
            </w:r>
            <w:r w:rsidR="00DA257A" w:rsidRPr="00DA257A">
              <w:rPr>
                <w:noProof/>
                <w:sz w:val="22"/>
              </w:rPr>
              <w:t xml:space="preserve"> w dzi</w:t>
            </w:r>
            <w:r w:rsidRPr="00DA257A">
              <w:rPr>
                <w:noProof/>
                <w:sz w:val="22"/>
              </w:rPr>
              <w:t xml:space="preserve">edzinie wspólnej polityki wizowej. </w:t>
            </w:r>
          </w:p>
        </w:tc>
      </w:tr>
    </w:tbl>
    <w:p w14:paraId="63E06DDE" w14:textId="77777777" w:rsidR="00FD17FE" w:rsidRPr="00DA257A" w:rsidRDefault="00CA54FF" w:rsidP="006E7B16">
      <w:pPr>
        <w:pStyle w:val="ListParagraph"/>
        <w:numPr>
          <w:ilvl w:val="1"/>
          <w:numId w:val="1"/>
        </w:numPr>
        <w:spacing w:before="240" w:after="120"/>
        <w:rPr>
          <w:b/>
          <w:bCs/>
          <w:noProof/>
        </w:rPr>
      </w:pPr>
      <w:r w:rsidRPr="00DA257A">
        <w:rPr>
          <w:b/>
          <w:noProof/>
        </w:rPr>
        <w:t>Ukończenie tworzenia strefy Schengen</w:t>
      </w:r>
    </w:p>
    <w:p w14:paraId="33E3B7CA" w14:textId="2359608A" w:rsidR="00FD17FE" w:rsidRPr="00DA257A" w:rsidRDefault="008227FC" w:rsidP="006E7B16">
      <w:pPr>
        <w:spacing w:after="120"/>
        <w:rPr>
          <w:noProof/>
        </w:rPr>
      </w:pPr>
      <w:r w:rsidRPr="00DA257A">
        <w:rPr>
          <w:noProof/>
        </w:rPr>
        <w:t>Od 2011</w:t>
      </w:r>
      <w:r w:rsidR="007C7210" w:rsidRPr="00DA257A">
        <w:rPr>
          <w:noProof/>
        </w:rPr>
        <w:t> </w:t>
      </w:r>
      <w:r w:rsidRPr="00DA257A">
        <w:rPr>
          <w:noProof/>
        </w:rPr>
        <w:t>r. Komisja prowadzi aktywne działania na rzecz ukończenia procesu tworzenia strefy Schengen, zachęcając państwa członkowskie do szybkiego podjęcia niezbędnych kroków, aby umożliwić przystąpienie do niej tym państwom członkowskim UE, które nie należą jeszcze</w:t>
      </w:r>
      <w:r w:rsidR="00DA257A" w:rsidRPr="00DA257A">
        <w:rPr>
          <w:noProof/>
        </w:rPr>
        <w:t xml:space="preserve"> w peł</w:t>
      </w:r>
      <w:r w:rsidRPr="00DA257A">
        <w:rPr>
          <w:noProof/>
        </w:rPr>
        <w:t>ni do obszaru bez kontroli na granicach wewnętrznych. Przyczyni się do zwiększenia bezpieczeństwa</w:t>
      </w:r>
      <w:r w:rsidR="00DA257A" w:rsidRPr="00DA257A">
        <w:rPr>
          <w:noProof/>
        </w:rPr>
        <w:t xml:space="preserve"> w cał</w:t>
      </w:r>
      <w:r w:rsidRPr="00DA257A">
        <w:rPr>
          <w:noProof/>
        </w:rPr>
        <w:t>ej UE.</w:t>
      </w:r>
    </w:p>
    <w:p w14:paraId="420E8791" w14:textId="6F41305F" w:rsidR="00FD17FE" w:rsidRPr="00DA257A" w:rsidRDefault="00FD17FE" w:rsidP="00F95FC7">
      <w:pPr>
        <w:spacing w:after="120"/>
        <w:rPr>
          <w:noProof/>
        </w:rPr>
      </w:pPr>
      <w:r w:rsidRPr="00DA257A">
        <w:rPr>
          <w:noProof/>
        </w:rPr>
        <w:t>W ciągu ostatnich miesięcy podjęto ważne kroki polityczne</w:t>
      </w:r>
      <w:r w:rsidR="00DA257A" w:rsidRPr="00DA257A">
        <w:rPr>
          <w:noProof/>
        </w:rPr>
        <w:t>. W gru</w:t>
      </w:r>
      <w:r w:rsidRPr="00DA257A">
        <w:rPr>
          <w:noProof/>
        </w:rPr>
        <w:t>dniu 2021</w:t>
      </w:r>
      <w:r w:rsidR="007C7210" w:rsidRPr="00DA257A">
        <w:rPr>
          <w:noProof/>
        </w:rPr>
        <w:t> </w:t>
      </w:r>
      <w:r w:rsidRPr="00DA257A">
        <w:rPr>
          <w:noProof/>
        </w:rPr>
        <w:t>r. Rada uznała</w:t>
      </w:r>
      <w:r w:rsidR="00E3053F" w:rsidRPr="00DA257A">
        <w:rPr>
          <w:rStyle w:val="FootnoteReference"/>
          <w:noProof/>
        </w:rPr>
        <w:footnoteReference w:id="31"/>
      </w:r>
      <w:r w:rsidRPr="00DA257A">
        <w:rPr>
          <w:noProof/>
        </w:rPr>
        <w:t>, że Chorwacja spełniła warunki konieczne do stosowania wszystkich części dorobku Schengen.</w:t>
      </w:r>
      <w:r w:rsidRPr="00DA257A">
        <w:rPr>
          <w:i/>
          <w:noProof/>
        </w:rPr>
        <w:t xml:space="preserve"> </w:t>
      </w:r>
      <w:r w:rsidRPr="00DA257A">
        <w:rPr>
          <w:noProof/>
        </w:rPr>
        <w:t>Teraz Rada musi przedstawić projekt decyzji</w:t>
      </w:r>
      <w:r w:rsidR="002C569A" w:rsidRPr="00DA257A">
        <w:rPr>
          <w:rStyle w:val="FootnoteReference"/>
          <w:noProof/>
        </w:rPr>
        <w:footnoteReference w:id="32"/>
      </w:r>
      <w:r w:rsidR="00DA257A" w:rsidRPr="00DA257A">
        <w:rPr>
          <w:noProof/>
        </w:rPr>
        <w:t xml:space="preserve"> w spr</w:t>
      </w:r>
      <w:r w:rsidRPr="00DA257A">
        <w:rPr>
          <w:noProof/>
        </w:rPr>
        <w:t>awie zniesienia kontroli na granicach wewnętrznych</w:t>
      </w:r>
      <w:r w:rsidR="00DA257A" w:rsidRPr="00DA257A">
        <w:rPr>
          <w:noProof/>
        </w:rPr>
        <w:t xml:space="preserve"> i sko</w:t>
      </w:r>
      <w:r w:rsidRPr="00DA257A">
        <w:rPr>
          <w:noProof/>
        </w:rPr>
        <w:t>nsultować się</w:t>
      </w:r>
      <w:r w:rsidR="00DA257A" w:rsidRPr="00DA257A">
        <w:rPr>
          <w:noProof/>
        </w:rPr>
        <w:t xml:space="preserve"> z Par</w:t>
      </w:r>
      <w:r w:rsidRPr="00DA257A">
        <w:rPr>
          <w:noProof/>
        </w:rPr>
        <w:t xml:space="preserve">lamentem Europejskim. </w:t>
      </w:r>
    </w:p>
    <w:p w14:paraId="35381A95" w14:textId="270B5E7B" w:rsidR="00134A63" w:rsidRPr="00DA257A" w:rsidRDefault="00FD17FE" w:rsidP="004742F0">
      <w:pPr>
        <w:spacing w:after="120"/>
        <w:rPr>
          <w:noProof/>
        </w:rPr>
      </w:pPr>
      <w:r w:rsidRPr="00DA257A">
        <w:rPr>
          <w:noProof/>
        </w:rPr>
        <w:t>Ponadto na decyzję Rady oczekują również Rumunia</w:t>
      </w:r>
      <w:r w:rsidR="00DA257A" w:rsidRPr="00DA257A">
        <w:rPr>
          <w:noProof/>
        </w:rPr>
        <w:t xml:space="preserve"> i Buł</w:t>
      </w:r>
      <w:r w:rsidRPr="00DA257A">
        <w:rPr>
          <w:noProof/>
        </w:rPr>
        <w:t>garia, które nadal aktywnie stosują dorobek Schengen,</w:t>
      </w:r>
      <w:r w:rsidR="00DA257A" w:rsidRPr="00DA257A">
        <w:rPr>
          <w:noProof/>
        </w:rPr>
        <w:t xml:space="preserve"> w szc</w:t>
      </w:r>
      <w:r w:rsidRPr="00DA257A">
        <w:rPr>
          <w:noProof/>
        </w:rPr>
        <w:t>zególności</w:t>
      </w:r>
      <w:r w:rsidR="00DA257A" w:rsidRPr="00DA257A">
        <w:rPr>
          <w:noProof/>
        </w:rPr>
        <w:t xml:space="preserve"> w odn</w:t>
      </w:r>
      <w:r w:rsidRPr="00DA257A">
        <w:rPr>
          <w:noProof/>
        </w:rPr>
        <w:t>iesieniu do zarządzania granicami zewnętrznymi</w:t>
      </w:r>
      <w:r w:rsidR="00DA257A" w:rsidRPr="00DA257A">
        <w:rPr>
          <w:noProof/>
        </w:rPr>
        <w:t xml:space="preserve"> z Ukr</w:t>
      </w:r>
      <w:r w:rsidRPr="00DA257A">
        <w:rPr>
          <w:noProof/>
        </w:rPr>
        <w:t>ainą. Od 2011</w:t>
      </w:r>
      <w:r w:rsidR="007C7210" w:rsidRPr="00DA257A">
        <w:rPr>
          <w:noProof/>
        </w:rPr>
        <w:t> </w:t>
      </w:r>
      <w:r w:rsidRPr="00DA257A">
        <w:rPr>
          <w:noProof/>
        </w:rPr>
        <w:t>r. Komisja utrzymuje, że Bułgaria</w:t>
      </w:r>
      <w:r w:rsidR="00DA257A" w:rsidRPr="00DA257A">
        <w:rPr>
          <w:noProof/>
        </w:rPr>
        <w:t xml:space="preserve"> i Rum</w:t>
      </w:r>
      <w:r w:rsidRPr="00DA257A">
        <w:rPr>
          <w:noProof/>
        </w:rPr>
        <w:t>unia spełniają warunki konieczne do przystąpienia do strefy Schengen. Oba państwa członkowskie,</w:t>
      </w:r>
      <w:r w:rsidR="00DA257A" w:rsidRPr="00DA257A">
        <w:rPr>
          <w:noProof/>
        </w:rPr>
        <w:t xml:space="preserve"> w kon</w:t>
      </w:r>
      <w:r w:rsidRPr="00DA257A">
        <w:rPr>
          <w:noProof/>
        </w:rPr>
        <w:t>tekście zreformowanego mechanizmu oceny</w:t>
      </w:r>
      <w:r w:rsidR="00DA257A" w:rsidRPr="00DA257A">
        <w:rPr>
          <w:noProof/>
        </w:rPr>
        <w:t xml:space="preserve"> i mon</w:t>
      </w:r>
      <w:r w:rsidRPr="00DA257A">
        <w:rPr>
          <w:noProof/>
        </w:rPr>
        <w:t>itorowania Schengen, przedłożyły Radzie wspólną deklarację</w:t>
      </w:r>
      <w:r w:rsidR="0084412A" w:rsidRPr="00DA257A">
        <w:rPr>
          <w:rStyle w:val="FootnoteReference"/>
          <w:noProof/>
        </w:rPr>
        <w:footnoteReference w:id="33"/>
      </w:r>
      <w:r w:rsidRPr="00DA257A">
        <w:rPr>
          <w:noProof/>
        </w:rPr>
        <w:t>,</w:t>
      </w:r>
      <w:r w:rsidR="00DA257A" w:rsidRPr="00DA257A">
        <w:rPr>
          <w:noProof/>
        </w:rPr>
        <w:t xml:space="preserve"> w któ</w:t>
      </w:r>
      <w:r w:rsidRPr="00DA257A">
        <w:rPr>
          <w:noProof/>
        </w:rPr>
        <w:t>rej podkreśliły swoje zaangażowanie</w:t>
      </w:r>
      <w:r w:rsidR="00DA257A" w:rsidRPr="00DA257A">
        <w:rPr>
          <w:noProof/>
        </w:rPr>
        <w:t xml:space="preserve"> w pra</w:t>
      </w:r>
      <w:r w:rsidRPr="00DA257A">
        <w:rPr>
          <w:noProof/>
        </w:rPr>
        <w:t>widłowe stosowanie dorobku Schengen</w:t>
      </w:r>
      <w:r w:rsidR="00DA257A" w:rsidRPr="00DA257A">
        <w:rPr>
          <w:noProof/>
        </w:rPr>
        <w:t xml:space="preserve"> i dzi</w:t>
      </w:r>
      <w:r w:rsidRPr="00DA257A">
        <w:rPr>
          <w:noProof/>
        </w:rPr>
        <w:t>ałanie na rzecz właściwego funkcjonowania obszaru bez kontroli na granicach wewnętrznych. Aby potwierdzić to zobowiązanie</w:t>
      </w:r>
      <w:r w:rsidR="00DA257A" w:rsidRPr="00DA257A">
        <w:rPr>
          <w:noProof/>
        </w:rPr>
        <w:t xml:space="preserve"> i wzm</w:t>
      </w:r>
      <w:r w:rsidRPr="00DA257A">
        <w:rPr>
          <w:noProof/>
        </w:rPr>
        <w:t>ocnić wzajemne zaufanie, państwa te zaprosiły na zasadzie dobrowolności zespół koordynowany przez Komisję, który miał ocenić stosowanie najnowszych zmian</w:t>
      </w:r>
      <w:r w:rsidR="00DA257A" w:rsidRPr="00DA257A">
        <w:rPr>
          <w:noProof/>
        </w:rPr>
        <w:t xml:space="preserve"> w dor</w:t>
      </w:r>
      <w:r w:rsidRPr="00DA257A">
        <w:rPr>
          <w:noProof/>
        </w:rPr>
        <w:t>obku Schengen od czasu ocen</w:t>
      </w:r>
      <w:r w:rsidR="00DA257A" w:rsidRPr="00DA257A">
        <w:rPr>
          <w:noProof/>
        </w:rPr>
        <w:t xml:space="preserve"> z 2</w:t>
      </w:r>
      <w:r w:rsidRPr="00DA257A">
        <w:rPr>
          <w:noProof/>
        </w:rPr>
        <w:t>011 roku, koncentrując się na zarządzaniu granicami zewnętrznymi</w:t>
      </w:r>
      <w:r w:rsidR="00DA257A" w:rsidRPr="00DA257A">
        <w:rPr>
          <w:noProof/>
        </w:rPr>
        <w:t xml:space="preserve"> i wsp</w:t>
      </w:r>
      <w:r w:rsidRPr="00DA257A">
        <w:rPr>
          <w:noProof/>
        </w:rPr>
        <w:t>ółpracy policyjnej. Komisja jest gotowa do koordynowania</w:t>
      </w:r>
      <w:r w:rsidR="00DA257A" w:rsidRPr="00DA257A">
        <w:rPr>
          <w:noProof/>
        </w:rPr>
        <w:t xml:space="preserve"> i wdr</w:t>
      </w:r>
      <w:r w:rsidRPr="00DA257A">
        <w:rPr>
          <w:noProof/>
        </w:rPr>
        <w:t>ażania tych dobrowolnych ocen. Komisja po raz kolejny wzywa Radę do podjęcia niezbędnych kroków</w:t>
      </w:r>
      <w:r w:rsidR="00DA257A" w:rsidRPr="00DA257A">
        <w:rPr>
          <w:noProof/>
        </w:rPr>
        <w:t xml:space="preserve"> w cel</w:t>
      </w:r>
      <w:r w:rsidRPr="00DA257A">
        <w:rPr>
          <w:noProof/>
        </w:rPr>
        <w:t>u skonsolidowania strefy Schengen poprzez przyjęcie decyzji umożliwiającej Bułgarii, Chorwacji</w:t>
      </w:r>
      <w:r w:rsidR="00DA257A" w:rsidRPr="00DA257A">
        <w:rPr>
          <w:noProof/>
        </w:rPr>
        <w:t xml:space="preserve"> i Rum</w:t>
      </w:r>
      <w:r w:rsidRPr="00DA257A">
        <w:rPr>
          <w:noProof/>
        </w:rPr>
        <w:t>unii formalne przystąpienie do tej strefy</w:t>
      </w:r>
      <w:r w:rsidR="00C967E4" w:rsidRPr="00DA257A">
        <w:rPr>
          <w:rStyle w:val="FootnoteReference"/>
          <w:noProof/>
        </w:rPr>
        <w:footnoteReference w:id="34"/>
      </w:r>
      <w:r w:rsidRPr="00DA257A">
        <w:rPr>
          <w:noProof/>
        </w:rPr>
        <w:t xml:space="preserve">. </w:t>
      </w:r>
    </w:p>
    <w:p w14:paraId="6631B9DA" w14:textId="214CA24A" w:rsidR="004355EB" w:rsidRPr="00DA257A" w:rsidRDefault="00C037AE" w:rsidP="004742F0">
      <w:pPr>
        <w:spacing w:after="120"/>
        <w:rPr>
          <w:rFonts w:eastAsiaTheme="minorHAnsi"/>
          <w:noProof/>
          <w:szCs w:val="24"/>
        </w:rPr>
      </w:pPr>
      <w:r w:rsidRPr="00DA257A">
        <w:rPr>
          <w:noProof/>
        </w:rPr>
        <w:t>Proces oceny stosowania dorobku Schengen,</w:t>
      </w:r>
      <w:r w:rsidR="00DA257A" w:rsidRPr="00DA257A">
        <w:rPr>
          <w:noProof/>
        </w:rPr>
        <w:t xml:space="preserve"> w ram</w:t>
      </w:r>
      <w:r w:rsidRPr="00DA257A">
        <w:rPr>
          <w:noProof/>
        </w:rPr>
        <w:t>ach którego analizuje się gotowość do przystąpienia do strefy Schengen, prowadzony jest również</w:t>
      </w:r>
      <w:r w:rsidR="00DA257A" w:rsidRPr="00DA257A">
        <w:rPr>
          <w:noProof/>
        </w:rPr>
        <w:t xml:space="preserve"> w odn</w:t>
      </w:r>
      <w:r w:rsidRPr="00DA257A">
        <w:rPr>
          <w:noProof/>
        </w:rPr>
        <w:t>iesieniu do Cypru. 3 maja 2022</w:t>
      </w:r>
      <w:r w:rsidR="007C7210" w:rsidRPr="00DA257A">
        <w:rPr>
          <w:noProof/>
        </w:rPr>
        <w:t> </w:t>
      </w:r>
      <w:r w:rsidRPr="00DA257A">
        <w:rPr>
          <w:noProof/>
        </w:rPr>
        <w:t>r. Parlament Europejski przyjął znaczną większością głosów, na podstawie wniosku Komisji, sprawozdanie</w:t>
      </w:r>
      <w:r w:rsidR="00DA257A" w:rsidRPr="00DA257A">
        <w:rPr>
          <w:noProof/>
        </w:rPr>
        <w:t xml:space="preserve"> w spr</w:t>
      </w:r>
      <w:r w:rsidRPr="00DA257A">
        <w:rPr>
          <w:noProof/>
        </w:rPr>
        <w:t>awie stosowania przepisów dorobku Schengen</w:t>
      </w:r>
      <w:r w:rsidR="00DA257A" w:rsidRPr="00DA257A">
        <w:rPr>
          <w:noProof/>
        </w:rPr>
        <w:t xml:space="preserve"> w obs</w:t>
      </w:r>
      <w:r w:rsidRPr="00DA257A">
        <w:rPr>
          <w:noProof/>
        </w:rPr>
        <w:t>zarze Systemu Informacyjnego Schengen na Cyprze. Kolejnym krokiem ma być przyjęcie przez Radę</w:t>
      </w:r>
      <w:r w:rsidR="00DA257A" w:rsidRPr="00DA257A">
        <w:rPr>
          <w:noProof/>
        </w:rPr>
        <w:t xml:space="preserve"> w dru</w:t>
      </w:r>
      <w:r w:rsidRPr="00DA257A">
        <w:rPr>
          <w:noProof/>
        </w:rPr>
        <w:t>giej połowie 2022</w:t>
      </w:r>
      <w:r w:rsidR="007C7210" w:rsidRPr="00DA257A">
        <w:rPr>
          <w:noProof/>
        </w:rPr>
        <w:t> </w:t>
      </w:r>
      <w:r w:rsidRPr="00DA257A">
        <w:rPr>
          <w:noProof/>
        </w:rPr>
        <w:t>r. decyzji</w:t>
      </w:r>
      <w:r w:rsidR="00DA257A" w:rsidRPr="00DA257A">
        <w:rPr>
          <w:noProof/>
        </w:rPr>
        <w:t xml:space="preserve"> w spr</w:t>
      </w:r>
      <w:r w:rsidRPr="00DA257A">
        <w:rPr>
          <w:noProof/>
        </w:rPr>
        <w:t>awie stosowania przepisów dorobku Schengen</w:t>
      </w:r>
      <w:r w:rsidR="00DA257A" w:rsidRPr="00DA257A">
        <w:rPr>
          <w:noProof/>
        </w:rPr>
        <w:t xml:space="preserve"> w obs</w:t>
      </w:r>
      <w:r w:rsidRPr="00DA257A">
        <w:rPr>
          <w:noProof/>
        </w:rPr>
        <w:t>zarze Systemu Informacyjnego Schengen na Cyprze,</w:t>
      </w:r>
      <w:r w:rsidR="00DA257A" w:rsidRPr="00DA257A">
        <w:rPr>
          <w:noProof/>
        </w:rPr>
        <w:t xml:space="preserve"> a nas</w:t>
      </w:r>
      <w:r w:rsidRPr="00DA257A">
        <w:rPr>
          <w:noProof/>
        </w:rPr>
        <w:t xml:space="preserve">tępnie przeprowadzona zostanie ocena działania tego systemu. </w:t>
      </w:r>
    </w:p>
    <w:p w14:paraId="1CB3C43A" w14:textId="0CF98FE8" w:rsidR="00AC2253" w:rsidRPr="00DA257A" w:rsidRDefault="00B3672B" w:rsidP="004742F0">
      <w:pPr>
        <w:pStyle w:val="ListParagraph"/>
        <w:numPr>
          <w:ilvl w:val="0"/>
          <w:numId w:val="1"/>
        </w:numPr>
        <w:spacing w:before="240" w:after="120"/>
        <w:contextualSpacing w:val="0"/>
        <w:rPr>
          <w:noProof/>
          <w:sz w:val="28"/>
        </w:rPr>
      </w:pPr>
      <w:r w:rsidRPr="00DA257A">
        <w:rPr>
          <w:b/>
          <w:noProof/>
          <w:sz w:val="28"/>
        </w:rPr>
        <w:t>Priorytety wynikające</w:t>
      </w:r>
      <w:r w:rsidR="00DA257A" w:rsidRPr="00DA257A">
        <w:rPr>
          <w:b/>
          <w:noProof/>
          <w:sz w:val="28"/>
        </w:rPr>
        <w:t xml:space="preserve"> z oce</w:t>
      </w:r>
      <w:r w:rsidRPr="00DA257A">
        <w:rPr>
          <w:b/>
          <w:noProof/>
          <w:sz w:val="28"/>
        </w:rPr>
        <w:t>n Schengen</w:t>
      </w:r>
    </w:p>
    <w:p w14:paraId="377BAB5B" w14:textId="55D8A2CD" w:rsidR="00BE46EF" w:rsidRPr="00DA257A" w:rsidRDefault="00DC334B" w:rsidP="00617A3B">
      <w:pPr>
        <w:spacing w:after="120"/>
        <w:rPr>
          <w:noProof/>
        </w:rPr>
      </w:pPr>
      <w:r w:rsidRPr="00DA257A">
        <w:rPr>
          <w:noProof/>
        </w:rPr>
        <w:t>Oprócz sprawnego zarządzania dobrze funkcjonująca strefa Schengen jest uzależniona od prawidłowego</w:t>
      </w:r>
      <w:r w:rsidR="00DA257A" w:rsidRPr="00DA257A">
        <w:rPr>
          <w:noProof/>
        </w:rPr>
        <w:t xml:space="preserve"> i ter</w:t>
      </w:r>
      <w:r w:rsidRPr="00DA257A">
        <w:rPr>
          <w:noProof/>
        </w:rPr>
        <w:t>minowego wdrożenia dorobku Schengen. Przepisy te zapewniają, aby wszystkie państwa członkowskie stosowały jednolite kryteria kontroli wjazdu</w:t>
      </w:r>
      <w:r w:rsidR="00DA257A" w:rsidRPr="00DA257A">
        <w:rPr>
          <w:noProof/>
        </w:rPr>
        <w:t xml:space="preserve"> i wyj</w:t>
      </w:r>
      <w:r w:rsidRPr="00DA257A">
        <w:rPr>
          <w:noProof/>
        </w:rPr>
        <w:t>azdu na wspólnej granicy zewnętrznej, rozwijały współpracę między strażą graniczną, policją krajową</w:t>
      </w:r>
      <w:r w:rsidR="00DA257A" w:rsidRPr="00DA257A">
        <w:rPr>
          <w:noProof/>
        </w:rPr>
        <w:t xml:space="preserve"> i org</w:t>
      </w:r>
      <w:r w:rsidRPr="00DA257A">
        <w:rPr>
          <w:noProof/>
        </w:rPr>
        <w:t>anami sądowymi, stosowały odpowiednie systemy wymiany informacji oraz wdrażały wspólną politykę powrotową. Zapewniają one ujednolicone warunki wjazdu oraz wspólną politykę wizową</w:t>
      </w:r>
      <w:r w:rsidR="00DA257A" w:rsidRPr="00DA257A">
        <w:rPr>
          <w:noProof/>
        </w:rPr>
        <w:t xml:space="preserve"> w cel</w:t>
      </w:r>
      <w:r w:rsidRPr="00DA257A">
        <w:rPr>
          <w:noProof/>
        </w:rPr>
        <w:t>u utrzymania wysokiego poziomu bezpieczeństwa wewnętrznego oraz możliwości podróżowania bez konieczności poddawania się kontrolom na granicach wewnętrznych. Ze względu na dużą ilość przetwarzanych danych osobowych zasadniczą rolę odgrywa przestrzeganie wymogów</w:t>
      </w:r>
      <w:r w:rsidR="00DA257A" w:rsidRPr="00DA257A">
        <w:rPr>
          <w:noProof/>
        </w:rPr>
        <w:t xml:space="preserve"> w zak</w:t>
      </w:r>
      <w:r w:rsidRPr="00DA257A">
        <w:rPr>
          <w:noProof/>
        </w:rPr>
        <w:t>resie ochrony danych.</w:t>
      </w:r>
      <w:r w:rsidR="007C7210" w:rsidRPr="00DA257A">
        <w:rPr>
          <w:noProof/>
        </w:rPr>
        <w:t xml:space="preserve"> </w:t>
      </w:r>
      <w:r w:rsidRPr="00DA257A">
        <w:rPr>
          <w:noProof/>
        </w:rPr>
        <w:t xml:space="preserve">Prawidłowe wdrożenie wszystkich tych zasad nie tylko zapewnia bezpieczeństwo obywateli na obszarze bez granic wewnętrznych, ale także tworzy synergię między organami krajowymi. </w:t>
      </w:r>
    </w:p>
    <w:p w14:paraId="1E698413" w14:textId="62E76D0B" w:rsidR="00282021" w:rsidRPr="00DA257A" w:rsidRDefault="00BE46EF" w:rsidP="00531DFE">
      <w:pPr>
        <w:spacing w:after="120"/>
        <w:rPr>
          <w:noProof/>
        </w:rPr>
      </w:pPr>
      <w:r w:rsidRPr="00DA257A">
        <w:rPr>
          <w:noProof/>
        </w:rPr>
        <w:t>Wsparcie finansowe</w:t>
      </w:r>
      <w:r w:rsidR="00DA257A" w:rsidRPr="00DA257A">
        <w:rPr>
          <w:noProof/>
        </w:rPr>
        <w:t xml:space="preserve"> w ram</w:t>
      </w:r>
      <w:r w:rsidRPr="00DA257A">
        <w:rPr>
          <w:noProof/>
        </w:rPr>
        <w:t>ach funduszy UE (Fundusz Bezpieczeństwa Wewnętrznego, Instrument Wsparcia Finansowego na rzecz Zarządzania Granicami</w:t>
      </w:r>
      <w:r w:rsidR="00DA257A" w:rsidRPr="00DA257A">
        <w:rPr>
          <w:noProof/>
        </w:rPr>
        <w:t xml:space="preserve"> i Pol</w:t>
      </w:r>
      <w:r w:rsidRPr="00DA257A">
        <w:rPr>
          <w:noProof/>
        </w:rPr>
        <w:t>ityki Wizowej oraz Fundusz Azylu, Migracji</w:t>
      </w:r>
      <w:r w:rsidR="00DA257A" w:rsidRPr="00DA257A">
        <w:rPr>
          <w:noProof/>
        </w:rPr>
        <w:t xml:space="preserve"> i Int</w:t>
      </w:r>
      <w:r w:rsidRPr="00DA257A">
        <w:rPr>
          <w:noProof/>
        </w:rPr>
        <w:t>egracji) również ułatwia prawidłowe wdrożenie dorobku Schengen. Komisja stara się zapewnić państwom członkowskim wystarczające środki na realizację zaleceń, których skutki finansowe wynikają</w:t>
      </w:r>
      <w:r w:rsidR="00DA257A" w:rsidRPr="00DA257A">
        <w:rPr>
          <w:noProof/>
        </w:rPr>
        <w:t xml:space="preserve"> z oce</w:t>
      </w:r>
      <w:r w:rsidRPr="00DA257A">
        <w:rPr>
          <w:noProof/>
        </w:rPr>
        <w:t>n stosowania dorobku Schengen. Biorąc pod uwagę ramy czasowe ocen, zachęca się zatem państwa członkowskie, aby</w:t>
      </w:r>
      <w:r w:rsidR="00DA257A" w:rsidRPr="00DA257A">
        <w:rPr>
          <w:noProof/>
        </w:rPr>
        <w:t xml:space="preserve"> w ram</w:t>
      </w:r>
      <w:r w:rsidRPr="00DA257A">
        <w:rPr>
          <w:noProof/>
        </w:rPr>
        <w:t>ach swoich programów krajowych przeznaczyły niezbędne środki</w:t>
      </w:r>
      <w:r w:rsidR="00DA257A" w:rsidRPr="00DA257A">
        <w:rPr>
          <w:noProof/>
        </w:rPr>
        <w:t xml:space="preserve"> w cel</w:t>
      </w:r>
      <w:r w:rsidRPr="00DA257A">
        <w:rPr>
          <w:noProof/>
        </w:rPr>
        <w:t>u potraktowania priorytetowo niedociągnięć wskazanych</w:t>
      </w:r>
      <w:r w:rsidR="00DA257A" w:rsidRPr="00DA257A">
        <w:rPr>
          <w:noProof/>
        </w:rPr>
        <w:t xml:space="preserve"> w spr</w:t>
      </w:r>
      <w:r w:rsidRPr="00DA257A">
        <w:rPr>
          <w:noProof/>
        </w:rPr>
        <w:t>awozdaniach</w:t>
      </w:r>
      <w:r w:rsidR="00DA257A" w:rsidRPr="00DA257A">
        <w:rPr>
          <w:noProof/>
        </w:rPr>
        <w:t xml:space="preserve"> z oce</w:t>
      </w:r>
      <w:r w:rsidRPr="00DA257A">
        <w:rPr>
          <w:noProof/>
        </w:rPr>
        <w:t>ny, zwłaszcza</w:t>
      </w:r>
      <w:r w:rsidR="00DA257A" w:rsidRPr="00DA257A">
        <w:rPr>
          <w:noProof/>
        </w:rPr>
        <w:t xml:space="preserve"> w prz</w:t>
      </w:r>
      <w:r w:rsidRPr="00DA257A">
        <w:rPr>
          <w:noProof/>
        </w:rPr>
        <w:t>ypadku stwierdzenia poważnych niedociągnięć.</w:t>
      </w:r>
    </w:p>
    <w:p w14:paraId="50FC815A" w14:textId="7E3C2C8B" w:rsidR="008A1724" w:rsidRPr="00DA257A" w:rsidRDefault="00B12E04" w:rsidP="00431CB9">
      <w:pPr>
        <w:pStyle w:val="ListParagraph"/>
        <w:spacing w:after="120"/>
        <w:ind w:left="0"/>
        <w:contextualSpacing w:val="0"/>
        <w:rPr>
          <w:noProof/>
        </w:rPr>
      </w:pPr>
      <w:r w:rsidRPr="00DA257A">
        <w:rPr>
          <w:noProof/>
        </w:rPr>
        <w:t>Chociaż</w:t>
      </w:r>
      <w:r w:rsidR="00DA257A" w:rsidRPr="00DA257A">
        <w:rPr>
          <w:noProof/>
        </w:rPr>
        <w:t xml:space="preserve"> z prz</w:t>
      </w:r>
      <w:r w:rsidRPr="00DA257A">
        <w:rPr>
          <w:noProof/>
        </w:rPr>
        <w:t>eprowadzonych</w:t>
      </w:r>
      <w:r w:rsidR="00DA257A" w:rsidRPr="00DA257A">
        <w:rPr>
          <w:noProof/>
        </w:rPr>
        <w:t xml:space="preserve"> w ost</w:t>
      </w:r>
      <w:r w:rsidRPr="00DA257A">
        <w:rPr>
          <w:noProof/>
        </w:rPr>
        <w:t>atnich latach ocen Schengen wynika, że państwa członkowskie zasadniczo prawidłowo wdrażają dorobek Schengen, nadal istnieją pewne kluczowe niedociągnięcia</w:t>
      </w:r>
      <w:r w:rsidR="00DA257A" w:rsidRPr="00DA257A">
        <w:rPr>
          <w:noProof/>
        </w:rPr>
        <w:t xml:space="preserve"> i dzi</w:t>
      </w:r>
      <w:r w:rsidRPr="00DA257A">
        <w:rPr>
          <w:noProof/>
        </w:rPr>
        <w:t>ałania, które należy potraktować priorytetowo. Niedociągnięć nie należy analizować oddzielnie, ale należy je rozpatrywać we wzajemnym powiązaniu</w:t>
      </w:r>
      <w:r w:rsidR="00DA257A" w:rsidRPr="00DA257A">
        <w:rPr>
          <w:noProof/>
        </w:rPr>
        <w:t xml:space="preserve"> z róż</w:t>
      </w:r>
      <w:r w:rsidRPr="00DA257A">
        <w:rPr>
          <w:noProof/>
        </w:rPr>
        <w:t>nymi obszarami objętymi mechanizmem oceny</w:t>
      </w:r>
      <w:r w:rsidR="00DA257A" w:rsidRPr="00DA257A">
        <w:rPr>
          <w:noProof/>
        </w:rPr>
        <w:t xml:space="preserve"> i mon</w:t>
      </w:r>
      <w:r w:rsidRPr="00DA257A">
        <w:rPr>
          <w:noProof/>
        </w:rPr>
        <w:t>itorowania Schengen oraz</w:t>
      </w:r>
      <w:r w:rsidR="00DA257A" w:rsidRPr="00DA257A">
        <w:rPr>
          <w:noProof/>
        </w:rPr>
        <w:t xml:space="preserve"> w kon</w:t>
      </w:r>
      <w:r w:rsidRPr="00DA257A">
        <w:rPr>
          <w:noProof/>
        </w:rPr>
        <w:t>tekście ich potencjału osłabiania strefy Schengen. Niektóre</w:t>
      </w:r>
      <w:r w:rsidR="00DA257A" w:rsidRPr="00DA257A">
        <w:rPr>
          <w:noProof/>
        </w:rPr>
        <w:t xml:space="preserve"> z tyc</w:t>
      </w:r>
      <w:r w:rsidRPr="00DA257A">
        <w:rPr>
          <w:noProof/>
        </w:rPr>
        <w:t>h niedociągnięć mają charakter horyzontalny</w:t>
      </w:r>
      <w:r w:rsidR="00DA257A" w:rsidRPr="00DA257A">
        <w:rPr>
          <w:noProof/>
        </w:rPr>
        <w:t xml:space="preserve"> i obe</w:t>
      </w:r>
      <w:r w:rsidRPr="00DA257A">
        <w:rPr>
          <w:noProof/>
        </w:rPr>
        <w:t>jmują różne obszary polityki, przy czym</w:t>
      </w:r>
      <w:r w:rsidR="00DA257A" w:rsidRPr="00DA257A">
        <w:rPr>
          <w:noProof/>
        </w:rPr>
        <w:t xml:space="preserve"> z uwa</w:t>
      </w:r>
      <w:r w:rsidRPr="00DA257A">
        <w:rPr>
          <w:noProof/>
        </w:rPr>
        <w:t>gi na swoje zróżnicowane skutki mogą wywierać większy wpływ na prawidłowe funkcjonowanie strefy Schengen.</w:t>
      </w:r>
    </w:p>
    <w:p w14:paraId="39AE2029" w14:textId="44711EFA" w:rsidR="00A45E2A" w:rsidRPr="00DA257A" w:rsidRDefault="009D1DBB" w:rsidP="00BD086A">
      <w:pPr>
        <w:autoSpaceDE w:val="0"/>
        <w:autoSpaceDN w:val="0"/>
        <w:rPr>
          <w:noProof/>
        </w:rPr>
      </w:pPr>
      <w:r w:rsidRPr="00DA257A">
        <w:rPr>
          <w:noProof/>
        </w:rPr>
        <w:t>W ramach pierwszego cyklu ocen Schengen (lata 2015–2019) wykryto poważne niedociągnięcia</w:t>
      </w:r>
      <w:r w:rsidR="00DA257A" w:rsidRPr="00DA257A">
        <w:rPr>
          <w:noProof/>
        </w:rPr>
        <w:t xml:space="preserve"> w tra</w:t>
      </w:r>
      <w:r w:rsidRPr="00DA257A">
        <w:rPr>
          <w:noProof/>
        </w:rPr>
        <w:t>kcie dziesięciu ocen przeprowadzanych</w:t>
      </w:r>
      <w:r w:rsidR="00DA257A" w:rsidRPr="00DA257A">
        <w:rPr>
          <w:noProof/>
        </w:rPr>
        <w:t xml:space="preserve"> w trz</w:t>
      </w:r>
      <w:r w:rsidRPr="00DA257A">
        <w:rPr>
          <w:noProof/>
        </w:rPr>
        <w:t>ech obszarach</w:t>
      </w:r>
      <w:r w:rsidR="009C413D" w:rsidRPr="00DA257A">
        <w:rPr>
          <w:rStyle w:val="FootnoteReference"/>
          <w:noProof/>
        </w:rPr>
        <w:footnoteReference w:id="35"/>
      </w:r>
      <w:r w:rsidRPr="00DA257A">
        <w:rPr>
          <w:noProof/>
        </w:rPr>
        <w:t>, natomiast</w:t>
      </w:r>
      <w:r w:rsidR="00DA257A" w:rsidRPr="00DA257A">
        <w:rPr>
          <w:noProof/>
        </w:rPr>
        <w:t xml:space="preserve"> w lat</w:t>
      </w:r>
      <w:r w:rsidRPr="00DA257A">
        <w:rPr>
          <w:noProof/>
        </w:rPr>
        <w:t>ach 2020–2021 zidentyfikowano kolejny przypadek</w:t>
      </w:r>
      <w:r w:rsidR="00DA257A" w:rsidRPr="00DA257A">
        <w:rPr>
          <w:noProof/>
        </w:rPr>
        <w:t xml:space="preserve"> w czw</w:t>
      </w:r>
      <w:r w:rsidRPr="00DA257A">
        <w:rPr>
          <w:noProof/>
        </w:rPr>
        <w:t>artym obszarze polityki</w:t>
      </w:r>
      <w:r w:rsidR="00BE4954" w:rsidRPr="00DA257A">
        <w:rPr>
          <w:rStyle w:val="FootnoteReference"/>
          <w:noProof/>
        </w:rPr>
        <w:footnoteReference w:id="36"/>
      </w:r>
      <w:r w:rsidR="00DA257A" w:rsidRPr="00DA257A">
        <w:rPr>
          <w:noProof/>
        </w:rPr>
        <w:t>. W nie</w:t>
      </w:r>
      <w:r w:rsidRPr="00DA257A">
        <w:rPr>
          <w:noProof/>
        </w:rPr>
        <w:t>których przypadkach wspomniane poważne niedociągnięcia odnoszą się do niedociągnięć zagrażających ogólnemu funkcjonowaniu strefy Schengen lub,</w:t>
      </w:r>
      <w:r w:rsidR="00DA257A" w:rsidRPr="00DA257A">
        <w:rPr>
          <w:noProof/>
        </w:rPr>
        <w:t xml:space="preserve"> w inn</w:t>
      </w:r>
      <w:r w:rsidRPr="00DA257A">
        <w:rPr>
          <w:noProof/>
        </w:rPr>
        <w:t>ych przypadkach, do niedociągnięć stwarzających poważne ryzyko dla praw podstawowych. Po wykryciu poważnych niedociągnięć państwa członkowskie są ściśle monitorowane, aby zagwarantować szybkie podjęcie działań naprawczych,</w:t>
      </w:r>
      <w:r w:rsidR="00DA257A" w:rsidRPr="00DA257A">
        <w:rPr>
          <w:noProof/>
        </w:rPr>
        <w:t xml:space="preserve"> w tym</w:t>
      </w:r>
      <w:r w:rsidRPr="00DA257A">
        <w:rPr>
          <w:noProof/>
        </w:rPr>
        <w:t xml:space="preserve"> również poprzez odbywanie ponownych wizyt. Zreformowany mechanizm oceny</w:t>
      </w:r>
      <w:r w:rsidR="00DA257A" w:rsidRPr="00DA257A">
        <w:rPr>
          <w:noProof/>
        </w:rPr>
        <w:t xml:space="preserve"> i mon</w:t>
      </w:r>
      <w:r w:rsidRPr="00DA257A">
        <w:rPr>
          <w:noProof/>
        </w:rPr>
        <w:t>itorowania Schengen doprowadzi do ustanowienia jeszcze bardziej rozbudowanego systemu monitorowania, co przyspieszy cały proces zwłaszcza</w:t>
      </w:r>
      <w:r w:rsidR="00DA257A" w:rsidRPr="00DA257A">
        <w:rPr>
          <w:noProof/>
        </w:rPr>
        <w:t xml:space="preserve"> w prz</w:t>
      </w:r>
      <w:r w:rsidRPr="00DA257A">
        <w:rPr>
          <w:noProof/>
        </w:rPr>
        <w:t xml:space="preserve">ypadku wykrycia poważnych niedociągnięć, dla których przewidziano specjalną procedurę przyspieszoną. </w:t>
      </w:r>
    </w:p>
    <w:p w14:paraId="7B34174B" w14:textId="77777777" w:rsidR="0022008F" w:rsidRPr="00DA257A" w:rsidRDefault="009B7F6D" w:rsidP="006E7B16">
      <w:pPr>
        <w:spacing w:after="120"/>
        <w:rPr>
          <w:b/>
          <w:bCs/>
          <w:noProof/>
        </w:rPr>
      </w:pPr>
      <w:r w:rsidRPr="00DA257A">
        <w:rPr>
          <w:b/>
          <w:noProof/>
        </w:rPr>
        <w:t>4.1. Zarządzanie granicami zewnętrznymi</w:t>
      </w:r>
    </w:p>
    <w:p w14:paraId="186E83C5" w14:textId="6EBB501F" w:rsidR="006A0809" w:rsidRPr="00DA257A" w:rsidRDefault="00FE3C25" w:rsidP="006E7B16">
      <w:pPr>
        <w:spacing w:after="120"/>
        <w:rPr>
          <w:noProof/>
        </w:rPr>
      </w:pPr>
      <w:r w:rsidRPr="00DA257A">
        <w:rPr>
          <w:noProof/>
        </w:rPr>
        <w:t>Granice zewnętrzne muszą być skutecznie chronione</w:t>
      </w:r>
      <w:r w:rsidR="00DA257A" w:rsidRPr="00DA257A">
        <w:rPr>
          <w:noProof/>
        </w:rPr>
        <w:t xml:space="preserve"> i nal</w:t>
      </w:r>
      <w:r w:rsidRPr="00DA257A">
        <w:rPr>
          <w:noProof/>
        </w:rPr>
        <w:t>eży nimi sprawnie zarządzać, dbając</w:t>
      </w:r>
      <w:r w:rsidR="00DA257A" w:rsidRPr="00DA257A">
        <w:rPr>
          <w:noProof/>
        </w:rPr>
        <w:t xml:space="preserve"> o peł</w:t>
      </w:r>
      <w:r w:rsidRPr="00DA257A">
        <w:rPr>
          <w:noProof/>
        </w:rPr>
        <w:t>ne poszanowanie praw osób ubiegających się</w:t>
      </w:r>
      <w:r w:rsidR="00DA257A" w:rsidRPr="00DA257A">
        <w:rPr>
          <w:noProof/>
        </w:rPr>
        <w:t xml:space="preserve"> o och</w:t>
      </w:r>
      <w:r w:rsidRPr="00DA257A">
        <w:rPr>
          <w:noProof/>
        </w:rPr>
        <w:t>ronę. Działania służące usprawnieniu procesu przekraczania granic muszą iść</w:t>
      </w:r>
      <w:r w:rsidR="00DA257A" w:rsidRPr="00DA257A">
        <w:rPr>
          <w:noProof/>
        </w:rPr>
        <w:t xml:space="preserve"> w par</w:t>
      </w:r>
      <w:r w:rsidRPr="00DA257A">
        <w:rPr>
          <w:noProof/>
        </w:rPr>
        <w:t>ze</w:t>
      </w:r>
      <w:r w:rsidR="00DA257A" w:rsidRPr="00DA257A">
        <w:rPr>
          <w:noProof/>
        </w:rPr>
        <w:t xml:space="preserve"> z dąż</w:t>
      </w:r>
      <w:r w:rsidRPr="00DA257A">
        <w:rPr>
          <w:noProof/>
        </w:rPr>
        <w:t>eniem do zapewnienia wysokiego poziomu bezpieczeństwa. Efektywne</w:t>
      </w:r>
      <w:r w:rsidR="00DA257A" w:rsidRPr="00DA257A">
        <w:rPr>
          <w:noProof/>
        </w:rPr>
        <w:t xml:space="preserve"> i zor</w:t>
      </w:r>
      <w:r w:rsidRPr="00DA257A">
        <w:rPr>
          <w:noProof/>
        </w:rPr>
        <w:t>ientowane na kwestie związane</w:t>
      </w:r>
      <w:r w:rsidR="00DA257A" w:rsidRPr="00DA257A">
        <w:rPr>
          <w:noProof/>
        </w:rPr>
        <w:t xml:space="preserve"> z bez</w:t>
      </w:r>
      <w:r w:rsidRPr="00DA257A">
        <w:rPr>
          <w:noProof/>
        </w:rPr>
        <w:t>pieczeństwem procedury odpraw granicznych przeprowadzane</w:t>
      </w:r>
      <w:r w:rsidR="00DA257A" w:rsidRPr="00DA257A">
        <w:rPr>
          <w:noProof/>
        </w:rPr>
        <w:t xml:space="preserve"> w opa</w:t>
      </w:r>
      <w:r w:rsidRPr="00DA257A">
        <w:rPr>
          <w:noProof/>
        </w:rPr>
        <w:t>rciu</w:t>
      </w:r>
      <w:r w:rsidR="00DA257A" w:rsidRPr="00DA257A">
        <w:rPr>
          <w:noProof/>
        </w:rPr>
        <w:t xml:space="preserve"> o kom</w:t>
      </w:r>
      <w:r w:rsidRPr="00DA257A">
        <w:rPr>
          <w:noProof/>
        </w:rPr>
        <w:t>pleksowe informacje poprzedzające przybycie</w:t>
      </w:r>
      <w:r w:rsidR="00DA257A" w:rsidRPr="00DA257A">
        <w:rPr>
          <w:noProof/>
        </w:rPr>
        <w:t xml:space="preserve"> i zap</w:t>
      </w:r>
      <w:r w:rsidRPr="00DA257A">
        <w:rPr>
          <w:noProof/>
        </w:rPr>
        <w:t>ytania</w:t>
      </w:r>
      <w:r w:rsidR="00DA257A" w:rsidRPr="00DA257A">
        <w:rPr>
          <w:noProof/>
        </w:rPr>
        <w:t xml:space="preserve"> w odp</w:t>
      </w:r>
      <w:r w:rsidRPr="00DA257A">
        <w:rPr>
          <w:noProof/>
        </w:rPr>
        <w:t>owiednich bazach danych dokonywane</w:t>
      </w:r>
      <w:r w:rsidR="00DA257A" w:rsidRPr="00DA257A">
        <w:rPr>
          <w:noProof/>
        </w:rPr>
        <w:t xml:space="preserve"> w cel</w:t>
      </w:r>
      <w:r w:rsidRPr="00DA257A">
        <w:rPr>
          <w:noProof/>
        </w:rPr>
        <w:t>u zapewnienia poddawania wszystkich osób przekraczających granice zewnętrzne systematycznym odprawą są regułą. Państwa członkowskie są również zobowiązane do zapewnienia dostępności kompleksowego mechanizmu monitorowania granic zewnętrznych oraz do skutecznej ochrony granicy, aby zagwarantować pełną orientację sytuacyjną oraz aby umożliwić właściwe reagowanie,</w:t>
      </w:r>
      <w:r w:rsidR="00DA257A" w:rsidRPr="00DA257A">
        <w:rPr>
          <w:noProof/>
        </w:rPr>
        <w:t xml:space="preserve"> w tym</w:t>
      </w:r>
      <w:r w:rsidRPr="00DA257A">
        <w:rPr>
          <w:noProof/>
        </w:rPr>
        <w:t xml:space="preserve"> również</w:t>
      </w:r>
      <w:r w:rsidR="00DA257A" w:rsidRPr="00DA257A">
        <w:rPr>
          <w:noProof/>
        </w:rPr>
        <w:t xml:space="preserve"> w kwe</w:t>
      </w:r>
      <w:r w:rsidRPr="00DA257A">
        <w:rPr>
          <w:noProof/>
        </w:rPr>
        <w:t xml:space="preserve">stii ratowania życia na morzu. </w:t>
      </w:r>
    </w:p>
    <w:p w14:paraId="62C1E937" w14:textId="0EC3C9D8" w:rsidR="00752791" w:rsidRPr="00DA257A" w:rsidRDefault="008F1A48" w:rsidP="006E7B16">
      <w:pPr>
        <w:spacing w:after="120"/>
        <w:rPr>
          <w:noProof/>
        </w:rPr>
      </w:pPr>
      <w:r w:rsidRPr="00DA257A">
        <w:rPr>
          <w:noProof/>
        </w:rPr>
        <w:t>Zjawisko instrumentalizacji migrantów do celów politycznych stanowi szczególne wyzwanie, dlatego też</w:t>
      </w:r>
      <w:r w:rsidR="00DA257A" w:rsidRPr="00DA257A">
        <w:rPr>
          <w:noProof/>
        </w:rPr>
        <w:t xml:space="preserve"> w gru</w:t>
      </w:r>
      <w:r w:rsidRPr="00DA257A">
        <w:rPr>
          <w:noProof/>
        </w:rPr>
        <w:t>dniu 2021</w:t>
      </w:r>
      <w:r w:rsidR="007C7210" w:rsidRPr="00DA257A">
        <w:rPr>
          <w:noProof/>
        </w:rPr>
        <w:t> </w:t>
      </w:r>
      <w:r w:rsidRPr="00DA257A">
        <w:rPr>
          <w:noProof/>
        </w:rPr>
        <w:t>r. –</w:t>
      </w:r>
      <w:r w:rsidR="00DA257A" w:rsidRPr="00DA257A">
        <w:rPr>
          <w:noProof/>
        </w:rPr>
        <w:t xml:space="preserve"> w odp</w:t>
      </w:r>
      <w:r w:rsidRPr="00DA257A">
        <w:rPr>
          <w:noProof/>
        </w:rPr>
        <w:t>owiedzi na wezwanie Rady Europejskiej – Komisja przedstawiła specjalne wnioski:</w:t>
      </w:r>
      <w:r w:rsidR="00DA257A" w:rsidRPr="00DA257A">
        <w:rPr>
          <w:noProof/>
        </w:rPr>
        <w:t xml:space="preserve"> w spr</w:t>
      </w:r>
      <w:r w:rsidRPr="00DA257A">
        <w:rPr>
          <w:noProof/>
        </w:rPr>
        <w:t>awie zmiany kodeksu granicznego Schengen</w:t>
      </w:r>
      <w:r w:rsidR="00DA257A" w:rsidRPr="00DA257A">
        <w:rPr>
          <w:noProof/>
        </w:rPr>
        <w:t xml:space="preserve"> i wpr</w:t>
      </w:r>
      <w:r w:rsidRPr="00DA257A">
        <w:rPr>
          <w:noProof/>
        </w:rPr>
        <w:t>owadzenia definicji zjawiska instrumentalizacji migracji</w:t>
      </w:r>
      <w:r w:rsidR="00312D9D" w:rsidRPr="00DA257A">
        <w:rPr>
          <w:rStyle w:val="FootnoteReference"/>
          <w:noProof/>
        </w:rPr>
        <w:footnoteReference w:id="37"/>
      </w:r>
      <w:r w:rsidRPr="00DA257A">
        <w:rPr>
          <w:noProof/>
        </w:rPr>
        <w:t xml:space="preserve"> oraz</w:t>
      </w:r>
      <w:r w:rsidR="00DA257A" w:rsidRPr="00DA257A">
        <w:rPr>
          <w:noProof/>
        </w:rPr>
        <w:t xml:space="preserve"> w spr</w:t>
      </w:r>
      <w:r w:rsidRPr="00DA257A">
        <w:rPr>
          <w:noProof/>
        </w:rPr>
        <w:t>awie nowego instrumentu służącego rozwiązaniu sytuacji instrumentalizacji migrantów</w:t>
      </w:r>
      <w:r w:rsidR="00DA257A" w:rsidRPr="00DA257A">
        <w:rPr>
          <w:noProof/>
        </w:rPr>
        <w:t xml:space="preserve"> w obs</w:t>
      </w:r>
      <w:r w:rsidRPr="00DA257A">
        <w:rPr>
          <w:noProof/>
        </w:rPr>
        <w:t>zarze migracji</w:t>
      </w:r>
      <w:r w:rsidR="00DA257A" w:rsidRPr="00DA257A">
        <w:rPr>
          <w:noProof/>
        </w:rPr>
        <w:t xml:space="preserve"> i azy</w:t>
      </w:r>
      <w:r w:rsidRPr="00DA257A">
        <w:rPr>
          <w:noProof/>
        </w:rPr>
        <w:t>lu</w:t>
      </w:r>
      <w:r w:rsidR="00C341A2" w:rsidRPr="00DA257A">
        <w:rPr>
          <w:rStyle w:val="FootnoteReference"/>
          <w:noProof/>
        </w:rPr>
        <w:footnoteReference w:id="38"/>
      </w:r>
      <w:r w:rsidRPr="00DA257A">
        <w:rPr>
          <w:noProof/>
        </w:rPr>
        <w:t>. Przewiduje się, że przyjęcie tych wniosków doprowadzi do ustanowienia solidnych ram zapewniających możliwość reagowania na przypadki instrumentalizacji</w:t>
      </w:r>
      <w:r w:rsidR="00DA257A" w:rsidRPr="00DA257A">
        <w:rPr>
          <w:noProof/>
        </w:rPr>
        <w:t xml:space="preserve"> w prz</w:t>
      </w:r>
      <w:r w:rsidRPr="00DA257A">
        <w:rPr>
          <w:noProof/>
        </w:rPr>
        <w:t>yszłości</w:t>
      </w:r>
      <w:r w:rsidR="00DA257A" w:rsidRPr="00DA257A">
        <w:rPr>
          <w:noProof/>
        </w:rPr>
        <w:t xml:space="preserve"> i wye</w:t>
      </w:r>
      <w:r w:rsidRPr="00DA257A">
        <w:rPr>
          <w:noProof/>
        </w:rPr>
        <w:t xml:space="preserve">liminuje konieczność sięgania po środki </w:t>
      </w:r>
      <w:r w:rsidRPr="00DA257A">
        <w:rPr>
          <w:i/>
          <w:iCs/>
          <w:noProof/>
        </w:rPr>
        <w:t>ad hoc</w:t>
      </w:r>
      <w:r w:rsidRPr="00DA257A">
        <w:rPr>
          <w:noProof/>
        </w:rPr>
        <w:t xml:space="preserve"> przewidziane</w:t>
      </w:r>
      <w:r w:rsidR="00DA257A" w:rsidRPr="00DA257A">
        <w:rPr>
          <w:noProof/>
        </w:rPr>
        <w:t xml:space="preserve"> w art</w:t>
      </w:r>
      <w:r w:rsidRPr="00DA257A">
        <w:rPr>
          <w:noProof/>
        </w:rPr>
        <w:t>.</w:t>
      </w:r>
      <w:r w:rsidR="007C7210" w:rsidRPr="00DA257A">
        <w:rPr>
          <w:noProof/>
        </w:rPr>
        <w:t> </w:t>
      </w:r>
      <w:r w:rsidRPr="00DA257A">
        <w:rPr>
          <w:noProof/>
        </w:rPr>
        <w:t>78 ust.</w:t>
      </w:r>
      <w:r w:rsidR="007C7210" w:rsidRPr="00DA257A">
        <w:rPr>
          <w:noProof/>
        </w:rPr>
        <w:t> </w:t>
      </w:r>
      <w:r w:rsidRPr="00DA257A">
        <w:rPr>
          <w:noProof/>
        </w:rPr>
        <w:t>3 TFUE</w:t>
      </w:r>
      <w:r w:rsidR="00312D9D" w:rsidRPr="00DA257A">
        <w:rPr>
          <w:rStyle w:val="FootnoteReference"/>
          <w:noProof/>
        </w:rPr>
        <w:footnoteReference w:id="39"/>
      </w:r>
      <w:r w:rsidRPr="00DA257A">
        <w:rPr>
          <w:noProof/>
        </w:rPr>
        <w:t>.</w:t>
      </w:r>
    </w:p>
    <w:p w14:paraId="441CDC37" w14:textId="3558DC7F" w:rsidR="009B7A0D" w:rsidRPr="00DA257A" w:rsidRDefault="00FE3C25" w:rsidP="006E7B16">
      <w:pPr>
        <w:spacing w:after="120"/>
        <w:rPr>
          <w:noProof/>
        </w:rPr>
      </w:pPr>
      <w:r w:rsidRPr="00DA257A">
        <w:rPr>
          <w:b/>
          <w:noProof/>
        </w:rPr>
        <w:t>Europejskie zintegrowane zarządzanie granicami</w:t>
      </w:r>
      <w:r w:rsidRPr="00DA257A">
        <w:rPr>
          <w:noProof/>
        </w:rPr>
        <w:t xml:space="preserve"> stanowi wspólną odpowiedzialność wszystkich państw członkowskich</w:t>
      </w:r>
      <w:r w:rsidR="00DA257A" w:rsidRPr="00DA257A">
        <w:rPr>
          <w:noProof/>
        </w:rPr>
        <w:t xml:space="preserve"> i pań</w:t>
      </w:r>
      <w:r w:rsidRPr="00DA257A">
        <w:rPr>
          <w:noProof/>
        </w:rPr>
        <w:t>stw stowarzyszonych</w:t>
      </w:r>
      <w:r w:rsidR="00DA257A" w:rsidRPr="00DA257A">
        <w:rPr>
          <w:noProof/>
        </w:rPr>
        <w:t xml:space="preserve"> w ram</w:t>
      </w:r>
      <w:r w:rsidRPr="00DA257A">
        <w:rPr>
          <w:noProof/>
        </w:rPr>
        <w:t>ach Schengen,</w:t>
      </w:r>
      <w:r w:rsidR="00DA257A" w:rsidRPr="00DA257A">
        <w:rPr>
          <w:noProof/>
        </w:rPr>
        <w:t xml:space="preserve"> a tak</w:t>
      </w:r>
      <w:r w:rsidRPr="00DA257A">
        <w:rPr>
          <w:noProof/>
        </w:rPr>
        <w:t>że instytucji</w:t>
      </w:r>
      <w:r w:rsidR="00DA257A" w:rsidRPr="00DA257A">
        <w:rPr>
          <w:noProof/>
        </w:rPr>
        <w:t xml:space="preserve"> i age</w:t>
      </w:r>
      <w:r w:rsidRPr="00DA257A">
        <w:rPr>
          <w:noProof/>
        </w:rPr>
        <w:t>ncji Unii</w:t>
      </w:r>
      <w:r w:rsidR="00DA257A" w:rsidRPr="00DA257A">
        <w:rPr>
          <w:noProof/>
        </w:rPr>
        <w:t>. W tym</w:t>
      </w:r>
      <w:r w:rsidRPr="00DA257A">
        <w:rPr>
          <w:noProof/>
        </w:rPr>
        <w:t xml:space="preserve"> kontekście kluczową rolę odgrywa Europejska Straż Graniczna</w:t>
      </w:r>
      <w:r w:rsidR="00DA257A" w:rsidRPr="00DA257A">
        <w:rPr>
          <w:noProof/>
        </w:rPr>
        <w:t xml:space="preserve"> i Prz</w:t>
      </w:r>
      <w:r w:rsidRPr="00DA257A">
        <w:rPr>
          <w:noProof/>
        </w:rPr>
        <w:t>ybrzeżna, która pełni funkcję organizacji zrzeszającej właściwe organy krajowe</w:t>
      </w:r>
      <w:r w:rsidR="00DA257A" w:rsidRPr="00DA257A">
        <w:rPr>
          <w:noProof/>
        </w:rPr>
        <w:t xml:space="preserve"> i Fro</w:t>
      </w:r>
      <w:r w:rsidRPr="00DA257A">
        <w:rPr>
          <w:noProof/>
        </w:rPr>
        <w:t>ntex. Niedociągnięcia na granicy zewnętrznej jednego państwa mogą mieć wpływ na wszystkie państwa członkowskie,</w:t>
      </w:r>
      <w:r w:rsidR="00DA257A" w:rsidRPr="00DA257A">
        <w:rPr>
          <w:noProof/>
        </w:rPr>
        <w:t xml:space="preserve"> a w kon</w:t>
      </w:r>
      <w:r w:rsidRPr="00DA257A">
        <w:rPr>
          <w:noProof/>
        </w:rPr>
        <w:t>sekwencji mogą stwarzać zagrożenie dla funkcjonowania strefy Schengen. Dlatego też stosowane przez państwa członkowskie procedury zarządzania granicami muszą być zintegrowane ze sobą, aby zapewnić skuteczne, wydajne</w:t>
      </w:r>
      <w:r w:rsidR="00DA257A" w:rsidRPr="00DA257A">
        <w:rPr>
          <w:noProof/>
        </w:rPr>
        <w:t xml:space="preserve"> i sko</w:t>
      </w:r>
      <w:r w:rsidRPr="00DA257A">
        <w:rPr>
          <w:noProof/>
        </w:rPr>
        <w:t xml:space="preserve">ordynowane zarządzanie granicami na granicach zewnętrznych UE. </w:t>
      </w:r>
      <w:r w:rsidRPr="00DA257A">
        <w:rPr>
          <w:noProof/>
        </w:rPr>
        <w:tab/>
      </w:r>
    </w:p>
    <w:p w14:paraId="2238FFC7" w14:textId="5DE994C7" w:rsidR="00157CB2" w:rsidRPr="00DA257A" w:rsidRDefault="6E958833" w:rsidP="006E7B16">
      <w:pPr>
        <w:spacing w:after="120"/>
        <w:rPr>
          <w:noProof/>
        </w:rPr>
      </w:pPr>
      <w:r w:rsidRPr="00DA257A">
        <w:rPr>
          <w:b/>
          <w:noProof/>
        </w:rPr>
        <w:t>Oceny Schengen ujawniły</w:t>
      </w:r>
      <w:r w:rsidRPr="00DA257A">
        <w:rPr>
          <w:noProof/>
        </w:rPr>
        <w:t>, że na przestrzeni ostatnich lat państwa członkowskie realizowały znaczące inwestycje mające na celu zwiększenie poziomu ochrony granic zewnętrznych, dzięki czemu</w:t>
      </w:r>
      <w:r w:rsidR="00DA257A" w:rsidRPr="00DA257A">
        <w:rPr>
          <w:noProof/>
        </w:rPr>
        <w:t xml:space="preserve"> w ram</w:t>
      </w:r>
      <w:r w:rsidRPr="00DA257A">
        <w:rPr>
          <w:noProof/>
        </w:rPr>
        <w:t>ach drugiego cyklu oceny (który rozpoczął się</w:t>
      </w:r>
      <w:r w:rsidR="00DA257A" w:rsidRPr="00DA257A">
        <w:rPr>
          <w:noProof/>
        </w:rPr>
        <w:t xml:space="preserve"> w 2</w:t>
      </w:r>
      <w:r w:rsidRPr="00DA257A">
        <w:rPr>
          <w:noProof/>
        </w:rPr>
        <w:t>020</w:t>
      </w:r>
      <w:r w:rsidR="007C7210" w:rsidRPr="00DA257A">
        <w:rPr>
          <w:noProof/>
        </w:rPr>
        <w:t> </w:t>
      </w:r>
      <w:r w:rsidRPr="00DA257A">
        <w:rPr>
          <w:noProof/>
        </w:rPr>
        <w:t>r.) zidentyfikowano określone usprawnienia oraz odnotowano odpowiednią jakość zarządzania granicami zewnętrznymi</w:t>
      </w:r>
      <w:r w:rsidR="00DA257A" w:rsidRPr="00DA257A">
        <w:rPr>
          <w:noProof/>
        </w:rPr>
        <w:t xml:space="preserve"> w uję</w:t>
      </w:r>
      <w:r w:rsidRPr="00DA257A">
        <w:rPr>
          <w:noProof/>
        </w:rPr>
        <w:t>ciu ogólnym</w:t>
      </w:r>
      <w:r w:rsidR="00DA257A" w:rsidRPr="00DA257A">
        <w:rPr>
          <w:noProof/>
        </w:rPr>
        <w:t>. W tra</w:t>
      </w:r>
      <w:r w:rsidRPr="00DA257A">
        <w:rPr>
          <w:noProof/>
        </w:rPr>
        <w:t>kcie ocen stwierdzono jednak pewne niedociągnięcia – jednym</w:t>
      </w:r>
      <w:r w:rsidR="00DA257A" w:rsidRPr="00DA257A">
        <w:rPr>
          <w:noProof/>
        </w:rPr>
        <w:t xml:space="preserve"> z nic</w:t>
      </w:r>
      <w:r w:rsidRPr="00DA257A">
        <w:rPr>
          <w:noProof/>
        </w:rPr>
        <w:t xml:space="preserve">h był zasadniczy </w:t>
      </w:r>
      <w:r w:rsidRPr="00DA257A">
        <w:rPr>
          <w:b/>
          <w:noProof/>
        </w:rPr>
        <w:t>brak odpowiedniego strategicznego zarządzania zdolnościami krajowymi</w:t>
      </w:r>
      <w:r w:rsidR="00DA257A" w:rsidRPr="00DA257A">
        <w:rPr>
          <w:b/>
          <w:noProof/>
        </w:rPr>
        <w:t xml:space="preserve"> i pla</w:t>
      </w:r>
      <w:r w:rsidRPr="00DA257A">
        <w:rPr>
          <w:b/>
          <w:noProof/>
        </w:rPr>
        <w:t>nowania tych zdolności</w:t>
      </w:r>
      <w:r w:rsidR="00DA257A" w:rsidRPr="00DA257A">
        <w:rPr>
          <w:noProof/>
        </w:rPr>
        <w:t xml:space="preserve"> w kon</w:t>
      </w:r>
      <w:r w:rsidRPr="00DA257A">
        <w:rPr>
          <w:noProof/>
        </w:rPr>
        <w:t>tekście zintegrowanego zarządzania granicami. Taka sytuacja skutkuje ograniczeniem współpracy międzyinstytucjonalnej, nakładaniem się kompetencji różnych organów odpowiedzialnych za sprawowanie nadzoru nad granicami zewnętrznymi</w:t>
      </w:r>
      <w:r w:rsidR="00DA257A" w:rsidRPr="00DA257A">
        <w:rPr>
          <w:noProof/>
        </w:rPr>
        <w:t xml:space="preserve"> i roz</w:t>
      </w:r>
      <w:r w:rsidRPr="00DA257A">
        <w:rPr>
          <w:noProof/>
        </w:rPr>
        <w:t>proszoną alokacją zasobów. Dotyczy to</w:t>
      </w:r>
      <w:r w:rsidR="00DA257A" w:rsidRPr="00DA257A">
        <w:rPr>
          <w:noProof/>
        </w:rPr>
        <w:t xml:space="preserve"> w szc</w:t>
      </w:r>
      <w:r w:rsidRPr="00DA257A">
        <w:rPr>
          <w:noProof/>
        </w:rPr>
        <w:t>zególności długoterminowych planów</w:t>
      </w:r>
      <w:r w:rsidR="00DA257A" w:rsidRPr="00DA257A">
        <w:rPr>
          <w:noProof/>
        </w:rPr>
        <w:t xml:space="preserve"> w zak</w:t>
      </w:r>
      <w:r w:rsidRPr="00DA257A">
        <w:rPr>
          <w:noProof/>
        </w:rPr>
        <w:t xml:space="preserve">resie </w:t>
      </w:r>
      <w:r w:rsidRPr="00DA257A">
        <w:rPr>
          <w:b/>
          <w:noProof/>
        </w:rPr>
        <w:t>zasobów ludzkich</w:t>
      </w:r>
      <w:r w:rsidR="00DA257A" w:rsidRPr="00DA257A">
        <w:rPr>
          <w:b/>
          <w:noProof/>
        </w:rPr>
        <w:t xml:space="preserve"> i szk</w:t>
      </w:r>
      <w:r w:rsidRPr="00DA257A">
        <w:rPr>
          <w:b/>
          <w:noProof/>
        </w:rPr>
        <w:t>olenia</w:t>
      </w:r>
      <w:r w:rsidRPr="00DA257A">
        <w:rPr>
          <w:noProof/>
        </w:rPr>
        <w:t>,</w:t>
      </w:r>
      <w:r w:rsidR="00DA257A" w:rsidRPr="00DA257A">
        <w:rPr>
          <w:noProof/>
        </w:rPr>
        <w:t xml:space="preserve"> a tak</w:t>
      </w:r>
      <w:r w:rsidRPr="00DA257A">
        <w:rPr>
          <w:noProof/>
        </w:rPr>
        <w:t xml:space="preserve">że systematycznego wykorzystywania systemów informacyjnych do celów kontroli granicznej, uwzględniając </w:t>
      </w:r>
      <w:r w:rsidRPr="00DA257A">
        <w:rPr>
          <w:b/>
          <w:noProof/>
        </w:rPr>
        <w:t>niski poziom jakości połączeń</w:t>
      </w:r>
      <w:r w:rsidR="00DA257A" w:rsidRPr="00DA257A">
        <w:rPr>
          <w:noProof/>
        </w:rPr>
        <w:t xml:space="preserve"> w nie</w:t>
      </w:r>
      <w:r w:rsidRPr="00DA257A">
        <w:rPr>
          <w:noProof/>
        </w:rPr>
        <w:t>których lokalizacjach, aby zagwarantować przeprowadzanie systematycznych odpraw</w:t>
      </w:r>
      <w:r w:rsidR="00DA257A" w:rsidRPr="00DA257A">
        <w:rPr>
          <w:noProof/>
        </w:rPr>
        <w:t xml:space="preserve"> w opa</w:t>
      </w:r>
      <w:r w:rsidRPr="00DA257A">
        <w:rPr>
          <w:noProof/>
        </w:rPr>
        <w:t>rciu</w:t>
      </w:r>
      <w:r w:rsidR="00DA257A" w:rsidRPr="00DA257A">
        <w:rPr>
          <w:noProof/>
        </w:rPr>
        <w:t xml:space="preserve"> o odp</w:t>
      </w:r>
      <w:r w:rsidRPr="00DA257A">
        <w:rPr>
          <w:noProof/>
        </w:rPr>
        <w:t>owiednie bazy danych</w:t>
      </w:r>
      <w:r w:rsidR="00DA257A" w:rsidRPr="00DA257A">
        <w:rPr>
          <w:noProof/>
        </w:rPr>
        <w:t>. W tym</w:t>
      </w:r>
      <w:r w:rsidRPr="00DA257A">
        <w:rPr>
          <w:noProof/>
        </w:rPr>
        <w:t xml:space="preserve"> kontekście elementami budzącymi zaniepokojenie są różnice</w:t>
      </w:r>
      <w:r w:rsidR="00DA257A" w:rsidRPr="00DA257A">
        <w:rPr>
          <w:noProof/>
        </w:rPr>
        <w:t xml:space="preserve"> w spo</w:t>
      </w:r>
      <w:r w:rsidRPr="00DA257A">
        <w:rPr>
          <w:noProof/>
        </w:rPr>
        <w:t>sobie przeprowadzania analiz ryzyka</w:t>
      </w:r>
      <w:r w:rsidR="00DA257A" w:rsidRPr="00DA257A">
        <w:rPr>
          <w:noProof/>
        </w:rPr>
        <w:t xml:space="preserve"> i oce</w:t>
      </w:r>
      <w:r w:rsidRPr="00DA257A">
        <w:rPr>
          <w:noProof/>
        </w:rPr>
        <w:t>n narażenia</w:t>
      </w:r>
      <w:r w:rsidR="00DA257A" w:rsidRPr="00DA257A">
        <w:rPr>
          <w:noProof/>
        </w:rPr>
        <w:t xml:space="preserve"> w pań</w:t>
      </w:r>
      <w:r w:rsidRPr="00DA257A">
        <w:rPr>
          <w:noProof/>
        </w:rPr>
        <w:t>stwach członkowskich oraz różnice</w:t>
      </w:r>
      <w:r w:rsidR="00DA257A" w:rsidRPr="00DA257A">
        <w:rPr>
          <w:noProof/>
        </w:rPr>
        <w:t xml:space="preserve"> w jak</w:t>
      </w:r>
      <w:r w:rsidRPr="00DA257A">
        <w:rPr>
          <w:noProof/>
        </w:rPr>
        <w:t>ości tych analiz</w:t>
      </w:r>
      <w:r w:rsidR="00DA257A" w:rsidRPr="00DA257A">
        <w:rPr>
          <w:noProof/>
        </w:rPr>
        <w:t xml:space="preserve"> i oce</w:t>
      </w:r>
      <w:r w:rsidRPr="00DA257A">
        <w:rPr>
          <w:noProof/>
        </w:rPr>
        <w:t xml:space="preserve">n. </w:t>
      </w:r>
    </w:p>
    <w:p w14:paraId="7FB927F1" w14:textId="59384CBA" w:rsidR="00C53710" w:rsidRPr="00DA257A" w:rsidRDefault="0023593E" w:rsidP="006E7B16">
      <w:pPr>
        <w:spacing w:after="120"/>
        <w:rPr>
          <w:noProof/>
        </w:rPr>
      </w:pPr>
      <w:r w:rsidRPr="00DA257A">
        <w:rPr>
          <w:b/>
          <w:noProof/>
        </w:rPr>
        <w:t>Jeżeli chodzi</w:t>
      </w:r>
      <w:r w:rsidR="00DA257A" w:rsidRPr="00DA257A">
        <w:rPr>
          <w:b/>
          <w:noProof/>
        </w:rPr>
        <w:t xml:space="preserve"> o kon</w:t>
      </w:r>
      <w:r w:rsidRPr="00DA257A">
        <w:rPr>
          <w:b/>
          <w:noProof/>
        </w:rPr>
        <w:t>trole graniczne (odprawy graniczne</w:t>
      </w:r>
      <w:r w:rsidR="00DA257A" w:rsidRPr="00DA257A">
        <w:rPr>
          <w:b/>
          <w:noProof/>
        </w:rPr>
        <w:t xml:space="preserve"> i och</w:t>
      </w:r>
      <w:r w:rsidRPr="00DA257A">
        <w:rPr>
          <w:b/>
          <w:noProof/>
        </w:rPr>
        <w:t>ronę granicy),</w:t>
      </w:r>
      <w:r w:rsidRPr="00DA257A">
        <w:rPr>
          <w:b/>
          <w:i/>
          <w:noProof/>
        </w:rPr>
        <w:t xml:space="preserve"> </w:t>
      </w:r>
      <w:r w:rsidRPr="00DA257A">
        <w:rPr>
          <w:noProof/>
        </w:rPr>
        <w:t>oceny Schengen ujawniły, że – ogólnie rzecz biorąc – państwa członkowskie stosują dorobek Schengen</w:t>
      </w:r>
      <w:r w:rsidR="00DA257A" w:rsidRPr="00DA257A">
        <w:rPr>
          <w:noProof/>
        </w:rPr>
        <w:t xml:space="preserve"> w odp</w:t>
      </w:r>
      <w:r w:rsidRPr="00DA257A">
        <w:rPr>
          <w:noProof/>
        </w:rPr>
        <w:t>owiedni sposób. Ocena stosowania dorobku Schengen wykazała również, że państwa członkowskie stosują dobre praktyki</w:t>
      </w:r>
      <w:r w:rsidR="00DA257A" w:rsidRPr="00DA257A">
        <w:rPr>
          <w:noProof/>
        </w:rPr>
        <w:t xml:space="preserve"> i pod</w:t>
      </w:r>
      <w:r w:rsidRPr="00DA257A">
        <w:rPr>
          <w:noProof/>
        </w:rPr>
        <w:t>ejmują innowacyjne działania</w:t>
      </w:r>
      <w:r w:rsidR="00DA257A" w:rsidRPr="00DA257A">
        <w:rPr>
          <w:noProof/>
        </w:rPr>
        <w:t xml:space="preserve"> w cel</w:t>
      </w:r>
      <w:r w:rsidRPr="00DA257A">
        <w:rPr>
          <w:noProof/>
        </w:rPr>
        <w:t>u zagwarantowania efektywnego wdrażania kryteriów Schengen. Pomimo osiągnięcia zasadniczo zadowalających postępów na niektórych przejściach granicznych można zaobserwować powtarzające się niedociągnięcia</w:t>
      </w:r>
      <w:r w:rsidR="00DA257A" w:rsidRPr="00DA257A">
        <w:rPr>
          <w:noProof/>
        </w:rPr>
        <w:t xml:space="preserve"> w kwe</w:t>
      </w:r>
      <w:r w:rsidRPr="00DA257A">
        <w:rPr>
          <w:noProof/>
        </w:rPr>
        <w:t>stii ochrony granic zewnętrznych</w:t>
      </w:r>
      <w:r w:rsidR="00DA257A" w:rsidRPr="00DA257A">
        <w:rPr>
          <w:noProof/>
        </w:rPr>
        <w:t xml:space="preserve"> i pro</w:t>
      </w:r>
      <w:r w:rsidRPr="00DA257A">
        <w:rPr>
          <w:noProof/>
        </w:rPr>
        <w:t>cedur przeprowadzania odpraw granicznych</w:t>
      </w:r>
      <w:r w:rsidR="00DA257A" w:rsidRPr="00DA257A">
        <w:rPr>
          <w:noProof/>
        </w:rPr>
        <w:t>. W wię</w:t>
      </w:r>
      <w:r w:rsidRPr="00DA257A">
        <w:rPr>
          <w:noProof/>
        </w:rPr>
        <w:t>kszości państw członkowskich kontrole graniczne przeprowadza się zgodnie</w:t>
      </w:r>
      <w:r w:rsidR="00DA257A" w:rsidRPr="00DA257A">
        <w:rPr>
          <w:noProof/>
        </w:rPr>
        <w:t xml:space="preserve"> z wyn</w:t>
      </w:r>
      <w:r w:rsidRPr="00DA257A">
        <w:rPr>
          <w:noProof/>
        </w:rPr>
        <w:t>ikami kompleksowej analizy ryzyka; wciąż można jednak zaobserwować pewne niedociągnięcia</w:t>
      </w:r>
      <w:r w:rsidR="00DA257A" w:rsidRPr="00DA257A">
        <w:rPr>
          <w:noProof/>
        </w:rPr>
        <w:t xml:space="preserve"> w spo</w:t>
      </w:r>
      <w:r w:rsidRPr="00DA257A">
        <w:rPr>
          <w:noProof/>
        </w:rPr>
        <w:t>sobie,</w:t>
      </w:r>
      <w:r w:rsidR="00DA257A" w:rsidRPr="00DA257A">
        <w:rPr>
          <w:noProof/>
        </w:rPr>
        <w:t xml:space="preserve"> w jak</w:t>
      </w:r>
      <w:r w:rsidRPr="00DA257A">
        <w:rPr>
          <w:noProof/>
        </w:rPr>
        <w:t>i niektóre państwa członkowskie wdrażają europejski model analizy ryzyka na potrzeby kontroli granicznej</w:t>
      </w:r>
      <w:r w:rsidR="00821674" w:rsidRPr="00DA257A">
        <w:rPr>
          <w:rStyle w:val="FootnoteReference"/>
          <w:noProof/>
        </w:rPr>
        <w:footnoteReference w:id="40"/>
      </w:r>
      <w:r w:rsidRPr="00DA257A">
        <w:rPr>
          <w:noProof/>
        </w:rPr>
        <w:t>, co prowadzi do niewystarczającego poziomu orientacji sytuacyjnej, rozproszonego planowania zasobów</w:t>
      </w:r>
      <w:r w:rsidR="00DA257A" w:rsidRPr="00DA257A">
        <w:rPr>
          <w:noProof/>
        </w:rPr>
        <w:t xml:space="preserve"> i pod</w:t>
      </w:r>
      <w:r w:rsidRPr="00DA257A">
        <w:rPr>
          <w:noProof/>
        </w:rPr>
        <w:t xml:space="preserve">ejmowania nieodpowiednich działań operacyjnych. </w:t>
      </w:r>
    </w:p>
    <w:p w14:paraId="7D3E40A8" w14:textId="1B6B61E6" w:rsidR="0086189E" w:rsidRPr="00DA257A" w:rsidRDefault="0086189E" w:rsidP="006E7B16">
      <w:pPr>
        <w:spacing w:after="120"/>
        <w:rPr>
          <w:noProof/>
        </w:rPr>
      </w:pPr>
      <w:r w:rsidRPr="00DA257A">
        <w:rPr>
          <w:noProof/>
        </w:rPr>
        <w:t>Na niektórych przejściach granicznych odprawy graniczne nie są przeprowadzane</w:t>
      </w:r>
      <w:r w:rsidR="00DA257A" w:rsidRPr="00DA257A">
        <w:rPr>
          <w:noProof/>
        </w:rPr>
        <w:t xml:space="preserve"> w sys</w:t>
      </w:r>
      <w:r w:rsidRPr="00DA257A">
        <w:rPr>
          <w:noProof/>
        </w:rPr>
        <w:t>tematyczny sposób</w:t>
      </w:r>
      <w:r w:rsidR="00DA257A" w:rsidRPr="00DA257A">
        <w:rPr>
          <w:noProof/>
        </w:rPr>
        <w:t xml:space="preserve"> i nie</w:t>
      </w:r>
      <w:r w:rsidRPr="00DA257A">
        <w:rPr>
          <w:noProof/>
        </w:rPr>
        <w:t xml:space="preserve"> spełniają przyjętych norm. Jest to związane głównie</w:t>
      </w:r>
      <w:r w:rsidR="00DA257A" w:rsidRPr="00DA257A">
        <w:rPr>
          <w:noProof/>
        </w:rPr>
        <w:t xml:space="preserve"> z nie</w:t>
      </w:r>
      <w:r w:rsidRPr="00DA257A">
        <w:rPr>
          <w:noProof/>
        </w:rPr>
        <w:t>wystarczającym poziomem zasobów ludzkich, brakiem odpowiednio przeszkolonych funkcjonariuszy straży granicznej,</w:t>
      </w:r>
      <w:r w:rsidR="00DA257A" w:rsidRPr="00DA257A">
        <w:rPr>
          <w:noProof/>
        </w:rPr>
        <w:t xml:space="preserve"> a tak</w:t>
      </w:r>
      <w:r w:rsidRPr="00DA257A">
        <w:rPr>
          <w:noProof/>
        </w:rPr>
        <w:t>że</w:t>
      </w:r>
      <w:r w:rsidR="00DA257A" w:rsidRPr="00DA257A">
        <w:rPr>
          <w:noProof/>
        </w:rPr>
        <w:t xml:space="preserve"> z nie</w:t>
      </w:r>
      <w:r w:rsidRPr="00DA257A">
        <w:rPr>
          <w:noProof/>
        </w:rPr>
        <w:t>zadowalającą jakością łączności, co uniemożliwia jednolite</w:t>
      </w:r>
      <w:r w:rsidR="00DA257A" w:rsidRPr="00DA257A">
        <w:rPr>
          <w:noProof/>
        </w:rPr>
        <w:t xml:space="preserve"> i sys</w:t>
      </w:r>
      <w:r w:rsidRPr="00DA257A">
        <w:rPr>
          <w:noProof/>
        </w:rPr>
        <w:t>tematyczne przeprowadzanie odpraw</w:t>
      </w:r>
      <w:r w:rsidR="00DA257A" w:rsidRPr="00DA257A">
        <w:rPr>
          <w:noProof/>
        </w:rPr>
        <w:t xml:space="preserve"> z wyk</w:t>
      </w:r>
      <w:r w:rsidRPr="00DA257A">
        <w:rPr>
          <w:noProof/>
        </w:rPr>
        <w:t>orzystaniem odpowiednich baz danych, uwzględniając System Informacyjny Schengen</w:t>
      </w:r>
      <w:r w:rsidR="00DA257A" w:rsidRPr="00DA257A">
        <w:rPr>
          <w:noProof/>
        </w:rPr>
        <w:t xml:space="preserve"> i pro</w:t>
      </w:r>
      <w:r w:rsidRPr="00DA257A">
        <w:rPr>
          <w:noProof/>
        </w:rPr>
        <w:t>wadzoną przez Interpol bazę zawierającą dane skradzionych lub utraconych dokumentów podróży (SLTD)</w:t>
      </w:r>
      <w:r w:rsidR="00DA257A" w:rsidRPr="00DA257A">
        <w:rPr>
          <w:noProof/>
        </w:rPr>
        <w:t xml:space="preserve"> i sku</w:t>
      </w:r>
      <w:r w:rsidRPr="00DA257A">
        <w:rPr>
          <w:noProof/>
        </w:rPr>
        <w:t>tkuje powstawaniem istotnych luk</w:t>
      </w:r>
      <w:r w:rsidR="00DA257A" w:rsidRPr="00DA257A">
        <w:rPr>
          <w:noProof/>
        </w:rPr>
        <w:t xml:space="preserve"> w sys</w:t>
      </w:r>
      <w:r w:rsidRPr="00DA257A">
        <w:rPr>
          <w:noProof/>
        </w:rPr>
        <w:t>temie bezpieczeństwa. Ten stan rzeczy może stwarzać zagrożenie dla porządku publicznego, bezpieczeństwa wewnętrznego, zdrowia publicznego lub stosunków międzynarodowych dowolnego</w:t>
      </w:r>
      <w:r w:rsidR="00DA257A" w:rsidRPr="00DA257A">
        <w:rPr>
          <w:noProof/>
        </w:rPr>
        <w:t xml:space="preserve"> z pań</w:t>
      </w:r>
      <w:r w:rsidRPr="00DA257A">
        <w:rPr>
          <w:noProof/>
        </w:rPr>
        <w:t>stw członkowskich i UE rozumianej jako całość.</w:t>
      </w:r>
    </w:p>
    <w:p w14:paraId="584373D3" w14:textId="26B2C85B" w:rsidR="00CC5BE6" w:rsidRPr="00DA257A" w:rsidRDefault="00DF02F7" w:rsidP="006E7B16">
      <w:pPr>
        <w:spacing w:after="120"/>
        <w:rPr>
          <w:noProof/>
        </w:rPr>
      </w:pPr>
      <w:r w:rsidRPr="00DA257A">
        <w:rPr>
          <w:noProof/>
        </w:rPr>
        <w:t>Opisaną sytuację pogarsza dodatkowo niezadowalający stopień wdrożenia</w:t>
      </w:r>
      <w:r w:rsidR="00DA257A" w:rsidRPr="00DA257A">
        <w:rPr>
          <w:noProof/>
        </w:rPr>
        <w:t xml:space="preserve"> i sto</w:t>
      </w:r>
      <w:r w:rsidRPr="00DA257A">
        <w:rPr>
          <w:noProof/>
        </w:rPr>
        <w:t>sowania dyrektywy</w:t>
      </w:r>
      <w:r w:rsidR="00DA257A" w:rsidRPr="00DA257A">
        <w:rPr>
          <w:noProof/>
        </w:rPr>
        <w:t xml:space="preserve"> w spr</w:t>
      </w:r>
      <w:r w:rsidRPr="00DA257A">
        <w:rPr>
          <w:noProof/>
        </w:rPr>
        <w:t>awie odpowiedzialności przewoźnika</w:t>
      </w:r>
      <w:r w:rsidR="000C5FB7" w:rsidRPr="00DA257A">
        <w:rPr>
          <w:rStyle w:val="FootnoteReference"/>
          <w:noProof/>
        </w:rPr>
        <w:footnoteReference w:id="41"/>
      </w:r>
      <w:r w:rsidR="00DA257A" w:rsidRPr="00DA257A">
        <w:rPr>
          <w:noProof/>
        </w:rPr>
        <w:t xml:space="preserve"> i dyr</w:t>
      </w:r>
      <w:r w:rsidRPr="00DA257A">
        <w:rPr>
          <w:noProof/>
        </w:rPr>
        <w:t>ektywy</w:t>
      </w:r>
      <w:r w:rsidR="00DA257A" w:rsidRPr="00DA257A">
        <w:rPr>
          <w:noProof/>
        </w:rPr>
        <w:t xml:space="preserve"> w spr</w:t>
      </w:r>
      <w:r w:rsidRPr="00DA257A">
        <w:rPr>
          <w:noProof/>
        </w:rPr>
        <w:t xml:space="preserve">awie </w:t>
      </w:r>
      <w:r w:rsidRPr="00DA257A">
        <w:rPr>
          <w:b/>
          <w:noProof/>
        </w:rPr>
        <w:t>danych pasażera przekazywanych przed podróżą</w:t>
      </w:r>
      <w:r w:rsidR="000C5FB7" w:rsidRPr="00DA257A">
        <w:rPr>
          <w:rStyle w:val="FootnoteReference"/>
          <w:noProof/>
        </w:rPr>
        <w:footnoteReference w:id="42"/>
      </w:r>
      <w:r w:rsidR="00DA257A" w:rsidRPr="00DA257A">
        <w:rPr>
          <w:noProof/>
        </w:rPr>
        <w:t xml:space="preserve"> w nie</w:t>
      </w:r>
      <w:r w:rsidRPr="00DA257A">
        <w:rPr>
          <w:noProof/>
        </w:rPr>
        <w:t>których państwach członkowskich. Aby przeciwdziałać zjawisku imigracji nieuregulowanej</w:t>
      </w:r>
      <w:r w:rsidR="00DA257A" w:rsidRPr="00DA257A">
        <w:rPr>
          <w:noProof/>
        </w:rPr>
        <w:t xml:space="preserve"> i zap</w:t>
      </w:r>
      <w:r w:rsidRPr="00DA257A">
        <w:rPr>
          <w:noProof/>
        </w:rPr>
        <w:t>ewnić skuteczne przeprowadzanie kontroli granicznych, przewoźnicy lotniczy są obowiązani przekazywać, do zakończenia odprawy i na żądanie organów odpowiedzialnych za przeprowadzanie odpraw osób na granicach zewnętrznych, informacje na temat pasażerów, którzy zostaną przez nich przewiezieni, wyznaczonemu przejściu granicznemu, przez które osoby te wjadą na terytorium danego państwa członkowskiego</w:t>
      </w:r>
      <w:r w:rsidR="00DA257A" w:rsidRPr="00DA257A">
        <w:rPr>
          <w:noProof/>
        </w:rPr>
        <w:t>. W prz</w:t>
      </w:r>
      <w:r w:rsidRPr="00DA257A">
        <w:rPr>
          <w:noProof/>
        </w:rPr>
        <w:t>ypadku niepodjęcia stosownych działań</w:t>
      </w:r>
      <w:r w:rsidR="00DA257A" w:rsidRPr="00DA257A">
        <w:rPr>
          <w:noProof/>
        </w:rPr>
        <w:t xml:space="preserve"> w tym</w:t>
      </w:r>
      <w:r w:rsidRPr="00DA257A">
        <w:rPr>
          <w:noProof/>
        </w:rPr>
        <w:t xml:space="preserve"> zakresie funkcjonariusze straży granicznej nie będą dysponowali wszystkimi informacjami niezbędnymi do należytego przeprowadzenia kontroli granicznych. Do końca 2022</w:t>
      </w:r>
      <w:r w:rsidR="007C7210" w:rsidRPr="00DA257A">
        <w:rPr>
          <w:noProof/>
        </w:rPr>
        <w:t> </w:t>
      </w:r>
      <w:r w:rsidRPr="00DA257A">
        <w:rPr>
          <w:noProof/>
        </w:rPr>
        <w:t>r. przewiduje się dokonanie przeglądu dyrektywy</w:t>
      </w:r>
      <w:r w:rsidR="00DA257A" w:rsidRPr="00DA257A">
        <w:rPr>
          <w:noProof/>
        </w:rPr>
        <w:t xml:space="preserve"> w spr</w:t>
      </w:r>
      <w:r w:rsidRPr="00DA257A">
        <w:rPr>
          <w:noProof/>
        </w:rPr>
        <w:t>awie danych pasażera przekazywanych przed podróżą</w:t>
      </w:r>
      <w:r w:rsidR="00971F03" w:rsidRPr="00DA257A">
        <w:rPr>
          <w:rStyle w:val="FootnoteReference"/>
          <w:noProof/>
        </w:rPr>
        <w:footnoteReference w:id="43"/>
      </w:r>
      <w:r w:rsidRPr="00DA257A">
        <w:rPr>
          <w:noProof/>
        </w:rPr>
        <w:t>, aby wyeliminować luki, które ujawniono m.in.</w:t>
      </w:r>
      <w:r w:rsidR="00DA257A" w:rsidRPr="00DA257A">
        <w:rPr>
          <w:noProof/>
        </w:rPr>
        <w:t xml:space="preserve"> w tok</w:t>
      </w:r>
      <w:r w:rsidRPr="00DA257A">
        <w:rPr>
          <w:noProof/>
        </w:rPr>
        <w:t>u oceny przeprowadzonej</w:t>
      </w:r>
      <w:r w:rsidR="00DA257A" w:rsidRPr="00DA257A">
        <w:rPr>
          <w:noProof/>
        </w:rPr>
        <w:t xml:space="preserve"> w 2</w:t>
      </w:r>
      <w:r w:rsidRPr="00DA257A">
        <w:rPr>
          <w:noProof/>
        </w:rPr>
        <w:t>020</w:t>
      </w:r>
      <w:r w:rsidR="007C7210" w:rsidRPr="00DA257A">
        <w:rPr>
          <w:noProof/>
        </w:rPr>
        <w:t> </w:t>
      </w:r>
      <w:r w:rsidRPr="00DA257A">
        <w:rPr>
          <w:noProof/>
        </w:rPr>
        <w:t xml:space="preserve">r. oraz aby zapewnić warunki sprzyjające należytemu wdrażaniu przepisów tej dyrektywy. </w:t>
      </w:r>
    </w:p>
    <w:p w14:paraId="2EBF5D2A" w14:textId="6AEA447E" w:rsidR="00D05C8B" w:rsidRPr="00DA257A" w:rsidRDefault="00C53710" w:rsidP="00D05C8B">
      <w:pPr>
        <w:spacing w:after="120"/>
        <w:rPr>
          <w:noProof/>
        </w:rPr>
      </w:pPr>
      <w:r w:rsidRPr="00DA257A">
        <w:rPr>
          <w:noProof/>
        </w:rPr>
        <w:t>Szereg państw członkowskich boryka się</w:t>
      </w:r>
      <w:r w:rsidR="00DA257A" w:rsidRPr="00DA257A">
        <w:rPr>
          <w:noProof/>
        </w:rPr>
        <w:t xml:space="preserve"> z pro</w:t>
      </w:r>
      <w:r w:rsidRPr="00DA257A">
        <w:rPr>
          <w:noProof/>
        </w:rPr>
        <w:t xml:space="preserve">blemem </w:t>
      </w:r>
      <w:r w:rsidRPr="00DA257A">
        <w:rPr>
          <w:b/>
          <w:noProof/>
        </w:rPr>
        <w:t>rozdrobnionego krajowego obrazu sytuacji</w:t>
      </w:r>
      <w:r w:rsidRPr="00DA257A">
        <w:rPr>
          <w:noProof/>
        </w:rPr>
        <w:t xml:space="preserve"> oraz ograniczonej zdolności</w:t>
      </w:r>
      <w:r w:rsidR="00DA257A" w:rsidRPr="00DA257A">
        <w:rPr>
          <w:noProof/>
        </w:rPr>
        <w:t xml:space="preserve"> w zak</w:t>
      </w:r>
      <w:r w:rsidRPr="00DA257A">
        <w:rPr>
          <w:noProof/>
        </w:rPr>
        <w:t>resie wykrywania</w:t>
      </w:r>
      <w:r w:rsidR="00DA257A" w:rsidRPr="00DA257A">
        <w:rPr>
          <w:noProof/>
        </w:rPr>
        <w:t xml:space="preserve"> i rea</w:t>
      </w:r>
      <w:r w:rsidRPr="00DA257A">
        <w:rPr>
          <w:noProof/>
        </w:rPr>
        <w:t>gowania,</w:t>
      </w:r>
      <w:r w:rsidR="00DA257A" w:rsidRPr="00DA257A">
        <w:rPr>
          <w:noProof/>
        </w:rPr>
        <w:t xml:space="preserve"> w szc</w:t>
      </w:r>
      <w:r w:rsidRPr="00DA257A">
        <w:rPr>
          <w:noProof/>
        </w:rPr>
        <w:t>zególności na granicach morskich</w:t>
      </w:r>
      <w:r w:rsidR="00DA257A" w:rsidRPr="00DA257A">
        <w:rPr>
          <w:noProof/>
        </w:rPr>
        <w:t xml:space="preserve"> i ląd</w:t>
      </w:r>
      <w:r w:rsidRPr="00DA257A">
        <w:rPr>
          <w:noProof/>
        </w:rPr>
        <w:t>owych, spowodowanej brakiem zintegrowanych systemów ochrony granicy, niezadowalającym poziomem koordynacji działań</w:t>
      </w:r>
      <w:r w:rsidR="00DA257A" w:rsidRPr="00DA257A">
        <w:rPr>
          <w:noProof/>
        </w:rPr>
        <w:t xml:space="preserve"> i wsp</w:t>
      </w:r>
      <w:r w:rsidRPr="00DA257A">
        <w:rPr>
          <w:noProof/>
        </w:rPr>
        <w:t>ółpracy między krajowymi organami odpowiedzialnymi za kontrolę granic,</w:t>
      </w:r>
      <w:r w:rsidR="00DA257A" w:rsidRPr="00DA257A">
        <w:rPr>
          <w:noProof/>
        </w:rPr>
        <w:t xml:space="preserve"> a tak</w:t>
      </w:r>
      <w:r w:rsidRPr="00DA257A">
        <w:rPr>
          <w:noProof/>
        </w:rPr>
        <w:t xml:space="preserve">że nierównomiernym </w:t>
      </w:r>
      <w:r w:rsidRPr="00DA257A">
        <w:rPr>
          <w:b/>
          <w:noProof/>
        </w:rPr>
        <w:t>wdrażaniem europejskiego systemu nadzorowania granic (EUROSUR)</w:t>
      </w:r>
      <w:r w:rsidR="00D05C8B" w:rsidRPr="00DA257A">
        <w:rPr>
          <w:rStyle w:val="FootnoteReference"/>
          <w:b/>
          <w:noProof/>
        </w:rPr>
        <w:footnoteReference w:id="44"/>
      </w:r>
      <w:r w:rsidRPr="00DA257A">
        <w:rPr>
          <w:noProof/>
        </w:rPr>
        <w:t>, co wpływa na jakość kontroli granicznych. Wspomniane niedociągnięcia mogą zmniejszyć wydajność operacyjną zarządzania granicami zewnętrznymi</w:t>
      </w:r>
      <w:r w:rsidR="00DA257A" w:rsidRPr="00DA257A">
        <w:rPr>
          <w:noProof/>
        </w:rPr>
        <w:t xml:space="preserve"> i pog</w:t>
      </w:r>
      <w:r w:rsidRPr="00DA257A">
        <w:rPr>
          <w:noProof/>
        </w:rPr>
        <w:t>orszyć zdolność reagowania, narażając tym samym strefę Schengen na ryzyko. Dotyczy to</w:t>
      </w:r>
      <w:r w:rsidR="00DA257A" w:rsidRPr="00DA257A">
        <w:rPr>
          <w:noProof/>
        </w:rPr>
        <w:t xml:space="preserve"> w szc</w:t>
      </w:r>
      <w:r w:rsidRPr="00DA257A">
        <w:rPr>
          <w:noProof/>
        </w:rPr>
        <w:t>zególności granic morskich</w:t>
      </w:r>
      <w:r w:rsidR="00DA257A" w:rsidRPr="00DA257A">
        <w:rPr>
          <w:noProof/>
        </w:rPr>
        <w:t xml:space="preserve"> i ląd</w:t>
      </w:r>
      <w:r w:rsidRPr="00DA257A">
        <w:rPr>
          <w:noProof/>
        </w:rPr>
        <w:t>owych</w:t>
      </w:r>
      <w:r w:rsidR="00DA257A" w:rsidRPr="00DA257A">
        <w:rPr>
          <w:noProof/>
        </w:rPr>
        <w:t xml:space="preserve"> z uwa</w:t>
      </w:r>
      <w:r w:rsidRPr="00DA257A">
        <w:rPr>
          <w:noProof/>
        </w:rPr>
        <w:t>gi na ograniczone zdolności</w:t>
      </w:r>
      <w:r w:rsidR="00DA257A" w:rsidRPr="00DA257A">
        <w:rPr>
          <w:noProof/>
        </w:rPr>
        <w:t xml:space="preserve"> i zin</w:t>
      </w:r>
      <w:r w:rsidRPr="00DA257A">
        <w:rPr>
          <w:noProof/>
        </w:rPr>
        <w:t>tegrowane systemy ochrony granic, które wywierają wpływ na jakość kontroli granicznych. Wspomniane niedociągnięcia mogą zmniejszyć wydajność operacyjną zarządzania granicami zewnętrznymi</w:t>
      </w:r>
      <w:r w:rsidR="00DA257A" w:rsidRPr="00DA257A">
        <w:rPr>
          <w:noProof/>
        </w:rPr>
        <w:t xml:space="preserve"> i pog</w:t>
      </w:r>
      <w:r w:rsidRPr="00DA257A">
        <w:rPr>
          <w:noProof/>
        </w:rPr>
        <w:t>orszyć zdolność reagowania, narażając tym samym strefę Schengen na ryzyko.</w:t>
      </w:r>
    </w:p>
    <w:p w14:paraId="7E65E33B" w14:textId="1EBDFA37" w:rsidR="00D40377" w:rsidRPr="00DA257A" w:rsidRDefault="00D52FBB" w:rsidP="00D05C8B">
      <w:pPr>
        <w:spacing w:after="120"/>
        <w:rPr>
          <w:noProof/>
        </w:rPr>
      </w:pPr>
      <w:r w:rsidRPr="00DA257A">
        <w:rPr>
          <w:noProof/>
        </w:rPr>
        <w:t>Poszanowanie praw podstawowych,</w:t>
      </w:r>
      <w:r w:rsidR="00DA257A" w:rsidRPr="00DA257A">
        <w:rPr>
          <w:noProof/>
        </w:rPr>
        <w:t xml:space="preserve"> a w szc</w:t>
      </w:r>
      <w:r w:rsidRPr="00DA257A">
        <w:rPr>
          <w:noProof/>
        </w:rPr>
        <w:t xml:space="preserve">zególności zasady </w:t>
      </w:r>
      <w:r w:rsidRPr="00DA257A">
        <w:rPr>
          <w:i/>
          <w:noProof/>
        </w:rPr>
        <w:t>non-refoulement</w:t>
      </w:r>
      <w:r w:rsidRPr="00DA257A">
        <w:rPr>
          <w:noProof/>
        </w:rPr>
        <w:t>, ma kluczowe znaczenie</w:t>
      </w:r>
      <w:r w:rsidR="00DA257A" w:rsidRPr="00DA257A">
        <w:rPr>
          <w:noProof/>
        </w:rPr>
        <w:t xml:space="preserve"> w kon</w:t>
      </w:r>
      <w:r w:rsidRPr="00DA257A">
        <w:rPr>
          <w:noProof/>
        </w:rPr>
        <w:t>tekście zarządzania granicami zewnętrznymi UE. W 2020</w:t>
      </w:r>
      <w:r w:rsidR="007C7210" w:rsidRPr="00DA257A">
        <w:rPr>
          <w:noProof/>
        </w:rPr>
        <w:t> </w:t>
      </w:r>
      <w:r w:rsidRPr="00DA257A">
        <w:rPr>
          <w:noProof/>
        </w:rPr>
        <w:t>r. obserwatorzy</w:t>
      </w:r>
      <w:r w:rsidR="00DA257A" w:rsidRPr="00DA257A">
        <w:rPr>
          <w:noProof/>
        </w:rPr>
        <w:t xml:space="preserve"> z Age</w:t>
      </w:r>
      <w:r w:rsidRPr="00DA257A">
        <w:rPr>
          <w:noProof/>
        </w:rPr>
        <w:t>ncji Praw Podstawowych Unii Europejskiej zaczęli brać udział</w:t>
      </w:r>
      <w:r w:rsidR="00DA257A" w:rsidRPr="00DA257A">
        <w:rPr>
          <w:noProof/>
        </w:rPr>
        <w:t xml:space="preserve"> w oce</w:t>
      </w:r>
      <w:r w:rsidRPr="00DA257A">
        <w:rPr>
          <w:noProof/>
        </w:rPr>
        <w:t>nach Schengen</w:t>
      </w:r>
      <w:r w:rsidR="00DA257A" w:rsidRPr="00DA257A">
        <w:rPr>
          <w:noProof/>
        </w:rPr>
        <w:t xml:space="preserve"> w obs</w:t>
      </w:r>
      <w:r w:rsidRPr="00DA257A">
        <w:rPr>
          <w:noProof/>
        </w:rPr>
        <w:t>zarze granic zewnętrznych. Przyczyniło się to do zidentyfikowania niedociągnięć</w:t>
      </w:r>
      <w:r w:rsidR="00DA257A" w:rsidRPr="00DA257A">
        <w:rPr>
          <w:noProof/>
        </w:rPr>
        <w:t xml:space="preserve"> i wyp</w:t>
      </w:r>
      <w:r w:rsidRPr="00DA257A">
        <w:rPr>
          <w:noProof/>
        </w:rPr>
        <w:t>racowania zaleceń dotyczących potencjalnych usprawnień. Zarzuty dotyczące naruszeń praw podstawowych na granicach zewnętrznych zawsze budzą niepokój. Sprawne ocenianie wszelkich domniemanych przypadków naruszenia praw podstawowych i,</w:t>
      </w:r>
      <w:r w:rsidR="00DA257A" w:rsidRPr="00DA257A">
        <w:rPr>
          <w:noProof/>
        </w:rPr>
        <w:t xml:space="preserve"> w sto</w:t>
      </w:r>
      <w:r w:rsidRPr="00DA257A">
        <w:rPr>
          <w:noProof/>
        </w:rPr>
        <w:t>sownych przypadkach, szybkie przeprowadzanie niezależnych postępowań wyjaśniających</w:t>
      </w:r>
      <w:r w:rsidR="00DA257A" w:rsidRPr="00DA257A">
        <w:rPr>
          <w:noProof/>
        </w:rPr>
        <w:t xml:space="preserve"> w tym</w:t>
      </w:r>
      <w:r w:rsidRPr="00DA257A">
        <w:rPr>
          <w:noProof/>
        </w:rPr>
        <w:t xml:space="preserve"> zakresie ma kluczowe znaczenie dla zapewnienia ochrony praw podstawowych na granicach zewnętrznych</w:t>
      </w:r>
      <w:r w:rsidR="00DA257A" w:rsidRPr="00DA257A">
        <w:rPr>
          <w:noProof/>
        </w:rPr>
        <w:t>. W tym</w:t>
      </w:r>
      <w:r w:rsidRPr="00DA257A">
        <w:rPr>
          <w:noProof/>
        </w:rPr>
        <w:t xml:space="preserve"> kontekście ustanawianie niezależnych mechanizmów monitorowania poszanowania praw podstawowych należy uznać za dobrą praktykę, którą Komisja będzie nadal wspierać</w:t>
      </w:r>
      <w:r w:rsidR="00DA257A" w:rsidRPr="00DA257A">
        <w:rPr>
          <w:noProof/>
        </w:rPr>
        <w:t xml:space="preserve"> i fin</w:t>
      </w:r>
      <w:r w:rsidRPr="00DA257A">
        <w:rPr>
          <w:noProof/>
        </w:rPr>
        <w:t>ansować. Poszanowanie praw podstawowych stanowi jedno</w:t>
      </w:r>
      <w:r w:rsidR="00DA257A" w:rsidRPr="00DA257A">
        <w:rPr>
          <w:noProof/>
        </w:rPr>
        <w:t xml:space="preserve"> z zag</w:t>
      </w:r>
      <w:r w:rsidRPr="00DA257A">
        <w:rPr>
          <w:noProof/>
        </w:rPr>
        <w:t>adnień objętych nowym mechanizmem oceny</w:t>
      </w:r>
      <w:r w:rsidR="00DA257A" w:rsidRPr="00DA257A">
        <w:rPr>
          <w:noProof/>
        </w:rPr>
        <w:t xml:space="preserve"> i mon</w:t>
      </w:r>
      <w:r w:rsidRPr="00DA257A">
        <w:rPr>
          <w:noProof/>
        </w:rPr>
        <w:t>itorowania Schengen, który zapewni podejmowanie działań służących zapobieganiu wszelkim niedociągnięciom</w:t>
      </w:r>
      <w:r w:rsidR="00DA257A" w:rsidRPr="00DA257A">
        <w:rPr>
          <w:noProof/>
        </w:rPr>
        <w:t xml:space="preserve"> w tym</w:t>
      </w:r>
      <w:r w:rsidRPr="00DA257A">
        <w:rPr>
          <w:noProof/>
        </w:rPr>
        <w:t xml:space="preserve"> obszarze</w:t>
      </w:r>
      <w:r w:rsidR="00DA257A" w:rsidRPr="00DA257A">
        <w:rPr>
          <w:noProof/>
        </w:rPr>
        <w:t xml:space="preserve"> i ich</w:t>
      </w:r>
      <w:r w:rsidRPr="00DA257A">
        <w:rPr>
          <w:noProof/>
        </w:rPr>
        <w:t xml:space="preserve"> eliminowaniu.</w:t>
      </w:r>
    </w:p>
    <w:tbl>
      <w:tblPr>
        <w:tblStyle w:val="TableGrid"/>
        <w:tblW w:w="0" w:type="auto"/>
        <w:tblLook w:val="04A0" w:firstRow="1" w:lastRow="0" w:firstColumn="1" w:lastColumn="0" w:noHBand="0" w:noVBand="1"/>
      </w:tblPr>
      <w:tblGrid>
        <w:gridCol w:w="9606"/>
      </w:tblGrid>
      <w:tr w:rsidR="00785493" w:rsidRPr="00DA257A" w14:paraId="65C0687D" w14:textId="77777777" w:rsidTr="0041695E">
        <w:tc>
          <w:tcPr>
            <w:tcW w:w="9606" w:type="dxa"/>
          </w:tcPr>
          <w:p w14:paraId="25CB3982" w14:textId="45B0D7EF" w:rsidR="00785493" w:rsidRPr="00DA257A" w:rsidRDefault="00A356E2" w:rsidP="006E7B16">
            <w:pPr>
              <w:spacing w:after="120"/>
              <w:rPr>
                <w:i/>
                <w:noProof/>
                <w:sz w:val="22"/>
                <w:szCs w:val="22"/>
              </w:rPr>
            </w:pPr>
            <w:r w:rsidRPr="00DA257A">
              <w:rPr>
                <w:b/>
                <w:noProof/>
                <w:sz w:val="22"/>
              </w:rPr>
              <w:t>Ramka 5. Priorytety</w:t>
            </w:r>
            <w:r w:rsidR="00DA257A" w:rsidRPr="00DA257A">
              <w:rPr>
                <w:b/>
                <w:noProof/>
                <w:sz w:val="22"/>
              </w:rPr>
              <w:t xml:space="preserve"> w obs</w:t>
            </w:r>
            <w:r w:rsidRPr="00DA257A">
              <w:rPr>
                <w:b/>
                <w:noProof/>
                <w:sz w:val="22"/>
              </w:rPr>
              <w:t xml:space="preserve">zarze zarządzania europejskimi granicami zewnętrznymi </w:t>
            </w:r>
          </w:p>
          <w:p w14:paraId="0069F970" w14:textId="77777777" w:rsidR="00785493" w:rsidRPr="00DA257A" w:rsidRDefault="00785493" w:rsidP="006E7B16">
            <w:pPr>
              <w:pStyle w:val="ListParagraph"/>
              <w:numPr>
                <w:ilvl w:val="0"/>
                <w:numId w:val="22"/>
              </w:numPr>
              <w:spacing w:after="120"/>
              <w:rPr>
                <w:noProof/>
                <w:sz w:val="22"/>
                <w:szCs w:val="22"/>
              </w:rPr>
            </w:pPr>
            <w:r w:rsidRPr="00DA257A">
              <w:rPr>
                <w:noProof/>
                <w:sz w:val="22"/>
              </w:rPr>
              <w:t>Skuteczne wdrażanie europejskiego zintegrowanego zarządzania granicami</w:t>
            </w:r>
          </w:p>
          <w:p w14:paraId="7C92DC8E" w14:textId="43A5D6D6" w:rsidR="00785493" w:rsidRPr="00DA257A" w:rsidRDefault="00335087" w:rsidP="006E7B16">
            <w:pPr>
              <w:pStyle w:val="ListParagraph"/>
              <w:numPr>
                <w:ilvl w:val="0"/>
                <w:numId w:val="22"/>
              </w:numPr>
              <w:spacing w:after="120"/>
              <w:rPr>
                <w:noProof/>
                <w:sz w:val="22"/>
                <w:szCs w:val="22"/>
              </w:rPr>
            </w:pPr>
            <w:r w:rsidRPr="00DA257A">
              <w:rPr>
                <w:noProof/>
                <w:sz w:val="22"/>
              </w:rPr>
              <w:t>Zwiększenie stopnia wykorzystania analizy ryzyka</w:t>
            </w:r>
            <w:r w:rsidR="00DA257A" w:rsidRPr="00DA257A">
              <w:rPr>
                <w:noProof/>
                <w:sz w:val="22"/>
              </w:rPr>
              <w:t xml:space="preserve"> w kon</w:t>
            </w:r>
            <w:r w:rsidRPr="00DA257A">
              <w:rPr>
                <w:noProof/>
                <w:sz w:val="22"/>
              </w:rPr>
              <w:t>tekście kontroli granicznych</w:t>
            </w:r>
            <w:r w:rsidR="00DA257A" w:rsidRPr="00DA257A">
              <w:rPr>
                <w:noProof/>
                <w:sz w:val="22"/>
              </w:rPr>
              <w:t xml:space="preserve"> i peł</w:t>
            </w:r>
            <w:r w:rsidRPr="00DA257A">
              <w:rPr>
                <w:noProof/>
                <w:sz w:val="22"/>
              </w:rPr>
              <w:t>ne zintegrowanie wyników oceny narażenia</w:t>
            </w:r>
            <w:r w:rsidR="00DA257A" w:rsidRPr="00DA257A">
              <w:rPr>
                <w:noProof/>
                <w:sz w:val="22"/>
              </w:rPr>
              <w:t xml:space="preserve"> z dzi</w:t>
            </w:r>
            <w:r w:rsidRPr="00DA257A">
              <w:rPr>
                <w:noProof/>
                <w:sz w:val="22"/>
              </w:rPr>
              <w:t>ałaniami</w:t>
            </w:r>
            <w:r w:rsidR="00DA257A" w:rsidRPr="00DA257A">
              <w:rPr>
                <w:noProof/>
                <w:sz w:val="22"/>
              </w:rPr>
              <w:t xml:space="preserve"> w obs</w:t>
            </w:r>
            <w:r w:rsidRPr="00DA257A">
              <w:rPr>
                <w:noProof/>
                <w:sz w:val="22"/>
              </w:rPr>
              <w:t>zarze planowania</w:t>
            </w:r>
            <w:r w:rsidR="00DA257A" w:rsidRPr="00DA257A">
              <w:rPr>
                <w:noProof/>
                <w:sz w:val="22"/>
              </w:rPr>
              <w:t xml:space="preserve"> i ope</w:t>
            </w:r>
            <w:r w:rsidRPr="00DA257A">
              <w:rPr>
                <w:noProof/>
                <w:sz w:val="22"/>
              </w:rPr>
              <w:t>racjami przeprowadzanymi przez Europejską Straż Graniczną</w:t>
            </w:r>
            <w:r w:rsidR="00DA257A" w:rsidRPr="00DA257A">
              <w:rPr>
                <w:noProof/>
                <w:sz w:val="22"/>
              </w:rPr>
              <w:t xml:space="preserve"> i Prz</w:t>
            </w:r>
            <w:r w:rsidRPr="00DA257A">
              <w:rPr>
                <w:noProof/>
                <w:sz w:val="22"/>
              </w:rPr>
              <w:t>ybrzeżną</w:t>
            </w:r>
          </w:p>
          <w:p w14:paraId="29242D7F" w14:textId="700951DA" w:rsidR="00785493" w:rsidRPr="00DA257A" w:rsidRDefault="00335087" w:rsidP="006E7B16">
            <w:pPr>
              <w:pStyle w:val="ListParagraph"/>
              <w:numPr>
                <w:ilvl w:val="0"/>
                <w:numId w:val="22"/>
              </w:numPr>
              <w:spacing w:after="120"/>
              <w:rPr>
                <w:noProof/>
                <w:sz w:val="22"/>
                <w:szCs w:val="22"/>
              </w:rPr>
            </w:pPr>
            <w:r w:rsidRPr="00DA257A">
              <w:rPr>
                <w:noProof/>
                <w:sz w:val="22"/>
              </w:rPr>
              <w:t>Poprawa jakości odpraw granicznych dzięki stosowaniu procedur opierających się na informacjach oraz zwiększenie stopnia wykorzystania informacji poprzedzających przybycie poprzez wdrożenie systemów informacyjnych do celów kontroli granicznej,</w:t>
            </w:r>
            <w:r w:rsidR="00DA257A" w:rsidRPr="00DA257A">
              <w:rPr>
                <w:noProof/>
                <w:sz w:val="22"/>
              </w:rPr>
              <w:t xml:space="preserve"> w tym</w:t>
            </w:r>
            <w:r w:rsidRPr="00DA257A">
              <w:rPr>
                <w:noProof/>
                <w:sz w:val="22"/>
              </w:rPr>
              <w:t xml:space="preserve"> przyjęcie przez Komisję wniosku dotyczącego przeglądu dyrektywy</w:t>
            </w:r>
            <w:r w:rsidR="00DA257A" w:rsidRPr="00DA257A">
              <w:rPr>
                <w:noProof/>
                <w:sz w:val="22"/>
              </w:rPr>
              <w:t xml:space="preserve"> w spr</w:t>
            </w:r>
            <w:r w:rsidRPr="00DA257A">
              <w:rPr>
                <w:noProof/>
                <w:sz w:val="22"/>
              </w:rPr>
              <w:t>awie danych pasażera przekazywanych przed podróżą</w:t>
            </w:r>
          </w:p>
          <w:p w14:paraId="6BF23760" w14:textId="3D15C575" w:rsidR="008F1A48" w:rsidRPr="00DA257A" w:rsidRDefault="00D72D57" w:rsidP="008F1A48">
            <w:pPr>
              <w:pStyle w:val="ListParagraph"/>
              <w:numPr>
                <w:ilvl w:val="0"/>
                <w:numId w:val="22"/>
              </w:numPr>
              <w:spacing w:after="120"/>
              <w:rPr>
                <w:noProof/>
                <w:sz w:val="22"/>
                <w:szCs w:val="22"/>
              </w:rPr>
            </w:pPr>
            <w:r w:rsidRPr="00DA257A">
              <w:rPr>
                <w:noProof/>
                <w:sz w:val="22"/>
              </w:rPr>
              <w:t>Wzmocnienie krajowych zintegrowanych systemów ochrony granicy</w:t>
            </w:r>
            <w:r w:rsidR="00DA257A" w:rsidRPr="00DA257A">
              <w:rPr>
                <w:noProof/>
                <w:sz w:val="22"/>
              </w:rPr>
              <w:t xml:space="preserve"> i wsp</w:t>
            </w:r>
            <w:r w:rsidRPr="00DA257A">
              <w:rPr>
                <w:noProof/>
                <w:sz w:val="22"/>
              </w:rPr>
              <w:t>ółpracy międzyagencyjnej</w:t>
            </w:r>
          </w:p>
          <w:p w14:paraId="464360B3" w14:textId="5412AE68" w:rsidR="00152D7A" w:rsidRPr="00DA257A" w:rsidRDefault="00A678D6" w:rsidP="00D72D57">
            <w:pPr>
              <w:pStyle w:val="ListParagraph"/>
              <w:numPr>
                <w:ilvl w:val="0"/>
                <w:numId w:val="22"/>
              </w:numPr>
              <w:spacing w:after="120"/>
              <w:rPr>
                <w:noProof/>
                <w:sz w:val="22"/>
                <w:szCs w:val="22"/>
              </w:rPr>
            </w:pPr>
            <w:r w:rsidRPr="00DA257A">
              <w:rPr>
                <w:noProof/>
                <w:sz w:val="22"/>
              </w:rPr>
              <w:t>Wdrożenie solidnych krajowych systemów szkolenia</w:t>
            </w:r>
            <w:r w:rsidR="00DA257A" w:rsidRPr="00DA257A">
              <w:rPr>
                <w:noProof/>
                <w:sz w:val="22"/>
              </w:rPr>
              <w:t xml:space="preserve"> w zak</w:t>
            </w:r>
            <w:r w:rsidRPr="00DA257A">
              <w:rPr>
                <w:noProof/>
                <w:sz w:val="22"/>
              </w:rPr>
              <w:t>resie przeprowadzania kontroli granicznych</w:t>
            </w:r>
            <w:r w:rsidRPr="00DA257A">
              <w:rPr>
                <w:rStyle w:val="FootnoteReference"/>
                <w:noProof/>
                <w:sz w:val="22"/>
                <w:szCs w:val="22"/>
              </w:rPr>
              <w:footnoteReference w:id="45"/>
            </w:r>
          </w:p>
          <w:p w14:paraId="21E19290" w14:textId="77777777" w:rsidR="00785493" w:rsidRPr="00DA257A" w:rsidRDefault="006A0809" w:rsidP="00D72D57">
            <w:pPr>
              <w:pStyle w:val="ListParagraph"/>
              <w:numPr>
                <w:ilvl w:val="0"/>
                <w:numId w:val="22"/>
              </w:numPr>
              <w:spacing w:after="120"/>
              <w:rPr>
                <w:noProof/>
                <w:sz w:val="22"/>
                <w:szCs w:val="22"/>
              </w:rPr>
            </w:pPr>
            <w:r w:rsidRPr="00DA257A">
              <w:rPr>
                <w:noProof/>
                <w:sz w:val="22"/>
              </w:rPr>
              <w:t xml:space="preserve">Wdrożenie krajowych mechanizmów monitorowania poszanowania praw podstawowych </w:t>
            </w:r>
          </w:p>
        </w:tc>
      </w:tr>
    </w:tbl>
    <w:p w14:paraId="21757CDF" w14:textId="77777777" w:rsidR="003540FD" w:rsidRPr="00DA257A" w:rsidRDefault="003540FD" w:rsidP="006E7B16">
      <w:pPr>
        <w:spacing w:after="120"/>
        <w:rPr>
          <w:b/>
          <w:bCs/>
          <w:noProof/>
        </w:rPr>
      </w:pPr>
    </w:p>
    <w:p w14:paraId="33443B59" w14:textId="77777777" w:rsidR="00C36793" w:rsidRPr="00DA257A" w:rsidRDefault="009B7F6D" w:rsidP="006E7B16">
      <w:pPr>
        <w:spacing w:after="120"/>
        <w:rPr>
          <w:b/>
          <w:bCs/>
          <w:noProof/>
        </w:rPr>
      </w:pPr>
      <w:r w:rsidRPr="00DA257A">
        <w:rPr>
          <w:b/>
          <w:noProof/>
        </w:rPr>
        <w:t>4.2. Polityka wizowa</w:t>
      </w:r>
    </w:p>
    <w:p w14:paraId="5BA591FB" w14:textId="499F5108" w:rsidR="00897098" w:rsidRPr="00DA257A" w:rsidRDefault="00897098" w:rsidP="006E7B16">
      <w:pPr>
        <w:spacing w:after="120"/>
        <w:rPr>
          <w:noProof/>
        </w:rPr>
      </w:pPr>
      <w:r w:rsidRPr="00DA257A">
        <w:rPr>
          <w:noProof/>
        </w:rPr>
        <w:t>Strefa Schengen nie może funkcjonować</w:t>
      </w:r>
      <w:r w:rsidR="00DA257A" w:rsidRPr="00DA257A">
        <w:rPr>
          <w:noProof/>
        </w:rPr>
        <w:t xml:space="preserve"> w pra</w:t>
      </w:r>
      <w:r w:rsidRPr="00DA257A">
        <w:rPr>
          <w:noProof/>
        </w:rPr>
        <w:t>widłowy sposób bez wspólnej polityki wizowej. Taka polityka stanowi narzędzie ułatwiające osobom odwiedzającym Unię legalnie, takim jak turyści</w:t>
      </w:r>
      <w:r w:rsidR="00DA257A" w:rsidRPr="00DA257A">
        <w:rPr>
          <w:noProof/>
        </w:rPr>
        <w:t xml:space="preserve"> i oso</w:t>
      </w:r>
      <w:r w:rsidRPr="00DA257A">
        <w:rPr>
          <w:noProof/>
        </w:rPr>
        <w:t>by odbywające podróż służbową, wjazd na jej terytorium,</w:t>
      </w:r>
      <w:r w:rsidR="00DA257A" w:rsidRPr="00DA257A">
        <w:rPr>
          <w:noProof/>
        </w:rPr>
        <w:t xml:space="preserve"> a jed</w:t>
      </w:r>
      <w:r w:rsidRPr="00DA257A">
        <w:rPr>
          <w:noProof/>
        </w:rPr>
        <w:t>nocześnie pozwala zapobiegać zagrożeniom dla bezpieczeństwa</w:t>
      </w:r>
      <w:r w:rsidR="00DA257A" w:rsidRPr="00DA257A">
        <w:rPr>
          <w:noProof/>
        </w:rPr>
        <w:t xml:space="preserve"> i prz</w:t>
      </w:r>
      <w:r w:rsidRPr="00DA257A">
        <w:rPr>
          <w:noProof/>
        </w:rPr>
        <w:t>eciwdziałać ryzyku związanemu</w:t>
      </w:r>
      <w:r w:rsidR="00DA257A" w:rsidRPr="00DA257A">
        <w:rPr>
          <w:noProof/>
        </w:rPr>
        <w:t xml:space="preserve"> z mig</w:t>
      </w:r>
      <w:r w:rsidRPr="00DA257A">
        <w:rPr>
          <w:noProof/>
        </w:rPr>
        <w:t>racją nieuregulowaną do UE</w:t>
      </w:r>
      <w:r w:rsidR="00DA257A" w:rsidRPr="00DA257A">
        <w:rPr>
          <w:noProof/>
        </w:rPr>
        <w:t>. W kod</w:t>
      </w:r>
      <w:r w:rsidRPr="00DA257A">
        <w:rPr>
          <w:noProof/>
        </w:rPr>
        <w:t>eksie wizowym</w:t>
      </w:r>
      <w:r w:rsidRPr="00DA257A">
        <w:rPr>
          <w:rStyle w:val="FootnoteReference"/>
          <w:noProof/>
        </w:rPr>
        <w:footnoteReference w:id="46"/>
      </w:r>
      <w:r w:rsidRPr="00DA257A">
        <w:rPr>
          <w:noProof/>
        </w:rPr>
        <w:t xml:space="preserve"> ustanowiono zharmonizowane procedury</w:t>
      </w:r>
      <w:r w:rsidR="00DA257A" w:rsidRPr="00DA257A">
        <w:rPr>
          <w:noProof/>
        </w:rPr>
        <w:t xml:space="preserve"> i war</w:t>
      </w:r>
      <w:r w:rsidRPr="00DA257A">
        <w:rPr>
          <w:noProof/>
        </w:rPr>
        <w:t>unki przetwarzania wniosków wizowych</w:t>
      </w:r>
      <w:r w:rsidR="00DA257A" w:rsidRPr="00DA257A">
        <w:rPr>
          <w:noProof/>
        </w:rPr>
        <w:t xml:space="preserve"> i wyd</w:t>
      </w:r>
      <w:r w:rsidRPr="00DA257A">
        <w:rPr>
          <w:noProof/>
        </w:rPr>
        <w:t>awania wiz, podczas gdy wizowy system informacyjny</w:t>
      </w:r>
      <w:r w:rsidRPr="00DA257A">
        <w:rPr>
          <w:rStyle w:val="FootnoteReference"/>
          <w:noProof/>
        </w:rPr>
        <w:footnoteReference w:id="47"/>
      </w:r>
      <w:r w:rsidRPr="00DA257A">
        <w:rPr>
          <w:noProof/>
        </w:rPr>
        <w:t xml:space="preserve"> zapewnia konsulatom, funkcjonariuszom straży granicznej</w:t>
      </w:r>
      <w:r w:rsidR="00DA257A" w:rsidRPr="00DA257A">
        <w:rPr>
          <w:noProof/>
        </w:rPr>
        <w:t xml:space="preserve"> i org</w:t>
      </w:r>
      <w:r w:rsidRPr="00DA257A">
        <w:rPr>
          <w:noProof/>
        </w:rPr>
        <w:t>anów ścigania oraz organom imigracyjnym</w:t>
      </w:r>
      <w:r w:rsidR="00DA257A" w:rsidRPr="00DA257A">
        <w:rPr>
          <w:noProof/>
        </w:rPr>
        <w:t xml:space="preserve"> i inn</w:t>
      </w:r>
      <w:r w:rsidRPr="00DA257A">
        <w:rPr>
          <w:noProof/>
        </w:rPr>
        <w:t>ym właściwym organom możliwość uzyskania dostępu do danych osób ubiegających się</w:t>
      </w:r>
      <w:r w:rsidR="00DA257A" w:rsidRPr="00DA257A">
        <w:rPr>
          <w:noProof/>
        </w:rPr>
        <w:t xml:space="preserve"> o wiz</w:t>
      </w:r>
      <w:r w:rsidRPr="00DA257A">
        <w:rPr>
          <w:noProof/>
        </w:rPr>
        <w:t>ę.</w:t>
      </w:r>
    </w:p>
    <w:p w14:paraId="79DE436A" w14:textId="7BFC6928" w:rsidR="00897098" w:rsidRPr="00DA257A" w:rsidRDefault="6E958833" w:rsidP="006E7B16">
      <w:pPr>
        <w:spacing w:after="120"/>
        <w:rPr>
          <w:noProof/>
        </w:rPr>
      </w:pPr>
      <w:r w:rsidRPr="00DA257A">
        <w:rPr>
          <w:noProof/>
        </w:rPr>
        <w:t>Ograniczenia związane</w:t>
      </w:r>
      <w:r w:rsidR="00DA257A" w:rsidRPr="00DA257A">
        <w:rPr>
          <w:noProof/>
        </w:rPr>
        <w:t xml:space="preserve"> z pod</w:t>
      </w:r>
      <w:r w:rsidRPr="00DA257A">
        <w:rPr>
          <w:noProof/>
        </w:rPr>
        <w:t>różą wprowadzone</w:t>
      </w:r>
      <w:r w:rsidR="00DA257A" w:rsidRPr="00DA257A">
        <w:rPr>
          <w:noProof/>
        </w:rPr>
        <w:t xml:space="preserve"> w zwi</w:t>
      </w:r>
      <w:r w:rsidRPr="00DA257A">
        <w:rPr>
          <w:noProof/>
        </w:rPr>
        <w:t>ązku</w:t>
      </w:r>
      <w:r w:rsidR="00DA257A" w:rsidRPr="00DA257A">
        <w:rPr>
          <w:noProof/>
        </w:rPr>
        <w:t xml:space="preserve"> z pan</w:t>
      </w:r>
      <w:r w:rsidRPr="00DA257A">
        <w:rPr>
          <w:noProof/>
        </w:rPr>
        <w:t>demią COVID-19 doprowadziły do znaczącego spadku liczby wniosków</w:t>
      </w:r>
      <w:r w:rsidR="00DA257A" w:rsidRPr="00DA257A">
        <w:rPr>
          <w:noProof/>
        </w:rPr>
        <w:t xml:space="preserve"> o wiz</w:t>
      </w:r>
      <w:r w:rsidRPr="00DA257A">
        <w:rPr>
          <w:noProof/>
        </w:rPr>
        <w:t>ę Schengen. Podczas gdy przed pandemią konsulaty</w:t>
      </w:r>
      <w:r w:rsidR="00DA257A" w:rsidRPr="00DA257A">
        <w:rPr>
          <w:noProof/>
        </w:rPr>
        <w:t xml:space="preserve"> w pań</w:t>
      </w:r>
      <w:r w:rsidRPr="00DA257A">
        <w:rPr>
          <w:noProof/>
        </w:rPr>
        <w:t>stwach należących do strefy Schengen otrzymały 16 mln wniosków wizowych</w:t>
      </w:r>
      <w:r w:rsidR="00DA257A" w:rsidRPr="00DA257A">
        <w:rPr>
          <w:noProof/>
        </w:rPr>
        <w:t xml:space="preserve"> w 2</w:t>
      </w:r>
      <w:r w:rsidRPr="00DA257A">
        <w:rPr>
          <w:noProof/>
        </w:rPr>
        <w:t>018</w:t>
      </w:r>
      <w:r w:rsidR="007C7210" w:rsidRPr="00DA257A">
        <w:rPr>
          <w:noProof/>
        </w:rPr>
        <w:t> </w:t>
      </w:r>
      <w:r w:rsidRPr="00DA257A">
        <w:rPr>
          <w:noProof/>
        </w:rPr>
        <w:t>r.</w:t>
      </w:r>
      <w:r w:rsidR="00DA257A" w:rsidRPr="00DA257A">
        <w:rPr>
          <w:noProof/>
        </w:rPr>
        <w:t xml:space="preserve"> i 1</w:t>
      </w:r>
      <w:r w:rsidRPr="00DA257A">
        <w:rPr>
          <w:noProof/>
        </w:rPr>
        <w:t>7 mln wniosków wizowych</w:t>
      </w:r>
      <w:r w:rsidR="00DA257A" w:rsidRPr="00DA257A">
        <w:rPr>
          <w:noProof/>
        </w:rPr>
        <w:t xml:space="preserve"> w 2</w:t>
      </w:r>
      <w:r w:rsidRPr="00DA257A">
        <w:rPr>
          <w:noProof/>
        </w:rPr>
        <w:t>019</w:t>
      </w:r>
      <w:r w:rsidR="007C7210" w:rsidRPr="00DA257A">
        <w:rPr>
          <w:noProof/>
        </w:rPr>
        <w:t> </w:t>
      </w:r>
      <w:r w:rsidRPr="00DA257A">
        <w:rPr>
          <w:noProof/>
        </w:rPr>
        <w:t>r., liczba wniosków zmniejszyła się do</w:t>
      </w:r>
      <w:r w:rsidR="007C7210" w:rsidRPr="00DA257A">
        <w:rPr>
          <w:noProof/>
        </w:rPr>
        <w:t> </w:t>
      </w:r>
      <w:r w:rsidRPr="00DA257A">
        <w:rPr>
          <w:noProof/>
        </w:rPr>
        <w:t>3 mln</w:t>
      </w:r>
      <w:r w:rsidR="00DA257A" w:rsidRPr="00DA257A">
        <w:rPr>
          <w:noProof/>
        </w:rPr>
        <w:t xml:space="preserve"> w 2</w:t>
      </w:r>
      <w:r w:rsidRPr="00DA257A">
        <w:rPr>
          <w:noProof/>
        </w:rPr>
        <w:t>020</w:t>
      </w:r>
      <w:r w:rsidR="007C7210" w:rsidRPr="00DA257A">
        <w:rPr>
          <w:noProof/>
        </w:rPr>
        <w:t> </w:t>
      </w:r>
      <w:r w:rsidRPr="00DA257A">
        <w:rPr>
          <w:noProof/>
        </w:rPr>
        <w:t>r. i do</w:t>
      </w:r>
      <w:r w:rsidR="007C7210" w:rsidRPr="00DA257A">
        <w:rPr>
          <w:noProof/>
        </w:rPr>
        <w:t> </w:t>
      </w:r>
      <w:r w:rsidRPr="00DA257A">
        <w:rPr>
          <w:noProof/>
        </w:rPr>
        <w:t>2,5 mln</w:t>
      </w:r>
      <w:r w:rsidR="00DA257A" w:rsidRPr="00DA257A">
        <w:rPr>
          <w:noProof/>
        </w:rPr>
        <w:t xml:space="preserve"> w 2</w:t>
      </w:r>
      <w:r w:rsidRPr="00DA257A">
        <w:rPr>
          <w:noProof/>
        </w:rPr>
        <w:t>021</w:t>
      </w:r>
      <w:r w:rsidR="007C7210" w:rsidRPr="00DA257A">
        <w:rPr>
          <w:noProof/>
        </w:rPr>
        <w:t> </w:t>
      </w:r>
      <w:r w:rsidRPr="00DA257A">
        <w:rPr>
          <w:noProof/>
        </w:rPr>
        <w:t>r.</w:t>
      </w:r>
    </w:p>
    <w:p w14:paraId="5ECD35AA" w14:textId="6841A50C" w:rsidR="00897098" w:rsidRPr="00DA257A" w:rsidRDefault="6E958833" w:rsidP="006E7B16">
      <w:pPr>
        <w:spacing w:after="120"/>
        <w:rPr>
          <w:noProof/>
        </w:rPr>
      </w:pPr>
      <w:r w:rsidRPr="00DA257A">
        <w:rPr>
          <w:noProof/>
        </w:rPr>
        <w:t>Pandemia wiązała się również</w:t>
      </w:r>
      <w:r w:rsidR="00DA257A" w:rsidRPr="00DA257A">
        <w:rPr>
          <w:noProof/>
        </w:rPr>
        <w:t xml:space="preserve"> z ogr</w:t>
      </w:r>
      <w:r w:rsidRPr="00DA257A">
        <w:rPr>
          <w:noProof/>
        </w:rPr>
        <w:t>aniczeniami</w:t>
      </w:r>
      <w:r w:rsidR="00DA257A" w:rsidRPr="00DA257A">
        <w:rPr>
          <w:noProof/>
        </w:rPr>
        <w:t xml:space="preserve"> w zak</w:t>
      </w:r>
      <w:r w:rsidRPr="00DA257A">
        <w:rPr>
          <w:noProof/>
        </w:rPr>
        <w:t>resie przeprowadzania ocen Schengen</w:t>
      </w:r>
      <w:r w:rsidR="00DA257A" w:rsidRPr="00DA257A">
        <w:rPr>
          <w:noProof/>
        </w:rPr>
        <w:t xml:space="preserve"> w tym</w:t>
      </w:r>
      <w:r w:rsidRPr="00DA257A">
        <w:rPr>
          <w:noProof/>
        </w:rPr>
        <w:t xml:space="preserve"> obszarze polityki, biorąc pod uwagę fakt, że odpowiednie oceny przeprowadza się</w:t>
      </w:r>
      <w:r w:rsidR="00DA257A" w:rsidRPr="00DA257A">
        <w:rPr>
          <w:noProof/>
        </w:rPr>
        <w:t xml:space="preserve"> w kon</w:t>
      </w:r>
      <w:r w:rsidRPr="00DA257A">
        <w:rPr>
          <w:noProof/>
        </w:rPr>
        <w:t>sulatach państw członkowskich znajdujących się</w:t>
      </w:r>
      <w:r w:rsidR="00DA257A" w:rsidRPr="00DA257A">
        <w:rPr>
          <w:noProof/>
        </w:rPr>
        <w:t xml:space="preserve"> w pań</w:t>
      </w:r>
      <w:r w:rsidRPr="00DA257A">
        <w:rPr>
          <w:noProof/>
        </w:rPr>
        <w:t>stwach trzecich, których obywatele podlegają obowiązkowi wizowemu</w:t>
      </w:r>
      <w:r w:rsidR="00DA257A" w:rsidRPr="00DA257A">
        <w:rPr>
          <w:noProof/>
        </w:rPr>
        <w:t>. W lat</w:t>
      </w:r>
      <w:r w:rsidRPr="00DA257A">
        <w:rPr>
          <w:noProof/>
        </w:rPr>
        <w:t>ach 2020–2021 udało się przeprowadzić zaledwie dwie takie oceny. Wiele państw członkowskich poczyniło jednak znaczące postępy we wdrażaniu swoich planów działania związanych</w:t>
      </w:r>
      <w:r w:rsidR="00DA257A" w:rsidRPr="00DA257A">
        <w:rPr>
          <w:noProof/>
        </w:rPr>
        <w:t xml:space="preserve"> z pop</w:t>
      </w:r>
      <w:r w:rsidRPr="00DA257A">
        <w:rPr>
          <w:noProof/>
        </w:rPr>
        <w:t>rzednimi ocenami. Zamknięcie 12 planów działania na przestrzeni ostatnich dwóch lat świadczy</w:t>
      </w:r>
      <w:r w:rsidR="00DA257A" w:rsidRPr="00DA257A">
        <w:rPr>
          <w:noProof/>
        </w:rPr>
        <w:t xml:space="preserve"> o tym</w:t>
      </w:r>
      <w:r w:rsidRPr="00DA257A">
        <w:rPr>
          <w:noProof/>
        </w:rPr>
        <w:t>, że udało się skutecznie wyeliminować istotną liczbę wykrytych niedociągnięć.</w:t>
      </w:r>
    </w:p>
    <w:p w14:paraId="019093DA" w14:textId="420B4D62" w:rsidR="00897098" w:rsidRPr="00DA257A" w:rsidRDefault="00897098" w:rsidP="006E7B16">
      <w:pPr>
        <w:spacing w:after="120"/>
        <w:rPr>
          <w:noProof/>
        </w:rPr>
      </w:pPr>
      <w:r w:rsidRPr="00DA257A">
        <w:rPr>
          <w:noProof/>
        </w:rPr>
        <w:t>Państwa członkowskie</w:t>
      </w:r>
      <w:r w:rsidR="00DA257A" w:rsidRPr="00DA257A">
        <w:rPr>
          <w:noProof/>
        </w:rPr>
        <w:t xml:space="preserve"> w prz</w:t>
      </w:r>
      <w:r w:rsidRPr="00DA257A">
        <w:rPr>
          <w:noProof/>
        </w:rPr>
        <w:t>eważającej mierze należycie wdrażają wspólną politykę wizową,</w:t>
      </w:r>
      <w:r w:rsidR="00DA257A" w:rsidRPr="00DA257A">
        <w:rPr>
          <w:noProof/>
        </w:rPr>
        <w:t xml:space="preserve"> a pod</w:t>
      </w:r>
      <w:r w:rsidRPr="00DA257A">
        <w:rPr>
          <w:noProof/>
        </w:rPr>
        <w:t>ejmowane przez nie decyzje dotyczące tego, które wnioski</w:t>
      </w:r>
      <w:r w:rsidR="00DA257A" w:rsidRPr="00DA257A">
        <w:rPr>
          <w:noProof/>
        </w:rPr>
        <w:t xml:space="preserve"> o wyd</w:t>
      </w:r>
      <w:r w:rsidRPr="00DA257A">
        <w:rPr>
          <w:noProof/>
        </w:rPr>
        <w:t>anie wizy należy uwzględnić,</w:t>
      </w:r>
      <w:r w:rsidR="00DA257A" w:rsidRPr="00DA257A">
        <w:rPr>
          <w:noProof/>
        </w:rPr>
        <w:t xml:space="preserve"> a któ</w:t>
      </w:r>
      <w:r w:rsidRPr="00DA257A">
        <w:rPr>
          <w:noProof/>
        </w:rPr>
        <w:t>re odrzucić, są</w:t>
      </w:r>
      <w:r w:rsidR="00DA257A" w:rsidRPr="00DA257A">
        <w:rPr>
          <w:noProof/>
        </w:rPr>
        <w:t xml:space="preserve"> w ogó</w:t>
      </w:r>
      <w:r w:rsidRPr="00DA257A">
        <w:rPr>
          <w:noProof/>
        </w:rPr>
        <w:t>lnym rozrachunku odpowiednio uzasadnione. Poniżej przedstawiono niektóre</w:t>
      </w:r>
      <w:r w:rsidR="00DA257A" w:rsidRPr="00DA257A">
        <w:rPr>
          <w:noProof/>
        </w:rPr>
        <w:t xml:space="preserve"> z naj</w:t>
      </w:r>
      <w:r w:rsidRPr="00DA257A">
        <w:rPr>
          <w:noProof/>
        </w:rPr>
        <w:t xml:space="preserve">istotniejszych kwestii, które wciąż budzą zastrzeżenia: </w:t>
      </w:r>
    </w:p>
    <w:p w14:paraId="2284C48D" w14:textId="17E33415" w:rsidR="00897098" w:rsidRPr="00DA257A" w:rsidRDefault="6E958833" w:rsidP="006E7B16">
      <w:pPr>
        <w:pStyle w:val="ListParagraph"/>
        <w:numPr>
          <w:ilvl w:val="0"/>
          <w:numId w:val="2"/>
        </w:numPr>
        <w:spacing w:after="120"/>
        <w:rPr>
          <w:noProof/>
        </w:rPr>
      </w:pPr>
      <w:r w:rsidRPr="00DA257A">
        <w:rPr>
          <w:noProof/>
        </w:rPr>
        <w:t>praktyki stosowane przez państwa członkowskie nadal różnią się między sobą, jeżeli chodzi</w:t>
      </w:r>
      <w:r w:rsidR="00DA257A" w:rsidRPr="00DA257A">
        <w:rPr>
          <w:noProof/>
        </w:rPr>
        <w:t xml:space="preserve"> o ust</w:t>
      </w:r>
      <w:r w:rsidRPr="00DA257A">
        <w:rPr>
          <w:noProof/>
        </w:rPr>
        <w:t>alanie ważności wiz lub żądanych dokumentów uzupełniających, pomimo przepisów dotyczących ważności wiz zawartych</w:t>
      </w:r>
      <w:r w:rsidR="00DA257A" w:rsidRPr="00DA257A">
        <w:rPr>
          <w:noProof/>
        </w:rPr>
        <w:t xml:space="preserve"> w kod</w:t>
      </w:r>
      <w:r w:rsidRPr="00DA257A">
        <w:rPr>
          <w:noProof/>
        </w:rPr>
        <w:t>eksie wizowym</w:t>
      </w:r>
      <w:r w:rsidR="00DA257A" w:rsidRPr="00DA257A">
        <w:rPr>
          <w:noProof/>
        </w:rPr>
        <w:t xml:space="preserve"> i pra</w:t>
      </w:r>
      <w:r w:rsidRPr="00DA257A">
        <w:rPr>
          <w:noProof/>
        </w:rPr>
        <w:t>wnie wiążących zharmonizowanych wykazów dokumentów uzupełniających przyjmowanych przez Komisję;</w:t>
      </w:r>
    </w:p>
    <w:p w14:paraId="5A750B19" w14:textId="4CDD828A" w:rsidR="00897098" w:rsidRPr="00DA257A" w:rsidRDefault="6E958833" w:rsidP="006E7B16">
      <w:pPr>
        <w:pStyle w:val="ListParagraph"/>
        <w:numPr>
          <w:ilvl w:val="0"/>
          <w:numId w:val="2"/>
        </w:numPr>
        <w:spacing w:after="120"/>
        <w:rPr>
          <w:noProof/>
        </w:rPr>
      </w:pPr>
      <w:r w:rsidRPr="00DA257A">
        <w:rPr>
          <w:noProof/>
        </w:rPr>
        <w:t>niedostateczny poziom przeszkolenia</w:t>
      </w:r>
      <w:r w:rsidR="00DA257A" w:rsidRPr="00DA257A">
        <w:rPr>
          <w:noProof/>
        </w:rPr>
        <w:t xml:space="preserve"> i nie</w:t>
      </w:r>
      <w:r w:rsidRPr="00DA257A">
        <w:rPr>
          <w:noProof/>
        </w:rPr>
        <w:t xml:space="preserve">dobory kadrowe prowadzące do błędów proceduralnych; </w:t>
      </w:r>
    </w:p>
    <w:p w14:paraId="57379410" w14:textId="33F4DEB6" w:rsidR="00897098" w:rsidRPr="00DA257A" w:rsidRDefault="6E958833" w:rsidP="006E7B16">
      <w:pPr>
        <w:pStyle w:val="ListParagraph"/>
        <w:numPr>
          <w:ilvl w:val="0"/>
          <w:numId w:val="2"/>
        </w:numPr>
        <w:spacing w:after="120"/>
        <w:rPr>
          <w:noProof/>
        </w:rPr>
      </w:pPr>
      <w:r w:rsidRPr="00DA257A">
        <w:rPr>
          <w:noProof/>
        </w:rPr>
        <w:t>powszechne korzystanie</w:t>
      </w:r>
      <w:r w:rsidR="00DA257A" w:rsidRPr="00DA257A">
        <w:rPr>
          <w:noProof/>
        </w:rPr>
        <w:t xml:space="preserve"> z usł</w:t>
      </w:r>
      <w:r w:rsidRPr="00DA257A">
        <w:rPr>
          <w:noProof/>
        </w:rPr>
        <w:t xml:space="preserve">ug świadczonych przez usługodawców zewnętrznych przy niezadowalającym stopniu monitorowania działalności tych usługodawców; </w:t>
      </w:r>
    </w:p>
    <w:p w14:paraId="0A380108" w14:textId="5B2B87A9" w:rsidR="00897098" w:rsidRPr="00DA257A" w:rsidRDefault="6E958833" w:rsidP="00F54E53">
      <w:pPr>
        <w:pStyle w:val="ListParagraph"/>
        <w:numPr>
          <w:ilvl w:val="0"/>
          <w:numId w:val="2"/>
        </w:numPr>
        <w:spacing w:after="120"/>
        <w:rPr>
          <w:noProof/>
        </w:rPr>
      </w:pPr>
      <w:r w:rsidRPr="00DA257A">
        <w:rPr>
          <w:noProof/>
        </w:rPr>
        <w:t>nieoptymalne korzystanie</w:t>
      </w:r>
      <w:r w:rsidR="00DA257A" w:rsidRPr="00DA257A">
        <w:rPr>
          <w:noProof/>
        </w:rPr>
        <w:t xml:space="preserve"> z wiz</w:t>
      </w:r>
      <w:r w:rsidRPr="00DA257A">
        <w:rPr>
          <w:noProof/>
        </w:rPr>
        <w:t>owego systemu informacyjnego spowodowane niekiedy niewystarczającą jakością wprowadzanych</w:t>
      </w:r>
      <w:r w:rsidR="00DA257A" w:rsidRPr="00DA257A">
        <w:rPr>
          <w:noProof/>
        </w:rPr>
        <w:t xml:space="preserve"> w nim</w:t>
      </w:r>
      <w:r w:rsidRPr="00DA257A">
        <w:rPr>
          <w:noProof/>
        </w:rPr>
        <w:t xml:space="preserve"> danych, faktem, że krajowe systemy rozpatrywania spraw nie zawsze są dostosowane do kodeksu wizowego i do procedur związanych</w:t>
      </w:r>
      <w:r w:rsidR="00DA257A" w:rsidRPr="00DA257A">
        <w:rPr>
          <w:noProof/>
        </w:rPr>
        <w:t xml:space="preserve"> z kon</w:t>
      </w:r>
      <w:r w:rsidRPr="00DA257A">
        <w:rPr>
          <w:noProof/>
        </w:rPr>
        <w:t>trolą obiegu zadań</w:t>
      </w:r>
      <w:r w:rsidR="00DA257A" w:rsidRPr="00DA257A">
        <w:rPr>
          <w:noProof/>
        </w:rPr>
        <w:t xml:space="preserve"> w wiz</w:t>
      </w:r>
      <w:r w:rsidRPr="00DA257A">
        <w:rPr>
          <w:noProof/>
        </w:rPr>
        <w:t>owym systemie informacyjnym,</w:t>
      </w:r>
      <w:r w:rsidR="00DA257A" w:rsidRPr="00DA257A">
        <w:rPr>
          <w:noProof/>
        </w:rPr>
        <w:t xml:space="preserve"> a tak</w:t>
      </w:r>
      <w:r w:rsidRPr="00DA257A">
        <w:rPr>
          <w:noProof/>
        </w:rPr>
        <w:t>że brakiem odpowiedniego przeszkolenia</w:t>
      </w:r>
      <w:r w:rsidR="00DA257A" w:rsidRPr="00DA257A">
        <w:rPr>
          <w:noProof/>
        </w:rPr>
        <w:t xml:space="preserve"> w zak</w:t>
      </w:r>
      <w:r w:rsidRPr="00DA257A">
        <w:rPr>
          <w:noProof/>
        </w:rPr>
        <w:t>resie IT oraz ograniczoną znajomością określonych funkcji systemu</w:t>
      </w:r>
      <w:r w:rsidR="00DA257A" w:rsidRPr="00DA257A">
        <w:rPr>
          <w:noProof/>
        </w:rPr>
        <w:t xml:space="preserve"> i kor</w:t>
      </w:r>
      <w:r w:rsidRPr="00DA257A">
        <w:rPr>
          <w:noProof/>
        </w:rPr>
        <w:t>zyści związanych</w:t>
      </w:r>
      <w:r w:rsidR="00DA257A" w:rsidRPr="00DA257A">
        <w:rPr>
          <w:noProof/>
        </w:rPr>
        <w:t xml:space="preserve"> z jeg</w:t>
      </w:r>
      <w:r w:rsidRPr="00DA257A">
        <w:rPr>
          <w:noProof/>
        </w:rPr>
        <w:t xml:space="preserve">o stosowaniem. </w:t>
      </w:r>
    </w:p>
    <w:p w14:paraId="218C53DE" w14:textId="243056B4" w:rsidR="00CD4601" w:rsidRPr="00DA257A" w:rsidRDefault="000617F9" w:rsidP="00CD4601">
      <w:pPr>
        <w:rPr>
          <w:noProof/>
        </w:rPr>
      </w:pPr>
      <w:r w:rsidRPr="00DA257A">
        <w:rPr>
          <w:noProof/>
        </w:rPr>
        <w:t>W ramach procesu monitorowania wyników poprzednich ocen Komisja wielokrotnie wzywała państwa członkowskie do rozwiązania tych problemów –</w:t>
      </w:r>
      <w:r w:rsidR="00DA257A" w:rsidRPr="00DA257A">
        <w:rPr>
          <w:noProof/>
        </w:rPr>
        <w:t xml:space="preserve"> w tym</w:t>
      </w:r>
      <w:r w:rsidRPr="00DA257A">
        <w:rPr>
          <w:noProof/>
        </w:rPr>
        <w:t xml:space="preserve"> celu</w:t>
      </w:r>
      <w:r w:rsidR="00DA257A" w:rsidRPr="00DA257A">
        <w:rPr>
          <w:noProof/>
        </w:rPr>
        <w:t xml:space="preserve"> w ram</w:t>
      </w:r>
      <w:r w:rsidRPr="00DA257A">
        <w:rPr>
          <w:noProof/>
        </w:rPr>
        <w:t>ach Instrumentu Wsparcia Finansowego na rzecz Zarządzania Granicami</w:t>
      </w:r>
      <w:r w:rsidR="00DA257A" w:rsidRPr="00DA257A">
        <w:rPr>
          <w:noProof/>
        </w:rPr>
        <w:t xml:space="preserve"> i Pol</w:t>
      </w:r>
      <w:r w:rsidRPr="00DA257A">
        <w:rPr>
          <w:noProof/>
        </w:rPr>
        <w:t>ityki Wizowej (na lata 2021–2027) stanowiącego jeden</w:t>
      </w:r>
      <w:r w:rsidR="00DA257A" w:rsidRPr="00DA257A">
        <w:rPr>
          <w:noProof/>
        </w:rPr>
        <w:t xml:space="preserve"> z ele</w:t>
      </w:r>
      <w:r w:rsidRPr="00DA257A">
        <w:rPr>
          <w:noProof/>
        </w:rPr>
        <w:t>mentów Funduszu Zintegrowanego Zarządzania Granicami udostępniono odpowiednie wsparcie finansowe przeznaczone na pokrycie kosztów stosownych działań</w:t>
      </w:r>
      <w:r w:rsidR="00DA257A" w:rsidRPr="00DA257A">
        <w:rPr>
          <w:noProof/>
        </w:rPr>
        <w:t xml:space="preserve"> w tym</w:t>
      </w:r>
      <w:r w:rsidRPr="00DA257A">
        <w:rPr>
          <w:noProof/>
        </w:rPr>
        <w:t xml:space="preserve"> zakresie.</w:t>
      </w:r>
    </w:p>
    <w:p w14:paraId="2F55CEC4" w14:textId="3DD3E843" w:rsidR="001F45C0" w:rsidRPr="00DA257A" w:rsidRDefault="00E01C96" w:rsidP="006E7B16">
      <w:pPr>
        <w:spacing w:after="120"/>
        <w:rPr>
          <w:noProof/>
        </w:rPr>
      </w:pPr>
      <w:r w:rsidRPr="00DA257A">
        <w:rPr>
          <w:noProof/>
        </w:rPr>
        <w:t>27 kwietnia 2022</w:t>
      </w:r>
      <w:r w:rsidR="007C7210" w:rsidRPr="00DA257A">
        <w:rPr>
          <w:noProof/>
        </w:rPr>
        <w:t> </w:t>
      </w:r>
      <w:r w:rsidRPr="00DA257A">
        <w:rPr>
          <w:noProof/>
        </w:rPr>
        <w:t>r. Komisja przedstawiła wniosek</w:t>
      </w:r>
      <w:r w:rsidR="00DA257A" w:rsidRPr="00DA257A">
        <w:rPr>
          <w:noProof/>
        </w:rPr>
        <w:t xml:space="preserve"> w spr</w:t>
      </w:r>
      <w:r w:rsidRPr="00DA257A">
        <w:rPr>
          <w:noProof/>
        </w:rPr>
        <w:t xml:space="preserve">awie </w:t>
      </w:r>
      <w:r w:rsidRPr="00DA257A">
        <w:rPr>
          <w:b/>
          <w:noProof/>
        </w:rPr>
        <w:t>cyfryzacji procedur wizowych</w:t>
      </w:r>
      <w:r w:rsidR="00DA257A" w:rsidRPr="00DA257A">
        <w:rPr>
          <w:noProof/>
        </w:rPr>
        <w:t xml:space="preserve"> w cel</w:t>
      </w:r>
      <w:r w:rsidRPr="00DA257A">
        <w:rPr>
          <w:noProof/>
        </w:rPr>
        <w:t>u zmodernizowania procesu składania</w:t>
      </w:r>
      <w:r w:rsidR="00DA257A" w:rsidRPr="00DA257A">
        <w:rPr>
          <w:noProof/>
        </w:rPr>
        <w:t xml:space="preserve"> i prz</w:t>
      </w:r>
      <w:r w:rsidRPr="00DA257A">
        <w:rPr>
          <w:noProof/>
        </w:rPr>
        <w:t>etwarzania wniosków wizowych,</w:t>
      </w:r>
      <w:r w:rsidR="00DA257A" w:rsidRPr="00DA257A">
        <w:rPr>
          <w:noProof/>
        </w:rPr>
        <w:t xml:space="preserve"> a jed</w:t>
      </w:r>
      <w:r w:rsidRPr="00DA257A">
        <w:rPr>
          <w:noProof/>
        </w:rPr>
        <w:t>nocześnie zwiększenia bezpieczeństwa strefy Schengen. Tego samego dnia Komisja zaproponowała zniesienie obowiązku wizowego dla obywateli Kuwejtu</w:t>
      </w:r>
      <w:r w:rsidR="00DA257A" w:rsidRPr="00DA257A">
        <w:rPr>
          <w:noProof/>
        </w:rPr>
        <w:t xml:space="preserve"> i Kat</w:t>
      </w:r>
      <w:r w:rsidRPr="00DA257A">
        <w:rPr>
          <w:noProof/>
        </w:rPr>
        <w:t>aru</w:t>
      </w:r>
      <w:r w:rsidR="00DA257A" w:rsidRPr="00DA257A">
        <w:rPr>
          <w:noProof/>
        </w:rPr>
        <w:t>. W nad</w:t>
      </w:r>
      <w:r w:rsidRPr="00DA257A">
        <w:rPr>
          <w:noProof/>
        </w:rPr>
        <w:t>chodzących miesiącach Komisja zamierza przeprowadzić ocenę zmienionego kodeksu wizowego, który wszedł</w:t>
      </w:r>
      <w:r w:rsidR="00DA257A" w:rsidRPr="00DA257A">
        <w:rPr>
          <w:noProof/>
        </w:rPr>
        <w:t xml:space="preserve"> w życ</w:t>
      </w:r>
      <w:r w:rsidRPr="00DA257A">
        <w:rPr>
          <w:noProof/>
        </w:rPr>
        <w:t>ie</w:t>
      </w:r>
      <w:r w:rsidR="00DA257A" w:rsidRPr="00DA257A">
        <w:rPr>
          <w:noProof/>
        </w:rPr>
        <w:t xml:space="preserve"> w lut</w:t>
      </w:r>
      <w:r w:rsidRPr="00DA257A">
        <w:rPr>
          <w:noProof/>
        </w:rPr>
        <w:t>ym 2020</w:t>
      </w:r>
      <w:r w:rsidR="007C7210" w:rsidRPr="00DA257A">
        <w:rPr>
          <w:noProof/>
        </w:rPr>
        <w:t> </w:t>
      </w:r>
      <w:r w:rsidRPr="00DA257A">
        <w:rPr>
          <w:noProof/>
        </w:rPr>
        <w:t>r. Komisja będzie</w:t>
      </w:r>
      <w:r w:rsidR="00DA257A" w:rsidRPr="00DA257A">
        <w:rPr>
          <w:noProof/>
        </w:rPr>
        <w:t xml:space="preserve"> w dal</w:t>
      </w:r>
      <w:r w:rsidRPr="00DA257A">
        <w:rPr>
          <w:noProof/>
        </w:rPr>
        <w:t>szym ciągu uważnie monitorowała państwa trzecie, którym przyznano prawo bezwizowego wjazdu na terytorium UE,</w:t>
      </w:r>
      <w:r w:rsidR="00DA257A" w:rsidRPr="00DA257A">
        <w:rPr>
          <w:noProof/>
        </w:rPr>
        <w:t xml:space="preserve"> w szc</w:t>
      </w:r>
      <w:r w:rsidRPr="00DA257A">
        <w:rPr>
          <w:noProof/>
        </w:rPr>
        <w:t>zególności za pośrednictwem sprawozdania dotyczącego mechanizmu zawieszającego zwolnienie</w:t>
      </w:r>
      <w:r w:rsidR="00DA257A" w:rsidRPr="00DA257A">
        <w:rPr>
          <w:noProof/>
        </w:rPr>
        <w:t xml:space="preserve"> z obo</w:t>
      </w:r>
      <w:r w:rsidRPr="00DA257A">
        <w:rPr>
          <w:noProof/>
        </w:rPr>
        <w:t>wiązku wizowego</w:t>
      </w:r>
      <w:r w:rsidR="00B538C6" w:rsidRPr="00DA257A">
        <w:rPr>
          <w:rStyle w:val="FootnoteReference"/>
          <w:noProof/>
        </w:rPr>
        <w:footnoteReference w:id="48"/>
      </w:r>
      <w:r w:rsidRPr="00DA257A">
        <w:rPr>
          <w:noProof/>
        </w:rPr>
        <w:t>,</w:t>
      </w:r>
      <w:r w:rsidR="00DA257A" w:rsidRPr="00DA257A">
        <w:rPr>
          <w:noProof/>
        </w:rPr>
        <w:t xml:space="preserve"> a tak</w:t>
      </w:r>
      <w:r w:rsidRPr="00DA257A">
        <w:rPr>
          <w:noProof/>
        </w:rPr>
        <w:t>że będzie nadal ściśle współpracowała</w:t>
      </w:r>
      <w:r w:rsidR="00DA257A" w:rsidRPr="00DA257A">
        <w:rPr>
          <w:noProof/>
        </w:rPr>
        <w:t xml:space="preserve"> z zai</w:t>
      </w:r>
      <w:r w:rsidRPr="00DA257A">
        <w:rPr>
          <w:noProof/>
        </w:rPr>
        <w:t>nteresowanymi państwami członkowskimi i ze Stanami Zjednoczonymi, aby zagwarantować pełną wzajemność</w:t>
      </w:r>
      <w:r w:rsidR="00DA257A" w:rsidRPr="00DA257A">
        <w:rPr>
          <w:noProof/>
        </w:rPr>
        <w:t xml:space="preserve"> w zak</w:t>
      </w:r>
      <w:r w:rsidRPr="00DA257A">
        <w:rPr>
          <w:noProof/>
        </w:rPr>
        <w:t>resie znoszenia wiz dla pozostałych państw członkowskich, mianowicie Bułgarii, Cypru</w:t>
      </w:r>
      <w:r w:rsidR="00DA257A" w:rsidRPr="00DA257A">
        <w:rPr>
          <w:noProof/>
        </w:rPr>
        <w:t xml:space="preserve"> i Rum</w:t>
      </w:r>
      <w:r w:rsidRPr="00DA257A">
        <w:rPr>
          <w:noProof/>
        </w:rPr>
        <w:t>unii. Ponadto Komisja, we współpracy</w:t>
      </w:r>
      <w:r w:rsidR="00DA257A" w:rsidRPr="00DA257A">
        <w:rPr>
          <w:noProof/>
        </w:rPr>
        <w:t xml:space="preserve"> z pań</w:t>
      </w:r>
      <w:r w:rsidRPr="00DA257A">
        <w:rPr>
          <w:noProof/>
        </w:rPr>
        <w:t>stwami członkowskimi, uważnie śledzi programy obywatelstwa dla inwestorów oferowane przez państwa trzecie zwolnione</w:t>
      </w:r>
      <w:r w:rsidR="00DA257A" w:rsidRPr="00DA257A">
        <w:rPr>
          <w:noProof/>
        </w:rPr>
        <w:t xml:space="preserve"> z obo</w:t>
      </w:r>
      <w:r w:rsidRPr="00DA257A">
        <w:rPr>
          <w:noProof/>
        </w:rPr>
        <w:t>wiązku wizowego, ponieważ beneficjenci tych programów mogą uzyskać prawo swobodnego wjazdu do strefy Schengen</w:t>
      </w:r>
      <w:r w:rsidR="00DA257A" w:rsidRPr="00DA257A">
        <w:rPr>
          <w:noProof/>
        </w:rPr>
        <w:t>. W ost</w:t>
      </w:r>
      <w:r w:rsidRPr="00DA257A">
        <w:rPr>
          <w:noProof/>
        </w:rPr>
        <w:t>atnim czasie Rada – na wniosek Komisji – podjęła decyzję</w:t>
      </w:r>
      <w:r w:rsidR="00DA257A" w:rsidRPr="00DA257A">
        <w:rPr>
          <w:noProof/>
        </w:rPr>
        <w:t xml:space="preserve"> o tym</w:t>
      </w:r>
      <w:r w:rsidRPr="00DA257A">
        <w:rPr>
          <w:noProof/>
        </w:rPr>
        <w:t>czasowym zawieszeniu warunków zwolnienia</w:t>
      </w:r>
      <w:r w:rsidR="00DA257A" w:rsidRPr="00DA257A">
        <w:rPr>
          <w:noProof/>
        </w:rPr>
        <w:t xml:space="preserve"> z obo</w:t>
      </w:r>
      <w:r w:rsidRPr="00DA257A">
        <w:rPr>
          <w:noProof/>
        </w:rPr>
        <w:t>wiązku wizowego dla posiadaczy paszportów Republiki Vanuatu wydanych po</w:t>
      </w:r>
      <w:r w:rsidR="007C7210" w:rsidRPr="00DA257A">
        <w:rPr>
          <w:noProof/>
        </w:rPr>
        <w:t> </w:t>
      </w:r>
      <w:r w:rsidRPr="00DA257A">
        <w:rPr>
          <w:noProof/>
        </w:rPr>
        <w:t>2015</w:t>
      </w:r>
      <w:r w:rsidR="007C7210" w:rsidRPr="00DA257A">
        <w:rPr>
          <w:noProof/>
        </w:rPr>
        <w:t> </w:t>
      </w:r>
      <w:r w:rsidRPr="00DA257A">
        <w:rPr>
          <w:noProof/>
        </w:rPr>
        <w:t>r.</w:t>
      </w:r>
      <w:r w:rsidR="00DA257A" w:rsidRPr="00DA257A">
        <w:rPr>
          <w:noProof/>
        </w:rPr>
        <w:t xml:space="preserve"> z uwa</w:t>
      </w:r>
      <w:r w:rsidRPr="00DA257A">
        <w:rPr>
          <w:noProof/>
        </w:rPr>
        <w:t>gi na ryzyko związane</w:t>
      </w:r>
      <w:r w:rsidR="00DA257A" w:rsidRPr="00DA257A">
        <w:rPr>
          <w:noProof/>
        </w:rPr>
        <w:t xml:space="preserve"> z pro</w:t>
      </w:r>
      <w:r w:rsidRPr="00DA257A">
        <w:rPr>
          <w:noProof/>
        </w:rPr>
        <w:t>gramem obywatelstwa dla inwestorów realizowanego</w:t>
      </w:r>
      <w:r w:rsidR="00DA257A" w:rsidRPr="00DA257A">
        <w:rPr>
          <w:noProof/>
        </w:rPr>
        <w:t xml:space="preserve"> w tym</w:t>
      </w:r>
      <w:r w:rsidRPr="00DA257A">
        <w:rPr>
          <w:noProof/>
        </w:rPr>
        <w:t xml:space="preserve"> państwie</w:t>
      </w:r>
      <w:r w:rsidR="008146E6" w:rsidRPr="00DA257A">
        <w:rPr>
          <w:rStyle w:val="FootnoteReference"/>
          <w:noProof/>
        </w:rPr>
        <w:footnoteReference w:id="49"/>
      </w:r>
      <w:r w:rsidRPr="00DA257A">
        <w:rPr>
          <w:noProof/>
        </w:rPr>
        <w:t>. Państwa członkowskie będą musiały kontynuować ścisłą współpracę z eu-LISA</w:t>
      </w:r>
      <w:r w:rsidR="00DA257A" w:rsidRPr="00DA257A">
        <w:rPr>
          <w:noProof/>
        </w:rPr>
        <w:t xml:space="preserve"> i Kom</w:t>
      </w:r>
      <w:r w:rsidRPr="00DA257A">
        <w:rPr>
          <w:noProof/>
        </w:rPr>
        <w:t>isją, aby zmodernizować swoje systemy informatyczne wykorzystywane do przetwarzania wniosków wizowych</w:t>
      </w:r>
      <w:r w:rsidR="00DA257A" w:rsidRPr="00DA257A">
        <w:rPr>
          <w:noProof/>
        </w:rPr>
        <w:t xml:space="preserve"> w cel</w:t>
      </w:r>
      <w:r w:rsidRPr="00DA257A">
        <w:rPr>
          <w:noProof/>
        </w:rPr>
        <w:t>u ich dostosowania do nowej wersji wizowego systemu informacyjnego. Oceny Schengen prowadzone</w:t>
      </w:r>
      <w:r w:rsidR="00DA257A" w:rsidRPr="00DA257A">
        <w:rPr>
          <w:noProof/>
        </w:rPr>
        <w:t xml:space="preserve"> w tym</w:t>
      </w:r>
      <w:r w:rsidRPr="00DA257A">
        <w:rPr>
          <w:noProof/>
        </w:rPr>
        <w:t xml:space="preserve"> obszarze polityki zostaną wznowione</w:t>
      </w:r>
      <w:r w:rsidR="00DA257A" w:rsidRPr="00DA257A">
        <w:rPr>
          <w:noProof/>
        </w:rPr>
        <w:t xml:space="preserve"> w cze</w:t>
      </w:r>
      <w:r w:rsidRPr="00DA257A">
        <w:rPr>
          <w:noProof/>
        </w:rPr>
        <w:t>rwcu 2022</w:t>
      </w:r>
      <w:r w:rsidR="007C7210" w:rsidRPr="00DA257A">
        <w:rPr>
          <w:noProof/>
        </w:rPr>
        <w:t> </w:t>
      </w:r>
      <w:r w:rsidRPr="00DA257A">
        <w:rPr>
          <w:noProof/>
        </w:rPr>
        <w:t>r., biorąc pod uwagę zmieniającą się sytuację epidemiologiczną.</w:t>
      </w:r>
    </w:p>
    <w:tbl>
      <w:tblPr>
        <w:tblStyle w:val="TableGrid"/>
        <w:tblW w:w="0" w:type="auto"/>
        <w:tblLook w:val="04A0" w:firstRow="1" w:lastRow="0" w:firstColumn="1" w:lastColumn="0" w:noHBand="0" w:noVBand="1"/>
      </w:tblPr>
      <w:tblGrid>
        <w:gridCol w:w="9606"/>
      </w:tblGrid>
      <w:tr w:rsidR="001F45C0" w:rsidRPr="00DA257A" w14:paraId="10B32020" w14:textId="77777777" w:rsidTr="0041695E">
        <w:tc>
          <w:tcPr>
            <w:tcW w:w="9606" w:type="dxa"/>
          </w:tcPr>
          <w:p w14:paraId="09EA0920" w14:textId="518E720A" w:rsidR="001F45C0" w:rsidRPr="00DA257A" w:rsidRDefault="00A356E2" w:rsidP="006E7B16">
            <w:pPr>
              <w:spacing w:after="120"/>
              <w:rPr>
                <w:b/>
                <w:bCs/>
                <w:noProof/>
                <w:sz w:val="22"/>
                <w:szCs w:val="22"/>
              </w:rPr>
            </w:pPr>
            <w:r w:rsidRPr="00DA257A">
              <w:rPr>
                <w:b/>
                <w:noProof/>
                <w:sz w:val="22"/>
              </w:rPr>
              <w:t>Ramka 6. Priorytety polityki wizowej</w:t>
            </w:r>
          </w:p>
          <w:p w14:paraId="726CD4E2" w14:textId="2ED66E50" w:rsidR="000524E8" w:rsidRPr="00DA257A" w:rsidRDefault="001D1F16" w:rsidP="006E7B16">
            <w:pPr>
              <w:pStyle w:val="ListParagraph"/>
              <w:numPr>
                <w:ilvl w:val="0"/>
                <w:numId w:val="8"/>
              </w:numPr>
              <w:spacing w:after="120"/>
              <w:rPr>
                <w:noProof/>
                <w:sz w:val="22"/>
                <w:szCs w:val="22"/>
              </w:rPr>
            </w:pPr>
            <w:r w:rsidRPr="00DA257A">
              <w:rPr>
                <w:noProof/>
                <w:sz w:val="22"/>
              </w:rPr>
              <w:t>Poczynienie szybkich postępów</w:t>
            </w:r>
            <w:r w:rsidR="00DA257A" w:rsidRPr="00DA257A">
              <w:rPr>
                <w:noProof/>
                <w:sz w:val="22"/>
              </w:rPr>
              <w:t xml:space="preserve"> w neg</w:t>
            </w:r>
            <w:r w:rsidRPr="00DA257A">
              <w:rPr>
                <w:noProof/>
                <w:sz w:val="22"/>
              </w:rPr>
              <w:t>ocjacjach dotyczących wniosku</w:t>
            </w:r>
            <w:r w:rsidR="00DA257A" w:rsidRPr="00DA257A">
              <w:rPr>
                <w:noProof/>
                <w:sz w:val="22"/>
              </w:rPr>
              <w:t xml:space="preserve"> w spr</w:t>
            </w:r>
            <w:r w:rsidRPr="00DA257A">
              <w:rPr>
                <w:noProof/>
                <w:sz w:val="22"/>
              </w:rPr>
              <w:t>awie cyfryzacji procedur wizowych</w:t>
            </w:r>
          </w:p>
          <w:p w14:paraId="542FCE26" w14:textId="4FF25C18" w:rsidR="001F45C0" w:rsidRPr="00DA257A" w:rsidRDefault="000524E8" w:rsidP="006E7B16">
            <w:pPr>
              <w:pStyle w:val="ListParagraph"/>
              <w:numPr>
                <w:ilvl w:val="0"/>
                <w:numId w:val="8"/>
              </w:numPr>
              <w:spacing w:after="120"/>
              <w:rPr>
                <w:noProof/>
                <w:sz w:val="22"/>
                <w:szCs w:val="22"/>
              </w:rPr>
            </w:pPr>
            <w:r w:rsidRPr="00DA257A">
              <w:rPr>
                <w:noProof/>
                <w:sz w:val="22"/>
              </w:rPr>
              <w:t>Poczynienie szybkich postępów</w:t>
            </w:r>
            <w:r w:rsidR="00DA257A" w:rsidRPr="00DA257A">
              <w:rPr>
                <w:noProof/>
                <w:sz w:val="22"/>
              </w:rPr>
              <w:t xml:space="preserve"> w neg</w:t>
            </w:r>
            <w:r w:rsidRPr="00DA257A">
              <w:rPr>
                <w:noProof/>
                <w:sz w:val="22"/>
              </w:rPr>
              <w:t>ocjacjach dotyczących wniosku</w:t>
            </w:r>
            <w:r w:rsidR="00DA257A" w:rsidRPr="00DA257A">
              <w:rPr>
                <w:noProof/>
                <w:sz w:val="22"/>
              </w:rPr>
              <w:t xml:space="preserve"> w spr</w:t>
            </w:r>
            <w:r w:rsidRPr="00DA257A">
              <w:rPr>
                <w:noProof/>
                <w:sz w:val="22"/>
              </w:rPr>
              <w:t>awie zwolnienia</w:t>
            </w:r>
            <w:r w:rsidR="00DA257A" w:rsidRPr="00DA257A">
              <w:rPr>
                <w:noProof/>
                <w:sz w:val="22"/>
              </w:rPr>
              <w:t xml:space="preserve"> z obo</w:t>
            </w:r>
            <w:r w:rsidRPr="00DA257A">
              <w:rPr>
                <w:noProof/>
                <w:sz w:val="22"/>
              </w:rPr>
              <w:t>wiązku posiadania wizy dla obywateli Kuwejtu</w:t>
            </w:r>
            <w:r w:rsidR="00DA257A" w:rsidRPr="00DA257A">
              <w:rPr>
                <w:noProof/>
                <w:sz w:val="22"/>
              </w:rPr>
              <w:t xml:space="preserve"> i Kat</w:t>
            </w:r>
            <w:r w:rsidRPr="00DA257A">
              <w:rPr>
                <w:noProof/>
                <w:sz w:val="22"/>
              </w:rPr>
              <w:t>aru</w:t>
            </w:r>
          </w:p>
          <w:p w14:paraId="49045EF2" w14:textId="77777777" w:rsidR="00897098" w:rsidRPr="00DA257A" w:rsidRDefault="6E958833" w:rsidP="006E7B16">
            <w:pPr>
              <w:pStyle w:val="ListParagraph"/>
              <w:numPr>
                <w:ilvl w:val="0"/>
                <w:numId w:val="8"/>
              </w:numPr>
              <w:spacing w:after="120"/>
              <w:rPr>
                <w:noProof/>
                <w:sz w:val="22"/>
                <w:szCs w:val="22"/>
              </w:rPr>
            </w:pPr>
            <w:r w:rsidRPr="00DA257A">
              <w:rPr>
                <w:noProof/>
                <w:sz w:val="22"/>
              </w:rPr>
              <w:t xml:space="preserve">Przygotowanie procesu wdrażania zmienionego wizowego systemu informacyjnego </w:t>
            </w:r>
          </w:p>
          <w:p w14:paraId="47BB4D45" w14:textId="7197A645" w:rsidR="00897098" w:rsidRPr="00DA257A" w:rsidRDefault="00A471E6" w:rsidP="006E7B16">
            <w:pPr>
              <w:pStyle w:val="ListParagraph"/>
              <w:numPr>
                <w:ilvl w:val="0"/>
                <w:numId w:val="8"/>
              </w:numPr>
              <w:spacing w:after="120"/>
              <w:rPr>
                <w:noProof/>
                <w:sz w:val="22"/>
                <w:szCs w:val="22"/>
              </w:rPr>
            </w:pPr>
            <w:r w:rsidRPr="00DA257A">
              <w:rPr>
                <w:noProof/>
                <w:sz w:val="22"/>
              </w:rPr>
              <w:t>Intensyfikacja działań</w:t>
            </w:r>
            <w:r w:rsidR="00DA257A" w:rsidRPr="00DA257A">
              <w:rPr>
                <w:noProof/>
                <w:sz w:val="22"/>
              </w:rPr>
              <w:t xml:space="preserve"> w zak</w:t>
            </w:r>
            <w:r w:rsidRPr="00DA257A">
              <w:rPr>
                <w:noProof/>
                <w:sz w:val="22"/>
              </w:rPr>
              <w:t xml:space="preserve">resie monitorowania państw trzecich, których obywatelom przyznano prawo bezwizowego wjazdu na terytorium UE </w:t>
            </w:r>
          </w:p>
          <w:p w14:paraId="7790245C" w14:textId="42C5E2D2" w:rsidR="007B5875" w:rsidRPr="00DA257A" w:rsidRDefault="007B5875" w:rsidP="006E7B16">
            <w:pPr>
              <w:pStyle w:val="ListParagraph"/>
              <w:numPr>
                <w:ilvl w:val="0"/>
                <w:numId w:val="8"/>
              </w:numPr>
              <w:spacing w:after="120"/>
              <w:rPr>
                <w:noProof/>
                <w:sz w:val="22"/>
                <w:szCs w:val="22"/>
              </w:rPr>
            </w:pPr>
            <w:r w:rsidRPr="00DA257A">
              <w:rPr>
                <w:noProof/>
                <w:sz w:val="22"/>
              </w:rPr>
              <w:t>Intensyfikacja działań</w:t>
            </w:r>
            <w:r w:rsidR="00DA257A" w:rsidRPr="00DA257A">
              <w:rPr>
                <w:noProof/>
                <w:sz w:val="22"/>
              </w:rPr>
              <w:t xml:space="preserve"> w zak</w:t>
            </w:r>
            <w:r w:rsidRPr="00DA257A">
              <w:rPr>
                <w:noProof/>
                <w:sz w:val="22"/>
              </w:rPr>
              <w:t>resie monitorowania programów obywatelstwa</w:t>
            </w:r>
            <w:r w:rsidR="00DA257A" w:rsidRPr="00DA257A">
              <w:rPr>
                <w:noProof/>
                <w:sz w:val="22"/>
              </w:rPr>
              <w:t xml:space="preserve"> i uła</w:t>
            </w:r>
            <w:r w:rsidRPr="00DA257A">
              <w:rPr>
                <w:noProof/>
                <w:sz w:val="22"/>
              </w:rPr>
              <w:t>twień pobytowych dla inwestorów prowadzonych przez państwa trzecie zgodnie</w:t>
            </w:r>
            <w:r w:rsidR="00DA257A" w:rsidRPr="00DA257A">
              <w:rPr>
                <w:noProof/>
                <w:sz w:val="22"/>
              </w:rPr>
              <w:t xml:space="preserve"> z zal</w:t>
            </w:r>
            <w:r w:rsidRPr="00DA257A">
              <w:rPr>
                <w:noProof/>
                <w:sz w:val="22"/>
              </w:rPr>
              <w:t>eceniem C(2022) 2028</w:t>
            </w:r>
            <w:r w:rsidR="00A62065" w:rsidRPr="00DA257A">
              <w:rPr>
                <w:rStyle w:val="FootnoteReference"/>
                <w:noProof/>
                <w:sz w:val="22"/>
                <w:szCs w:val="22"/>
              </w:rPr>
              <w:footnoteReference w:id="50"/>
            </w:r>
          </w:p>
          <w:p w14:paraId="6FCFC485" w14:textId="27A0E8A1" w:rsidR="001F45C0" w:rsidRPr="00DA257A" w:rsidRDefault="6E958833">
            <w:pPr>
              <w:pStyle w:val="ListParagraph"/>
              <w:numPr>
                <w:ilvl w:val="0"/>
                <w:numId w:val="8"/>
              </w:numPr>
              <w:spacing w:after="120"/>
              <w:rPr>
                <w:noProof/>
                <w:sz w:val="22"/>
                <w:szCs w:val="22"/>
              </w:rPr>
            </w:pPr>
            <w:r w:rsidRPr="00DA257A">
              <w:rPr>
                <w:noProof/>
                <w:sz w:val="22"/>
              </w:rPr>
              <w:t>Wznowienie ocen Schengen od czerwca 2022</w:t>
            </w:r>
            <w:r w:rsidR="007C7210" w:rsidRPr="00DA257A">
              <w:rPr>
                <w:noProof/>
                <w:sz w:val="22"/>
              </w:rPr>
              <w:t> </w:t>
            </w:r>
            <w:r w:rsidRPr="00DA257A">
              <w:rPr>
                <w:noProof/>
                <w:sz w:val="22"/>
              </w:rPr>
              <w:t>r.</w:t>
            </w:r>
          </w:p>
        </w:tc>
      </w:tr>
    </w:tbl>
    <w:p w14:paraId="42E41E34" w14:textId="77777777" w:rsidR="00C36793" w:rsidRPr="00DA257A" w:rsidRDefault="009B7F6D" w:rsidP="006E7B16">
      <w:pPr>
        <w:spacing w:before="240" w:after="120"/>
        <w:rPr>
          <w:b/>
          <w:bCs/>
          <w:noProof/>
        </w:rPr>
      </w:pPr>
      <w:r w:rsidRPr="00DA257A">
        <w:rPr>
          <w:b/>
          <w:noProof/>
        </w:rPr>
        <w:t xml:space="preserve">4.3. Powroty osób nieposiadających prawa do pozostania </w:t>
      </w:r>
    </w:p>
    <w:p w14:paraId="44677BAB" w14:textId="65A5682D" w:rsidR="002602AE" w:rsidRPr="00DA257A" w:rsidRDefault="00AA4C84" w:rsidP="002602AE">
      <w:pPr>
        <w:rPr>
          <w:noProof/>
          <w:sz w:val="22"/>
        </w:rPr>
      </w:pPr>
      <w:r w:rsidRPr="00DA257A">
        <w:rPr>
          <w:noProof/>
        </w:rPr>
        <w:t>Zwiększanie starań na rzecz ograniczenia skali zjawiska migracji nieuregulowanej do UE</w:t>
      </w:r>
      <w:r w:rsidR="00DA257A" w:rsidRPr="00DA257A">
        <w:rPr>
          <w:noProof/>
        </w:rPr>
        <w:t xml:space="preserve"> i pop</w:t>
      </w:r>
      <w:r w:rsidRPr="00DA257A">
        <w:rPr>
          <w:noProof/>
        </w:rPr>
        <w:t>rawy ochrony granic zewnętrznych powinno iść</w:t>
      </w:r>
      <w:r w:rsidR="00DA257A" w:rsidRPr="00DA257A">
        <w:rPr>
          <w:noProof/>
        </w:rPr>
        <w:t xml:space="preserve"> w par</w:t>
      </w:r>
      <w:r w:rsidRPr="00DA257A">
        <w:rPr>
          <w:noProof/>
        </w:rPr>
        <w:t>ze</w:t>
      </w:r>
      <w:r w:rsidR="00DA257A" w:rsidRPr="00DA257A">
        <w:rPr>
          <w:noProof/>
        </w:rPr>
        <w:t xml:space="preserve"> z pod</w:t>
      </w:r>
      <w:r w:rsidRPr="00DA257A">
        <w:rPr>
          <w:noProof/>
        </w:rPr>
        <w:t xml:space="preserve">ejmowaniem działań służących zapewnieniu faktycznego </w:t>
      </w:r>
      <w:r w:rsidRPr="00DA257A">
        <w:rPr>
          <w:b/>
          <w:noProof/>
        </w:rPr>
        <w:t>powrotu</w:t>
      </w:r>
      <w:r w:rsidRPr="00DA257A">
        <w:rPr>
          <w:noProof/>
        </w:rPr>
        <w:t xml:space="preserve"> obywateli państw trzecich przebywających na terytorium państw członkowskich nielegalnie do ich państw pochodzenia. Każdego roku około 400 000 obywateli państw trzecich nakazuje się opuszczenie terytorium UE, ale zaledwie 140 000</w:t>
      </w:r>
      <w:r w:rsidR="00DA257A" w:rsidRPr="00DA257A">
        <w:rPr>
          <w:noProof/>
        </w:rPr>
        <w:t xml:space="preserve"> z nic</w:t>
      </w:r>
      <w:r w:rsidRPr="00DA257A">
        <w:rPr>
          <w:noProof/>
        </w:rPr>
        <w:t>h (w 2020</w:t>
      </w:r>
      <w:r w:rsidR="007C7210" w:rsidRPr="00DA257A">
        <w:rPr>
          <w:noProof/>
        </w:rPr>
        <w:t> </w:t>
      </w:r>
      <w:r w:rsidRPr="00DA257A">
        <w:rPr>
          <w:noProof/>
        </w:rPr>
        <w:t>r. liczba ta była niższa</w:t>
      </w:r>
      <w:r w:rsidR="00DA257A" w:rsidRPr="00DA257A">
        <w:rPr>
          <w:noProof/>
        </w:rPr>
        <w:t xml:space="preserve"> z uwa</w:t>
      </w:r>
      <w:r w:rsidRPr="00DA257A">
        <w:rPr>
          <w:noProof/>
        </w:rPr>
        <w:t>gi na wprowadzenie środków ograniczających mających na celu zapobieżenie szerzeniu się pandemii) faktycznie wróciło do swojego państwa pochodzenia, przy czym dobrowolne powroty stanowiły około 45</w:t>
      </w:r>
      <w:r w:rsidR="007C7210" w:rsidRPr="00DA257A">
        <w:rPr>
          <w:noProof/>
        </w:rPr>
        <w:t> </w:t>
      </w:r>
      <w:r w:rsidRPr="00DA257A">
        <w:rPr>
          <w:noProof/>
        </w:rPr>
        <w:t>% łącznej liczby powrotów. Poprawa skuteczności systemów powrotów państw członkowskich stanowi również istotny aspekt działań na rzecz ustanowienia wspólnego unijnego systemu powrotów zgodnie</w:t>
      </w:r>
      <w:r w:rsidR="00DA257A" w:rsidRPr="00DA257A">
        <w:rPr>
          <w:noProof/>
        </w:rPr>
        <w:t xml:space="preserve"> z pak</w:t>
      </w:r>
      <w:r w:rsidRPr="00DA257A">
        <w:rPr>
          <w:noProof/>
        </w:rPr>
        <w:t>tem</w:t>
      </w:r>
      <w:r w:rsidR="00DA257A" w:rsidRPr="00DA257A">
        <w:rPr>
          <w:noProof/>
        </w:rPr>
        <w:t xml:space="preserve"> o mig</w:t>
      </w:r>
      <w:r w:rsidRPr="00DA257A">
        <w:rPr>
          <w:noProof/>
        </w:rPr>
        <w:t>racji</w:t>
      </w:r>
      <w:r w:rsidR="00DA257A" w:rsidRPr="00DA257A">
        <w:rPr>
          <w:noProof/>
        </w:rPr>
        <w:t xml:space="preserve"> i azy</w:t>
      </w:r>
      <w:r w:rsidRPr="00DA257A">
        <w:rPr>
          <w:noProof/>
        </w:rPr>
        <w:t>lu łączącego silniejsze struktury wewnątrz UE,</w:t>
      </w:r>
      <w:r w:rsidR="00DA257A" w:rsidRPr="00DA257A">
        <w:rPr>
          <w:noProof/>
        </w:rPr>
        <w:t xml:space="preserve"> w szc</w:t>
      </w:r>
      <w:r w:rsidRPr="00DA257A">
        <w:rPr>
          <w:noProof/>
        </w:rPr>
        <w:t>zególności wzmocnienie ram prawnych dzięki przyjęciu wersji przekształconej dyrektywy powrotowej</w:t>
      </w:r>
      <w:r w:rsidR="00DA257A" w:rsidRPr="00DA257A">
        <w:rPr>
          <w:noProof/>
        </w:rPr>
        <w:t xml:space="preserve"> i zap</w:t>
      </w:r>
      <w:r w:rsidRPr="00DA257A">
        <w:rPr>
          <w:noProof/>
        </w:rPr>
        <w:t>ewnienie wydajniejszej współpracy</w:t>
      </w:r>
      <w:r w:rsidR="00DA257A" w:rsidRPr="00DA257A">
        <w:rPr>
          <w:noProof/>
        </w:rPr>
        <w:t xml:space="preserve"> z pań</w:t>
      </w:r>
      <w:r w:rsidRPr="00DA257A">
        <w:rPr>
          <w:noProof/>
        </w:rPr>
        <w:t>stwami trzecimi. Ponadto zgodnie ze strategią UE na rzecz dobrowolnych powrotów</w:t>
      </w:r>
      <w:r w:rsidR="00DA257A" w:rsidRPr="00DA257A">
        <w:rPr>
          <w:noProof/>
        </w:rPr>
        <w:t xml:space="preserve"> i rei</w:t>
      </w:r>
      <w:r w:rsidRPr="00DA257A">
        <w:rPr>
          <w:noProof/>
        </w:rPr>
        <w:t>ntegracji przyjętą</w:t>
      </w:r>
      <w:r w:rsidR="00DA257A" w:rsidRPr="00DA257A">
        <w:rPr>
          <w:noProof/>
        </w:rPr>
        <w:t xml:space="preserve"> w kwi</w:t>
      </w:r>
      <w:r w:rsidRPr="00DA257A">
        <w:rPr>
          <w:noProof/>
        </w:rPr>
        <w:t>etniu 2021</w:t>
      </w:r>
      <w:r w:rsidR="007C7210" w:rsidRPr="00DA257A">
        <w:rPr>
          <w:noProof/>
        </w:rPr>
        <w:t> </w:t>
      </w:r>
      <w:r w:rsidRPr="00DA257A">
        <w:rPr>
          <w:noProof/>
        </w:rPr>
        <w:t>r. trwają prace nad przygotowaniem bardziej jednolitego</w:t>
      </w:r>
      <w:r w:rsidR="00DA257A" w:rsidRPr="00DA257A">
        <w:rPr>
          <w:noProof/>
        </w:rPr>
        <w:t xml:space="preserve"> i sko</w:t>
      </w:r>
      <w:r w:rsidRPr="00DA257A">
        <w:rPr>
          <w:noProof/>
        </w:rPr>
        <w:t>ordynowanego podejścia państw członkowskich pozwalającego odblokować pełny potencjał dobrowolnych powrotów</w:t>
      </w:r>
      <w:r w:rsidR="00DA257A" w:rsidRPr="00DA257A">
        <w:rPr>
          <w:noProof/>
        </w:rPr>
        <w:t xml:space="preserve"> i rei</w:t>
      </w:r>
      <w:r w:rsidRPr="00DA257A">
        <w:rPr>
          <w:noProof/>
        </w:rPr>
        <w:t>ntegracji, aby zwiększyć skuteczność</w:t>
      </w:r>
      <w:r w:rsidR="00DA257A" w:rsidRPr="00DA257A">
        <w:rPr>
          <w:noProof/>
        </w:rPr>
        <w:t xml:space="preserve"> i zró</w:t>
      </w:r>
      <w:r w:rsidRPr="00DA257A">
        <w:rPr>
          <w:noProof/>
        </w:rPr>
        <w:t>wnoważony charakter wspólnego unijnego systemu powrotów</w:t>
      </w:r>
      <w:r w:rsidR="00DA257A" w:rsidRPr="00DA257A">
        <w:rPr>
          <w:noProof/>
        </w:rPr>
        <w:t xml:space="preserve"> z kor</w:t>
      </w:r>
      <w:r w:rsidRPr="00DA257A">
        <w:rPr>
          <w:noProof/>
        </w:rPr>
        <w:t>zyścią zarówno dla osób powracających, jak</w:t>
      </w:r>
      <w:r w:rsidR="00DA257A" w:rsidRPr="00DA257A">
        <w:rPr>
          <w:noProof/>
        </w:rPr>
        <w:t xml:space="preserve"> i dla</w:t>
      </w:r>
      <w:r w:rsidRPr="00DA257A">
        <w:rPr>
          <w:noProof/>
        </w:rPr>
        <w:t xml:space="preserve"> UE</w:t>
      </w:r>
      <w:r w:rsidR="00DA257A" w:rsidRPr="00DA257A">
        <w:rPr>
          <w:noProof/>
        </w:rPr>
        <w:t xml:space="preserve"> i pań</w:t>
      </w:r>
      <w:r w:rsidRPr="00DA257A">
        <w:rPr>
          <w:noProof/>
        </w:rPr>
        <w:t>stw trzecich.</w:t>
      </w:r>
    </w:p>
    <w:p w14:paraId="51003399" w14:textId="1A063635" w:rsidR="00913A69" w:rsidRPr="00DA257A" w:rsidRDefault="00913A69" w:rsidP="006E7B16">
      <w:pPr>
        <w:spacing w:after="120"/>
        <w:rPr>
          <w:noProof/>
        </w:rPr>
      </w:pPr>
      <w:r w:rsidRPr="00DA257A">
        <w:rPr>
          <w:noProof/>
        </w:rPr>
        <w:t>W trakcie ocen Schengen odnotowano poprawę sytuacji</w:t>
      </w:r>
      <w:r w:rsidR="00DA257A" w:rsidRPr="00DA257A">
        <w:rPr>
          <w:noProof/>
        </w:rPr>
        <w:t xml:space="preserve"> w tym</w:t>
      </w:r>
      <w:r w:rsidRPr="00DA257A">
        <w:rPr>
          <w:noProof/>
        </w:rPr>
        <w:t xml:space="preserve"> obszarze,</w:t>
      </w:r>
      <w:r w:rsidR="00DA257A" w:rsidRPr="00DA257A">
        <w:rPr>
          <w:noProof/>
        </w:rPr>
        <w:t xml:space="preserve"> a ust</w:t>
      </w:r>
      <w:r w:rsidRPr="00DA257A">
        <w:rPr>
          <w:noProof/>
        </w:rPr>
        <w:t>awodawstwo krajowe państw członkowskich</w:t>
      </w:r>
      <w:r w:rsidR="00DA257A" w:rsidRPr="00DA257A">
        <w:rPr>
          <w:noProof/>
        </w:rPr>
        <w:t xml:space="preserve"> i pra</w:t>
      </w:r>
      <w:r w:rsidRPr="00DA257A">
        <w:rPr>
          <w:noProof/>
        </w:rPr>
        <w:t>ktyki stosowane</w:t>
      </w:r>
      <w:r w:rsidR="00DA257A" w:rsidRPr="00DA257A">
        <w:rPr>
          <w:noProof/>
        </w:rPr>
        <w:t xml:space="preserve"> w pań</w:t>
      </w:r>
      <w:r w:rsidRPr="00DA257A">
        <w:rPr>
          <w:noProof/>
        </w:rPr>
        <w:t>stwach członkowskich są obecnie lepiej dostosowane do wymogów ustanowionych</w:t>
      </w:r>
      <w:r w:rsidR="00DA257A" w:rsidRPr="00DA257A">
        <w:rPr>
          <w:noProof/>
        </w:rPr>
        <w:t xml:space="preserve"> w dyr</w:t>
      </w:r>
      <w:r w:rsidRPr="00DA257A">
        <w:rPr>
          <w:noProof/>
        </w:rPr>
        <w:t>ektywie powrotowej. Zapewnienie pełnego poszanowania praw podstawowych wciąż wiąże się jednak</w:t>
      </w:r>
      <w:r w:rsidR="00DA257A" w:rsidRPr="00DA257A">
        <w:rPr>
          <w:noProof/>
        </w:rPr>
        <w:t xml:space="preserve"> z kon</w:t>
      </w:r>
      <w:r w:rsidRPr="00DA257A">
        <w:rPr>
          <w:noProof/>
        </w:rPr>
        <w:t>iecznością wprowadzenia dodatkowych usprawnień</w:t>
      </w:r>
      <w:r w:rsidR="00DA257A" w:rsidRPr="00DA257A">
        <w:rPr>
          <w:noProof/>
        </w:rPr>
        <w:t>. W jed</w:t>
      </w:r>
      <w:r w:rsidRPr="00DA257A">
        <w:rPr>
          <w:noProof/>
        </w:rPr>
        <w:t>nym państwie członkowskim wykryto poważne niedociągnięcia związane</w:t>
      </w:r>
      <w:r w:rsidR="00DA257A" w:rsidRPr="00DA257A">
        <w:rPr>
          <w:noProof/>
        </w:rPr>
        <w:t xml:space="preserve"> z nie</w:t>
      </w:r>
      <w:r w:rsidRPr="00DA257A">
        <w:rPr>
          <w:noProof/>
        </w:rPr>
        <w:t>odpowiednimi warunkami pobytu</w:t>
      </w:r>
      <w:r w:rsidR="00DA257A" w:rsidRPr="00DA257A">
        <w:rPr>
          <w:noProof/>
        </w:rPr>
        <w:t xml:space="preserve"> w ośr</w:t>
      </w:r>
      <w:r w:rsidRPr="00DA257A">
        <w:rPr>
          <w:noProof/>
        </w:rPr>
        <w:t>odku detencyjnym</w:t>
      </w:r>
      <w:r w:rsidR="00DA257A" w:rsidRPr="00DA257A">
        <w:rPr>
          <w:noProof/>
        </w:rPr>
        <w:t xml:space="preserve"> i nie</w:t>
      </w:r>
      <w:r w:rsidRPr="00DA257A">
        <w:rPr>
          <w:noProof/>
        </w:rPr>
        <w:t xml:space="preserve">wystarczającymi gwarancjami proceduralnymi. </w:t>
      </w:r>
    </w:p>
    <w:p w14:paraId="0FC864AE" w14:textId="1C62D96B" w:rsidR="00C95319" w:rsidRPr="00DA257A" w:rsidRDefault="00C95319" w:rsidP="006E7B16">
      <w:pPr>
        <w:spacing w:after="120"/>
        <w:rPr>
          <w:noProof/>
        </w:rPr>
      </w:pPr>
      <w:r w:rsidRPr="00DA257A">
        <w:rPr>
          <w:noProof/>
        </w:rPr>
        <w:t>Ponadto, jeżeli chodzi</w:t>
      </w:r>
      <w:r w:rsidR="00DA257A" w:rsidRPr="00DA257A">
        <w:rPr>
          <w:noProof/>
        </w:rPr>
        <w:t xml:space="preserve"> o sku</w:t>
      </w:r>
      <w:r w:rsidRPr="00DA257A">
        <w:rPr>
          <w:noProof/>
        </w:rPr>
        <w:t>teczność systemów powrotów, nie wszystkie państwa członkowskie systematycznie wydają decyzje nakazujące powrót względem obywateli państw trzecich, którym nie przysługuje prawo do pozostania. Stwierdzono stosowanie rozbieżnych praktyk</w:t>
      </w:r>
      <w:r w:rsidR="00DA257A" w:rsidRPr="00DA257A">
        <w:rPr>
          <w:noProof/>
        </w:rPr>
        <w:t xml:space="preserve"> w kwe</w:t>
      </w:r>
      <w:r w:rsidRPr="00DA257A">
        <w:rPr>
          <w:noProof/>
        </w:rPr>
        <w:t>stii zakazów wjazdu, które nie są systematycznie wydawane</w:t>
      </w:r>
      <w:r w:rsidR="00DA257A" w:rsidRPr="00DA257A">
        <w:rPr>
          <w:noProof/>
        </w:rPr>
        <w:t xml:space="preserve"> w syt</w:t>
      </w:r>
      <w:r w:rsidRPr="00DA257A">
        <w:rPr>
          <w:noProof/>
        </w:rPr>
        <w:t>uacji, gdy obywatele państw trzecich nie wywiążą się</w:t>
      </w:r>
      <w:r w:rsidR="00DA257A" w:rsidRPr="00DA257A">
        <w:rPr>
          <w:noProof/>
        </w:rPr>
        <w:t xml:space="preserve"> z obo</w:t>
      </w:r>
      <w:r w:rsidRPr="00DA257A">
        <w:rPr>
          <w:noProof/>
        </w:rPr>
        <w:t xml:space="preserve">wiązku powrotu do swojego państwa pochodzenia, co osłabia odstraszający wpływ tego rodzaju zakazów. </w:t>
      </w:r>
    </w:p>
    <w:p w14:paraId="15CB1080" w14:textId="60B81C2E" w:rsidR="00780848" w:rsidRPr="00DA257A" w:rsidRDefault="00AA4C84" w:rsidP="006E7B16">
      <w:pPr>
        <w:spacing w:after="120"/>
        <w:rPr>
          <w:noProof/>
        </w:rPr>
      </w:pPr>
      <w:r w:rsidRPr="00DA257A">
        <w:rPr>
          <w:b/>
          <w:noProof/>
        </w:rPr>
        <w:t>Skuteczne egzekwowanie decyzji nakazujących powrót pozostaje wyzwaniem</w:t>
      </w:r>
      <w:r w:rsidRPr="00DA257A">
        <w:rPr>
          <w:noProof/>
        </w:rPr>
        <w:t>, m.in.</w:t>
      </w:r>
      <w:r w:rsidR="00DA257A" w:rsidRPr="00DA257A">
        <w:rPr>
          <w:noProof/>
        </w:rPr>
        <w:t xml:space="preserve"> z uwa</w:t>
      </w:r>
      <w:r w:rsidRPr="00DA257A">
        <w:rPr>
          <w:noProof/>
        </w:rPr>
        <w:t>gi na ograniczony zakres współpracy państw trzecich</w:t>
      </w:r>
      <w:r w:rsidR="00DA257A" w:rsidRPr="00DA257A">
        <w:rPr>
          <w:noProof/>
        </w:rPr>
        <w:t xml:space="preserve"> w obs</w:t>
      </w:r>
      <w:r w:rsidRPr="00DA257A">
        <w:rPr>
          <w:noProof/>
        </w:rPr>
        <w:t>zarze readmisji. Niezależnie od tych wyzwań</w:t>
      </w:r>
      <w:r w:rsidR="00DA257A" w:rsidRPr="00DA257A">
        <w:rPr>
          <w:noProof/>
        </w:rPr>
        <w:t xml:space="preserve"> o cha</w:t>
      </w:r>
      <w:r w:rsidRPr="00DA257A">
        <w:rPr>
          <w:noProof/>
        </w:rPr>
        <w:t>rakterze zewnętrznym,</w:t>
      </w:r>
      <w:r w:rsidR="00DA257A" w:rsidRPr="00DA257A">
        <w:rPr>
          <w:noProof/>
        </w:rPr>
        <w:t xml:space="preserve"> w tok</w:t>
      </w:r>
      <w:r w:rsidRPr="00DA257A">
        <w:rPr>
          <w:noProof/>
        </w:rPr>
        <w:t>u ocen Schengen wykryto również przeszkody</w:t>
      </w:r>
      <w:r w:rsidR="00DA257A" w:rsidRPr="00DA257A">
        <w:rPr>
          <w:noProof/>
        </w:rPr>
        <w:t xml:space="preserve"> w sys</w:t>
      </w:r>
      <w:r w:rsidRPr="00DA257A">
        <w:rPr>
          <w:noProof/>
        </w:rPr>
        <w:t>temach krajowych, które ograniczają skuteczność systemów powrotów państw członkowskich. Należy ponadto usprawnić proces gromadzenia danych</w:t>
      </w:r>
      <w:r w:rsidR="00DA257A" w:rsidRPr="00DA257A">
        <w:rPr>
          <w:noProof/>
        </w:rPr>
        <w:t xml:space="preserve"> w dzi</w:t>
      </w:r>
      <w:r w:rsidRPr="00DA257A">
        <w:rPr>
          <w:noProof/>
        </w:rPr>
        <w:t>edzinie powrotów, aby zapewnić możliwość lepszego kształtowania polityki,</w:t>
      </w:r>
      <w:r w:rsidR="00DA257A" w:rsidRPr="00DA257A">
        <w:rPr>
          <w:noProof/>
        </w:rPr>
        <w:t xml:space="preserve"> a tak</w:t>
      </w:r>
      <w:r w:rsidRPr="00DA257A">
        <w:rPr>
          <w:noProof/>
        </w:rPr>
        <w:t>że jej wdrażania</w:t>
      </w:r>
      <w:r w:rsidR="00DA257A" w:rsidRPr="00DA257A">
        <w:rPr>
          <w:noProof/>
        </w:rPr>
        <w:t xml:space="preserve"> i oce</w:t>
      </w:r>
      <w:r w:rsidRPr="00DA257A">
        <w:rPr>
          <w:noProof/>
        </w:rPr>
        <w:t>niania. Najważniejsze problemy zidentyfikowane</w:t>
      </w:r>
      <w:r w:rsidR="00DA257A" w:rsidRPr="00DA257A">
        <w:rPr>
          <w:noProof/>
        </w:rPr>
        <w:t xml:space="preserve"> w sze</w:t>
      </w:r>
      <w:r w:rsidRPr="00DA257A">
        <w:rPr>
          <w:noProof/>
        </w:rPr>
        <w:t>regu państw członkowskich dotyczą:</w:t>
      </w:r>
    </w:p>
    <w:p w14:paraId="2A44B533" w14:textId="31C91792" w:rsidR="00AA4C84" w:rsidRPr="00DA257A" w:rsidRDefault="00AA4C84" w:rsidP="006E7B16">
      <w:pPr>
        <w:pStyle w:val="ListParagraph"/>
        <w:numPr>
          <w:ilvl w:val="0"/>
          <w:numId w:val="6"/>
        </w:numPr>
        <w:spacing w:after="120"/>
        <w:rPr>
          <w:noProof/>
        </w:rPr>
      </w:pPr>
      <w:r w:rsidRPr="00DA257A">
        <w:rPr>
          <w:noProof/>
        </w:rPr>
        <w:t>ograniczonej/niewystarczającej ilości zasobów przeznaczanych na działania</w:t>
      </w:r>
      <w:r w:rsidR="00DA257A" w:rsidRPr="00DA257A">
        <w:rPr>
          <w:noProof/>
        </w:rPr>
        <w:t xml:space="preserve"> w zak</w:t>
      </w:r>
      <w:r w:rsidRPr="00DA257A">
        <w:rPr>
          <w:noProof/>
        </w:rPr>
        <w:t>resie powrotów</w:t>
      </w:r>
      <w:r w:rsidR="00DA257A" w:rsidRPr="00DA257A">
        <w:rPr>
          <w:noProof/>
        </w:rPr>
        <w:t xml:space="preserve"> w uję</w:t>
      </w:r>
      <w:r w:rsidRPr="00DA257A">
        <w:rPr>
          <w:noProof/>
        </w:rPr>
        <w:t>ciu kadrowym</w:t>
      </w:r>
      <w:r w:rsidR="00DA257A" w:rsidRPr="00DA257A">
        <w:rPr>
          <w:noProof/>
        </w:rPr>
        <w:t xml:space="preserve"> i inf</w:t>
      </w:r>
      <w:r w:rsidRPr="00DA257A">
        <w:rPr>
          <w:noProof/>
        </w:rPr>
        <w:t>rastrukturalnym;</w:t>
      </w:r>
    </w:p>
    <w:p w14:paraId="28E82FEF" w14:textId="70D038AF" w:rsidR="00AA4C84" w:rsidRPr="00DA257A" w:rsidRDefault="00AA4C84" w:rsidP="006E7B16">
      <w:pPr>
        <w:pStyle w:val="ListParagraph"/>
        <w:numPr>
          <w:ilvl w:val="0"/>
          <w:numId w:val="6"/>
        </w:numPr>
        <w:spacing w:after="120"/>
        <w:rPr>
          <w:noProof/>
        </w:rPr>
      </w:pPr>
      <w:r w:rsidRPr="00DA257A">
        <w:rPr>
          <w:noProof/>
        </w:rPr>
        <w:t>braku mechanizmu monitorowania wdrażania decyzji nakazujących powrót lub nieskuteczności takiego mechanizmu, uwzględniając informatyczne systemy zarządzania sprawami dotyczącymi powrotów;</w:t>
      </w:r>
    </w:p>
    <w:p w14:paraId="6E83A575" w14:textId="6FAEFE63" w:rsidR="00AA4C84" w:rsidRPr="00DA257A" w:rsidRDefault="00AA4C84" w:rsidP="006E7B16">
      <w:pPr>
        <w:pStyle w:val="ListParagraph"/>
        <w:numPr>
          <w:ilvl w:val="0"/>
          <w:numId w:val="6"/>
        </w:numPr>
        <w:spacing w:after="120"/>
        <w:rPr>
          <w:noProof/>
        </w:rPr>
      </w:pPr>
      <w:r w:rsidRPr="00DA257A">
        <w:rPr>
          <w:noProof/>
        </w:rPr>
        <w:t>ograniczonej dostępności</w:t>
      </w:r>
      <w:r w:rsidR="00DA257A" w:rsidRPr="00DA257A">
        <w:rPr>
          <w:noProof/>
        </w:rPr>
        <w:t xml:space="preserve"> i ogr</w:t>
      </w:r>
      <w:r w:rsidRPr="00DA257A">
        <w:rPr>
          <w:noProof/>
        </w:rPr>
        <w:t>aniczonego korzystania</w:t>
      </w:r>
      <w:r w:rsidR="00DA257A" w:rsidRPr="00DA257A">
        <w:rPr>
          <w:noProof/>
        </w:rPr>
        <w:t xml:space="preserve"> z pro</w:t>
      </w:r>
      <w:r w:rsidRPr="00DA257A">
        <w:rPr>
          <w:noProof/>
        </w:rPr>
        <w:t>gramów dobrowolnego powrotu</w:t>
      </w:r>
      <w:r w:rsidR="00DA257A" w:rsidRPr="00DA257A">
        <w:rPr>
          <w:noProof/>
        </w:rPr>
        <w:t xml:space="preserve"> i rei</w:t>
      </w:r>
      <w:r w:rsidRPr="00DA257A">
        <w:rPr>
          <w:noProof/>
        </w:rPr>
        <w:t>ntegracji (w tym również</w:t>
      </w:r>
      <w:r w:rsidR="00DA257A" w:rsidRPr="00DA257A">
        <w:rPr>
          <w:noProof/>
        </w:rPr>
        <w:t xml:space="preserve"> w kon</w:t>
      </w:r>
      <w:r w:rsidRPr="00DA257A">
        <w:rPr>
          <w:noProof/>
        </w:rPr>
        <w:t>tekście doradztwa</w:t>
      </w:r>
      <w:r w:rsidR="00DA257A" w:rsidRPr="00DA257A">
        <w:rPr>
          <w:noProof/>
        </w:rPr>
        <w:t xml:space="preserve"> w zak</w:t>
      </w:r>
      <w:r w:rsidRPr="00DA257A">
        <w:rPr>
          <w:noProof/>
        </w:rPr>
        <w:t>resie powrotów);</w:t>
      </w:r>
    </w:p>
    <w:p w14:paraId="4B6F7E34" w14:textId="460A6A11" w:rsidR="009453BB" w:rsidRPr="00DA257A" w:rsidRDefault="00AA4C84">
      <w:pPr>
        <w:pStyle w:val="ListParagraph"/>
        <w:numPr>
          <w:ilvl w:val="0"/>
          <w:numId w:val="6"/>
        </w:numPr>
        <w:spacing w:after="120"/>
        <w:rPr>
          <w:noProof/>
        </w:rPr>
      </w:pPr>
      <w:r w:rsidRPr="00DA257A">
        <w:rPr>
          <w:noProof/>
        </w:rPr>
        <w:t>ograniczonego korzystania</w:t>
      </w:r>
      <w:r w:rsidR="00DA257A" w:rsidRPr="00DA257A">
        <w:rPr>
          <w:noProof/>
        </w:rPr>
        <w:t xml:space="preserve"> z roz</w:t>
      </w:r>
      <w:r w:rsidRPr="00DA257A">
        <w:rPr>
          <w:noProof/>
        </w:rPr>
        <w:t>wiązań alternatywnych wobec umieszczenia</w:t>
      </w:r>
      <w:r w:rsidR="00DA257A" w:rsidRPr="00DA257A">
        <w:rPr>
          <w:noProof/>
        </w:rPr>
        <w:t xml:space="preserve"> w ośr</w:t>
      </w:r>
      <w:r w:rsidRPr="00DA257A">
        <w:rPr>
          <w:noProof/>
        </w:rPr>
        <w:t>odku detencyjnym</w:t>
      </w:r>
      <w:r w:rsidR="00DA257A" w:rsidRPr="00DA257A">
        <w:rPr>
          <w:noProof/>
        </w:rPr>
        <w:t xml:space="preserve"> w cel</w:t>
      </w:r>
      <w:r w:rsidRPr="00DA257A">
        <w:rPr>
          <w:noProof/>
        </w:rPr>
        <w:t>u zapobiegania ucieczkom</w:t>
      </w:r>
      <w:r w:rsidR="00DA257A" w:rsidRPr="00DA257A">
        <w:rPr>
          <w:noProof/>
        </w:rPr>
        <w:t xml:space="preserve"> i roz</w:t>
      </w:r>
      <w:r w:rsidRPr="00DA257A">
        <w:rPr>
          <w:noProof/>
        </w:rPr>
        <w:t>wiązania problemu niedostatecznej liczby miejsc</w:t>
      </w:r>
      <w:r w:rsidR="00DA257A" w:rsidRPr="00DA257A">
        <w:rPr>
          <w:noProof/>
        </w:rPr>
        <w:t xml:space="preserve"> w spe</w:t>
      </w:r>
      <w:r w:rsidRPr="00DA257A">
        <w:rPr>
          <w:noProof/>
        </w:rPr>
        <w:t xml:space="preserve">cjalistycznych ośrodkach detencyjnych. </w:t>
      </w:r>
    </w:p>
    <w:p w14:paraId="0F495EBF" w14:textId="691908BC" w:rsidR="00CB1B37" w:rsidRPr="00DA257A" w:rsidRDefault="00CB1B37">
      <w:pPr>
        <w:autoSpaceDE w:val="0"/>
        <w:autoSpaceDN w:val="0"/>
        <w:spacing w:after="0"/>
        <w:rPr>
          <w:noProof/>
          <w:sz w:val="22"/>
        </w:rPr>
      </w:pPr>
      <w:r w:rsidRPr="00DA257A">
        <w:rPr>
          <w:noProof/>
        </w:rPr>
        <w:t>Komisja prowadzi ścisłą współpracę</w:t>
      </w:r>
      <w:r w:rsidR="00DA257A" w:rsidRPr="00DA257A">
        <w:rPr>
          <w:noProof/>
        </w:rPr>
        <w:t xml:space="preserve"> z pań</w:t>
      </w:r>
      <w:r w:rsidRPr="00DA257A">
        <w:rPr>
          <w:noProof/>
        </w:rPr>
        <w:t>stwami członkowskimi na rzecz zapewnienia pełnego wdrożenia przepisów dotyczących powrotów oraz,</w:t>
      </w:r>
      <w:r w:rsidR="00DA257A" w:rsidRPr="00DA257A">
        <w:rPr>
          <w:noProof/>
        </w:rPr>
        <w:t xml:space="preserve"> w sto</w:t>
      </w:r>
      <w:r w:rsidRPr="00DA257A">
        <w:rPr>
          <w:noProof/>
        </w:rPr>
        <w:t>sownych przypadkach, podejmowania działań następczych</w:t>
      </w:r>
      <w:r w:rsidR="00DA257A" w:rsidRPr="00DA257A">
        <w:rPr>
          <w:noProof/>
        </w:rPr>
        <w:t xml:space="preserve"> w tym</w:t>
      </w:r>
      <w:r w:rsidRPr="00DA257A">
        <w:rPr>
          <w:noProof/>
        </w:rPr>
        <w:t xml:space="preserve"> zakresie,</w:t>
      </w:r>
      <w:r w:rsidR="00DA257A" w:rsidRPr="00DA257A">
        <w:rPr>
          <w:noProof/>
        </w:rPr>
        <w:t xml:space="preserve"> w tym</w:t>
      </w:r>
      <w:r w:rsidRPr="00DA257A">
        <w:rPr>
          <w:noProof/>
        </w:rPr>
        <w:t xml:space="preserve"> również</w:t>
      </w:r>
      <w:r w:rsidR="00DA257A" w:rsidRPr="00DA257A">
        <w:rPr>
          <w:noProof/>
        </w:rPr>
        <w:t xml:space="preserve"> w ram</w:t>
      </w:r>
      <w:r w:rsidRPr="00DA257A">
        <w:rPr>
          <w:noProof/>
        </w:rPr>
        <w:t>ach postępowań</w:t>
      </w:r>
      <w:r w:rsidR="00DA257A" w:rsidRPr="00DA257A">
        <w:rPr>
          <w:noProof/>
        </w:rPr>
        <w:t xml:space="preserve"> w spr</w:t>
      </w:r>
      <w:r w:rsidRPr="00DA257A">
        <w:rPr>
          <w:noProof/>
        </w:rPr>
        <w:t>awie uchybienia zobowiązaniom państwa członkowskiego. Szczególny nacisk kładzie się na wdrażanie procedur powrotu, takich jak wydawanie decyzji nakazujących powrót</w:t>
      </w:r>
      <w:r w:rsidR="00DA257A" w:rsidRPr="00DA257A">
        <w:rPr>
          <w:noProof/>
        </w:rPr>
        <w:t xml:space="preserve"> i ich</w:t>
      </w:r>
      <w:r w:rsidRPr="00DA257A">
        <w:rPr>
          <w:noProof/>
        </w:rPr>
        <w:t xml:space="preserve"> skuteczne wykonanie,</w:t>
      </w:r>
      <w:r w:rsidR="00DA257A" w:rsidRPr="00DA257A">
        <w:rPr>
          <w:noProof/>
        </w:rPr>
        <w:t xml:space="preserve"> a tak</w:t>
      </w:r>
      <w:r w:rsidRPr="00DA257A">
        <w:rPr>
          <w:noProof/>
        </w:rPr>
        <w:t>że na poszanowanie praw migrantów – zwłaszcza dzieci</w:t>
      </w:r>
      <w:r w:rsidR="00DA257A" w:rsidRPr="00DA257A">
        <w:rPr>
          <w:noProof/>
        </w:rPr>
        <w:t xml:space="preserve"> i osó</w:t>
      </w:r>
      <w:r w:rsidRPr="00DA257A">
        <w:rPr>
          <w:noProof/>
        </w:rPr>
        <w:t xml:space="preserve">b wymagających szczególnego traktowania – na wszystkich etapach procedury powrotu. </w:t>
      </w:r>
    </w:p>
    <w:p w14:paraId="0CC46E4D" w14:textId="77777777" w:rsidR="00CB1B37" w:rsidRPr="00DA257A" w:rsidRDefault="00CB1B37" w:rsidP="00CB1B37">
      <w:pPr>
        <w:autoSpaceDE w:val="0"/>
        <w:autoSpaceDN w:val="0"/>
        <w:spacing w:after="0"/>
        <w:rPr>
          <w:noProof/>
        </w:rPr>
      </w:pPr>
    </w:p>
    <w:p w14:paraId="66C83A31" w14:textId="4EDB8E92" w:rsidR="0090150F" w:rsidRPr="00DA257A" w:rsidRDefault="002602AE" w:rsidP="002602AE">
      <w:pPr>
        <w:rPr>
          <w:noProof/>
          <w:szCs w:val="24"/>
        </w:rPr>
      </w:pPr>
      <w:r w:rsidRPr="00DA257A">
        <w:rPr>
          <w:noProof/>
        </w:rPr>
        <w:t>2 marca 2022</w:t>
      </w:r>
      <w:r w:rsidR="007C7210" w:rsidRPr="00DA257A">
        <w:rPr>
          <w:noProof/>
        </w:rPr>
        <w:t> </w:t>
      </w:r>
      <w:r w:rsidRPr="00DA257A">
        <w:rPr>
          <w:noProof/>
        </w:rPr>
        <w:t>r. Komisja wyznaczyła pierwszego unijnego koordynatora ds. powrotów. Koordynator połączy różne dziedziny unijnej polityki powrotowej, wykorzystując pozytywne doświadczenia państw członkowskich</w:t>
      </w:r>
      <w:r w:rsidR="00DA257A" w:rsidRPr="00DA257A">
        <w:rPr>
          <w:noProof/>
        </w:rPr>
        <w:t xml:space="preserve"> w zar</w:t>
      </w:r>
      <w:r w:rsidRPr="00DA257A">
        <w:rPr>
          <w:noProof/>
        </w:rPr>
        <w:t>ządzaniu powrotami oraz ułatwiając płynną</w:t>
      </w:r>
      <w:r w:rsidR="00DA257A" w:rsidRPr="00DA257A">
        <w:rPr>
          <w:noProof/>
        </w:rPr>
        <w:t xml:space="preserve"> i wza</w:t>
      </w:r>
      <w:r w:rsidRPr="00DA257A">
        <w:rPr>
          <w:noProof/>
        </w:rPr>
        <w:t>jemnie powiązaną realizację procedury powrotu. Komisja pracuje obecnie nad ustanowieniem sieci wysokiego szczebla ds. powrotów, która będzie wspierać koordynatora ds. powrotów</w:t>
      </w:r>
      <w:r w:rsidR="00DA257A" w:rsidRPr="00DA257A">
        <w:rPr>
          <w:noProof/>
        </w:rPr>
        <w:t xml:space="preserve"> w uła</w:t>
      </w:r>
      <w:r w:rsidRPr="00DA257A">
        <w:rPr>
          <w:noProof/>
        </w:rPr>
        <w:t>twianiu praktycznej współpracy między państwami członkowskimi, Komisją</w:t>
      </w:r>
      <w:r w:rsidR="00DA257A" w:rsidRPr="00DA257A">
        <w:rPr>
          <w:noProof/>
        </w:rPr>
        <w:t xml:space="preserve"> i age</w:t>
      </w:r>
      <w:r w:rsidRPr="00DA257A">
        <w:rPr>
          <w:noProof/>
        </w:rPr>
        <w:t>ncją Frontex oraz służyć jako zaufana przestrzeń konstruktywnej wymiany</w:t>
      </w:r>
      <w:r w:rsidR="00DA257A" w:rsidRPr="00DA257A">
        <w:rPr>
          <w:noProof/>
        </w:rPr>
        <w:t xml:space="preserve"> i dia</w:t>
      </w:r>
      <w:r w:rsidRPr="00DA257A">
        <w:rPr>
          <w:noProof/>
        </w:rPr>
        <w:t>logu na wysokim szczeblu na temat kwestii związanych</w:t>
      </w:r>
      <w:r w:rsidR="00DA257A" w:rsidRPr="00DA257A">
        <w:rPr>
          <w:noProof/>
        </w:rPr>
        <w:t xml:space="preserve"> z pow</w:t>
      </w:r>
      <w:r w:rsidRPr="00DA257A">
        <w:rPr>
          <w:noProof/>
        </w:rPr>
        <w:t xml:space="preserve">rotami. </w:t>
      </w:r>
    </w:p>
    <w:tbl>
      <w:tblPr>
        <w:tblStyle w:val="TableGrid"/>
        <w:tblW w:w="0" w:type="auto"/>
        <w:tblLook w:val="04A0" w:firstRow="1" w:lastRow="0" w:firstColumn="1" w:lastColumn="0" w:noHBand="0" w:noVBand="1"/>
      </w:tblPr>
      <w:tblGrid>
        <w:gridCol w:w="9606"/>
      </w:tblGrid>
      <w:tr w:rsidR="001F45C0" w:rsidRPr="00DA257A" w14:paraId="2999900D" w14:textId="77777777" w:rsidTr="0041695E">
        <w:tc>
          <w:tcPr>
            <w:tcW w:w="9606" w:type="dxa"/>
          </w:tcPr>
          <w:p w14:paraId="2A6D48D0" w14:textId="1D76AEAF" w:rsidR="005145F2" w:rsidRPr="00DA257A" w:rsidRDefault="00A356E2" w:rsidP="006E7B16">
            <w:pPr>
              <w:spacing w:after="120"/>
              <w:rPr>
                <w:i/>
                <w:noProof/>
                <w:sz w:val="22"/>
                <w:szCs w:val="22"/>
              </w:rPr>
            </w:pPr>
            <w:r w:rsidRPr="00DA257A">
              <w:rPr>
                <w:b/>
                <w:noProof/>
                <w:sz w:val="22"/>
              </w:rPr>
              <w:t xml:space="preserve">Ramka 7. Priorytety dotyczące polityki powrotowej. </w:t>
            </w:r>
          </w:p>
          <w:p w14:paraId="3D8F1354" w14:textId="77777777" w:rsidR="008930E6" w:rsidRPr="00DA257A" w:rsidRDefault="008930E6" w:rsidP="006E7B16">
            <w:pPr>
              <w:pStyle w:val="ListParagraph"/>
              <w:numPr>
                <w:ilvl w:val="0"/>
                <w:numId w:val="8"/>
              </w:numPr>
              <w:rPr>
                <w:noProof/>
                <w:sz w:val="22"/>
                <w:szCs w:val="22"/>
              </w:rPr>
            </w:pPr>
            <w:r w:rsidRPr="00DA257A">
              <w:rPr>
                <w:noProof/>
                <w:sz w:val="22"/>
              </w:rPr>
              <w:t>Szybkie przyjęcie odnowionych ram prawnych dotyczących powrotów opartych na przekształconej dyrektywie powrotowej.</w:t>
            </w:r>
          </w:p>
          <w:p w14:paraId="34E54719" w14:textId="6D0F84E8" w:rsidR="00A62065" w:rsidRPr="00DA257A" w:rsidRDefault="008C75A8" w:rsidP="00A62065">
            <w:pPr>
              <w:pStyle w:val="ListParagraph"/>
              <w:numPr>
                <w:ilvl w:val="0"/>
                <w:numId w:val="8"/>
              </w:numPr>
              <w:spacing w:after="120"/>
              <w:rPr>
                <w:noProof/>
                <w:sz w:val="22"/>
                <w:szCs w:val="22"/>
              </w:rPr>
            </w:pPr>
            <w:r w:rsidRPr="00DA257A">
              <w:rPr>
                <w:noProof/>
                <w:sz w:val="22"/>
              </w:rPr>
              <w:t>Promowanie dobrowolnych powrotów</w:t>
            </w:r>
            <w:r w:rsidR="00DA257A" w:rsidRPr="00DA257A">
              <w:rPr>
                <w:noProof/>
                <w:sz w:val="22"/>
              </w:rPr>
              <w:t xml:space="preserve"> i rei</w:t>
            </w:r>
            <w:r w:rsidRPr="00DA257A">
              <w:rPr>
                <w:noProof/>
                <w:sz w:val="22"/>
              </w:rPr>
              <w:t>ntegracji jako integralnej części wspólnego unijnego systemu powrotów, zgodnie ze strategią UE na rzecz dobrowolnych powrotów</w:t>
            </w:r>
            <w:r w:rsidR="00DA257A" w:rsidRPr="00DA257A">
              <w:rPr>
                <w:noProof/>
                <w:sz w:val="22"/>
              </w:rPr>
              <w:t xml:space="preserve"> i rei</w:t>
            </w:r>
            <w:r w:rsidRPr="00DA257A">
              <w:rPr>
                <w:noProof/>
                <w:sz w:val="22"/>
              </w:rPr>
              <w:t xml:space="preserve">ntegracji. </w:t>
            </w:r>
          </w:p>
          <w:p w14:paraId="5AE54BCB" w14:textId="10A1448C" w:rsidR="00C24EA3" w:rsidRPr="00DA257A" w:rsidRDefault="00930DA6" w:rsidP="00A62065">
            <w:pPr>
              <w:pStyle w:val="ListParagraph"/>
              <w:numPr>
                <w:ilvl w:val="0"/>
                <w:numId w:val="8"/>
              </w:numPr>
              <w:spacing w:after="120"/>
              <w:rPr>
                <w:noProof/>
                <w:sz w:val="22"/>
                <w:szCs w:val="22"/>
              </w:rPr>
            </w:pPr>
            <w:r w:rsidRPr="00DA257A">
              <w:rPr>
                <w:noProof/>
                <w:sz w:val="22"/>
              </w:rPr>
              <w:t>Pełne wykorzystanie operacyjnego</w:t>
            </w:r>
            <w:r w:rsidR="00DA257A" w:rsidRPr="00DA257A">
              <w:rPr>
                <w:noProof/>
                <w:sz w:val="22"/>
              </w:rPr>
              <w:t xml:space="preserve"> i pra</w:t>
            </w:r>
            <w:r w:rsidRPr="00DA257A">
              <w:rPr>
                <w:noProof/>
                <w:sz w:val="22"/>
              </w:rPr>
              <w:t>ktycznego wsparcia, jakiego Frontex może udzielić</w:t>
            </w:r>
            <w:r w:rsidR="00DA257A" w:rsidRPr="00DA257A">
              <w:rPr>
                <w:noProof/>
                <w:sz w:val="22"/>
              </w:rPr>
              <w:t xml:space="preserve"> w tym</w:t>
            </w:r>
            <w:r w:rsidRPr="00DA257A">
              <w:rPr>
                <w:noProof/>
                <w:sz w:val="22"/>
              </w:rPr>
              <w:t xml:space="preserve"> obszarze.</w:t>
            </w:r>
          </w:p>
        </w:tc>
      </w:tr>
    </w:tbl>
    <w:p w14:paraId="03380C62" w14:textId="4AAC0DE4" w:rsidR="00AC2253" w:rsidRPr="00DA257A" w:rsidRDefault="009B7F6D" w:rsidP="006E7B16">
      <w:pPr>
        <w:spacing w:before="240" w:after="120"/>
        <w:rPr>
          <w:b/>
          <w:bCs/>
          <w:noProof/>
        </w:rPr>
      </w:pPr>
      <w:r w:rsidRPr="00DA257A">
        <w:rPr>
          <w:b/>
          <w:noProof/>
        </w:rPr>
        <w:t>4.4. Współpraca policyjna</w:t>
      </w:r>
      <w:r w:rsidR="006B67BB" w:rsidRPr="00DA257A">
        <w:rPr>
          <w:rStyle w:val="FootnoteReference"/>
          <w:b/>
          <w:bCs/>
          <w:noProof/>
        </w:rPr>
        <w:footnoteReference w:id="51"/>
      </w:r>
    </w:p>
    <w:p w14:paraId="183FADEC" w14:textId="471D4380" w:rsidR="007460BB" w:rsidRPr="00DA257A" w:rsidRDefault="006773BB" w:rsidP="006E7B16">
      <w:pPr>
        <w:spacing w:before="240"/>
        <w:rPr>
          <w:noProof/>
        </w:rPr>
      </w:pPr>
      <w:r w:rsidRPr="00DA257A">
        <w:rPr>
          <w:noProof/>
        </w:rPr>
        <w:t xml:space="preserve">Na obszarze bez kontroli na granicach wewnętrznych niezbędna jest ścisła </w:t>
      </w:r>
      <w:r w:rsidRPr="00DA257A">
        <w:rPr>
          <w:b/>
          <w:noProof/>
        </w:rPr>
        <w:t>współpraca policyjna</w:t>
      </w:r>
      <w:r w:rsidRPr="00DA257A">
        <w:rPr>
          <w:noProof/>
        </w:rPr>
        <w:t xml:space="preserve"> między państwami członkowskimi, która zapewni bezpieczeństwo</w:t>
      </w:r>
      <w:r w:rsidR="00DA257A" w:rsidRPr="00DA257A">
        <w:rPr>
          <w:noProof/>
        </w:rPr>
        <w:t xml:space="preserve"> i zau</w:t>
      </w:r>
      <w:r w:rsidRPr="00DA257A">
        <w:rPr>
          <w:noProof/>
        </w:rPr>
        <w:t>fanie</w:t>
      </w:r>
      <w:r w:rsidR="00DA257A" w:rsidRPr="00DA257A">
        <w:rPr>
          <w:noProof/>
        </w:rPr>
        <w:t xml:space="preserve"> w str</w:t>
      </w:r>
      <w:r w:rsidRPr="00DA257A">
        <w:rPr>
          <w:noProof/>
        </w:rPr>
        <w:t>efie Schengen,</w:t>
      </w:r>
      <w:r w:rsidR="00DA257A" w:rsidRPr="00DA257A">
        <w:rPr>
          <w:noProof/>
        </w:rPr>
        <w:t xml:space="preserve"> a w szc</w:t>
      </w:r>
      <w:r w:rsidRPr="00DA257A">
        <w:rPr>
          <w:noProof/>
        </w:rPr>
        <w:t>zególności</w:t>
      </w:r>
      <w:r w:rsidR="00DA257A" w:rsidRPr="00DA257A">
        <w:rPr>
          <w:noProof/>
        </w:rPr>
        <w:t xml:space="preserve"> w reg</w:t>
      </w:r>
      <w:r w:rsidRPr="00DA257A">
        <w:rPr>
          <w:noProof/>
        </w:rPr>
        <w:t>ionach przygranicznych. Zgodnie</w:t>
      </w:r>
      <w:r w:rsidR="00DA257A" w:rsidRPr="00DA257A">
        <w:rPr>
          <w:noProof/>
        </w:rPr>
        <w:t xml:space="preserve"> z opu</w:t>
      </w:r>
      <w:r w:rsidRPr="00DA257A">
        <w:rPr>
          <w:noProof/>
        </w:rPr>
        <w:t>blikowaną przez Europol oceną zagrożenia poważną</w:t>
      </w:r>
      <w:r w:rsidR="00DA257A" w:rsidRPr="00DA257A">
        <w:rPr>
          <w:noProof/>
        </w:rPr>
        <w:t xml:space="preserve"> i zor</w:t>
      </w:r>
      <w:r w:rsidRPr="00DA257A">
        <w:rPr>
          <w:noProof/>
        </w:rPr>
        <w:t>ganizowaną przestępczością</w:t>
      </w:r>
      <w:r w:rsidR="00DA257A" w:rsidRPr="00DA257A">
        <w:rPr>
          <w:noProof/>
        </w:rPr>
        <w:t xml:space="preserve"> w Uni</w:t>
      </w:r>
      <w:r w:rsidRPr="00DA257A">
        <w:rPr>
          <w:noProof/>
        </w:rPr>
        <w:t>i Europejskiej (EU SOCTA)</w:t>
      </w:r>
      <w:r w:rsidR="00DA257A" w:rsidRPr="00DA257A">
        <w:rPr>
          <w:noProof/>
        </w:rPr>
        <w:t xml:space="preserve"> z 2</w:t>
      </w:r>
      <w:r w:rsidRPr="00DA257A">
        <w:rPr>
          <w:noProof/>
        </w:rPr>
        <w:t>021</w:t>
      </w:r>
      <w:r w:rsidR="007C7210" w:rsidRPr="00DA257A">
        <w:rPr>
          <w:noProof/>
        </w:rPr>
        <w:t> </w:t>
      </w:r>
      <w:r w:rsidRPr="00DA257A">
        <w:rPr>
          <w:noProof/>
        </w:rPr>
        <w:t>r. niemal 70</w:t>
      </w:r>
      <w:r w:rsidR="007C7210" w:rsidRPr="00DA257A">
        <w:rPr>
          <w:noProof/>
        </w:rPr>
        <w:t> </w:t>
      </w:r>
      <w:r w:rsidRPr="00DA257A">
        <w:rPr>
          <w:noProof/>
        </w:rPr>
        <w:t>% zorganizowanych siatek przestępczych działa aktywnie w co najmniej trzech państwach członkowskich. Aby zwalczać przestępczość transgraniczną, funkcjonariusze policji</w:t>
      </w:r>
      <w:r w:rsidR="00DA257A" w:rsidRPr="00DA257A">
        <w:rPr>
          <w:noProof/>
        </w:rPr>
        <w:t xml:space="preserve"> w cał</w:t>
      </w:r>
      <w:r w:rsidRPr="00DA257A">
        <w:rPr>
          <w:noProof/>
        </w:rPr>
        <w:t>ej UE muszą mieć możliwość nawiązywania skutecznej, szybkiej</w:t>
      </w:r>
      <w:r w:rsidR="00DA257A" w:rsidRPr="00DA257A">
        <w:rPr>
          <w:noProof/>
        </w:rPr>
        <w:t xml:space="preserve"> i sys</w:t>
      </w:r>
      <w:r w:rsidRPr="00DA257A">
        <w:rPr>
          <w:noProof/>
        </w:rPr>
        <w:t xml:space="preserve">tematycznej współpracy. </w:t>
      </w:r>
    </w:p>
    <w:p w14:paraId="5DFFF18E" w14:textId="2DB9C4AB" w:rsidR="0099510F" w:rsidRPr="00DA257A" w:rsidRDefault="6E958833" w:rsidP="006E7B16">
      <w:pPr>
        <w:spacing w:before="240"/>
        <w:rPr>
          <w:noProof/>
        </w:rPr>
      </w:pPr>
      <w:r w:rsidRPr="00DA257A">
        <w:rPr>
          <w:noProof/>
        </w:rPr>
        <w:t>W ocenach Schengen przeprowadzonych dotychczas</w:t>
      </w:r>
      <w:r w:rsidR="00DA257A" w:rsidRPr="00DA257A">
        <w:rPr>
          <w:noProof/>
        </w:rPr>
        <w:t xml:space="preserve"> w obs</w:t>
      </w:r>
      <w:r w:rsidRPr="00DA257A">
        <w:rPr>
          <w:noProof/>
        </w:rPr>
        <w:t xml:space="preserve">zarze współpracy policyjnej podkreślono, że choć państwa członkowskie zasadniczo przestrzegają prawnego dorobku Schengen, </w:t>
      </w:r>
      <w:r w:rsidRPr="00DA257A">
        <w:rPr>
          <w:b/>
          <w:noProof/>
        </w:rPr>
        <w:t xml:space="preserve">istnieje szereg przeszkód, które utrudniają praktyczne wykorzystanie niektórych narzędzi transgranicznej współpracy policyjnej </w:t>
      </w:r>
      <w:r w:rsidRPr="00DA257A">
        <w:rPr>
          <w:noProof/>
        </w:rPr>
        <w:t xml:space="preserve">dostępnych dla państw członkowskich. </w:t>
      </w:r>
    </w:p>
    <w:p w14:paraId="3EE2B59E" w14:textId="4583F5D2" w:rsidR="00043079" w:rsidRPr="00DA257A" w:rsidRDefault="00EF65E8" w:rsidP="00043079">
      <w:pPr>
        <w:spacing w:before="240"/>
        <w:rPr>
          <w:noProof/>
        </w:rPr>
      </w:pPr>
      <w:r w:rsidRPr="00DA257A">
        <w:rPr>
          <w:noProof/>
        </w:rPr>
        <w:t>Transgraniczną współpracę policyjną,</w:t>
      </w:r>
      <w:r w:rsidR="00DA257A" w:rsidRPr="00DA257A">
        <w:rPr>
          <w:noProof/>
        </w:rPr>
        <w:t xml:space="preserve"> o któ</w:t>
      </w:r>
      <w:r w:rsidRPr="00DA257A">
        <w:rPr>
          <w:noProof/>
        </w:rPr>
        <w:t>rej mowa we wniosku dotyczącym zalecenia Rady</w:t>
      </w:r>
      <w:r w:rsidR="00DA257A" w:rsidRPr="00DA257A">
        <w:rPr>
          <w:noProof/>
        </w:rPr>
        <w:t xml:space="preserve"> w spr</w:t>
      </w:r>
      <w:r w:rsidRPr="00DA257A">
        <w:rPr>
          <w:noProof/>
        </w:rPr>
        <w:t>awie operacyjnej współpracy policyjnej, komplikuje fakt, że</w:t>
      </w:r>
      <w:r w:rsidR="00DA257A" w:rsidRPr="00DA257A">
        <w:rPr>
          <w:noProof/>
        </w:rPr>
        <w:t xml:space="preserve"> w wie</w:t>
      </w:r>
      <w:r w:rsidRPr="00DA257A">
        <w:rPr>
          <w:noProof/>
        </w:rPr>
        <w:t>lu państwach członkowskich współistnieją różne organy policyjne, np. policja</w:t>
      </w:r>
      <w:r w:rsidR="00DA257A" w:rsidRPr="00DA257A">
        <w:rPr>
          <w:noProof/>
        </w:rPr>
        <w:t xml:space="preserve"> o sta</w:t>
      </w:r>
      <w:r w:rsidRPr="00DA257A">
        <w:rPr>
          <w:noProof/>
        </w:rPr>
        <w:t>tusie wojskowym, policja</w:t>
      </w:r>
      <w:r w:rsidR="00DA257A" w:rsidRPr="00DA257A">
        <w:rPr>
          <w:noProof/>
        </w:rPr>
        <w:t xml:space="preserve"> o sta</w:t>
      </w:r>
      <w:r w:rsidRPr="00DA257A">
        <w:rPr>
          <w:noProof/>
        </w:rPr>
        <w:t>tusie cywilnym, policja krajowa, regionalna lub lokalna. Istotne jest, by każde państwo członkowskie zorganizowało swoje wewnętrzne działania koordynacyjne</w:t>
      </w:r>
      <w:r w:rsidR="00DA257A" w:rsidRPr="00DA257A">
        <w:rPr>
          <w:noProof/>
        </w:rPr>
        <w:t xml:space="preserve"> w tak</w:t>
      </w:r>
      <w:r w:rsidRPr="00DA257A">
        <w:rPr>
          <w:noProof/>
        </w:rPr>
        <w:t>i sposób, aby wszystkie właściwe służby mogły uczestniczyć</w:t>
      </w:r>
      <w:r w:rsidR="00DA257A" w:rsidRPr="00DA257A">
        <w:rPr>
          <w:noProof/>
        </w:rPr>
        <w:t xml:space="preserve"> w tra</w:t>
      </w:r>
      <w:r w:rsidRPr="00DA257A">
        <w:rPr>
          <w:noProof/>
        </w:rPr>
        <w:t>nsgranicznej</w:t>
      </w:r>
      <w:r w:rsidR="00DA257A" w:rsidRPr="00DA257A">
        <w:rPr>
          <w:noProof/>
        </w:rPr>
        <w:t xml:space="preserve"> i mię</w:t>
      </w:r>
      <w:r w:rsidRPr="00DA257A">
        <w:rPr>
          <w:noProof/>
        </w:rPr>
        <w:t>dzynarodowej współpracy policyjnej</w:t>
      </w:r>
      <w:r w:rsidR="00DA257A" w:rsidRPr="00DA257A">
        <w:rPr>
          <w:noProof/>
        </w:rPr>
        <w:t>. W tym</w:t>
      </w:r>
      <w:r w:rsidRPr="00DA257A">
        <w:rPr>
          <w:noProof/>
        </w:rPr>
        <w:t xml:space="preserve"> celu prawie wszystkie państwa członkowskie wyznaczyły jedną służbę działającą jako </w:t>
      </w:r>
      <w:r w:rsidRPr="00DA257A">
        <w:rPr>
          <w:b/>
          <w:noProof/>
        </w:rPr>
        <w:t>pojedynczy punkt kontaktowy</w:t>
      </w:r>
      <w:r w:rsidRPr="00DA257A">
        <w:rPr>
          <w:rStyle w:val="FootnoteReference"/>
          <w:b/>
          <w:bCs/>
          <w:noProof/>
        </w:rPr>
        <w:footnoteReference w:id="52"/>
      </w:r>
      <w:r w:rsidRPr="00DA257A">
        <w:rPr>
          <w:noProof/>
        </w:rPr>
        <w:t xml:space="preserve"> właściwy do prowadzenia transgranicznej</w:t>
      </w:r>
      <w:r w:rsidR="00DA257A" w:rsidRPr="00DA257A">
        <w:rPr>
          <w:noProof/>
        </w:rPr>
        <w:t xml:space="preserve"> i mię</w:t>
      </w:r>
      <w:r w:rsidRPr="00DA257A">
        <w:rPr>
          <w:noProof/>
        </w:rPr>
        <w:t>dzynarodowej współpracy operacyjnej organów ścigania oraz wymiany informacji między tymi organami. Pojedyncze punkty kontaktowe, które są podstawą transgranicznej współpracy organów ścigania</w:t>
      </w:r>
      <w:r w:rsidR="00DA257A" w:rsidRPr="00DA257A">
        <w:rPr>
          <w:noProof/>
        </w:rPr>
        <w:t xml:space="preserve"> i wym</w:t>
      </w:r>
      <w:r w:rsidRPr="00DA257A">
        <w:rPr>
          <w:noProof/>
        </w:rPr>
        <w:t>iany informacji operacyjnych, borykają się</w:t>
      </w:r>
      <w:r w:rsidR="00DA257A" w:rsidRPr="00DA257A">
        <w:rPr>
          <w:noProof/>
        </w:rPr>
        <w:t xml:space="preserve"> z bra</w:t>
      </w:r>
      <w:r w:rsidRPr="00DA257A">
        <w:rPr>
          <w:noProof/>
        </w:rPr>
        <w:t>kiem integracji</w:t>
      </w:r>
      <w:r w:rsidR="00DA257A" w:rsidRPr="00DA257A">
        <w:rPr>
          <w:noProof/>
        </w:rPr>
        <w:t xml:space="preserve"> i dos</w:t>
      </w:r>
      <w:r w:rsidRPr="00DA257A">
        <w:rPr>
          <w:noProof/>
        </w:rPr>
        <w:t>tosowanych do potrzeb szkoleń dla personelu, co ogranicza korzyści płynące</w:t>
      </w:r>
      <w:r w:rsidR="00DA257A" w:rsidRPr="00DA257A">
        <w:rPr>
          <w:noProof/>
        </w:rPr>
        <w:t xml:space="preserve"> z gwa</w:t>
      </w:r>
      <w:r w:rsidRPr="00DA257A">
        <w:rPr>
          <w:noProof/>
        </w:rPr>
        <w:t>łtownego nasilenia wymiany informacji</w:t>
      </w:r>
      <w:r w:rsidR="00DA257A" w:rsidRPr="00DA257A">
        <w:rPr>
          <w:noProof/>
        </w:rPr>
        <w:t xml:space="preserve"> w ost</w:t>
      </w:r>
      <w:r w:rsidRPr="00DA257A">
        <w:rPr>
          <w:noProof/>
        </w:rPr>
        <w:t xml:space="preserve">atnich latach. </w:t>
      </w:r>
    </w:p>
    <w:p w14:paraId="1A5E50DB" w14:textId="25BE75B1" w:rsidR="00926058" w:rsidRPr="00DA257A" w:rsidRDefault="00926058" w:rsidP="006E7B16">
      <w:pPr>
        <w:spacing w:before="240"/>
        <w:rPr>
          <w:noProof/>
        </w:rPr>
      </w:pPr>
      <w:r w:rsidRPr="00DA257A">
        <w:rPr>
          <w:noProof/>
        </w:rPr>
        <w:t>Skuteczna współpraca transgraniczna wymaga interoperacyjnych środków komunikacji oraz mobilnego dostępu do odpowiednich baz danych</w:t>
      </w:r>
      <w:r w:rsidR="00DA257A" w:rsidRPr="00DA257A">
        <w:rPr>
          <w:noProof/>
        </w:rPr>
        <w:t xml:space="preserve"> z zac</w:t>
      </w:r>
      <w:r w:rsidRPr="00DA257A">
        <w:rPr>
          <w:noProof/>
        </w:rPr>
        <w:t>howaniem niezbędnych zabezpieczeń. Systemy techniczne stosowane na szczeblu krajowym powinny umożliwiać bezpieczną transgraniczną wymianę informacji,</w:t>
      </w:r>
      <w:r w:rsidR="00DA257A" w:rsidRPr="00DA257A">
        <w:rPr>
          <w:noProof/>
        </w:rPr>
        <w:t xml:space="preserve"> w tym</w:t>
      </w:r>
      <w:r w:rsidRPr="00DA257A">
        <w:rPr>
          <w:noProof/>
        </w:rPr>
        <w:t xml:space="preserve"> bezpieczną pocztę elektroniczną oraz systemy łączności radiowej, zwłaszcza</w:t>
      </w:r>
      <w:r w:rsidR="00DA257A" w:rsidRPr="00DA257A">
        <w:rPr>
          <w:noProof/>
        </w:rPr>
        <w:t xml:space="preserve"> w prz</w:t>
      </w:r>
      <w:r w:rsidRPr="00DA257A">
        <w:rPr>
          <w:noProof/>
        </w:rPr>
        <w:t>ypadku pościgów. Ze względu na brak odpowiednich narzędzi technicznych</w:t>
      </w:r>
      <w:r w:rsidR="00DA257A" w:rsidRPr="00DA257A">
        <w:rPr>
          <w:noProof/>
        </w:rPr>
        <w:t xml:space="preserve"> w wię</w:t>
      </w:r>
      <w:r w:rsidRPr="00DA257A">
        <w:rPr>
          <w:noProof/>
        </w:rPr>
        <w:t>kszości państw członkowskich funkcjonariusze policji, aby skontaktować się ze swoją jednostką</w:t>
      </w:r>
      <w:r w:rsidR="00DA257A" w:rsidRPr="00DA257A">
        <w:rPr>
          <w:noProof/>
        </w:rPr>
        <w:t xml:space="preserve"> w cel</w:t>
      </w:r>
      <w:r w:rsidRPr="00DA257A">
        <w:rPr>
          <w:noProof/>
        </w:rPr>
        <w:t>u podstawowego sprawdzenia danej osoby, korzystają</w:t>
      </w:r>
      <w:r w:rsidR="00DA257A" w:rsidRPr="00DA257A">
        <w:rPr>
          <w:noProof/>
        </w:rPr>
        <w:t xml:space="preserve"> z nie</w:t>
      </w:r>
      <w:r w:rsidRPr="00DA257A">
        <w:rPr>
          <w:noProof/>
        </w:rPr>
        <w:t>zabezpieczonych narzędzi radiokomunikacji lub telefonów komórkowych. Wiąże się to</w:t>
      </w:r>
      <w:r w:rsidR="00DA257A" w:rsidRPr="00DA257A">
        <w:rPr>
          <w:noProof/>
        </w:rPr>
        <w:t xml:space="preserve"> z ryz</w:t>
      </w:r>
      <w:r w:rsidRPr="00DA257A">
        <w:rPr>
          <w:noProof/>
        </w:rPr>
        <w:t>ykiem awarii sieci komunikacji (częstej na obszarach górskich)</w:t>
      </w:r>
      <w:r w:rsidR="00DA257A" w:rsidRPr="00DA257A">
        <w:rPr>
          <w:noProof/>
        </w:rPr>
        <w:t xml:space="preserve"> i nie</w:t>
      </w:r>
      <w:r w:rsidRPr="00DA257A">
        <w:rPr>
          <w:noProof/>
        </w:rPr>
        <w:t>porozumień (np.</w:t>
      </w:r>
      <w:r w:rsidR="00DA257A" w:rsidRPr="00DA257A">
        <w:rPr>
          <w:noProof/>
        </w:rPr>
        <w:t xml:space="preserve"> w prz</w:t>
      </w:r>
      <w:r w:rsidRPr="00DA257A">
        <w:rPr>
          <w:noProof/>
        </w:rPr>
        <w:t>ypadku problemów</w:t>
      </w:r>
      <w:r w:rsidR="00DA257A" w:rsidRPr="00DA257A">
        <w:rPr>
          <w:noProof/>
        </w:rPr>
        <w:t xml:space="preserve"> z tra</w:t>
      </w:r>
      <w:r w:rsidRPr="00DA257A">
        <w:rPr>
          <w:noProof/>
        </w:rPr>
        <w:t>nsliteracją)</w:t>
      </w:r>
      <w:r w:rsidR="00DA257A" w:rsidRPr="00DA257A">
        <w:rPr>
          <w:noProof/>
        </w:rPr>
        <w:t>. Z tak</w:t>
      </w:r>
      <w:r w:rsidRPr="00DA257A">
        <w:rPr>
          <w:noProof/>
        </w:rPr>
        <w:t>im samym ryzykiem mamy do czynienia</w:t>
      </w:r>
      <w:r w:rsidR="00DA257A" w:rsidRPr="00DA257A">
        <w:rPr>
          <w:noProof/>
        </w:rPr>
        <w:t xml:space="preserve"> w prz</w:t>
      </w:r>
      <w:r w:rsidRPr="00DA257A">
        <w:rPr>
          <w:noProof/>
        </w:rPr>
        <w:t>ypadku braku odpowiedniego mobilnego dostępu do baz danych</w:t>
      </w:r>
      <w:r w:rsidRPr="00DA257A">
        <w:rPr>
          <w:b/>
          <w:noProof/>
        </w:rPr>
        <w:t xml:space="preserve"> </w:t>
      </w:r>
      <w:r w:rsidRPr="00DA257A">
        <w:rPr>
          <w:noProof/>
        </w:rPr>
        <w:t>dla funkcjonariuszy policji</w:t>
      </w:r>
      <w:r w:rsidR="00DA257A" w:rsidRPr="00DA257A">
        <w:rPr>
          <w:noProof/>
        </w:rPr>
        <w:t xml:space="preserve"> w ter</w:t>
      </w:r>
      <w:r w:rsidRPr="00DA257A">
        <w:rPr>
          <w:noProof/>
        </w:rPr>
        <w:t>enie. Gdy funkcjonariusze dokonują kontroli danej osoby podczas wspólnego patrolu lub podczas ukierunkowanych wspólnych działań na obszarach przygranicznych, muszą mieć natychmiastowy</w:t>
      </w:r>
      <w:r w:rsidR="00DA257A" w:rsidRPr="00DA257A">
        <w:rPr>
          <w:noProof/>
        </w:rPr>
        <w:t xml:space="preserve"> i odp</w:t>
      </w:r>
      <w:r w:rsidRPr="00DA257A">
        <w:rPr>
          <w:noProof/>
        </w:rPr>
        <w:t>owiedni dostęp do krajowych</w:t>
      </w:r>
      <w:r w:rsidR="00DA257A" w:rsidRPr="00DA257A">
        <w:rPr>
          <w:noProof/>
        </w:rPr>
        <w:t xml:space="preserve"> i mię</w:t>
      </w:r>
      <w:r w:rsidRPr="00DA257A">
        <w:rPr>
          <w:noProof/>
        </w:rPr>
        <w:t>dzynarodowych baz danych, do których mają dostęp na mocy prawa krajowego. Jeżeli dostępne informacje lub działania, które należy podjąć, nie będą prawidłowo wyświetlane, poszukiwani przestępcy mogą na przykład przejechać niezauważeni przez kilka krajów. Oprócz funkcjonariuszy policji</w:t>
      </w:r>
      <w:r w:rsidR="00DA257A" w:rsidRPr="00DA257A">
        <w:rPr>
          <w:noProof/>
        </w:rPr>
        <w:t xml:space="preserve"> w ter</w:t>
      </w:r>
      <w:r w:rsidRPr="00DA257A">
        <w:rPr>
          <w:noProof/>
        </w:rPr>
        <w:t xml:space="preserve">enie także funkcjonariusze śledczy potrzebują bardziej bezpośredniego dostępu do odpowiednich międzynarodowych baz danych. Ponieważ większość przestępców działa ponad granicami, wczesne wykrycie powiązań międzynarodowych ma kluczowe znaczenie dla powodzenia postępowania przygotowawczego. </w:t>
      </w:r>
    </w:p>
    <w:p w14:paraId="2F50AEF6" w14:textId="27F8F3C7" w:rsidR="00926058" w:rsidRPr="00DA257A" w:rsidRDefault="00926058" w:rsidP="006E7B16">
      <w:pPr>
        <w:spacing w:before="240"/>
        <w:rPr>
          <w:noProof/>
        </w:rPr>
      </w:pPr>
      <w:r w:rsidRPr="00DA257A">
        <w:rPr>
          <w:noProof/>
        </w:rPr>
        <w:t xml:space="preserve">Ponadto stopień uproszczenia </w:t>
      </w:r>
      <w:r w:rsidRPr="00DA257A">
        <w:rPr>
          <w:b/>
          <w:noProof/>
        </w:rPr>
        <w:t>transgranicznych działań operacyjnych policji</w:t>
      </w:r>
      <w:r w:rsidRPr="00DA257A">
        <w:rPr>
          <w:noProof/>
        </w:rPr>
        <w:t xml:space="preserve"> (takich jak pościgi lub obserwacja transgraniczna) różni się znacznie</w:t>
      </w:r>
      <w:r w:rsidR="00DA257A" w:rsidRPr="00DA257A">
        <w:rPr>
          <w:noProof/>
        </w:rPr>
        <w:t xml:space="preserve"> w pos</w:t>
      </w:r>
      <w:r w:rsidRPr="00DA257A">
        <w:rPr>
          <w:noProof/>
        </w:rPr>
        <w:t>zczególnych państwach UE. Podczas gdy niektóre kraje</w:t>
      </w:r>
      <w:r w:rsidR="00DA257A" w:rsidRPr="00DA257A">
        <w:rPr>
          <w:noProof/>
        </w:rPr>
        <w:t xml:space="preserve"> w duż</w:t>
      </w:r>
      <w:r w:rsidRPr="00DA257A">
        <w:rPr>
          <w:noProof/>
        </w:rPr>
        <w:t>ym stopniu umożliwiają wzajemny dostęp do baz danych organów ścigania (w tym służb celnych</w:t>
      </w:r>
      <w:r w:rsidR="00DA257A" w:rsidRPr="00DA257A">
        <w:rPr>
          <w:noProof/>
        </w:rPr>
        <w:t xml:space="preserve"> i str</w:t>
      </w:r>
      <w:r w:rsidRPr="00DA257A">
        <w:rPr>
          <w:noProof/>
        </w:rPr>
        <w:t xml:space="preserve">aży granicznej), inne nakładają zbyt wąskie ograniczenia geograficzne lub czasowe na pościgi lub nie zezwalają zagranicznym funkcjonariuszom policji na zatrzymanie podejrzanych na swoim terytorium podczas pościgu. </w:t>
      </w:r>
    </w:p>
    <w:p w14:paraId="4554DF32" w14:textId="310421A8" w:rsidR="009B6FAD" w:rsidRPr="00DA257A" w:rsidRDefault="009B6FAD" w:rsidP="009B6FAD">
      <w:pPr>
        <w:spacing w:before="100" w:beforeAutospacing="1" w:after="100" w:afterAutospacing="1"/>
        <w:rPr>
          <w:rFonts w:eastAsiaTheme="minorHAnsi"/>
          <w:noProof/>
          <w:szCs w:val="22"/>
        </w:rPr>
      </w:pPr>
      <w:r w:rsidRPr="00DA257A">
        <w:rPr>
          <w:noProof/>
        </w:rPr>
        <w:t>Konwencja wykonawcza do układu</w:t>
      </w:r>
      <w:r w:rsidR="00DA257A" w:rsidRPr="00DA257A">
        <w:rPr>
          <w:noProof/>
        </w:rPr>
        <w:t xml:space="preserve"> z Sch</w:t>
      </w:r>
      <w:r w:rsidRPr="00DA257A">
        <w:rPr>
          <w:noProof/>
        </w:rPr>
        <w:t>engen</w:t>
      </w:r>
      <w:r w:rsidRPr="00DA257A">
        <w:rPr>
          <w:noProof/>
          <w:szCs w:val="24"/>
          <w:vertAlign w:val="superscript"/>
          <w:lang w:eastAsia="en-US"/>
        </w:rPr>
        <w:footnoteReference w:id="53"/>
      </w:r>
      <w:r w:rsidRPr="00DA257A">
        <w:rPr>
          <w:noProof/>
        </w:rPr>
        <w:t xml:space="preserve"> ustanawiająca podstawowe zasady współpracy policyjnej oraz dotycząca Szwecji decyzja ramowa 2006/960/WSiSW</w:t>
      </w:r>
      <w:r w:rsidR="00DA257A" w:rsidRPr="00DA257A">
        <w:rPr>
          <w:noProof/>
        </w:rPr>
        <w:t xml:space="preserve"> w spr</w:t>
      </w:r>
      <w:r w:rsidRPr="00DA257A">
        <w:rPr>
          <w:noProof/>
        </w:rPr>
        <w:t>awie uproszczenia wymiany informacji między organami ścigania stanowią część dorobku Schengen. Postanowienia konwencji nadają państwom będącym jej stronami znaczną elastyczność co do sposobu jej wdrożenia</w:t>
      </w:r>
      <w:r w:rsidR="00DA257A" w:rsidRPr="00DA257A">
        <w:rPr>
          <w:noProof/>
        </w:rPr>
        <w:t>. W pra</w:t>
      </w:r>
      <w:r w:rsidRPr="00DA257A">
        <w:rPr>
          <w:noProof/>
        </w:rPr>
        <w:t>ktyce regularnie stosuje się umowy dwustronne lub wielostronne</w:t>
      </w:r>
      <w:r w:rsidR="00DA257A" w:rsidRPr="00DA257A">
        <w:rPr>
          <w:noProof/>
        </w:rPr>
        <w:t xml:space="preserve"> w cel</w:t>
      </w:r>
      <w:r w:rsidRPr="00DA257A">
        <w:rPr>
          <w:noProof/>
        </w:rPr>
        <w:t>u dalszego rozwijania tej wspólnej podstawy</w:t>
      </w:r>
      <w:r w:rsidRPr="00DA257A">
        <w:rPr>
          <w:rFonts w:eastAsiaTheme="minorHAnsi"/>
          <w:noProof/>
          <w:szCs w:val="22"/>
          <w:vertAlign w:val="superscript"/>
          <w:lang w:eastAsia="en-US"/>
        </w:rPr>
        <w:footnoteReference w:id="54"/>
      </w:r>
      <w:r w:rsidRPr="00DA257A">
        <w:rPr>
          <w:noProof/>
        </w:rPr>
        <w:t>. Obecnie obowiązuje około 60 takich umów zawartych między państwami członkowskimi UE.</w:t>
      </w:r>
    </w:p>
    <w:p w14:paraId="6403541C" w14:textId="33E0ED85" w:rsidR="00926058" w:rsidRPr="00DA257A" w:rsidRDefault="00EB4173" w:rsidP="006E7B16">
      <w:pPr>
        <w:spacing w:before="240"/>
        <w:rPr>
          <w:noProof/>
        </w:rPr>
      </w:pPr>
      <w:r w:rsidRPr="00DA257A">
        <w:rPr>
          <w:noProof/>
        </w:rPr>
        <w:t>Głównym wyzwaniem</w:t>
      </w:r>
      <w:r w:rsidR="00DA257A" w:rsidRPr="00DA257A">
        <w:rPr>
          <w:noProof/>
        </w:rPr>
        <w:t xml:space="preserve"> w dzi</w:t>
      </w:r>
      <w:r w:rsidRPr="00DA257A">
        <w:rPr>
          <w:noProof/>
        </w:rPr>
        <w:t>edzinie współpracy policyjnej jest to, że ramy legislacyjne są rozdrobnione</w:t>
      </w:r>
      <w:r w:rsidR="00DA257A" w:rsidRPr="00DA257A">
        <w:rPr>
          <w:noProof/>
        </w:rPr>
        <w:t xml:space="preserve"> i poz</w:t>
      </w:r>
      <w:r w:rsidRPr="00DA257A">
        <w:rPr>
          <w:noProof/>
        </w:rPr>
        <w:t>ostawiają państwom członkowskim dużą swobodę</w:t>
      </w:r>
      <w:r w:rsidR="00DA257A" w:rsidRPr="00DA257A">
        <w:rPr>
          <w:noProof/>
        </w:rPr>
        <w:t xml:space="preserve"> w zak</w:t>
      </w:r>
      <w:r w:rsidRPr="00DA257A">
        <w:rPr>
          <w:noProof/>
        </w:rPr>
        <w:t>resie sposobu ich wdrażania. Wnioski dotyczące współpracy policyjnej</w:t>
      </w:r>
      <w:r w:rsidR="00336AD1" w:rsidRPr="00DA257A">
        <w:rPr>
          <w:rStyle w:val="FootnoteReference"/>
          <w:noProof/>
        </w:rPr>
        <w:footnoteReference w:id="55"/>
      </w:r>
      <w:r w:rsidRPr="00DA257A">
        <w:rPr>
          <w:noProof/>
        </w:rPr>
        <w:t xml:space="preserve"> mają na celu rozwiązanie tego problemu</w:t>
      </w:r>
      <w:r w:rsidR="00DA257A" w:rsidRPr="00DA257A">
        <w:rPr>
          <w:noProof/>
        </w:rPr>
        <w:t xml:space="preserve"> i wzm</w:t>
      </w:r>
      <w:r w:rsidRPr="00DA257A">
        <w:rPr>
          <w:noProof/>
        </w:rPr>
        <w:t>ocnienie współpracy policyjnej dzięki zapewnieniu jasnych kanałów</w:t>
      </w:r>
      <w:r w:rsidR="00DA257A" w:rsidRPr="00DA257A">
        <w:rPr>
          <w:noProof/>
        </w:rPr>
        <w:t xml:space="preserve"> i ram</w:t>
      </w:r>
      <w:r w:rsidRPr="00DA257A">
        <w:rPr>
          <w:noProof/>
        </w:rPr>
        <w:t xml:space="preserve"> czasowych wymiany informacji oraz zwiększeniu roli Europolu. Komisja</w:t>
      </w:r>
      <w:r w:rsidR="00DA257A" w:rsidRPr="00DA257A">
        <w:rPr>
          <w:noProof/>
        </w:rPr>
        <w:t xml:space="preserve"> z zad</w:t>
      </w:r>
      <w:r w:rsidRPr="00DA257A">
        <w:rPr>
          <w:noProof/>
        </w:rPr>
        <w:t>owoleniem przyjmuje postępy poczynione przez</w:t>
      </w:r>
      <w:r w:rsidRPr="00DA257A">
        <w:rPr>
          <w:i/>
          <w:noProof/>
        </w:rPr>
        <w:t xml:space="preserve"> </w:t>
      </w:r>
      <w:r w:rsidRPr="00DA257A">
        <w:rPr>
          <w:noProof/>
        </w:rPr>
        <w:t>Radę, która zamierza przyjąć ogólne podejście do dyrektywy</w:t>
      </w:r>
      <w:r w:rsidR="00DA257A" w:rsidRPr="00DA257A">
        <w:rPr>
          <w:noProof/>
        </w:rPr>
        <w:t xml:space="preserve"> i roz</w:t>
      </w:r>
      <w:r w:rsidRPr="00DA257A">
        <w:rPr>
          <w:noProof/>
        </w:rPr>
        <w:t>porządzenia</w:t>
      </w:r>
      <w:r w:rsidR="00DA257A" w:rsidRPr="00DA257A">
        <w:rPr>
          <w:noProof/>
        </w:rPr>
        <w:t xml:space="preserve"> w cze</w:t>
      </w:r>
      <w:r w:rsidRPr="00DA257A">
        <w:rPr>
          <w:noProof/>
        </w:rPr>
        <w:t>rwcu 2022</w:t>
      </w:r>
      <w:r w:rsidR="007C7210" w:rsidRPr="00DA257A">
        <w:rPr>
          <w:noProof/>
        </w:rPr>
        <w:t> </w:t>
      </w:r>
      <w:r w:rsidRPr="00DA257A">
        <w:rPr>
          <w:noProof/>
        </w:rPr>
        <w:t>r.,</w:t>
      </w:r>
      <w:r w:rsidR="00DA257A" w:rsidRPr="00DA257A">
        <w:rPr>
          <w:noProof/>
        </w:rPr>
        <w:t xml:space="preserve"> a tak</w:t>
      </w:r>
      <w:r w:rsidRPr="00DA257A">
        <w:rPr>
          <w:noProof/>
        </w:rPr>
        <w:t>że zatwierdzić zalecenie</w:t>
      </w:r>
      <w:r w:rsidR="00DA257A" w:rsidRPr="00DA257A">
        <w:rPr>
          <w:noProof/>
        </w:rPr>
        <w:t xml:space="preserve"> w spr</w:t>
      </w:r>
      <w:r w:rsidRPr="00DA257A">
        <w:rPr>
          <w:noProof/>
        </w:rPr>
        <w:t>awie operacyjnej współpracy policyjnej. Rozmowy trójstronne dotyczące tych wniosków mogą zatem rozpocząć się jeszcze</w:t>
      </w:r>
      <w:r w:rsidR="00DA257A" w:rsidRPr="00DA257A">
        <w:rPr>
          <w:noProof/>
        </w:rPr>
        <w:t xml:space="preserve"> w tym</w:t>
      </w:r>
      <w:r w:rsidRPr="00DA257A">
        <w:rPr>
          <w:noProof/>
        </w:rPr>
        <w:t xml:space="preserve"> roku,</w:t>
      </w:r>
      <w:r w:rsidR="00DA257A" w:rsidRPr="00DA257A">
        <w:rPr>
          <w:noProof/>
        </w:rPr>
        <w:t xml:space="preserve"> a ich</w:t>
      </w:r>
      <w:r w:rsidRPr="00DA257A">
        <w:rPr>
          <w:noProof/>
        </w:rPr>
        <w:t xml:space="preserve"> przyjęcie jest spodziewane przed końcem 2023</w:t>
      </w:r>
      <w:r w:rsidR="007C7210" w:rsidRPr="00DA257A">
        <w:rPr>
          <w:noProof/>
        </w:rPr>
        <w:t> </w:t>
      </w:r>
      <w:r w:rsidRPr="00DA257A">
        <w:rPr>
          <w:noProof/>
        </w:rPr>
        <w:t>r.</w:t>
      </w:r>
    </w:p>
    <w:p w14:paraId="6EBE92EE" w14:textId="1ABB93A8" w:rsidR="007F146C" w:rsidRPr="00DA257A" w:rsidRDefault="00855775" w:rsidP="006E7B16">
      <w:pPr>
        <w:spacing w:before="240"/>
        <w:rPr>
          <w:noProof/>
        </w:rPr>
      </w:pPr>
      <w:r w:rsidRPr="00DA257A">
        <w:rPr>
          <w:noProof/>
        </w:rPr>
        <w:t>Niezbędne jest dalsze rozwijanie narzędzi, którymi dysponuje policja. Wykorzystywanie</w:t>
      </w:r>
      <w:r w:rsidR="00DA257A" w:rsidRPr="00DA257A">
        <w:rPr>
          <w:noProof/>
        </w:rPr>
        <w:t xml:space="preserve"> i wym</w:t>
      </w:r>
      <w:r w:rsidRPr="00DA257A">
        <w:rPr>
          <w:noProof/>
        </w:rPr>
        <w:t>iana danych pasażera przekazywanych przed podróżą</w:t>
      </w:r>
      <w:r w:rsidR="00DA257A" w:rsidRPr="00DA257A">
        <w:rPr>
          <w:noProof/>
        </w:rPr>
        <w:t xml:space="preserve"> w poł</w:t>
      </w:r>
      <w:r w:rsidRPr="00DA257A">
        <w:rPr>
          <w:noProof/>
        </w:rPr>
        <w:t>ączeniu</w:t>
      </w:r>
      <w:r w:rsidR="00DA257A" w:rsidRPr="00DA257A">
        <w:rPr>
          <w:noProof/>
        </w:rPr>
        <w:t xml:space="preserve"> z dan</w:t>
      </w:r>
      <w:r w:rsidRPr="00DA257A">
        <w:rPr>
          <w:noProof/>
        </w:rPr>
        <w:t>ymi dotyczącymi przelotu pasażera już przyniosły wymierne rezultaty</w:t>
      </w:r>
      <w:r w:rsidR="00DA257A" w:rsidRPr="00DA257A">
        <w:rPr>
          <w:noProof/>
        </w:rPr>
        <w:t xml:space="preserve"> w wal</w:t>
      </w:r>
      <w:r w:rsidRPr="00DA257A">
        <w:rPr>
          <w:noProof/>
        </w:rPr>
        <w:t>ce</w:t>
      </w:r>
      <w:r w:rsidR="00DA257A" w:rsidRPr="00DA257A">
        <w:rPr>
          <w:noProof/>
        </w:rPr>
        <w:t xml:space="preserve"> z ter</w:t>
      </w:r>
      <w:r w:rsidRPr="00DA257A">
        <w:rPr>
          <w:noProof/>
        </w:rPr>
        <w:t>roryzmem</w:t>
      </w:r>
      <w:r w:rsidR="00DA257A" w:rsidRPr="00DA257A">
        <w:rPr>
          <w:noProof/>
        </w:rPr>
        <w:t xml:space="preserve"> i pow</w:t>
      </w:r>
      <w:r w:rsidRPr="00DA257A">
        <w:rPr>
          <w:noProof/>
        </w:rPr>
        <w:t>ażną przestępczością. Trwają prace przygotowawcze nad nową inicjatywą ustawodawczą</w:t>
      </w:r>
      <w:r w:rsidR="00DA257A" w:rsidRPr="00DA257A">
        <w:rPr>
          <w:noProof/>
        </w:rPr>
        <w:t xml:space="preserve"> w cel</w:t>
      </w:r>
      <w:r w:rsidRPr="00DA257A">
        <w:rPr>
          <w:noProof/>
        </w:rPr>
        <w:t>u poprawy wykorzystania danych pasażera przekazywanych przed podróżą również na potrzeby organów ścigania przez zwiększenie pewności prawa</w:t>
      </w:r>
      <w:r w:rsidR="00DA257A" w:rsidRPr="00DA257A">
        <w:rPr>
          <w:noProof/>
        </w:rPr>
        <w:t xml:space="preserve"> i wye</w:t>
      </w:r>
      <w:r w:rsidRPr="00DA257A">
        <w:rPr>
          <w:noProof/>
        </w:rPr>
        <w:t>liminowanie luk, które wyszły na jaw</w:t>
      </w:r>
      <w:r w:rsidR="00DA257A" w:rsidRPr="00DA257A">
        <w:rPr>
          <w:noProof/>
        </w:rPr>
        <w:t xml:space="preserve"> w oce</w:t>
      </w:r>
      <w:r w:rsidRPr="00DA257A">
        <w:rPr>
          <w:noProof/>
        </w:rPr>
        <w:t>nie dyrektywy</w:t>
      </w:r>
      <w:r w:rsidR="00DA257A" w:rsidRPr="00DA257A">
        <w:rPr>
          <w:noProof/>
        </w:rPr>
        <w:t xml:space="preserve"> w spr</w:t>
      </w:r>
      <w:r w:rsidRPr="00DA257A">
        <w:rPr>
          <w:noProof/>
        </w:rPr>
        <w:t>awie danych pasażera przekazywanych przed podróżą</w:t>
      </w:r>
      <w:r w:rsidR="00CF7D80" w:rsidRPr="00DA257A">
        <w:rPr>
          <w:rStyle w:val="FootnoteReference"/>
          <w:noProof/>
        </w:rPr>
        <w:footnoteReference w:id="56"/>
      </w:r>
      <w:r w:rsidRPr="00DA257A">
        <w:rPr>
          <w:noProof/>
        </w:rPr>
        <w:t xml:space="preserve"> przeprowadzonej</w:t>
      </w:r>
      <w:r w:rsidR="00DA257A" w:rsidRPr="00DA257A">
        <w:rPr>
          <w:noProof/>
        </w:rPr>
        <w:t xml:space="preserve"> w 2</w:t>
      </w:r>
      <w:r w:rsidRPr="00DA257A">
        <w:rPr>
          <w:noProof/>
        </w:rPr>
        <w:t>020</w:t>
      </w:r>
      <w:r w:rsidR="007C7210" w:rsidRPr="00DA257A">
        <w:rPr>
          <w:noProof/>
        </w:rPr>
        <w:t> </w:t>
      </w:r>
      <w:r w:rsidRPr="00DA257A">
        <w:rPr>
          <w:noProof/>
        </w:rPr>
        <w:t>r., przy jednoczesnym zapewnieniu niezbędnych zabezpieczeń. Ocena ma zostać przedstawiona przed końcem 2022</w:t>
      </w:r>
      <w:r w:rsidR="007C7210" w:rsidRPr="00DA257A">
        <w:rPr>
          <w:noProof/>
        </w:rPr>
        <w:t> </w:t>
      </w:r>
      <w:r w:rsidRPr="00DA257A">
        <w:rPr>
          <w:noProof/>
        </w:rPr>
        <w:t>r.</w:t>
      </w:r>
    </w:p>
    <w:tbl>
      <w:tblPr>
        <w:tblStyle w:val="TableGrid"/>
        <w:tblW w:w="0" w:type="auto"/>
        <w:tblLook w:val="04A0" w:firstRow="1" w:lastRow="0" w:firstColumn="1" w:lastColumn="0" w:noHBand="0" w:noVBand="1"/>
      </w:tblPr>
      <w:tblGrid>
        <w:gridCol w:w="9606"/>
      </w:tblGrid>
      <w:tr w:rsidR="00E963BF" w:rsidRPr="00DA257A" w14:paraId="5939745C" w14:textId="77777777" w:rsidTr="00AA7A4A">
        <w:tc>
          <w:tcPr>
            <w:tcW w:w="9606" w:type="dxa"/>
          </w:tcPr>
          <w:p w14:paraId="2017AFB8" w14:textId="528C9551" w:rsidR="005145F2" w:rsidRPr="00DA257A" w:rsidRDefault="00A356E2" w:rsidP="006E7B16">
            <w:pPr>
              <w:spacing w:after="120"/>
              <w:rPr>
                <w:i/>
                <w:noProof/>
                <w:sz w:val="22"/>
                <w:szCs w:val="22"/>
              </w:rPr>
            </w:pPr>
            <w:r w:rsidRPr="00DA257A">
              <w:rPr>
                <w:b/>
                <w:noProof/>
                <w:sz w:val="22"/>
              </w:rPr>
              <w:t>Ramka 8. Priorytety dotyczące współpracy policyjnej.</w:t>
            </w:r>
            <w:r w:rsidRPr="00DA257A">
              <w:rPr>
                <w:b/>
                <w:noProof/>
              </w:rPr>
              <w:t xml:space="preserve"> </w:t>
            </w:r>
          </w:p>
          <w:p w14:paraId="47BCF80A" w14:textId="7349468F" w:rsidR="00C1119A" w:rsidRPr="00DA257A" w:rsidRDefault="00C1119A" w:rsidP="00CA44D3">
            <w:pPr>
              <w:pStyle w:val="ListParagraph"/>
              <w:numPr>
                <w:ilvl w:val="0"/>
                <w:numId w:val="8"/>
              </w:numPr>
              <w:spacing w:after="120"/>
              <w:rPr>
                <w:noProof/>
                <w:sz w:val="22"/>
                <w:szCs w:val="22"/>
              </w:rPr>
            </w:pPr>
            <w:r w:rsidRPr="00DA257A">
              <w:rPr>
                <w:noProof/>
                <w:sz w:val="22"/>
              </w:rPr>
              <w:t>Szybkie przyjęcie wniosków dotyczących współpracy policyjnej oraz wdrożenie zalecenia</w:t>
            </w:r>
            <w:r w:rsidR="00DA257A" w:rsidRPr="00DA257A">
              <w:rPr>
                <w:noProof/>
                <w:sz w:val="22"/>
              </w:rPr>
              <w:t xml:space="preserve"> w spr</w:t>
            </w:r>
            <w:r w:rsidRPr="00DA257A">
              <w:rPr>
                <w:noProof/>
                <w:sz w:val="22"/>
              </w:rPr>
              <w:t>awie operacyjnej współpracy policyjnej, które Rada ma przyjąć</w:t>
            </w:r>
            <w:r w:rsidR="00DA257A" w:rsidRPr="00DA257A">
              <w:rPr>
                <w:noProof/>
                <w:sz w:val="22"/>
              </w:rPr>
              <w:t xml:space="preserve"> w cze</w:t>
            </w:r>
            <w:r w:rsidRPr="00DA257A">
              <w:rPr>
                <w:noProof/>
                <w:sz w:val="22"/>
              </w:rPr>
              <w:t xml:space="preserve">rwcu. </w:t>
            </w:r>
          </w:p>
          <w:p w14:paraId="37847B70" w14:textId="71A4EAA9" w:rsidR="004E4EA2" w:rsidRPr="00DA257A" w:rsidRDefault="004E4EA2" w:rsidP="006E7B16">
            <w:pPr>
              <w:pStyle w:val="ListParagraph"/>
              <w:numPr>
                <w:ilvl w:val="0"/>
                <w:numId w:val="8"/>
              </w:numPr>
              <w:spacing w:after="120"/>
              <w:rPr>
                <w:noProof/>
                <w:sz w:val="22"/>
                <w:szCs w:val="22"/>
              </w:rPr>
            </w:pPr>
            <w:r w:rsidRPr="00DA257A">
              <w:rPr>
                <w:noProof/>
                <w:sz w:val="22"/>
              </w:rPr>
              <w:t>Przyjęcie przez Komisję do końca 2022</w:t>
            </w:r>
            <w:r w:rsidR="007C7210" w:rsidRPr="00DA257A">
              <w:rPr>
                <w:noProof/>
                <w:sz w:val="22"/>
              </w:rPr>
              <w:t> </w:t>
            </w:r>
            <w:r w:rsidRPr="00DA257A">
              <w:rPr>
                <w:noProof/>
                <w:sz w:val="22"/>
              </w:rPr>
              <w:t>r. wniosku dotyczącego nowego środka ustawodawczego</w:t>
            </w:r>
            <w:r w:rsidR="00DA257A" w:rsidRPr="00DA257A">
              <w:rPr>
                <w:noProof/>
                <w:sz w:val="22"/>
              </w:rPr>
              <w:t xml:space="preserve"> w spr</w:t>
            </w:r>
            <w:r w:rsidRPr="00DA257A">
              <w:rPr>
                <w:noProof/>
                <w:sz w:val="22"/>
              </w:rPr>
              <w:t>awie danych pasażera przekazywanych przed podróżą</w:t>
            </w:r>
            <w:r w:rsidR="00DA257A" w:rsidRPr="00DA257A">
              <w:rPr>
                <w:noProof/>
                <w:sz w:val="22"/>
              </w:rPr>
              <w:t xml:space="preserve"> w cel</w:t>
            </w:r>
            <w:r w:rsidRPr="00DA257A">
              <w:rPr>
                <w:noProof/>
                <w:sz w:val="22"/>
              </w:rPr>
              <w:t>u zwiększenia wykorzystania tych danych do celów organów ścigania.</w:t>
            </w:r>
          </w:p>
          <w:p w14:paraId="70804F6D" w14:textId="252E3043" w:rsidR="008930E6" w:rsidRPr="00DA257A" w:rsidRDefault="008930E6" w:rsidP="006E7B16">
            <w:pPr>
              <w:pStyle w:val="ListParagraph"/>
              <w:numPr>
                <w:ilvl w:val="0"/>
                <w:numId w:val="8"/>
              </w:numPr>
              <w:spacing w:after="120"/>
              <w:rPr>
                <w:noProof/>
                <w:sz w:val="22"/>
                <w:szCs w:val="22"/>
              </w:rPr>
            </w:pPr>
            <w:r w:rsidRPr="00DA257A">
              <w:rPr>
                <w:noProof/>
                <w:sz w:val="22"/>
              </w:rPr>
              <w:t>Dalsza integracja kanałów współpracy międzynarodowej, usprawnienie systemów zarządzania sprawami oraz automatyzacja procesów</w:t>
            </w:r>
            <w:r w:rsidR="00DA257A" w:rsidRPr="00DA257A">
              <w:rPr>
                <w:noProof/>
                <w:sz w:val="22"/>
              </w:rPr>
              <w:t xml:space="preserve"> w poj</w:t>
            </w:r>
            <w:r w:rsidRPr="00DA257A">
              <w:rPr>
                <w:noProof/>
                <w:sz w:val="22"/>
              </w:rPr>
              <w:t>edynczych punktach kontaktowych.</w:t>
            </w:r>
          </w:p>
          <w:p w14:paraId="0573FD57" w14:textId="7EF0FBB0" w:rsidR="008930E6" w:rsidRPr="00DA257A" w:rsidRDefault="00D765A4" w:rsidP="006E7B16">
            <w:pPr>
              <w:pStyle w:val="ListParagraph"/>
              <w:numPr>
                <w:ilvl w:val="0"/>
                <w:numId w:val="8"/>
              </w:numPr>
              <w:spacing w:after="120"/>
              <w:rPr>
                <w:noProof/>
                <w:sz w:val="22"/>
                <w:szCs w:val="22"/>
              </w:rPr>
            </w:pPr>
            <w:r w:rsidRPr="00DA257A">
              <w:rPr>
                <w:noProof/>
                <w:sz w:val="22"/>
              </w:rPr>
              <w:t>Skuteczny</w:t>
            </w:r>
            <w:r w:rsidR="00DA257A" w:rsidRPr="00DA257A">
              <w:rPr>
                <w:noProof/>
                <w:sz w:val="22"/>
              </w:rPr>
              <w:t xml:space="preserve"> i bez</w:t>
            </w:r>
            <w:r w:rsidRPr="00DA257A">
              <w:rPr>
                <w:noProof/>
                <w:sz w:val="22"/>
              </w:rPr>
              <w:t>pośredni dostęp online do krajowych, unijnych</w:t>
            </w:r>
            <w:r w:rsidR="00DA257A" w:rsidRPr="00DA257A">
              <w:rPr>
                <w:noProof/>
                <w:sz w:val="22"/>
              </w:rPr>
              <w:t xml:space="preserve"> i mię</w:t>
            </w:r>
            <w:r w:rsidRPr="00DA257A">
              <w:rPr>
                <w:noProof/>
                <w:sz w:val="22"/>
              </w:rPr>
              <w:t>dzynarodowych baz danych organów ścigania dla personelu pojedynczych punktów kontaktowych, funkcjonariuszy śledczych</w:t>
            </w:r>
            <w:r w:rsidR="00DA257A" w:rsidRPr="00DA257A">
              <w:rPr>
                <w:noProof/>
                <w:sz w:val="22"/>
              </w:rPr>
              <w:t xml:space="preserve"> i fun</w:t>
            </w:r>
            <w:r w:rsidRPr="00DA257A">
              <w:rPr>
                <w:noProof/>
                <w:sz w:val="22"/>
              </w:rPr>
              <w:t>kcjonariuszy policji</w:t>
            </w:r>
            <w:r w:rsidR="00DA257A" w:rsidRPr="00DA257A">
              <w:rPr>
                <w:noProof/>
                <w:sz w:val="22"/>
              </w:rPr>
              <w:t xml:space="preserve"> w ter</w:t>
            </w:r>
            <w:r w:rsidRPr="00DA257A">
              <w:rPr>
                <w:noProof/>
                <w:sz w:val="22"/>
              </w:rPr>
              <w:t>enie</w:t>
            </w:r>
            <w:r w:rsidR="00DA257A" w:rsidRPr="00DA257A">
              <w:rPr>
                <w:noProof/>
                <w:sz w:val="22"/>
              </w:rPr>
              <w:t xml:space="preserve"> w zak</w:t>
            </w:r>
            <w:r w:rsidRPr="00DA257A">
              <w:rPr>
                <w:noProof/>
                <w:sz w:val="22"/>
              </w:rPr>
              <w:t>resie,</w:t>
            </w:r>
            <w:r w:rsidR="00DA257A" w:rsidRPr="00DA257A">
              <w:rPr>
                <w:noProof/>
                <w:sz w:val="22"/>
              </w:rPr>
              <w:t xml:space="preserve"> w jak</w:t>
            </w:r>
            <w:r w:rsidRPr="00DA257A">
              <w:rPr>
                <w:noProof/>
                <w:sz w:val="22"/>
              </w:rPr>
              <w:t>im jest to niezbędne do wykonywania ich zadań.</w:t>
            </w:r>
          </w:p>
          <w:p w14:paraId="4DCAA615" w14:textId="11E51274" w:rsidR="008930E6" w:rsidRPr="00DA257A" w:rsidRDefault="00D765A4" w:rsidP="006E7B16">
            <w:pPr>
              <w:pStyle w:val="ListParagraph"/>
              <w:numPr>
                <w:ilvl w:val="0"/>
                <w:numId w:val="8"/>
              </w:numPr>
              <w:spacing w:after="120"/>
              <w:rPr>
                <w:noProof/>
                <w:sz w:val="22"/>
                <w:szCs w:val="22"/>
              </w:rPr>
            </w:pPr>
            <w:r w:rsidRPr="00DA257A">
              <w:rPr>
                <w:noProof/>
                <w:sz w:val="22"/>
              </w:rPr>
              <w:t>Skuteczny mobilny dostęp do międzynarodowych</w:t>
            </w:r>
            <w:r w:rsidR="00DA257A" w:rsidRPr="00DA257A">
              <w:rPr>
                <w:noProof/>
                <w:sz w:val="22"/>
              </w:rPr>
              <w:t xml:space="preserve"> i kra</w:t>
            </w:r>
            <w:r w:rsidRPr="00DA257A">
              <w:rPr>
                <w:noProof/>
                <w:sz w:val="22"/>
              </w:rPr>
              <w:t>jowych baz danych dla funkcjonariuszy policji</w:t>
            </w:r>
            <w:r w:rsidR="00DA257A" w:rsidRPr="00DA257A">
              <w:rPr>
                <w:noProof/>
                <w:sz w:val="22"/>
              </w:rPr>
              <w:t xml:space="preserve"> w ter</w:t>
            </w:r>
            <w:r w:rsidRPr="00DA257A">
              <w:rPr>
                <w:noProof/>
                <w:sz w:val="22"/>
              </w:rPr>
              <w:t>enie, szczególnie</w:t>
            </w:r>
            <w:r w:rsidR="00DA257A" w:rsidRPr="00DA257A">
              <w:rPr>
                <w:noProof/>
                <w:sz w:val="22"/>
              </w:rPr>
              <w:t xml:space="preserve"> w reg</w:t>
            </w:r>
            <w:r w:rsidRPr="00DA257A">
              <w:rPr>
                <w:noProof/>
                <w:sz w:val="22"/>
              </w:rPr>
              <w:t>ionach przygranicznych.</w:t>
            </w:r>
          </w:p>
          <w:p w14:paraId="7252454C" w14:textId="77777777" w:rsidR="008930E6" w:rsidRPr="00DA257A" w:rsidRDefault="008930E6" w:rsidP="004B0936">
            <w:pPr>
              <w:pStyle w:val="ListParagraph"/>
              <w:numPr>
                <w:ilvl w:val="0"/>
                <w:numId w:val="8"/>
              </w:numPr>
              <w:spacing w:after="120"/>
              <w:rPr>
                <w:noProof/>
                <w:sz w:val="22"/>
                <w:szCs w:val="22"/>
              </w:rPr>
            </w:pPr>
            <w:r w:rsidRPr="00DA257A">
              <w:rPr>
                <w:noProof/>
                <w:sz w:val="22"/>
              </w:rPr>
              <w:t xml:space="preserve">Interoperacyjność narzędzi radiokomunikacji. </w:t>
            </w:r>
          </w:p>
        </w:tc>
      </w:tr>
    </w:tbl>
    <w:p w14:paraId="0C31E217" w14:textId="5E96F722" w:rsidR="0097536D" w:rsidRPr="00DA257A" w:rsidRDefault="009B7F6D" w:rsidP="006E7B16">
      <w:pPr>
        <w:spacing w:before="240" w:after="120"/>
        <w:rPr>
          <w:b/>
          <w:bCs/>
          <w:noProof/>
        </w:rPr>
      </w:pPr>
      <w:r w:rsidRPr="00DA257A">
        <w:rPr>
          <w:b/>
          <w:noProof/>
        </w:rPr>
        <w:t xml:space="preserve">4.5. System Informacyjny Schengen </w:t>
      </w:r>
    </w:p>
    <w:p w14:paraId="70BB38B6" w14:textId="0F7C99E0" w:rsidR="003E2D04" w:rsidRPr="00DA257A" w:rsidRDefault="6E958833" w:rsidP="006E7B16">
      <w:pPr>
        <w:spacing w:after="120"/>
        <w:rPr>
          <w:noProof/>
        </w:rPr>
      </w:pPr>
      <w:r w:rsidRPr="00DA257A">
        <w:rPr>
          <w:noProof/>
        </w:rPr>
        <w:t>System Informacyjny Schengen (SIS) jest głównym środkiem kompensującym zniesienie kontroli na granicach wewnętrznych, ponieważ stanowi istotne wsparcie dla polityki</w:t>
      </w:r>
      <w:r w:rsidR="00DA257A" w:rsidRPr="00DA257A">
        <w:rPr>
          <w:noProof/>
        </w:rPr>
        <w:t xml:space="preserve"> w dzi</w:t>
      </w:r>
      <w:r w:rsidRPr="00DA257A">
        <w:rPr>
          <w:noProof/>
        </w:rPr>
        <w:t>edzinie migracji</w:t>
      </w:r>
      <w:r w:rsidR="00DA257A" w:rsidRPr="00DA257A">
        <w:rPr>
          <w:noProof/>
        </w:rPr>
        <w:t xml:space="preserve"> i bez</w:t>
      </w:r>
      <w:r w:rsidRPr="00DA257A">
        <w:rPr>
          <w:noProof/>
        </w:rPr>
        <w:t>pieczeństwa</w:t>
      </w:r>
      <w:r w:rsidR="00DA257A" w:rsidRPr="00DA257A">
        <w:rPr>
          <w:noProof/>
        </w:rPr>
        <w:t xml:space="preserve"> w cał</w:t>
      </w:r>
      <w:r w:rsidRPr="00DA257A">
        <w:rPr>
          <w:noProof/>
        </w:rPr>
        <w:t xml:space="preserve">ej strefie Schengen i na jej granicach zewnętrznych. </w:t>
      </w:r>
    </w:p>
    <w:p w14:paraId="597B8C56" w14:textId="08E82E57" w:rsidR="00CF7659" w:rsidRPr="00DA257A" w:rsidRDefault="008930E6" w:rsidP="006E7B16">
      <w:pPr>
        <w:spacing w:after="120"/>
        <w:rPr>
          <w:noProof/>
        </w:rPr>
      </w:pPr>
      <w:r w:rsidRPr="00DA257A">
        <w:rPr>
          <w:noProof/>
        </w:rPr>
        <w:t>Znaczenie SIS dla bezpieczeństwa</w:t>
      </w:r>
      <w:r w:rsidR="00DA257A" w:rsidRPr="00DA257A">
        <w:rPr>
          <w:noProof/>
        </w:rPr>
        <w:t xml:space="preserve"> i zar</w:t>
      </w:r>
      <w:r w:rsidRPr="00DA257A">
        <w:rPr>
          <w:noProof/>
        </w:rPr>
        <w:t>ządzania granicami</w:t>
      </w:r>
      <w:r w:rsidR="00DA257A" w:rsidRPr="00DA257A">
        <w:rPr>
          <w:noProof/>
        </w:rPr>
        <w:t xml:space="preserve"> w Eur</w:t>
      </w:r>
      <w:r w:rsidRPr="00DA257A">
        <w:rPr>
          <w:noProof/>
        </w:rPr>
        <w:t>opie stale rośnie. Mimo że kryzys związany z COVID-19 miał negatywny wpływ na korzystanie</w:t>
      </w:r>
      <w:r w:rsidR="00DA257A" w:rsidRPr="00DA257A">
        <w:rPr>
          <w:noProof/>
        </w:rPr>
        <w:t xml:space="preserve"> z sys</w:t>
      </w:r>
      <w:r w:rsidRPr="00DA257A">
        <w:rPr>
          <w:noProof/>
        </w:rPr>
        <w:t>temu ze względu na wynikające</w:t>
      </w:r>
      <w:r w:rsidR="00DA257A" w:rsidRPr="00DA257A">
        <w:rPr>
          <w:noProof/>
        </w:rPr>
        <w:t xml:space="preserve"> z nie</w:t>
      </w:r>
      <w:r w:rsidRPr="00DA257A">
        <w:rPr>
          <w:noProof/>
        </w:rPr>
        <w:t>go ograniczenie liczby podróżnych</w:t>
      </w:r>
      <w:r w:rsidR="00DA257A" w:rsidRPr="00DA257A">
        <w:rPr>
          <w:noProof/>
        </w:rPr>
        <w:t xml:space="preserve"> i zmn</w:t>
      </w:r>
      <w:r w:rsidRPr="00DA257A">
        <w:rPr>
          <w:noProof/>
        </w:rPr>
        <w:t>iejszenie liczby odpraw granicznych dokonywanych</w:t>
      </w:r>
      <w:r w:rsidR="00DA257A" w:rsidRPr="00DA257A">
        <w:rPr>
          <w:noProof/>
        </w:rPr>
        <w:t xml:space="preserve"> w tym</w:t>
      </w:r>
      <w:r w:rsidRPr="00DA257A">
        <w:rPr>
          <w:noProof/>
        </w:rPr>
        <w:t xml:space="preserve"> czasie, obecnie wykorzystanie SIS</w:t>
      </w:r>
      <w:r w:rsidR="00DA257A" w:rsidRPr="00DA257A">
        <w:rPr>
          <w:noProof/>
        </w:rPr>
        <w:t xml:space="preserve"> w Eur</w:t>
      </w:r>
      <w:r w:rsidRPr="00DA257A">
        <w:rPr>
          <w:noProof/>
        </w:rPr>
        <w:t>opie stale rośnie,</w:t>
      </w:r>
      <w:r w:rsidR="00DA257A" w:rsidRPr="00DA257A">
        <w:rPr>
          <w:noProof/>
        </w:rPr>
        <w:t xml:space="preserve"> a pod</w:t>
      </w:r>
      <w:r w:rsidRPr="00DA257A">
        <w:rPr>
          <w:noProof/>
        </w:rPr>
        <w:t xml:space="preserve"> koniec 2021</w:t>
      </w:r>
      <w:r w:rsidR="007C7210" w:rsidRPr="00DA257A">
        <w:rPr>
          <w:noProof/>
        </w:rPr>
        <w:t> </w:t>
      </w:r>
      <w:r w:rsidRPr="00DA257A">
        <w:rPr>
          <w:noProof/>
        </w:rPr>
        <w:t>r. osiągnęło szczytowy poziom prawie 90 mln wpisów</w:t>
      </w:r>
      <w:r w:rsidR="002C2ED3" w:rsidRPr="00DA257A">
        <w:rPr>
          <w:rStyle w:val="FootnoteReference"/>
          <w:noProof/>
        </w:rPr>
        <w:footnoteReference w:id="57"/>
      </w:r>
      <w:r w:rsidRPr="00DA257A">
        <w:rPr>
          <w:noProof/>
        </w:rPr>
        <w:t xml:space="preserve"> wprowadzonych przez państwa członkowskie do bazy danych Systemu Informacyjnego Schengen</w:t>
      </w:r>
      <w:r w:rsidR="002C2ED3" w:rsidRPr="00DA257A">
        <w:rPr>
          <w:rStyle w:val="FootnoteReference"/>
          <w:noProof/>
        </w:rPr>
        <w:footnoteReference w:id="58"/>
      </w:r>
      <w:r w:rsidRPr="00DA257A">
        <w:rPr>
          <w:noProof/>
        </w:rPr>
        <w:t>. Do grudnia 2019</w:t>
      </w:r>
      <w:r w:rsidR="007C7210" w:rsidRPr="00DA257A">
        <w:rPr>
          <w:noProof/>
        </w:rPr>
        <w:t> </w:t>
      </w:r>
      <w:r w:rsidRPr="00DA257A">
        <w:rPr>
          <w:noProof/>
        </w:rPr>
        <w:t>r., czyli tuż przed wybuchem pandemii,</w:t>
      </w:r>
      <w:r w:rsidR="00DA257A" w:rsidRPr="00DA257A">
        <w:rPr>
          <w:noProof/>
        </w:rPr>
        <w:t xml:space="preserve"> w Sys</w:t>
      </w:r>
      <w:r w:rsidRPr="00DA257A">
        <w:rPr>
          <w:noProof/>
        </w:rPr>
        <w:t>temie Informacyjnym Schengen przeprowadzono rekordową liczbę wyszukiwań – 6,6 mld,</w:t>
      </w:r>
      <w:r w:rsidR="00DA257A" w:rsidRPr="00DA257A">
        <w:rPr>
          <w:noProof/>
        </w:rPr>
        <w:t xml:space="preserve"> a tak</w:t>
      </w:r>
      <w:r w:rsidRPr="00DA257A">
        <w:rPr>
          <w:noProof/>
        </w:rPr>
        <w:t>że osiągnięto rekordowy poziom 283 713 trafień</w:t>
      </w:r>
      <w:r w:rsidR="002C2ED3" w:rsidRPr="00DA257A">
        <w:rPr>
          <w:rStyle w:val="FootnoteReference"/>
          <w:noProof/>
        </w:rPr>
        <w:footnoteReference w:id="59"/>
      </w:r>
      <w:r w:rsidRPr="00DA257A">
        <w:rPr>
          <w:noProof/>
        </w:rPr>
        <w:t xml:space="preserve"> (ta liczba wzrosła ponad dwukrotnie</w:t>
      </w:r>
      <w:r w:rsidR="00DA257A" w:rsidRPr="00DA257A">
        <w:rPr>
          <w:noProof/>
        </w:rPr>
        <w:t xml:space="preserve"> z 1</w:t>
      </w:r>
      <w:r w:rsidRPr="00DA257A">
        <w:rPr>
          <w:noProof/>
        </w:rPr>
        <w:t>28 598 trafień</w:t>
      </w:r>
      <w:r w:rsidR="00DA257A" w:rsidRPr="00DA257A">
        <w:rPr>
          <w:noProof/>
        </w:rPr>
        <w:t xml:space="preserve"> w 2</w:t>
      </w:r>
      <w:r w:rsidRPr="00DA257A">
        <w:rPr>
          <w:noProof/>
        </w:rPr>
        <w:t>014</w:t>
      </w:r>
      <w:r w:rsidR="007C7210" w:rsidRPr="00DA257A">
        <w:rPr>
          <w:noProof/>
        </w:rPr>
        <w:t> </w:t>
      </w:r>
      <w:r w:rsidRPr="00DA257A">
        <w:rPr>
          <w:noProof/>
        </w:rPr>
        <w:t>r.). W 2021</w:t>
      </w:r>
      <w:r w:rsidR="007C7210" w:rsidRPr="00DA257A">
        <w:rPr>
          <w:noProof/>
        </w:rPr>
        <w:t> </w:t>
      </w:r>
      <w:r w:rsidRPr="00DA257A">
        <w:rPr>
          <w:noProof/>
        </w:rPr>
        <w:t>r. w SIS przeprowadzono ponad 7 mld wyszukiwań</w:t>
      </w:r>
      <w:r w:rsidR="00965485" w:rsidRPr="00DA257A">
        <w:rPr>
          <w:rStyle w:val="FootnoteReference"/>
          <w:noProof/>
        </w:rPr>
        <w:footnoteReference w:id="60"/>
      </w:r>
      <w:r w:rsidR="00DA257A" w:rsidRPr="00DA257A">
        <w:rPr>
          <w:noProof/>
        </w:rPr>
        <w:t xml:space="preserve"> i uzy</w:t>
      </w:r>
      <w:r w:rsidRPr="00DA257A">
        <w:rPr>
          <w:noProof/>
        </w:rPr>
        <w:t>skano 222 967 trafień, co przyczyniło się do rozwiązania takiej samej liczby spraw</w:t>
      </w:r>
      <w:r w:rsidR="00DA257A" w:rsidRPr="00DA257A">
        <w:rPr>
          <w:noProof/>
        </w:rPr>
        <w:t xml:space="preserve"> w kra</w:t>
      </w:r>
      <w:r w:rsidRPr="00DA257A">
        <w:rPr>
          <w:noProof/>
        </w:rPr>
        <w:t>jach europejskich, które korzystają</w:t>
      </w:r>
      <w:r w:rsidR="00DA257A" w:rsidRPr="00DA257A">
        <w:rPr>
          <w:noProof/>
        </w:rPr>
        <w:t xml:space="preserve"> z teg</w:t>
      </w:r>
      <w:r w:rsidRPr="00DA257A">
        <w:rPr>
          <w:noProof/>
        </w:rPr>
        <w:t>o systemu.</w:t>
      </w:r>
    </w:p>
    <w:p w14:paraId="73C3A092" w14:textId="2DD4567D" w:rsidR="003E2D04" w:rsidRPr="00DA257A" w:rsidRDefault="6E958833" w:rsidP="006E7B16">
      <w:pPr>
        <w:spacing w:after="120"/>
        <w:rPr>
          <w:noProof/>
        </w:rPr>
      </w:pPr>
      <w:r w:rsidRPr="00DA257A">
        <w:rPr>
          <w:noProof/>
        </w:rPr>
        <w:t xml:space="preserve">Na podstawie przeprowadzonych ocen Schengen można stwierdzić, że </w:t>
      </w:r>
      <w:r w:rsidRPr="00DA257A">
        <w:rPr>
          <w:b/>
          <w:noProof/>
        </w:rPr>
        <w:t>państwa członkowskie zasadniczo wdrożyły</w:t>
      </w:r>
      <w:r w:rsidR="00DA257A" w:rsidRPr="00DA257A">
        <w:rPr>
          <w:b/>
          <w:noProof/>
        </w:rPr>
        <w:t xml:space="preserve"> i sto</w:t>
      </w:r>
      <w:r w:rsidRPr="00DA257A">
        <w:rPr>
          <w:b/>
          <w:noProof/>
        </w:rPr>
        <w:t>sują System Informacyjny Schengen</w:t>
      </w:r>
      <w:r w:rsidR="00DA257A" w:rsidRPr="00DA257A">
        <w:rPr>
          <w:b/>
          <w:noProof/>
        </w:rPr>
        <w:t xml:space="preserve"> w spo</w:t>
      </w:r>
      <w:r w:rsidRPr="00DA257A">
        <w:rPr>
          <w:b/>
          <w:noProof/>
        </w:rPr>
        <w:t>sób skuteczny</w:t>
      </w:r>
      <w:r w:rsidR="00DA257A" w:rsidRPr="00DA257A">
        <w:rPr>
          <w:b/>
          <w:noProof/>
        </w:rPr>
        <w:t xml:space="preserve"> i jed</w:t>
      </w:r>
      <w:r w:rsidRPr="00DA257A">
        <w:rPr>
          <w:b/>
          <w:noProof/>
        </w:rPr>
        <w:t>nolity.</w:t>
      </w:r>
      <w:r w:rsidRPr="00DA257A">
        <w:rPr>
          <w:noProof/>
        </w:rPr>
        <w:t xml:space="preserve"> Choć</w:t>
      </w:r>
      <w:r w:rsidR="00DA257A" w:rsidRPr="00DA257A">
        <w:rPr>
          <w:noProof/>
        </w:rPr>
        <w:t xml:space="preserve"> w nie</w:t>
      </w:r>
      <w:r w:rsidRPr="00DA257A">
        <w:rPr>
          <w:noProof/>
        </w:rPr>
        <w:t>których państwach członkowskich stwierdzono poważne niedociągnięcia we wdrażaniu Systemu Informacyjnego Schengen, kraje te pilnie</w:t>
      </w:r>
      <w:r w:rsidR="00DA257A" w:rsidRPr="00DA257A">
        <w:rPr>
          <w:noProof/>
        </w:rPr>
        <w:t xml:space="preserve"> i akt</w:t>
      </w:r>
      <w:r w:rsidRPr="00DA257A">
        <w:rPr>
          <w:noProof/>
        </w:rPr>
        <w:t xml:space="preserve">ywnie pracują nad wyeliminowaniem tych niedociągnięć. </w:t>
      </w:r>
    </w:p>
    <w:p w14:paraId="32F3FF5F" w14:textId="77777777" w:rsidR="003E2D04" w:rsidRPr="00DA257A" w:rsidRDefault="6E958833" w:rsidP="006E7B16">
      <w:pPr>
        <w:spacing w:after="120"/>
        <w:rPr>
          <w:noProof/>
        </w:rPr>
      </w:pPr>
      <w:r w:rsidRPr="00DA257A">
        <w:rPr>
          <w:noProof/>
        </w:rPr>
        <w:t xml:space="preserve">Podczas oceny ujawniono pewne </w:t>
      </w:r>
      <w:r w:rsidRPr="00DA257A">
        <w:rPr>
          <w:b/>
          <w:noProof/>
        </w:rPr>
        <w:t>powtarzające się niedociągnięcia</w:t>
      </w:r>
      <w:r w:rsidRPr="00DA257A">
        <w:rPr>
          <w:noProof/>
        </w:rPr>
        <w:t>:</w:t>
      </w:r>
    </w:p>
    <w:p w14:paraId="55989C94" w14:textId="6700F261" w:rsidR="003E2D04" w:rsidRPr="00DA257A" w:rsidRDefault="008328FB" w:rsidP="006E7B16">
      <w:pPr>
        <w:pStyle w:val="ListParagraph"/>
        <w:numPr>
          <w:ilvl w:val="0"/>
          <w:numId w:val="5"/>
        </w:numPr>
        <w:spacing w:after="120"/>
        <w:rPr>
          <w:noProof/>
        </w:rPr>
      </w:pPr>
      <w:r w:rsidRPr="00DA257A">
        <w:rPr>
          <w:noProof/>
        </w:rPr>
        <w:t>Państwa członkowskie nie wprowadzają do Systemu Informacyjnego Schengen wszystkich istotnych informacji. Na przykład nie zawsze dołączają odciski palców</w:t>
      </w:r>
      <w:r w:rsidR="00DA257A" w:rsidRPr="00DA257A">
        <w:rPr>
          <w:noProof/>
        </w:rPr>
        <w:t xml:space="preserve"> i fot</w:t>
      </w:r>
      <w:r w:rsidRPr="00DA257A">
        <w:rPr>
          <w:noProof/>
        </w:rPr>
        <w:t>ografie, nawet jeśli te dane są dostępne na poziomie krajowym</w:t>
      </w:r>
      <w:r w:rsidR="00DA257A" w:rsidRPr="00DA257A">
        <w:rPr>
          <w:noProof/>
        </w:rPr>
        <w:t>. W nie</w:t>
      </w:r>
      <w:r w:rsidRPr="00DA257A">
        <w:rPr>
          <w:noProof/>
        </w:rPr>
        <w:t>których przypadkach wynika to</w:t>
      </w:r>
      <w:r w:rsidR="00DA257A" w:rsidRPr="00DA257A">
        <w:rPr>
          <w:noProof/>
        </w:rPr>
        <w:t xml:space="preserve"> z bra</w:t>
      </w:r>
      <w:r w:rsidRPr="00DA257A">
        <w:rPr>
          <w:noProof/>
        </w:rPr>
        <w:t xml:space="preserve">ku narzędzi technicznych lub obowiązkowych procedur na szczeblu krajowym nakładających na organy dokonujące wpisu wymóg dodania tych danych, jeżeli są dostępne. </w:t>
      </w:r>
    </w:p>
    <w:p w14:paraId="5ABBB507" w14:textId="0B11110E" w:rsidR="003E2D04" w:rsidRPr="00DA257A" w:rsidRDefault="6E958833" w:rsidP="006E7B16">
      <w:pPr>
        <w:pStyle w:val="ListParagraph"/>
        <w:numPr>
          <w:ilvl w:val="0"/>
          <w:numId w:val="5"/>
        </w:numPr>
        <w:spacing w:after="120"/>
        <w:rPr>
          <w:noProof/>
        </w:rPr>
      </w:pPr>
      <w:r w:rsidRPr="00DA257A">
        <w:rPr>
          <w:noProof/>
        </w:rPr>
        <w:t>Nie wszystkie informacje dostępne we wpisie Systemu Informacyjnego Schengen (np. dostępna fotografia danej osoby) są wyświetlane użytkownikom końcowym, tj. funkcjonariuszom policji, straży granicznej</w:t>
      </w:r>
      <w:r w:rsidR="00DA257A" w:rsidRPr="00DA257A">
        <w:rPr>
          <w:noProof/>
        </w:rPr>
        <w:t xml:space="preserve"> i inn</w:t>
      </w:r>
      <w:r w:rsidRPr="00DA257A">
        <w:rPr>
          <w:noProof/>
        </w:rPr>
        <w:t>ym użytkownikom podczas korzystania</w:t>
      </w:r>
      <w:r w:rsidR="00DA257A" w:rsidRPr="00DA257A">
        <w:rPr>
          <w:noProof/>
        </w:rPr>
        <w:t xml:space="preserve"> z sys</w:t>
      </w:r>
      <w:r w:rsidRPr="00DA257A">
        <w:rPr>
          <w:noProof/>
        </w:rPr>
        <w:t>temu. Utrudnia to prawidłową identyfikację osoby, której dotyczy wpis,</w:t>
      </w:r>
      <w:r w:rsidR="00DA257A" w:rsidRPr="00DA257A">
        <w:rPr>
          <w:noProof/>
        </w:rPr>
        <w:t xml:space="preserve"> i pod</w:t>
      </w:r>
      <w:r w:rsidRPr="00DA257A">
        <w:rPr>
          <w:noProof/>
        </w:rPr>
        <w:t xml:space="preserve">jęcie odpowiednich działań. </w:t>
      </w:r>
    </w:p>
    <w:p w14:paraId="6E1CB085" w14:textId="668B5C26" w:rsidR="00AA717C" w:rsidRPr="00DA257A" w:rsidRDefault="000867F7" w:rsidP="006E7B16">
      <w:pPr>
        <w:pStyle w:val="ListParagraph"/>
        <w:numPr>
          <w:ilvl w:val="0"/>
          <w:numId w:val="5"/>
        </w:numPr>
        <w:spacing w:before="240"/>
        <w:rPr>
          <w:noProof/>
        </w:rPr>
      </w:pPr>
      <w:r w:rsidRPr="00DA257A">
        <w:rPr>
          <w:noProof/>
        </w:rPr>
        <w:t>W niektórych państwach członkowskich brakuje postępów</w:t>
      </w:r>
      <w:r w:rsidR="00DA257A" w:rsidRPr="00DA257A">
        <w:rPr>
          <w:noProof/>
        </w:rPr>
        <w:t xml:space="preserve"> w wyk</w:t>
      </w:r>
      <w:r w:rsidRPr="00DA257A">
        <w:rPr>
          <w:noProof/>
        </w:rPr>
        <w:t>orzystywaniu nowych narzędzi, takich jak funkcja wyszukiwania odcisków palców w SIS. Niesie to ze sobą ważne konsekwencje</w:t>
      </w:r>
      <w:r w:rsidR="00DA257A" w:rsidRPr="00DA257A">
        <w:rPr>
          <w:noProof/>
        </w:rPr>
        <w:t xml:space="preserve"> i moż</w:t>
      </w:r>
      <w:r w:rsidRPr="00DA257A">
        <w:rPr>
          <w:noProof/>
        </w:rPr>
        <w:t>e prowadzić do luk</w:t>
      </w:r>
      <w:r w:rsidR="00DA257A" w:rsidRPr="00DA257A">
        <w:rPr>
          <w:noProof/>
        </w:rPr>
        <w:t xml:space="preserve"> w sys</w:t>
      </w:r>
      <w:r w:rsidRPr="00DA257A">
        <w:rPr>
          <w:noProof/>
        </w:rPr>
        <w:t>temie bezpieczeństwa.</w:t>
      </w:r>
    </w:p>
    <w:p w14:paraId="5DACDC7F" w14:textId="3E86CB52" w:rsidR="00AA717C" w:rsidRPr="00DA257A" w:rsidRDefault="000867F7" w:rsidP="00A02EB4">
      <w:pPr>
        <w:pStyle w:val="ListParagraph"/>
        <w:numPr>
          <w:ilvl w:val="0"/>
          <w:numId w:val="5"/>
        </w:numPr>
        <w:spacing w:after="120"/>
        <w:rPr>
          <w:noProof/>
        </w:rPr>
      </w:pPr>
      <w:r w:rsidRPr="00DA257A">
        <w:rPr>
          <w:noProof/>
        </w:rPr>
        <w:t>Biura SIRENE, struktury administracyjne zajmujące się wymianą informacji uzupełniających wpisy</w:t>
      </w:r>
      <w:r w:rsidR="00DA257A" w:rsidRPr="00DA257A">
        <w:rPr>
          <w:noProof/>
        </w:rPr>
        <w:t xml:space="preserve"> w Sys</w:t>
      </w:r>
      <w:r w:rsidRPr="00DA257A">
        <w:rPr>
          <w:noProof/>
        </w:rPr>
        <w:t>temie Informacyjnym Schengen, są centralnym elementem funkcjonowania Systemu Informacyjnego Schengen, ale nie zawsze dysponują wystarczającym personelem</w:t>
      </w:r>
      <w:r w:rsidR="00DA257A" w:rsidRPr="00DA257A">
        <w:rPr>
          <w:noProof/>
        </w:rPr>
        <w:t xml:space="preserve"> i zas</w:t>
      </w:r>
      <w:r w:rsidRPr="00DA257A">
        <w:rPr>
          <w:noProof/>
        </w:rPr>
        <w:t>obami technicznymi,</w:t>
      </w:r>
      <w:r w:rsidR="00DA257A" w:rsidRPr="00DA257A">
        <w:rPr>
          <w:noProof/>
        </w:rPr>
        <w:t xml:space="preserve"> w tym</w:t>
      </w:r>
      <w:r w:rsidRPr="00DA257A">
        <w:rPr>
          <w:noProof/>
        </w:rPr>
        <w:t xml:space="preserve"> zautomatyzowanymi</w:t>
      </w:r>
      <w:r w:rsidR="00DA257A" w:rsidRPr="00DA257A">
        <w:rPr>
          <w:noProof/>
        </w:rPr>
        <w:t xml:space="preserve"> i zin</w:t>
      </w:r>
      <w:r w:rsidRPr="00DA257A">
        <w:rPr>
          <w:noProof/>
        </w:rPr>
        <w:t xml:space="preserve">tegrowanymi narzędziami kontroli obiegu zadań, które umożliwiłyby im skuteczną wymianę tych informacji. </w:t>
      </w:r>
    </w:p>
    <w:p w14:paraId="4B93C97B" w14:textId="07ADF9D5" w:rsidR="00652409" w:rsidRPr="00DA257A" w:rsidRDefault="0099507F" w:rsidP="002E04AA">
      <w:pPr>
        <w:pStyle w:val="ListParagraph"/>
        <w:numPr>
          <w:ilvl w:val="0"/>
          <w:numId w:val="5"/>
        </w:numPr>
        <w:spacing w:after="120"/>
        <w:rPr>
          <w:noProof/>
        </w:rPr>
      </w:pPr>
      <w:r w:rsidRPr="00DA257A">
        <w:rPr>
          <w:noProof/>
        </w:rPr>
        <w:t>Ograniczone zasoby ludzkie</w:t>
      </w:r>
      <w:r w:rsidR="00DA257A" w:rsidRPr="00DA257A">
        <w:rPr>
          <w:noProof/>
        </w:rPr>
        <w:t xml:space="preserve"> i tec</w:t>
      </w:r>
      <w:r w:rsidRPr="00DA257A">
        <w:rPr>
          <w:noProof/>
        </w:rPr>
        <w:t>hniczne</w:t>
      </w:r>
      <w:r w:rsidR="00DA257A" w:rsidRPr="00DA257A">
        <w:rPr>
          <w:noProof/>
        </w:rPr>
        <w:t xml:space="preserve"> w biu</w:t>
      </w:r>
      <w:r w:rsidRPr="00DA257A">
        <w:rPr>
          <w:noProof/>
        </w:rPr>
        <w:t>rach SIRENE sprawiają, że struktury te często funkcjonują na granicy swoich możliwości. Jakość</w:t>
      </w:r>
      <w:r w:rsidR="00DA257A" w:rsidRPr="00DA257A">
        <w:rPr>
          <w:noProof/>
        </w:rPr>
        <w:t xml:space="preserve"> i szy</w:t>
      </w:r>
      <w:r w:rsidRPr="00DA257A">
        <w:rPr>
          <w:noProof/>
        </w:rPr>
        <w:t>bkość wymiany informacji oraz współpraca operacyjna między biurami mają kluczowe znaczenie</w:t>
      </w:r>
      <w:r w:rsidR="00DA257A" w:rsidRPr="00DA257A">
        <w:rPr>
          <w:noProof/>
        </w:rPr>
        <w:t xml:space="preserve"> w dzi</w:t>
      </w:r>
      <w:r w:rsidRPr="00DA257A">
        <w:rPr>
          <w:noProof/>
        </w:rPr>
        <w:t>ałaniach podejmowanych</w:t>
      </w:r>
      <w:r w:rsidR="00DA257A" w:rsidRPr="00DA257A">
        <w:rPr>
          <w:noProof/>
        </w:rPr>
        <w:t xml:space="preserve"> w nas</w:t>
      </w:r>
      <w:r w:rsidRPr="00DA257A">
        <w:rPr>
          <w:noProof/>
        </w:rPr>
        <w:t>tępstwie trafień, np.</w:t>
      </w:r>
      <w:r w:rsidR="00DA257A" w:rsidRPr="00DA257A">
        <w:rPr>
          <w:noProof/>
        </w:rPr>
        <w:t xml:space="preserve"> w cel</w:t>
      </w:r>
      <w:r w:rsidRPr="00DA257A">
        <w:rPr>
          <w:noProof/>
        </w:rPr>
        <w:t>u zapewnienia ochrony osobom zaginionym</w:t>
      </w:r>
      <w:r w:rsidR="00DA257A" w:rsidRPr="00DA257A">
        <w:rPr>
          <w:noProof/>
        </w:rPr>
        <w:t xml:space="preserve"> i oso</w:t>
      </w:r>
      <w:r w:rsidRPr="00DA257A">
        <w:rPr>
          <w:noProof/>
        </w:rPr>
        <w:t xml:space="preserve">bom wymagającym szczególnego traktowania. </w:t>
      </w:r>
    </w:p>
    <w:p w14:paraId="7FA54940" w14:textId="7C361D5E" w:rsidR="00652409" w:rsidRPr="00DA257A" w:rsidRDefault="00652409" w:rsidP="002E04AA">
      <w:pPr>
        <w:pStyle w:val="ListParagraph"/>
        <w:numPr>
          <w:ilvl w:val="0"/>
          <w:numId w:val="5"/>
        </w:numPr>
        <w:spacing w:after="120"/>
        <w:rPr>
          <w:noProof/>
        </w:rPr>
      </w:pPr>
      <w:r w:rsidRPr="00DA257A">
        <w:rPr>
          <w:noProof/>
        </w:rPr>
        <w:t>Niektóre państwa członkowskie nie połączyły swoich systemów automatycznego rozpoznawania tablic rejestracyjnych</w:t>
      </w:r>
      <w:r w:rsidR="00DA257A" w:rsidRPr="00DA257A">
        <w:rPr>
          <w:noProof/>
        </w:rPr>
        <w:t xml:space="preserve"> z Sys</w:t>
      </w:r>
      <w:r w:rsidRPr="00DA257A">
        <w:rPr>
          <w:noProof/>
        </w:rPr>
        <w:t>temem Informacyjnym Schengen, co ogranicza ogólny poziom bezpieczeństwa</w:t>
      </w:r>
      <w:r w:rsidR="00DA257A" w:rsidRPr="00DA257A">
        <w:rPr>
          <w:noProof/>
        </w:rPr>
        <w:t xml:space="preserve"> w str</w:t>
      </w:r>
      <w:r w:rsidRPr="00DA257A">
        <w:rPr>
          <w:noProof/>
        </w:rPr>
        <w:t xml:space="preserve">efie Schengen i na granicach zewnętrznych. </w:t>
      </w:r>
    </w:p>
    <w:tbl>
      <w:tblPr>
        <w:tblStyle w:val="TableGrid"/>
        <w:tblW w:w="0" w:type="auto"/>
        <w:tblLook w:val="04A0" w:firstRow="1" w:lastRow="0" w:firstColumn="1" w:lastColumn="0" w:noHBand="0" w:noVBand="1"/>
      </w:tblPr>
      <w:tblGrid>
        <w:gridCol w:w="9242"/>
      </w:tblGrid>
      <w:tr w:rsidR="00E963BF" w:rsidRPr="00DA257A" w14:paraId="0D60CE46" w14:textId="77777777" w:rsidTr="6E958833">
        <w:tc>
          <w:tcPr>
            <w:tcW w:w="9242" w:type="dxa"/>
          </w:tcPr>
          <w:p w14:paraId="02F806BA" w14:textId="76491C04" w:rsidR="00E963BF" w:rsidRPr="00DA257A" w:rsidRDefault="00A356E2" w:rsidP="006E7B16">
            <w:pPr>
              <w:spacing w:after="120"/>
              <w:rPr>
                <w:b/>
                <w:bCs/>
                <w:noProof/>
                <w:sz w:val="22"/>
                <w:szCs w:val="22"/>
              </w:rPr>
            </w:pPr>
            <w:r w:rsidRPr="00DA257A">
              <w:rPr>
                <w:b/>
                <w:noProof/>
                <w:sz w:val="22"/>
              </w:rPr>
              <w:t xml:space="preserve">Ramka 9. Priorytety dotyczące Systemu Informacyjnego Schengen. </w:t>
            </w:r>
          </w:p>
          <w:p w14:paraId="0026C565" w14:textId="575EF811" w:rsidR="00C251E9" w:rsidRPr="00DA257A" w:rsidRDefault="00C251E9" w:rsidP="006E7B16">
            <w:pPr>
              <w:pStyle w:val="ListParagraph"/>
              <w:numPr>
                <w:ilvl w:val="0"/>
                <w:numId w:val="8"/>
              </w:numPr>
              <w:spacing w:after="120"/>
              <w:rPr>
                <w:noProof/>
                <w:sz w:val="22"/>
                <w:szCs w:val="22"/>
              </w:rPr>
            </w:pPr>
            <w:r w:rsidRPr="00DA257A">
              <w:rPr>
                <w:noProof/>
                <w:sz w:val="22"/>
              </w:rPr>
              <w:t>Możliwie jak najszybsze wdrożenie odnowionego Systemu Informacyjnego Schengen, obejmującego nowe kategorie wpisów</w:t>
            </w:r>
            <w:r w:rsidR="00DA257A" w:rsidRPr="00DA257A">
              <w:rPr>
                <w:noProof/>
                <w:sz w:val="22"/>
              </w:rPr>
              <w:t xml:space="preserve"> i ofe</w:t>
            </w:r>
            <w:r w:rsidRPr="00DA257A">
              <w:rPr>
                <w:noProof/>
                <w:sz w:val="22"/>
              </w:rPr>
              <w:t>rującego nowe funkcje, które jeszcze bardziej zwiększą skuteczność tego systemu.</w:t>
            </w:r>
          </w:p>
          <w:p w14:paraId="6A6F7388" w14:textId="0B79B7A8" w:rsidR="00AA717C" w:rsidRPr="00DA257A" w:rsidRDefault="00A02EB4" w:rsidP="00832FE7">
            <w:pPr>
              <w:pStyle w:val="ListParagraph"/>
              <w:numPr>
                <w:ilvl w:val="0"/>
                <w:numId w:val="8"/>
              </w:numPr>
              <w:spacing w:after="120"/>
              <w:rPr>
                <w:noProof/>
                <w:sz w:val="22"/>
                <w:szCs w:val="22"/>
              </w:rPr>
            </w:pPr>
            <w:r w:rsidRPr="00DA257A">
              <w:rPr>
                <w:noProof/>
                <w:sz w:val="22"/>
              </w:rPr>
              <w:t>Odpowiednie zwiększenie liczby pracowników</w:t>
            </w:r>
            <w:r w:rsidR="00DA257A" w:rsidRPr="00DA257A">
              <w:rPr>
                <w:noProof/>
                <w:sz w:val="22"/>
              </w:rPr>
              <w:t xml:space="preserve"> i zas</w:t>
            </w:r>
            <w:r w:rsidRPr="00DA257A">
              <w:rPr>
                <w:noProof/>
                <w:sz w:val="22"/>
              </w:rPr>
              <w:t>obów biur SIRENE</w:t>
            </w:r>
            <w:r w:rsidR="00DA257A" w:rsidRPr="00DA257A">
              <w:rPr>
                <w:noProof/>
                <w:sz w:val="22"/>
              </w:rPr>
              <w:t xml:space="preserve"> w pań</w:t>
            </w:r>
            <w:r w:rsidRPr="00DA257A">
              <w:rPr>
                <w:noProof/>
                <w:sz w:val="22"/>
              </w:rPr>
              <w:t>stwach członkowskich oraz automatyzacja kontroli obiegu zadań</w:t>
            </w:r>
            <w:r w:rsidR="00DA257A" w:rsidRPr="00DA257A">
              <w:rPr>
                <w:noProof/>
                <w:sz w:val="22"/>
              </w:rPr>
              <w:t xml:space="preserve"> w cel</w:t>
            </w:r>
            <w:r w:rsidRPr="00DA257A">
              <w:rPr>
                <w:noProof/>
                <w:sz w:val="22"/>
              </w:rPr>
              <w:t>u przetwarzania dużej liczby trafień przychodzących oraz zapewnienia jakości</w:t>
            </w:r>
            <w:r w:rsidR="00DA257A" w:rsidRPr="00DA257A">
              <w:rPr>
                <w:noProof/>
                <w:sz w:val="22"/>
              </w:rPr>
              <w:t xml:space="preserve"> i szy</w:t>
            </w:r>
            <w:r w:rsidRPr="00DA257A">
              <w:rPr>
                <w:noProof/>
                <w:sz w:val="22"/>
              </w:rPr>
              <w:t>bkości wymiany informacji</w:t>
            </w:r>
            <w:r w:rsidR="00DA257A" w:rsidRPr="00DA257A">
              <w:rPr>
                <w:noProof/>
                <w:sz w:val="22"/>
              </w:rPr>
              <w:t xml:space="preserve"> i wsp</w:t>
            </w:r>
            <w:r w:rsidRPr="00DA257A">
              <w:rPr>
                <w:noProof/>
                <w:sz w:val="22"/>
              </w:rPr>
              <w:t>ółpracy.</w:t>
            </w:r>
          </w:p>
          <w:p w14:paraId="50B00FF3" w14:textId="10065C97" w:rsidR="00E963BF" w:rsidRPr="00DA257A" w:rsidRDefault="00AA717C" w:rsidP="006E7B16">
            <w:pPr>
              <w:pStyle w:val="ListParagraph"/>
              <w:numPr>
                <w:ilvl w:val="0"/>
                <w:numId w:val="9"/>
              </w:numPr>
              <w:spacing w:after="120"/>
              <w:rPr>
                <w:noProof/>
                <w:sz w:val="22"/>
                <w:szCs w:val="22"/>
              </w:rPr>
            </w:pPr>
            <w:r w:rsidRPr="00DA257A">
              <w:rPr>
                <w:noProof/>
                <w:sz w:val="22"/>
              </w:rPr>
              <w:t>Pełne wykorzystywanie funkcji wyszukiwania odcisków palców</w:t>
            </w:r>
            <w:r w:rsidR="00DA257A" w:rsidRPr="00DA257A">
              <w:rPr>
                <w:noProof/>
                <w:sz w:val="22"/>
              </w:rPr>
              <w:t xml:space="preserve"> w Sys</w:t>
            </w:r>
            <w:r w:rsidRPr="00DA257A">
              <w:rPr>
                <w:noProof/>
                <w:sz w:val="22"/>
              </w:rPr>
              <w:t>temie Informacyjnym Schengen.</w:t>
            </w:r>
          </w:p>
        </w:tc>
      </w:tr>
    </w:tbl>
    <w:p w14:paraId="55D6039C" w14:textId="77777777" w:rsidR="00961057" w:rsidRPr="00DA257A" w:rsidRDefault="009B7F6D" w:rsidP="00100A7B">
      <w:pPr>
        <w:spacing w:before="240" w:after="120"/>
        <w:rPr>
          <w:b/>
          <w:noProof/>
        </w:rPr>
      </w:pPr>
      <w:r w:rsidRPr="00DA257A">
        <w:rPr>
          <w:b/>
          <w:noProof/>
        </w:rPr>
        <w:t xml:space="preserve">4.6. Ochrona danych </w:t>
      </w:r>
    </w:p>
    <w:p w14:paraId="0E5549A6" w14:textId="1B48890B" w:rsidR="003B0648" w:rsidRPr="00DA257A" w:rsidRDefault="00D969D6" w:rsidP="006E7B16">
      <w:pPr>
        <w:spacing w:before="240" w:after="120"/>
        <w:rPr>
          <w:noProof/>
          <w:szCs w:val="24"/>
        </w:rPr>
      </w:pPr>
      <w:r w:rsidRPr="00DA257A">
        <w:rPr>
          <w:noProof/>
        </w:rPr>
        <w:t>Kolejnym istotnym elementem dorobku Schengen są przepisy dotyczące ochrony danych osobowych. Główne wymogi prawne mające zastosowanie</w:t>
      </w:r>
      <w:r w:rsidR="00DA257A" w:rsidRPr="00DA257A">
        <w:rPr>
          <w:noProof/>
        </w:rPr>
        <w:t xml:space="preserve"> w tej</w:t>
      </w:r>
      <w:r w:rsidRPr="00DA257A">
        <w:rPr>
          <w:noProof/>
        </w:rPr>
        <w:t xml:space="preserve"> dziedzinie stanowią szczegółowe przepisy dotyczące ochrony danych osobowych zawarte</w:t>
      </w:r>
      <w:r w:rsidR="00DA257A" w:rsidRPr="00DA257A">
        <w:rPr>
          <w:noProof/>
        </w:rPr>
        <w:t xml:space="preserve"> w dor</w:t>
      </w:r>
      <w:r w:rsidRPr="00DA257A">
        <w:rPr>
          <w:noProof/>
        </w:rPr>
        <w:t>obku prawnym UE dotyczącym Systemu Informacyjnego Schengen</w:t>
      </w:r>
      <w:r w:rsidR="00DA257A" w:rsidRPr="00DA257A">
        <w:rPr>
          <w:noProof/>
        </w:rPr>
        <w:t xml:space="preserve"> i wiz</w:t>
      </w:r>
      <w:r w:rsidRPr="00DA257A">
        <w:rPr>
          <w:noProof/>
        </w:rPr>
        <w:t>owego systemu informacyjnego oraz,</w:t>
      </w:r>
      <w:r w:rsidR="00DA257A" w:rsidRPr="00DA257A">
        <w:rPr>
          <w:noProof/>
        </w:rPr>
        <w:t xml:space="preserve"> w prz</w:t>
      </w:r>
      <w:r w:rsidRPr="00DA257A">
        <w:rPr>
          <w:noProof/>
        </w:rPr>
        <w:t>yszłości, nowych systemów informacyjnych (system wjazdu/wyjazdu, ETIAS, interoperacyjność), przepisy ogólnego rozporządzenia</w:t>
      </w:r>
      <w:r w:rsidR="00DA257A" w:rsidRPr="00DA257A">
        <w:rPr>
          <w:noProof/>
        </w:rPr>
        <w:t xml:space="preserve"> o och</w:t>
      </w:r>
      <w:r w:rsidRPr="00DA257A">
        <w:rPr>
          <w:noProof/>
        </w:rPr>
        <w:t>ronie danych (RODO)</w:t>
      </w:r>
      <w:r w:rsidR="00CC62A6" w:rsidRPr="00DA257A">
        <w:rPr>
          <w:rStyle w:val="FootnoteReference"/>
          <w:noProof/>
        </w:rPr>
        <w:footnoteReference w:id="61"/>
      </w:r>
      <w:r w:rsidRPr="00DA257A">
        <w:rPr>
          <w:noProof/>
        </w:rPr>
        <w:t>, do których odsyłają przepisy dotyczące tych systemów, oraz dyrektywa</w:t>
      </w:r>
      <w:r w:rsidR="00DA257A" w:rsidRPr="00DA257A">
        <w:rPr>
          <w:noProof/>
        </w:rPr>
        <w:t xml:space="preserve"> o och</w:t>
      </w:r>
      <w:r w:rsidRPr="00DA257A">
        <w:rPr>
          <w:noProof/>
        </w:rPr>
        <w:t>ronie danych</w:t>
      </w:r>
      <w:r w:rsidR="00DA257A" w:rsidRPr="00DA257A">
        <w:rPr>
          <w:noProof/>
        </w:rPr>
        <w:t xml:space="preserve"> w spr</w:t>
      </w:r>
      <w:r w:rsidRPr="00DA257A">
        <w:rPr>
          <w:noProof/>
        </w:rPr>
        <w:t>awach karnych</w:t>
      </w:r>
      <w:r w:rsidR="009F6C65" w:rsidRPr="00DA257A">
        <w:rPr>
          <w:rStyle w:val="FootnoteReference"/>
          <w:noProof/>
        </w:rPr>
        <w:footnoteReference w:id="62"/>
      </w:r>
      <w:r w:rsidRPr="00DA257A">
        <w:rPr>
          <w:noProof/>
        </w:rPr>
        <w:t>.</w:t>
      </w:r>
    </w:p>
    <w:p w14:paraId="78F70DD6" w14:textId="4E2472B9" w:rsidR="003B0648" w:rsidRPr="00DA257A" w:rsidRDefault="00961057" w:rsidP="006E7B16">
      <w:pPr>
        <w:spacing w:before="240" w:after="120"/>
        <w:rPr>
          <w:noProof/>
        </w:rPr>
      </w:pPr>
      <w:r w:rsidRPr="00DA257A">
        <w:rPr>
          <w:noProof/>
        </w:rPr>
        <w:t>Ocena tego, jak państwa członkowskie wdrażają</w:t>
      </w:r>
      <w:r w:rsidR="00DA257A" w:rsidRPr="00DA257A">
        <w:rPr>
          <w:noProof/>
        </w:rPr>
        <w:t xml:space="preserve"> i sto</w:t>
      </w:r>
      <w:r w:rsidRPr="00DA257A">
        <w:rPr>
          <w:noProof/>
        </w:rPr>
        <w:t>sują dorobek Schengen,</w:t>
      </w:r>
      <w:r w:rsidR="00DA257A" w:rsidRPr="00DA257A">
        <w:rPr>
          <w:noProof/>
        </w:rPr>
        <w:t xml:space="preserve"> w szc</w:t>
      </w:r>
      <w:r w:rsidRPr="00DA257A">
        <w:rPr>
          <w:noProof/>
        </w:rPr>
        <w:t>zególności</w:t>
      </w:r>
      <w:r w:rsidR="00DA257A" w:rsidRPr="00DA257A">
        <w:rPr>
          <w:noProof/>
        </w:rPr>
        <w:t xml:space="preserve"> w odn</w:t>
      </w:r>
      <w:r w:rsidRPr="00DA257A">
        <w:rPr>
          <w:noProof/>
        </w:rPr>
        <w:t>iesieniu do SIS i VIS,</w:t>
      </w:r>
      <w:r w:rsidR="00DA257A" w:rsidRPr="00DA257A">
        <w:rPr>
          <w:noProof/>
        </w:rPr>
        <w:t xml:space="preserve"> w kon</w:t>
      </w:r>
      <w:r w:rsidRPr="00DA257A">
        <w:rPr>
          <w:noProof/>
        </w:rPr>
        <w:t>tekście wymogów dotyczących ochrony danych jest podstawowym zabezpieczeniem</w:t>
      </w:r>
      <w:r w:rsidR="00DA257A" w:rsidRPr="00DA257A">
        <w:rPr>
          <w:noProof/>
        </w:rPr>
        <w:t xml:space="preserve"> w tym</w:t>
      </w:r>
      <w:r w:rsidRPr="00DA257A">
        <w:rPr>
          <w:noProof/>
        </w:rPr>
        <w:t xml:space="preserve"> obszarze. </w:t>
      </w:r>
    </w:p>
    <w:p w14:paraId="38DAD536" w14:textId="2C41CB41" w:rsidR="00D969D6" w:rsidRPr="00DA257A" w:rsidRDefault="003B0648" w:rsidP="006E7B16">
      <w:pPr>
        <w:spacing w:before="240" w:after="120"/>
        <w:rPr>
          <w:noProof/>
        </w:rPr>
      </w:pPr>
      <w:r w:rsidRPr="00DA257A">
        <w:rPr>
          <w:noProof/>
        </w:rPr>
        <w:t>Choć podczas oceny Schengen nie stwierdzono poważnych niedociągnięć,</w:t>
      </w:r>
      <w:r w:rsidR="00DA257A" w:rsidRPr="00DA257A">
        <w:rPr>
          <w:noProof/>
        </w:rPr>
        <w:t xml:space="preserve"> a zgo</w:t>
      </w:r>
      <w:r w:rsidRPr="00DA257A">
        <w:rPr>
          <w:noProof/>
        </w:rPr>
        <w:t>dność</w:t>
      </w:r>
      <w:r w:rsidR="00DA257A" w:rsidRPr="00DA257A">
        <w:rPr>
          <w:noProof/>
        </w:rPr>
        <w:t xml:space="preserve"> z maj</w:t>
      </w:r>
      <w:r w:rsidRPr="00DA257A">
        <w:rPr>
          <w:noProof/>
        </w:rPr>
        <w:t>ącymi zastosowanie aktami prawa Unii</w:t>
      </w:r>
      <w:r w:rsidR="00DA257A" w:rsidRPr="00DA257A">
        <w:rPr>
          <w:noProof/>
        </w:rPr>
        <w:t xml:space="preserve"> w pos</w:t>
      </w:r>
      <w:r w:rsidRPr="00DA257A">
        <w:rPr>
          <w:noProof/>
        </w:rPr>
        <w:t xml:space="preserve">zczególnych przypadkach należy oceniać indywidualnie, nadal występuje kilka </w:t>
      </w:r>
      <w:r w:rsidRPr="00DA257A">
        <w:rPr>
          <w:b/>
          <w:noProof/>
        </w:rPr>
        <w:t>powtarzających się problemów</w:t>
      </w:r>
      <w:r w:rsidRPr="00DA257A">
        <w:rPr>
          <w:noProof/>
        </w:rPr>
        <w:t xml:space="preserve">, którymi należy się zająć: </w:t>
      </w:r>
    </w:p>
    <w:p w14:paraId="3E3245DE" w14:textId="7050FB34" w:rsidR="00D969D6" w:rsidRPr="00DA257A" w:rsidRDefault="00D969D6" w:rsidP="00486A30">
      <w:pPr>
        <w:pStyle w:val="ListParagraph"/>
        <w:numPr>
          <w:ilvl w:val="0"/>
          <w:numId w:val="9"/>
        </w:numPr>
        <w:spacing w:before="240" w:after="120"/>
        <w:rPr>
          <w:noProof/>
        </w:rPr>
      </w:pPr>
      <w:r w:rsidRPr="00DA257A">
        <w:rPr>
          <w:noProof/>
        </w:rPr>
        <w:t>Niektóre krajowe organy ochrony danych nie dysponują wystarczającymi zasobami ludzkimi</w:t>
      </w:r>
      <w:r w:rsidR="00DA257A" w:rsidRPr="00DA257A">
        <w:rPr>
          <w:noProof/>
        </w:rPr>
        <w:t xml:space="preserve"> i fin</w:t>
      </w:r>
      <w:r w:rsidRPr="00DA257A">
        <w:rPr>
          <w:noProof/>
        </w:rPr>
        <w:t>ansowymi, co utrudnia im wykonywanie wszystkich zadań związanych</w:t>
      </w:r>
      <w:r w:rsidR="00DA257A" w:rsidRPr="00DA257A">
        <w:rPr>
          <w:noProof/>
        </w:rPr>
        <w:t xml:space="preserve"> z Sys</w:t>
      </w:r>
      <w:r w:rsidRPr="00DA257A">
        <w:rPr>
          <w:noProof/>
        </w:rPr>
        <w:t>temem Informacyjnym Schengen</w:t>
      </w:r>
      <w:r w:rsidR="00DA257A" w:rsidRPr="00DA257A">
        <w:rPr>
          <w:noProof/>
        </w:rPr>
        <w:t xml:space="preserve"> i wiz</w:t>
      </w:r>
      <w:r w:rsidRPr="00DA257A">
        <w:rPr>
          <w:noProof/>
        </w:rPr>
        <w:t xml:space="preserve">owym systemem informacyjnym. </w:t>
      </w:r>
    </w:p>
    <w:p w14:paraId="29AF39E7" w14:textId="0F1CF299" w:rsidR="00D969D6" w:rsidRPr="00DA257A" w:rsidRDefault="00D969D6" w:rsidP="00486A30">
      <w:pPr>
        <w:pStyle w:val="ListParagraph"/>
        <w:numPr>
          <w:ilvl w:val="0"/>
          <w:numId w:val="9"/>
        </w:numPr>
        <w:spacing w:before="240" w:after="120"/>
        <w:rPr>
          <w:noProof/>
        </w:rPr>
      </w:pPr>
      <w:r w:rsidRPr="00DA257A">
        <w:rPr>
          <w:noProof/>
        </w:rPr>
        <w:t>Niektóre</w:t>
      </w:r>
      <w:r w:rsidR="00DA257A" w:rsidRPr="00DA257A">
        <w:rPr>
          <w:noProof/>
        </w:rPr>
        <w:t xml:space="preserve"> z org</w:t>
      </w:r>
      <w:r w:rsidRPr="00DA257A">
        <w:rPr>
          <w:noProof/>
        </w:rPr>
        <w:t xml:space="preserve">anów ochrony danych mogą być narażone na wywieranie zewnętrznego wpływu na ich pracę, co może ograniczyć ich niezależność. </w:t>
      </w:r>
    </w:p>
    <w:p w14:paraId="424D2E1B" w14:textId="43D3839E" w:rsidR="00420E36" w:rsidRPr="00DA257A" w:rsidRDefault="00D969D6" w:rsidP="00486A30">
      <w:pPr>
        <w:pStyle w:val="ListParagraph"/>
        <w:numPr>
          <w:ilvl w:val="0"/>
          <w:numId w:val="9"/>
        </w:numPr>
        <w:spacing w:before="240" w:after="120"/>
        <w:rPr>
          <w:noProof/>
        </w:rPr>
      </w:pPr>
      <w:r w:rsidRPr="00DA257A">
        <w:rPr>
          <w:noProof/>
        </w:rPr>
        <w:t xml:space="preserve">Nie wszystkim organom ochrony danych przyznano skuteczne uprawnienia naprawcze wobec organów ścigania. </w:t>
      </w:r>
    </w:p>
    <w:p w14:paraId="25EE9DD3" w14:textId="2BF88B40" w:rsidR="003B0648" w:rsidRPr="00DA257A" w:rsidRDefault="00420E36" w:rsidP="00486A30">
      <w:pPr>
        <w:pStyle w:val="ListParagraph"/>
        <w:numPr>
          <w:ilvl w:val="0"/>
          <w:numId w:val="9"/>
        </w:numPr>
        <w:spacing w:before="240" w:after="120"/>
        <w:rPr>
          <w:noProof/>
        </w:rPr>
      </w:pPr>
      <w:r w:rsidRPr="00DA257A">
        <w:rPr>
          <w:noProof/>
        </w:rPr>
        <w:t>W niektórych państwach członkowskich uznano, że częstsze</w:t>
      </w:r>
      <w:r w:rsidR="00DA257A" w:rsidRPr="00DA257A">
        <w:rPr>
          <w:noProof/>
        </w:rPr>
        <w:t xml:space="preserve"> i bar</w:t>
      </w:r>
      <w:r w:rsidRPr="00DA257A">
        <w:rPr>
          <w:noProof/>
        </w:rPr>
        <w:t>dziej kompleksowe kontrole przeprowadzane przez organy ochrony danych są konieczne, by organy te mogły wypełniać swoje zadanie polegające na monitorowaniu zgodności</w:t>
      </w:r>
      <w:r w:rsidR="00DA257A" w:rsidRPr="00DA257A">
        <w:rPr>
          <w:noProof/>
        </w:rPr>
        <w:t xml:space="preserve"> z pra</w:t>
      </w:r>
      <w:r w:rsidRPr="00DA257A">
        <w:rPr>
          <w:noProof/>
        </w:rPr>
        <w:t>wem przetwarzania danych</w:t>
      </w:r>
      <w:r w:rsidR="00DA257A" w:rsidRPr="00DA257A">
        <w:rPr>
          <w:noProof/>
        </w:rPr>
        <w:t xml:space="preserve"> z Sys</w:t>
      </w:r>
      <w:r w:rsidRPr="00DA257A">
        <w:rPr>
          <w:noProof/>
        </w:rPr>
        <w:t>temu Informacyjnego Schengen</w:t>
      </w:r>
      <w:r w:rsidR="00DA257A" w:rsidRPr="00DA257A">
        <w:rPr>
          <w:noProof/>
        </w:rPr>
        <w:t xml:space="preserve"> i wiz</w:t>
      </w:r>
      <w:r w:rsidRPr="00DA257A">
        <w:rPr>
          <w:noProof/>
        </w:rPr>
        <w:t xml:space="preserve">owego systemu informacyjnego. </w:t>
      </w:r>
    </w:p>
    <w:p w14:paraId="4E295D3A" w14:textId="47583474" w:rsidR="00420E36" w:rsidRPr="00DA257A" w:rsidRDefault="003B0648" w:rsidP="00486A30">
      <w:pPr>
        <w:pStyle w:val="ListParagraph"/>
        <w:numPr>
          <w:ilvl w:val="0"/>
          <w:numId w:val="9"/>
        </w:numPr>
        <w:spacing w:before="240" w:after="120"/>
        <w:rPr>
          <w:noProof/>
        </w:rPr>
      </w:pPr>
      <w:r w:rsidRPr="00DA257A">
        <w:rPr>
          <w:noProof/>
        </w:rPr>
        <w:t>Organy ochrony danych często nie spełniały wymogu przeprowadzania co najmniej co cztery lata kontroli operacji przetwarzania danych</w:t>
      </w:r>
      <w:r w:rsidR="00DA257A" w:rsidRPr="00DA257A">
        <w:rPr>
          <w:noProof/>
        </w:rPr>
        <w:t xml:space="preserve"> w Sys</w:t>
      </w:r>
      <w:r w:rsidRPr="00DA257A">
        <w:rPr>
          <w:noProof/>
        </w:rPr>
        <w:t>temie Informacyjnym Schengen</w:t>
      </w:r>
      <w:r w:rsidR="00DA257A" w:rsidRPr="00DA257A">
        <w:rPr>
          <w:noProof/>
        </w:rPr>
        <w:t xml:space="preserve"> i wiz</w:t>
      </w:r>
      <w:r w:rsidRPr="00DA257A">
        <w:rPr>
          <w:noProof/>
        </w:rPr>
        <w:t xml:space="preserve">owych systemach informacyjnych. </w:t>
      </w:r>
    </w:p>
    <w:p w14:paraId="23EA4F0B" w14:textId="6EFB940F" w:rsidR="00420E36" w:rsidRPr="00DA257A" w:rsidRDefault="00AA4202" w:rsidP="00486A30">
      <w:pPr>
        <w:pStyle w:val="ListParagraph"/>
        <w:numPr>
          <w:ilvl w:val="0"/>
          <w:numId w:val="9"/>
        </w:numPr>
        <w:spacing w:before="240" w:after="120"/>
        <w:rPr>
          <w:noProof/>
        </w:rPr>
      </w:pPr>
      <w:r w:rsidRPr="00DA257A">
        <w:rPr>
          <w:noProof/>
        </w:rPr>
        <w:t>W wielu przypadkach konieczna jest także poprawa, jeśli chodzi</w:t>
      </w:r>
      <w:r w:rsidR="00DA257A" w:rsidRPr="00DA257A">
        <w:rPr>
          <w:noProof/>
        </w:rPr>
        <w:t xml:space="preserve"> o inf</w:t>
      </w:r>
      <w:r w:rsidRPr="00DA257A">
        <w:rPr>
          <w:noProof/>
        </w:rPr>
        <w:t>ormacje</w:t>
      </w:r>
      <w:r w:rsidR="00DA257A" w:rsidRPr="00DA257A">
        <w:rPr>
          <w:noProof/>
        </w:rPr>
        <w:t xml:space="preserve"> o pra</w:t>
      </w:r>
      <w:r w:rsidRPr="00DA257A">
        <w:rPr>
          <w:noProof/>
        </w:rPr>
        <w:t>wach osób, których dane dotyczą,</w:t>
      </w:r>
      <w:r w:rsidR="00DA257A" w:rsidRPr="00DA257A">
        <w:rPr>
          <w:noProof/>
        </w:rPr>
        <w:t xml:space="preserve"> w odn</w:t>
      </w:r>
      <w:r w:rsidRPr="00DA257A">
        <w:rPr>
          <w:noProof/>
        </w:rPr>
        <w:t>iesieniu do Systemu Informacyjnego Schengen</w:t>
      </w:r>
      <w:r w:rsidR="00DA257A" w:rsidRPr="00DA257A">
        <w:rPr>
          <w:noProof/>
        </w:rPr>
        <w:t xml:space="preserve"> i wiz</w:t>
      </w:r>
      <w:r w:rsidRPr="00DA257A">
        <w:rPr>
          <w:noProof/>
        </w:rPr>
        <w:t>owego systemu informacyjnego oraz</w:t>
      </w:r>
      <w:r w:rsidR="00DA257A" w:rsidRPr="00DA257A">
        <w:rPr>
          <w:noProof/>
        </w:rPr>
        <w:t xml:space="preserve"> o pro</w:t>
      </w:r>
      <w:r w:rsidRPr="00DA257A">
        <w:rPr>
          <w:noProof/>
        </w:rPr>
        <w:t>cedurze korzystania</w:t>
      </w:r>
      <w:r w:rsidR="00DA257A" w:rsidRPr="00DA257A">
        <w:rPr>
          <w:noProof/>
        </w:rPr>
        <w:t xml:space="preserve"> z tyc</w:t>
      </w:r>
      <w:r w:rsidRPr="00DA257A">
        <w:rPr>
          <w:noProof/>
        </w:rPr>
        <w:t xml:space="preserve">h praw. </w:t>
      </w:r>
    </w:p>
    <w:p w14:paraId="6EE70BB8" w14:textId="657A57D8" w:rsidR="00420E36" w:rsidRPr="00DA257A" w:rsidRDefault="00312AC7" w:rsidP="00420E36">
      <w:pPr>
        <w:pStyle w:val="ListParagraph"/>
        <w:numPr>
          <w:ilvl w:val="0"/>
          <w:numId w:val="9"/>
        </w:numPr>
        <w:spacing w:before="240" w:after="120"/>
        <w:rPr>
          <w:noProof/>
        </w:rPr>
      </w:pPr>
      <w:r w:rsidRPr="00DA257A">
        <w:rPr>
          <w:noProof/>
        </w:rPr>
        <w:t>Okres przechowywania rejestrów zapytań</w:t>
      </w:r>
      <w:r w:rsidR="00DA257A" w:rsidRPr="00DA257A">
        <w:rPr>
          <w:noProof/>
        </w:rPr>
        <w:t xml:space="preserve"> w sys</w:t>
      </w:r>
      <w:r w:rsidRPr="00DA257A">
        <w:rPr>
          <w:noProof/>
        </w:rPr>
        <w:t>temach informatycznych</w:t>
      </w:r>
      <w:r w:rsidR="00DA257A" w:rsidRPr="00DA257A">
        <w:rPr>
          <w:noProof/>
        </w:rPr>
        <w:t xml:space="preserve"> w nie</w:t>
      </w:r>
      <w:r w:rsidRPr="00DA257A">
        <w:rPr>
          <w:noProof/>
        </w:rPr>
        <w:t>których przypadkach nadal nie jest zgodny</w:t>
      </w:r>
      <w:r w:rsidR="00DA257A" w:rsidRPr="00DA257A">
        <w:rPr>
          <w:noProof/>
        </w:rPr>
        <w:t xml:space="preserve"> z dor</w:t>
      </w:r>
      <w:r w:rsidRPr="00DA257A">
        <w:rPr>
          <w:noProof/>
        </w:rPr>
        <w:t xml:space="preserve">obkiem Schengen. </w:t>
      </w:r>
    </w:p>
    <w:p w14:paraId="30B990EC" w14:textId="30ADB50E" w:rsidR="003B0648" w:rsidRPr="00DA257A" w:rsidRDefault="003B0648" w:rsidP="00486A30">
      <w:pPr>
        <w:pStyle w:val="ListParagraph"/>
        <w:numPr>
          <w:ilvl w:val="0"/>
          <w:numId w:val="9"/>
        </w:numPr>
        <w:spacing w:before="240" w:after="120"/>
        <w:rPr>
          <w:noProof/>
        </w:rPr>
      </w:pPr>
      <w:r w:rsidRPr="00DA257A">
        <w:rPr>
          <w:noProof/>
        </w:rPr>
        <w:t>Niejednokrotnie administratorzy danych nie przeprowadzają aktywnej kontroli własnej działalności pod kątem przestrzegania przepisów</w:t>
      </w:r>
      <w:r w:rsidR="00DA257A" w:rsidRPr="00DA257A">
        <w:rPr>
          <w:noProof/>
        </w:rPr>
        <w:t xml:space="preserve"> o och</w:t>
      </w:r>
      <w:r w:rsidRPr="00DA257A">
        <w:rPr>
          <w:noProof/>
        </w:rPr>
        <w:t>ronie danych,</w:t>
      </w:r>
      <w:r w:rsidR="00DA257A" w:rsidRPr="00DA257A">
        <w:rPr>
          <w:noProof/>
        </w:rPr>
        <w:t xml:space="preserve"> w tym</w:t>
      </w:r>
      <w:r w:rsidRPr="00DA257A">
        <w:rPr>
          <w:noProof/>
        </w:rPr>
        <w:t xml:space="preserve"> nie dokonują regularnego przeglądu rejestrów. </w:t>
      </w:r>
    </w:p>
    <w:p w14:paraId="59F989F8" w14:textId="53A70DD7" w:rsidR="0023593E" w:rsidRPr="00DA257A" w:rsidRDefault="00162821" w:rsidP="00486A30">
      <w:pPr>
        <w:pStyle w:val="ListParagraph"/>
        <w:numPr>
          <w:ilvl w:val="0"/>
          <w:numId w:val="9"/>
        </w:numPr>
        <w:spacing w:before="240" w:after="120"/>
        <w:rPr>
          <w:noProof/>
        </w:rPr>
      </w:pPr>
      <w:r w:rsidRPr="00DA257A">
        <w:rPr>
          <w:noProof/>
        </w:rPr>
        <w:t>Ponadto nie zawsze zapewnia się regularne</w:t>
      </w:r>
      <w:r w:rsidR="00DA257A" w:rsidRPr="00DA257A">
        <w:rPr>
          <w:noProof/>
        </w:rPr>
        <w:t xml:space="preserve"> i ust</w:t>
      </w:r>
      <w:r w:rsidRPr="00DA257A">
        <w:rPr>
          <w:noProof/>
        </w:rPr>
        <w:t>awiczne szkolenia</w:t>
      </w:r>
      <w:r w:rsidR="00DA257A" w:rsidRPr="00DA257A">
        <w:rPr>
          <w:noProof/>
        </w:rPr>
        <w:t xml:space="preserve"> w zak</w:t>
      </w:r>
      <w:r w:rsidRPr="00DA257A">
        <w:rPr>
          <w:noProof/>
        </w:rPr>
        <w:t>resie ochrony</w:t>
      </w:r>
      <w:r w:rsidR="00DA257A" w:rsidRPr="00DA257A">
        <w:rPr>
          <w:noProof/>
        </w:rPr>
        <w:t xml:space="preserve"> i bez</w:t>
      </w:r>
      <w:r w:rsidRPr="00DA257A">
        <w:rPr>
          <w:noProof/>
        </w:rPr>
        <w:t xml:space="preserve">pieczeństwa danych dla wszystkich pracowników operacyjnych mających dostęp do systemów informatycznych. </w:t>
      </w:r>
    </w:p>
    <w:tbl>
      <w:tblPr>
        <w:tblStyle w:val="TableGrid"/>
        <w:tblW w:w="0" w:type="auto"/>
        <w:tblLook w:val="04A0" w:firstRow="1" w:lastRow="0" w:firstColumn="1" w:lastColumn="0" w:noHBand="0" w:noVBand="1"/>
      </w:tblPr>
      <w:tblGrid>
        <w:gridCol w:w="9549"/>
      </w:tblGrid>
      <w:tr w:rsidR="003B0648" w:rsidRPr="00DA257A" w14:paraId="2CC232D8" w14:textId="77777777" w:rsidTr="003B0648">
        <w:tc>
          <w:tcPr>
            <w:tcW w:w="9549" w:type="dxa"/>
          </w:tcPr>
          <w:p w14:paraId="552EDFEF" w14:textId="045A8CED" w:rsidR="003B0648" w:rsidRPr="00DA257A" w:rsidRDefault="00A356E2" w:rsidP="006E7B16">
            <w:pPr>
              <w:spacing w:after="120"/>
              <w:rPr>
                <w:b/>
                <w:bCs/>
                <w:noProof/>
                <w:szCs w:val="24"/>
              </w:rPr>
            </w:pPr>
            <w:r w:rsidRPr="00DA257A">
              <w:rPr>
                <w:b/>
                <w:noProof/>
                <w:sz w:val="22"/>
              </w:rPr>
              <w:t>Ramka 10. Priorytety dotyczące ochrony danych.</w:t>
            </w:r>
            <w:r w:rsidRPr="00DA257A">
              <w:rPr>
                <w:b/>
                <w:noProof/>
              </w:rPr>
              <w:t xml:space="preserve"> </w:t>
            </w:r>
          </w:p>
          <w:p w14:paraId="0251C2CC" w14:textId="7D37533A" w:rsidR="003B0648" w:rsidRPr="00DA257A" w:rsidRDefault="003B0648" w:rsidP="006E7B16">
            <w:pPr>
              <w:pStyle w:val="ListParagraph"/>
              <w:numPr>
                <w:ilvl w:val="0"/>
                <w:numId w:val="9"/>
              </w:numPr>
              <w:spacing w:before="240" w:after="120"/>
              <w:rPr>
                <w:noProof/>
                <w:sz w:val="22"/>
                <w:szCs w:val="22"/>
              </w:rPr>
            </w:pPr>
            <w:r w:rsidRPr="00DA257A">
              <w:rPr>
                <w:noProof/>
                <w:sz w:val="22"/>
              </w:rPr>
              <w:t>Państwa członkowskie powinny zapewnić organom ochrony danych zasoby wystarczające do tego, by umożliwić im wykonywanie wszystkich zadań związanych</w:t>
            </w:r>
            <w:r w:rsidR="00DA257A" w:rsidRPr="00DA257A">
              <w:rPr>
                <w:noProof/>
                <w:sz w:val="22"/>
              </w:rPr>
              <w:t xml:space="preserve"> z Sys</w:t>
            </w:r>
            <w:r w:rsidRPr="00DA257A">
              <w:rPr>
                <w:noProof/>
                <w:sz w:val="22"/>
              </w:rPr>
              <w:t>temem Informacyjnym Schengen</w:t>
            </w:r>
            <w:r w:rsidR="00DA257A" w:rsidRPr="00DA257A">
              <w:rPr>
                <w:noProof/>
                <w:sz w:val="22"/>
              </w:rPr>
              <w:t xml:space="preserve"> i wiz</w:t>
            </w:r>
            <w:r w:rsidRPr="00DA257A">
              <w:rPr>
                <w:noProof/>
                <w:sz w:val="22"/>
              </w:rPr>
              <w:t xml:space="preserve">owym systemem informacyjnym. </w:t>
            </w:r>
          </w:p>
          <w:p w14:paraId="15AABFF6" w14:textId="1A8DBF07" w:rsidR="003B0648" w:rsidRPr="00DA257A" w:rsidRDefault="003B0648" w:rsidP="006E7B16">
            <w:pPr>
              <w:pStyle w:val="ListParagraph"/>
              <w:numPr>
                <w:ilvl w:val="0"/>
                <w:numId w:val="8"/>
              </w:numPr>
              <w:spacing w:after="120"/>
              <w:rPr>
                <w:noProof/>
                <w:sz w:val="22"/>
                <w:szCs w:val="22"/>
              </w:rPr>
            </w:pPr>
            <w:r w:rsidRPr="00DA257A">
              <w:rPr>
                <w:noProof/>
                <w:sz w:val="22"/>
              </w:rPr>
              <w:t>Organy ochrony danych powinny zapewnić przeprowadzanie kontroli operacji przetwarzania danych</w:t>
            </w:r>
            <w:r w:rsidR="00DA257A" w:rsidRPr="00DA257A">
              <w:rPr>
                <w:noProof/>
                <w:sz w:val="22"/>
              </w:rPr>
              <w:t xml:space="preserve"> w Sys</w:t>
            </w:r>
            <w:r w:rsidRPr="00DA257A">
              <w:rPr>
                <w:noProof/>
                <w:sz w:val="22"/>
              </w:rPr>
              <w:t>temie Informacyjnym Schengen</w:t>
            </w:r>
            <w:r w:rsidR="00DA257A" w:rsidRPr="00DA257A">
              <w:rPr>
                <w:noProof/>
                <w:sz w:val="22"/>
              </w:rPr>
              <w:t xml:space="preserve"> i wiz</w:t>
            </w:r>
            <w:r w:rsidRPr="00DA257A">
              <w:rPr>
                <w:noProof/>
                <w:sz w:val="22"/>
              </w:rPr>
              <w:t xml:space="preserve">owych systemach informacyjnych co najmniej co cztery lata. </w:t>
            </w:r>
          </w:p>
          <w:p w14:paraId="52930E85" w14:textId="6AF75D1A" w:rsidR="003B0648" w:rsidRPr="00DA257A" w:rsidRDefault="003B0648" w:rsidP="006E7B16">
            <w:pPr>
              <w:pStyle w:val="ListParagraph"/>
              <w:numPr>
                <w:ilvl w:val="0"/>
                <w:numId w:val="8"/>
              </w:numPr>
              <w:spacing w:after="120"/>
              <w:rPr>
                <w:noProof/>
                <w:sz w:val="22"/>
                <w:szCs w:val="22"/>
              </w:rPr>
            </w:pPr>
            <w:r w:rsidRPr="00DA257A">
              <w:rPr>
                <w:noProof/>
                <w:sz w:val="22"/>
              </w:rPr>
              <w:t>Właściwe organy odpowiedzialne za System Informacyjny Schengen</w:t>
            </w:r>
            <w:r w:rsidR="00DA257A" w:rsidRPr="00DA257A">
              <w:rPr>
                <w:noProof/>
                <w:sz w:val="22"/>
              </w:rPr>
              <w:t xml:space="preserve"> i wiz</w:t>
            </w:r>
            <w:r w:rsidRPr="00DA257A">
              <w:rPr>
                <w:noProof/>
                <w:sz w:val="22"/>
              </w:rPr>
              <w:t>owy system informacyjny powinny zastosować się do zaleceń,</w:t>
            </w:r>
            <w:r w:rsidR="00DA257A" w:rsidRPr="00DA257A">
              <w:rPr>
                <w:noProof/>
                <w:sz w:val="22"/>
              </w:rPr>
              <w:t xml:space="preserve"> w szc</w:t>
            </w:r>
            <w:r w:rsidRPr="00DA257A">
              <w:rPr>
                <w:noProof/>
                <w:sz w:val="22"/>
              </w:rPr>
              <w:t>zególności dotyczących kontroli własnej działalności</w:t>
            </w:r>
            <w:r w:rsidR="00DA257A" w:rsidRPr="00DA257A">
              <w:rPr>
                <w:noProof/>
                <w:sz w:val="22"/>
              </w:rPr>
              <w:t xml:space="preserve"> i szk</w:t>
            </w:r>
            <w:r w:rsidRPr="00DA257A">
              <w:rPr>
                <w:noProof/>
                <w:sz w:val="22"/>
              </w:rPr>
              <w:t>oleń.</w:t>
            </w:r>
          </w:p>
          <w:p w14:paraId="6EA0E01A" w14:textId="2A10F6F6" w:rsidR="003B0648" w:rsidRPr="00DA257A" w:rsidRDefault="003B0648" w:rsidP="00E0488E">
            <w:pPr>
              <w:pStyle w:val="ListParagraph"/>
              <w:numPr>
                <w:ilvl w:val="0"/>
                <w:numId w:val="4"/>
              </w:numPr>
              <w:spacing w:after="120"/>
              <w:rPr>
                <w:noProof/>
                <w:szCs w:val="24"/>
              </w:rPr>
            </w:pPr>
            <w:r w:rsidRPr="00DA257A">
              <w:rPr>
                <w:noProof/>
                <w:sz w:val="22"/>
              </w:rPr>
              <w:t>Podczas wdrażania nowych systemów informacyjnych do celów kontroli granicznej (system wjazdu/wyjazdu, ETIAS, interoperacyjność) wszystkie odpowiedzialne podmioty powinny</w:t>
            </w:r>
            <w:r w:rsidR="00DA257A" w:rsidRPr="00DA257A">
              <w:rPr>
                <w:noProof/>
                <w:sz w:val="22"/>
              </w:rPr>
              <w:t xml:space="preserve"> w peł</w:t>
            </w:r>
            <w:r w:rsidRPr="00DA257A">
              <w:rPr>
                <w:noProof/>
                <w:sz w:val="22"/>
              </w:rPr>
              <w:t>ni stosować podejście polegające na uwzględnianiu ochrony prywatności już</w:t>
            </w:r>
            <w:r w:rsidR="00DA257A" w:rsidRPr="00DA257A">
              <w:rPr>
                <w:noProof/>
                <w:sz w:val="22"/>
              </w:rPr>
              <w:t xml:space="preserve"> w faz</w:t>
            </w:r>
            <w:r w:rsidRPr="00DA257A">
              <w:rPr>
                <w:noProof/>
                <w:sz w:val="22"/>
              </w:rPr>
              <w:t>ie projektowania. Należy zapewnić, aby wymogi dotyczące ochrony danych zostały</w:t>
            </w:r>
            <w:r w:rsidR="00DA257A" w:rsidRPr="00DA257A">
              <w:rPr>
                <w:noProof/>
                <w:sz w:val="22"/>
              </w:rPr>
              <w:t xml:space="preserve"> w peł</w:t>
            </w:r>
            <w:r w:rsidRPr="00DA257A">
              <w:rPr>
                <w:noProof/>
                <w:sz w:val="22"/>
              </w:rPr>
              <w:t>ni zintegrowane</w:t>
            </w:r>
            <w:r w:rsidR="00DA257A" w:rsidRPr="00DA257A">
              <w:rPr>
                <w:noProof/>
                <w:sz w:val="22"/>
              </w:rPr>
              <w:t xml:space="preserve"> i był</w:t>
            </w:r>
            <w:r w:rsidRPr="00DA257A">
              <w:rPr>
                <w:noProof/>
                <w:sz w:val="22"/>
              </w:rPr>
              <w:t>y przestrzegane od początku korzystania</w:t>
            </w:r>
            <w:r w:rsidR="00DA257A" w:rsidRPr="00DA257A">
              <w:rPr>
                <w:noProof/>
                <w:sz w:val="22"/>
              </w:rPr>
              <w:t xml:space="preserve"> z tyc</w:t>
            </w:r>
            <w:r w:rsidRPr="00DA257A">
              <w:rPr>
                <w:noProof/>
                <w:sz w:val="22"/>
              </w:rPr>
              <w:t>h systemów.</w:t>
            </w:r>
            <w:r w:rsidRPr="00DA257A">
              <w:rPr>
                <w:noProof/>
              </w:rPr>
              <w:t xml:space="preserve"> </w:t>
            </w:r>
          </w:p>
        </w:tc>
      </w:tr>
    </w:tbl>
    <w:p w14:paraId="31254370" w14:textId="77777777" w:rsidR="00652409" w:rsidRPr="00DA257A" w:rsidRDefault="00652409" w:rsidP="006E7B16">
      <w:pPr>
        <w:spacing w:after="120"/>
        <w:rPr>
          <w:noProof/>
        </w:rPr>
      </w:pPr>
    </w:p>
    <w:p w14:paraId="35C8899E" w14:textId="77777777" w:rsidR="0018373F" w:rsidRPr="00DA257A" w:rsidRDefault="0077413C" w:rsidP="006E7B16">
      <w:pPr>
        <w:pStyle w:val="ListParagraph"/>
        <w:numPr>
          <w:ilvl w:val="0"/>
          <w:numId w:val="1"/>
        </w:numPr>
        <w:spacing w:after="120"/>
        <w:rPr>
          <w:b/>
          <w:noProof/>
          <w:sz w:val="28"/>
        </w:rPr>
      </w:pPr>
      <w:r w:rsidRPr="00DA257A">
        <w:rPr>
          <w:b/>
          <w:noProof/>
          <w:sz w:val="28"/>
        </w:rPr>
        <w:t>Dalsze kroki</w:t>
      </w:r>
    </w:p>
    <w:p w14:paraId="695436BB" w14:textId="3CDB80F8" w:rsidR="00372ADA" w:rsidRPr="00DA257A" w:rsidRDefault="00B3672B" w:rsidP="006E7B16">
      <w:pPr>
        <w:spacing w:after="120"/>
        <w:rPr>
          <w:noProof/>
        </w:rPr>
      </w:pPr>
      <w:r w:rsidRPr="00DA257A">
        <w:rPr>
          <w:noProof/>
        </w:rPr>
        <w:t>Mimo że dziś jesteśmy lepiej przygotowani do reagowania na obecne</w:t>
      </w:r>
      <w:r w:rsidR="00DA257A" w:rsidRPr="00DA257A">
        <w:rPr>
          <w:noProof/>
        </w:rPr>
        <w:t xml:space="preserve"> i prz</w:t>
      </w:r>
      <w:r w:rsidRPr="00DA257A">
        <w:rPr>
          <w:noProof/>
        </w:rPr>
        <w:t>yszłe wyzwania, wartość wszelkich aktów lub ram prawnych zależy od ich skutecznego</w:t>
      </w:r>
      <w:r w:rsidR="00DA257A" w:rsidRPr="00DA257A">
        <w:rPr>
          <w:noProof/>
        </w:rPr>
        <w:t xml:space="preserve"> i ter</w:t>
      </w:r>
      <w:r w:rsidRPr="00DA257A">
        <w:rPr>
          <w:noProof/>
        </w:rPr>
        <w:t xml:space="preserve">minowego wdrożenia. </w:t>
      </w:r>
    </w:p>
    <w:p w14:paraId="5EC496F2" w14:textId="547CC591" w:rsidR="002820A2" w:rsidRPr="00DA257A" w:rsidRDefault="00BB318B" w:rsidP="006E7B16">
      <w:pPr>
        <w:spacing w:after="120"/>
        <w:rPr>
          <w:bCs/>
          <w:noProof/>
        </w:rPr>
      </w:pPr>
      <w:r w:rsidRPr="00DA257A">
        <w:rPr>
          <w:noProof/>
        </w:rPr>
        <w:t>Oceny Schengen przeprowadzone</w:t>
      </w:r>
      <w:r w:rsidR="00DA257A" w:rsidRPr="00DA257A">
        <w:rPr>
          <w:noProof/>
        </w:rPr>
        <w:t xml:space="preserve"> w ost</w:t>
      </w:r>
      <w:r w:rsidRPr="00DA257A">
        <w:rPr>
          <w:noProof/>
        </w:rPr>
        <w:t>atnich latach potwierdziły, że państwa członkowskie odpowiednio wdrażają dorobek Schengen</w:t>
      </w:r>
      <w:r w:rsidR="00DA257A" w:rsidRPr="00DA257A">
        <w:rPr>
          <w:noProof/>
        </w:rPr>
        <w:t xml:space="preserve"> w pos</w:t>
      </w:r>
      <w:r w:rsidRPr="00DA257A">
        <w:rPr>
          <w:noProof/>
        </w:rPr>
        <w:t>zczególnych obszarach polityki oraz że mechanizm ten przyniósł pożądany</w:t>
      </w:r>
      <w:r w:rsidR="00DA257A" w:rsidRPr="00DA257A">
        <w:rPr>
          <w:noProof/>
        </w:rPr>
        <w:t xml:space="preserve"> i zam</w:t>
      </w:r>
      <w:r w:rsidRPr="00DA257A">
        <w:rPr>
          <w:noProof/>
        </w:rPr>
        <w:t>ierzony efekt. Stwierdzono jednak niedociągnięcia,</w:t>
      </w:r>
      <w:r w:rsidR="00DA257A" w:rsidRPr="00DA257A">
        <w:rPr>
          <w:noProof/>
        </w:rPr>
        <w:t xml:space="preserve"> a w nie</w:t>
      </w:r>
      <w:r w:rsidRPr="00DA257A">
        <w:rPr>
          <w:noProof/>
        </w:rPr>
        <w:t>których dziedzinach nadal konieczny jest postęp</w:t>
      </w:r>
      <w:r w:rsidR="00DA257A" w:rsidRPr="00DA257A">
        <w:rPr>
          <w:noProof/>
        </w:rPr>
        <w:t>. W nin</w:t>
      </w:r>
      <w:r w:rsidRPr="00DA257A">
        <w:rPr>
          <w:noProof/>
        </w:rPr>
        <w:t>iejszym sprawozdaniu zidentyfikowano kluczowe obszary priorytetowe wymagające pilnej poprawy</w:t>
      </w:r>
      <w:r w:rsidR="00DA257A" w:rsidRPr="00DA257A">
        <w:rPr>
          <w:noProof/>
        </w:rPr>
        <w:t xml:space="preserve"> i uwy</w:t>
      </w:r>
      <w:r w:rsidRPr="00DA257A">
        <w:rPr>
          <w:noProof/>
        </w:rPr>
        <w:t>puklono konieczność szybkiego</w:t>
      </w:r>
      <w:r w:rsidR="00DA257A" w:rsidRPr="00DA257A">
        <w:rPr>
          <w:noProof/>
        </w:rPr>
        <w:t xml:space="preserve"> i odp</w:t>
      </w:r>
      <w:r w:rsidRPr="00DA257A">
        <w:rPr>
          <w:noProof/>
        </w:rPr>
        <w:t xml:space="preserve">owiedniego wdrożenia wszystkich dostępnych narzędzi. </w:t>
      </w:r>
    </w:p>
    <w:p w14:paraId="36DFBB26" w14:textId="020E2484" w:rsidR="00D41CE7" w:rsidRPr="00DA257A" w:rsidRDefault="00F847C3" w:rsidP="006E7B16">
      <w:pPr>
        <w:spacing w:after="120"/>
        <w:rPr>
          <w:noProof/>
        </w:rPr>
      </w:pPr>
      <w:r w:rsidRPr="00DA257A">
        <w:rPr>
          <w:noProof/>
        </w:rPr>
        <w:t xml:space="preserve">Dzięki wprowadzeniu cyklu Schengen </w:t>
      </w:r>
      <w:r w:rsidRPr="00DA257A">
        <w:rPr>
          <w:b/>
          <w:noProof/>
        </w:rPr>
        <w:t>zarządzanie strefą Schengen jest teraz wzmocnione</w:t>
      </w:r>
      <w:r w:rsidR="00DA257A" w:rsidRPr="00DA257A">
        <w:rPr>
          <w:noProof/>
        </w:rPr>
        <w:t xml:space="preserve"> </w:t>
      </w:r>
      <w:r w:rsidR="00DA257A" w:rsidRPr="00DA257A">
        <w:rPr>
          <w:b/>
          <w:noProof/>
        </w:rPr>
        <w:t>i</w:t>
      </w:r>
      <w:r w:rsidR="00DA257A" w:rsidRPr="00DA257A">
        <w:rPr>
          <w:noProof/>
        </w:rPr>
        <w:t> </w:t>
      </w:r>
      <w:r w:rsidR="00DA257A" w:rsidRPr="00DA257A">
        <w:rPr>
          <w:b/>
          <w:noProof/>
        </w:rPr>
        <w:t>sol</w:t>
      </w:r>
      <w:r w:rsidRPr="00DA257A">
        <w:rPr>
          <w:b/>
          <w:noProof/>
        </w:rPr>
        <w:t>idne</w:t>
      </w:r>
      <w:r w:rsidRPr="00DA257A">
        <w:rPr>
          <w:noProof/>
        </w:rPr>
        <w:t xml:space="preserve"> oraz zapewnia polityczną kontrolę nad odpowiednim wdrażaniem</w:t>
      </w:r>
      <w:r w:rsidR="00DA257A" w:rsidRPr="00DA257A">
        <w:rPr>
          <w:noProof/>
        </w:rPr>
        <w:t xml:space="preserve"> i reg</w:t>
      </w:r>
      <w:r w:rsidRPr="00DA257A">
        <w:rPr>
          <w:noProof/>
        </w:rPr>
        <w:t>ularnym monitorowaniem przepisów. Po wykonaniu pierwszych kroków</w:t>
      </w:r>
      <w:r w:rsidR="00DA257A" w:rsidRPr="00DA257A">
        <w:rPr>
          <w:noProof/>
        </w:rPr>
        <w:t xml:space="preserve"> w rea</w:t>
      </w:r>
      <w:r w:rsidRPr="00DA257A">
        <w:rPr>
          <w:noProof/>
        </w:rPr>
        <w:t>lizacji tego cyklu konieczne jest dalsze gwarantowanie wspólnych starań</w:t>
      </w:r>
      <w:r w:rsidR="00DA257A" w:rsidRPr="00DA257A">
        <w:rPr>
          <w:noProof/>
        </w:rPr>
        <w:t xml:space="preserve"> i wsp</w:t>
      </w:r>
      <w:r w:rsidRPr="00DA257A">
        <w:rPr>
          <w:noProof/>
        </w:rPr>
        <w:t>ólnej odpowiedzialności państw członkowskich, instytucji</w:t>
      </w:r>
      <w:r w:rsidR="00DA257A" w:rsidRPr="00DA257A">
        <w:rPr>
          <w:noProof/>
        </w:rPr>
        <w:t xml:space="preserve"> i age</w:t>
      </w:r>
      <w:r w:rsidRPr="00DA257A">
        <w:rPr>
          <w:noProof/>
        </w:rPr>
        <w:t>ncji Unii za ten proces</w:t>
      </w:r>
      <w:r w:rsidR="00DA257A" w:rsidRPr="00DA257A">
        <w:rPr>
          <w:noProof/>
        </w:rPr>
        <w:t xml:space="preserve"> w dro</w:t>
      </w:r>
      <w:r w:rsidRPr="00DA257A">
        <w:rPr>
          <w:noProof/>
        </w:rPr>
        <w:t>dze do kolejnego cyklu rocznego</w:t>
      </w:r>
      <w:r w:rsidR="00DA257A" w:rsidRPr="00DA257A">
        <w:rPr>
          <w:noProof/>
        </w:rPr>
        <w:t xml:space="preserve"> w 2</w:t>
      </w:r>
      <w:r w:rsidRPr="00DA257A">
        <w:rPr>
          <w:noProof/>
        </w:rPr>
        <w:t>023</w:t>
      </w:r>
      <w:r w:rsidR="007C7210" w:rsidRPr="00DA257A">
        <w:rPr>
          <w:noProof/>
        </w:rPr>
        <w:t> </w:t>
      </w:r>
      <w:r w:rsidRPr="00DA257A">
        <w:rPr>
          <w:noProof/>
        </w:rPr>
        <w:t xml:space="preserve">r. </w:t>
      </w:r>
    </w:p>
    <w:p w14:paraId="16944061" w14:textId="66E9804A" w:rsidR="00155D3E" w:rsidRPr="00DA257A" w:rsidRDefault="00155D3E" w:rsidP="00155D3E">
      <w:pPr>
        <w:spacing w:after="120"/>
        <w:rPr>
          <w:noProof/>
        </w:rPr>
      </w:pPr>
      <w:r w:rsidRPr="00DA257A">
        <w:rPr>
          <w:noProof/>
        </w:rPr>
        <w:t>Zasadnicze znaczenie ma dalsze dążenie do osiągnięcia</w:t>
      </w:r>
      <w:r w:rsidR="00DA257A" w:rsidRPr="00DA257A">
        <w:rPr>
          <w:noProof/>
        </w:rPr>
        <w:t xml:space="preserve"> w peł</w:t>
      </w:r>
      <w:r w:rsidRPr="00DA257A">
        <w:rPr>
          <w:noProof/>
        </w:rPr>
        <w:t xml:space="preserve">ni </w:t>
      </w:r>
      <w:r w:rsidRPr="00DA257A">
        <w:rPr>
          <w:b/>
          <w:noProof/>
        </w:rPr>
        <w:t>skutecznego europejskiego zintegrowanego zarządzania granicami</w:t>
      </w:r>
      <w:r w:rsidRPr="00DA257A">
        <w:rPr>
          <w:noProof/>
        </w:rPr>
        <w:t>,</w:t>
      </w:r>
      <w:r w:rsidR="00DA257A" w:rsidRPr="00DA257A">
        <w:rPr>
          <w:noProof/>
        </w:rPr>
        <w:t xml:space="preserve"> z zaa</w:t>
      </w:r>
      <w:r w:rsidRPr="00DA257A">
        <w:rPr>
          <w:noProof/>
        </w:rPr>
        <w:t>ngażowaniem wszystkich właściwych podmiotów zarówno na poziomie europejskim, jak</w:t>
      </w:r>
      <w:r w:rsidR="00DA257A" w:rsidRPr="00DA257A">
        <w:rPr>
          <w:noProof/>
        </w:rPr>
        <w:t xml:space="preserve"> i kra</w:t>
      </w:r>
      <w:r w:rsidRPr="00DA257A">
        <w:rPr>
          <w:noProof/>
        </w:rPr>
        <w:t xml:space="preserve">jowym. Na obszarze bez kontroli na granicach wewnętrznych niezbędne są ścisła </w:t>
      </w:r>
      <w:r w:rsidRPr="00DA257A">
        <w:rPr>
          <w:b/>
          <w:noProof/>
        </w:rPr>
        <w:t>współpraca policyjna</w:t>
      </w:r>
      <w:r w:rsidRPr="00DA257A">
        <w:rPr>
          <w:noProof/>
        </w:rPr>
        <w:t xml:space="preserve"> między państwami członkowskimi oraz skuteczne wdrożenie wielkoskalowych systemów informacyjnych, zwłaszcza </w:t>
      </w:r>
      <w:r w:rsidRPr="00DA257A">
        <w:rPr>
          <w:b/>
          <w:noProof/>
        </w:rPr>
        <w:t>Systemu Informacyjnego Schengen</w:t>
      </w:r>
      <w:r w:rsidRPr="00DA257A">
        <w:rPr>
          <w:noProof/>
        </w:rPr>
        <w:t>,</w:t>
      </w:r>
      <w:r w:rsidR="00DA257A" w:rsidRPr="00DA257A">
        <w:rPr>
          <w:noProof/>
        </w:rPr>
        <w:t xml:space="preserve"> a tak</w:t>
      </w:r>
      <w:r w:rsidRPr="00DA257A">
        <w:rPr>
          <w:noProof/>
        </w:rPr>
        <w:t xml:space="preserve">że skuteczna </w:t>
      </w:r>
      <w:r w:rsidRPr="00DA257A">
        <w:rPr>
          <w:b/>
          <w:noProof/>
        </w:rPr>
        <w:t>polityka powrotowa</w:t>
      </w:r>
      <w:r w:rsidR="00DA257A" w:rsidRPr="00DA257A">
        <w:rPr>
          <w:noProof/>
        </w:rPr>
        <w:t xml:space="preserve"> i </w:t>
      </w:r>
      <w:r w:rsidR="00DA257A" w:rsidRPr="00DA257A">
        <w:rPr>
          <w:b/>
          <w:noProof/>
        </w:rPr>
        <w:t>wsp</w:t>
      </w:r>
      <w:r w:rsidRPr="00DA257A">
        <w:rPr>
          <w:b/>
          <w:noProof/>
        </w:rPr>
        <w:t>ólna polityka wizowa</w:t>
      </w:r>
      <w:r w:rsidRPr="00DA257A">
        <w:rPr>
          <w:noProof/>
        </w:rPr>
        <w:t>.</w:t>
      </w:r>
    </w:p>
    <w:p w14:paraId="7B2A641A" w14:textId="39FD783D" w:rsidR="00155D3E" w:rsidRPr="00DA257A" w:rsidRDefault="00155D3E" w:rsidP="00155D3E">
      <w:pPr>
        <w:spacing w:after="120"/>
        <w:rPr>
          <w:noProof/>
        </w:rPr>
      </w:pPr>
      <w:r w:rsidRPr="00DA257A">
        <w:rPr>
          <w:noProof/>
        </w:rPr>
        <w:t>Ponadto należy skoncentrować się na zapewnieniu do końca 2023</w:t>
      </w:r>
      <w:r w:rsidR="007C7210" w:rsidRPr="00DA257A">
        <w:rPr>
          <w:noProof/>
        </w:rPr>
        <w:t> </w:t>
      </w:r>
      <w:r w:rsidRPr="00DA257A">
        <w:rPr>
          <w:noProof/>
        </w:rPr>
        <w:t>r. pełnego wdrożenia nowej architektury IT. UE zaprojektowała jeden</w:t>
      </w:r>
      <w:r w:rsidR="00DA257A" w:rsidRPr="00DA257A">
        <w:rPr>
          <w:noProof/>
        </w:rPr>
        <w:t xml:space="preserve"> z naj</w:t>
      </w:r>
      <w:r w:rsidRPr="00DA257A">
        <w:rPr>
          <w:noProof/>
        </w:rPr>
        <w:t xml:space="preserve">bardziej </w:t>
      </w:r>
      <w:r w:rsidRPr="00DA257A">
        <w:rPr>
          <w:b/>
          <w:noProof/>
        </w:rPr>
        <w:t>zaawansowanych technologicznie</w:t>
      </w:r>
      <w:r w:rsidRPr="00DA257A">
        <w:rPr>
          <w:noProof/>
        </w:rPr>
        <w:t xml:space="preserve"> systemów zarządzania granicami na świecie – należy zadbać</w:t>
      </w:r>
      <w:r w:rsidR="00DA257A" w:rsidRPr="00DA257A">
        <w:rPr>
          <w:noProof/>
        </w:rPr>
        <w:t xml:space="preserve"> o rea</w:t>
      </w:r>
      <w:r w:rsidRPr="00DA257A">
        <w:rPr>
          <w:noProof/>
        </w:rPr>
        <w:t>lizację tego ambitnego projektu</w:t>
      </w:r>
      <w:r w:rsidR="00DA257A" w:rsidRPr="00DA257A">
        <w:rPr>
          <w:noProof/>
        </w:rPr>
        <w:t xml:space="preserve"> w wyz</w:t>
      </w:r>
      <w:r w:rsidRPr="00DA257A">
        <w:rPr>
          <w:noProof/>
        </w:rPr>
        <w:t xml:space="preserve">naczonym terminie. </w:t>
      </w:r>
    </w:p>
    <w:p w14:paraId="401B7699" w14:textId="666851AC" w:rsidR="00372ADA" w:rsidRPr="00DA257A" w:rsidRDefault="00BB318B" w:rsidP="006E7B16">
      <w:pPr>
        <w:spacing w:after="120"/>
        <w:rPr>
          <w:bCs/>
          <w:noProof/>
        </w:rPr>
      </w:pPr>
      <w:r w:rsidRPr="00DA257A">
        <w:rPr>
          <w:noProof/>
        </w:rPr>
        <w:t>Ogromne znaczenie dla zapewnienia skutecznej realizacji naszych zobowiązań prawnych</w:t>
      </w:r>
      <w:r w:rsidR="00DA257A" w:rsidRPr="00DA257A">
        <w:rPr>
          <w:noProof/>
        </w:rPr>
        <w:t xml:space="preserve"> w pra</w:t>
      </w:r>
      <w:r w:rsidRPr="00DA257A">
        <w:rPr>
          <w:noProof/>
        </w:rPr>
        <w:t xml:space="preserve">ktyce ma </w:t>
      </w:r>
      <w:r w:rsidRPr="00DA257A">
        <w:rPr>
          <w:b/>
          <w:noProof/>
        </w:rPr>
        <w:t>zapewnienie wystarczających zasobów</w:t>
      </w:r>
      <w:r w:rsidR="00DA257A" w:rsidRPr="00DA257A">
        <w:rPr>
          <w:b/>
          <w:noProof/>
        </w:rPr>
        <w:t xml:space="preserve"> i szk</w:t>
      </w:r>
      <w:r w:rsidRPr="00DA257A">
        <w:rPr>
          <w:b/>
          <w:noProof/>
        </w:rPr>
        <w:t>oleń</w:t>
      </w:r>
      <w:r w:rsidRPr="00DA257A">
        <w:rPr>
          <w:noProof/>
        </w:rPr>
        <w:t xml:space="preserve"> osobom odpowiedzialnym za wdrażanie</w:t>
      </w:r>
      <w:r w:rsidR="00DA257A" w:rsidRPr="00DA257A">
        <w:rPr>
          <w:noProof/>
        </w:rPr>
        <w:t xml:space="preserve"> i egz</w:t>
      </w:r>
      <w:r w:rsidRPr="00DA257A">
        <w:rPr>
          <w:noProof/>
        </w:rPr>
        <w:t>ekwowanie dorobku Schengen</w:t>
      </w:r>
      <w:r w:rsidR="00DA257A" w:rsidRPr="00DA257A">
        <w:rPr>
          <w:noProof/>
        </w:rPr>
        <w:t>. W tym</w:t>
      </w:r>
      <w:r w:rsidRPr="00DA257A">
        <w:rPr>
          <w:noProof/>
        </w:rPr>
        <w:t xml:space="preserve"> kontekście kluczową rolę odgrywają agencje UE</w:t>
      </w:r>
      <w:r w:rsidR="00DA257A" w:rsidRPr="00DA257A">
        <w:rPr>
          <w:noProof/>
        </w:rPr>
        <w:t xml:space="preserve"> i nal</w:t>
      </w:r>
      <w:r w:rsidRPr="00DA257A">
        <w:rPr>
          <w:noProof/>
        </w:rPr>
        <w:t>eży zadbać o to, by ich mandaty były</w:t>
      </w:r>
      <w:r w:rsidR="00DA257A" w:rsidRPr="00DA257A">
        <w:rPr>
          <w:noProof/>
        </w:rPr>
        <w:t xml:space="preserve"> w peł</w:t>
      </w:r>
      <w:r w:rsidRPr="00DA257A">
        <w:rPr>
          <w:noProof/>
        </w:rPr>
        <w:t>ni wykorzystywane.</w:t>
      </w:r>
    </w:p>
    <w:p w14:paraId="2E6D9DF3" w14:textId="5FF3FC8E" w:rsidR="00B72D55" w:rsidRPr="00DA257A" w:rsidRDefault="00EE5469" w:rsidP="006E7B16">
      <w:pPr>
        <w:spacing w:after="120"/>
        <w:rPr>
          <w:noProof/>
        </w:rPr>
      </w:pPr>
      <w:r w:rsidRPr="00DA257A">
        <w:rPr>
          <w:noProof/>
        </w:rPr>
        <w:t>Wreszcie kluczowe jest szybkie</w:t>
      </w:r>
      <w:r w:rsidR="00DA257A" w:rsidRPr="00DA257A">
        <w:rPr>
          <w:noProof/>
        </w:rPr>
        <w:t xml:space="preserve"> i sku</w:t>
      </w:r>
      <w:r w:rsidRPr="00DA257A">
        <w:rPr>
          <w:noProof/>
        </w:rPr>
        <w:t xml:space="preserve">teczne wdrożenie </w:t>
      </w:r>
      <w:r w:rsidRPr="00DA257A">
        <w:rPr>
          <w:b/>
          <w:noProof/>
        </w:rPr>
        <w:t>zaleceń</w:t>
      </w:r>
      <w:r w:rsidRPr="00DA257A">
        <w:rPr>
          <w:noProof/>
        </w:rPr>
        <w:t xml:space="preserve"> przedstawionych</w:t>
      </w:r>
      <w:r w:rsidR="00DA257A" w:rsidRPr="00DA257A">
        <w:rPr>
          <w:noProof/>
        </w:rPr>
        <w:t xml:space="preserve"> w oce</w:t>
      </w:r>
      <w:r w:rsidRPr="00DA257A">
        <w:rPr>
          <w:noProof/>
        </w:rPr>
        <w:t>nach Schengen.</w:t>
      </w:r>
    </w:p>
    <w:p w14:paraId="3E51446D" w14:textId="3E89AC4D" w:rsidR="00571262" w:rsidRPr="00DA257A" w:rsidRDefault="0063681B" w:rsidP="006E7B16">
      <w:pPr>
        <w:spacing w:after="120"/>
        <w:rPr>
          <w:b/>
          <w:noProof/>
        </w:rPr>
      </w:pPr>
      <w:r w:rsidRPr="00DA257A">
        <w:rPr>
          <w:b/>
          <w:noProof/>
        </w:rPr>
        <w:t>Realizację priorytetów strefy Schengen zapewni większa odpowiedzialność polityczna oparta na dialogu</w:t>
      </w:r>
      <w:r w:rsidR="00DA257A" w:rsidRPr="00DA257A">
        <w:rPr>
          <w:b/>
          <w:noProof/>
        </w:rPr>
        <w:t xml:space="preserve"> i reg</w:t>
      </w:r>
      <w:r w:rsidRPr="00DA257A">
        <w:rPr>
          <w:b/>
          <w:noProof/>
        </w:rPr>
        <w:t>ularnym monitorowaniu</w:t>
      </w:r>
      <w:r w:rsidR="00DA257A" w:rsidRPr="00DA257A">
        <w:rPr>
          <w:b/>
          <w:noProof/>
        </w:rPr>
        <w:t>. W zwi</w:t>
      </w:r>
      <w:r w:rsidRPr="00DA257A">
        <w:rPr>
          <w:b/>
          <w:noProof/>
        </w:rPr>
        <w:t>ązku</w:t>
      </w:r>
      <w:r w:rsidR="00DA257A" w:rsidRPr="00DA257A">
        <w:rPr>
          <w:b/>
          <w:noProof/>
        </w:rPr>
        <w:t xml:space="preserve"> z tym</w:t>
      </w:r>
      <w:r w:rsidRPr="00DA257A">
        <w:rPr>
          <w:b/>
          <w:noProof/>
        </w:rPr>
        <w:t xml:space="preserve"> Komisja wzywa państwa członkowskie</w:t>
      </w:r>
      <w:r w:rsidR="00DA257A" w:rsidRPr="00DA257A">
        <w:rPr>
          <w:b/>
          <w:noProof/>
        </w:rPr>
        <w:t xml:space="preserve"> i age</w:t>
      </w:r>
      <w:r w:rsidRPr="00DA257A">
        <w:rPr>
          <w:b/>
          <w:noProof/>
        </w:rPr>
        <w:t>ncje UE do poczynienia niezbędnych kroków</w:t>
      </w:r>
      <w:r w:rsidR="00DA257A" w:rsidRPr="00DA257A">
        <w:rPr>
          <w:b/>
          <w:noProof/>
        </w:rPr>
        <w:t xml:space="preserve"> w cel</w:t>
      </w:r>
      <w:r w:rsidRPr="00DA257A">
        <w:rPr>
          <w:b/>
          <w:noProof/>
        </w:rPr>
        <w:t>u realizacji tych priorytetów</w:t>
      </w:r>
      <w:r w:rsidR="00DA257A" w:rsidRPr="00DA257A">
        <w:rPr>
          <w:b/>
          <w:noProof/>
        </w:rPr>
        <w:t xml:space="preserve"> i pod</w:t>
      </w:r>
      <w:r w:rsidRPr="00DA257A">
        <w:rPr>
          <w:b/>
          <w:noProof/>
        </w:rPr>
        <w:t xml:space="preserve">jęcia niezbędnych działań następczych. </w:t>
      </w:r>
    </w:p>
    <w:p w14:paraId="4EBAD892" w14:textId="0606992E" w:rsidR="003B7329" w:rsidRPr="00DA257A" w:rsidRDefault="00571262" w:rsidP="006E7B16">
      <w:pPr>
        <w:spacing w:after="120"/>
        <w:rPr>
          <w:b/>
          <w:noProof/>
        </w:rPr>
      </w:pPr>
      <w:r w:rsidRPr="00DA257A">
        <w:rPr>
          <w:b/>
          <w:noProof/>
        </w:rPr>
        <w:t>W tym względzie Komisja zachęca Radę ds. Schengen do zatwierdzenia</w:t>
      </w:r>
      <w:r w:rsidR="00DA257A" w:rsidRPr="00DA257A">
        <w:rPr>
          <w:b/>
          <w:noProof/>
        </w:rPr>
        <w:t xml:space="preserve"> w cze</w:t>
      </w:r>
      <w:r w:rsidRPr="00DA257A">
        <w:rPr>
          <w:b/>
          <w:noProof/>
        </w:rPr>
        <w:t>rwcu kluczowych elementów nowego modelu zarządzania strefą Schengen oraz priorytetów na lata 2022–2023 określonych</w:t>
      </w:r>
      <w:r w:rsidR="00DA257A" w:rsidRPr="00DA257A">
        <w:rPr>
          <w:b/>
          <w:noProof/>
        </w:rPr>
        <w:t xml:space="preserve"> w nin</w:t>
      </w:r>
      <w:r w:rsidRPr="00DA257A">
        <w:rPr>
          <w:b/>
          <w:noProof/>
        </w:rPr>
        <w:t>iejszym sprawozdaniu. Komisja będzie aktywnie uczestniczyć</w:t>
      </w:r>
      <w:r w:rsidR="00DA257A" w:rsidRPr="00DA257A">
        <w:rPr>
          <w:b/>
          <w:noProof/>
        </w:rPr>
        <w:t xml:space="preserve"> w tym</w:t>
      </w:r>
      <w:r w:rsidRPr="00DA257A">
        <w:rPr>
          <w:b/>
          <w:noProof/>
        </w:rPr>
        <w:t xml:space="preserve"> procesie zarówno na poziomie politycznym, jak</w:t>
      </w:r>
      <w:r w:rsidR="00DA257A" w:rsidRPr="00DA257A">
        <w:rPr>
          <w:b/>
          <w:noProof/>
        </w:rPr>
        <w:t xml:space="preserve"> i tec</w:t>
      </w:r>
      <w:r w:rsidRPr="00DA257A">
        <w:rPr>
          <w:b/>
          <w:noProof/>
        </w:rPr>
        <w:t>hnicznym,</w:t>
      </w:r>
      <w:r w:rsidR="00DA257A" w:rsidRPr="00DA257A">
        <w:rPr>
          <w:b/>
          <w:noProof/>
        </w:rPr>
        <w:t xml:space="preserve"> a pod</w:t>
      </w:r>
      <w:r w:rsidRPr="00DA257A">
        <w:rPr>
          <w:b/>
          <w:noProof/>
        </w:rPr>
        <w:t xml:space="preserve"> koniec cyklu rocznego przedstawi sprawozdanie</w:t>
      </w:r>
      <w:r w:rsidR="00DA257A" w:rsidRPr="00DA257A">
        <w:rPr>
          <w:b/>
          <w:noProof/>
        </w:rPr>
        <w:t xml:space="preserve"> z pos</w:t>
      </w:r>
      <w:r w:rsidRPr="00DA257A">
        <w:rPr>
          <w:b/>
          <w:noProof/>
        </w:rPr>
        <w:t>tępów</w:t>
      </w:r>
      <w:r w:rsidR="00DA257A" w:rsidRPr="00DA257A">
        <w:rPr>
          <w:b/>
          <w:noProof/>
        </w:rPr>
        <w:t xml:space="preserve"> i dzi</w:t>
      </w:r>
      <w:r w:rsidRPr="00DA257A">
        <w:rPr>
          <w:b/>
          <w:noProof/>
        </w:rPr>
        <w:t>ałań następczych.</w:t>
      </w:r>
    </w:p>
    <w:sectPr w:rsidR="003B7329" w:rsidRPr="00DA257A" w:rsidSect="005C50E6">
      <w:headerReference w:type="even" r:id="rId21"/>
      <w:headerReference w:type="default" r:id="rId22"/>
      <w:footerReference w:type="even" r:id="rId23"/>
      <w:footerReference w:type="default" r:id="rId24"/>
      <w:headerReference w:type="first" r:id="rId25"/>
      <w:footerReference w:type="first" r:id="rId26"/>
      <w:pgSz w:w="11906" w:h="16838"/>
      <w:pgMar w:top="567" w:right="1133" w:bottom="1134" w:left="127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DD1C" w14:textId="77777777" w:rsidR="007C7210" w:rsidRPr="00DA257A" w:rsidRDefault="007C7210" w:rsidP="00C114F8">
      <w:pPr>
        <w:spacing w:after="0"/>
      </w:pPr>
      <w:r w:rsidRPr="00DA257A">
        <w:separator/>
      </w:r>
    </w:p>
  </w:endnote>
  <w:endnote w:type="continuationSeparator" w:id="0">
    <w:p w14:paraId="21FB177C" w14:textId="77777777" w:rsidR="007C7210" w:rsidRPr="00DA257A" w:rsidRDefault="007C7210" w:rsidP="00C114F8">
      <w:pPr>
        <w:spacing w:after="0"/>
      </w:pPr>
      <w:r w:rsidRPr="00DA257A">
        <w:continuationSeparator/>
      </w:r>
    </w:p>
  </w:endnote>
  <w:endnote w:type="continuationNotice" w:id="1">
    <w:p w14:paraId="55D7691A" w14:textId="77777777" w:rsidR="007C7210" w:rsidRPr="00DA257A" w:rsidRDefault="007C72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6135" w14:textId="77777777" w:rsidR="009C6475" w:rsidRPr="009C6475" w:rsidRDefault="009C6475" w:rsidP="009C6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E8962" w14:textId="5B9FDA4F" w:rsidR="007C7210" w:rsidRPr="009C6475" w:rsidRDefault="009C6475" w:rsidP="009C6475">
    <w:pPr>
      <w:pStyle w:val="FooterCoverPage"/>
      <w:rPr>
        <w:rFonts w:ascii="Arial" w:hAnsi="Arial" w:cs="Arial"/>
        <w:b/>
        <w:sz w:val="48"/>
      </w:rPr>
    </w:pPr>
    <w:r w:rsidRPr="009C6475">
      <w:rPr>
        <w:rFonts w:ascii="Arial" w:hAnsi="Arial" w:cs="Arial"/>
        <w:b/>
        <w:sz w:val="48"/>
      </w:rPr>
      <w:t>PL</w:t>
    </w:r>
    <w:r w:rsidRPr="009C6475">
      <w:rPr>
        <w:rFonts w:ascii="Arial" w:hAnsi="Arial" w:cs="Arial"/>
        <w:b/>
        <w:sz w:val="48"/>
      </w:rPr>
      <w:tab/>
    </w:r>
    <w:r w:rsidRPr="009C6475">
      <w:rPr>
        <w:rFonts w:ascii="Arial" w:hAnsi="Arial" w:cs="Arial"/>
        <w:b/>
        <w:sz w:val="48"/>
      </w:rPr>
      <w:tab/>
    </w:r>
    <w:r w:rsidRPr="009C6475">
      <w:tab/>
    </w:r>
    <w:r w:rsidRPr="009C6475">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11C5E" w14:textId="77777777" w:rsidR="009C6475" w:rsidRPr="009C6475" w:rsidRDefault="009C6475" w:rsidP="009C647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6124" w14:textId="77777777" w:rsidR="007C7210" w:rsidRDefault="007C72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86447"/>
      <w:docPartObj>
        <w:docPartGallery w:val="Page Numbers (Bottom of Page)"/>
        <w:docPartUnique/>
      </w:docPartObj>
    </w:sdtPr>
    <w:sdtEndPr>
      <w:rPr>
        <w:noProof/>
      </w:rPr>
    </w:sdtEndPr>
    <w:sdtContent>
      <w:p w14:paraId="12BFE3AB" w14:textId="462C4946" w:rsidR="007C7210" w:rsidRDefault="007C7210">
        <w:pPr>
          <w:pStyle w:val="Footer"/>
          <w:jc w:val="center"/>
        </w:pPr>
        <w:r>
          <w:fldChar w:fldCharType="begin"/>
        </w:r>
        <w:r>
          <w:instrText xml:space="preserve"> PAGE   \* MERGEFORMAT </w:instrText>
        </w:r>
        <w:r>
          <w:fldChar w:fldCharType="separate"/>
        </w:r>
        <w:r w:rsidR="009C6475">
          <w:rPr>
            <w:noProof/>
          </w:rPr>
          <w:t>1</w:t>
        </w:r>
        <w:r>
          <w:fldChar w:fldCharType="end"/>
        </w:r>
      </w:p>
    </w:sdtContent>
  </w:sdt>
  <w:p w14:paraId="668DDD1A" w14:textId="77777777" w:rsidR="007C7210" w:rsidRDefault="007C721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10C0" w14:textId="77777777" w:rsidR="007C7210" w:rsidRDefault="007C7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7651C" w14:textId="77777777" w:rsidR="007C7210" w:rsidRPr="00DA257A" w:rsidRDefault="007C7210" w:rsidP="00C114F8">
      <w:pPr>
        <w:spacing w:after="0"/>
      </w:pPr>
      <w:r w:rsidRPr="00DA257A">
        <w:separator/>
      </w:r>
    </w:p>
  </w:footnote>
  <w:footnote w:type="continuationSeparator" w:id="0">
    <w:p w14:paraId="10EB015E" w14:textId="77777777" w:rsidR="007C7210" w:rsidRPr="00DA257A" w:rsidRDefault="007C7210" w:rsidP="00C114F8">
      <w:pPr>
        <w:spacing w:after="0"/>
      </w:pPr>
      <w:r w:rsidRPr="00DA257A">
        <w:continuationSeparator/>
      </w:r>
    </w:p>
  </w:footnote>
  <w:footnote w:type="continuationNotice" w:id="1">
    <w:p w14:paraId="741943C1" w14:textId="77777777" w:rsidR="007C7210" w:rsidRPr="00DA257A" w:rsidRDefault="007C7210">
      <w:pPr>
        <w:spacing w:after="0"/>
      </w:pPr>
    </w:p>
  </w:footnote>
  <w:footnote w:id="2">
    <w:p w14:paraId="1B43AEBF" w14:textId="77777777" w:rsidR="007C7210" w:rsidRPr="00DA257A" w:rsidRDefault="007C7210">
      <w:pPr>
        <w:pStyle w:val="FootnoteText"/>
      </w:pPr>
      <w:r w:rsidRPr="00DA257A">
        <w:rPr>
          <w:rStyle w:val="FootnoteReference"/>
        </w:rPr>
        <w:footnoteRef/>
      </w:r>
      <w:r w:rsidRPr="00DA257A">
        <w:t xml:space="preserve"> Badanie Eurobarometr – zima 2021/2022.</w:t>
      </w:r>
    </w:p>
  </w:footnote>
  <w:footnote w:id="3">
    <w:p w14:paraId="0E939F1F" w14:textId="77777777" w:rsidR="007C7210" w:rsidRPr="00DA257A" w:rsidRDefault="007C7210">
      <w:pPr>
        <w:pStyle w:val="FootnoteText"/>
      </w:pPr>
      <w:r w:rsidRPr="00DA257A">
        <w:rPr>
          <w:rStyle w:val="FootnoteReference"/>
        </w:rPr>
        <w:footnoteRef/>
      </w:r>
      <w:r w:rsidRPr="00DA257A">
        <w:t xml:space="preserve"> </w:t>
      </w:r>
      <w:hyperlink r:id="rId1" w:history="1">
        <w:r w:rsidRPr="00DA257A">
          <w:rPr>
            <w:rStyle w:val="Hyperlink"/>
          </w:rPr>
          <w:t>https://www.europarl.europa.eu/RegData/etudes/STUD/2016/581383/EPRS_STU%282016%29581383_EN.pdf</w:t>
        </w:r>
      </w:hyperlink>
      <w:r w:rsidRPr="00DA257A">
        <w:t xml:space="preserve"> </w:t>
      </w:r>
    </w:p>
  </w:footnote>
  <w:footnote w:id="4">
    <w:p w14:paraId="504C118C" w14:textId="28095D75" w:rsidR="007C7210" w:rsidRPr="00DA257A" w:rsidRDefault="007C7210" w:rsidP="0059165B">
      <w:pPr>
        <w:pStyle w:val="FootnoteText"/>
      </w:pPr>
      <w:r w:rsidRPr="00DA257A">
        <w:rPr>
          <w:rStyle w:val="FootnoteReference"/>
        </w:rPr>
        <w:footnoteRef/>
      </w:r>
      <w:r w:rsidRPr="00DA257A">
        <w:t xml:space="preserve"> Niniejsze sprawozdanie stanowi odpowiedź na zobowiązanie prawne Komisji do przedstawienia sprawozdania zgodnie</w:t>
      </w:r>
      <w:r w:rsidR="00DA257A" w:rsidRPr="00DA257A">
        <w:t xml:space="preserve"> z art</w:t>
      </w:r>
      <w:r w:rsidRPr="00DA257A">
        <w:t>. 20 rozporządzenia Rady (UE) nr 1053/2013</w:t>
      </w:r>
      <w:r w:rsidR="00DA257A" w:rsidRPr="00DA257A">
        <w:t xml:space="preserve"> w spr</w:t>
      </w:r>
      <w:r w:rsidRPr="00DA257A">
        <w:t>awie ustanowienia mechanizmu oceny</w:t>
      </w:r>
      <w:r w:rsidR="00DA257A" w:rsidRPr="00DA257A">
        <w:t xml:space="preserve"> i mon</w:t>
      </w:r>
      <w:r w:rsidRPr="00DA257A">
        <w:t>itorowania</w:t>
      </w:r>
      <w:r w:rsidR="00DA257A" w:rsidRPr="00DA257A">
        <w:t xml:space="preserve"> w cel</w:t>
      </w:r>
      <w:r w:rsidRPr="00DA257A">
        <w:t>u weryfikacji stosowania dorobku Schengen oraz art. 33 kodeksu granicznego Schengen (rozporządzenie (UE) 2016/399</w:t>
      </w:r>
      <w:r w:rsidR="00DA257A" w:rsidRPr="00DA257A">
        <w:t xml:space="preserve"> w spr</w:t>
      </w:r>
      <w:r w:rsidRPr="00DA257A">
        <w:t>awie unijnego kodeksu zasad regulujących przepływ osób przez granice). Ma ono również na celu zapewnienie powiązania</w:t>
      </w:r>
      <w:r w:rsidR="00DA257A" w:rsidRPr="00DA257A">
        <w:t xml:space="preserve"> z inn</w:t>
      </w:r>
      <w:r w:rsidRPr="00DA257A">
        <w:t>ymi podobnymi sprawozdaniami, które do tej pory uwzględniały różne elementy związane ze stanem strefy Schengen,</w:t>
      </w:r>
      <w:r w:rsidR="00DA257A" w:rsidRPr="00DA257A">
        <w:t xml:space="preserve"> z kom</w:t>
      </w:r>
      <w:r w:rsidRPr="00DA257A">
        <w:t>unikatem „Przywrócenie strefy Schengen”, regularnymi sprawozdaniami</w:t>
      </w:r>
      <w:r w:rsidR="00DA257A" w:rsidRPr="00DA257A">
        <w:t xml:space="preserve"> z rea</w:t>
      </w:r>
      <w:r w:rsidRPr="00DA257A">
        <w:t>lizacji Europejskiego programu</w:t>
      </w:r>
      <w:r w:rsidR="00DA257A" w:rsidRPr="00DA257A">
        <w:t xml:space="preserve"> w zak</w:t>
      </w:r>
      <w:r w:rsidRPr="00DA257A">
        <w:t>resie migracji, sprawozdaniami na temat migracji</w:t>
      </w:r>
      <w:r w:rsidR="00DA257A" w:rsidRPr="00DA257A">
        <w:t xml:space="preserve"> i azy</w:t>
      </w:r>
      <w:r w:rsidRPr="00DA257A">
        <w:t>lu, sprawozdaniem dotyczącym systematycznych odpraw, sprawozdaniami na temat interoperacyjności oraz sprawozdaniem</w:t>
      </w:r>
      <w:r w:rsidR="00DA257A" w:rsidRPr="00DA257A">
        <w:t xml:space="preserve"> z pos</w:t>
      </w:r>
      <w:r w:rsidRPr="00DA257A">
        <w:t>tępów prac</w:t>
      </w:r>
      <w:r w:rsidR="00DA257A" w:rsidRPr="00DA257A">
        <w:t xml:space="preserve"> w zak</w:t>
      </w:r>
      <w:r w:rsidRPr="00DA257A">
        <w:t>resie unii bezpieczeństwa.</w:t>
      </w:r>
    </w:p>
  </w:footnote>
  <w:footnote w:id="5">
    <w:p w14:paraId="114A04EC" w14:textId="364AB716" w:rsidR="007C7210" w:rsidRPr="00DA257A" w:rsidRDefault="007C7210" w:rsidP="00577F08">
      <w:pPr>
        <w:pStyle w:val="FootnoteText"/>
      </w:pPr>
      <w:r w:rsidRPr="00DA257A">
        <w:rPr>
          <w:rStyle w:val="FootnoteReference"/>
        </w:rPr>
        <w:footnoteRef/>
      </w:r>
      <w:r w:rsidRPr="00DA257A">
        <w:t xml:space="preserve"> 30 listopada 2020 r.</w:t>
      </w:r>
    </w:p>
  </w:footnote>
  <w:footnote w:id="6">
    <w:p w14:paraId="5FAB9C23" w14:textId="2536609E" w:rsidR="007C7210" w:rsidRPr="00DA257A" w:rsidRDefault="007C7210" w:rsidP="00577F08">
      <w:pPr>
        <w:pStyle w:val="FootnoteText"/>
      </w:pPr>
      <w:r w:rsidRPr="00DA257A">
        <w:rPr>
          <w:rStyle w:val="FootnoteReference"/>
        </w:rPr>
        <w:footnoteRef/>
      </w:r>
      <w:r w:rsidRPr="00DA257A">
        <w:t xml:space="preserve"> 17 maja 2021 r.</w:t>
      </w:r>
    </w:p>
  </w:footnote>
  <w:footnote w:id="7">
    <w:p w14:paraId="5591D2B7" w14:textId="1B5467E3" w:rsidR="007C7210" w:rsidRPr="00DA257A" w:rsidRDefault="007C7210" w:rsidP="00577F08">
      <w:pPr>
        <w:pStyle w:val="FootnoteText"/>
      </w:pPr>
      <w:r w:rsidRPr="00DA257A">
        <w:rPr>
          <w:rStyle w:val="FootnoteReference"/>
        </w:rPr>
        <w:footnoteRef/>
      </w:r>
      <w:r w:rsidRPr="00DA257A">
        <w:t xml:space="preserve"> Komisja powołała forum Schengen</w:t>
      </w:r>
      <w:r w:rsidR="00DA257A" w:rsidRPr="00DA257A">
        <w:t xml:space="preserve"> w cel</w:t>
      </w:r>
      <w:r w:rsidRPr="00DA257A">
        <w:t>u pobudzenia bardziej konkretnej współpracy</w:t>
      </w:r>
      <w:r w:rsidR="00DA257A" w:rsidRPr="00DA257A">
        <w:t xml:space="preserve"> i zap</w:t>
      </w:r>
      <w:r w:rsidRPr="00DA257A">
        <w:t>ewnienia wzajemnego zaufania oraz nadania impulsu politycznego poprzez podsumowanie dotychczasowych osiągnięć</w:t>
      </w:r>
      <w:r w:rsidR="00DA257A" w:rsidRPr="00DA257A">
        <w:t xml:space="preserve"> i nap</w:t>
      </w:r>
      <w:r w:rsidRPr="00DA257A">
        <w:t>otkanych przeszkód,</w:t>
      </w:r>
      <w:r w:rsidR="00DA257A" w:rsidRPr="00DA257A">
        <w:t xml:space="preserve"> a tak</w:t>
      </w:r>
      <w:r w:rsidRPr="00DA257A">
        <w:t xml:space="preserve">że wytyczenie kierunków rozwoju strefy Schengen. </w:t>
      </w:r>
    </w:p>
  </w:footnote>
  <w:footnote w:id="8">
    <w:p w14:paraId="564D94D0" w14:textId="51116D4D" w:rsidR="007C7210" w:rsidRPr="00DA257A" w:rsidRDefault="007C7210">
      <w:pPr>
        <w:pStyle w:val="FootnoteText"/>
      </w:pPr>
      <w:r w:rsidRPr="00DA257A">
        <w:rPr>
          <w:rStyle w:val="FootnoteReference"/>
        </w:rPr>
        <w:footnoteRef/>
      </w:r>
      <w:r w:rsidRPr="00DA257A">
        <w:t xml:space="preserve"> Komisja przedstawiła barometr Schengen na pierwszym posiedzeniu Rady ds. Schengen</w:t>
      </w:r>
      <w:r w:rsidR="00DA257A" w:rsidRPr="00DA257A">
        <w:t xml:space="preserve"> w mar</w:t>
      </w:r>
      <w:r w:rsidRPr="00DA257A">
        <w:t>cu 2022 r.</w:t>
      </w:r>
    </w:p>
  </w:footnote>
  <w:footnote w:id="9">
    <w:p w14:paraId="7952E3B3" w14:textId="14A4E0D8" w:rsidR="007C7210" w:rsidRPr="00DA257A" w:rsidDel="00DD74D4" w:rsidRDefault="007C7210" w:rsidP="007A3FFB">
      <w:pPr>
        <w:pStyle w:val="FootnoteText"/>
      </w:pPr>
      <w:r w:rsidRPr="00DA257A">
        <w:rPr>
          <w:rStyle w:val="FootnoteReference"/>
        </w:rPr>
        <w:footnoteRef/>
      </w:r>
      <w:r w:rsidRPr="00DA257A">
        <w:t xml:space="preserve"> Rada ds. Schengen powstała</w:t>
      </w:r>
      <w:r w:rsidR="00DA257A" w:rsidRPr="00DA257A">
        <w:t xml:space="preserve"> z ini</w:t>
      </w:r>
      <w:r w:rsidRPr="00DA257A">
        <w:t>cjatywy francuskiej prezydencji</w:t>
      </w:r>
      <w:r w:rsidR="00DA257A" w:rsidRPr="00DA257A">
        <w:t xml:space="preserve"> w Rad</w:t>
      </w:r>
      <w:r w:rsidRPr="00DA257A">
        <w:t>zie UE</w:t>
      </w:r>
      <w:r w:rsidR="00DA257A" w:rsidRPr="00DA257A">
        <w:t xml:space="preserve"> w ram</w:t>
      </w:r>
      <w:r w:rsidRPr="00DA257A">
        <w:t>ach Rady ds. Wymiaru Sprawiedliwości</w:t>
      </w:r>
      <w:r w:rsidR="00DA257A" w:rsidRPr="00DA257A">
        <w:t xml:space="preserve"> i Spr</w:t>
      </w:r>
      <w:r w:rsidRPr="00DA257A">
        <w:t>aw Wewnętrznych</w:t>
      </w:r>
      <w:r w:rsidR="00DA257A" w:rsidRPr="00DA257A">
        <w:t xml:space="preserve"> w for</w:t>
      </w:r>
      <w:r w:rsidRPr="00DA257A">
        <w:t>macie komitetu mieszanego (tj.</w:t>
      </w:r>
      <w:r w:rsidR="00DA257A" w:rsidRPr="00DA257A">
        <w:t xml:space="preserve"> z udz</w:t>
      </w:r>
      <w:r w:rsidRPr="00DA257A">
        <w:t>iałem państw stowarzyszonych</w:t>
      </w:r>
      <w:r w:rsidR="00DA257A" w:rsidRPr="00DA257A">
        <w:t xml:space="preserve"> w ram</w:t>
      </w:r>
      <w:r w:rsidRPr="00DA257A">
        <w:t>ach Schengen – Islandii, Norwegii, Szwajcarii</w:t>
      </w:r>
      <w:r w:rsidR="00DA257A" w:rsidRPr="00DA257A">
        <w:t xml:space="preserve"> i Lie</w:t>
      </w:r>
      <w:r w:rsidRPr="00DA257A">
        <w:t>chtensteinu) i ma za zadanie omawiać na wysokim szczeblu politycznym kwestie związane</w:t>
      </w:r>
      <w:r w:rsidR="00DA257A" w:rsidRPr="00DA257A">
        <w:t xml:space="preserve"> z Sch</w:t>
      </w:r>
      <w:r w:rsidRPr="00DA257A">
        <w:t>engen, włączając do dyskusji wszystkie zainteresowane strony,</w:t>
      </w:r>
      <w:r w:rsidR="00DA257A" w:rsidRPr="00DA257A">
        <w:t xml:space="preserve"> w szc</w:t>
      </w:r>
      <w:r w:rsidRPr="00DA257A">
        <w:t>zególności odpowiednie agencje.</w:t>
      </w:r>
    </w:p>
    <w:p w14:paraId="7BF638B1" w14:textId="77777777" w:rsidR="007C7210" w:rsidRPr="00DA257A" w:rsidRDefault="007C7210" w:rsidP="00B116A1">
      <w:pPr>
        <w:pStyle w:val="FootnoteText"/>
      </w:pPr>
    </w:p>
  </w:footnote>
  <w:footnote w:id="10">
    <w:p w14:paraId="2FE9E972" w14:textId="5E0AE6E0" w:rsidR="007C7210" w:rsidRPr="00DA257A" w:rsidRDefault="007C7210" w:rsidP="006C09E1">
      <w:pPr>
        <w:pStyle w:val="FootnoteText"/>
      </w:pPr>
      <w:r w:rsidRPr="00DA257A">
        <w:rPr>
          <w:rStyle w:val="FootnoteReference"/>
        </w:rPr>
        <w:footnoteRef/>
      </w:r>
      <w:r w:rsidRPr="00DA257A">
        <w:t xml:space="preserve"> Począwszy od 2023 r., cykl Schengen zostanie uruchomiony</w:t>
      </w:r>
      <w:r w:rsidR="00DA257A" w:rsidRPr="00DA257A">
        <w:t xml:space="preserve"> w lut</w:t>
      </w:r>
      <w:r w:rsidRPr="00DA257A">
        <w:t>ym wraz</w:t>
      </w:r>
      <w:r w:rsidR="00DA257A" w:rsidRPr="00DA257A">
        <w:t xml:space="preserve"> z prz</w:t>
      </w:r>
      <w:r w:rsidRPr="00DA257A">
        <w:t>yjęciem sprawozdania</w:t>
      </w:r>
      <w:r w:rsidR="00DA257A" w:rsidRPr="00DA257A">
        <w:t xml:space="preserve"> w spr</w:t>
      </w:r>
      <w:r w:rsidRPr="00DA257A">
        <w:t>awie stanu strefy Schengen.</w:t>
      </w:r>
    </w:p>
  </w:footnote>
  <w:footnote w:id="11">
    <w:p w14:paraId="3BAD79BB" w14:textId="5062ADFD" w:rsidR="007C7210" w:rsidRPr="00DA257A" w:rsidRDefault="007C7210" w:rsidP="00BE147F">
      <w:pPr>
        <w:pStyle w:val="FootnoteText"/>
      </w:pPr>
      <w:r w:rsidRPr="00DA257A">
        <w:rPr>
          <w:rStyle w:val="FootnoteReference"/>
        </w:rPr>
        <w:footnoteRef/>
      </w:r>
      <w:r w:rsidRPr="00DA257A">
        <w:t xml:space="preserve"> eu-LISA to agencja Unii Europejskiej zarządzająca działaniem wielkoskalowych systemów informatycznych, zajmująca się sprawami dotyczącymi wolności, sprawiedliwości</w:t>
      </w:r>
      <w:r w:rsidR="00DA257A" w:rsidRPr="00DA257A">
        <w:t xml:space="preserve"> i bez</w:t>
      </w:r>
      <w:r w:rsidRPr="00DA257A">
        <w:t>pieczeństwa.</w:t>
      </w:r>
    </w:p>
  </w:footnote>
  <w:footnote w:id="12">
    <w:p w14:paraId="0923C112" w14:textId="5BD715A4" w:rsidR="007C7210" w:rsidRPr="00DA257A" w:rsidRDefault="007C7210" w:rsidP="00BE147F">
      <w:pPr>
        <w:pStyle w:val="FootnoteText"/>
      </w:pPr>
      <w:r w:rsidRPr="00DA257A">
        <w:rPr>
          <w:rStyle w:val="FootnoteReference"/>
        </w:rPr>
        <w:footnoteRef/>
      </w:r>
      <w:r w:rsidRPr="00DA257A">
        <w:t xml:space="preserve"> Uruchomienie odnowionego Systemu Informacyjnego Schengen (SIS) planowane jest na wrzesień 2022 r.,</w:t>
      </w:r>
      <w:r w:rsidR="00DA257A" w:rsidRPr="00DA257A">
        <w:t xml:space="preserve"> a Kom</w:t>
      </w:r>
      <w:r w:rsidRPr="00DA257A">
        <w:t>isja przyjmie decyzję</w:t>
      </w:r>
      <w:r w:rsidR="00DA257A" w:rsidRPr="00DA257A">
        <w:t xml:space="preserve"> w cel</w:t>
      </w:r>
      <w:r w:rsidRPr="00DA257A">
        <w:t>u ustalenia dokładnej daty rozpoczęcia pełnego stosowania nowych rozporządzeń po spełnieniu wymogów (art. 66 rozporządzenia (UE) 2018/1861</w:t>
      </w:r>
      <w:r w:rsidR="00DA257A" w:rsidRPr="00DA257A">
        <w:t xml:space="preserve"> i art</w:t>
      </w:r>
      <w:r w:rsidRPr="00DA257A">
        <w:t>. 79 rozporządzenia (UE) 2018/1862); Uruchomienie systemu wjazdu/wyjazdu (EES) zostało przesunięte na listopad 2022 r. Rozpoczęcie eksploatacji europejskiego systemu informacji</w:t>
      </w:r>
      <w:r w:rsidR="00DA257A" w:rsidRPr="00DA257A">
        <w:t xml:space="preserve"> o pod</w:t>
      </w:r>
      <w:r w:rsidRPr="00DA257A">
        <w:t>róży oraz zezwoleń na podróż (ETIAS) zaplanowano na maj 2023 r.</w:t>
      </w:r>
    </w:p>
  </w:footnote>
  <w:footnote w:id="13">
    <w:p w14:paraId="3BB2839D" w14:textId="69C0F988" w:rsidR="007C7210" w:rsidRPr="00DA257A" w:rsidRDefault="007C7210" w:rsidP="009A3E7D">
      <w:pPr>
        <w:pStyle w:val="FootnoteText"/>
      </w:pPr>
      <w:r w:rsidRPr="00DA257A">
        <w:rPr>
          <w:rStyle w:val="FootnoteReference"/>
        </w:rPr>
        <w:footnoteRef/>
      </w:r>
      <w:r w:rsidRPr="00DA257A">
        <w:t xml:space="preserve"> Wniosek dotyczący rozporządzenia Parlamentu Europejskiego</w:t>
      </w:r>
      <w:r w:rsidR="00DA257A" w:rsidRPr="00DA257A">
        <w:t xml:space="preserve"> i Rad</w:t>
      </w:r>
      <w:r w:rsidRPr="00DA257A">
        <w:t>y zmieniającego rozporządzenie (UE) 2016/399</w:t>
      </w:r>
      <w:r w:rsidR="00DA257A" w:rsidRPr="00DA257A">
        <w:t xml:space="preserve"> w spr</w:t>
      </w:r>
      <w:r w:rsidRPr="00DA257A">
        <w:t>awie unijnego kodeksu zasad regulujących przepływ osób przez granice, COM(2021) 891</w:t>
      </w:r>
      <w:r w:rsidR="00DA257A" w:rsidRPr="00DA257A">
        <w:t xml:space="preserve"> z 1</w:t>
      </w:r>
      <w:r w:rsidRPr="00DA257A">
        <w:t>4.12.2021.</w:t>
      </w:r>
    </w:p>
  </w:footnote>
  <w:footnote w:id="14">
    <w:p w14:paraId="4A700117" w14:textId="5C486887" w:rsidR="007C7210" w:rsidRPr="00DA257A" w:rsidRDefault="007C7210">
      <w:pPr>
        <w:pStyle w:val="FootnoteText"/>
      </w:pPr>
      <w:r w:rsidRPr="00DA257A">
        <w:rPr>
          <w:rStyle w:val="FootnoteReference"/>
        </w:rPr>
        <w:footnoteRef/>
      </w:r>
      <w:r w:rsidRPr="00DA257A">
        <w:t xml:space="preserve"> Obejmują one wniosek dotyczący zalecenia Rady</w:t>
      </w:r>
      <w:r w:rsidR="00DA257A" w:rsidRPr="00DA257A">
        <w:t xml:space="preserve"> w spr</w:t>
      </w:r>
      <w:r w:rsidRPr="00DA257A">
        <w:t>awie operacyjnej współpracy policyjnej (COM(2021) 780 final), wniosek dotyczący dyrektywy Parlamentu Europejskiego</w:t>
      </w:r>
      <w:r w:rsidR="00DA257A" w:rsidRPr="00DA257A">
        <w:t xml:space="preserve"> i Rad</w:t>
      </w:r>
      <w:r w:rsidRPr="00DA257A">
        <w:t>y</w:t>
      </w:r>
      <w:r w:rsidR="00DA257A" w:rsidRPr="00DA257A">
        <w:t xml:space="preserve"> w spr</w:t>
      </w:r>
      <w:r w:rsidRPr="00DA257A">
        <w:t>awie wymiany informacji między organami ścigania państw członkowskich (COM(2021) 782 final) oraz wniosek dotyczący rozporządzenia Parlamentu Europejskiego</w:t>
      </w:r>
      <w:r w:rsidR="00DA257A" w:rsidRPr="00DA257A">
        <w:t xml:space="preserve"> i Rad</w:t>
      </w:r>
      <w:r w:rsidRPr="00DA257A">
        <w:t>y</w:t>
      </w:r>
      <w:r w:rsidR="00DA257A" w:rsidRPr="00DA257A">
        <w:t xml:space="preserve"> w spr</w:t>
      </w:r>
      <w:r w:rsidRPr="00DA257A">
        <w:t>awie zautomatyzowanej wymiany danych na potrzeby współpracy policyjnej (COM(2021) 784 final).</w:t>
      </w:r>
    </w:p>
  </w:footnote>
  <w:footnote w:id="15">
    <w:p w14:paraId="45E6AE24" w14:textId="0E8B3C35" w:rsidR="007C7210" w:rsidRPr="00DA257A" w:rsidRDefault="007C7210" w:rsidP="00A01323">
      <w:pPr>
        <w:pStyle w:val="FootnoteText"/>
      </w:pPr>
      <w:r w:rsidRPr="00DA257A">
        <w:rPr>
          <w:rStyle w:val="FootnoteReference"/>
        </w:rPr>
        <w:footnoteRef/>
      </w:r>
      <w:r w:rsidRPr="00DA257A">
        <w:t xml:space="preserve"> Rozporządzenie Parlamentu Europejskiego</w:t>
      </w:r>
      <w:r w:rsidR="00DA257A" w:rsidRPr="00DA257A">
        <w:t xml:space="preserve"> i Rad</w:t>
      </w:r>
      <w:r w:rsidRPr="00DA257A">
        <w:t>y (UE) 2017/458</w:t>
      </w:r>
      <w:r w:rsidR="00DA257A" w:rsidRPr="00DA257A">
        <w:t xml:space="preserve"> z dni</w:t>
      </w:r>
      <w:r w:rsidRPr="00DA257A">
        <w:t>a 15 marca 2017 r. zmieniające rozporządzenie (UE) 2016/399</w:t>
      </w:r>
      <w:r w:rsidR="00DA257A" w:rsidRPr="00DA257A">
        <w:t xml:space="preserve"> w odn</w:t>
      </w:r>
      <w:r w:rsidRPr="00DA257A">
        <w:t>iesieniu do zintensyfikowania odpraw na granicach zewnętrznych</w:t>
      </w:r>
      <w:r w:rsidR="00DA257A" w:rsidRPr="00DA257A">
        <w:t xml:space="preserve"> z wyk</w:t>
      </w:r>
      <w:r w:rsidRPr="00DA257A">
        <w:t>orzystaniem odpowiednich baz danych, Dz.U. L 74</w:t>
      </w:r>
      <w:r w:rsidR="00DA257A" w:rsidRPr="00DA257A">
        <w:t xml:space="preserve"> z 1</w:t>
      </w:r>
      <w:r w:rsidRPr="00DA257A">
        <w:t>8.3.2017, s. 1.</w:t>
      </w:r>
    </w:p>
  </w:footnote>
  <w:footnote w:id="16">
    <w:p w14:paraId="3DB36C4D" w14:textId="4F38E2DE" w:rsidR="007C7210" w:rsidRPr="00DA257A" w:rsidRDefault="007C7210">
      <w:pPr>
        <w:pStyle w:val="FootnoteText"/>
      </w:pPr>
      <w:r w:rsidRPr="00DA257A">
        <w:rPr>
          <w:rStyle w:val="FootnoteReference"/>
        </w:rPr>
        <w:footnoteRef/>
      </w:r>
      <w:r w:rsidRPr="00DA257A">
        <w:t xml:space="preserve"> C(2019) 7131 final</w:t>
      </w:r>
      <w:r w:rsidR="00DA257A" w:rsidRPr="00DA257A">
        <w:t xml:space="preserve"> z 8</w:t>
      </w:r>
      <w:r w:rsidRPr="00DA257A">
        <w:t>.10.2019.</w:t>
      </w:r>
    </w:p>
  </w:footnote>
  <w:footnote w:id="17">
    <w:p w14:paraId="246F14E0" w14:textId="3839ABF1" w:rsidR="007C7210" w:rsidRPr="00DA257A" w:rsidRDefault="007C7210" w:rsidP="00481D7F">
      <w:pPr>
        <w:pStyle w:val="FootnoteText"/>
      </w:pPr>
      <w:r w:rsidRPr="00DA257A">
        <w:rPr>
          <w:rStyle w:val="FootnoteReference"/>
        </w:rPr>
        <w:footnoteRef/>
      </w:r>
      <w:r w:rsidRPr="00DA257A">
        <w:t xml:space="preserve"> Rozporządzenie Parlamentu Europejskiego</w:t>
      </w:r>
      <w:r w:rsidR="00DA257A" w:rsidRPr="00DA257A">
        <w:t xml:space="preserve"> i Rad</w:t>
      </w:r>
      <w:r w:rsidRPr="00DA257A">
        <w:t>y (UE) 2019/1896</w:t>
      </w:r>
      <w:r w:rsidR="00DA257A" w:rsidRPr="00DA257A">
        <w:t xml:space="preserve"> z dni</w:t>
      </w:r>
      <w:r w:rsidRPr="00DA257A">
        <w:t>a 13 listopada 2019 r.</w:t>
      </w:r>
      <w:r w:rsidR="00DA257A" w:rsidRPr="00DA257A">
        <w:t xml:space="preserve"> w spr</w:t>
      </w:r>
      <w:r w:rsidRPr="00DA257A">
        <w:t>awie Europejskiej Straży Granicznej</w:t>
      </w:r>
      <w:r w:rsidR="00DA257A" w:rsidRPr="00DA257A">
        <w:t xml:space="preserve"> i Prz</w:t>
      </w:r>
      <w:r w:rsidRPr="00DA257A">
        <w:t>ybrzeżnej oraz uchylenia rozporządzeń (UE) nr 1052/2013 i (UE) 2016/1624, Dz.U. L 295</w:t>
      </w:r>
      <w:r w:rsidR="00DA257A" w:rsidRPr="00DA257A">
        <w:t xml:space="preserve"> z 1</w:t>
      </w:r>
      <w:r w:rsidRPr="00DA257A">
        <w:t>4.11.2019.</w:t>
      </w:r>
    </w:p>
  </w:footnote>
  <w:footnote w:id="18">
    <w:p w14:paraId="5480901E" w14:textId="197FA5AC" w:rsidR="007C7210" w:rsidRPr="00DA257A" w:rsidRDefault="007C7210">
      <w:pPr>
        <w:pStyle w:val="FootnoteText"/>
      </w:pPr>
      <w:r w:rsidRPr="00DA257A">
        <w:rPr>
          <w:rStyle w:val="FootnoteReference"/>
        </w:rPr>
        <w:footnoteRef/>
      </w:r>
      <w:r w:rsidRPr="00DA257A">
        <w:t xml:space="preserve"> </w:t>
      </w:r>
      <w:hyperlink r:id="rId2" w:history="1">
        <w:r w:rsidRPr="00DA257A">
          <w:rPr>
            <w:rStyle w:val="Hyperlink"/>
          </w:rPr>
          <w:t>Ułatwianie bezprawnego wjazdu</w:t>
        </w:r>
        <w:r w:rsidR="00DA257A" w:rsidRPr="00DA257A">
          <w:rPr>
            <w:rStyle w:val="Hyperlink"/>
          </w:rPr>
          <w:t xml:space="preserve"> i pob</w:t>
        </w:r>
        <w:r w:rsidRPr="00DA257A">
          <w:rPr>
            <w:rStyle w:val="Hyperlink"/>
          </w:rPr>
          <w:t>ytu |</w:t>
        </w:r>
      </w:hyperlink>
      <w:hyperlink r:id="rId3" w:history="1">
        <w:r w:rsidRPr="00DA257A">
          <w:rPr>
            <w:rStyle w:val="Hyperlink"/>
          </w:rPr>
          <w:t>Europol (europa.eu)</w:t>
        </w:r>
      </w:hyperlink>
    </w:p>
  </w:footnote>
  <w:footnote w:id="19">
    <w:p w14:paraId="6325B852" w14:textId="77777777" w:rsidR="007C7210" w:rsidRPr="00DA257A" w:rsidRDefault="007C7210">
      <w:pPr>
        <w:pStyle w:val="FootnoteText"/>
      </w:pPr>
      <w:r w:rsidRPr="00DA257A">
        <w:rPr>
          <w:rStyle w:val="FootnoteReference"/>
        </w:rPr>
        <w:footnoteRef/>
      </w:r>
      <w:r w:rsidRPr="00DA257A">
        <w:t xml:space="preserve"> </w:t>
      </w:r>
      <w:hyperlink r:id="rId4" w:history="1">
        <w:r w:rsidRPr="00DA257A">
          <w:rPr>
            <w:rStyle w:val="Hyperlink"/>
          </w:rPr>
          <w:t>https://eur-lex.europa.eu/legal-content/pl/TXT/PDF/?uri=CELEX:52022XC0304(10)&amp;from=EN</w:t>
        </w:r>
      </w:hyperlink>
      <w:r w:rsidRPr="00DA257A">
        <w:t xml:space="preserve"> </w:t>
      </w:r>
    </w:p>
  </w:footnote>
  <w:footnote w:id="20">
    <w:p w14:paraId="391D116F" w14:textId="3308750A" w:rsidR="007C7210" w:rsidRPr="00DA257A" w:rsidRDefault="007C7210" w:rsidP="00D02291">
      <w:pPr>
        <w:pStyle w:val="FootnoteText"/>
      </w:pPr>
      <w:r w:rsidRPr="00DA257A">
        <w:rPr>
          <w:rStyle w:val="FootnoteReference"/>
        </w:rPr>
        <w:footnoteRef/>
      </w:r>
      <w:r w:rsidRPr="00DA257A">
        <w:t xml:space="preserve"> Decyzja wykonawcza Rady (UE) 2022/382</w:t>
      </w:r>
      <w:r w:rsidR="00DA257A" w:rsidRPr="00DA257A">
        <w:t xml:space="preserve"> z dni</w:t>
      </w:r>
      <w:r w:rsidRPr="00DA257A">
        <w:t>a 4 marca 2022 r. stwierdzająca istnienie masowego napływu wysiedleńców</w:t>
      </w:r>
      <w:r w:rsidR="00DA257A" w:rsidRPr="00DA257A">
        <w:t xml:space="preserve"> z Ukr</w:t>
      </w:r>
      <w:r w:rsidRPr="00DA257A">
        <w:t>ainy</w:t>
      </w:r>
      <w:r w:rsidR="00DA257A" w:rsidRPr="00DA257A">
        <w:t xml:space="preserve"> w roz</w:t>
      </w:r>
      <w:r w:rsidRPr="00DA257A">
        <w:t>umieniu art. 5 dyrektywy 2001/55/WE</w:t>
      </w:r>
      <w:r w:rsidR="00DA257A" w:rsidRPr="00DA257A">
        <w:t xml:space="preserve"> i sku</w:t>
      </w:r>
      <w:r w:rsidRPr="00DA257A">
        <w:t>tkująca wprowadzeniem tymczasowej ochrony.</w:t>
      </w:r>
    </w:p>
  </w:footnote>
  <w:footnote w:id="21">
    <w:p w14:paraId="2B329B87" w14:textId="05F999C3" w:rsidR="007C7210" w:rsidRPr="00DA257A" w:rsidRDefault="007C7210">
      <w:pPr>
        <w:pStyle w:val="FootnoteText"/>
      </w:pPr>
      <w:r w:rsidRPr="00DA257A">
        <w:rPr>
          <w:rStyle w:val="FootnoteReference"/>
        </w:rPr>
        <w:footnoteRef/>
      </w:r>
      <w:r w:rsidRPr="00DA257A">
        <w:t xml:space="preserve"> W ramach ochrony tymczasowej osoby uciekające przed wojną otrzymują prawo do zezwolenia na pobyt oraz dostęp do odpowiedniego zakwaterowania, do rynku pracy, opieki medycznej, opieki społecznej, edukacji,</w:t>
      </w:r>
      <w:r w:rsidR="00DA257A" w:rsidRPr="00DA257A">
        <w:t xml:space="preserve"> a tak</w:t>
      </w:r>
      <w:r w:rsidRPr="00DA257A">
        <w:t>że</w:t>
      </w:r>
      <w:r w:rsidR="00DA257A" w:rsidRPr="00DA257A">
        <w:t xml:space="preserve"> w okr</w:t>
      </w:r>
      <w:r w:rsidRPr="00DA257A">
        <w:t>eślonych okolicznościach zapewnia się im możliwości dołączenia do rodziny, bez uszczerbku dla prawa do korzystania</w:t>
      </w:r>
      <w:r w:rsidR="00DA257A" w:rsidRPr="00DA257A">
        <w:t xml:space="preserve"> z pro</w:t>
      </w:r>
      <w:r w:rsidRPr="00DA257A">
        <w:t xml:space="preserve">cedury azylowej. </w:t>
      </w:r>
    </w:p>
  </w:footnote>
  <w:footnote w:id="22">
    <w:p w14:paraId="4F855977" w14:textId="2A643080" w:rsidR="007C7210" w:rsidRPr="00DA257A" w:rsidRDefault="007C7210">
      <w:pPr>
        <w:pStyle w:val="FootnoteText"/>
      </w:pPr>
      <w:r w:rsidRPr="00DA257A">
        <w:rPr>
          <w:rStyle w:val="FootnoteReference"/>
        </w:rPr>
        <w:footnoteRef/>
      </w:r>
      <w:r w:rsidRPr="00DA257A">
        <w:t xml:space="preserve"> Zalecenie Komisji (UE) 2020/1366</w:t>
      </w:r>
      <w:r w:rsidR="00DA257A" w:rsidRPr="00DA257A">
        <w:t xml:space="preserve"> z dni</w:t>
      </w:r>
      <w:r w:rsidRPr="00DA257A">
        <w:t>a 23 września 2020 r.</w:t>
      </w:r>
      <w:r w:rsidR="00DA257A" w:rsidRPr="00DA257A">
        <w:t xml:space="preserve"> w spr</w:t>
      </w:r>
      <w:r w:rsidRPr="00DA257A">
        <w:t>awie unijnego mechanizmu na potrzeby zapewnienia gotowości</w:t>
      </w:r>
      <w:r w:rsidR="00DA257A" w:rsidRPr="00DA257A">
        <w:t xml:space="preserve"> i zar</w:t>
      </w:r>
      <w:r w:rsidRPr="00DA257A">
        <w:t>ządzania kryzysami związanymi</w:t>
      </w:r>
      <w:r w:rsidR="00DA257A" w:rsidRPr="00DA257A">
        <w:t xml:space="preserve"> z mig</w:t>
      </w:r>
      <w:r w:rsidRPr="00DA257A">
        <w:t xml:space="preserve">racją. </w:t>
      </w:r>
    </w:p>
  </w:footnote>
  <w:footnote w:id="23">
    <w:p w14:paraId="49C618C0" w14:textId="77777777" w:rsidR="007C7210" w:rsidRPr="00DA257A" w:rsidRDefault="007C7210" w:rsidP="006632DF">
      <w:pPr>
        <w:pStyle w:val="FootnoteText"/>
      </w:pPr>
      <w:r w:rsidRPr="00DA257A">
        <w:rPr>
          <w:rStyle w:val="FootnoteReference"/>
        </w:rPr>
        <w:footnoteRef/>
      </w:r>
      <w:hyperlink r:id="rId5" w:history="1">
        <w:r w:rsidRPr="00DA257A">
          <w:rPr>
            <w:rStyle w:val="Hyperlink"/>
          </w:rPr>
          <w:t>https://ec.europa.eu/home-affairs/10-point-plan-stronger-european-coordination-welcoming-people-fleeing-war-ukraine_en</w:t>
        </w:r>
      </w:hyperlink>
      <w:r w:rsidRPr="00DA257A">
        <w:t xml:space="preserve"> </w:t>
      </w:r>
    </w:p>
  </w:footnote>
  <w:footnote w:id="24">
    <w:p w14:paraId="4FB05484" w14:textId="5F430249" w:rsidR="007C7210" w:rsidRPr="00DA257A" w:rsidRDefault="007C7210" w:rsidP="006632DF">
      <w:pPr>
        <w:pStyle w:val="FootnoteText"/>
      </w:pPr>
      <w:r w:rsidRPr="00DA257A">
        <w:rPr>
          <w:rStyle w:val="FootnoteReference"/>
        </w:rPr>
        <w:footnoteRef/>
      </w:r>
      <w:r w:rsidRPr="00DA257A">
        <w:t xml:space="preserve"> Wspólna operacja „Terra 2022” zorganizowana przez Frontex prowadzona jest</w:t>
      </w:r>
      <w:r w:rsidR="00DA257A" w:rsidRPr="00DA257A">
        <w:t xml:space="preserve"> w 1</w:t>
      </w:r>
      <w:r w:rsidRPr="00DA257A">
        <w:t>2 państwach członkowskich UE</w:t>
      </w:r>
      <w:r w:rsidR="00DA257A" w:rsidRPr="00DA257A">
        <w:t xml:space="preserve"> i obe</w:t>
      </w:r>
      <w:r w:rsidRPr="00DA257A">
        <w:t>jmuje 62 przejścia graniczne</w:t>
      </w:r>
      <w:r w:rsidR="00DA257A" w:rsidRPr="00DA257A">
        <w:t>. W zar</w:t>
      </w:r>
      <w:r w:rsidRPr="00DA257A">
        <w:t>ządzaniu granicami organy krajowe wspiera</w:t>
      </w:r>
      <w:r w:rsidR="00DA257A" w:rsidRPr="00DA257A">
        <w:t xml:space="preserve"> w sum</w:t>
      </w:r>
      <w:r w:rsidRPr="00DA257A">
        <w:t>ie ponad 450 funkcjonariuszy stałej służby</w:t>
      </w:r>
      <w:r w:rsidR="00DA257A" w:rsidRPr="00DA257A">
        <w:t xml:space="preserve"> z 2</w:t>
      </w:r>
      <w:r w:rsidRPr="00DA257A">
        <w:t>8 krajów UE</w:t>
      </w:r>
      <w:r w:rsidR="00DA257A" w:rsidRPr="00DA257A">
        <w:t xml:space="preserve"> i pań</w:t>
      </w:r>
      <w:r w:rsidRPr="00DA257A">
        <w:t>stw strefy Schengen. Celem tej operacji jest wzmocnienie kontroli granicznej na granicach lądowych UE, wspieranie państw</w:t>
      </w:r>
      <w:r w:rsidR="00DA257A" w:rsidRPr="00DA257A">
        <w:t xml:space="preserve"> w zwa</w:t>
      </w:r>
      <w:r w:rsidRPr="00DA257A">
        <w:t>lczaniu przestępczości transgranicznej oraz zwiększenie bezpieczeństwa wewnętrznego UE.</w:t>
      </w:r>
    </w:p>
  </w:footnote>
  <w:footnote w:id="25">
    <w:p w14:paraId="3AA732D5" w14:textId="76B58E6E" w:rsidR="007C7210" w:rsidRPr="00DA257A" w:rsidRDefault="007C7210" w:rsidP="00D905F6">
      <w:pPr>
        <w:pStyle w:val="FootnoteText"/>
      </w:pPr>
      <w:r w:rsidRPr="00DA257A">
        <w:rPr>
          <w:rStyle w:val="FootnoteReference"/>
        </w:rPr>
        <w:footnoteRef/>
      </w:r>
      <w:r w:rsidRPr="00DA257A">
        <w:t xml:space="preserve"> Zalecenie Komisji (UE) 2017/820</w:t>
      </w:r>
      <w:r w:rsidR="00DA257A" w:rsidRPr="00DA257A">
        <w:t xml:space="preserve"> z dni</w:t>
      </w:r>
      <w:r w:rsidRPr="00DA257A">
        <w:t>a 12 maja 2017 r. dotyczące proporcjonalnych kontroli policyjnych oraz współpracy policyjnej</w:t>
      </w:r>
      <w:r w:rsidR="00DA257A" w:rsidRPr="00DA257A">
        <w:t xml:space="preserve"> w str</w:t>
      </w:r>
      <w:r w:rsidRPr="00DA257A">
        <w:t>efie Schengen, C(2017) 3349, Dz.U. L 122</w:t>
      </w:r>
      <w:r w:rsidR="00DA257A" w:rsidRPr="00DA257A">
        <w:t xml:space="preserve"> z 1</w:t>
      </w:r>
      <w:r w:rsidRPr="00DA257A">
        <w:t>3.5.2017, s. 79, oraz zalecenie Komisji (UE) 2017/1804</w:t>
      </w:r>
      <w:r w:rsidR="00DA257A" w:rsidRPr="00DA257A">
        <w:t xml:space="preserve"> z dni</w:t>
      </w:r>
      <w:r w:rsidRPr="00DA257A">
        <w:t>a 3 października 2017 r. dotyczące wdrożenia przepisów kodeksu granicznego Schengen dotyczących tymczasowego przywrócenia kontroli granicznej na granicach wewnętrznych</w:t>
      </w:r>
      <w:r w:rsidR="00DA257A" w:rsidRPr="00DA257A">
        <w:t xml:space="preserve"> w str</w:t>
      </w:r>
      <w:r w:rsidRPr="00DA257A">
        <w:t>efie Schengen, C(2017) 6560, Dz.U. L 259</w:t>
      </w:r>
      <w:r w:rsidR="00DA257A" w:rsidRPr="00DA257A">
        <w:t xml:space="preserve"> z 7</w:t>
      </w:r>
      <w:r w:rsidRPr="00DA257A">
        <w:t>.10.2017, s. 25.</w:t>
      </w:r>
    </w:p>
  </w:footnote>
  <w:footnote w:id="26">
    <w:p w14:paraId="3B55D7EA" w14:textId="720E680C" w:rsidR="007C7210" w:rsidRPr="00DA257A" w:rsidRDefault="007C7210" w:rsidP="00D905F6">
      <w:pPr>
        <w:pStyle w:val="FootnoteText"/>
      </w:pPr>
      <w:r w:rsidRPr="00DA257A">
        <w:rPr>
          <w:rStyle w:val="FootnoteReference"/>
        </w:rPr>
        <w:footnoteRef/>
      </w:r>
      <w:r w:rsidRPr="00DA257A">
        <w:t xml:space="preserve"> Jak przedstawiono</w:t>
      </w:r>
      <w:r w:rsidR="00DA257A" w:rsidRPr="00DA257A">
        <w:t xml:space="preserve"> w zał</w:t>
      </w:r>
      <w:r w:rsidRPr="00DA257A">
        <w:t>ączniku 2 do oceny skutków towarzyszącej wnioskowi COM(2021) 891, konsultacje</w:t>
      </w:r>
      <w:r w:rsidR="00DA257A" w:rsidRPr="00DA257A">
        <w:t xml:space="preserve"> z zai</w:t>
      </w:r>
      <w:r w:rsidRPr="00DA257A">
        <w:t>nteresowanymi stronami odbyły się</w:t>
      </w:r>
      <w:r w:rsidR="00DA257A" w:rsidRPr="00DA257A">
        <w:t xml:space="preserve"> w okr</w:t>
      </w:r>
      <w:r w:rsidRPr="00DA257A">
        <w:t>esie od listopada 2020 r. do lutego 2021 r.</w:t>
      </w:r>
      <w:r w:rsidR="00DA257A" w:rsidRPr="00DA257A">
        <w:t xml:space="preserve"> i wzi</w:t>
      </w:r>
      <w:r w:rsidRPr="00DA257A">
        <w:t>ęły</w:t>
      </w:r>
      <w:r w:rsidR="00DA257A" w:rsidRPr="00DA257A">
        <w:t xml:space="preserve"> w nic</w:t>
      </w:r>
      <w:r w:rsidRPr="00DA257A">
        <w:t>h udział przede wszystkim docelowe zainteresowane strony za pośrednictwem forum Schengen oraz warsztatów tematycznych podzielonych według tematu</w:t>
      </w:r>
      <w:r w:rsidR="00DA257A" w:rsidRPr="00DA257A">
        <w:t xml:space="preserve"> i ucz</w:t>
      </w:r>
      <w:r w:rsidRPr="00DA257A">
        <w:t>estniczących zainteresowanych stron. Uczestniczyły</w:t>
      </w:r>
      <w:r w:rsidR="00DA257A" w:rsidRPr="00DA257A">
        <w:t xml:space="preserve"> w nic</w:t>
      </w:r>
      <w:r w:rsidRPr="00DA257A">
        <w:t>h państwa członkowskie, Parlament Europejski, przewoźnicy</w:t>
      </w:r>
      <w:r w:rsidR="00DA257A" w:rsidRPr="00DA257A">
        <w:t xml:space="preserve"> i org</w:t>
      </w:r>
      <w:r w:rsidRPr="00DA257A">
        <w:t>anizacje pozarządowe.</w:t>
      </w:r>
    </w:p>
  </w:footnote>
  <w:footnote w:id="27">
    <w:p w14:paraId="6749113C" w14:textId="53E366E8" w:rsidR="007C7210" w:rsidRPr="00DA257A" w:rsidRDefault="007C7210" w:rsidP="00D905F6">
      <w:pPr>
        <w:pStyle w:val="FootnoteText"/>
      </w:pPr>
      <w:r w:rsidRPr="00DA257A">
        <w:rPr>
          <w:rStyle w:val="FootnoteReference"/>
        </w:rPr>
        <w:footnoteRef/>
      </w:r>
      <w:r w:rsidRPr="00DA257A">
        <w:t xml:space="preserve"> Wyrok ten dotyczy legalności przedłużania kontroli na granicach wewnętrznych na dłużej niż okresy określone</w:t>
      </w:r>
      <w:r w:rsidR="00DA257A" w:rsidRPr="00DA257A">
        <w:t xml:space="preserve"> w kod</w:t>
      </w:r>
      <w:r w:rsidRPr="00DA257A">
        <w:t>eksie granicznym Schengen</w:t>
      </w:r>
      <w:r w:rsidR="00DA257A" w:rsidRPr="00DA257A">
        <w:t xml:space="preserve"> i prz</w:t>
      </w:r>
      <w:r w:rsidRPr="00DA257A">
        <w:t>edstawiono</w:t>
      </w:r>
      <w:r w:rsidR="00DA257A" w:rsidRPr="00DA257A">
        <w:t xml:space="preserve"> w nim</w:t>
      </w:r>
      <w:r w:rsidRPr="00DA257A">
        <w:t xml:space="preserve"> istotne wyjaśnienia</w:t>
      </w:r>
      <w:r w:rsidR="00DA257A" w:rsidRPr="00DA257A">
        <w:t xml:space="preserve"> w tym</w:t>
      </w:r>
      <w:r w:rsidRPr="00DA257A">
        <w:t xml:space="preserve"> zakresie.</w:t>
      </w:r>
    </w:p>
  </w:footnote>
  <w:footnote w:id="28">
    <w:p w14:paraId="792713D8" w14:textId="564F6BDC" w:rsidR="007C7210" w:rsidRPr="00DA257A" w:rsidRDefault="007C7210" w:rsidP="00D905F6">
      <w:pPr>
        <w:pStyle w:val="FootnoteText"/>
      </w:pPr>
      <w:r w:rsidRPr="00DA257A">
        <w:rPr>
          <w:rStyle w:val="FootnoteReference"/>
        </w:rPr>
        <w:footnoteRef/>
      </w:r>
      <w:r w:rsidRPr="00DA257A">
        <w:t xml:space="preserve"> Zob. pkt 69 wyroku</w:t>
      </w:r>
      <w:r w:rsidR="00DA257A" w:rsidRPr="00DA257A">
        <w:t xml:space="preserve"> w spr</w:t>
      </w:r>
      <w:r w:rsidRPr="00DA257A">
        <w:t>awie C-368/20.</w:t>
      </w:r>
    </w:p>
  </w:footnote>
  <w:footnote w:id="29">
    <w:p w14:paraId="6B3138A2" w14:textId="77777777" w:rsidR="007C7210" w:rsidRPr="00DA257A" w:rsidRDefault="007C7210">
      <w:pPr>
        <w:pStyle w:val="FootnoteText"/>
      </w:pPr>
      <w:r w:rsidRPr="00DA257A">
        <w:rPr>
          <w:rStyle w:val="FootnoteReference"/>
        </w:rPr>
        <w:footnoteRef/>
      </w:r>
      <w:r w:rsidRPr="00DA257A">
        <w:t xml:space="preserve"> COM(2020) 115 final.</w:t>
      </w:r>
    </w:p>
  </w:footnote>
  <w:footnote w:id="30">
    <w:p w14:paraId="5A567FBC" w14:textId="4DE16F98" w:rsidR="007C7210" w:rsidRPr="00DA257A" w:rsidRDefault="007C7210" w:rsidP="00251F22">
      <w:pPr>
        <w:pStyle w:val="FootnoteText"/>
      </w:pPr>
      <w:r w:rsidRPr="00DA257A">
        <w:rPr>
          <w:rStyle w:val="FootnoteReference"/>
        </w:rPr>
        <w:footnoteRef/>
      </w:r>
      <w:r w:rsidRPr="00DA257A">
        <w:t xml:space="preserve"> Zalecenie Rady (UE) 2020/912</w:t>
      </w:r>
      <w:r w:rsidR="00DA257A" w:rsidRPr="00DA257A">
        <w:t xml:space="preserve"> w spr</w:t>
      </w:r>
      <w:r w:rsidRPr="00DA257A">
        <w:t>awie tymczasowego ograniczenia innych niż niezbędne podróży do UE oraz ewentualnego zniesienia takiego ograniczenia, 30.06.2020.</w:t>
      </w:r>
    </w:p>
  </w:footnote>
  <w:footnote w:id="31">
    <w:p w14:paraId="436F23E4" w14:textId="28AFC294" w:rsidR="007C7210" w:rsidRPr="00DA257A" w:rsidRDefault="007C7210" w:rsidP="00E3053F">
      <w:pPr>
        <w:pStyle w:val="FootnoteText"/>
      </w:pPr>
      <w:r w:rsidRPr="00DA257A">
        <w:rPr>
          <w:rStyle w:val="FootnoteReference"/>
        </w:rPr>
        <w:footnoteRef/>
      </w:r>
      <w:r w:rsidRPr="00DA257A">
        <w:t xml:space="preserve"> Konkluzje Rady</w:t>
      </w:r>
      <w:r w:rsidR="00DA257A" w:rsidRPr="00DA257A">
        <w:t xml:space="preserve"> w spr</w:t>
      </w:r>
      <w:r w:rsidRPr="00DA257A">
        <w:t>awie spełnienia warunków niezbędnych do pełnego stosowania dorobku Schengen</w:t>
      </w:r>
      <w:r w:rsidR="00DA257A" w:rsidRPr="00DA257A">
        <w:t xml:space="preserve"> w Cho</w:t>
      </w:r>
      <w:r w:rsidRPr="00DA257A">
        <w:t>rwacji.</w:t>
      </w:r>
    </w:p>
  </w:footnote>
  <w:footnote w:id="32">
    <w:p w14:paraId="19C0BE71" w14:textId="77777777" w:rsidR="007C7210" w:rsidRPr="00DA257A" w:rsidRDefault="007C7210">
      <w:pPr>
        <w:pStyle w:val="FootnoteText"/>
      </w:pPr>
      <w:r w:rsidRPr="00DA257A">
        <w:rPr>
          <w:rStyle w:val="FootnoteReference"/>
        </w:rPr>
        <w:footnoteRef/>
      </w:r>
      <w:r w:rsidRPr="00DA257A">
        <w:t xml:space="preserve"> Decyzja ta musi zostać przyjęta jednomyślnie przez członków reprezentujących państwa członkowskie, które już stosują odpowiednie przepisy, jak również przez przystępujące państwo członkowskie.</w:t>
      </w:r>
    </w:p>
  </w:footnote>
  <w:footnote w:id="33">
    <w:p w14:paraId="1256BC03" w14:textId="0AA02BC2" w:rsidR="007C7210" w:rsidRPr="00DA257A" w:rsidRDefault="007C7210" w:rsidP="00655806">
      <w:pPr>
        <w:pStyle w:val="FootnoteText"/>
      </w:pPr>
      <w:r w:rsidRPr="00DA257A">
        <w:rPr>
          <w:rStyle w:val="FootnoteReference"/>
        </w:rPr>
        <w:footnoteRef/>
      </w:r>
      <w:r w:rsidRPr="00DA257A">
        <w:t xml:space="preserve"> Sprawozdanie podsumowujące Komitetu Stałych Przedstawicieli Rządów Państw Członkowskich</w:t>
      </w:r>
      <w:r w:rsidR="00DA257A" w:rsidRPr="00DA257A">
        <w:t xml:space="preserve"> z 2</w:t>
      </w:r>
      <w:r w:rsidRPr="00DA257A">
        <w:t>8 lutego oraz 2</w:t>
      </w:r>
      <w:r w:rsidR="00DA257A" w:rsidRPr="00DA257A">
        <w:t xml:space="preserve"> i 4</w:t>
      </w:r>
      <w:r w:rsidRPr="00DA257A">
        <w:t xml:space="preserve"> marca 2022 r.,</w:t>
      </w:r>
      <w:hyperlink r:id="rId6" w:history="1">
        <w:r w:rsidRPr="00DA257A">
          <w:rPr>
            <w:rStyle w:val="Hyperlink"/>
          </w:rPr>
          <w:t>https://data.consilium.europa.eu/doc/document/ST-7304-2022-INIT/en/pdf</w:t>
        </w:r>
      </w:hyperlink>
      <w:r w:rsidRPr="00DA257A">
        <w:t xml:space="preserve">, pkt 26. </w:t>
      </w:r>
    </w:p>
  </w:footnote>
  <w:footnote w:id="34">
    <w:p w14:paraId="24777318" w14:textId="119E1D48" w:rsidR="007C7210" w:rsidRPr="00DA257A" w:rsidRDefault="007C7210">
      <w:pPr>
        <w:pStyle w:val="FootnoteText"/>
      </w:pPr>
      <w:r w:rsidRPr="00DA257A">
        <w:rPr>
          <w:rStyle w:val="FootnoteReference"/>
        </w:rPr>
        <w:footnoteRef/>
      </w:r>
      <w:r w:rsidRPr="00DA257A">
        <w:t xml:space="preserve"> Zgodnie</w:t>
      </w:r>
      <w:r w:rsidR="00DA257A" w:rsidRPr="00DA257A">
        <w:t xml:space="preserve"> z wym</w:t>
      </w:r>
      <w:r w:rsidRPr="00DA257A">
        <w:t>ogami odpowiednich aktów przystąpienia Rada, działając jednomyślnie, podejmuje decyzję po konsultacji</w:t>
      </w:r>
      <w:r w:rsidR="00DA257A" w:rsidRPr="00DA257A">
        <w:t xml:space="preserve"> z Par</w:t>
      </w:r>
      <w:r w:rsidRPr="00DA257A">
        <w:t xml:space="preserve">lamentem Europejskim. </w:t>
      </w:r>
    </w:p>
  </w:footnote>
  <w:footnote w:id="35">
    <w:p w14:paraId="15871572" w14:textId="6B041F01" w:rsidR="007C7210" w:rsidRPr="00DA257A" w:rsidRDefault="007C7210" w:rsidP="009C413D">
      <w:pPr>
        <w:pStyle w:val="FootnoteText"/>
      </w:pPr>
      <w:r w:rsidRPr="00DA257A">
        <w:rPr>
          <w:rStyle w:val="FootnoteReference"/>
        </w:rPr>
        <w:footnoteRef/>
      </w:r>
      <w:r w:rsidRPr="00DA257A">
        <w:t xml:space="preserve"> Sprawozdanie</w:t>
      </w:r>
      <w:r w:rsidR="00DA257A" w:rsidRPr="00DA257A">
        <w:t xml:space="preserve"> w spr</w:t>
      </w:r>
      <w:r w:rsidRPr="00DA257A">
        <w:t>awie funkcjonowania mechanizmu oceny</w:t>
      </w:r>
      <w:r w:rsidR="00DA257A" w:rsidRPr="00DA257A">
        <w:t xml:space="preserve"> i mon</w:t>
      </w:r>
      <w:r w:rsidRPr="00DA257A">
        <w:t>itorowania dorobku Schengen na podstawie art. 22 rozporządzenia (UE) nr 1053/2013 – Pierwszy wieloletni program ocen (2015–2019) (COM(2020) 779 final)</w:t>
      </w:r>
      <w:r w:rsidR="00DA257A" w:rsidRPr="00DA257A">
        <w:t xml:space="preserve"> i oce</w:t>
      </w:r>
      <w:r w:rsidRPr="00DA257A">
        <w:t>na skutków przeprowadzona przy przygotowywaniu wniosku dotyczącego reformy mechanizmu oceny</w:t>
      </w:r>
      <w:r w:rsidR="00DA257A" w:rsidRPr="00DA257A">
        <w:t xml:space="preserve"> i mon</w:t>
      </w:r>
      <w:r w:rsidRPr="00DA257A">
        <w:t>itorowania Schengen (SWD(2021) 119 final).</w:t>
      </w:r>
    </w:p>
  </w:footnote>
  <w:footnote w:id="36">
    <w:p w14:paraId="7A4E72F4" w14:textId="24ED07A0" w:rsidR="007C7210" w:rsidRPr="00DA257A" w:rsidRDefault="007C7210">
      <w:pPr>
        <w:pStyle w:val="FootnoteText"/>
      </w:pPr>
      <w:r w:rsidRPr="00DA257A">
        <w:rPr>
          <w:rStyle w:val="FootnoteReference"/>
        </w:rPr>
        <w:footnoteRef/>
      </w:r>
      <w:r w:rsidRPr="00DA257A">
        <w:t xml:space="preserve"> W trakcie pierwszego cyklu oceny</w:t>
      </w:r>
      <w:r w:rsidR="00DA257A" w:rsidRPr="00DA257A">
        <w:t xml:space="preserve"> w ram</w:t>
      </w:r>
      <w:r w:rsidRPr="00DA257A">
        <w:t>ach mechanizmu zidentyfikowano poważne niedociągnięcia</w:t>
      </w:r>
      <w:r w:rsidR="00DA257A" w:rsidRPr="00DA257A">
        <w:t xml:space="preserve"> w tok</w:t>
      </w:r>
      <w:r w:rsidRPr="00DA257A">
        <w:t>u dziesięciu ocen przeprowadzonych</w:t>
      </w:r>
      <w:r w:rsidR="00DA257A" w:rsidRPr="00DA257A">
        <w:t xml:space="preserve"> w trz</w:t>
      </w:r>
      <w:r w:rsidRPr="00DA257A">
        <w:t>ech obszarach: zarządzanie granicami zewnętrznymi (Grecja, Islandia, Hiszpania</w:t>
      </w:r>
      <w:r w:rsidR="00DA257A" w:rsidRPr="00DA257A">
        <w:t xml:space="preserve"> i Szw</w:t>
      </w:r>
      <w:r w:rsidRPr="00DA257A">
        <w:t>ecja); wspólna polityka wizowa (Finlandia</w:t>
      </w:r>
      <w:r w:rsidR="00DA257A" w:rsidRPr="00DA257A">
        <w:t xml:space="preserve"> i Nid</w:t>
      </w:r>
      <w:r w:rsidRPr="00DA257A">
        <w:t>erlandy); System Informacyjny Schengen (Belgia, Francja, Hiszpania</w:t>
      </w:r>
      <w:r w:rsidR="00DA257A" w:rsidRPr="00DA257A">
        <w:t xml:space="preserve"> i Zje</w:t>
      </w:r>
      <w:r w:rsidRPr="00DA257A">
        <w:t>dnoczone Królestwo)</w:t>
      </w:r>
      <w:r w:rsidR="00DA257A" w:rsidRPr="00DA257A">
        <w:t>. W lat</w:t>
      </w:r>
      <w:r w:rsidRPr="00DA257A">
        <w:t>ach 2020–2021</w:t>
      </w:r>
      <w:r w:rsidR="00DA257A" w:rsidRPr="00DA257A">
        <w:t xml:space="preserve"> w ram</w:t>
      </w:r>
      <w:r w:rsidRPr="00DA257A">
        <w:t>ach mechanizmu wykryto poważne niedociągnięcia</w:t>
      </w:r>
      <w:r w:rsidR="00DA257A" w:rsidRPr="00DA257A">
        <w:t xml:space="preserve"> w obs</w:t>
      </w:r>
      <w:r w:rsidRPr="00DA257A">
        <w:t>zarze powrotów</w:t>
      </w:r>
      <w:r w:rsidR="00DA257A" w:rsidRPr="00DA257A">
        <w:t xml:space="preserve"> w Gre</w:t>
      </w:r>
      <w:r w:rsidRPr="00DA257A">
        <w:t>cji.</w:t>
      </w:r>
    </w:p>
  </w:footnote>
  <w:footnote w:id="37">
    <w:p w14:paraId="02703576" w14:textId="77777777" w:rsidR="007C7210" w:rsidRPr="00DA257A" w:rsidRDefault="007C7210">
      <w:pPr>
        <w:pStyle w:val="FootnoteText"/>
      </w:pPr>
      <w:r w:rsidRPr="00DA257A">
        <w:rPr>
          <w:rStyle w:val="FootnoteReference"/>
        </w:rPr>
        <w:footnoteRef/>
      </w:r>
      <w:r w:rsidRPr="00DA257A">
        <w:t xml:space="preserve"> COM(2021) 891.</w:t>
      </w:r>
    </w:p>
  </w:footnote>
  <w:footnote w:id="38">
    <w:p w14:paraId="25BFB361" w14:textId="77777777" w:rsidR="007C7210" w:rsidRPr="00DA257A" w:rsidRDefault="007C7210">
      <w:pPr>
        <w:pStyle w:val="FootnoteText"/>
      </w:pPr>
      <w:r w:rsidRPr="00DA257A">
        <w:rPr>
          <w:rStyle w:val="FootnoteReference"/>
        </w:rPr>
        <w:footnoteRef/>
      </w:r>
      <w:r w:rsidRPr="00DA257A">
        <w:t xml:space="preserve"> COM(2021) 890.</w:t>
      </w:r>
    </w:p>
  </w:footnote>
  <w:footnote w:id="39">
    <w:p w14:paraId="46515CF8" w14:textId="4A9131C2" w:rsidR="007C7210" w:rsidRPr="00DA257A" w:rsidRDefault="007C7210">
      <w:pPr>
        <w:pStyle w:val="FootnoteText"/>
      </w:pPr>
      <w:r w:rsidRPr="00DA257A">
        <w:rPr>
          <w:rStyle w:val="FootnoteReference"/>
        </w:rPr>
        <w:footnoteRef/>
      </w:r>
      <w:r w:rsidRPr="00DA257A">
        <w:t xml:space="preserve"> 1 grudnia 2021 r. Komisja przyjęła wniosek dotyczący decyzji Rady na podstawie art. 78 ust. 3 Traktatu</w:t>
      </w:r>
      <w:r w:rsidR="00DA257A" w:rsidRPr="00DA257A">
        <w:t xml:space="preserve"> o fun</w:t>
      </w:r>
      <w:r w:rsidRPr="00DA257A">
        <w:t>kcjonowaniu Unii Europejskiej (TFUE), aby wesprzeć Łotwę, Litwę</w:t>
      </w:r>
      <w:r w:rsidR="00DA257A" w:rsidRPr="00DA257A">
        <w:t xml:space="preserve"> i Pol</w:t>
      </w:r>
      <w:r w:rsidRPr="00DA257A">
        <w:t>skę poprzez zapewnienie środków</w:t>
      </w:r>
      <w:r w:rsidR="00DA257A" w:rsidRPr="00DA257A">
        <w:t xml:space="preserve"> i wsp</w:t>
      </w:r>
      <w:r w:rsidRPr="00DA257A">
        <w:t>arcia operacyjnego niezbędnych do uporządkowanego</w:t>
      </w:r>
      <w:r w:rsidR="00DA257A" w:rsidRPr="00DA257A">
        <w:t xml:space="preserve"> i god</w:t>
      </w:r>
      <w:r w:rsidRPr="00DA257A">
        <w:t>nego zarządzania napływem osób traktowanych instrumentalnie przez Białoruś, przy pełnym poszanowaniu praw podstawowych.</w:t>
      </w:r>
    </w:p>
  </w:footnote>
  <w:footnote w:id="40">
    <w:p w14:paraId="3A686093" w14:textId="77777777" w:rsidR="007C7210" w:rsidRPr="00DA257A" w:rsidRDefault="007C7210">
      <w:pPr>
        <w:pStyle w:val="FootnoteText"/>
      </w:pPr>
      <w:r w:rsidRPr="00DA257A">
        <w:rPr>
          <w:rStyle w:val="FootnoteReference"/>
        </w:rPr>
        <w:footnoteRef/>
      </w:r>
      <w:r w:rsidRPr="00DA257A">
        <w:t xml:space="preserve"> Wspólny zintegrowany model analizy ryzyka </w:t>
      </w:r>
      <w:hyperlink r:id="rId7" w:history="1">
        <w:r w:rsidRPr="00DA257A">
          <w:rPr>
            <w:rStyle w:val="Hyperlink"/>
          </w:rPr>
          <w:t>https://frontex.europa.eu/we-know/situational-awareness-and-monitoring/ciram/</w:t>
        </w:r>
      </w:hyperlink>
      <w:r w:rsidRPr="00DA257A">
        <w:t xml:space="preserve"> </w:t>
      </w:r>
    </w:p>
  </w:footnote>
  <w:footnote w:id="41">
    <w:p w14:paraId="514DB002" w14:textId="05C158C7" w:rsidR="007C7210" w:rsidRPr="00DA257A" w:rsidRDefault="007C7210">
      <w:pPr>
        <w:pStyle w:val="FootnoteText"/>
      </w:pPr>
      <w:r w:rsidRPr="00DA257A">
        <w:rPr>
          <w:rStyle w:val="FootnoteReference"/>
        </w:rPr>
        <w:footnoteRef/>
      </w:r>
      <w:r w:rsidRPr="00DA257A">
        <w:t xml:space="preserve"> Dyrektywa Rady 2001/51/WE</w:t>
      </w:r>
      <w:r w:rsidR="00DA257A" w:rsidRPr="00DA257A">
        <w:t xml:space="preserve"> z dni</w:t>
      </w:r>
      <w:r w:rsidRPr="00DA257A">
        <w:t>a 28 czerwca 2001 r. uzupełniająca postanowienia art. 26 Konwencji Wykonawczej do Układu</w:t>
      </w:r>
      <w:r w:rsidR="00DA257A" w:rsidRPr="00DA257A">
        <w:t xml:space="preserve"> z Sch</w:t>
      </w:r>
      <w:r w:rsidRPr="00DA257A">
        <w:t>engen</w:t>
      </w:r>
      <w:r w:rsidR="00DA257A" w:rsidRPr="00DA257A">
        <w:t xml:space="preserve"> z dni</w:t>
      </w:r>
      <w:r w:rsidRPr="00DA257A">
        <w:t>a 14 czerwca 1985 r.</w:t>
      </w:r>
    </w:p>
  </w:footnote>
  <w:footnote w:id="42">
    <w:p w14:paraId="2C6616F1" w14:textId="51F3978C" w:rsidR="007C7210" w:rsidRPr="00DA257A" w:rsidRDefault="007C7210">
      <w:pPr>
        <w:pStyle w:val="FootnoteText"/>
      </w:pPr>
      <w:r w:rsidRPr="00DA257A">
        <w:rPr>
          <w:rStyle w:val="FootnoteReference"/>
        </w:rPr>
        <w:footnoteRef/>
      </w:r>
      <w:r w:rsidRPr="00DA257A">
        <w:t xml:space="preserve"> Dyrektywa Rady 2004/82/WE</w:t>
      </w:r>
      <w:r w:rsidR="00DA257A" w:rsidRPr="00DA257A">
        <w:t xml:space="preserve"> z dni</w:t>
      </w:r>
      <w:r w:rsidRPr="00DA257A">
        <w:t>a 29 kwietnia 2004 r.</w:t>
      </w:r>
      <w:r w:rsidR="00DA257A" w:rsidRPr="00DA257A">
        <w:t xml:space="preserve"> w spr</w:t>
      </w:r>
      <w:r w:rsidRPr="00DA257A">
        <w:t>awie zobowiązania przewoźników do przekazywania danych pasażerów.</w:t>
      </w:r>
    </w:p>
  </w:footnote>
  <w:footnote w:id="43">
    <w:p w14:paraId="638AE9B3" w14:textId="7D69E0A5" w:rsidR="007C7210" w:rsidRPr="00DA257A" w:rsidRDefault="007C7210" w:rsidP="00971F03">
      <w:pPr>
        <w:pStyle w:val="FootnoteText"/>
      </w:pPr>
      <w:r w:rsidRPr="00DA257A">
        <w:rPr>
          <w:rStyle w:val="FootnoteReference"/>
        </w:rPr>
        <w:footnoteRef/>
      </w:r>
      <w:r w:rsidRPr="00DA257A">
        <w:t xml:space="preserve"> Zob. załącznik I do programu prac Komisji na 2022 r., COM(2021) 645</w:t>
      </w:r>
      <w:r w:rsidR="00DA257A" w:rsidRPr="00DA257A">
        <w:t xml:space="preserve"> z 1</w:t>
      </w:r>
      <w:r w:rsidRPr="00DA257A">
        <w:t>9.10.2021.</w:t>
      </w:r>
    </w:p>
  </w:footnote>
  <w:footnote w:id="44">
    <w:p w14:paraId="6334632C" w14:textId="0D10ED69" w:rsidR="007C7210" w:rsidRPr="00DA257A" w:rsidRDefault="007C7210" w:rsidP="00D05C8B">
      <w:pPr>
        <w:pStyle w:val="FootnoteText"/>
      </w:pPr>
      <w:r w:rsidRPr="00DA257A">
        <w:rPr>
          <w:rStyle w:val="FootnoteReference"/>
        </w:rPr>
        <w:footnoteRef/>
      </w:r>
      <w:r w:rsidRPr="00DA257A">
        <w:t xml:space="preserve"> Europejski system nadzorowania granic (EUROSUR) zapewnia ramy dla wymiany informacji</w:t>
      </w:r>
      <w:r w:rsidR="00DA257A" w:rsidRPr="00DA257A">
        <w:t xml:space="preserve"> i wsp</w:t>
      </w:r>
      <w:r w:rsidRPr="00DA257A">
        <w:t>ółpracy między państwami członkowskimi</w:t>
      </w:r>
      <w:r w:rsidR="00DA257A" w:rsidRPr="00DA257A">
        <w:t xml:space="preserve"> a Fro</w:t>
      </w:r>
      <w:r w:rsidRPr="00DA257A">
        <w:t>ntexem</w:t>
      </w:r>
      <w:r w:rsidR="00DA257A" w:rsidRPr="00DA257A">
        <w:t xml:space="preserve"> w cel</w:t>
      </w:r>
      <w:r w:rsidRPr="00DA257A">
        <w:t>u poprawy orientacji sytuacyjnej</w:t>
      </w:r>
      <w:r w:rsidR="00DA257A" w:rsidRPr="00DA257A">
        <w:t xml:space="preserve"> i zwi</w:t>
      </w:r>
      <w:r w:rsidRPr="00DA257A">
        <w:t>ększenia zdolności reagowania na granicach zewnętrznych.</w:t>
      </w:r>
    </w:p>
  </w:footnote>
  <w:footnote w:id="45">
    <w:p w14:paraId="6BCD8572" w14:textId="745AEE72" w:rsidR="007C7210" w:rsidRPr="00DA257A" w:rsidRDefault="007C7210" w:rsidP="00A678D6">
      <w:pPr>
        <w:pStyle w:val="FootnoteText"/>
      </w:pPr>
      <w:r w:rsidRPr="00DA257A">
        <w:rPr>
          <w:rStyle w:val="FootnoteReference"/>
        </w:rPr>
        <w:footnoteRef/>
      </w:r>
      <w:r w:rsidRPr="00DA257A">
        <w:t xml:space="preserve"> Wspólny podstawowy program szkoleń dla funkcjonariuszy straży granicznej</w:t>
      </w:r>
      <w:r w:rsidR="00DA257A" w:rsidRPr="00DA257A">
        <w:t xml:space="preserve"> i prz</w:t>
      </w:r>
      <w:r w:rsidRPr="00DA257A">
        <w:t>ybrzeżnej w UE jest jedynym programem nauczania,</w:t>
      </w:r>
      <w:r w:rsidR="00DA257A" w:rsidRPr="00DA257A">
        <w:t xml:space="preserve"> w któ</w:t>
      </w:r>
      <w:r w:rsidRPr="00DA257A">
        <w:t>rym ustanowiono podstawowe standardy kształcenia funkcjonariuszy straży granicznej na szczeblu operacyjnym</w:t>
      </w:r>
      <w:r w:rsidR="00DA257A" w:rsidRPr="00DA257A">
        <w:t xml:space="preserve"> w pań</w:t>
      </w:r>
      <w:r w:rsidRPr="00DA257A">
        <w:t>stwach członkowskich Unii Europejskiej. Komisja</w:t>
      </w:r>
      <w:r w:rsidR="00DA257A" w:rsidRPr="00DA257A">
        <w:t xml:space="preserve"> i Fro</w:t>
      </w:r>
      <w:r w:rsidRPr="00DA257A">
        <w:t>ntex ustawicznie zachęcają państwa członkowskie do korzystania</w:t>
      </w:r>
      <w:r w:rsidR="00DA257A" w:rsidRPr="00DA257A">
        <w:t xml:space="preserve"> z teg</w:t>
      </w:r>
      <w:r w:rsidRPr="00DA257A">
        <w:t>o programu.</w:t>
      </w:r>
    </w:p>
  </w:footnote>
  <w:footnote w:id="46">
    <w:p w14:paraId="468546EC" w14:textId="42CDBD9A" w:rsidR="007C7210" w:rsidRPr="00DA257A" w:rsidRDefault="007C7210" w:rsidP="6E958833">
      <w:pPr>
        <w:pStyle w:val="FootnoteText"/>
      </w:pPr>
      <w:r w:rsidRPr="00DA257A">
        <w:rPr>
          <w:rStyle w:val="FootnoteReference"/>
        </w:rPr>
        <w:footnoteRef/>
      </w:r>
      <w:r w:rsidRPr="00DA257A">
        <w:t xml:space="preserve"> Rozporządzenie (WE) nr 810/2009 (Dz.U. L 243</w:t>
      </w:r>
      <w:r w:rsidR="00DA257A" w:rsidRPr="00DA257A">
        <w:t xml:space="preserve"> z 1</w:t>
      </w:r>
      <w:r w:rsidRPr="00DA257A">
        <w:t>5.9.2009, s. 1).</w:t>
      </w:r>
    </w:p>
  </w:footnote>
  <w:footnote w:id="47">
    <w:p w14:paraId="01FEA3C7" w14:textId="510BB272" w:rsidR="007C7210" w:rsidRPr="00DA257A" w:rsidRDefault="007C7210" w:rsidP="6E958833">
      <w:pPr>
        <w:pStyle w:val="FootnoteText"/>
      </w:pPr>
      <w:r w:rsidRPr="00DA257A">
        <w:rPr>
          <w:rStyle w:val="FootnoteReference"/>
        </w:rPr>
        <w:footnoteRef/>
      </w:r>
      <w:r w:rsidRPr="00DA257A">
        <w:t xml:space="preserve"> Rozporządzenie (WE) nr 767/2008 (Dz.U. L 218</w:t>
      </w:r>
      <w:r w:rsidR="00DA257A" w:rsidRPr="00DA257A">
        <w:t xml:space="preserve"> z 1</w:t>
      </w:r>
      <w:r w:rsidRPr="00DA257A">
        <w:t>3.8.2008, s. 60).</w:t>
      </w:r>
    </w:p>
  </w:footnote>
  <w:footnote w:id="48">
    <w:p w14:paraId="20DDCD2E" w14:textId="1B82AB04" w:rsidR="007C7210" w:rsidRPr="00DA257A" w:rsidRDefault="007C7210">
      <w:pPr>
        <w:pStyle w:val="FootnoteText"/>
      </w:pPr>
      <w:r w:rsidRPr="00DA257A">
        <w:rPr>
          <w:rStyle w:val="FootnoteReference"/>
        </w:rPr>
        <w:footnoteRef/>
      </w:r>
      <w:r w:rsidRPr="00DA257A">
        <w:t xml:space="preserve"> Komisja ma obowiązek składania co roku sprawozdania Parlamentowi Europejskiemu</w:t>
      </w:r>
      <w:r w:rsidR="00DA257A" w:rsidRPr="00DA257A">
        <w:t xml:space="preserve"> i Rad</w:t>
      </w:r>
      <w:r w:rsidRPr="00DA257A">
        <w:t>zie na temat ciągłości spełniania warunków zwolnienia</w:t>
      </w:r>
      <w:r w:rsidR="00DA257A" w:rsidRPr="00DA257A">
        <w:t xml:space="preserve"> z obo</w:t>
      </w:r>
      <w:r w:rsidRPr="00DA257A">
        <w:t>wiązku wizowego przez państwa, których obywatele uzyskali bezwizowy dostęp mniej niż siedem lat temu, po pomyślnym zakończeniu dialogu</w:t>
      </w:r>
      <w:r w:rsidR="00DA257A" w:rsidRPr="00DA257A">
        <w:t xml:space="preserve"> w spr</w:t>
      </w:r>
      <w:r w:rsidRPr="00DA257A">
        <w:t>awie liberalizacji reżimu wizowego (Republika Albanii, Bośnia</w:t>
      </w:r>
      <w:r w:rsidR="00DA257A" w:rsidRPr="00DA257A">
        <w:t xml:space="preserve"> i Her</w:t>
      </w:r>
      <w:r w:rsidRPr="00DA257A">
        <w:t>cegowina, Czarnogóra, Republika Macedonii Północnej, Republika Serbii, Gruzja, Republika Mołdawii, Ukraina). 4 sierpnia 2021 r. przyjęto czwarte sprawozdanie</w:t>
      </w:r>
      <w:r w:rsidR="00DA257A" w:rsidRPr="00DA257A">
        <w:t xml:space="preserve"> w ram</w:t>
      </w:r>
      <w:r w:rsidRPr="00DA257A">
        <w:t>ach mechanizmu zawieszającego zwolnienie</w:t>
      </w:r>
      <w:r w:rsidR="00DA257A" w:rsidRPr="00DA257A">
        <w:t xml:space="preserve"> z obo</w:t>
      </w:r>
      <w:r w:rsidRPr="00DA257A">
        <w:t>wiązku wizowego (COM(2021) 602).</w:t>
      </w:r>
    </w:p>
  </w:footnote>
  <w:footnote w:id="49">
    <w:p w14:paraId="781526EA" w14:textId="77777777" w:rsidR="007C7210" w:rsidRPr="00DA257A" w:rsidRDefault="007C7210">
      <w:pPr>
        <w:pStyle w:val="FootnoteText"/>
      </w:pPr>
      <w:r w:rsidRPr="00DA257A">
        <w:rPr>
          <w:rStyle w:val="FootnoteReference"/>
        </w:rPr>
        <w:footnoteRef/>
      </w:r>
      <w:r w:rsidRPr="00DA257A">
        <w:t xml:space="preserve"> Decyzja (UE) 2022/366.</w:t>
      </w:r>
    </w:p>
  </w:footnote>
  <w:footnote w:id="50">
    <w:p w14:paraId="5E82E19B" w14:textId="77777777" w:rsidR="007C7210" w:rsidRPr="00DA257A" w:rsidRDefault="007C7210">
      <w:pPr>
        <w:pStyle w:val="FootnoteText"/>
      </w:pPr>
      <w:r w:rsidRPr="00DA257A">
        <w:rPr>
          <w:rStyle w:val="FootnoteReference"/>
        </w:rPr>
        <w:footnoteRef/>
      </w:r>
      <w:r w:rsidRPr="00DA257A">
        <w:t xml:space="preserve"> C(2022) 724 final.</w:t>
      </w:r>
    </w:p>
  </w:footnote>
  <w:footnote w:id="51">
    <w:p w14:paraId="5E15E839" w14:textId="202834FB" w:rsidR="007C7210" w:rsidRPr="00DA257A" w:rsidRDefault="007C7210">
      <w:pPr>
        <w:pStyle w:val="FootnoteText"/>
      </w:pPr>
      <w:r w:rsidRPr="00DA257A">
        <w:rPr>
          <w:rStyle w:val="FootnoteReference"/>
        </w:rPr>
        <w:footnoteRef/>
      </w:r>
      <w:r w:rsidRPr="00DA257A">
        <w:t xml:space="preserve"> „Współpraca policyjna” obejmuje wszystkie właściwe organy państw członkowskich,</w:t>
      </w:r>
      <w:r w:rsidR="00DA257A" w:rsidRPr="00DA257A">
        <w:t xml:space="preserve"> w tym</w:t>
      </w:r>
      <w:r w:rsidRPr="00DA257A">
        <w:t xml:space="preserve"> służby policji, służby celne oraz inne organy ścigania wyspecjalizowane</w:t>
      </w:r>
      <w:r w:rsidR="00DA257A" w:rsidRPr="00DA257A">
        <w:t xml:space="preserve"> w zap</w:t>
      </w:r>
      <w:r w:rsidRPr="00DA257A">
        <w:t>obieganiu przestępstwom lub ich wykrywaniu</w:t>
      </w:r>
      <w:r w:rsidR="00DA257A" w:rsidRPr="00DA257A">
        <w:t xml:space="preserve"> i ści</w:t>
      </w:r>
      <w:r w:rsidRPr="00DA257A">
        <w:t>ganiu (art. 87 TFUE).</w:t>
      </w:r>
    </w:p>
  </w:footnote>
  <w:footnote w:id="52">
    <w:p w14:paraId="097AC8A6" w14:textId="31DE9981" w:rsidR="007C7210" w:rsidRPr="00DA257A" w:rsidRDefault="007C7210" w:rsidP="00EF65E8">
      <w:pPr>
        <w:pStyle w:val="FootnoteText"/>
      </w:pPr>
      <w:r w:rsidRPr="00DA257A">
        <w:rPr>
          <w:rStyle w:val="FootnoteReference"/>
        </w:rPr>
        <w:footnoteRef/>
      </w:r>
      <w:r w:rsidRPr="00DA257A">
        <w:t xml:space="preserve"> Pojedynczy punkt kontaktowy oznacza krajowy organ centralny odpowiedzialny za międzynarodową współpracę policyjną,</w:t>
      </w:r>
      <w:r w:rsidR="00DA257A" w:rsidRPr="00DA257A">
        <w:t xml:space="preserve"> o któ</w:t>
      </w:r>
      <w:r w:rsidRPr="00DA257A">
        <w:t>rym mowa</w:t>
      </w:r>
      <w:r w:rsidR="00DA257A" w:rsidRPr="00DA257A">
        <w:t xml:space="preserve"> w art</w:t>
      </w:r>
      <w:r w:rsidRPr="00DA257A">
        <w:t>. 39 ust. 3 konwencji wykonawczej do układu</w:t>
      </w:r>
      <w:r w:rsidR="00DA257A" w:rsidRPr="00DA257A">
        <w:t xml:space="preserve"> z Sch</w:t>
      </w:r>
      <w:r w:rsidRPr="00DA257A">
        <w:t xml:space="preserve">engen. </w:t>
      </w:r>
    </w:p>
  </w:footnote>
  <w:footnote w:id="53">
    <w:p w14:paraId="46703809" w14:textId="1C335080" w:rsidR="007C7210" w:rsidRPr="00DA257A" w:rsidRDefault="007C7210" w:rsidP="009B6FAD">
      <w:pPr>
        <w:pStyle w:val="FootnoteText"/>
      </w:pPr>
      <w:r w:rsidRPr="00DA257A">
        <w:rPr>
          <w:rStyle w:val="FootnoteReference"/>
        </w:rPr>
        <w:footnoteRef/>
      </w:r>
      <w:r w:rsidRPr="00DA257A">
        <w:t xml:space="preserve"> Art. 39–47 konwencji wykonawczej do układu</w:t>
      </w:r>
      <w:r w:rsidR="00DA257A" w:rsidRPr="00DA257A">
        <w:t xml:space="preserve"> z Sch</w:t>
      </w:r>
      <w:r w:rsidRPr="00DA257A">
        <w:t>engen.</w:t>
      </w:r>
    </w:p>
  </w:footnote>
  <w:footnote w:id="54">
    <w:p w14:paraId="5A227FCB" w14:textId="6182319F" w:rsidR="007C7210" w:rsidRPr="00DA257A" w:rsidRDefault="007C7210" w:rsidP="009B6FAD">
      <w:pPr>
        <w:pStyle w:val="FootnoteText"/>
        <w:ind w:left="851" w:hanging="851"/>
      </w:pPr>
      <w:r w:rsidRPr="00DA257A">
        <w:rPr>
          <w:rStyle w:val="FootnoteReference"/>
        </w:rPr>
        <w:footnoteRef/>
      </w:r>
      <w:r w:rsidRPr="00DA257A">
        <w:t xml:space="preserve"> Art. 39 ust. 5 konwencji wykonawczej do układu</w:t>
      </w:r>
      <w:r w:rsidR="00DA257A" w:rsidRPr="00DA257A">
        <w:t xml:space="preserve"> z Sch</w:t>
      </w:r>
      <w:r w:rsidRPr="00DA257A">
        <w:t>engen.</w:t>
      </w:r>
    </w:p>
  </w:footnote>
  <w:footnote w:id="55">
    <w:p w14:paraId="788D765E" w14:textId="7DECA1D4" w:rsidR="007C7210" w:rsidRPr="00DA257A" w:rsidRDefault="007C7210">
      <w:pPr>
        <w:pStyle w:val="FootnoteText"/>
      </w:pPr>
      <w:r w:rsidRPr="00DA257A">
        <w:rPr>
          <w:rStyle w:val="FootnoteReference"/>
        </w:rPr>
        <w:footnoteRef/>
      </w:r>
      <w:r w:rsidRPr="00DA257A">
        <w:t xml:space="preserve"> Obejmują one wniosek dotyczący zalecenia Rady</w:t>
      </w:r>
      <w:r w:rsidR="00DA257A" w:rsidRPr="00DA257A">
        <w:t xml:space="preserve"> w spr</w:t>
      </w:r>
      <w:r w:rsidRPr="00DA257A">
        <w:t>awie operacyjnej współpracy policyjnej (COM(2021) 780 final), wniosek dotyczący dyrektywy Parlamentu Europejskiego</w:t>
      </w:r>
      <w:r w:rsidR="00DA257A" w:rsidRPr="00DA257A">
        <w:t xml:space="preserve"> i Rad</w:t>
      </w:r>
      <w:r w:rsidRPr="00DA257A">
        <w:t>y</w:t>
      </w:r>
      <w:r w:rsidR="00DA257A" w:rsidRPr="00DA257A">
        <w:t xml:space="preserve"> w spr</w:t>
      </w:r>
      <w:r w:rsidRPr="00DA257A">
        <w:t>awie wymiany informacji między organami ścigania państw członkowskich (COM(2021) 782 final) oraz wniosek dotyczący rozporządzenia Parlamentu Europejskiego</w:t>
      </w:r>
      <w:r w:rsidR="00DA257A" w:rsidRPr="00DA257A">
        <w:t xml:space="preserve"> i Rad</w:t>
      </w:r>
      <w:r w:rsidRPr="00DA257A">
        <w:t>y</w:t>
      </w:r>
      <w:r w:rsidR="00DA257A" w:rsidRPr="00DA257A">
        <w:t xml:space="preserve"> w spr</w:t>
      </w:r>
      <w:r w:rsidRPr="00DA257A">
        <w:t>awie zautomatyzowanej wymiany danych na potrzeby współpracy policyjnej (COM(2021) 784 final).</w:t>
      </w:r>
    </w:p>
  </w:footnote>
  <w:footnote w:id="56">
    <w:p w14:paraId="6602FC5E" w14:textId="77777777" w:rsidR="007C7210" w:rsidRPr="00DA257A" w:rsidRDefault="007C7210">
      <w:pPr>
        <w:pStyle w:val="FootnoteText"/>
      </w:pPr>
      <w:r w:rsidRPr="00DA257A">
        <w:rPr>
          <w:rStyle w:val="FootnoteReference"/>
        </w:rPr>
        <w:footnoteRef/>
      </w:r>
      <w:r w:rsidRPr="00DA257A">
        <w:t xml:space="preserve"> </w:t>
      </w:r>
      <w:hyperlink r:id="rId8" w:history="1">
        <w:r w:rsidRPr="00DA257A">
          <w:rPr>
            <w:rStyle w:val="Hyperlink"/>
          </w:rPr>
          <w:t>https://eur-lex.europa.eu/legal-content/PL/TXT/PDF/?uri=CELEX:32004L0082&amp;from=EN</w:t>
        </w:r>
      </w:hyperlink>
      <w:r w:rsidRPr="00DA257A">
        <w:t xml:space="preserve"> </w:t>
      </w:r>
    </w:p>
  </w:footnote>
  <w:footnote w:id="57">
    <w:p w14:paraId="1B9884AF" w14:textId="0F995CBE" w:rsidR="007C7210" w:rsidRPr="00DA257A" w:rsidRDefault="007C7210" w:rsidP="00113632">
      <w:pPr>
        <w:pStyle w:val="FootnoteText"/>
      </w:pPr>
      <w:r w:rsidRPr="00DA257A">
        <w:rPr>
          <w:rStyle w:val="FootnoteReference"/>
        </w:rPr>
        <w:footnoteRef/>
      </w:r>
      <w:r w:rsidRPr="00DA257A">
        <w:t xml:space="preserve"> „Wpis” oznacza zestaw danych wprowadzonych do Systemu Informacyjnego Schengen, umożliwiających właściwym organom zidentyfikowanie osoby lub przedmiotu</w:t>
      </w:r>
      <w:r w:rsidR="00DA257A" w:rsidRPr="00DA257A">
        <w:t xml:space="preserve"> w cel</w:t>
      </w:r>
      <w:r w:rsidRPr="00DA257A">
        <w:t>u podjęcia konkretnego działania.</w:t>
      </w:r>
    </w:p>
  </w:footnote>
  <w:footnote w:id="58">
    <w:p w14:paraId="4526DB95" w14:textId="3FF601D3" w:rsidR="007C7210" w:rsidRPr="00DA257A" w:rsidRDefault="007C7210" w:rsidP="002C2ED3">
      <w:pPr>
        <w:pStyle w:val="FootnoteText"/>
      </w:pPr>
      <w:r w:rsidRPr="00DA257A">
        <w:rPr>
          <w:rStyle w:val="FootnoteReference"/>
        </w:rPr>
        <w:footnoteRef/>
      </w:r>
      <w:r w:rsidRPr="00DA257A">
        <w:t xml:space="preserve"> Jest to wzrost</w:t>
      </w:r>
      <w:r w:rsidR="00DA257A" w:rsidRPr="00DA257A">
        <w:t xml:space="preserve"> o nie</w:t>
      </w:r>
      <w:r w:rsidRPr="00DA257A">
        <w:t>mal 20 mln dodatkowych wpisów</w:t>
      </w:r>
      <w:r w:rsidR="00DA257A" w:rsidRPr="00DA257A">
        <w:t xml:space="preserve"> w por</w:t>
      </w:r>
      <w:r w:rsidRPr="00DA257A">
        <w:t>ównaniu</w:t>
      </w:r>
      <w:r w:rsidR="00DA257A" w:rsidRPr="00DA257A">
        <w:t xml:space="preserve"> z dan</w:t>
      </w:r>
      <w:r w:rsidRPr="00DA257A">
        <w:t>ymi sprzed czterech lat (71 mln do grudnia 2016 r.).</w:t>
      </w:r>
    </w:p>
  </w:footnote>
  <w:footnote w:id="59">
    <w:p w14:paraId="7EC2AAD5" w14:textId="3F07F5B2" w:rsidR="007C7210" w:rsidRPr="00DA257A" w:rsidRDefault="007C7210">
      <w:pPr>
        <w:pStyle w:val="FootnoteText"/>
      </w:pPr>
      <w:r w:rsidRPr="00DA257A">
        <w:rPr>
          <w:rStyle w:val="FootnoteReference"/>
        </w:rPr>
        <w:footnoteRef/>
      </w:r>
      <w:r w:rsidRPr="00DA257A">
        <w:t xml:space="preserve"> „Trafienie” oznacza dopasowanie, które spełnia następujące kryteria: a) zostało potwierdzone przez: (i) użytkownika końcowego; lub (ii) właściwy organ zgodnie</w:t>
      </w:r>
      <w:r w:rsidR="00DA257A" w:rsidRPr="00DA257A">
        <w:t xml:space="preserve"> z pro</w:t>
      </w:r>
      <w:r w:rsidRPr="00DA257A">
        <w:t>cedurami krajowymi,</w:t>
      </w:r>
      <w:r w:rsidR="00DA257A" w:rsidRPr="00DA257A">
        <w:t xml:space="preserve"> w prz</w:t>
      </w:r>
      <w:r w:rsidRPr="00DA257A">
        <w:t>ypadku gdy dane dopasowanie opierało się na porównaniu danych biometrycznych; oraz b) wymagane jest podjęcie dalszych działań.</w:t>
      </w:r>
    </w:p>
  </w:footnote>
  <w:footnote w:id="60">
    <w:p w14:paraId="0D20A711" w14:textId="58C74E93" w:rsidR="007C7210" w:rsidRPr="00DA257A" w:rsidRDefault="007C7210" w:rsidP="00965485">
      <w:pPr>
        <w:pStyle w:val="FootnoteText"/>
      </w:pPr>
      <w:r w:rsidRPr="00DA257A">
        <w:rPr>
          <w:rStyle w:val="FootnoteReference"/>
        </w:rPr>
        <w:footnoteRef/>
      </w:r>
      <w:r w:rsidRPr="00DA257A">
        <w:t xml:space="preserve"> W 2019 r. w SIS przeprowadzono 6,6 mld wyszukiwań, a</w:t>
      </w:r>
      <w:r w:rsidR="00DA257A" w:rsidRPr="00DA257A">
        <w:t xml:space="preserve"> w 2</w:t>
      </w:r>
      <w:r w:rsidRPr="00DA257A">
        <w:t xml:space="preserve">021 r. – 7,0 mld. </w:t>
      </w:r>
    </w:p>
  </w:footnote>
  <w:footnote w:id="61">
    <w:p w14:paraId="38B5EA0E" w14:textId="1776E3DF" w:rsidR="007C7210" w:rsidRPr="00DA257A" w:rsidRDefault="007C7210" w:rsidP="00CC62A6">
      <w:pPr>
        <w:pStyle w:val="FootnoteText"/>
      </w:pPr>
      <w:r w:rsidRPr="00DA257A">
        <w:rPr>
          <w:rStyle w:val="FootnoteReference"/>
        </w:rPr>
        <w:footnoteRef/>
      </w:r>
      <w:r w:rsidRPr="00DA257A">
        <w:t xml:space="preserve"> Rozporządzenie (UE) 2016/679, Dz.U. L 119</w:t>
      </w:r>
      <w:r w:rsidR="00DA257A" w:rsidRPr="00DA257A">
        <w:t xml:space="preserve"> z 4</w:t>
      </w:r>
      <w:r w:rsidRPr="00DA257A">
        <w:t>.5.2016, s. 1.</w:t>
      </w:r>
    </w:p>
  </w:footnote>
  <w:footnote w:id="62">
    <w:p w14:paraId="35E0DB60" w14:textId="2D47C7CA" w:rsidR="007C7210" w:rsidRPr="00DA257A" w:rsidRDefault="007C7210">
      <w:pPr>
        <w:pStyle w:val="FootnoteText"/>
      </w:pPr>
      <w:r w:rsidRPr="00DA257A">
        <w:rPr>
          <w:rStyle w:val="FootnoteReference"/>
        </w:rPr>
        <w:footnoteRef/>
      </w:r>
      <w:r w:rsidRPr="00DA257A">
        <w:t xml:space="preserve"> Dyrektywa (UE) 2016/680, Dz.U. L 119</w:t>
      </w:r>
      <w:r w:rsidR="00DA257A" w:rsidRPr="00DA257A">
        <w:t xml:space="preserve"> z 4</w:t>
      </w:r>
      <w:r w:rsidRPr="00DA257A">
        <w:t>.5.2016, s. 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E881" w14:textId="77777777" w:rsidR="009C6475" w:rsidRPr="009C6475" w:rsidRDefault="009C6475" w:rsidP="009C6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F7D64" w14:textId="77777777" w:rsidR="009C6475" w:rsidRPr="009C6475" w:rsidRDefault="009C6475" w:rsidP="009C647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D10B" w14:textId="77777777" w:rsidR="009C6475" w:rsidRPr="009C6475" w:rsidRDefault="009C6475" w:rsidP="009C647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B5D5A" w14:textId="77777777" w:rsidR="007C7210" w:rsidRDefault="007C72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E3F1" w14:textId="77777777" w:rsidR="007C7210" w:rsidRPr="00042D8A" w:rsidRDefault="007C7210" w:rsidP="00042D8A">
    <w:pPr>
      <w:pStyle w:val="Header"/>
      <w:jc w:val="right"/>
      <w:rPr>
        <w:b/>
        <w:sz w:val="20"/>
      </w:rPr>
    </w:pPr>
  </w:p>
  <w:p w14:paraId="3F7976C8" w14:textId="77777777" w:rsidR="007C7210" w:rsidRPr="00DE1296" w:rsidRDefault="007C72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BF00" w14:textId="77777777" w:rsidR="007C7210" w:rsidRDefault="007C7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E60"/>
    <w:multiLevelType w:val="hybridMultilevel"/>
    <w:tmpl w:val="C4044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1377A"/>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805E1"/>
    <w:multiLevelType w:val="multilevel"/>
    <w:tmpl w:val="ECDEC1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26BF6"/>
    <w:multiLevelType w:val="multilevel"/>
    <w:tmpl w:val="ECDEC1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03BD9"/>
    <w:multiLevelType w:val="hybridMultilevel"/>
    <w:tmpl w:val="5F7A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C6473"/>
    <w:multiLevelType w:val="hybridMultilevel"/>
    <w:tmpl w:val="64582494"/>
    <w:lvl w:ilvl="0" w:tplc="D0109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71408"/>
    <w:multiLevelType w:val="multilevel"/>
    <w:tmpl w:val="ECDEC1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22799"/>
    <w:multiLevelType w:val="hybridMultilevel"/>
    <w:tmpl w:val="8CD8C106"/>
    <w:lvl w:ilvl="0" w:tplc="FFFFFFFF">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3151059"/>
    <w:multiLevelType w:val="multilevel"/>
    <w:tmpl w:val="ECDEC1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9428E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307C8"/>
    <w:multiLevelType w:val="hybridMultilevel"/>
    <w:tmpl w:val="97CC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31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9198A"/>
    <w:multiLevelType w:val="multilevel"/>
    <w:tmpl w:val="F23A1D74"/>
    <w:lvl w:ilvl="0">
      <w:start w:val="1"/>
      <w:numFmt w:val="decimal"/>
      <w:lvlText w:val="%1."/>
      <w:lvlJc w:val="left"/>
      <w:pPr>
        <w:ind w:left="360" w:hanging="360"/>
      </w:pPr>
      <w:rPr>
        <w:b/>
      </w:rPr>
    </w:lvl>
    <w:lvl w:ilvl="1">
      <w:start w:val="1"/>
      <w:numFmt w:val="decimal"/>
      <w:lvlText w:val="%1.%2."/>
      <w:lvlJc w:val="left"/>
      <w:pPr>
        <w:ind w:left="792" w:hanging="432"/>
      </w:pPr>
    </w:lvl>
    <w:lvl w:ilvl="2">
      <w:numFmt w:val="bullet"/>
      <w:lvlText w:val="-"/>
      <w:lvlJc w:val="left"/>
      <w:pPr>
        <w:ind w:left="1224" w:hanging="504"/>
      </w:pPr>
      <w:rPr>
        <w:rFonts w:ascii="Times New Roman" w:eastAsia="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112849"/>
    <w:multiLevelType w:val="multilevel"/>
    <w:tmpl w:val="67F6AB90"/>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E61415"/>
    <w:multiLevelType w:val="hybridMultilevel"/>
    <w:tmpl w:val="2632A2E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711EE"/>
    <w:multiLevelType w:val="hybridMultilevel"/>
    <w:tmpl w:val="0A42E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96B55"/>
    <w:multiLevelType w:val="hybridMultilevel"/>
    <w:tmpl w:val="E0B29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F50D3"/>
    <w:multiLevelType w:val="hybridMultilevel"/>
    <w:tmpl w:val="C762A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FB7C73"/>
    <w:multiLevelType w:val="hybridMultilevel"/>
    <w:tmpl w:val="F8DE0300"/>
    <w:lvl w:ilvl="0" w:tplc="EACAF394">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F3519C7"/>
    <w:multiLevelType w:val="hybridMultilevel"/>
    <w:tmpl w:val="CBBC7ABE"/>
    <w:lvl w:ilvl="0" w:tplc="DDDA98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B35D4"/>
    <w:multiLevelType w:val="hybridMultilevel"/>
    <w:tmpl w:val="6F6E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30B41"/>
    <w:multiLevelType w:val="hybridMultilevel"/>
    <w:tmpl w:val="CCFC934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42A3B"/>
    <w:multiLevelType w:val="multilevel"/>
    <w:tmpl w:val="A92203F6"/>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45D83EE2"/>
    <w:multiLevelType w:val="hybridMultilevel"/>
    <w:tmpl w:val="3CE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8283E"/>
    <w:multiLevelType w:val="hybridMultilevel"/>
    <w:tmpl w:val="7E7E3CDA"/>
    <w:lvl w:ilvl="0" w:tplc="DBF6F13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B50D3"/>
    <w:multiLevelType w:val="hybridMultilevel"/>
    <w:tmpl w:val="C45E06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C614419"/>
    <w:multiLevelType w:val="hybridMultilevel"/>
    <w:tmpl w:val="65D62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B54EF5"/>
    <w:multiLevelType w:val="multilevel"/>
    <w:tmpl w:val="F23A1D74"/>
    <w:lvl w:ilvl="0">
      <w:start w:val="1"/>
      <w:numFmt w:val="decimal"/>
      <w:lvlText w:val="%1."/>
      <w:lvlJc w:val="left"/>
      <w:pPr>
        <w:ind w:left="360" w:hanging="360"/>
      </w:pPr>
      <w:rPr>
        <w:b/>
      </w:rPr>
    </w:lvl>
    <w:lvl w:ilvl="1">
      <w:start w:val="1"/>
      <w:numFmt w:val="decimal"/>
      <w:lvlText w:val="%1.%2."/>
      <w:lvlJc w:val="left"/>
      <w:pPr>
        <w:ind w:left="792" w:hanging="432"/>
      </w:pPr>
    </w:lvl>
    <w:lvl w:ilvl="2">
      <w:numFmt w:val="bullet"/>
      <w:lvlText w:val="-"/>
      <w:lvlJc w:val="left"/>
      <w:pPr>
        <w:ind w:left="1224" w:hanging="504"/>
      </w:pPr>
      <w:rPr>
        <w:rFonts w:ascii="Times New Roman" w:eastAsia="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E80B57"/>
    <w:multiLevelType w:val="multilevel"/>
    <w:tmpl w:val="7BAA873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numFmt w:val="bullet"/>
      <w:lvlText w:val="-"/>
      <w:lvlJc w:val="left"/>
      <w:pPr>
        <w:ind w:left="1224" w:hanging="504"/>
      </w:pPr>
      <w:rPr>
        <w:rFonts w:ascii="Times New Roman" w:eastAsia="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045B91"/>
    <w:multiLevelType w:val="hybridMultilevel"/>
    <w:tmpl w:val="3B70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47E1F"/>
    <w:multiLevelType w:val="multilevel"/>
    <w:tmpl w:val="ECDEC1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437E3A"/>
    <w:multiLevelType w:val="hybridMultilevel"/>
    <w:tmpl w:val="BC3A6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91CC2"/>
    <w:multiLevelType w:val="hybridMultilevel"/>
    <w:tmpl w:val="ABBC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A7773"/>
    <w:multiLevelType w:val="hybridMultilevel"/>
    <w:tmpl w:val="8310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F5949"/>
    <w:multiLevelType w:val="hybridMultilevel"/>
    <w:tmpl w:val="F9AE1116"/>
    <w:lvl w:ilvl="0" w:tplc="BEF44AFC">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1"/>
  </w:num>
  <w:num w:numId="4">
    <w:abstractNumId w:val="23"/>
  </w:num>
  <w:num w:numId="5">
    <w:abstractNumId w:val="7"/>
  </w:num>
  <w:num w:numId="6">
    <w:abstractNumId w:val="25"/>
  </w:num>
  <w:num w:numId="7">
    <w:abstractNumId w:val="31"/>
  </w:num>
  <w:num w:numId="8">
    <w:abstractNumId w:val="10"/>
  </w:num>
  <w:num w:numId="9">
    <w:abstractNumId w:val="15"/>
  </w:num>
  <w:num w:numId="10">
    <w:abstractNumId w:val="30"/>
  </w:num>
  <w:num w:numId="11">
    <w:abstractNumId w:val="6"/>
  </w:num>
  <w:num w:numId="12">
    <w:abstractNumId w:val="33"/>
  </w:num>
  <w:num w:numId="13">
    <w:abstractNumId w:val="24"/>
  </w:num>
  <w:num w:numId="14">
    <w:abstractNumId w:val="12"/>
  </w:num>
  <w:num w:numId="15">
    <w:abstractNumId w:val="27"/>
  </w:num>
  <w:num w:numId="16">
    <w:abstractNumId w:val="28"/>
  </w:num>
  <w:num w:numId="17">
    <w:abstractNumId w:val="26"/>
  </w:num>
  <w:num w:numId="18">
    <w:abstractNumId w:val="4"/>
  </w:num>
  <w:num w:numId="19">
    <w:abstractNumId w:val="0"/>
  </w:num>
  <w:num w:numId="20">
    <w:abstractNumId w:val="20"/>
  </w:num>
  <w:num w:numId="21">
    <w:abstractNumId w:val="21"/>
  </w:num>
  <w:num w:numId="22">
    <w:abstractNumId w:val="14"/>
  </w:num>
  <w:num w:numId="23">
    <w:abstractNumId w:val="20"/>
  </w:num>
  <w:num w:numId="24">
    <w:abstractNumId w:val="2"/>
  </w:num>
  <w:num w:numId="25">
    <w:abstractNumId w:val="16"/>
  </w:num>
  <w:num w:numId="26">
    <w:abstractNumId w:val="1"/>
  </w:num>
  <w:num w:numId="27">
    <w:abstractNumId w:val="9"/>
  </w:num>
  <w:num w:numId="28">
    <w:abstractNumId w:val="3"/>
  </w:num>
  <w:num w:numId="29">
    <w:abstractNumId w:val="22"/>
  </w:num>
  <w:num w:numId="30">
    <w:abstractNumId w:val="13"/>
  </w:num>
  <w:num w:numId="31">
    <w:abstractNumId w:val="19"/>
  </w:num>
  <w:num w:numId="32">
    <w:abstractNumId w:val="5"/>
  </w:num>
  <w:num w:numId="33">
    <w:abstractNumId w:val="17"/>
  </w:num>
  <w:num w:numId="34">
    <w:abstractNumId w:val="29"/>
  </w:num>
  <w:num w:numId="35">
    <w:abstractNumId w:val="18"/>
  </w:num>
  <w:num w:numId="3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it-IT" w:vendorID="64" w:dllVersion="6" w:nlCheck="1" w:checkStyle="0"/>
  <w:activeWritingStyle w:appName="MSWord" w:lang="it-IT" w:vendorID="64" w:dllVersion="0" w:nlCheck="1" w:checkStyle="0"/>
  <w:activeWritingStyle w:appName="MSWord" w:lang="nl-BE" w:vendorID="64" w:dllVersion="6"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AE25016-E01A-46D2-8313-33E543541424"/>
    <w:docVar w:name="LW_COVERPAGE_TYPE" w:val="1"/>
    <w:docVar w:name="LW_CROSSREFERENCE" w:val="&lt;UNUSED&gt;"/>
    <w:docVar w:name="LW_DocType" w:val="NORMAL"/>
    <w:docVar w:name="LW_EMISSION" w:val="24.5.2022"/>
    <w:docVar w:name="LW_EMISSION_ISODATE" w:val="2022-05-24"/>
    <w:docVar w:name="LW_EMISSION_LOCATION" w:val="BRX"/>
    <w:docVar w:name="LW_EMISSION_PREFIX" w:val="Bruksela, dnia "/>
    <w:docVar w:name="LW_EMISSION_SUFFIX" w:val=" r."/>
    <w:docVar w:name="LW_ID_DOCTYPE_NONLW" w:val="CP-009"/>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2)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awozdanie w sprawie stanu strefy Schengen z 2022 r._x000d__x000d__x000d__x000d__x000d__x000d__x000d__x000d__x000b__x000d__x000d__x000d__x000d__x000d__x000d__x000d__x000d__x000d__x000b__x000d__x000d__x000d__x000d__x000d__x000d__x000d__x000d__x000d__x000d__x000d__x000b_"/>
    <w:docVar w:name="LW_TYPE.DOC.CP" w:val="KOMUNIKAT KOMISJI"/>
    <w:docVar w:name="LW_TYPE.DOC.CP.USERTEXT" w:val="DO PARLAMENTU EUROPEJSKIEGO, RADY EUROPEJSKIEJ, RADY, EUROPEJSKIEGO KOMITETU EKONOMICZNO-SPO\u321?ECZNEGO I KOMITETU REGIONÓW"/>
    <w:docVar w:name="LwApiVersions" w:val="LW4CoDe 1.23.2.0; LW 8.0, Build 20211117"/>
  </w:docVars>
  <w:rsids>
    <w:rsidRoot w:val="00AC2253"/>
    <w:rsid w:val="00000B3D"/>
    <w:rsid w:val="00002D79"/>
    <w:rsid w:val="00004024"/>
    <w:rsid w:val="00004494"/>
    <w:rsid w:val="0000593C"/>
    <w:rsid w:val="00005FEA"/>
    <w:rsid w:val="00010128"/>
    <w:rsid w:val="000103ED"/>
    <w:rsid w:val="000105B4"/>
    <w:rsid w:val="000117A0"/>
    <w:rsid w:val="00012275"/>
    <w:rsid w:val="000126EB"/>
    <w:rsid w:val="00012CF8"/>
    <w:rsid w:val="00012E0D"/>
    <w:rsid w:val="00013B9F"/>
    <w:rsid w:val="000167FB"/>
    <w:rsid w:val="0001689C"/>
    <w:rsid w:val="00016FD9"/>
    <w:rsid w:val="00017119"/>
    <w:rsid w:val="00017B03"/>
    <w:rsid w:val="00022E41"/>
    <w:rsid w:val="00023A09"/>
    <w:rsid w:val="00024C60"/>
    <w:rsid w:val="00024E34"/>
    <w:rsid w:val="00024E5E"/>
    <w:rsid w:val="00025F97"/>
    <w:rsid w:val="000267BB"/>
    <w:rsid w:val="0002717B"/>
    <w:rsid w:val="00027698"/>
    <w:rsid w:val="00027E8A"/>
    <w:rsid w:val="000316F8"/>
    <w:rsid w:val="000323D1"/>
    <w:rsid w:val="00032E7C"/>
    <w:rsid w:val="00033F5B"/>
    <w:rsid w:val="0003448F"/>
    <w:rsid w:val="000366E3"/>
    <w:rsid w:val="00036D25"/>
    <w:rsid w:val="00040290"/>
    <w:rsid w:val="0004091C"/>
    <w:rsid w:val="0004096A"/>
    <w:rsid w:val="00041F12"/>
    <w:rsid w:val="00042D8A"/>
    <w:rsid w:val="00043079"/>
    <w:rsid w:val="00043690"/>
    <w:rsid w:val="00044387"/>
    <w:rsid w:val="00044D6E"/>
    <w:rsid w:val="00045A6C"/>
    <w:rsid w:val="00045F24"/>
    <w:rsid w:val="000475B4"/>
    <w:rsid w:val="0004781D"/>
    <w:rsid w:val="00047F3D"/>
    <w:rsid w:val="00047F45"/>
    <w:rsid w:val="00050C89"/>
    <w:rsid w:val="000511A0"/>
    <w:rsid w:val="000515C1"/>
    <w:rsid w:val="00051DF4"/>
    <w:rsid w:val="0005202A"/>
    <w:rsid w:val="000524E8"/>
    <w:rsid w:val="0005497A"/>
    <w:rsid w:val="000556F1"/>
    <w:rsid w:val="00055C85"/>
    <w:rsid w:val="000561E7"/>
    <w:rsid w:val="000565D7"/>
    <w:rsid w:val="00056FEE"/>
    <w:rsid w:val="000617F9"/>
    <w:rsid w:val="000623D2"/>
    <w:rsid w:val="0006251C"/>
    <w:rsid w:val="000628FA"/>
    <w:rsid w:val="00062909"/>
    <w:rsid w:val="00062C90"/>
    <w:rsid w:val="000638CA"/>
    <w:rsid w:val="00064384"/>
    <w:rsid w:val="00064FB2"/>
    <w:rsid w:val="000650DC"/>
    <w:rsid w:val="0006581E"/>
    <w:rsid w:val="00066CFC"/>
    <w:rsid w:val="000670CE"/>
    <w:rsid w:val="00067345"/>
    <w:rsid w:val="00071F7D"/>
    <w:rsid w:val="00072238"/>
    <w:rsid w:val="0007344C"/>
    <w:rsid w:val="00074281"/>
    <w:rsid w:val="000745AD"/>
    <w:rsid w:val="0007471E"/>
    <w:rsid w:val="00074FFF"/>
    <w:rsid w:val="000753AD"/>
    <w:rsid w:val="000800AB"/>
    <w:rsid w:val="0008096E"/>
    <w:rsid w:val="0008166A"/>
    <w:rsid w:val="00081A30"/>
    <w:rsid w:val="00081F8C"/>
    <w:rsid w:val="00082C9B"/>
    <w:rsid w:val="00084161"/>
    <w:rsid w:val="00084F42"/>
    <w:rsid w:val="0008589C"/>
    <w:rsid w:val="000866AD"/>
    <w:rsid w:val="000867F7"/>
    <w:rsid w:val="0008710C"/>
    <w:rsid w:val="00087C3A"/>
    <w:rsid w:val="000909A5"/>
    <w:rsid w:val="00090AE1"/>
    <w:rsid w:val="0009226F"/>
    <w:rsid w:val="000925A8"/>
    <w:rsid w:val="0009366D"/>
    <w:rsid w:val="00093F21"/>
    <w:rsid w:val="00093FC8"/>
    <w:rsid w:val="00094E41"/>
    <w:rsid w:val="00095354"/>
    <w:rsid w:val="00095B8E"/>
    <w:rsid w:val="00095CBF"/>
    <w:rsid w:val="000976AD"/>
    <w:rsid w:val="0009772B"/>
    <w:rsid w:val="000A0C5E"/>
    <w:rsid w:val="000A1314"/>
    <w:rsid w:val="000A1971"/>
    <w:rsid w:val="000A1D97"/>
    <w:rsid w:val="000A1D9B"/>
    <w:rsid w:val="000A4BD3"/>
    <w:rsid w:val="000A563C"/>
    <w:rsid w:val="000B0AC2"/>
    <w:rsid w:val="000B1528"/>
    <w:rsid w:val="000B2735"/>
    <w:rsid w:val="000B3968"/>
    <w:rsid w:val="000B3BED"/>
    <w:rsid w:val="000B4859"/>
    <w:rsid w:val="000B4D35"/>
    <w:rsid w:val="000B5ECD"/>
    <w:rsid w:val="000B6227"/>
    <w:rsid w:val="000B6D1F"/>
    <w:rsid w:val="000B71D9"/>
    <w:rsid w:val="000C01AA"/>
    <w:rsid w:val="000C02E2"/>
    <w:rsid w:val="000C23A4"/>
    <w:rsid w:val="000C28B3"/>
    <w:rsid w:val="000C38B1"/>
    <w:rsid w:val="000C440D"/>
    <w:rsid w:val="000C4459"/>
    <w:rsid w:val="000C512F"/>
    <w:rsid w:val="000C5FB7"/>
    <w:rsid w:val="000C6231"/>
    <w:rsid w:val="000C700D"/>
    <w:rsid w:val="000D01C7"/>
    <w:rsid w:val="000D0B2A"/>
    <w:rsid w:val="000D0F47"/>
    <w:rsid w:val="000D2D95"/>
    <w:rsid w:val="000D41E1"/>
    <w:rsid w:val="000D4B3B"/>
    <w:rsid w:val="000D4F86"/>
    <w:rsid w:val="000D5071"/>
    <w:rsid w:val="000D5512"/>
    <w:rsid w:val="000D5E85"/>
    <w:rsid w:val="000D6AB3"/>
    <w:rsid w:val="000D6B6E"/>
    <w:rsid w:val="000D6D27"/>
    <w:rsid w:val="000D789E"/>
    <w:rsid w:val="000D7F83"/>
    <w:rsid w:val="000E2491"/>
    <w:rsid w:val="000E24C7"/>
    <w:rsid w:val="000E24D5"/>
    <w:rsid w:val="000E2E9B"/>
    <w:rsid w:val="000E3BF8"/>
    <w:rsid w:val="000E3E00"/>
    <w:rsid w:val="000E4428"/>
    <w:rsid w:val="000E5C82"/>
    <w:rsid w:val="000E6BA4"/>
    <w:rsid w:val="000E6C3A"/>
    <w:rsid w:val="000E7244"/>
    <w:rsid w:val="000E74F7"/>
    <w:rsid w:val="000F1888"/>
    <w:rsid w:val="000F202F"/>
    <w:rsid w:val="000F3ED0"/>
    <w:rsid w:val="000F4E6E"/>
    <w:rsid w:val="000F508E"/>
    <w:rsid w:val="000F621C"/>
    <w:rsid w:val="000F77AF"/>
    <w:rsid w:val="000F7C7D"/>
    <w:rsid w:val="000F7D14"/>
    <w:rsid w:val="00100764"/>
    <w:rsid w:val="0010099E"/>
    <w:rsid w:val="00100A7B"/>
    <w:rsid w:val="001011A0"/>
    <w:rsid w:val="00101EA5"/>
    <w:rsid w:val="00103D13"/>
    <w:rsid w:val="001047D4"/>
    <w:rsid w:val="0010579A"/>
    <w:rsid w:val="0010593A"/>
    <w:rsid w:val="00105BD7"/>
    <w:rsid w:val="00105FF4"/>
    <w:rsid w:val="00106044"/>
    <w:rsid w:val="001062F3"/>
    <w:rsid w:val="00111AA4"/>
    <w:rsid w:val="00112219"/>
    <w:rsid w:val="001127E1"/>
    <w:rsid w:val="00112AD1"/>
    <w:rsid w:val="00112BD1"/>
    <w:rsid w:val="0011338F"/>
    <w:rsid w:val="00113632"/>
    <w:rsid w:val="00113778"/>
    <w:rsid w:val="00113925"/>
    <w:rsid w:val="00113FE9"/>
    <w:rsid w:val="001151AC"/>
    <w:rsid w:val="00115732"/>
    <w:rsid w:val="0011591E"/>
    <w:rsid w:val="00115D61"/>
    <w:rsid w:val="0011609B"/>
    <w:rsid w:val="00116254"/>
    <w:rsid w:val="00116FA4"/>
    <w:rsid w:val="00120439"/>
    <w:rsid w:val="00120857"/>
    <w:rsid w:val="0012090D"/>
    <w:rsid w:val="00120A29"/>
    <w:rsid w:val="00122198"/>
    <w:rsid w:val="00122985"/>
    <w:rsid w:val="00122B41"/>
    <w:rsid w:val="001237C0"/>
    <w:rsid w:val="00123CC4"/>
    <w:rsid w:val="00124122"/>
    <w:rsid w:val="001244D6"/>
    <w:rsid w:val="00124767"/>
    <w:rsid w:val="001263B4"/>
    <w:rsid w:val="00127B71"/>
    <w:rsid w:val="00130AFA"/>
    <w:rsid w:val="00131612"/>
    <w:rsid w:val="0013226D"/>
    <w:rsid w:val="001332F6"/>
    <w:rsid w:val="0013405D"/>
    <w:rsid w:val="00134568"/>
    <w:rsid w:val="00134849"/>
    <w:rsid w:val="00134A63"/>
    <w:rsid w:val="00135E71"/>
    <w:rsid w:val="00136A73"/>
    <w:rsid w:val="00136AF6"/>
    <w:rsid w:val="001371AE"/>
    <w:rsid w:val="00137DB2"/>
    <w:rsid w:val="001402CB"/>
    <w:rsid w:val="001444DB"/>
    <w:rsid w:val="00145292"/>
    <w:rsid w:val="0014583C"/>
    <w:rsid w:val="00147296"/>
    <w:rsid w:val="00147E3C"/>
    <w:rsid w:val="00150020"/>
    <w:rsid w:val="001503D4"/>
    <w:rsid w:val="00150A79"/>
    <w:rsid w:val="001510CA"/>
    <w:rsid w:val="00151172"/>
    <w:rsid w:val="0015174E"/>
    <w:rsid w:val="00151DE3"/>
    <w:rsid w:val="00151DEE"/>
    <w:rsid w:val="00152D40"/>
    <w:rsid w:val="00152D7A"/>
    <w:rsid w:val="00153167"/>
    <w:rsid w:val="001533DC"/>
    <w:rsid w:val="00154309"/>
    <w:rsid w:val="00155D3E"/>
    <w:rsid w:val="00157CB2"/>
    <w:rsid w:val="00157DFB"/>
    <w:rsid w:val="00157E4C"/>
    <w:rsid w:val="00161BDC"/>
    <w:rsid w:val="001625D9"/>
    <w:rsid w:val="00162821"/>
    <w:rsid w:val="00163637"/>
    <w:rsid w:val="00163742"/>
    <w:rsid w:val="00165007"/>
    <w:rsid w:val="001661DE"/>
    <w:rsid w:val="00167C8C"/>
    <w:rsid w:val="00170A05"/>
    <w:rsid w:val="00172561"/>
    <w:rsid w:val="001727A6"/>
    <w:rsid w:val="0017369C"/>
    <w:rsid w:val="0017373B"/>
    <w:rsid w:val="00174353"/>
    <w:rsid w:val="00174524"/>
    <w:rsid w:val="00174F8E"/>
    <w:rsid w:val="0017522E"/>
    <w:rsid w:val="0017550D"/>
    <w:rsid w:val="00180112"/>
    <w:rsid w:val="00182682"/>
    <w:rsid w:val="0018362D"/>
    <w:rsid w:val="0018373F"/>
    <w:rsid w:val="00183D30"/>
    <w:rsid w:val="00184942"/>
    <w:rsid w:val="00184BC7"/>
    <w:rsid w:val="00184C2D"/>
    <w:rsid w:val="00185016"/>
    <w:rsid w:val="00185284"/>
    <w:rsid w:val="00185DB9"/>
    <w:rsid w:val="00186302"/>
    <w:rsid w:val="00186895"/>
    <w:rsid w:val="001868B6"/>
    <w:rsid w:val="00186A5A"/>
    <w:rsid w:val="00186CF6"/>
    <w:rsid w:val="00186F13"/>
    <w:rsid w:val="00186F5C"/>
    <w:rsid w:val="00187C47"/>
    <w:rsid w:val="00190379"/>
    <w:rsid w:val="0019096B"/>
    <w:rsid w:val="00190B52"/>
    <w:rsid w:val="001910C9"/>
    <w:rsid w:val="00191A66"/>
    <w:rsid w:val="00192C31"/>
    <w:rsid w:val="00194086"/>
    <w:rsid w:val="00194DC2"/>
    <w:rsid w:val="001950AC"/>
    <w:rsid w:val="001959D5"/>
    <w:rsid w:val="001963BF"/>
    <w:rsid w:val="00196476"/>
    <w:rsid w:val="00196B6E"/>
    <w:rsid w:val="00196FE0"/>
    <w:rsid w:val="0019747A"/>
    <w:rsid w:val="001A02B4"/>
    <w:rsid w:val="001A0ACB"/>
    <w:rsid w:val="001A14BD"/>
    <w:rsid w:val="001A1887"/>
    <w:rsid w:val="001A230C"/>
    <w:rsid w:val="001A247B"/>
    <w:rsid w:val="001A3066"/>
    <w:rsid w:val="001A3E1C"/>
    <w:rsid w:val="001A582D"/>
    <w:rsid w:val="001A58C9"/>
    <w:rsid w:val="001A5E0C"/>
    <w:rsid w:val="001A634F"/>
    <w:rsid w:val="001A6CE0"/>
    <w:rsid w:val="001A74BE"/>
    <w:rsid w:val="001A76A9"/>
    <w:rsid w:val="001A77A8"/>
    <w:rsid w:val="001B22B3"/>
    <w:rsid w:val="001B2A51"/>
    <w:rsid w:val="001B2F23"/>
    <w:rsid w:val="001B3A66"/>
    <w:rsid w:val="001B4DB2"/>
    <w:rsid w:val="001B5AFE"/>
    <w:rsid w:val="001B5D66"/>
    <w:rsid w:val="001B6426"/>
    <w:rsid w:val="001B64A6"/>
    <w:rsid w:val="001B6D53"/>
    <w:rsid w:val="001B743D"/>
    <w:rsid w:val="001C182C"/>
    <w:rsid w:val="001C2061"/>
    <w:rsid w:val="001C2B7F"/>
    <w:rsid w:val="001C2E9A"/>
    <w:rsid w:val="001C437E"/>
    <w:rsid w:val="001C4F41"/>
    <w:rsid w:val="001C5DE5"/>
    <w:rsid w:val="001C5E61"/>
    <w:rsid w:val="001C63FA"/>
    <w:rsid w:val="001C7260"/>
    <w:rsid w:val="001C7F49"/>
    <w:rsid w:val="001D027B"/>
    <w:rsid w:val="001D0DCF"/>
    <w:rsid w:val="001D1178"/>
    <w:rsid w:val="001D13FB"/>
    <w:rsid w:val="001D1C2B"/>
    <w:rsid w:val="001D1F16"/>
    <w:rsid w:val="001D30E4"/>
    <w:rsid w:val="001D33F1"/>
    <w:rsid w:val="001D3861"/>
    <w:rsid w:val="001D396D"/>
    <w:rsid w:val="001D3EFE"/>
    <w:rsid w:val="001D62B0"/>
    <w:rsid w:val="001D6A15"/>
    <w:rsid w:val="001D6EFF"/>
    <w:rsid w:val="001E1D3A"/>
    <w:rsid w:val="001E2196"/>
    <w:rsid w:val="001E304A"/>
    <w:rsid w:val="001E3454"/>
    <w:rsid w:val="001E35FE"/>
    <w:rsid w:val="001E4179"/>
    <w:rsid w:val="001E41A5"/>
    <w:rsid w:val="001E4855"/>
    <w:rsid w:val="001E64E7"/>
    <w:rsid w:val="001E662E"/>
    <w:rsid w:val="001E726C"/>
    <w:rsid w:val="001E7A01"/>
    <w:rsid w:val="001F085A"/>
    <w:rsid w:val="001F1CC1"/>
    <w:rsid w:val="001F36AE"/>
    <w:rsid w:val="001F3AEE"/>
    <w:rsid w:val="001F3BE9"/>
    <w:rsid w:val="001F45C0"/>
    <w:rsid w:val="001F4F96"/>
    <w:rsid w:val="001F4FEB"/>
    <w:rsid w:val="001F60F0"/>
    <w:rsid w:val="001F6FFF"/>
    <w:rsid w:val="001F7868"/>
    <w:rsid w:val="00200383"/>
    <w:rsid w:val="00200483"/>
    <w:rsid w:val="00200F5A"/>
    <w:rsid w:val="00201CF0"/>
    <w:rsid w:val="00203209"/>
    <w:rsid w:val="0020352A"/>
    <w:rsid w:val="00203720"/>
    <w:rsid w:val="00204955"/>
    <w:rsid w:val="002050AB"/>
    <w:rsid w:val="00205817"/>
    <w:rsid w:val="00206E1B"/>
    <w:rsid w:val="00210B53"/>
    <w:rsid w:val="002114DC"/>
    <w:rsid w:val="00211CE0"/>
    <w:rsid w:val="00212548"/>
    <w:rsid w:val="002135F5"/>
    <w:rsid w:val="002147F1"/>
    <w:rsid w:val="00214C52"/>
    <w:rsid w:val="00215CFA"/>
    <w:rsid w:val="00215DF3"/>
    <w:rsid w:val="00216275"/>
    <w:rsid w:val="00217905"/>
    <w:rsid w:val="0022008F"/>
    <w:rsid w:val="00220BC5"/>
    <w:rsid w:val="002215E4"/>
    <w:rsid w:val="00221DCA"/>
    <w:rsid w:val="00222FA6"/>
    <w:rsid w:val="00223D11"/>
    <w:rsid w:val="00223F96"/>
    <w:rsid w:val="00224263"/>
    <w:rsid w:val="00226125"/>
    <w:rsid w:val="002265F0"/>
    <w:rsid w:val="0022699B"/>
    <w:rsid w:val="00230C80"/>
    <w:rsid w:val="00231B3A"/>
    <w:rsid w:val="00231C66"/>
    <w:rsid w:val="00231FDB"/>
    <w:rsid w:val="0023241D"/>
    <w:rsid w:val="00232A8F"/>
    <w:rsid w:val="0023593E"/>
    <w:rsid w:val="0023615C"/>
    <w:rsid w:val="00236A6E"/>
    <w:rsid w:val="00236B6E"/>
    <w:rsid w:val="00236F7B"/>
    <w:rsid w:val="002376FB"/>
    <w:rsid w:val="00237C1B"/>
    <w:rsid w:val="00240983"/>
    <w:rsid w:val="00241350"/>
    <w:rsid w:val="00242147"/>
    <w:rsid w:val="0024237B"/>
    <w:rsid w:val="00243503"/>
    <w:rsid w:val="002452F6"/>
    <w:rsid w:val="00245A3B"/>
    <w:rsid w:val="00245CC7"/>
    <w:rsid w:val="00245D2C"/>
    <w:rsid w:val="00246066"/>
    <w:rsid w:val="00246BDE"/>
    <w:rsid w:val="002508CB"/>
    <w:rsid w:val="00250ACB"/>
    <w:rsid w:val="00250FC4"/>
    <w:rsid w:val="00250FEF"/>
    <w:rsid w:val="002515E4"/>
    <w:rsid w:val="00251F22"/>
    <w:rsid w:val="00253D37"/>
    <w:rsid w:val="00253DD3"/>
    <w:rsid w:val="002540D0"/>
    <w:rsid w:val="002555B7"/>
    <w:rsid w:val="00255D49"/>
    <w:rsid w:val="00256451"/>
    <w:rsid w:val="00256988"/>
    <w:rsid w:val="002602AE"/>
    <w:rsid w:val="00260C20"/>
    <w:rsid w:val="002612A8"/>
    <w:rsid w:val="002613B2"/>
    <w:rsid w:val="00262124"/>
    <w:rsid w:val="002625E7"/>
    <w:rsid w:val="00263F6B"/>
    <w:rsid w:val="00263FD2"/>
    <w:rsid w:val="002644AB"/>
    <w:rsid w:val="002649D4"/>
    <w:rsid w:val="0026528D"/>
    <w:rsid w:val="00265686"/>
    <w:rsid w:val="00266EBF"/>
    <w:rsid w:val="00270192"/>
    <w:rsid w:val="00270650"/>
    <w:rsid w:val="00270BEA"/>
    <w:rsid w:val="00270E34"/>
    <w:rsid w:val="00271CE9"/>
    <w:rsid w:val="002735F8"/>
    <w:rsid w:val="00273C6A"/>
    <w:rsid w:val="00273DFA"/>
    <w:rsid w:val="0027520E"/>
    <w:rsid w:val="00275538"/>
    <w:rsid w:val="00275640"/>
    <w:rsid w:val="002757F3"/>
    <w:rsid w:val="002805D5"/>
    <w:rsid w:val="002807D1"/>
    <w:rsid w:val="00282021"/>
    <w:rsid w:val="002820A2"/>
    <w:rsid w:val="00282C93"/>
    <w:rsid w:val="002833E2"/>
    <w:rsid w:val="002834CD"/>
    <w:rsid w:val="00283DBF"/>
    <w:rsid w:val="00284027"/>
    <w:rsid w:val="0028465B"/>
    <w:rsid w:val="00285E1F"/>
    <w:rsid w:val="00286189"/>
    <w:rsid w:val="00290CF6"/>
    <w:rsid w:val="0029113B"/>
    <w:rsid w:val="00291484"/>
    <w:rsid w:val="002922BE"/>
    <w:rsid w:val="00292580"/>
    <w:rsid w:val="0029381D"/>
    <w:rsid w:val="00293886"/>
    <w:rsid w:val="002946A7"/>
    <w:rsid w:val="00294EB4"/>
    <w:rsid w:val="00294F71"/>
    <w:rsid w:val="00295042"/>
    <w:rsid w:val="002955FD"/>
    <w:rsid w:val="00295A90"/>
    <w:rsid w:val="002A006D"/>
    <w:rsid w:val="002A09D3"/>
    <w:rsid w:val="002A2B6F"/>
    <w:rsid w:val="002A328A"/>
    <w:rsid w:val="002A3429"/>
    <w:rsid w:val="002A3708"/>
    <w:rsid w:val="002A4166"/>
    <w:rsid w:val="002A44B5"/>
    <w:rsid w:val="002A46CB"/>
    <w:rsid w:val="002A48BF"/>
    <w:rsid w:val="002A687F"/>
    <w:rsid w:val="002A7F76"/>
    <w:rsid w:val="002B05C6"/>
    <w:rsid w:val="002B1247"/>
    <w:rsid w:val="002B17FF"/>
    <w:rsid w:val="002B27F4"/>
    <w:rsid w:val="002B28C4"/>
    <w:rsid w:val="002B378A"/>
    <w:rsid w:val="002B3C8F"/>
    <w:rsid w:val="002B4457"/>
    <w:rsid w:val="002B4BAD"/>
    <w:rsid w:val="002B4ECA"/>
    <w:rsid w:val="002B55F3"/>
    <w:rsid w:val="002B69D8"/>
    <w:rsid w:val="002B7604"/>
    <w:rsid w:val="002B777F"/>
    <w:rsid w:val="002B7FCD"/>
    <w:rsid w:val="002C024A"/>
    <w:rsid w:val="002C0DAB"/>
    <w:rsid w:val="002C2188"/>
    <w:rsid w:val="002C21FA"/>
    <w:rsid w:val="002C2947"/>
    <w:rsid w:val="002C2BA8"/>
    <w:rsid w:val="002C2CFD"/>
    <w:rsid w:val="002C2ED3"/>
    <w:rsid w:val="002C40D7"/>
    <w:rsid w:val="002C4CE7"/>
    <w:rsid w:val="002C569A"/>
    <w:rsid w:val="002C56B2"/>
    <w:rsid w:val="002C58E1"/>
    <w:rsid w:val="002C6644"/>
    <w:rsid w:val="002C6B05"/>
    <w:rsid w:val="002C7461"/>
    <w:rsid w:val="002D0DB8"/>
    <w:rsid w:val="002D1C82"/>
    <w:rsid w:val="002D1EAE"/>
    <w:rsid w:val="002D29DE"/>
    <w:rsid w:val="002D48A1"/>
    <w:rsid w:val="002D5CD6"/>
    <w:rsid w:val="002D6E66"/>
    <w:rsid w:val="002D6F24"/>
    <w:rsid w:val="002D7D9B"/>
    <w:rsid w:val="002D7F46"/>
    <w:rsid w:val="002E04AA"/>
    <w:rsid w:val="002E0848"/>
    <w:rsid w:val="002E0A9A"/>
    <w:rsid w:val="002E0FD7"/>
    <w:rsid w:val="002E1B1D"/>
    <w:rsid w:val="002E238D"/>
    <w:rsid w:val="002E288C"/>
    <w:rsid w:val="002E3637"/>
    <w:rsid w:val="002E391C"/>
    <w:rsid w:val="002E5260"/>
    <w:rsid w:val="002E6EB1"/>
    <w:rsid w:val="002F0068"/>
    <w:rsid w:val="002F44FA"/>
    <w:rsid w:val="002F4D28"/>
    <w:rsid w:val="002F5201"/>
    <w:rsid w:val="002F56E9"/>
    <w:rsid w:val="002F68B6"/>
    <w:rsid w:val="002F79EB"/>
    <w:rsid w:val="002F7B32"/>
    <w:rsid w:val="003000D0"/>
    <w:rsid w:val="00300ECD"/>
    <w:rsid w:val="003017C3"/>
    <w:rsid w:val="00301CB6"/>
    <w:rsid w:val="00301F6A"/>
    <w:rsid w:val="00302D67"/>
    <w:rsid w:val="00302D8D"/>
    <w:rsid w:val="00303B3D"/>
    <w:rsid w:val="00306028"/>
    <w:rsid w:val="00307930"/>
    <w:rsid w:val="00307B15"/>
    <w:rsid w:val="003108A3"/>
    <w:rsid w:val="00310B1F"/>
    <w:rsid w:val="00310D64"/>
    <w:rsid w:val="00310F50"/>
    <w:rsid w:val="0031112D"/>
    <w:rsid w:val="0031151F"/>
    <w:rsid w:val="00311D3F"/>
    <w:rsid w:val="00311FC5"/>
    <w:rsid w:val="00312AC7"/>
    <w:rsid w:val="00312D9D"/>
    <w:rsid w:val="00313407"/>
    <w:rsid w:val="00313942"/>
    <w:rsid w:val="00314861"/>
    <w:rsid w:val="00315243"/>
    <w:rsid w:val="00316745"/>
    <w:rsid w:val="0031675C"/>
    <w:rsid w:val="00316976"/>
    <w:rsid w:val="003173D4"/>
    <w:rsid w:val="00320E2B"/>
    <w:rsid w:val="00321279"/>
    <w:rsid w:val="00321C85"/>
    <w:rsid w:val="00322A3C"/>
    <w:rsid w:val="00323B02"/>
    <w:rsid w:val="00324224"/>
    <w:rsid w:val="0032444A"/>
    <w:rsid w:val="00325873"/>
    <w:rsid w:val="00326363"/>
    <w:rsid w:val="0032698D"/>
    <w:rsid w:val="00327217"/>
    <w:rsid w:val="003305D0"/>
    <w:rsid w:val="00330ACE"/>
    <w:rsid w:val="003316D0"/>
    <w:rsid w:val="003347AC"/>
    <w:rsid w:val="00335087"/>
    <w:rsid w:val="00335B8B"/>
    <w:rsid w:val="00336AD1"/>
    <w:rsid w:val="00337994"/>
    <w:rsid w:val="003407C7"/>
    <w:rsid w:val="003407CF"/>
    <w:rsid w:val="00342358"/>
    <w:rsid w:val="003427DF"/>
    <w:rsid w:val="00342B4A"/>
    <w:rsid w:val="00342DE5"/>
    <w:rsid w:val="003436E2"/>
    <w:rsid w:val="00344CAA"/>
    <w:rsid w:val="0034672A"/>
    <w:rsid w:val="003476E1"/>
    <w:rsid w:val="00347705"/>
    <w:rsid w:val="00347C1E"/>
    <w:rsid w:val="00350B88"/>
    <w:rsid w:val="00353069"/>
    <w:rsid w:val="0035368F"/>
    <w:rsid w:val="00353EC8"/>
    <w:rsid w:val="003540FD"/>
    <w:rsid w:val="003541EA"/>
    <w:rsid w:val="00355B10"/>
    <w:rsid w:val="00355D05"/>
    <w:rsid w:val="00360EB8"/>
    <w:rsid w:val="00361522"/>
    <w:rsid w:val="00361752"/>
    <w:rsid w:val="00361854"/>
    <w:rsid w:val="00361A4B"/>
    <w:rsid w:val="00361D2D"/>
    <w:rsid w:val="003623ED"/>
    <w:rsid w:val="003625DF"/>
    <w:rsid w:val="00362647"/>
    <w:rsid w:val="0036341A"/>
    <w:rsid w:val="00364A45"/>
    <w:rsid w:val="00364D63"/>
    <w:rsid w:val="003651A0"/>
    <w:rsid w:val="00365349"/>
    <w:rsid w:val="00365702"/>
    <w:rsid w:val="00365735"/>
    <w:rsid w:val="003657C9"/>
    <w:rsid w:val="00366505"/>
    <w:rsid w:val="00366610"/>
    <w:rsid w:val="00367D18"/>
    <w:rsid w:val="00370C94"/>
    <w:rsid w:val="00371388"/>
    <w:rsid w:val="00372ADA"/>
    <w:rsid w:val="00373D43"/>
    <w:rsid w:val="00373F48"/>
    <w:rsid w:val="00374526"/>
    <w:rsid w:val="00375AD5"/>
    <w:rsid w:val="0037611E"/>
    <w:rsid w:val="00376C68"/>
    <w:rsid w:val="003778A7"/>
    <w:rsid w:val="00377A68"/>
    <w:rsid w:val="00380671"/>
    <w:rsid w:val="0038201E"/>
    <w:rsid w:val="00382B48"/>
    <w:rsid w:val="00382EBC"/>
    <w:rsid w:val="00383B9F"/>
    <w:rsid w:val="003852DA"/>
    <w:rsid w:val="003864DC"/>
    <w:rsid w:val="003864F5"/>
    <w:rsid w:val="0038799C"/>
    <w:rsid w:val="00390BC6"/>
    <w:rsid w:val="00390CE3"/>
    <w:rsid w:val="0039310A"/>
    <w:rsid w:val="00393304"/>
    <w:rsid w:val="00397178"/>
    <w:rsid w:val="003A0AC5"/>
    <w:rsid w:val="003A1393"/>
    <w:rsid w:val="003A2674"/>
    <w:rsid w:val="003A3D38"/>
    <w:rsid w:val="003A455B"/>
    <w:rsid w:val="003A4E69"/>
    <w:rsid w:val="003A51C2"/>
    <w:rsid w:val="003A5526"/>
    <w:rsid w:val="003A583F"/>
    <w:rsid w:val="003A5890"/>
    <w:rsid w:val="003A6F62"/>
    <w:rsid w:val="003A723E"/>
    <w:rsid w:val="003A7488"/>
    <w:rsid w:val="003B0648"/>
    <w:rsid w:val="003B1A92"/>
    <w:rsid w:val="003B1C91"/>
    <w:rsid w:val="003B1DA0"/>
    <w:rsid w:val="003B3F36"/>
    <w:rsid w:val="003B41AC"/>
    <w:rsid w:val="003B42B8"/>
    <w:rsid w:val="003B4B35"/>
    <w:rsid w:val="003B5CEC"/>
    <w:rsid w:val="003B7329"/>
    <w:rsid w:val="003B743D"/>
    <w:rsid w:val="003B763F"/>
    <w:rsid w:val="003C1A7A"/>
    <w:rsid w:val="003C4807"/>
    <w:rsid w:val="003C4B0A"/>
    <w:rsid w:val="003C536A"/>
    <w:rsid w:val="003C5A85"/>
    <w:rsid w:val="003C66FE"/>
    <w:rsid w:val="003C69DD"/>
    <w:rsid w:val="003C70C9"/>
    <w:rsid w:val="003C7A23"/>
    <w:rsid w:val="003D0145"/>
    <w:rsid w:val="003D0AD6"/>
    <w:rsid w:val="003D1A61"/>
    <w:rsid w:val="003D3071"/>
    <w:rsid w:val="003D35ED"/>
    <w:rsid w:val="003D39E6"/>
    <w:rsid w:val="003D4015"/>
    <w:rsid w:val="003D42F7"/>
    <w:rsid w:val="003D44B1"/>
    <w:rsid w:val="003D4D5C"/>
    <w:rsid w:val="003D5464"/>
    <w:rsid w:val="003E03C1"/>
    <w:rsid w:val="003E1E1C"/>
    <w:rsid w:val="003E243A"/>
    <w:rsid w:val="003E2AB7"/>
    <w:rsid w:val="003E2C6D"/>
    <w:rsid w:val="003E2D04"/>
    <w:rsid w:val="003E3254"/>
    <w:rsid w:val="003E34B1"/>
    <w:rsid w:val="003E6A40"/>
    <w:rsid w:val="003E6B04"/>
    <w:rsid w:val="003E6B22"/>
    <w:rsid w:val="003E6D6F"/>
    <w:rsid w:val="003E7421"/>
    <w:rsid w:val="003F0E34"/>
    <w:rsid w:val="003F2206"/>
    <w:rsid w:val="003F4857"/>
    <w:rsid w:val="003F5B3D"/>
    <w:rsid w:val="003F5D8A"/>
    <w:rsid w:val="003F5FCA"/>
    <w:rsid w:val="003F6A32"/>
    <w:rsid w:val="003F6E62"/>
    <w:rsid w:val="003F7E4D"/>
    <w:rsid w:val="00400B33"/>
    <w:rsid w:val="00400C7F"/>
    <w:rsid w:val="00401B20"/>
    <w:rsid w:val="00401BA5"/>
    <w:rsid w:val="00401C4D"/>
    <w:rsid w:val="00401CBE"/>
    <w:rsid w:val="00401D84"/>
    <w:rsid w:val="004025A6"/>
    <w:rsid w:val="00402D5A"/>
    <w:rsid w:val="00402F77"/>
    <w:rsid w:val="004038C1"/>
    <w:rsid w:val="00406442"/>
    <w:rsid w:val="00407234"/>
    <w:rsid w:val="0041017D"/>
    <w:rsid w:val="004111B3"/>
    <w:rsid w:val="00412142"/>
    <w:rsid w:val="004133FE"/>
    <w:rsid w:val="00413F65"/>
    <w:rsid w:val="004146EB"/>
    <w:rsid w:val="00415D57"/>
    <w:rsid w:val="00416084"/>
    <w:rsid w:val="0041695E"/>
    <w:rsid w:val="00417C72"/>
    <w:rsid w:val="00417CD3"/>
    <w:rsid w:val="00417F1A"/>
    <w:rsid w:val="00420737"/>
    <w:rsid w:val="00420E36"/>
    <w:rsid w:val="00422053"/>
    <w:rsid w:val="004224A3"/>
    <w:rsid w:val="004227BE"/>
    <w:rsid w:val="00424DD0"/>
    <w:rsid w:val="004267D3"/>
    <w:rsid w:val="00426D69"/>
    <w:rsid w:val="00431CB9"/>
    <w:rsid w:val="00432055"/>
    <w:rsid w:val="004323A8"/>
    <w:rsid w:val="004323FD"/>
    <w:rsid w:val="004325C0"/>
    <w:rsid w:val="00433413"/>
    <w:rsid w:val="00433BCA"/>
    <w:rsid w:val="00434621"/>
    <w:rsid w:val="00434A83"/>
    <w:rsid w:val="00435338"/>
    <w:rsid w:val="004355EB"/>
    <w:rsid w:val="00435CCA"/>
    <w:rsid w:val="00436A72"/>
    <w:rsid w:val="004405ED"/>
    <w:rsid w:val="004406D8"/>
    <w:rsid w:val="00441582"/>
    <w:rsid w:val="0044250A"/>
    <w:rsid w:val="004428E5"/>
    <w:rsid w:val="004436FA"/>
    <w:rsid w:val="004438AF"/>
    <w:rsid w:val="00444F56"/>
    <w:rsid w:val="0044696A"/>
    <w:rsid w:val="00446B35"/>
    <w:rsid w:val="00450177"/>
    <w:rsid w:val="0045048D"/>
    <w:rsid w:val="0045070B"/>
    <w:rsid w:val="00450B82"/>
    <w:rsid w:val="00450D74"/>
    <w:rsid w:val="00450FF0"/>
    <w:rsid w:val="004516A0"/>
    <w:rsid w:val="004526EE"/>
    <w:rsid w:val="00453171"/>
    <w:rsid w:val="0045677B"/>
    <w:rsid w:val="00460A43"/>
    <w:rsid w:val="00460E92"/>
    <w:rsid w:val="00461362"/>
    <w:rsid w:val="0046159E"/>
    <w:rsid w:val="0046216A"/>
    <w:rsid w:val="004621DF"/>
    <w:rsid w:val="00462D14"/>
    <w:rsid w:val="004639A8"/>
    <w:rsid w:val="00463A8D"/>
    <w:rsid w:val="00463C58"/>
    <w:rsid w:val="00464FCE"/>
    <w:rsid w:val="0046589A"/>
    <w:rsid w:val="00465DAE"/>
    <w:rsid w:val="00466A2D"/>
    <w:rsid w:val="0046701C"/>
    <w:rsid w:val="0046759D"/>
    <w:rsid w:val="0047030E"/>
    <w:rsid w:val="00470501"/>
    <w:rsid w:val="00470EA0"/>
    <w:rsid w:val="00471296"/>
    <w:rsid w:val="00471384"/>
    <w:rsid w:val="00471E69"/>
    <w:rsid w:val="00472EE1"/>
    <w:rsid w:val="004737B8"/>
    <w:rsid w:val="004742F0"/>
    <w:rsid w:val="0047454D"/>
    <w:rsid w:val="0047461C"/>
    <w:rsid w:val="00475E77"/>
    <w:rsid w:val="00475E85"/>
    <w:rsid w:val="004760D5"/>
    <w:rsid w:val="004766C4"/>
    <w:rsid w:val="00476B26"/>
    <w:rsid w:val="004804D1"/>
    <w:rsid w:val="00481D7F"/>
    <w:rsid w:val="00482016"/>
    <w:rsid w:val="00482126"/>
    <w:rsid w:val="00482A08"/>
    <w:rsid w:val="004846B9"/>
    <w:rsid w:val="00484942"/>
    <w:rsid w:val="00485B4C"/>
    <w:rsid w:val="00486A30"/>
    <w:rsid w:val="00487157"/>
    <w:rsid w:val="0049005F"/>
    <w:rsid w:val="00490A4B"/>
    <w:rsid w:val="00491062"/>
    <w:rsid w:val="00491A42"/>
    <w:rsid w:val="00491A98"/>
    <w:rsid w:val="00491BB6"/>
    <w:rsid w:val="004928E9"/>
    <w:rsid w:val="00492D11"/>
    <w:rsid w:val="004934DE"/>
    <w:rsid w:val="00494B99"/>
    <w:rsid w:val="00495B2F"/>
    <w:rsid w:val="004975C3"/>
    <w:rsid w:val="00497B1F"/>
    <w:rsid w:val="004A176D"/>
    <w:rsid w:val="004A52A7"/>
    <w:rsid w:val="004A5650"/>
    <w:rsid w:val="004A6AF0"/>
    <w:rsid w:val="004A70CE"/>
    <w:rsid w:val="004A79B0"/>
    <w:rsid w:val="004B0936"/>
    <w:rsid w:val="004B2170"/>
    <w:rsid w:val="004B2C7C"/>
    <w:rsid w:val="004B3D96"/>
    <w:rsid w:val="004B5DB3"/>
    <w:rsid w:val="004B727B"/>
    <w:rsid w:val="004B7533"/>
    <w:rsid w:val="004B7C95"/>
    <w:rsid w:val="004B7FC4"/>
    <w:rsid w:val="004C33CF"/>
    <w:rsid w:val="004C3A65"/>
    <w:rsid w:val="004C4E1B"/>
    <w:rsid w:val="004C5712"/>
    <w:rsid w:val="004C57F8"/>
    <w:rsid w:val="004C6E45"/>
    <w:rsid w:val="004C74C5"/>
    <w:rsid w:val="004D05C1"/>
    <w:rsid w:val="004D0B13"/>
    <w:rsid w:val="004D345D"/>
    <w:rsid w:val="004D34A4"/>
    <w:rsid w:val="004D3783"/>
    <w:rsid w:val="004D3C4B"/>
    <w:rsid w:val="004D4867"/>
    <w:rsid w:val="004D593C"/>
    <w:rsid w:val="004D6E03"/>
    <w:rsid w:val="004D7DEC"/>
    <w:rsid w:val="004E0C8D"/>
    <w:rsid w:val="004E1AA6"/>
    <w:rsid w:val="004E2AAF"/>
    <w:rsid w:val="004E4A15"/>
    <w:rsid w:val="004E4EA2"/>
    <w:rsid w:val="004E6A83"/>
    <w:rsid w:val="004E777A"/>
    <w:rsid w:val="004F1000"/>
    <w:rsid w:val="004F1B7D"/>
    <w:rsid w:val="004F1FC2"/>
    <w:rsid w:val="004F279C"/>
    <w:rsid w:val="004F364E"/>
    <w:rsid w:val="004F3BBA"/>
    <w:rsid w:val="004F4421"/>
    <w:rsid w:val="004F6C28"/>
    <w:rsid w:val="004F6C9A"/>
    <w:rsid w:val="004F770F"/>
    <w:rsid w:val="004F7768"/>
    <w:rsid w:val="004F7ED4"/>
    <w:rsid w:val="005008CC"/>
    <w:rsid w:val="0050179D"/>
    <w:rsid w:val="00502555"/>
    <w:rsid w:val="00502621"/>
    <w:rsid w:val="00502B87"/>
    <w:rsid w:val="00502FA8"/>
    <w:rsid w:val="0050421B"/>
    <w:rsid w:val="00505E9B"/>
    <w:rsid w:val="00506F15"/>
    <w:rsid w:val="00512560"/>
    <w:rsid w:val="00512D27"/>
    <w:rsid w:val="005143BA"/>
    <w:rsid w:val="005145F2"/>
    <w:rsid w:val="0051544C"/>
    <w:rsid w:val="00515451"/>
    <w:rsid w:val="0051715B"/>
    <w:rsid w:val="005171E0"/>
    <w:rsid w:val="0051722D"/>
    <w:rsid w:val="0051783B"/>
    <w:rsid w:val="005178A4"/>
    <w:rsid w:val="00521C33"/>
    <w:rsid w:val="00521DA2"/>
    <w:rsid w:val="00521DFD"/>
    <w:rsid w:val="00521E37"/>
    <w:rsid w:val="00521F80"/>
    <w:rsid w:val="005222D7"/>
    <w:rsid w:val="00522CC6"/>
    <w:rsid w:val="00523F65"/>
    <w:rsid w:val="005252AB"/>
    <w:rsid w:val="00525FBA"/>
    <w:rsid w:val="005308FE"/>
    <w:rsid w:val="005318E8"/>
    <w:rsid w:val="00531DFE"/>
    <w:rsid w:val="005327C2"/>
    <w:rsid w:val="00532C61"/>
    <w:rsid w:val="00533824"/>
    <w:rsid w:val="00533BEF"/>
    <w:rsid w:val="005343FF"/>
    <w:rsid w:val="00535A81"/>
    <w:rsid w:val="00535E83"/>
    <w:rsid w:val="00536A65"/>
    <w:rsid w:val="00536BA9"/>
    <w:rsid w:val="00536C90"/>
    <w:rsid w:val="005409D5"/>
    <w:rsid w:val="00540C5E"/>
    <w:rsid w:val="00540EB7"/>
    <w:rsid w:val="005428A6"/>
    <w:rsid w:val="00543698"/>
    <w:rsid w:val="00543758"/>
    <w:rsid w:val="00543DE0"/>
    <w:rsid w:val="0054488C"/>
    <w:rsid w:val="00545A72"/>
    <w:rsid w:val="00545E5A"/>
    <w:rsid w:val="0054645B"/>
    <w:rsid w:val="00552C19"/>
    <w:rsid w:val="0055400D"/>
    <w:rsid w:val="00554C90"/>
    <w:rsid w:val="00555932"/>
    <w:rsid w:val="00556519"/>
    <w:rsid w:val="00557E0F"/>
    <w:rsid w:val="00560622"/>
    <w:rsid w:val="00560750"/>
    <w:rsid w:val="005608D3"/>
    <w:rsid w:val="00561211"/>
    <w:rsid w:val="0056184E"/>
    <w:rsid w:val="00562504"/>
    <w:rsid w:val="005633A2"/>
    <w:rsid w:val="00563545"/>
    <w:rsid w:val="00566257"/>
    <w:rsid w:val="0056710E"/>
    <w:rsid w:val="0056763F"/>
    <w:rsid w:val="00570389"/>
    <w:rsid w:val="00571262"/>
    <w:rsid w:val="0057137C"/>
    <w:rsid w:val="00571F02"/>
    <w:rsid w:val="0057382A"/>
    <w:rsid w:val="00573BC0"/>
    <w:rsid w:val="005741CC"/>
    <w:rsid w:val="005742E8"/>
    <w:rsid w:val="005747A5"/>
    <w:rsid w:val="005774C4"/>
    <w:rsid w:val="00577D40"/>
    <w:rsid w:val="00577F08"/>
    <w:rsid w:val="00580D64"/>
    <w:rsid w:val="00581051"/>
    <w:rsid w:val="00581F57"/>
    <w:rsid w:val="00582924"/>
    <w:rsid w:val="0058486D"/>
    <w:rsid w:val="00584CCD"/>
    <w:rsid w:val="00584E2A"/>
    <w:rsid w:val="00590290"/>
    <w:rsid w:val="0059165B"/>
    <w:rsid w:val="00591D81"/>
    <w:rsid w:val="00592751"/>
    <w:rsid w:val="00593421"/>
    <w:rsid w:val="00594801"/>
    <w:rsid w:val="005A0BE8"/>
    <w:rsid w:val="005A0C8D"/>
    <w:rsid w:val="005A2E15"/>
    <w:rsid w:val="005A4323"/>
    <w:rsid w:val="005A4ADB"/>
    <w:rsid w:val="005A5EDE"/>
    <w:rsid w:val="005A6408"/>
    <w:rsid w:val="005B31A5"/>
    <w:rsid w:val="005B3899"/>
    <w:rsid w:val="005B4808"/>
    <w:rsid w:val="005B53B9"/>
    <w:rsid w:val="005B5463"/>
    <w:rsid w:val="005B5D71"/>
    <w:rsid w:val="005B70DA"/>
    <w:rsid w:val="005C0002"/>
    <w:rsid w:val="005C0A64"/>
    <w:rsid w:val="005C214F"/>
    <w:rsid w:val="005C4034"/>
    <w:rsid w:val="005C4467"/>
    <w:rsid w:val="005C4841"/>
    <w:rsid w:val="005C50E6"/>
    <w:rsid w:val="005C5414"/>
    <w:rsid w:val="005C5836"/>
    <w:rsid w:val="005C67DC"/>
    <w:rsid w:val="005C78DD"/>
    <w:rsid w:val="005D0BAE"/>
    <w:rsid w:val="005D0DA8"/>
    <w:rsid w:val="005D0F0F"/>
    <w:rsid w:val="005D20CA"/>
    <w:rsid w:val="005D2762"/>
    <w:rsid w:val="005D28B2"/>
    <w:rsid w:val="005D36DE"/>
    <w:rsid w:val="005D4204"/>
    <w:rsid w:val="005D4F6A"/>
    <w:rsid w:val="005D5F37"/>
    <w:rsid w:val="005D7967"/>
    <w:rsid w:val="005E4B8A"/>
    <w:rsid w:val="005E4BD2"/>
    <w:rsid w:val="005E550D"/>
    <w:rsid w:val="005E591E"/>
    <w:rsid w:val="005E6010"/>
    <w:rsid w:val="005E6AAF"/>
    <w:rsid w:val="005E72B1"/>
    <w:rsid w:val="005F015B"/>
    <w:rsid w:val="005F0317"/>
    <w:rsid w:val="005F09D7"/>
    <w:rsid w:val="005F0CCC"/>
    <w:rsid w:val="005F120E"/>
    <w:rsid w:val="005F1A9D"/>
    <w:rsid w:val="005F2DD2"/>
    <w:rsid w:val="005F3664"/>
    <w:rsid w:val="005F3A88"/>
    <w:rsid w:val="005F441C"/>
    <w:rsid w:val="005F516E"/>
    <w:rsid w:val="005F5602"/>
    <w:rsid w:val="005F5B10"/>
    <w:rsid w:val="005F5DB5"/>
    <w:rsid w:val="005F6AA6"/>
    <w:rsid w:val="005F73CE"/>
    <w:rsid w:val="005F76EF"/>
    <w:rsid w:val="0060290E"/>
    <w:rsid w:val="00602B79"/>
    <w:rsid w:val="00603566"/>
    <w:rsid w:val="00603867"/>
    <w:rsid w:val="006041C1"/>
    <w:rsid w:val="00604DEA"/>
    <w:rsid w:val="00606003"/>
    <w:rsid w:val="00606258"/>
    <w:rsid w:val="00606B9E"/>
    <w:rsid w:val="00607243"/>
    <w:rsid w:val="00607EB9"/>
    <w:rsid w:val="0061071B"/>
    <w:rsid w:val="00610B98"/>
    <w:rsid w:val="0061144D"/>
    <w:rsid w:val="00612720"/>
    <w:rsid w:val="00614027"/>
    <w:rsid w:val="00614E6B"/>
    <w:rsid w:val="006158DC"/>
    <w:rsid w:val="00617547"/>
    <w:rsid w:val="00617856"/>
    <w:rsid w:val="00617A3B"/>
    <w:rsid w:val="006203A2"/>
    <w:rsid w:val="006208DF"/>
    <w:rsid w:val="00620C38"/>
    <w:rsid w:val="00621D50"/>
    <w:rsid w:val="00621ED3"/>
    <w:rsid w:val="00622181"/>
    <w:rsid w:val="00622339"/>
    <w:rsid w:val="006232D1"/>
    <w:rsid w:val="00624D3D"/>
    <w:rsid w:val="0062587A"/>
    <w:rsid w:val="0062676C"/>
    <w:rsid w:val="00626F23"/>
    <w:rsid w:val="00627129"/>
    <w:rsid w:val="00630C2B"/>
    <w:rsid w:val="00631104"/>
    <w:rsid w:val="00631B12"/>
    <w:rsid w:val="00632411"/>
    <w:rsid w:val="00633260"/>
    <w:rsid w:val="00633804"/>
    <w:rsid w:val="00634215"/>
    <w:rsid w:val="00634C2B"/>
    <w:rsid w:val="00636232"/>
    <w:rsid w:val="0063681B"/>
    <w:rsid w:val="0063726B"/>
    <w:rsid w:val="00637709"/>
    <w:rsid w:val="00640006"/>
    <w:rsid w:val="00640485"/>
    <w:rsid w:val="00641975"/>
    <w:rsid w:val="00641CFB"/>
    <w:rsid w:val="00642CF6"/>
    <w:rsid w:val="00642F77"/>
    <w:rsid w:val="00646C9C"/>
    <w:rsid w:val="00646E6D"/>
    <w:rsid w:val="0064726E"/>
    <w:rsid w:val="00647795"/>
    <w:rsid w:val="00650160"/>
    <w:rsid w:val="006501F9"/>
    <w:rsid w:val="00650538"/>
    <w:rsid w:val="00650648"/>
    <w:rsid w:val="006507EB"/>
    <w:rsid w:val="0065185D"/>
    <w:rsid w:val="00652409"/>
    <w:rsid w:val="006527AA"/>
    <w:rsid w:val="00653684"/>
    <w:rsid w:val="00653E1D"/>
    <w:rsid w:val="00655806"/>
    <w:rsid w:val="0065585B"/>
    <w:rsid w:val="00655A71"/>
    <w:rsid w:val="00656013"/>
    <w:rsid w:val="0065637A"/>
    <w:rsid w:val="00660674"/>
    <w:rsid w:val="006607CE"/>
    <w:rsid w:val="006621D6"/>
    <w:rsid w:val="00662384"/>
    <w:rsid w:val="00662868"/>
    <w:rsid w:val="00662931"/>
    <w:rsid w:val="00662CA6"/>
    <w:rsid w:val="0066318A"/>
    <w:rsid w:val="006632DF"/>
    <w:rsid w:val="006633F1"/>
    <w:rsid w:val="0066396C"/>
    <w:rsid w:val="00663C40"/>
    <w:rsid w:val="00664CFA"/>
    <w:rsid w:val="00665E89"/>
    <w:rsid w:val="00665F0D"/>
    <w:rsid w:val="0066665A"/>
    <w:rsid w:val="00666972"/>
    <w:rsid w:val="00667F9C"/>
    <w:rsid w:val="00670510"/>
    <w:rsid w:val="00670934"/>
    <w:rsid w:val="00670B61"/>
    <w:rsid w:val="00670F10"/>
    <w:rsid w:val="00671B90"/>
    <w:rsid w:val="00675572"/>
    <w:rsid w:val="0067567C"/>
    <w:rsid w:val="006763EE"/>
    <w:rsid w:val="0067721E"/>
    <w:rsid w:val="006773BB"/>
    <w:rsid w:val="00680335"/>
    <w:rsid w:val="00680BE9"/>
    <w:rsid w:val="00681DD5"/>
    <w:rsid w:val="00681F1D"/>
    <w:rsid w:val="006830C8"/>
    <w:rsid w:val="00684830"/>
    <w:rsid w:val="00685A9C"/>
    <w:rsid w:val="00685D88"/>
    <w:rsid w:val="00685DA7"/>
    <w:rsid w:val="00686823"/>
    <w:rsid w:val="006874DE"/>
    <w:rsid w:val="00690F73"/>
    <w:rsid w:val="006914D9"/>
    <w:rsid w:val="006919C3"/>
    <w:rsid w:val="006926FD"/>
    <w:rsid w:val="00692F08"/>
    <w:rsid w:val="00695209"/>
    <w:rsid w:val="00695D59"/>
    <w:rsid w:val="00695DEA"/>
    <w:rsid w:val="006970CB"/>
    <w:rsid w:val="006972FE"/>
    <w:rsid w:val="006A0809"/>
    <w:rsid w:val="006A1A2D"/>
    <w:rsid w:val="006A2208"/>
    <w:rsid w:val="006A24E6"/>
    <w:rsid w:val="006A2C40"/>
    <w:rsid w:val="006A3228"/>
    <w:rsid w:val="006A32D7"/>
    <w:rsid w:val="006A34FF"/>
    <w:rsid w:val="006A38C7"/>
    <w:rsid w:val="006A4A2F"/>
    <w:rsid w:val="006A4B57"/>
    <w:rsid w:val="006A6CE4"/>
    <w:rsid w:val="006B0898"/>
    <w:rsid w:val="006B2E89"/>
    <w:rsid w:val="006B2FA0"/>
    <w:rsid w:val="006B31E5"/>
    <w:rsid w:val="006B3793"/>
    <w:rsid w:val="006B3AB4"/>
    <w:rsid w:val="006B67BB"/>
    <w:rsid w:val="006B6EF9"/>
    <w:rsid w:val="006C09E1"/>
    <w:rsid w:val="006C0D71"/>
    <w:rsid w:val="006C0DF3"/>
    <w:rsid w:val="006C238D"/>
    <w:rsid w:val="006C2BCB"/>
    <w:rsid w:val="006C3192"/>
    <w:rsid w:val="006C546D"/>
    <w:rsid w:val="006C5C7B"/>
    <w:rsid w:val="006C7156"/>
    <w:rsid w:val="006D0B72"/>
    <w:rsid w:val="006D1F5C"/>
    <w:rsid w:val="006D2CA1"/>
    <w:rsid w:val="006D3180"/>
    <w:rsid w:val="006D3F80"/>
    <w:rsid w:val="006D6CA2"/>
    <w:rsid w:val="006D7212"/>
    <w:rsid w:val="006E04D9"/>
    <w:rsid w:val="006E178B"/>
    <w:rsid w:val="006E189F"/>
    <w:rsid w:val="006E1EB0"/>
    <w:rsid w:val="006E351E"/>
    <w:rsid w:val="006E3E40"/>
    <w:rsid w:val="006E4C80"/>
    <w:rsid w:val="006E5400"/>
    <w:rsid w:val="006E58AD"/>
    <w:rsid w:val="006E7B06"/>
    <w:rsid w:val="006E7B16"/>
    <w:rsid w:val="006F06A8"/>
    <w:rsid w:val="006F0CF5"/>
    <w:rsid w:val="006F0E3C"/>
    <w:rsid w:val="006F2094"/>
    <w:rsid w:val="006F3CE5"/>
    <w:rsid w:val="006F4931"/>
    <w:rsid w:val="006F5183"/>
    <w:rsid w:val="006F5A3C"/>
    <w:rsid w:val="006F5C5E"/>
    <w:rsid w:val="006F60CE"/>
    <w:rsid w:val="006F6EE2"/>
    <w:rsid w:val="006F7BBF"/>
    <w:rsid w:val="006F7E67"/>
    <w:rsid w:val="006F7E6D"/>
    <w:rsid w:val="00700EF7"/>
    <w:rsid w:val="0070136F"/>
    <w:rsid w:val="00701FF1"/>
    <w:rsid w:val="00702230"/>
    <w:rsid w:val="007026FB"/>
    <w:rsid w:val="00702DEB"/>
    <w:rsid w:val="00704CE1"/>
    <w:rsid w:val="00705AD8"/>
    <w:rsid w:val="007066DB"/>
    <w:rsid w:val="007067AB"/>
    <w:rsid w:val="00706E06"/>
    <w:rsid w:val="007078FB"/>
    <w:rsid w:val="00707A76"/>
    <w:rsid w:val="00710D1C"/>
    <w:rsid w:val="00712A67"/>
    <w:rsid w:val="007131C0"/>
    <w:rsid w:val="007138CD"/>
    <w:rsid w:val="00713CD1"/>
    <w:rsid w:val="0071408B"/>
    <w:rsid w:val="0071413A"/>
    <w:rsid w:val="00714214"/>
    <w:rsid w:val="00714766"/>
    <w:rsid w:val="007156C6"/>
    <w:rsid w:val="0071570A"/>
    <w:rsid w:val="00715B74"/>
    <w:rsid w:val="00716C7E"/>
    <w:rsid w:val="0071776E"/>
    <w:rsid w:val="00720881"/>
    <w:rsid w:val="0072165E"/>
    <w:rsid w:val="00721862"/>
    <w:rsid w:val="0072314F"/>
    <w:rsid w:val="00723FA9"/>
    <w:rsid w:val="0072404A"/>
    <w:rsid w:val="007241AE"/>
    <w:rsid w:val="00724502"/>
    <w:rsid w:val="00725512"/>
    <w:rsid w:val="00725F14"/>
    <w:rsid w:val="00726928"/>
    <w:rsid w:val="00730923"/>
    <w:rsid w:val="00730A24"/>
    <w:rsid w:val="00732BDE"/>
    <w:rsid w:val="007330B5"/>
    <w:rsid w:val="00735A78"/>
    <w:rsid w:val="00735EE4"/>
    <w:rsid w:val="007374CB"/>
    <w:rsid w:val="00737CFA"/>
    <w:rsid w:val="0074024B"/>
    <w:rsid w:val="00742247"/>
    <w:rsid w:val="00743962"/>
    <w:rsid w:val="00743EB0"/>
    <w:rsid w:val="007456F7"/>
    <w:rsid w:val="007460BB"/>
    <w:rsid w:val="00746E1F"/>
    <w:rsid w:val="00747351"/>
    <w:rsid w:val="007508B5"/>
    <w:rsid w:val="00752791"/>
    <w:rsid w:val="00753101"/>
    <w:rsid w:val="007533FD"/>
    <w:rsid w:val="00753786"/>
    <w:rsid w:val="00753892"/>
    <w:rsid w:val="00753C38"/>
    <w:rsid w:val="007543AB"/>
    <w:rsid w:val="00755547"/>
    <w:rsid w:val="007560ED"/>
    <w:rsid w:val="00757B02"/>
    <w:rsid w:val="00760077"/>
    <w:rsid w:val="00762370"/>
    <w:rsid w:val="007626C1"/>
    <w:rsid w:val="0076317E"/>
    <w:rsid w:val="00763644"/>
    <w:rsid w:val="00763A5F"/>
    <w:rsid w:val="00764428"/>
    <w:rsid w:val="00764B08"/>
    <w:rsid w:val="007673F1"/>
    <w:rsid w:val="00767AC4"/>
    <w:rsid w:val="0077004E"/>
    <w:rsid w:val="00771E7D"/>
    <w:rsid w:val="00773526"/>
    <w:rsid w:val="0077413C"/>
    <w:rsid w:val="007743BA"/>
    <w:rsid w:val="007744ED"/>
    <w:rsid w:val="00774529"/>
    <w:rsid w:val="00774B77"/>
    <w:rsid w:val="00775224"/>
    <w:rsid w:val="00776328"/>
    <w:rsid w:val="00776699"/>
    <w:rsid w:val="00777997"/>
    <w:rsid w:val="0078008C"/>
    <w:rsid w:val="00780394"/>
    <w:rsid w:val="00780848"/>
    <w:rsid w:val="00780D92"/>
    <w:rsid w:val="00781352"/>
    <w:rsid w:val="00782745"/>
    <w:rsid w:val="00783369"/>
    <w:rsid w:val="007836A7"/>
    <w:rsid w:val="00783708"/>
    <w:rsid w:val="00785493"/>
    <w:rsid w:val="00786AB3"/>
    <w:rsid w:val="00791F08"/>
    <w:rsid w:val="007925EA"/>
    <w:rsid w:val="007934A5"/>
    <w:rsid w:val="00795CF3"/>
    <w:rsid w:val="00796524"/>
    <w:rsid w:val="00796AD0"/>
    <w:rsid w:val="00796BE2"/>
    <w:rsid w:val="007A17B4"/>
    <w:rsid w:val="007A1F91"/>
    <w:rsid w:val="007A23F2"/>
    <w:rsid w:val="007A26F4"/>
    <w:rsid w:val="007A3164"/>
    <w:rsid w:val="007A3FFB"/>
    <w:rsid w:val="007A4373"/>
    <w:rsid w:val="007A48D9"/>
    <w:rsid w:val="007A54B3"/>
    <w:rsid w:val="007A551F"/>
    <w:rsid w:val="007A569B"/>
    <w:rsid w:val="007A5DCD"/>
    <w:rsid w:val="007A66F1"/>
    <w:rsid w:val="007A75A2"/>
    <w:rsid w:val="007B0368"/>
    <w:rsid w:val="007B095D"/>
    <w:rsid w:val="007B10B0"/>
    <w:rsid w:val="007B362E"/>
    <w:rsid w:val="007B3E57"/>
    <w:rsid w:val="007B441D"/>
    <w:rsid w:val="007B51EE"/>
    <w:rsid w:val="007B5875"/>
    <w:rsid w:val="007B633E"/>
    <w:rsid w:val="007B6D66"/>
    <w:rsid w:val="007B75C7"/>
    <w:rsid w:val="007C083F"/>
    <w:rsid w:val="007C2BE6"/>
    <w:rsid w:val="007C3A4C"/>
    <w:rsid w:val="007C4493"/>
    <w:rsid w:val="007C4C66"/>
    <w:rsid w:val="007C5223"/>
    <w:rsid w:val="007C688A"/>
    <w:rsid w:val="007C7210"/>
    <w:rsid w:val="007D03AF"/>
    <w:rsid w:val="007D299B"/>
    <w:rsid w:val="007D3351"/>
    <w:rsid w:val="007D38ED"/>
    <w:rsid w:val="007D4634"/>
    <w:rsid w:val="007D50EC"/>
    <w:rsid w:val="007D7675"/>
    <w:rsid w:val="007D7711"/>
    <w:rsid w:val="007E06DC"/>
    <w:rsid w:val="007E0CD0"/>
    <w:rsid w:val="007E0DAD"/>
    <w:rsid w:val="007E108A"/>
    <w:rsid w:val="007E13BA"/>
    <w:rsid w:val="007E1750"/>
    <w:rsid w:val="007E19BE"/>
    <w:rsid w:val="007E1B21"/>
    <w:rsid w:val="007E1FD9"/>
    <w:rsid w:val="007E2B21"/>
    <w:rsid w:val="007E2D60"/>
    <w:rsid w:val="007E4C9C"/>
    <w:rsid w:val="007E4F5E"/>
    <w:rsid w:val="007E5DFA"/>
    <w:rsid w:val="007E69AA"/>
    <w:rsid w:val="007E6EB0"/>
    <w:rsid w:val="007E7186"/>
    <w:rsid w:val="007F146C"/>
    <w:rsid w:val="007F17AF"/>
    <w:rsid w:val="007F1C7E"/>
    <w:rsid w:val="007F1F96"/>
    <w:rsid w:val="007F27B2"/>
    <w:rsid w:val="007F2A44"/>
    <w:rsid w:val="007F2DB5"/>
    <w:rsid w:val="007F316E"/>
    <w:rsid w:val="007F3252"/>
    <w:rsid w:val="007F3579"/>
    <w:rsid w:val="007F36AB"/>
    <w:rsid w:val="007F37E6"/>
    <w:rsid w:val="007F4347"/>
    <w:rsid w:val="007F65AF"/>
    <w:rsid w:val="007F6A8F"/>
    <w:rsid w:val="007F7254"/>
    <w:rsid w:val="007F75E4"/>
    <w:rsid w:val="007F769F"/>
    <w:rsid w:val="007F7CAB"/>
    <w:rsid w:val="0080031B"/>
    <w:rsid w:val="008003B4"/>
    <w:rsid w:val="0080049A"/>
    <w:rsid w:val="00800AB2"/>
    <w:rsid w:val="00800D69"/>
    <w:rsid w:val="00801920"/>
    <w:rsid w:val="00802EE8"/>
    <w:rsid w:val="00804A9D"/>
    <w:rsid w:val="00804B52"/>
    <w:rsid w:val="0080595A"/>
    <w:rsid w:val="00806295"/>
    <w:rsid w:val="00811EC4"/>
    <w:rsid w:val="008129C1"/>
    <w:rsid w:val="00812B12"/>
    <w:rsid w:val="00812B4E"/>
    <w:rsid w:val="00812D55"/>
    <w:rsid w:val="00813282"/>
    <w:rsid w:val="008140AD"/>
    <w:rsid w:val="00814138"/>
    <w:rsid w:val="008146E6"/>
    <w:rsid w:val="00815ACC"/>
    <w:rsid w:val="00815AE6"/>
    <w:rsid w:val="008161A1"/>
    <w:rsid w:val="00816ABE"/>
    <w:rsid w:val="00816E3A"/>
    <w:rsid w:val="00817A19"/>
    <w:rsid w:val="0082104D"/>
    <w:rsid w:val="00821384"/>
    <w:rsid w:val="00821674"/>
    <w:rsid w:val="00821C74"/>
    <w:rsid w:val="008227FC"/>
    <w:rsid w:val="00822C1E"/>
    <w:rsid w:val="0082317D"/>
    <w:rsid w:val="008232DB"/>
    <w:rsid w:val="00823514"/>
    <w:rsid w:val="00823658"/>
    <w:rsid w:val="00823961"/>
    <w:rsid w:val="00823F82"/>
    <w:rsid w:val="00824024"/>
    <w:rsid w:val="008248BE"/>
    <w:rsid w:val="00825183"/>
    <w:rsid w:val="008256BC"/>
    <w:rsid w:val="0082589A"/>
    <w:rsid w:val="0082670F"/>
    <w:rsid w:val="0083115E"/>
    <w:rsid w:val="00831186"/>
    <w:rsid w:val="0083155A"/>
    <w:rsid w:val="008328FB"/>
    <w:rsid w:val="00832A6F"/>
    <w:rsid w:val="00832FE7"/>
    <w:rsid w:val="00834CA9"/>
    <w:rsid w:val="00835381"/>
    <w:rsid w:val="0083716F"/>
    <w:rsid w:val="0083759F"/>
    <w:rsid w:val="00837A66"/>
    <w:rsid w:val="0084028A"/>
    <w:rsid w:val="008407E0"/>
    <w:rsid w:val="00841105"/>
    <w:rsid w:val="00841CFF"/>
    <w:rsid w:val="008426F9"/>
    <w:rsid w:val="00842E34"/>
    <w:rsid w:val="00842F78"/>
    <w:rsid w:val="00843DC7"/>
    <w:rsid w:val="0084412A"/>
    <w:rsid w:val="00845B5F"/>
    <w:rsid w:val="0084635A"/>
    <w:rsid w:val="00846C3C"/>
    <w:rsid w:val="008470C5"/>
    <w:rsid w:val="008476D7"/>
    <w:rsid w:val="008478DA"/>
    <w:rsid w:val="00847D1A"/>
    <w:rsid w:val="00850255"/>
    <w:rsid w:val="00850C75"/>
    <w:rsid w:val="00851EC1"/>
    <w:rsid w:val="00852769"/>
    <w:rsid w:val="00853724"/>
    <w:rsid w:val="008544C3"/>
    <w:rsid w:val="00855775"/>
    <w:rsid w:val="008602D7"/>
    <w:rsid w:val="008603F8"/>
    <w:rsid w:val="008605BF"/>
    <w:rsid w:val="0086189E"/>
    <w:rsid w:val="00861EFD"/>
    <w:rsid w:val="008628B7"/>
    <w:rsid w:val="00863139"/>
    <w:rsid w:val="00863813"/>
    <w:rsid w:val="008643C9"/>
    <w:rsid w:val="00864610"/>
    <w:rsid w:val="008659CA"/>
    <w:rsid w:val="008666ED"/>
    <w:rsid w:val="008669A9"/>
    <w:rsid w:val="00866C2A"/>
    <w:rsid w:val="00867EFF"/>
    <w:rsid w:val="00870045"/>
    <w:rsid w:val="00870646"/>
    <w:rsid w:val="00870F4C"/>
    <w:rsid w:val="008729F0"/>
    <w:rsid w:val="00872E80"/>
    <w:rsid w:val="008747EA"/>
    <w:rsid w:val="00876F50"/>
    <w:rsid w:val="00880822"/>
    <w:rsid w:val="00881130"/>
    <w:rsid w:val="00881B74"/>
    <w:rsid w:val="008822DA"/>
    <w:rsid w:val="00882444"/>
    <w:rsid w:val="008828E8"/>
    <w:rsid w:val="00883FA7"/>
    <w:rsid w:val="00885384"/>
    <w:rsid w:val="0088583B"/>
    <w:rsid w:val="008871ED"/>
    <w:rsid w:val="00887538"/>
    <w:rsid w:val="00892103"/>
    <w:rsid w:val="008930E6"/>
    <w:rsid w:val="00895503"/>
    <w:rsid w:val="00895F09"/>
    <w:rsid w:val="008960FD"/>
    <w:rsid w:val="00897098"/>
    <w:rsid w:val="008971E8"/>
    <w:rsid w:val="00897780"/>
    <w:rsid w:val="008A07FC"/>
    <w:rsid w:val="008A1724"/>
    <w:rsid w:val="008A2D31"/>
    <w:rsid w:val="008A3DD4"/>
    <w:rsid w:val="008A3E1F"/>
    <w:rsid w:val="008A519A"/>
    <w:rsid w:val="008A5F2F"/>
    <w:rsid w:val="008A5F60"/>
    <w:rsid w:val="008A6237"/>
    <w:rsid w:val="008A7DDF"/>
    <w:rsid w:val="008B0419"/>
    <w:rsid w:val="008B161D"/>
    <w:rsid w:val="008B1917"/>
    <w:rsid w:val="008B1D82"/>
    <w:rsid w:val="008B2763"/>
    <w:rsid w:val="008B2B9F"/>
    <w:rsid w:val="008B3175"/>
    <w:rsid w:val="008B3CBD"/>
    <w:rsid w:val="008B4312"/>
    <w:rsid w:val="008B56C9"/>
    <w:rsid w:val="008B776A"/>
    <w:rsid w:val="008B7960"/>
    <w:rsid w:val="008C03A5"/>
    <w:rsid w:val="008C0BD8"/>
    <w:rsid w:val="008C1294"/>
    <w:rsid w:val="008C22D5"/>
    <w:rsid w:val="008C33E7"/>
    <w:rsid w:val="008C3C3F"/>
    <w:rsid w:val="008C4942"/>
    <w:rsid w:val="008C4A3D"/>
    <w:rsid w:val="008C692A"/>
    <w:rsid w:val="008C6C28"/>
    <w:rsid w:val="008C6F94"/>
    <w:rsid w:val="008C75A8"/>
    <w:rsid w:val="008D1513"/>
    <w:rsid w:val="008D1A90"/>
    <w:rsid w:val="008D320B"/>
    <w:rsid w:val="008D4051"/>
    <w:rsid w:val="008D47DA"/>
    <w:rsid w:val="008D4954"/>
    <w:rsid w:val="008D4F2E"/>
    <w:rsid w:val="008D5128"/>
    <w:rsid w:val="008E1373"/>
    <w:rsid w:val="008E2ECF"/>
    <w:rsid w:val="008E4ACC"/>
    <w:rsid w:val="008E6315"/>
    <w:rsid w:val="008F0C3E"/>
    <w:rsid w:val="008F1A48"/>
    <w:rsid w:val="008F33C9"/>
    <w:rsid w:val="008F351D"/>
    <w:rsid w:val="008F3B48"/>
    <w:rsid w:val="008F3EC1"/>
    <w:rsid w:val="008F47E2"/>
    <w:rsid w:val="008F4832"/>
    <w:rsid w:val="008F5523"/>
    <w:rsid w:val="008F70A8"/>
    <w:rsid w:val="008F7A1C"/>
    <w:rsid w:val="0090150F"/>
    <w:rsid w:val="00901952"/>
    <w:rsid w:val="00901F88"/>
    <w:rsid w:val="00901FBA"/>
    <w:rsid w:val="009027EB"/>
    <w:rsid w:val="00903E65"/>
    <w:rsid w:val="009057BD"/>
    <w:rsid w:val="00907638"/>
    <w:rsid w:val="00910001"/>
    <w:rsid w:val="009107CD"/>
    <w:rsid w:val="00910D4B"/>
    <w:rsid w:val="0091234B"/>
    <w:rsid w:val="009125BB"/>
    <w:rsid w:val="00912BD5"/>
    <w:rsid w:val="0091351C"/>
    <w:rsid w:val="00913A69"/>
    <w:rsid w:val="009142FC"/>
    <w:rsid w:val="009149E9"/>
    <w:rsid w:val="00914E54"/>
    <w:rsid w:val="00915F39"/>
    <w:rsid w:val="00916671"/>
    <w:rsid w:val="00917366"/>
    <w:rsid w:val="00917FDE"/>
    <w:rsid w:val="00920350"/>
    <w:rsid w:val="0092037E"/>
    <w:rsid w:val="00920590"/>
    <w:rsid w:val="009209F8"/>
    <w:rsid w:val="00920D6B"/>
    <w:rsid w:val="00922410"/>
    <w:rsid w:val="009237BF"/>
    <w:rsid w:val="00925311"/>
    <w:rsid w:val="00925354"/>
    <w:rsid w:val="00925BA8"/>
    <w:rsid w:val="00926058"/>
    <w:rsid w:val="00927977"/>
    <w:rsid w:val="00930909"/>
    <w:rsid w:val="00930B29"/>
    <w:rsid w:val="00930DA6"/>
    <w:rsid w:val="00932886"/>
    <w:rsid w:val="00933A32"/>
    <w:rsid w:val="0093438A"/>
    <w:rsid w:val="009343AC"/>
    <w:rsid w:val="00934599"/>
    <w:rsid w:val="00934C4C"/>
    <w:rsid w:val="00935005"/>
    <w:rsid w:val="0093554E"/>
    <w:rsid w:val="00935563"/>
    <w:rsid w:val="00936883"/>
    <w:rsid w:val="00936B20"/>
    <w:rsid w:val="0093729B"/>
    <w:rsid w:val="009376F9"/>
    <w:rsid w:val="00940E68"/>
    <w:rsid w:val="00940F29"/>
    <w:rsid w:val="00941CD0"/>
    <w:rsid w:val="00942563"/>
    <w:rsid w:val="00943A23"/>
    <w:rsid w:val="00943C40"/>
    <w:rsid w:val="009443BD"/>
    <w:rsid w:val="00944EC6"/>
    <w:rsid w:val="009450AC"/>
    <w:rsid w:val="0094532E"/>
    <w:rsid w:val="009453BB"/>
    <w:rsid w:val="00946292"/>
    <w:rsid w:val="0094751A"/>
    <w:rsid w:val="009479B6"/>
    <w:rsid w:val="00950057"/>
    <w:rsid w:val="00950448"/>
    <w:rsid w:val="009507C2"/>
    <w:rsid w:val="00952DB2"/>
    <w:rsid w:val="009532F6"/>
    <w:rsid w:val="0095365F"/>
    <w:rsid w:val="00953A70"/>
    <w:rsid w:val="00956023"/>
    <w:rsid w:val="009566AE"/>
    <w:rsid w:val="00960E5D"/>
    <w:rsid w:val="00961057"/>
    <w:rsid w:val="00962A35"/>
    <w:rsid w:val="00962BD2"/>
    <w:rsid w:val="00962E81"/>
    <w:rsid w:val="0096451E"/>
    <w:rsid w:val="00964D87"/>
    <w:rsid w:val="00965485"/>
    <w:rsid w:val="0096577E"/>
    <w:rsid w:val="00965DF2"/>
    <w:rsid w:val="00966A66"/>
    <w:rsid w:val="009702E4"/>
    <w:rsid w:val="00970754"/>
    <w:rsid w:val="00970976"/>
    <w:rsid w:val="00971D8A"/>
    <w:rsid w:val="00971F03"/>
    <w:rsid w:val="00973C64"/>
    <w:rsid w:val="00973D2F"/>
    <w:rsid w:val="00974651"/>
    <w:rsid w:val="009751DA"/>
    <w:rsid w:val="0097536D"/>
    <w:rsid w:val="009769BD"/>
    <w:rsid w:val="00976E9E"/>
    <w:rsid w:val="00980FFC"/>
    <w:rsid w:val="00981E2C"/>
    <w:rsid w:val="00982B7F"/>
    <w:rsid w:val="0098304A"/>
    <w:rsid w:val="009834DB"/>
    <w:rsid w:val="00984624"/>
    <w:rsid w:val="00984BA1"/>
    <w:rsid w:val="00985B6B"/>
    <w:rsid w:val="00986090"/>
    <w:rsid w:val="009869B2"/>
    <w:rsid w:val="00986C14"/>
    <w:rsid w:val="0098745D"/>
    <w:rsid w:val="009878F5"/>
    <w:rsid w:val="00987B7F"/>
    <w:rsid w:val="00990517"/>
    <w:rsid w:val="00990801"/>
    <w:rsid w:val="00990D6B"/>
    <w:rsid w:val="0099147E"/>
    <w:rsid w:val="009914AA"/>
    <w:rsid w:val="0099166A"/>
    <w:rsid w:val="00991C8D"/>
    <w:rsid w:val="00991F70"/>
    <w:rsid w:val="00992EF1"/>
    <w:rsid w:val="0099507F"/>
    <w:rsid w:val="0099510F"/>
    <w:rsid w:val="00995E6B"/>
    <w:rsid w:val="009A080E"/>
    <w:rsid w:val="009A0D17"/>
    <w:rsid w:val="009A204E"/>
    <w:rsid w:val="009A2544"/>
    <w:rsid w:val="009A2DFA"/>
    <w:rsid w:val="009A3E7D"/>
    <w:rsid w:val="009A57E7"/>
    <w:rsid w:val="009A6E24"/>
    <w:rsid w:val="009A6FCD"/>
    <w:rsid w:val="009A7260"/>
    <w:rsid w:val="009B0448"/>
    <w:rsid w:val="009B05A1"/>
    <w:rsid w:val="009B0F41"/>
    <w:rsid w:val="009B1181"/>
    <w:rsid w:val="009B2047"/>
    <w:rsid w:val="009B2253"/>
    <w:rsid w:val="009B2635"/>
    <w:rsid w:val="009B2B9F"/>
    <w:rsid w:val="009B2CDC"/>
    <w:rsid w:val="009B2DEA"/>
    <w:rsid w:val="009B3179"/>
    <w:rsid w:val="009B45B7"/>
    <w:rsid w:val="009B5A96"/>
    <w:rsid w:val="009B6FAD"/>
    <w:rsid w:val="009B7A0D"/>
    <w:rsid w:val="009B7F6D"/>
    <w:rsid w:val="009C0166"/>
    <w:rsid w:val="009C0193"/>
    <w:rsid w:val="009C0FEF"/>
    <w:rsid w:val="009C1A45"/>
    <w:rsid w:val="009C210C"/>
    <w:rsid w:val="009C2B05"/>
    <w:rsid w:val="009C413D"/>
    <w:rsid w:val="009C459E"/>
    <w:rsid w:val="009C47DF"/>
    <w:rsid w:val="009C4FE6"/>
    <w:rsid w:val="009C53EB"/>
    <w:rsid w:val="009C58DA"/>
    <w:rsid w:val="009C6475"/>
    <w:rsid w:val="009C7089"/>
    <w:rsid w:val="009C71B7"/>
    <w:rsid w:val="009C72B6"/>
    <w:rsid w:val="009D03DF"/>
    <w:rsid w:val="009D04A1"/>
    <w:rsid w:val="009D11A7"/>
    <w:rsid w:val="009D14FE"/>
    <w:rsid w:val="009D16DD"/>
    <w:rsid w:val="009D1DBB"/>
    <w:rsid w:val="009D5B6A"/>
    <w:rsid w:val="009D6C23"/>
    <w:rsid w:val="009E0611"/>
    <w:rsid w:val="009E1929"/>
    <w:rsid w:val="009E198A"/>
    <w:rsid w:val="009E34FC"/>
    <w:rsid w:val="009E3CED"/>
    <w:rsid w:val="009E45AD"/>
    <w:rsid w:val="009E655D"/>
    <w:rsid w:val="009E6581"/>
    <w:rsid w:val="009E732B"/>
    <w:rsid w:val="009F19EA"/>
    <w:rsid w:val="009F3A48"/>
    <w:rsid w:val="009F3A9D"/>
    <w:rsid w:val="009F44C8"/>
    <w:rsid w:val="009F6A24"/>
    <w:rsid w:val="009F6C65"/>
    <w:rsid w:val="00A00C64"/>
    <w:rsid w:val="00A0106F"/>
    <w:rsid w:val="00A01323"/>
    <w:rsid w:val="00A01FA8"/>
    <w:rsid w:val="00A0208D"/>
    <w:rsid w:val="00A025FB"/>
    <w:rsid w:val="00A02EB4"/>
    <w:rsid w:val="00A03CAF"/>
    <w:rsid w:val="00A03CB1"/>
    <w:rsid w:val="00A055B6"/>
    <w:rsid w:val="00A124C9"/>
    <w:rsid w:val="00A1388C"/>
    <w:rsid w:val="00A1490B"/>
    <w:rsid w:val="00A14B13"/>
    <w:rsid w:val="00A14C90"/>
    <w:rsid w:val="00A15132"/>
    <w:rsid w:val="00A15701"/>
    <w:rsid w:val="00A15DEC"/>
    <w:rsid w:val="00A16828"/>
    <w:rsid w:val="00A16CBB"/>
    <w:rsid w:val="00A173DA"/>
    <w:rsid w:val="00A179EF"/>
    <w:rsid w:val="00A20008"/>
    <w:rsid w:val="00A20964"/>
    <w:rsid w:val="00A21574"/>
    <w:rsid w:val="00A235B7"/>
    <w:rsid w:val="00A25B82"/>
    <w:rsid w:val="00A274EC"/>
    <w:rsid w:val="00A31943"/>
    <w:rsid w:val="00A31AAB"/>
    <w:rsid w:val="00A32DC0"/>
    <w:rsid w:val="00A33308"/>
    <w:rsid w:val="00A334F5"/>
    <w:rsid w:val="00A356E2"/>
    <w:rsid w:val="00A35E2C"/>
    <w:rsid w:val="00A36BA6"/>
    <w:rsid w:val="00A40CA2"/>
    <w:rsid w:val="00A413F7"/>
    <w:rsid w:val="00A42F85"/>
    <w:rsid w:val="00A43A21"/>
    <w:rsid w:val="00A44656"/>
    <w:rsid w:val="00A44EB3"/>
    <w:rsid w:val="00A4589F"/>
    <w:rsid w:val="00A45E2A"/>
    <w:rsid w:val="00A468A3"/>
    <w:rsid w:val="00A46A1A"/>
    <w:rsid w:val="00A471E6"/>
    <w:rsid w:val="00A472EB"/>
    <w:rsid w:val="00A47A54"/>
    <w:rsid w:val="00A47B7C"/>
    <w:rsid w:val="00A50BA9"/>
    <w:rsid w:val="00A50F19"/>
    <w:rsid w:val="00A512CF"/>
    <w:rsid w:val="00A5164A"/>
    <w:rsid w:val="00A520B7"/>
    <w:rsid w:val="00A524A9"/>
    <w:rsid w:val="00A53BFF"/>
    <w:rsid w:val="00A54C84"/>
    <w:rsid w:val="00A554AF"/>
    <w:rsid w:val="00A5599A"/>
    <w:rsid w:val="00A56079"/>
    <w:rsid w:val="00A5672E"/>
    <w:rsid w:val="00A606C6"/>
    <w:rsid w:val="00A607D9"/>
    <w:rsid w:val="00A611A9"/>
    <w:rsid w:val="00A62065"/>
    <w:rsid w:val="00A623CF"/>
    <w:rsid w:val="00A64524"/>
    <w:rsid w:val="00A65164"/>
    <w:rsid w:val="00A65212"/>
    <w:rsid w:val="00A66C78"/>
    <w:rsid w:val="00A678D6"/>
    <w:rsid w:val="00A70019"/>
    <w:rsid w:val="00A72861"/>
    <w:rsid w:val="00A738C2"/>
    <w:rsid w:val="00A74ED5"/>
    <w:rsid w:val="00A75E30"/>
    <w:rsid w:val="00A76A5C"/>
    <w:rsid w:val="00A808A9"/>
    <w:rsid w:val="00A8115A"/>
    <w:rsid w:val="00A811D3"/>
    <w:rsid w:val="00A81720"/>
    <w:rsid w:val="00A81856"/>
    <w:rsid w:val="00A81FF3"/>
    <w:rsid w:val="00A82699"/>
    <w:rsid w:val="00A83333"/>
    <w:rsid w:val="00A85A66"/>
    <w:rsid w:val="00A871B4"/>
    <w:rsid w:val="00A9034D"/>
    <w:rsid w:val="00A90BCE"/>
    <w:rsid w:val="00A91B74"/>
    <w:rsid w:val="00A91D40"/>
    <w:rsid w:val="00A92825"/>
    <w:rsid w:val="00A94F5B"/>
    <w:rsid w:val="00A95F74"/>
    <w:rsid w:val="00A96612"/>
    <w:rsid w:val="00A96EA6"/>
    <w:rsid w:val="00A97C17"/>
    <w:rsid w:val="00AA068C"/>
    <w:rsid w:val="00AA0736"/>
    <w:rsid w:val="00AA14FE"/>
    <w:rsid w:val="00AA197F"/>
    <w:rsid w:val="00AA1BA4"/>
    <w:rsid w:val="00AA24C7"/>
    <w:rsid w:val="00AA29FA"/>
    <w:rsid w:val="00AA4202"/>
    <w:rsid w:val="00AA4C84"/>
    <w:rsid w:val="00AA5DD7"/>
    <w:rsid w:val="00AA6014"/>
    <w:rsid w:val="00AA6066"/>
    <w:rsid w:val="00AA717C"/>
    <w:rsid w:val="00AA79D4"/>
    <w:rsid w:val="00AA7A4A"/>
    <w:rsid w:val="00AA7C90"/>
    <w:rsid w:val="00AB0697"/>
    <w:rsid w:val="00AB075B"/>
    <w:rsid w:val="00AB089B"/>
    <w:rsid w:val="00AB1543"/>
    <w:rsid w:val="00AB19CE"/>
    <w:rsid w:val="00AB1AB9"/>
    <w:rsid w:val="00AB32A0"/>
    <w:rsid w:val="00AB48BB"/>
    <w:rsid w:val="00AB526E"/>
    <w:rsid w:val="00AB7267"/>
    <w:rsid w:val="00AC0CB9"/>
    <w:rsid w:val="00AC2253"/>
    <w:rsid w:val="00AC2533"/>
    <w:rsid w:val="00AC34C2"/>
    <w:rsid w:val="00AC362A"/>
    <w:rsid w:val="00AC38D9"/>
    <w:rsid w:val="00AC3BDF"/>
    <w:rsid w:val="00AC49FA"/>
    <w:rsid w:val="00AC5AE5"/>
    <w:rsid w:val="00AC62D3"/>
    <w:rsid w:val="00AC6CFD"/>
    <w:rsid w:val="00AC768B"/>
    <w:rsid w:val="00AD03D1"/>
    <w:rsid w:val="00AD0AD3"/>
    <w:rsid w:val="00AD0F4D"/>
    <w:rsid w:val="00AD1D81"/>
    <w:rsid w:val="00AD278D"/>
    <w:rsid w:val="00AD4558"/>
    <w:rsid w:val="00AD59B1"/>
    <w:rsid w:val="00AD64D6"/>
    <w:rsid w:val="00AD67C9"/>
    <w:rsid w:val="00AD7156"/>
    <w:rsid w:val="00AD71D9"/>
    <w:rsid w:val="00AD7B8D"/>
    <w:rsid w:val="00AE2466"/>
    <w:rsid w:val="00AE2DAD"/>
    <w:rsid w:val="00AE3452"/>
    <w:rsid w:val="00AE3453"/>
    <w:rsid w:val="00AE4869"/>
    <w:rsid w:val="00AE5D79"/>
    <w:rsid w:val="00AE6B3E"/>
    <w:rsid w:val="00AF1029"/>
    <w:rsid w:val="00AF102D"/>
    <w:rsid w:val="00AF1C41"/>
    <w:rsid w:val="00AF1DA7"/>
    <w:rsid w:val="00AF3D43"/>
    <w:rsid w:val="00AF4715"/>
    <w:rsid w:val="00AF4B91"/>
    <w:rsid w:val="00AF4E1C"/>
    <w:rsid w:val="00AF4F77"/>
    <w:rsid w:val="00AF5052"/>
    <w:rsid w:val="00AF7093"/>
    <w:rsid w:val="00AF7319"/>
    <w:rsid w:val="00AF7381"/>
    <w:rsid w:val="00AF7CC1"/>
    <w:rsid w:val="00B01B1C"/>
    <w:rsid w:val="00B01BD7"/>
    <w:rsid w:val="00B01C33"/>
    <w:rsid w:val="00B01E62"/>
    <w:rsid w:val="00B02C63"/>
    <w:rsid w:val="00B03049"/>
    <w:rsid w:val="00B034D6"/>
    <w:rsid w:val="00B03985"/>
    <w:rsid w:val="00B03D9C"/>
    <w:rsid w:val="00B0442E"/>
    <w:rsid w:val="00B04601"/>
    <w:rsid w:val="00B0497D"/>
    <w:rsid w:val="00B04A9E"/>
    <w:rsid w:val="00B06922"/>
    <w:rsid w:val="00B06990"/>
    <w:rsid w:val="00B06DC2"/>
    <w:rsid w:val="00B06FB5"/>
    <w:rsid w:val="00B071FE"/>
    <w:rsid w:val="00B07973"/>
    <w:rsid w:val="00B07A45"/>
    <w:rsid w:val="00B10695"/>
    <w:rsid w:val="00B11396"/>
    <w:rsid w:val="00B116A1"/>
    <w:rsid w:val="00B123CA"/>
    <w:rsid w:val="00B123E0"/>
    <w:rsid w:val="00B124B9"/>
    <w:rsid w:val="00B12904"/>
    <w:rsid w:val="00B12E04"/>
    <w:rsid w:val="00B1365F"/>
    <w:rsid w:val="00B139A4"/>
    <w:rsid w:val="00B14248"/>
    <w:rsid w:val="00B14F3C"/>
    <w:rsid w:val="00B1526C"/>
    <w:rsid w:val="00B153FC"/>
    <w:rsid w:val="00B15A98"/>
    <w:rsid w:val="00B16060"/>
    <w:rsid w:val="00B166CD"/>
    <w:rsid w:val="00B16BF6"/>
    <w:rsid w:val="00B1784E"/>
    <w:rsid w:val="00B17E9A"/>
    <w:rsid w:val="00B2098E"/>
    <w:rsid w:val="00B2129A"/>
    <w:rsid w:val="00B2228B"/>
    <w:rsid w:val="00B2322B"/>
    <w:rsid w:val="00B24C08"/>
    <w:rsid w:val="00B24FD2"/>
    <w:rsid w:val="00B253E7"/>
    <w:rsid w:val="00B2550A"/>
    <w:rsid w:val="00B257DE"/>
    <w:rsid w:val="00B25E88"/>
    <w:rsid w:val="00B26382"/>
    <w:rsid w:val="00B27724"/>
    <w:rsid w:val="00B27962"/>
    <w:rsid w:val="00B27B56"/>
    <w:rsid w:val="00B30ABD"/>
    <w:rsid w:val="00B30DB4"/>
    <w:rsid w:val="00B31E99"/>
    <w:rsid w:val="00B32894"/>
    <w:rsid w:val="00B32B59"/>
    <w:rsid w:val="00B32F0E"/>
    <w:rsid w:val="00B33741"/>
    <w:rsid w:val="00B34E6F"/>
    <w:rsid w:val="00B35379"/>
    <w:rsid w:val="00B3545E"/>
    <w:rsid w:val="00B35733"/>
    <w:rsid w:val="00B35AFB"/>
    <w:rsid w:val="00B35E31"/>
    <w:rsid w:val="00B3672B"/>
    <w:rsid w:val="00B373ED"/>
    <w:rsid w:val="00B414E2"/>
    <w:rsid w:val="00B41EE8"/>
    <w:rsid w:val="00B422B0"/>
    <w:rsid w:val="00B43729"/>
    <w:rsid w:val="00B4461B"/>
    <w:rsid w:val="00B44C52"/>
    <w:rsid w:val="00B4570B"/>
    <w:rsid w:val="00B46B49"/>
    <w:rsid w:val="00B47088"/>
    <w:rsid w:val="00B47714"/>
    <w:rsid w:val="00B47C14"/>
    <w:rsid w:val="00B505E6"/>
    <w:rsid w:val="00B51CB1"/>
    <w:rsid w:val="00B520CF"/>
    <w:rsid w:val="00B52614"/>
    <w:rsid w:val="00B536BB"/>
    <w:rsid w:val="00B53869"/>
    <w:rsid w:val="00B538C6"/>
    <w:rsid w:val="00B5421A"/>
    <w:rsid w:val="00B5433B"/>
    <w:rsid w:val="00B54B6C"/>
    <w:rsid w:val="00B6013D"/>
    <w:rsid w:val="00B60752"/>
    <w:rsid w:val="00B607A2"/>
    <w:rsid w:val="00B619A5"/>
    <w:rsid w:val="00B61DB4"/>
    <w:rsid w:val="00B61E45"/>
    <w:rsid w:val="00B64A06"/>
    <w:rsid w:val="00B65929"/>
    <w:rsid w:val="00B66DF6"/>
    <w:rsid w:val="00B67139"/>
    <w:rsid w:val="00B67BB4"/>
    <w:rsid w:val="00B67FC8"/>
    <w:rsid w:val="00B701E4"/>
    <w:rsid w:val="00B70982"/>
    <w:rsid w:val="00B71381"/>
    <w:rsid w:val="00B7146D"/>
    <w:rsid w:val="00B71EE1"/>
    <w:rsid w:val="00B72C55"/>
    <w:rsid w:val="00B72D55"/>
    <w:rsid w:val="00B750F6"/>
    <w:rsid w:val="00B75C88"/>
    <w:rsid w:val="00B760E6"/>
    <w:rsid w:val="00B768FE"/>
    <w:rsid w:val="00B76AA9"/>
    <w:rsid w:val="00B776AE"/>
    <w:rsid w:val="00B81040"/>
    <w:rsid w:val="00B81325"/>
    <w:rsid w:val="00B82B0D"/>
    <w:rsid w:val="00B8360C"/>
    <w:rsid w:val="00B83EF2"/>
    <w:rsid w:val="00B859A9"/>
    <w:rsid w:val="00B8666A"/>
    <w:rsid w:val="00B87186"/>
    <w:rsid w:val="00B9006A"/>
    <w:rsid w:val="00B90520"/>
    <w:rsid w:val="00B9127E"/>
    <w:rsid w:val="00B93450"/>
    <w:rsid w:val="00B93882"/>
    <w:rsid w:val="00B95D55"/>
    <w:rsid w:val="00B96955"/>
    <w:rsid w:val="00B97E21"/>
    <w:rsid w:val="00BA1629"/>
    <w:rsid w:val="00BA1D9C"/>
    <w:rsid w:val="00BA4FC0"/>
    <w:rsid w:val="00BA5E6E"/>
    <w:rsid w:val="00BA5FF2"/>
    <w:rsid w:val="00BA629A"/>
    <w:rsid w:val="00BA6734"/>
    <w:rsid w:val="00BA6FC2"/>
    <w:rsid w:val="00BA7229"/>
    <w:rsid w:val="00BA73AB"/>
    <w:rsid w:val="00BA7960"/>
    <w:rsid w:val="00BB0E7E"/>
    <w:rsid w:val="00BB1588"/>
    <w:rsid w:val="00BB1A40"/>
    <w:rsid w:val="00BB29FE"/>
    <w:rsid w:val="00BB2B35"/>
    <w:rsid w:val="00BB318B"/>
    <w:rsid w:val="00BB3AE1"/>
    <w:rsid w:val="00BB3B56"/>
    <w:rsid w:val="00BB4579"/>
    <w:rsid w:val="00BB4942"/>
    <w:rsid w:val="00BB5666"/>
    <w:rsid w:val="00BB5C08"/>
    <w:rsid w:val="00BB5C9D"/>
    <w:rsid w:val="00BB778E"/>
    <w:rsid w:val="00BC21DB"/>
    <w:rsid w:val="00BC3475"/>
    <w:rsid w:val="00BC4A41"/>
    <w:rsid w:val="00BC57A7"/>
    <w:rsid w:val="00BC645E"/>
    <w:rsid w:val="00BC7ECA"/>
    <w:rsid w:val="00BD086A"/>
    <w:rsid w:val="00BD12AA"/>
    <w:rsid w:val="00BD16AA"/>
    <w:rsid w:val="00BD2C0D"/>
    <w:rsid w:val="00BD4E2F"/>
    <w:rsid w:val="00BD5987"/>
    <w:rsid w:val="00BD6A4B"/>
    <w:rsid w:val="00BD6EFC"/>
    <w:rsid w:val="00BD72AC"/>
    <w:rsid w:val="00BD7D2B"/>
    <w:rsid w:val="00BD7E88"/>
    <w:rsid w:val="00BE0AC2"/>
    <w:rsid w:val="00BE0B31"/>
    <w:rsid w:val="00BE147F"/>
    <w:rsid w:val="00BE314A"/>
    <w:rsid w:val="00BE46EF"/>
    <w:rsid w:val="00BE4774"/>
    <w:rsid w:val="00BE4954"/>
    <w:rsid w:val="00BE52A9"/>
    <w:rsid w:val="00BE54B8"/>
    <w:rsid w:val="00BE5CE5"/>
    <w:rsid w:val="00BE6F4B"/>
    <w:rsid w:val="00BE701B"/>
    <w:rsid w:val="00BE7328"/>
    <w:rsid w:val="00BF12A7"/>
    <w:rsid w:val="00BF2BC2"/>
    <w:rsid w:val="00BF2D6C"/>
    <w:rsid w:val="00BF39CA"/>
    <w:rsid w:val="00BF4C17"/>
    <w:rsid w:val="00BF5343"/>
    <w:rsid w:val="00BF5C14"/>
    <w:rsid w:val="00BF64FD"/>
    <w:rsid w:val="00BF7072"/>
    <w:rsid w:val="00BF7507"/>
    <w:rsid w:val="00C0256F"/>
    <w:rsid w:val="00C037AE"/>
    <w:rsid w:val="00C047C1"/>
    <w:rsid w:val="00C05EA1"/>
    <w:rsid w:val="00C06567"/>
    <w:rsid w:val="00C07C74"/>
    <w:rsid w:val="00C10B1E"/>
    <w:rsid w:val="00C11093"/>
    <w:rsid w:val="00C1119A"/>
    <w:rsid w:val="00C114F8"/>
    <w:rsid w:val="00C12E0F"/>
    <w:rsid w:val="00C13290"/>
    <w:rsid w:val="00C13AB4"/>
    <w:rsid w:val="00C13BAC"/>
    <w:rsid w:val="00C13D1F"/>
    <w:rsid w:val="00C140E1"/>
    <w:rsid w:val="00C14F0F"/>
    <w:rsid w:val="00C153DE"/>
    <w:rsid w:val="00C16345"/>
    <w:rsid w:val="00C171AE"/>
    <w:rsid w:val="00C1730F"/>
    <w:rsid w:val="00C17783"/>
    <w:rsid w:val="00C17A30"/>
    <w:rsid w:val="00C209F7"/>
    <w:rsid w:val="00C2190D"/>
    <w:rsid w:val="00C21BE1"/>
    <w:rsid w:val="00C224B1"/>
    <w:rsid w:val="00C23635"/>
    <w:rsid w:val="00C237A9"/>
    <w:rsid w:val="00C23FFA"/>
    <w:rsid w:val="00C24004"/>
    <w:rsid w:val="00C242BF"/>
    <w:rsid w:val="00C24EA3"/>
    <w:rsid w:val="00C251E9"/>
    <w:rsid w:val="00C27001"/>
    <w:rsid w:val="00C27E18"/>
    <w:rsid w:val="00C30EC6"/>
    <w:rsid w:val="00C31BBE"/>
    <w:rsid w:val="00C341A2"/>
    <w:rsid w:val="00C35625"/>
    <w:rsid w:val="00C35E7F"/>
    <w:rsid w:val="00C36793"/>
    <w:rsid w:val="00C37AE7"/>
    <w:rsid w:val="00C40A8D"/>
    <w:rsid w:val="00C40F3A"/>
    <w:rsid w:val="00C4196F"/>
    <w:rsid w:val="00C429D5"/>
    <w:rsid w:val="00C42EB0"/>
    <w:rsid w:val="00C43D48"/>
    <w:rsid w:val="00C442E5"/>
    <w:rsid w:val="00C47717"/>
    <w:rsid w:val="00C477DF"/>
    <w:rsid w:val="00C47F5A"/>
    <w:rsid w:val="00C53710"/>
    <w:rsid w:val="00C53D1E"/>
    <w:rsid w:val="00C5429A"/>
    <w:rsid w:val="00C54B3A"/>
    <w:rsid w:val="00C55160"/>
    <w:rsid w:val="00C556C8"/>
    <w:rsid w:val="00C559C4"/>
    <w:rsid w:val="00C55F65"/>
    <w:rsid w:val="00C576AA"/>
    <w:rsid w:val="00C6045E"/>
    <w:rsid w:val="00C61402"/>
    <w:rsid w:val="00C616E0"/>
    <w:rsid w:val="00C61B12"/>
    <w:rsid w:val="00C62081"/>
    <w:rsid w:val="00C620AC"/>
    <w:rsid w:val="00C62EB3"/>
    <w:rsid w:val="00C632CA"/>
    <w:rsid w:val="00C63BC0"/>
    <w:rsid w:val="00C64573"/>
    <w:rsid w:val="00C64629"/>
    <w:rsid w:val="00C6525A"/>
    <w:rsid w:val="00C6551F"/>
    <w:rsid w:val="00C66FC8"/>
    <w:rsid w:val="00C679ED"/>
    <w:rsid w:val="00C70AE9"/>
    <w:rsid w:val="00C72018"/>
    <w:rsid w:val="00C72471"/>
    <w:rsid w:val="00C727FA"/>
    <w:rsid w:val="00C728CA"/>
    <w:rsid w:val="00C72A20"/>
    <w:rsid w:val="00C73979"/>
    <w:rsid w:val="00C73D4E"/>
    <w:rsid w:val="00C74E75"/>
    <w:rsid w:val="00C77560"/>
    <w:rsid w:val="00C775EC"/>
    <w:rsid w:val="00C779E6"/>
    <w:rsid w:val="00C8020C"/>
    <w:rsid w:val="00C804E4"/>
    <w:rsid w:val="00C80A6E"/>
    <w:rsid w:val="00C810C7"/>
    <w:rsid w:val="00C815D0"/>
    <w:rsid w:val="00C826E7"/>
    <w:rsid w:val="00C85420"/>
    <w:rsid w:val="00C86298"/>
    <w:rsid w:val="00C8629E"/>
    <w:rsid w:val="00C9068A"/>
    <w:rsid w:val="00C906B0"/>
    <w:rsid w:val="00C90950"/>
    <w:rsid w:val="00C91453"/>
    <w:rsid w:val="00C91838"/>
    <w:rsid w:val="00C922DC"/>
    <w:rsid w:val="00C92707"/>
    <w:rsid w:val="00C93222"/>
    <w:rsid w:val="00C9333A"/>
    <w:rsid w:val="00C9355D"/>
    <w:rsid w:val="00C93C28"/>
    <w:rsid w:val="00C94751"/>
    <w:rsid w:val="00C95306"/>
    <w:rsid w:val="00C95319"/>
    <w:rsid w:val="00C95B1F"/>
    <w:rsid w:val="00C95C18"/>
    <w:rsid w:val="00C95C6D"/>
    <w:rsid w:val="00C96139"/>
    <w:rsid w:val="00C96210"/>
    <w:rsid w:val="00C967A2"/>
    <w:rsid w:val="00C967E4"/>
    <w:rsid w:val="00C96D59"/>
    <w:rsid w:val="00C97D55"/>
    <w:rsid w:val="00C97EA8"/>
    <w:rsid w:val="00CA05EB"/>
    <w:rsid w:val="00CA1F1E"/>
    <w:rsid w:val="00CA27D4"/>
    <w:rsid w:val="00CA2D3F"/>
    <w:rsid w:val="00CA3673"/>
    <w:rsid w:val="00CA37AA"/>
    <w:rsid w:val="00CA39E2"/>
    <w:rsid w:val="00CA3C13"/>
    <w:rsid w:val="00CA44D3"/>
    <w:rsid w:val="00CA4634"/>
    <w:rsid w:val="00CA54FF"/>
    <w:rsid w:val="00CB1B37"/>
    <w:rsid w:val="00CB1C3F"/>
    <w:rsid w:val="00CB23DA"/>
    <w:rsid w:val="00CB2DC3"/>
    <w:rsid w:val="00CB3EA1"/>
    <w:rsid w:val="00CB4E21"/>
    <w:rsid w:val="00CB5117"/>
    <w:rsid w:val="00CB680F"/>
    <w:rsid w:val="00CB7D25"/>
    <w:rsid w:val="00CB7E4C"/>
    <w:rsid w:val="00CC185A"/>
    <w:rsid w:val="00CC2A13"/>
    <w:rsid w:val="00CC2B5A"/>
    <w:rsid w:val="00CC3A49"/>
    <w:rsid w:val="00CC3B05"/>
    <w:rsid w:val="00CC5BE6"/>
    <w:rsid w:val="00CC6246"/>
    <w:rsid w:val="00CC62A6"/>
    <w:rsid w:val="00CC703D"/>
    <w:rsid w:val="00CD1A0D"/>
    <w:rsid w:val="00CD3AA7"/>
    <w:rsid w:val="00CD40D5"/>
    <w:rsid w:val="00CD4601"/>
    <w:rsid w:val="00CD5397"/>
    <w:rsid w:val="00CE02D2"/>
    <w:rsid w:val="00CE0321"/>
    <w:rsid w:val="00CE0AA6"/>
    <w:rsid w:val="00CE0B8B"/>
    <w:rsid w:val="00CE169A"/>
    <w:rsid w:val="00CE1B88"/>
    <w:rsid w:val="00CE1F7C"/>
    <w:rsid w:val="00CE4F63"/>
    <w:rsid w:val="00CE5787"/>
    <w:rsid w:val="00CE60DB"/>
    <w:rsid w:val="00CE724A"/>
    <w:rsid w:val="00CF0A78"/>
    <w:rsid w:val="00CF0E6B"/>
    <w:rsid w:val="00CF1FB3"/>
    <w:rsid w:val="00CF2C92"/>
    <w:rsid w:val="00CF36AA"/>
    <w:rsid w:val="00CF37DE"/>
    <w:rsid w:val="00CF3882"/>
    <w:rsid w:val="00CF3B94"/>
    <w:rsid w:val="00CF3D1C"/>
    <w:rsid w:val="00CF465F"/>
    <w:rsid w:val="00CF5AE5"/>
    <w:rsid w:val="00CF66BE"/>
    <w:rsid w:val="00CF71BB"/>
    <w:rsid w:val="00CF7659"/>
    <w:rsid w:val="00CF7D80"/>
    <w:rsid w:val="00CF7E2F"/>
    <w:rsid w:val="00CF7FD4"/>
    <w:rsid w:val="00D00EB6"/>
    <w:rsid w:val="00D00ECA"/>
    <w:rsid w:val="00D0176B"/>
    <w:rsid w:val="00D02291"/>
    <w:rsid w:val="00D02B64"/>
    <w:rsid w:val="00D03638"/>
    <w:rsid w:val="00D0381D"/>
    <w:rsid w:val="00D03FCD"/>
    <w:rsid w:val="00D0522E"/>
    <w:rsid w:val="00D0542F"/>
    <w:rsid w:val="00D05677"/>
    <w:rsid w:val="00D05C8B"/>
    <w:rsid w:val="00D065EE"/>
    <w:rsid w:val="00D07F75"/>
    <w:rsid w:val="00D10CFF"/>
    <w:rsid w:val="00D114E2"/>
    <w:rsid w:val="00D12D41"/>
    <w:rsid w:val="00D135C7"/>
    <w:rsid w:val="00D13C94"/>
    <w:rsid w:val="00D14CA5"/>
    <w:rsid w:val="00D14F0E"/>
    <w:rsid w:val="00D15CD7"/>
    <w:rsid w:val="00D179E9"/>
    <w:rsid w:val="00D17D9E"/>
    <w:rsid w:val="00D17EF5"/>
    <w:rsid w:val="00D20523"/>
    <w:rsid w:val="00D219E8"/>
    <w:rsid w:val="00D224E4"/>
    <w:rsid w:val="00D230D3"/>
    <w:rsid w:val="00D2350A"/>
    <w:rsid w:val="00D244AF"/>
    <w:rsid w:val="00D244FE"/>
    <w:rsid w:val="00D25224"/>
    <w:rsid w:val="00D26DCD"/>
    <w:rsid w:val="00D27274"/>
    <w:rsid w:val="00D27BA5"/>
    <w:rsid w:val="00D306A9"/>
    <w:rsid w:val="00D30E5E"/>
    <w:rsid w:val="00D31E5D"/>
    <w:rsid w:val="00D326DB"/>
    <w:rsid w:val="00D3284B"/>
    <w:rsid w:val="00D32A14"/>
    <w:rsid w:val="00D35825"/>
    <w:rsid w:val="00D362E9"/>
    <w:rsid w:val="00D37578"/>
    <w:rsid w:val="00D37C27"/>
    <w:rsid w:val="00D37C90"/>
    <w:rsid w:val="00D40377"/>
    <w:rsid w:val="00D404AF"/>
    <w:rsid w:val="00D40903"/>
    <w:rsid w:val="00D40A02"/>
    <w:rsid w:val="00D40C67"/>
    <w:rsid w:val="00D41CE7"/>
    <w:rsid w:val="00D435A5"/>
    <w:rsid w:val="00D446FB"/>
    <w:rsid w:val="00D44AC1"/>
    <w:rsid w:val="00D461CF"/>
    <w:rsid w:val="00D472F5"/>
    <w:rsid w:val="00D47C3C"/>
    <w:rsid w:val="00D50818"/>
    <w:rsid w:val="00D511AC"/>
    <w:rsid w:val="00D51A3F"/>
    <w:rsid w:val="00D527F4"/>
    <w:rsid w:val="00D52A11"/>
    <w:rsid w:val="00D52A15"/>
    <w:rsid w:val="00D52FBB"/>
    <w:rsid w:val="00D57A58"/>
    <w:rsid w:val="00D60407"/>
    <w:rsid w:val="00D60EB0"/>
    <w:rsid w:val="00D61241"/>
    <w:rsid w:val="00D61635"/>
    <w:rsid w:val="00D6187D"/>
    <w:rsid w:val="00D61A0B"/>
    <w:rsid w:val="00D61D68"/>
    <w:rsid w:val="00D647C7"/>
    <w:rsid w:val="00D64F9D"/>
    <w:rsid w:val="00D64FDC"/>
    <w:rsid w:val="00D65BA9"/>
    <w:rsid w:val="00D66FB4"/>
    <w:rsid w:val="00D67DB7"/>
    <w:rsid w:val="00D7157E"/>
    <w:rsid w:val="00D7183F"/>
    <w:rsid w:val="00D72D57"/>
    <w:rsid w:val="00D73176"/>
    <w:rsid w:val="00D73379"/>
    <w:rsid w:val="00D73D8F"/>
    <w:rsid w:val="00D7425B"/>
    <w:rsid w:val="00D74586"/>
    <w:rsid w:val="00D74777"/>
    <w:rsid w:val="00D7509A"/>
    <w:rsid w:val="00D7565D"/>
    <w:rsid w:val="00D75862"/>
    <w:rsid w:val="00D760CB"/>
    <w:rsid w:val="00D76369"/>
    <w:rsid w:val="00D765A4"/>
    <w:rsid w:val="00D765A9"/>
    <w:rsid w:val="00D76D61"/>
    <w:rsid w:val="00D77B3D"/>
    <w:rsid w:val="00D77D95"/>
    <w:rsid w:val="00D77F89"/>
    <w:rsid w:val="00D810FE"/>
    <w:rsid w:val="00D8230C"/>
    <w:rsid w:val="00D823CD"/>
    <w:rsid w:val="00D82BAA"/>
    <w:rsid w:val="00D830BE"/>
    <w:rsid w:val="00D8320E"/>
    <w:rsid w:val="00D844B3"/>
    <w:rsid w:val="00D84D48"/>
    <w:rsid w:val="00D85464"/>
    <w:rsid w:val="00D85B60"/>
    <w:rsid w:val="00D865D1"/>
    <w:rsid w:val="00D86A69"/>
    <w:rsid w:val="00D87173"/>
    <w:rsid w:val="00D905F6"/>
    <w:rsid w:val="00D926DD"/>
    <w:rsid w:val="00D92CC3"/>
    <w:rsid w:val="00D935E5"/>
    <w:rsid w:val="00D94F64"/>
    <w:rsid w:val="00D95A56"/>
    <w:rsid w:val="00D95BE4"/>
    <w:rsid w:val="00D969D6"/>
    <w:rsid w:val="00D9713A"/>
    <w:rsid w:val="00D9718E"/>
    <w:rsid w:val="00D97AD9"/>
    <w:rsid w:val="00D97DC8"/>
    <w:rsid w:val="00DA0FDE"/>
    <w:rsid w:val="00DA14AF"/>
    <w:rsid w:val="00DA1D28"/>
    <w:rsid w:val="00DA257A"/>
    <w:rsid w:val="00DA31B8"/>
    <w:rsid w:val="00DA368B"/>
    <w:rsid w:val="00DA481C"/>
    <w:rsid w:val="00DA519E"/>
    <w:rsid w:val="00DA5741"/>
    <w:rsid w:val="00DA5F1F"/>
    <w:rsid w:val="00DA612D"/>
    <w:rsid w:val="00DA6940"/>
    <w:rsid w:val="00DA7440"/>
    <w:rsid w:val="00DA799B"/>
    <w:rsid w:val="00DA7C9F"/>
    <w:rsid w:val="00DB28B3"/>
    <w:rsid w:val="00DB2DD6"/>
    <w:rsid w:val="00DB2E0B"/>
    <w:rsid w:val="00DB493A"/>
    <w:rsid w:val="00DB520B"/>
    <w:rsid w:val="00DB5380"/>
    <w:rsid w:val="00DB56AB"/>
    <w:rsid w:val="00DB6422"/>
    <w:rsid w:val="00DB7676"/>
    <w:rsid w:val="00DC157D"/>
    <w:rsid w:val="00DC1E17"/>
    <w:rsid w:val="00DC2657"/>
    <w:rsid w:val="00DC30B5"/>
    <w:rsid w:val="00DC334B"/>
    <w:rsid w:val="00DC49C6"/>
    <w:rsid w:val="00DC51BF"/>
    <w:rsid w:val="00DC7A2D"/>
    <w:rsid w:val="00DD0984"/>
    <w:rsid w:val="00DD150F"/>
    <w:rsid w:val="00DD1538"/>
    <w:rsid w:val="00DD180C"/>
    <w:rsid w:val="00DD2E55"/>
    <w:rsid w:val="00DD3337"/>
    <w:rsid w:val="00DD3F25"/>
    <w:rsid w:val="00DD420C"/>
    <w:rsid w:val="00DD6B14"/>
    <w:rsid w:val="00DD7240"/>
    <w:rsid w:val="00DD7383"/>
    <w:rsid w:val="00DD74D4"/>
    <w:rsid w:val="00DE0294"/>
    <w:rsid w:val="00DE113C"/>
    <w:rsid w:val="00DE1296"/>
    <w:rsid w:val="00DE1469"/>
    <w:rsid w:val="00DE1F8B"/>
    <w:rsid w:val="00DE21CE"/>
    <w:rsid w:val="00DE246F"/>
    <w:rsid w:val="00DE320F"/>
    <w:rsid w:val="00DE33CB"/>
    <w:rsid w:val="00DE4D13"/>
    <w:rsid w:val="00DE4D14"/>
    <w:rsid w:val="00DE516A"/>
    <w:rsid w:val="00DE5622"/>
    <w:rsid w:val="00DE5AB7"/>
    <w:rsid w:val="00DE614D"/>
    <w:rsid w:val="00DE62C2"/>
    <w:rsid w:val="00DE6737"/>
    <w:rsid w:val="00DE67F6"/>
    <w:rsid w:val="00DE784F"/>
    <w:rsid w:val="00DF02F7"/>
    <w:rsid w:val="00DF054E"/>
    <w:rsid w:val="00DF0585"/>
    <w:rsid w:val="00DF1CC0"/>
    <w:rsid w:val="00DF21F2"/>
    <w:rsid w:val="00DF253B"/>
    <w:rsid w:val="00DF263A"/>
    <w:rsid w:val="00DF2C2C"/>
    <w:rsid w:val="00DF3F67"/>
    <w:rsid w:val="00DF4092"/>
    <w:rsid w:val="00DF45DF"/>
    <w:rsid w:val="00DF4DBA"/>
    <w:rsid w:val="00DF51DD"/>
    <w:rsid w:val="00DF5612"/>
    <w:rsid w:val="00DF75A2"/>
    <w:rsid w:val="00DF781F"/>
    <w:rsid w:val="00E0160E"/>
    <w:rsid w:val="00E01C96"/>
    <w:rsid w:val="00E01DBA"/>
    <w:rsid w:val="00E01F4B"/>
    <w:rsid w:val="00E0226F"/>
    <w:rsid w:val="00E03541"/>
    <w:rsid w:val="00E0488E"/>
    <w:rsid w:val="00E051E9"/>
    <w:rsid w:val="00E052EF"/>
    <w:rsid w:val="00E06645"/>
    <w:rsid w:val="00E0711A"/>
    <w:rsid w:val="00E071E3"/>
    <w:rsid w:val="00E076DB"/>
    <w:rsid w:val="00E078C0"/>
    <w:rsid w:val="00E07CDF"/>
    <w:rsid w:val="00E1039E"/>
    <w:rsid w:val="00E10A4E"/>
    <w:rsid w:val="00E10F75"/>
    <w:rsid w:val="00E1100E"/>
    <w:rsid w:val="00E12E75"/>
    <w:rsid w:val="00E135BB"/>
    <w:rsid w:val="00E138C0"/>
    <w:rsid w:val="00E13C7B"/>
    <w:rsid w:val="00E14899"/>
    <w:rsid w:val="00E14D2E"/>
    <w:rsid w:val="00E14E32"/>
    <w:rsid w:val="00E15396"/>
    <w:rsid w:val="00E1548A"/>
    <w:rsid w:val="00E15681"/>
    <w:rsid w:val="00E15AE1"/>
    <w:rsid w:val="00E16C95"/>
    <w:rsid w:val="00E16EB2"/>
    <w:rsid w:val="00E17A59"/>
    <w:rsid w:val="00E20215"/>
    <w:rsid w:val="00E20B4D"/>
    <w:rsid w:val="00E21118"/>
    <w:rsid w:val="00E21419"/>
    <w:rsid w:val="00E21497"/>
    <w:rsid w:val="00E218CC"/>
    <w:rsid w:val="00E21AE1"/>
    <w:rsid w:val="00E22B28"/>
    <w:rsid w:val="00E22B3E"/>
    <w:rsid w:val="00E23B88"/>
    <w:rsid w:val="00E26942"/>
    <w:rsid w:val="00E269B4"/>
    <w:rsid w:val="00E269DA"/>
    <w:rsid w:val="00E27248"/>
    <w:rsid w:val="00E27573"/>
    <w:rsid w:val="00E275D5"/>
    <w:rsid w:val="00E27711"/>
    <w:rsid w:val="00E27830"/>
    <w:rsid w:val="00E27A92"/>
    <w:rsid w:val="00E30293"/>
    <w:rsid w:val="00E3053F"/>
    <w:rsid w:val="00E30E32"/>
    <w:rsid w:val="00E3203D"/>
    <w:rsid w:val="00E3371B"/>
    <w:rsid w:val="00E34228"/>
    <w:rsid w:val="00E3490A"/>
    <w:rsid w:val="00E349FD"/>
    <w:rsid w:val="00E35168"/>
    <w:rsid w:val="00E36689"/>
    <w:rsid w:val="00E3737B"/>
    <w:rsid w:val="00E40AED"/>
    <w:rsid w:val="00E41DB6"/>
    <w:rsid w:val="00E4207B"/>
    <w:rsid w:val="00E420DE"/>
    <w:rsid w:val="00E42B0E"/>
    <w:rsid w:val="00E4336D"/>
    <w:rsid w:val="00E4463B"/>
    <w:rsid w:val="00E45334"/>
    <w:rsid w:val="00E46AA0"/>
    <w:rsid w:val="00E47A2A"/>
    <w:rsid w:val="00E5079D"/>
    <w:rsid w:val="00E5099E"/>
    <w:rsid w:val="00E50E31"/>
    <w:rsid w:val="00E51B9D"/>
    <w:rsid w:val="00E527C7"/>
    <w:rsid w:val="00E531EB"/>
    <w:rsid w:val="00E5375D"/>
    <w:rsid w:val="00E53985"/>
    <w:rsid w:val="00E53D16"/>
    <w:rsid w:val="00E544C9"/>
    <w:rsid w:val="00E54A74"/>
    <w:rsid w:val="00E54E25"/>
    <w:rsid w:val="00E54EF4"/>
    <w:rsid w:val="00E5563F"/>
    <w:rsid w:val="00E55BA0"/>
    <w:rsid w:val="00E56037"/>
    <w:rsid w:val="00E56405"/>
    <w:rsid w:val="00E567FB"/>
    <w:rsid w:val="00E60AAC"/>
    <w:rsid w:val="00E6174F"/>
    <w:rsid w:val="00E63B2E"/>
    <w:rsid w:val="00E63D74"/>
    <w:rsid w:val="00E65B1B"/>
    <w:rsid w:val="00E66EB5"/>
    <w:rsid w:val="00E70152"/>
    <w:rsid w:val="00E71761"/>
    <w:rsid w:val="00E72555"/>
    <w:rsid w:val="00E72991"/>
    <w:rsid w:val="00E730CE"/>
    <w:rsid w:val="00E742D7"/>
    <w:rsid w:val="00E75168"/>
    <w:rsid w:val="00E7524E"/>
    <w:rsid w:val="00E76BB7"/>
    <w:rsid w:val="00E802DB"/>
    <w:rsid w:val="00E80595"/>
    <w:rsid w:val="00E80B95"/>
    <w:rsid w:val="00E816A5"/>
    <w:rsid w:val="00E821F5"/>
    <w:rsid w:val="00E82ED8"/>
    <w:rsid w:val="00E8373B"/>
    <w:rsid w:val="00E837F1"/>
    <w:rsid w:val="00E84819"/>
    <w:rsid w:val="00E84C2C"/>
    <w:rsid w:val="00E86628"/>
    <w:rsid w:val="00E86E1A"/>
    <w:rsid w:val="00E87518"/>
    <w:rsid w:val="00E92FEE"/>
    <w:rsid w:val="00E93046"/>
    <w:rsid w:val="00E940C2"/>
    <w:rsid w:val="00E94812"/>
    <w:rsid w:val="00E9629E"/>
    <w:rsid w:val="00E963BF"/>
    <w:rsid w:val="00E9685C"/>
    <w:rsid w:val="00E9715C"/>
    <w:rsid w:val="00EA1174"/>
    <w:rsid w:val="00EA12DA"/>
    <w:rsid w:val="00EA1FE3"/>
    <w:rsid w:val="00EA32B6"/>
    <w:rsid w:val="00EA32DB"/>
    <w:rsid w:val="00EA339F"/>
    <w:rsid w:val="00EA3463"/>
    <w:rsid w:val="00EA3D7C"/>
    <w:rsid w:val="00EA43F8"/>
    <w:rsid w:val="00EA453D"/>
    <w:rsid w:val="00EA49DF"/>
    <w:rsid w:val="00EA5CD2"/>
    <w:rsid w:val="00EA5E5A"/>
    <w:rsid w:val="00EA679A"/>
    <w:rsid w:val="00EA6AF6"/>
    <w:rsid w:val="00EB00D5"/>
    <w:rsid w:val="00EB0146"/>
    <w:rsid w:val="00EB08C7"/>
    <w:rsid w:val="00EB19D1"/>
    <w:rsid w:val="00EB1DBE"/>
    <w:rsid w:val="00EB2A9E"/>
    <w:rsid w:val="00EB36B3"/>
    <w:rsid w:val="00EB3A74"/>
    <w:rsid w:val="00EB4173"/>
    <w:rsid w:val="00EB4446"/>
    <w:rsid w:val="00EB5816"/>
    <w:rsid w:val="00EB6777"/>
    <w:rsid w:val="00EB6791"/>
    <w:rsid w:val="00EB69DC"/>
    <w:rsid w:val="00EC078F"/>
    <w:rsid w:val="00EC12ED"/>
    <w:rsid w:val="00EC1475"/>
    <w:rsid w:val="00EC1F73"/>
    <w:rsid w:val="00EC459C"/>
    <w:rsid w:val="00EC4841"/>
    <w:rsid w:val="00EC53E8"/>
    <w:rsid w:val="00EC6404"/>
    <w:rsid w:val="00EC696F"/>
    <w:rsid w:val="00EC739A"/>
    <w:rsid w:val="00EC7717"/>
    <w:rsid w:val="00EC77BB"/>
    <w:rsid w:val="00EC79D5"/>
    <w:rsid w:val="00EC7F38"/>
    <w:rsid w:val="00ED09CE"/>
    <w:rsid w:val="00ED0D42"/>
    <w:rsid w:val="00ED0F2E"/>
    <w:rsid w:val="00ED210F"/>
    <w:rsid w:val="00ED4AAE"/>
    <w:rsid w:val="00ED4C35"/>
    <w:rsid w:val="00ED5D86"/>
    <w:rsid w:val="00ED5EBF"/>
    <w:rsid w:val="00ED6CA4"/>
    <w:rsid w:val="00ED76CA"/>
    <w:rsid w:val="00ED780C"/>
    <w:rsid w:val="00ED7C3C"/>
    <w:rsid w:val="00EE17B6"/>
    <w:rsid w:val="00EE223C"/>
    <w:rsid w:val="00EE30BF"/>
    <w:rsid w:val="00EE43FE"/>
    <w:rsid w:val="00EE4CD4"/>
    <w:rsid w:val="00EE5469"/>
    <w:rsid w:val="00EE56E7"/>
    <w:rsid w:val="00EE5B77"/>
    <w:rsid w:val="00EE75A9"/>
    <w:rsid w:val="00EF0067"/>
    <w:rsid w:val="00EF3035"/>
    <w:rsid w:val="00EF31E9"/>
    <w:rsid w:val="00EF3800"/>
    <w:rsid w:val="00EF3D3F"/>
    <w:rsid w:val="00EF4126"/>
    <w:rsid w:val="00EF5E04"/>
    <w:rsid w:val="00EF65E8"/>
    <w:rsid w:val="00EF6867"/>
    <w:rsid w:val="00EF6BDC"/>
    <w:rsid w:val="00EF6F1A"/>
    <w:rsid w:val="00EF74AF"/>
    <w:rsid w:val="00EF777C"/>
    <w:rsid w:val="00EF77D2"/>
    <w:rsid w:val="00F0116C"/>
    <w:rsid w:val="00F0184E"/>
    <w:rsid w:val="00F02702"/>
    <w:rsid w:val="00F02A82"/>
    <w:rsid w:val="00F04928"/>
    <w:rsid w:val="00F04EB3"/>
    <w:rsid w:val="00F05F13"/>
    <w:rsid w:val="00F078DE"/>
    <w:rsid w:val="00F10491"/>
    <w:rsid w:val="00F11B16"/>
    <w:rsid w:val="00F11CEA"/>
    <w:rsid w:val="00F12828"/>
    <w:rsid w:val="00F132DB"/>
    <w:rsid w:val="00F13540"/>
    <w:rsid w:val="00F1386B"/>
    <w:rsid w:val="00F14797"/>
    <w:rsid w:val="00F16FD9"/>
    <w:rsid w:val="00F170D6"/>
    <w:rsid w:val="00F175B6"/>
    <w:rsid w:val="00F2280C"/>
    <w:rsid w:val="00F22E39"/>
    <w:rsid w:val="00F25147"/>
    <w:rsid w:val="00F25F03"/>
    <w:rsid w:val="00F2619C"/>
    <w:rsid w:val="00F261F5"/>
    <w:rsid w:val="00F267DA"/>
    <w:rsid w:val="00F276E8"/>
    <w:rsid w:val="00F30321"/>
    <w:rsid w:val="00F30701"/>
    <w:rsid w:val="00F309D8"/>
    <w:rsid w:val="00F31A68"/>
    <w:rsid w:val="00F31D01"/>
    <w:rsid w:val="00F31E58"/>
    <w:rsid w:val="00F3212D"/>
    <w:rsid w:val="00F322BD"/>
    <w:rsid w:val="00F34146"/>
    <w:rsid w:val="00F34993"/>
    <w:rsid w:val="00F34E2B"/>
    <w:rsid w:val="00F366CB"/>
    <w:rsid w:val="00F36FA9"/>
    <w:rsid w:val="00F41269"/>
    <w:rsid w:val="00F41594"/>
    <w:rsid w:val="00F419CF"/>
    <w:rsid w:val="00F43D04"/>
    <w:rsid w:val="00F43DE4"/>
    <w:rsid w:val="00F4422A"/>
    <w:rsid w:val="00F4493C"/>
    <w:rsid w:val="00F44D8E"/>
    <w:rsid w:val="00F461B1"/>
    <w:rsid w:val="00F466A7"/>
    <w:rsid w:val="00F50413"/>
    <w:rsid w:val="00F510B2"/>
    <w:rsid w:val="00F51598"/>
    <w:rsid w:val="00F52977"/>
    <w:rsid w:val="00F52B72"/>
    <w:rsid w:val="00F53433"/>
    <w:rsid w:val="00F53B2B"/>
    <w:rsid w:val="00F54E53"/>
    <w:rsid w:val="00F55C69"/>
    <w:rsid w:val="00F55FEB"/>
    <w:rsid w:val="00F561D9"/>
    <w:rsid w:val="00F56D95"/>
    <w:rsid w:val="00F57526"/>
    <w:rsid w:val="00F57F4E"/>
    <w:rsid w:val="00F57F86"/>
    <w:rsid w:val="00F601A7"/>
    <w:rsid w:val="00F61FAC"/>
    <w:rsid w:val="00F62537"/>
    <w:rsid w:val="00F646FC"/>
    <w:rsid w:val="00F64D2C"/>
    <w:rsid w:val="00F64F3E"/>
    <w:rsid w:val="00F650D4"/>
    <w:rsid w:val="00F6565E"/>
    <w:rsid w:val="00F656EB"/>
    <w:rsid w:val="00F66B58"/>
    <w:rsid w:val="00F677AF"/>
    <w:rsid w:val="00F70C84"/>
    <w:rsid w:val="00F714D0"/>
    <w:rsid w:val="00F71BDB"/>
    <w:rsid w:val="00F7245C"/>
    <w:rsid w:val="00F72FC5"/>
    <w:rsid w:val="00F73456"/>
    <w:rsid w:val="00F74923"/>
    <w:rsid w:val="00F74B43"/>
    <w:rsid w:val="00F750D7"/>
    <w:rsid w:val="00F765B0"/>
    <w:rsid w:val="00F77335"/>
    <w:rsid w:val="00F81020"/>
    <w:rsid w:val="00F814CC"/>
    <w:rsid w:val="00F82D0D"/>
    <w:rsid w:val="00F83AB7"/>
    <w:rsid w:val="00F847C3"/>
    <w:rsid w:val="00F85164"/>
    <w:rsid w:val="00F8524E"/>
    <w:rsid w:val="00F85F7A"/>
    <w:rsid w:val="00F863CC"/>
    <w:rsid w:val="00F86779"/>
    <w:rsid w:val="00F86BE5"/>
    <w:rsid w:val="00F876AE"/>
    <w:rsid w:val="00F910E5"/>
    <w:rsid w:val="00F92E25"/>
    <w:rsid w:val="00F94517"/>
    <w:rsid w:val="00F9573F"/>
    <w:rsid w:val="00F95FC7"/>
    <w:rsid w:val="00F961C8"/>
    <w:rsid w:val="00F96B1C"/>
    <w:rsid w:val="00F97A72"/>
    <w:rsid w:val="00FA0686"/>
    <w:rsid w:val="00FA06FA"/>
    <w:rsid w:val="00FA156E"/>
    <w:rsid w:val="00FA27CA"/>
    <w:rsid w:val="00FA2D33"/>
    <w:rsid w:val="00FA2D9B"/>
    <w:rsid w:val="00FA330E"/>
    <w:rsid w:val="00FA4398"/>
    <w:rsid w:val="00FA49A8"/>
    <w:rsid w:val="00FA5441"/>
    <w:rsid w:val="00FA58C4"/>
    <w:rsid w:val="00FA5C86"/>
    <w:rsid w:val="00FA60AD"/>
    <w:rsid w:val="00FA6D27"/>
    <w:rsid w:val="00FB0186"/>
    <w:rsid w:val="00FB0274"/>
    <w:rsid w:val="00FB05C4"/>
    <w:rsid w:val="00FB0C3E"/>
    <w:rsid w:val="00FB2CAC"/>
    <w:rsid w:val="00FB2F05"/>
    <w:rsid w:val="00FB4005"/>
    <w:rsid w:val="00FB48C3"/>
    <w:rsid w:val="00FB5F9D"/>
    <w:rsid w:val="00FB6708"/>
    <w:rsid w:val="00FC0BEB"/>
    <w:rsid w:val="00FC15EC"/>
    <w:rsid w:val="00FC25AF"/>
    <w:rsid w:val="00FC262C"/>
    <w:rsid w:val="00FC2B9F"/>
    <w:rsid w:val="00FC2CC4"/>
    <w:rsid w:val="00FC2E4C"/>
    <w:rsid w:val="00FC3EBA"/>
    <w:rsid w:val="00FC48BC"/>
    <w:rsid w:val="00FC5F7E"/>
    <w:rsid w:val="00FC6BD0"/>
    <w:rsid w:val="00FC6EF5"/>
    <w:rsid w:val="00FC6FDE"/>
    <w:rsid w:val="00FC7C50"/>
    <w:rsid w:val="00FD0300"/>
    <w:rsid w:val="00FD073E"/>
    <w:rsid w:val="00FD17FE"/>
    <w:rsid w:val="00FD1849"/>
    <w:rsid w:val="00FD4160"/>
    <w:rsid w:val="00FD458A"/>
    <w:rsid w:val="00FD49CC"/>
    <w:rsid w:val="00FD55A4"/>
    <w:rsid w:val="00FD5ED7"/>
    <w:rsid w:val="00FD6794"/>
    <w:rsid w:val="00FD7C95"/>
    <w:rsid w:val="00FE00DF"/>
    <w:rsid w:val="00FE0311"/>
    <w:rsid w:val="00FE08FC"/>
    <w:rsid w:val="00FE22C2"/>
    <w:rsid w:val="00FE354F"/>
    <w:rsid w:val="00FE3C25"/>
    <w:rsid w:val="00FE4BD3"/>
    <w:rsid w:val="00FE60EF"/>
    <w:rsid w:val="00FE6454"/>
    <w:rsid w:val="00FE707D"/>
    <w:rsid w:val="00FF3425"/>
    <w:rsid w:val="00FF4166"/>
    <w:rsid w:val="00FF59B5"/>
    <w:rsid w:val="00FF6AD5"/>
    <w:rsid w:val="00FF778F"/>
    <w:rsid w:val="00FF7B39"/>
    <w:rsid w:val="1ED60E7F"/>
    <w:rsid w:val="2A0C6B4F"/>
    <w:rsid w:val="3350AC4D"/>
    <w:rsid w:val="3408F07C"/>
    <w:rsid w:val="388AF533"/>
    <w:rsid w:val="45B87F29"/>
    <w:rsid w:val="4DDE8970"/>
    <w:rsid w:val="51536F02"/>
    <w:rsid w:val="51BF6690"/>
    <w:rsid w:val="6E958833"/>
    <w:rsid w:val="75A48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EF0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2253"/>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link w:val="Heading1Char"/>
    <w:uiPriority w:val="9"/>
    <w:qFormat/>
    <w:rsid w:val="007C3A4C"/>
    <w:pPr>
      <w:spacing w:before="100" w:beforeAutospacing="1" w:after="100" w:afterAutospacing="1"/>
      <w:jc w:val="left"/>
      <w:outlineLvl w:val="0"/>
    </w:pPr>
    <w:rPr>
      <w:b/>
      <w:bCs/>
      <w:kern w:val="36"/>
      <w:sz w:val="48"/>
      <w:szCs w:val="4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Bullet 1"/>
    <w:basedOn w:val="Normal"/>
    <w:link w:val="ListParagraphChar"/>
    <w:uiPriority w:val="34"/>
    <w:qFormat/>
    <w:rsid w:val="00AC2253"/>
    <w:pPr>
      <w:ind w:left="720"/>
      <w:contextualSpacing/>
    </w:p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link w:val="ListParagraph"/>
    <w:uiPriority w:val="34"/>
    <w:locked/>
    <w:rsid w:val="00AC2253"/>
    <w:rPr>
      <w:rFonts w:ascii="Times New Roman" w:eastAsia="Times New Roman" w:hAnsi="Times New Roman" w:cs="Times New Roman"/>
      <w:sz w:val="24"/>
      <w:szCs w:val="20"/>
      <w:lang w:eastAsia="en-GB"/>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01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28"/>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97536D"/>
    <w:rPr>
      <w:b/>
      <w:bCs/>
    </w:rPr>
  </w:style>
  <w:style w:type="character" w:customStyle="1" w:styleId="CommentSubjectChar">
    <w:name w:val="Comment Subject Char"/>
    <w:basedOn w:val="CommentTextChar"/>
    <w:link w:val="CommentSubject"/>
    <w:uiPriority w:val="99"/>
    <w:semiHidden/>
    <w:rsid w:val="0097536D"/>
    <w:rPr>
      <w:rFonts w:ascii="Times New Roman" w:eastAsia="Times New Roman" w:hAnsi="Times New Roman" w:cs="Times New Roman"/>
      <w:b/>
      <w:bCs/>
      <w:sz w:val="20"/>
      <w:szCs w:val="20"/>
      <w:lang w:eastAsia="en-GB"/>
    </w:rPr>
  </w:style>
  <w:style w:type="paragraph" w:customStyle="1" w:styleId="Default">
    <w:name w:val="Default"/>
    <w:rsid w:val="000436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114F8"/>
    <w:pPr>
      <w:tabs>
        <w:tab w:val="center" w:pos="4513"/>
        <w:tab w:val="right" w:pos="9026"/>
      </w:tabs>
      <w:spacing w:after="0"/>
    </w:pPr>
  </w:style>
  <w:style w:type="character" w:customStyle="1" w:styleId="HeaderChar">
    <w:name w:val="Header Char"/>
    <w:basedOn w:val="DefaultParagraphFont"/>
    <w:link w:val="Header"/>
    <w:uiPriority w:val="99"/>
    <w:rsid w:val="00C114F8"/>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C114F8"/>
    <w:pPr>
      <w:tabs>
        <w:tab w:val="center" w:pos="4513"/>
        <w:tab w:val="right" w:pos="9026"/>
      </w:tabs>
      <w:spacing w:after="0"/>
    </w:pPr>
  </w:style>
  <w:style w:type="character" w:customStyle="1" w:styleId="FooterChar">
    <w:name w:val="Footer Char"/>
    <w:basedOn w:val="DefaultParagraphFont"/>
    <w:link w:val="Footer"/>
    <w:uiPriority w:val="99"/>
    <w:rsid w:val="00C114F8"/>
    <w:rPr>
      <w:rFonts w:ascii="Times New Roman" w:eastAsia="Times New Roman" w:hAnsi="Times New Roman" w:cs="Times New Roman"/>
      <w:sz w:val="24"/>
      <w:szCs w:val="20"/>
      <w:lang w:eastAsia="en-GB"/>
    </w:rPr>
  </w:style>
  <w:style w:type="table" w:styleId="TableGrid">
    <w:name w:val="Table Grid"/>
    <w:basedOn w:val="TableNormal"/>
    <w:uiPriority w:val="39"/>
    <w:rsid w:val="00D4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Char Char Car,Fußnotentextf,Note de bas de page Car Car Car Car Car Car Car Car Car Car,Note de bas de page Car Car Car Car,Note de bas de page Car Car Car Car Car Car Car Car Car,ft,o,fn, Char Char Car,Footnote Text Char1"/>
    <w:basedOn w:val="Normal"/>
    <w:link w:val="FootnoteTextChar"/>
    <w:uiPriority w:val="99"/>
    <w:unhideWhenUsed/>
    <w:qFormat/>
    <w:rsid w:val="006A4A2F"/>
    <w:pPr>
      <w:keepLines/>
      <w:spacing w:after="0"/>
    </w:pPr>
    <w:rPr>
      <w:sz w:val="20"/>
    </w:rPr>
  </w:style>
  <w:style w:type="character" w:customStyle="1" w:styleId="FootnoteTextChar">
    <w:name w:val="Footnote Text Char"/>
    <w:aliases w:val="Fußnote Char,Char Char Car Char,Fußnotentextf Char,Note de bas de page Car Car Car Car Car Car Car Car Car Car Char,Note de bas de page Car Car Car Car Char,Note de bas de page Car Car Car Car Car Car Car Car Car Char,ft Char,o Char"/>
    <w:basedOn w:val="DefaultParagraphFont"/>
    <w:link w:val="FootnoteText"/>
    <w:uiPriority w:val="99"/>
    <w:qFormat/>
    <w:rsid w:val="006A4A2F"/>
    <w:rPr>
      <w:rFonts w:ascii="Times New Roman" w:eastAsia="Times New Roman" w:hAnsi="Times New Roman" w:cs="Times New Roman"/>
      <w:sz w:val="20"/>
      <w:szCs w:val="20"/>
      <w:lang w:eastAsia="en-GB"/>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link w:val="BVIfnrCarCarCarCarCharCharCharCharCar"/>
    <w:uiPriority w:val="99"/>
    <w:unhideWhenUsed/>
    <w:qFormat/>
    <w:rsid w:val="00D40377"/>
    <w:rPr>
      <w:vertAlign w:val="superscript"/>
    </w:rPr>
  </w:style>
  <w:style w:type="paragraph" w:styleId="NoSpacing">
    <w:name w:val="No Spacing"/>
    <w:uiPriority w:val="1"/>
    <w:qFormat/>
    <w:rsid w:val="003E2D04"/>
    <w:pPr>
      <w:spacing w:after="0" w:line="240" w:lineRule="auto"/>
      <w:jc w:val="both"/>
    </w:pPr>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0E5C82"/>
    <w:rPr>
      <w:color w:val="0000FF"/>
      <w:u w:val="single"/>
    </w:rPr>
  </w:style>
  <w:style w:type="paragraph" w:styleId="NormalWeb">
    <w:name w:val="Normal (Web)"/>
    <w:basedOn w:val="Normal"/>
    <w:uiPriority w:val="99"/>
    <w:semiHidden/>
    <w:unhideWhenUsed/>
    <w:rsid w:val="0046701C"/>
    <w:rPr>
      <w:szCs w:val="24"/>
    </w:rPr>
  </w:style>
  <w:style w:type="paragraph" w:styleId="Revision">
    <w:name w:val="Revision"/>
    <w:hidden/>
    <w:uiPriority w:val="99"/>
    <w:semiHidden/>
    <w:rsid w:val="00064384"/>
    <w:pPr>
      <w:spacing w:after="0" w:line="240" w:lineRule="auto"/>
    </w:pPr>
    <w:rPr>
      <w:rFonts w:ascii="Times New Roman" w:eastAsia="Times New Roman" w:hAnsi="Times New Roman" w:cs="Times New Roman"/>
      <w:sz w:val="24"/>
      <w:szCs w:val="20"/>
      <w:lang w:eastAsia="en-GB"/>
    </w:rPr>
  </w:style>
  <w:style w:type="character" w:customStyle="1" w:styleId="Heading1Char">
    <w:name w:val="Heading 1 Char"/>
    <w:basedOn w:val="DefaultParagraphFont"/>
    <w:link w:val="Heading1"/>
    <w:uiPriority w:val="9"/>
    <w:rsid w:val="007C3A4C"/>
    <w:rPr>
      <w:rFonts w:ascii="Times New Roman" w:eastAsia="Times New Roman" w:hAnsi="Times New Roman" w:cs="Times New Roman"/>
      <w:b/>
      <w:bCs/>
      <w:kern w:val="36"/>
      <w:sz w:val="48"/>
      <w:szCs w:val="48"/>
      <w:lang w:val="pl-PL"/>
    </w:rPr>
  </w:style>
  <w:style w:type="character" w:customStyle="1" w:styleId="Marker">
    <w:name w:val="Marker"/>
    <w:basedOn w:val="DefaultParagraphFont"/>
    <w:rsid w:val="005C50E6"/>
    <w:rPr>
      <w:color w:val="0000FF"/>
      <w:shd w:val="clear" w:color="auto" w:fill="auto"/>
    </w:rPr>
  </w:style>
  <w:style w:type="paragraph" w:customStyle="1" w:styleId="Pagedecouverture">
    <w:name w:val="Page de couverture"/>
    <w:basedOn w:val="Normal"/>
    <w:next w:val="Normal"/>
    <w:rsid w:val="005C50E6"/>
    <w:pPr>
      <w:spacing w:after="0"/>
    </w:pPr>
    <w:rPr>
      <w:rFonts w:eastAsiaTheme="minorHAnsi"/>
      <w:szCs w:val="22"/>
      <w:lang w:eastAsia="en-US"/>
    </w:rPr>
  </w:style>
  <w:style w:type="paragraph" w:customStyle="1" w:styleId="FooterCoverPage">
    <w:name w:val="Footer Cover Page"/>
    <w:basedOn w:val="Normal"/>
    <w:link w:val="FooterCoverPageChar"/>
    <w:rsid w:val="005C50E6"/>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5C50E6"/>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rsid w:val="005C50E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5C50E6"/>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rsid w:val="005C50E6"/>
    <w:pPr>
      <w:tabs>
        <w:tab w:val="center" w:pos="4535"/>
        <w:tab w:val="right" w:pos="9071"/>
      </w:tabs>
      <w:spacing w:after="120"/>
    </w:pPr>
  </w:style>
  <w:style w:type="character" w:customStyle="1" w:styleId="HeaderCoverPageChar">
    <w:name w:val="Header Cover Page Char"/>
    <w:basedOn w:val="DefaultParagraphFont"/>
    <w:link w:val="HeaderCoverPage"/>
    <w:rsid w:val="005C50E6"/>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rsid w:val="005C50E6"/>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5C50E6"/>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1D33F1"/>
    <w:pPr>
      <w:spacing w:after="120"/>
      <w:jc w:val="right"/>
    </w:pPr>
    <w:rPr>
      <w:sz w:val="28"/>
    </w:rPr>
  </w:style>
  <w:style w:type="character" w:customStyle="1" w:styleId="HeaderSensitivityRightChar">
    <w:name w:val="Header Sensitivity Right Char"/>
    <w:basedOn w:val="DefaultParagraphFont"/>
    <w:link w:val="HeaderSensitivityRight"/>
    <w:rsid w:val="005C50E6"/>
    <w:rPr>
      <w:rFonts w:ascii="Times New Roman" w:eastAsia="Times New Roman" w:hAnsi="Times New Roman" w:cs="Times New Roman"/>
      <w:sz w:val="28"/>
      <w:szCs w:val="20"/>
      <w:lang w:eastAsia="en-GB"/>
    </w:rPr>
  </w:style>
  <w:style w:type="paragraph" w:customStyle="1" w:styleId="Disclaimer">
    <w:name w:val="Disclaimer"/>
    <w:basedOn w:val="Normal"/>
    <w:rsid w:val="001D33F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rsid w:val="001D33F1"/>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1D33F1"/>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1D33F1"/>
    <w:pPr>
      <w:spacing w:after="0" w:line="276" w:lineRule="auto"/>
      <w:ind w:left="5103"/>
      <w:jc w:val="left"/>
    </w:pPr>
    <w:rPr>
      <w:rFonts w:eastAsiaTheme="minorHAnsi"/>
      <w:i/>
      <w:sz w:val="28"/>
      <w:szCs w:val="22"/>
      <w:lang w:eastAsia="en-US"/>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rsid w:val="009D03DF"/>
    <w:pPr>
      <w:spacing w:after="160" w:line="240" w:lineRule="exact"/>
      <w:jc w:val="lef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911">
      <w:bodyDiv w:val="1"/>
      <w:marLeft w:val="0"/>
      <w:marRight w:val="0"/>
      <w:marTop w:val="0"/>
      <w:marBottom w:val="0"/>
      <w:divBdr>
        <w:top w:val="none" w:sz="0" w:space="0" w:color="auto"/>
        <w:left w:val="none" w:sz="0" w:space="0" w:color="auto"/>
        <w:bottom w:val="none" w:sz="0" w:space="0" w:color="auto"/>
        <w:right w:val="none" w:sz="0" w:space="0" w:color="auto"/>
      </w:divBdr>
    </w:div>
    <w:div w:id="24406812">
      <w:bodyDiv w:val="1"/>
      <w:marLeft w:val="0"/>
      <w:marRight w:val="0"/>
      <w:marTop w:val="0"/>
      <w:marBottom w:val="0"/>
      <w:divBdr>
        <w:top w:val="none" w:sz="0" w:space="0" w:color="auto"/>
        <w:left w:val="none" w:sz="0" w:space="0" w:color="auto"/>
        <w:bottom w:val="none" w:sz="0" w:space="0" w:color="auto"/>
        <w:right w:val="none" w:sz="0" w:space="0" w:color="auto"/>
      </w:divBdr>
    </w:div>
    <w:div w:id="72745533">
      <w:bodyDiv w:val="1"/>
      <w:marLeft w:val="0"/>
      <w:marRight w:val="0"/>
      <w:marTop w:val="0"/>
      <w:marBottom w:val="0"/>
      <w:divBdr>
        <w:top w:val="none" w:sz="0" w:space="0" w:color="auto"/>
        <w:left w:val="none" w:sz="0" w:space="0" w:color="auto"/>
        <w:bottom w:val="none" w:sz="0" w:space="0" w:color="auto"/>
        <w:right w:val="none" w:sz="0" w:space="0" w:color="auto"/>
      </w:divBdr>
    </w:div>
    <w:div w:id="78989577">
      <w:bodyDiv w:val="1"/>
      <w:marLeft w:val="0"/>
      <w:marRight w:val="0"/>
      <w:marTop w:val="0"/>
      <w:marBottom w:val="0"/>
      <w:divBdr>
        <w:top w:val="none" w:sz="0" w:space="0" w:color="auto"/>
        <w:left w:val="none" w:sz="0" w:space="0" w:color="auto"/>
        <w:bottom w:val="none" w:sz="0" w:space="0" w:color="auto"/>
        <w:right w:val="none" w:sz="0" w:space="0" w:color="auto"/>
      </w:divBdr>
    </w:div>
    <w:div w:id="214853407">
      <w:bodyDiv w:val="1"/>
      <w:marLeft w:val="0"/>
      <w:marRight w:val="0"/>
      <w:marTop w:val="0"/>
      <w:marBottom w:val="0"/>
      <w:divBdr>
        <w:top w:val="none" w:sz="0" w:space="0" w:color="auto"/>
        <w:left w:val="none" w:sz="0" w:space="0" w:color="auto"/>
        <w:bottom w:val="none" w:sz="0" w:space="0" w:color="auto"/>
        <w:right w:val="none" w:sz="0" w:space="0" w:color="auto"/>
      </w:divBdr>
    </w:div>
    <w:div w:id="256720593">
      <w:bodyDiv w:val="1"/>
      <w:marLeft w:val="0"/>
      <w:marRight w:val="0"/>
      <w:marTop w:val="0"/>
      <w:marBottom w:val="0"/>
      <w:divBdr>
        <w:top w:val="none" w:sz="0" w:space="0" w:color="auto"/>
        <w:left w:val="none" w:sz="0" w:space="0" w:color="auto"/>
        <w:bottom w:val="none" w:sz="0" w:space="0" w:color="auto"/>
        <w:right w:val="none" w:sz="0" w:space="0" w:color="auto"/>
      </w:divBdr>
    </w:div>
    <w:div w:id="297301464">
      <w:bodyDiv w:val="1"/>
      <w:marLeft w:val="0"/>
      <w:marRight w:val="0"/>
      <w:marTop w:val="0"/>
      <w:marBottom w:val="0"/>
      <w:divBdr>
        <w:top w:val="none" w:sz="0" w:space="0" w:color="auto"/>
        <w:left w:val="none" w:sz="0" w:space="0" w:color="auto"/>
        <w:bottom w:val="none" w:sz="0" w:space="0" w:color="auto"/>
        <w:right w:val="none" w:sz="0" w:space="0" w:color="auto"/>
      </w:divBdr>
    </w:div>
    <w:div w:id="301009313">
      <w:bodyDiv w:val="1"/>
      <w:marLeft w:val="0"/>
      <w:marRight w:val="0"/>
      <w:marTop w:val="0"/>
      <w:marBottom w:val="0"/>
      <w:divBdr>
        <w:top w:val="none" w:sz="0" w:space="0" w:color="auto"/>
        <w:left w:val="none" w:sz="0" w:space="0" w:color="auto"/>
        <w:bottom w:val="none" w:sz="0" w:space="0" w:color="auto"/>
        <w:right w:val="none" w:sz="0" w:space="0" w:color="auto"/>
      </w:divBdr>
    </w:div>
    <w:div w:id="371542111">
      <w:bodyDiv w:val="1"/>
      <w:marLeft w:val="0"/>
      <w:marRight w:val="0"/>
      <w:marTop w:val="0"/>
      <w:marBottom w:val="0"/>
      <w:divBdr>
        <w:top w:val="none" w:sz="0" w:space="0" w:color="auto"/>
        <w:left w:val="none" w:sz="0" w:space="0" w:color="auto"/>
        <w:bottom w:val="none" w:sz="0" w:space="0" w:color="auto"/>
        <w:right w:val="none" w:sz="0" w:space="0" w:color="auto"/>
      </w:divBdr>
    </w:div>
    <w:div w:id="380597088">
      <w:bodyDiv w:val="1"/>
      <w:marLeft w:val="0"/>
      <w:marRight w:val="0"/>
      <w:marTop w:val="0"/>
      <w:marBottom w:val="0"/>
      <w:divBdr>
        <w:top w:val="none" w:sz="0" w:space="0" w:color="auto"/>
        <w:left w:val="none" w:sz="0" w:space="0" w:color="auto"/>
        <w:bottom w:val="none" w:sz="0" w:space="0" w:color="auto"/>
        <w:right w:val="none" w:sz="0" w:space="0" w:color="auto"/>
      </w:divBdr>
    </w:div>
    <w:div w:id="403575504">
      <w:bodyDiv w:val="1"/>
      <w:marLeft w:val="0"/>
      <w:marRight w:val="0"/>
      <w:marTop w:val="0"/>
      <w:marBottom w:val="0"/>
      <w:divBdr>
        <w:top w:val="none" w:sz="0" w:space="0" w:color="auto"/>
        <w:left w:val="none" w:sz="0" w:space="0" w:color="auto"/>
        <w:bottom w:val="none" w:sz="0" w:space="0" w:color="auto"/>
        <w:right w:val="none" w:sz="0" w:space="0" w:color="auto"/>
      </w:divBdr>
    </w:div>
    <w:div w:id="412557391">
      <w:bodyDiv w:val="1"/>
      <w:marLeft w:val="0"/>
      <w:marRight w:val="0"/>
      <w:marTop w:val="0"/>
      <w:marBottom w:val="0"/>
      <w:divBdr>
        <w:top w:val="none" w:sz="0" w:space="0" w:color="auto"/>
        <w:left w:val="none" w:sz="0" w:space="0" w:color="auto"/>
        <w:bottom w:val="none" w:sz="0" w:space="0" w:color="auto"/>
        <w:right w:val="none" w:sz="0" w:space="0" w:color="auto"/>
      </w:divBdr>
    </w:div>
    <w:div w:id="496923058">
      <w:bodyDiv w:val="1"/>
      <w:marLeft w:val="0"/>
      <w:marRight w:val="0"/>
      <w:marTop w:val="0"/>
      <w:marBottom w:val="0"/>
      <w:divBdr>
        <w:top w:val="none" w:sz="0" w:space="0" w:color="auto"/>
        <w:left w:val="none" w:sz="0" w:space="0" w:color="auto"/>
        <w:bottom w:val="none" w:sz="0" w:space="0" w:color="auto"/>
        <w:right w:val="none" w:sz="0" w:space="0" w:color="auto"/>
      </w:divBdr>
    </w:div>
    <w:div w:id="548225004">
      <w:bodyDiv w:val="1"/>
      <w:marLeft w:val="0"/>
      <w:marRight w:val="0"/>
      <w:marTop w:val="0"/>
      <w:marBottom w:val="0"/>
      <w:divBdr>
        <w:top w:val="none" w:sz="0" w:space="0" w:color="auto"/>
        <w:left w:val="none" w:sz="0" w:space="0" w:color="auto"/>
        <w:bottom w:val="none" w:sz="0" w:space="0" w:color="auto"/>
        <w:right w:val="none" w:sz="0" w:space="0" w:color="auto"/>
      </w:divBdr>
    </w:div>
    <w:div w:id="577247936">
      <w:bodyDiv w:val="1"/>
      <w:marLeft w:val="0"/>
      <w:marRight w:val="0"/>
      <w:marTop w:val="0"/>
      <w:marBottom w:val="0"/>
      <w:divBdr>
        <w:top w:val="none" w:sz="0" w:space="0" w:color="auto"/>
        <w:left w:val="none" w:sz="0" w:space="0" w:color="auto"/>
        <w:bottom w:val="none" w:sz="0" w:space="0" w:color="auto"/>
        <w:right w:val="none" w:sz="0" w:space="0" w:color="auto"/>
      </w:divBdr>
    </w:div>
    <w:div w:id="606541505">
      <w:bodyDiv w:val="1"/>
      <w:marLeft w:val="0"/>
      <w:marRight w:val="0"/>
      <w:marTop w:val="0"/>
      <w:marBottom w:val="0"/>
      <w:divBdr>
        <w:top w:val="none" w:sz="0" w:space="0" w:color="auto"/>
        <w:left w:val="none" w:sz="0" w:space="0" w:color="auto"/>
        <w:bottom w:val="none" w:sz="0" w:space="0" w:color="auto"/>
        <w:right w:val="none" w:sz="0" w:space="0" w:color="auto"/>
      </w:divBdr>
    </w:div>
    <w:div w:id="669068382">
      <w:bodyDiv w:val="1"/>
      <w:marLeft w:val="0"/>
      <w:marRight w:val="0"/>
      <w:marTop w:val="0"/>
      <w:marBottom w:val="0"/>
      <w:divBdr>
        <w:top w:val="none" w:sz="0" w:space="0" w:color="auto"/>
        <w:left w:val="none" w:sz="0" w:space="0" w:color="auto"/>
        <w:bottom w:val="none" w:sz="0" w:space="0" w:color="auto"/>
        <w:right w:val="none" w:sz="0" w:space="0" w:color="auto"/>
      </w:divBdr>
    </w:div>
    <w:div w:id="918055778">
      <w:bodyDiv w:val="1"/>
      <w:marLeft w:val="0"/>
      <w:marRight w:val="0"/>
      <w:marTop w:val="0"/>
      <w:marBottom w:val="0"/>
      <w:divBdr>
        <w:top w:val="none" w:sz="0" w:space="0" w:color="auto"/>
        <w:left w:val="none" w:sz="0" w:space="0" w:color="auto"/>
        <w:bottom w:val="none" w:sz="0" w:space="0" w:color="auto"/>
        <w:right w:val="none" w:sz="0" w:space="0" w:color="auto"/>
      </w:divBdr>
    </w:div>
    <w:div w:id="996495138">
      <w:bodyDiv w:val="1"/>
      <w:marLeft w:val="0"/>
      <w:marRight w:val="0"/>
      <w:marTop w:val="0"/>
      <w:marBottom w:val="0"/>
      <w:divBdr>
        <w:top w:val="none" w:sz="0" w:space="0" w:color="auto"/>
        <w:left w:val="none" w:sz="0" w:space="0" w:color="auto"/>
        <w:bottom w:val="none" w:sz="0" w:space="0" w:color="auto"/>
        <w:right w:val="none" w:sz="0" w:space="0" w:color="auto"/>
      </w:divBdr>
    </w:div>
    <w:div w:id="1017925641">
      <w:bodyDiv w:val="1"/>
      <w:marLeft w:val="0"/>
      <w:marRight w:val="0"/>
      <w:marTop w:val="0"/>
      <w:marBottom w:val="0"/>
      <w:divBdr>
        <w:top w:val="none" w:sz="0" w:space="0" w:color="auto"/>
        <w:left w:val="none" w:sz="0" w:space="0" w:color="auto"/>
        <w:bottom w:val="none" w:sz="0" w:space="0" w:color="auto"/>
        <w:right w:val="none" w:sz="0" w:space="0" w:color="auto"/>
      </w:divBdr>
    </w:div>
    <w:div w:id="1029525242">
      <w:bodyDiv w:val="1"/>
      <w:marLeft w:val="0"/>
      <w:marRight w:val="0"/>
      <w:marTop w:val="0"/>
      <w:marBottom w:val="0"/>
      <w:divBdr>
        <w:top w:val="none" w:sz="0" w:space="0" w:color="auto"/>
        <w:left w:val="none" w:sz="0" w:space="0" w:color="auto"/>
        <w:bottom w:val="none" w:sz="0" w:space="0" w:color="auto"/>
        <w:right w:val="none" w:sz="0" w:space="0" w:color="auto"/>
      </w:divBdr>
    </w:div>
    <w:div w:id="1070615456">
      <w:bodyDiv w:val="1"/>
      <w:marLeft w:val="0"/>
      <w:marRight w:val="0"/>
      <w:marTop w:val="0"/>
      <w:marBottom w:val="0"/>
      <w:divBdr>
        <w:top w:val="none" w:sz="0" w:space="0" w:color="auto"/>
        <w:left w:val="none" w:sz="0" w:space="0" w:color="auto"/>
        <w:bottom w:val="none" w:sz="0" w:space="0" w:color="auto"/>
        <w:right w:val="none" w:sz="0" w:space="0" w:color="auto"/>
      </w:divBdr>
    </w:div>
    <w:div w:id="1154952362">
      <w:bodyDiv w:val="1"/>
      <w:marLeft w:val="0"/>
      <w:marRight w:val="0"/>
      <w:marTop w:val="0"/>
      <w:marBottom w:val="0"/>
      <w:divBdr>
        <w:top w:val="none" w:sz="0" w:space="0" w:color="auto"/>
        <w:left w:val="none" w:sz="0" w:space="0" w:color="auto"/>
        <w:bottom w:val="none" w:sz="0" w:space="0" w:color="auto"/>
        <w:right w:val="none" w:sz="0" w:space="0" w:color="auto"/>
      </w:divBdr>
    </w:div>
    <w:div w:id="1157234902">
      <w:bodyDiv w:val="1"/>
      <w:marLeft w:val="0"/>
      <w:marRight w:val="0"/>
      <w:marTop w:val="0"/>
      <w:marBottom w:val="0"/>
      <w:divBdr>
        <w:top w:val="none" w:sz="0" w:space="0" w:color="auto"/>
        <w:left w:val="none" w:sz="0" w:space="0" w:color="auto"/>
        <w:bottom w:val="none" w:sz="0" w:space="0" w:color="auto"/>
        <w:right w:val="none" w:sz="0" w:space="0" w:color="auto"/>
      </w:divBdr>
    </w:div>
    <w:div w:id="1185559234">
      <w:bodyDiv w:val="1"/>
      <w:marLeft w:val="0"/>
      <w:marRight w:val="0"/>
      <w:marTop w:val="0"/>
      <w:marBottom w:val="0"/>
      <w:divBdr>
        <w:top w:val="none" w:sz="0" w:space="0" w:color="auto"/>
        <w:left w:val="none" w:sz="0" w:space="0" w:color="auto"/>
        <w:bottom w:val="none" w:sz="0" w:space="0" w:color="auto"/>
        <w:right w:val="none" w:sz="0" w:space="0" w:color="auto"/>
      </w:divBdr>
    </w:div>
    <w:div w:id="1195268159">
      <w:bodyDiv w:val="1"/>
      <w:marLeft w:val="0"/>
      <w:marRight w:val="0"/>
      <w:marTop w:val="0"/>
      <w:marBottom w:val="0"/>
      <w:divBdr>
        <w:top w:val="none" w:sz="0" w:space="0" w:color="auto"/>
        <w:left w:val="none" w:sz="0" w:space="0" w:color="auto"/>
        <w:bottom w:val="none" w:sz="0" w:space="0" w:color="auto"/>
        <w:right w:val="none" w:sz="0" w:space="0" w:color="auto"/>
      </w:divBdr>
    </w:div>
    <w:div w:id="1226841296">
      <w:bodyDiv w:val="1"/>
      <w:marLeft w:val="0"/>
      <w:marRight w:val="0"/>
      <w:marTop w:val="0"/>
      <w:marBottom w:val="0"/>
      <w:divBdr>
        <w:top w:val="none" w:sz="0" w:space="0" w:color="auto"/>
        <w:left w:val="none" w:sz="0" w:space="0" w:color="auto"/>
        <w:bottom w:val="none" w:sz="0" w:space="0" w:color="auto"/>
        <w:right w:val="none" w:sz="0" w:space="0" w:color="auto"/>
      </w:divBdr>
    </w:div>
    <w:div w:id="1319068621">
      <w:bodyDiv w:val="1"/>
      <w:marLeft w:val="0"/>
      <w:marRight w:val="0"/>
      <w:marTop w:val="0"/>
      <w:marBottom w:val="0"/>
      <w:divBdr>
        <w:top w:val="none" w:sz="0" w:space="0" w:color="auto"/>
        <w:left w:val="none" w:sz="0" w:space="0" w:color="auto"/>
        <w:bottom w:val="none" w:sz="0" w:space="0" w:color="auto"/>
        <w:right w:val="none" w:sz="0" w:space="0" w:color="auto"/>
      </w:divBdr>
    </w:div>
    <w:div w:id="1340111486">
      <w:bodyDiv w:val="1"/>
      <w:marLeft w:val="0"/>
      <w:marRight w:val="0"/>
      <w:marTop w:val="0"/>
      <w:marBottom w:val="0"/>
      <w:divBdr>
        <w:top w:val="none" w:sz="0" w:space="0" w:color="auto"/>
        <w:left w:val="none" w:sz="0" w:space="0" w:color="auto"/>
        <w:bottom w:val="none" w:sz="0" w:space="0" w:color="auto"/>
        <w:right w:val="none" w:sz="0" w:space="0" w:color="auto"/>
      </w:divBdr>
    </w:div>
    <w:div w:id="1345746519">
      <w:bodyDiv w:val="1"/>
      <w:marLeft w:val="0"/>
      <w:marRight w:val="0"/>
      <w:marTop w:val="0"/>
      <w:marBottom w:val="0"/>
      <w:divBdr>
        <w:top w:val="none" w:sz="0" w:space="0" w:color="auto"/>
        <w:left w:val="none" w:sz="0" w:space="0" w:color="auto"/>
        <w:bottom w:val="none" w:sz="0" w:space="0" w:color="auto"/>
        <w:right w:val="none" w:sz="0" w:space="0" w:color="auto"/>
      </w:divBdr>
    </w:div>
    <w:div w:id="1446802367">
      <w:bodyDiv w:val="1"/>
      <w:marLeft w:val="0"/>
      <w:marRight w:val="0"/>
      <w:marTop w:val="0"/>
      <w:marBottom w:val="0"/>
      <w:divBdr>
        <w:top w:val="none" w:sz="0" w:space="0" w:color="auto"/>
        <w:left w:val="none" w:sz="0" w:space="0" w:color="auto"/>
        <w:bottom w:val="none" w:sz="0" w:space="0" w:color="auto"/>
        <w:right w:val="none" w:sz="0" w:space="0" w:color="auto"/>
      </w:divBdr>
    </w:div>
    <w:div w:id="155427111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84071377">
      <w:bodyDiv w:val="1"/>
      <w:marLeft w:val="0"/>
      <w:marRight w:val="0"/>
      <w:marTop w:val="0"/>
      <w:marBottom w:val="0"/>
      <w:divBdr>
        <w:top w:val="none" w:sz="0" w:space="0" w:color="auto"/>
        <w:left w:val="none" w:sz="0" w:space="0" w:color="auto"/>
        <w:bottom w:val="none" w:sz="0" w:space="0" w:color="auto"/>
        <w:right w:val="none" w:sz="0" w:space="0" w:color="auto"/>
      </w:divBdr>
    </w:div>
    <w:div w:id="1597209026">
      <w:bodyDiv w:val="1"/>
      <w:marLeft w:val="0"/>
      <w:marRight w:val="0"/>
      <w:marTop w:val="0"/>
      <w:marBottom w:val="0"/>
      <w:divBdr>
        <w:top w:val="none" w:sz="0" w:space="0" w:color="auto"/>
        <w:left w:val="none" w:sz="0" w:space="0" w:color="auto"/>
        <w:bottom w:val="none" w:sz="0" w:space="0" w:color="auto"/>
        <w:right w:val="none" w:sz="0" w:space="0" w:color="auto"/>
      </w:divBdr>
    </w:div>
    <w:div w:id="1615743160">
      <w:bodyDiv w:val="1"/>
      <w:marLeft w:val="0"/>
      <w:marRight w:val="0"/>
      <w:marTop w:val="0"/>
      <w:marBottom w:val="0"/>
      <w:divBdr>
        <w:top w:val="none" w:sz="0" w:space="0" w:color="auto"/>
        <w:left w:val="none" w:sz="0" w:space="0" w:color="auto"/>
        <w:bottom w:val="none" w:sz="0" w:space="0" w:color="auto"/>
        <w:right w:val="none" w:sz="0" w:space="0" w:color="auto"/>
      </w:divBdr>
    </w:div>
    <w:div w:id="1619139388">
      <w:bodyDiv w:val="1"/>
      <w:marLeft w:val="0"/>
      <w:marRight w:val="0"/>
      <w:marTop w:val="0"/>
      <w:marBottom w:val="0"/>
      <w:divBdr>
        <w:top w:val="none" w:sz="0" w:space="0" w:color="auto"/>
        <w:left w:val="none" w:sz="0" w:space="0" w:color="auto"/>
        <w:bottom w:val="none" w:sz="0" w:space="0" w:color="auto"/>
        <w:right w:val="none" w:sz="0" w:space="0" w:color="auto"/>
      </w:divBdr>
    </w:div>
    <w:div w:id="1628006409">
      <w:bodyDiv w:val="1"/>
      <w:marLeft w:val="0"/>
      <w:marRight w:val="0"/>
      <w:marTop w:val="0"/>
      <w:marBottom w:val="0"/>
      <w:divBdr>
        <w:top w:val="none" w:sz="0" w:space="0" w:color="auto"/>
        <w:left w:val="none" w:sz="0" w:space="0" w:color="auto"/>
        <w:bottom w:val="none" w:sz="0" w:space="0" w:color="auto"/>
        <w:right w:val="none" w:sz="0" w:space="0" w:color="auto"/>
      </w:divBdr>
    </w:div>
    <w:div w:id="1706102877">
      <w:bodyDiv w:val="1"/>
      <w:marLeft w:val="0"/>
      <w:marRight w:val="0"/>
      <w:marTop w:val="0"/>
      <w:marBottom w:val="0"/>
      <w:divBdr>
        <w:top w:val="none" w:sz="0" w:space="0" w:color="auto"/>
        <w:left w:val="none" w:sz="0" w:space="0" w:color="auto"/>
        <w:bottom w:val="none" w:sz="0" w:space="0" w:color="auto"/>
        <w:right w:val="none" w:sz="0" w:space="0" w:color="auto"/>
      </w:divBdr>
    </w:div>
    <w:div w:id="1812089352">
      <w:bodyDiv w:val="1"/>
      <w:marLeft w:val="0"/>
      <w:marRight w:val="0"/>
      <w:marTop w:val="0"/>
      <w:marBottom w:val="0"/>
      <w:divBdr>
        <w:top w:val="none" w:sz="0" w:space="0" w:color="auto"/>
        <w:left w:val="none" w:sz="0" w:space="0" w:color="auto"/>
        <w:bottom w:val="none" w:sz="0" w:space="0" w:color="auto"/>
        <w:right w:val="none" w:sz="0" w:space="0" w:color="auto"/>
      </w:divBdr>
    </w:div>
    <w:div w:id="1814059261">
      <w:bodyDiv w:val="1"/>
      <w:marLeft w:val="0"/>
      <w:marRight w:val="0"/>
      <w:marTop w:val="0"/>
      <w:marBottom w:val="0"/>
      <w:divBdr>
        <w:top w:val="none" w:sz="0" w:space="0" w:color="auto"/>
        <w:left w:val="none" w:sz="0" w:space="0" w:color="auto"/>
        <w:bottom w:val="none" w:sz="0" w:space="0" w:color="auto"/>
        <w:right w:val="none" w:sz="0" w:space="0" w:color="auto"/>
      </w:divBdr>
    </w:div>
    <w:div w:id="1879970824">
      <w:bodyDiv w:val="1"/>
      <w:marLeft w:val="0"/>
      <w:marRight w:val="0"/>
      <w:marTop w:val="0"/>
      <w:marBottom w:val="0"/>
      <w:divBdr>
        <w:top w:val="none" w:sz="0" w:space="0" w:color="auto"/>
        <w:left w:val="none" w:sz="0" w:space="0" w:color="auto"/>
        <w:bottom w:val="none" w:sz="0" w:space="0" w:color="auto"/>
        <w:right w:val="none" w:sz="0" w:space="0" w:color="auto"/>
      </w:divBdr>
    </w:div>
    <w:div w:id="1939170981">
      <w:bodyDiv w:val="1"/>
      <w:marLeft w:val="0"/>
      <w:marRight w:val="0"/>
      <w:marTop w:val="0"/>
      <w:marBottom w:val="0"/>
      <w:divBdr>
        <w:top w:val="none" w:sz="0" w:space="0" w:color="auto"/>
        <w:left w:val="none" w:sz="0" w:space="0" w:color="auto"/>
        <w:bottom w:val="none" w:sz="0" w:space="0" w:color="auto"/>
        <w:right w:val="none" w:sz="0" w:space="0" w:color="auto"/>
      </w:divBdr>
    </w:div>
    <w:div w:id="1989048156">
      <w:bodyDiv w:val="1"/>
      <w:marLeft w:val="0"/>
      <w:marRight w:val="0"/>
      <w:marTop w:val="0"/>
      <w:marBottom w:val="0"/>
      <w:divBdr>
        <w:top w:val="none" w:sz="0" w:space="0" w:color="auto"/>
        <w:left w:val="none" w:sz="0" w:space="0" w:color="auto"/>
        <w:bottom w:val="none" w:sz="0" w:space="0" w:color="auto"/>
        <w:right w:val="none" w:sz="0" w:space="0" w:color="auto"/>
      </w:divBdr>
    </w:div>
    <w:div w:id="2037731021">
      <w:bodyDiv w:val="1"/>
      <w:marLeft w:val="0"/>
      <w:marRight w:val="0"/>
      <w:marTop w:val="0"/>
      <w:marBottom w:val="0"/>
      <w:divBdr>
        <w:top w:val="none" w:sz="0" w:space="0" w:color="auto"/>
        <w:left w:val="none" w:sz="0" w:space="0" w:color="auto"/>
        <w:bottom w:val="none" w:sz="0" w:space="0" w:color="auto"/>
        <w:right w:val="none" w:sz="0" w:space="0" w:color="auto"/>
      </w:divBdr>
    </w:div>
    <w:div w:id="2064600444">
      <w:bodyDiv w:val="1"/>
      <w:marLeft w:val="0"/>
      <w:marRight w:val="0"/>
      <w:marTop w:val="0"/>
      <w:marBottom w:val="0"/>
      <w:divBdr>
        <w:top w:val="none" w:sz="0" w:space="0" w:color="auto"/>
        <w:left w:val="none" w:sz="0" w:space="0" w:color="auto"/>
        <w:bottom w:val="none" w:sz="0" w:space="0" w:color="auto"/>
        <w:right w:val="none" w:sz="0" w:space="0" w:color="auto"/>
      </w:divBdr>
    </w:div>
    <w:div w:id="210344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L/TXT/PDF/?uri=CELEX:32004L0082&amp;from=EN" TargetMode="External"/><Relationship Id="rId3" Type="http://schemas.openxmlformats.org/officeDocument/2006/relationships/hyperlink" Target="https://www.europol.europa.eu/crime-areas-and-statistics/crime-areas/facilitation-of-illegal-immigration" TargetMode="External"/><Relationship Id="rId7" Type="http://schemas.openxmlformats.org/officeDocument/2006/relationships/hyperlink" Target="https://frontex.europa.eu/we-know/situational-awareness-and-monitoring/ciram/" TargetMode="External"/><Relationship Id="rId2" Type="http://schemas.openxmlformats.org/officeDocument/2006/relationships/hyperlink" Target="https://www.europol.europa.eu/crime-areas-and-statistics/crime-areas/facilitation-of-illegal-immigration" TargetMode="External"/><Relationship Id="rId1" Type="http://schemas.openxmlformats.org/officeDocument/2006/relationships/hyperlink" Target="https://www.europarl.europa.eu/RegData/etudes/STUD/2016/581383/EPRS_STU(2016)581383_EN.pdf" TargetMode="External"/><Relationship Id="rId6" Type="http://schemas.openxmlformats.org/officeDocument/2006/relationships/hyperlink" Target="https://data.consilium.europa.eu/doc/document/ST-7304-2022-INIT/en/pdf" TargetMode="External"/><Relationship Id="rId5" Type="http://schemas.openxmlformats.org/officeDocument/2006/relationships/hyperlink" Target="https://ec.europa.eu/home-affairs/10-point-plan-stronger-european-coordination-welcoming-people-fleeing-war-ukraine_en" TargetMode="External"/><Relationship Id="rId4" Type="http://schemas.openxmlformats.org/officeDocument/2006/relationships/hyperlink" Target="https://eur-lex.europa.eu/legal-content/pl/TXT/PDF/?uri=CELEX:52022XC0304(10)&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3" ma:contentTypeDescription="Create a new document in this library." ma:contentTypeScope="" ma:versionID="7894ad8daead64fa987f84de761d8f1f">
  <xsd:schema xmlns:xsd="http://www.w3.org/2001/XMLSchema" xmlns:xs="http://www.w3.org/2001/XMLSchema" xmlns:p="http://schemas.microsoft.com/office/2006/metadata/properties" xmlns:ns2="http://schemas.microsoft.com/sharepoint/v3/fields" xmlns:ns3="17730c43-1c7a-490c-8af6-e0e078c4a587" xmlns:ns4="5844f193-b267-46d7-afe9-1f837dd55ee2" targetNamespace="http://schemas.microsoft.com/office/2006/metadata/properties" ma:root="true" ma:fieldsID="234d4add1c35cf14fdb9ed3443d065cb" ns2:_="" ns3:_="" ns4:_="">
    <xsd:import namespace="http://schemas.microsoft.com/sharepoint/v3/fields"/>
    <xsd:import namespace="17730c43-1c7a-490c-8af6-e0e078c4a587"/>
    <xsd:import namespace="5844f193-b267-46d7-afe9-1f837dd55ee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44f193-b267-46d7-afe9-1f837dd55e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17730c43-1c7a-490c-8af6-e0e078c4a587">Not Started</EC_Collab_Status>
    <EC_Collab_DocumentLanguage xmlns="17730c43-1c7a-490c-8af6-e0e078c4a587">EN</EC_Collab_DocumentLanguage>
    <EC_Collab_Reference xmlns="17730c43-1c7a-490c-8af6-e0e078c4a587" xsi:nil="true"/>
    <Sort_x0020_order_x0020_no xmlns="17730c43-1c7a-490c-8af6-e0e078c4a587" xsi:nil="true"/>
    <_Status xmlns="http://schemas.microsoft.com/sharepoint/v3/fields">Not Started</_Status>
    <SharedWithUsers xmlns="5844f193-b267-46d7-afe9-1f837dd55ee2">
      <UserInfo>
        <DisplayName>TUKISA Aleksandra</DisplayName>
        <AccountId>292</AccountId>
        <AccountType/>
      </UserInfo>
      <UserInfo>
        <DisplayName>TASNADI Zsolt</DisplayName>
        <AccountId>498</AccountId>
        <AccountType/>
      </UserInfo>
      <UserInfo>
        <DisplayName>GAGLIARDI Mauro</DisplayName>
        <AccountId>189</AccountId>
        <AccountType/>
      </UserInfo>
      <UserInfo>
        <DisplayName>ESTRELA Ana</DisplayName>
        <AccountId>242</AccountId>
        <AccountType/>
      </UserInfo>
      <UserInfo>
        <DisplayName>DELACOUR Catherine</DisplayName>
        <AccountId>387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D35C-25EF-4FF0-9F5A-F9014D57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5844f193-b267-46d7-afe9-1f837dd55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9B13E-A055-40BE-8EEA-CEDA273958BB}">
  <ds:schemaRefs>
    <ds:schemaRef ds:uri="http://schemas.microsoft.com/sharepoint/v3/contenttype/forms"/>
  </ds:schemaRefs>
</ds:datastoreItem>
</file>

<file path=customXml/itemProps3.xml><?xml version="1.0" encoding="utf-8"?>
<ds:datastoreItem xmlns:ds="http://schemas.openxmlformats.org/officeDocument/2006/customXml" ds:itemID="{2ED30E4D-122D-45BF-962D-6A79432787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4f193-b267-46d7-afe9-1f837dd55ee2"/>
    <ds:schemaRef ds:uri="http://purl.org/dc/elements/1.1/"/>
    <ds:schemaRef ds:uri="http://schemas.microsoft.com/office/2006/metadata/properties"/>
    <ds:schemaRef ds:uri="17730c43-1c7a-490c-8af6-e0e078c4a587"/>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993567E-3D1A-491B-B397-630DB577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9761</Words>
  <Characters>67651</Characters>
  <Application>Microsoft Office Word</Application>
  <DocSecurity>0</DocSecurity>
  <Lines>994</Lines>
  <Paragraphs>233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2022-05-24T13:25:00Z</dcterms:created>
  <dcterms:modified xsi:type="dcterms:W3CDTF">2022-06-29T06:51:00Z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2022-05-06T15:11:24Z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233e93c5-994b-4807-b8ab-410a8dd700b9</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8.0, Build 20220128</vt:lpwstr>
  </property>
  <property fmtid="{D5CDD505-2E9C-101B-9397-08002B2CF9AE}" pid="11" name="DocStatus">
    <vt:lpwstr>Green</vt:lpwstr>
  </property>
  <property fmtid="{D5CDD505-2E9C-101B-9397-08002B2CF9AE}" pid="12" name="ContentTypeId">
    <vt:lpwstr>0x010100258AA79CEB83498886A3A08681123250006EF9D13EB5B09F479C3B8323D523042B</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CP-009</vt:lpwstr>
  </property>
</Properties>
</file>