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44F" w:rsidRPr="00610401" w:rsidRDefault="003C0B66" w:rsidP="003C0B6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8B1D336E-E402-46E7-9729-F8DC473B2AFE" style="width:455.25pt;height:399pt">
            <v:imagedata r:id="rId11" o:title=""/>
          </v:shape>
        </w:pict>
      </w:r>
    </w:p>
    <w:p w:rsidR="001A7B88" w:rsidRPr="00610401" w:rsidRDefault="001A7B88" w:rsidP="001A7B88">
      <w:pPr>
        <w:rPr>
          <w:noProof/>
        </w:rPr>
        <w:sectPr w:rsidR="001A7B88" w:rsidRPr="00610401" w:rsidSect="003C0B66">
          <w:footerReference w:type="default" r:id="rId12"/>
          <w:pgSz w:w="11907" w:h="16839"/>
          <w:pgMar w:top="1134" w:right="1417" w:bottom="1134" w:left="1417" w:header="709" w:footer="709" w:gutter="0"/>
          <w:pgNumType w:start="0"/>
          <w:cols w:space="720"/>
          <w:docGrid w:linePitch="360"/>
        </w:sectPr>
      </w:pPr>
    </w:p>
    <w:p w:rsidR="001A7B88" w:rsidRPr="00610401" w:rsidRDefault="001A7B88" w:rsidP="001A7B88">
      <w:pPr>
        <w:pStyle w:val="Exposdesmotifstitre"/>
        <w:rPr>
          <w:noProof/>
        </w:rPr>
      </w:pPr>
      <w:bookmarkStart w:id="0" w:name="_GoBack"/>
      <w:bookmarkEnd w:id="0"/>
      <w:r w:rsidRPr="00610401">
        <w:rPr>
          <w:noProof/>
        </w:rPr>
        <w:lastRenderedPageBreak/>
        <w:t>UZASADNIENIE</w:t>
      </w:r>
    </w:p>
    <w:p w:rsidR="00CD623F" w:rsidRPr="00610401" w:rsidRDefault="00CD623F" w:rsidP="002E61AD">
      <w:pPr>
        <w:pStyle w:val="ManualHeading1"/>
        <w:rPr>
          <w:noProof/>
        </w:rPr>
      </w:pPr>
      <w:r w:rsidRPr="00610401">
        <w:rPr>
          <w:noProof/>
        </w:rPr>
        <w:t>KONTEKST WNIOSKU</w:t>
      </w:r>
    </w:p>
    <w:p w:rsidR="00CD623F" w:rsidRPr="00610401" w:rsidRDefault="00CD623F" w:rsidP="002E61AD">
      <w:pPr>
        <w:pStyle w:val="ManualHeading2"/>
        <w:rPr>
          <w:noProof/>
        </w:rPr>
      </w:pPr>
      <w:r w:rsidRPr="00610401">
        <w:rPr>
          <w:noProof/>
        </w:rPr>
        <w:t>Przyczyny</w:t>
      </w:r>
      <w:r w:rsidR="00610401" w:rsidRPr="00610401">
        <w:rPr>
          <w:noProof/>
        </w:rPr>
        <w:t xml:space="preserve"> i cel</w:t>
      </w:r>
      <w:r w:rsidRPr="00610401">
        <w:rPr>
          <w:noProof/>
        </w:rPr>
        <w:t>e wniosku</w:t>
      </w:r>
    </w:p>
    <w:p w:rsidR="00CD623F" w:rsidRPr="00610401" w:rsidRDefault="00CD623F" w:rsidP="00CD623F">
      <w:pPr>
        <w:rPr>
          <w:noProof/>
        </w:rPr>
      </w:pPr>
      <w:r w:rsidRPr="00610401">
        <w:rPr>
          <w:noProof/>
        </w:rPr>
        <w:t>Pomimo działań podejmowanych na szczeblu unijnym</w:t>
      </w:r>
      <w:r w:rsidR="00610401" w:rsidRPr="00610401">
        <w:rPr>
          <w:noProof/>
        </w:rPr>
        <w:t xml:space="preserve"> i mię</w:t>
      </w:r>
      <w:r w:rsidRPr="00610401">
        <w:rPr>
          <w:noProof/>
        </w:rPr>
        <w:t>dzynarodowym utrata różnorodności biologicznej</w:t>
      </w:r>
      <w:r w:rsidR="00610401" w:rsidRPr="00610401">
        <w:rPr>
          <w:noProof/>
        </w:rPr>
        <w:t xml:space="preserve"> i deg</w:t>
      </w:r>
      <w:r w:rsidRPr="00610401">
        <w:rPr>
          <w:noProof/>
        </w:rPr>
        <w:t>radacja ekosystemów postępują</w:t>
      </w:r>
      <w:r w:rsidR="00610401" w:rsidRPr="00610401">
        <w:rPr>
          <w:noProof/>
        </w:rPr>
        <w:t xml:space="preserve"> w ala</w:t>
      </w:r>
      <w:r w:rsidRPr="00610401">
        <w:rPr>
          <w:noProof/>
        </w:rPr>
        <w:t>rmującym tempie, przynosząc szkody ludziom, gospodarce</w:t>
      </w:r>
      <w:r w:rsidR="00610401" w:rsidRPr="00610401">
        <w:rPr>
          <w:noProof/>
        </w:rPr>
        <w:t xml:space="preserve"> i kli</w:t>
      </w:r>
      <w:r w:rsidRPr="00610401">
        <w:rPr>
          <w:noProof/>
        </w:rPr>
        <w:t>matowi. Kwestia ta została szeroko udokumentowana, zwłaszcza</w:t>
      </w:r>
      <w:r w:rsidR="00610401" w:rsidRPr="00610401">
        <w:rPr>
          <w:noProof/>
        </w:rPr>
        <w:t xml:space="preserve"> w spr</w:t>
      </w:r>
      <w:r w:rsidRPr="00610401">
        <w:rPr>
          <w:noProof/>
        </w:rPr>
        <w:t>awozdaniach Międzyrządowego Zespołu ds. Zmian Klimatu (IPCC)</w:t>
      </w:r>
      <w:r w:rsidRPr="00610401">
        <w:rPr>
          <w:rStyle w:val="FootnoteReference"/>
          <w:rFonts w:eastAsia="Times New Roman"/>
          <w:noProof/>
        </w:rPr>
        <w:footnoteReference w:id="2"/>
      </w:r>
      <w:r w:rsidRPr="00610401">
        <w:rPr>
          <w:noProof/>
        </w:rPr>
        <w:t xml:space="preserve"> oraz Międzyrządowej Platformy Naukowo-Politycznej</w:t>
      </w:r>
      <w:r w:rsidR="00610401" w:rsidRPr="00610401">
        <w:rPr>
          <w:noProof/>
        </w:rPr>
        <w:t xml:space="preserve"> w spr</w:t>
      </w:r>
      <w:r w:rsidRPr="00610401">
        <w:rPr>
          <w:noProof/>
        </w:rPr>
        <w:t>awie Różnorodności Biologicznej</w:t>
      </w:r>
      <w:r w:rsidR="00610401" w:rsidRPr="00610401">
        <w:rPr>
          <w:noProof/>
        </w:rPr>
        <w:t xml:space="preserve"> i Fun</w:t>
      </w:r>
      <w:r w:rsidRPr="00610401">
        <w:rPr>
          <w:noProof/>
        </w:rPr>
        <w:t>kcjonowania Ekosystemów</w:t>
      </w:r>
      <w:r w:rsidRPr="00610401">
        <w:rPr>
          <w:rStyle w:val="FootnoteReference"/>
          <w:rFonts w:eastAsia="Times New Roman"/>
          <w:noProof/>
        </w:rPr>
        <w:footnoteReference w:id="3"/>
      </w:r>
      <w:r w:rsidRPr="00610401">
        <w:rPr>
          <w:noProof/>
        </w:rPr>
        <w:t>, jak również</w:t>
      </w:r>
      <w:r w:rsidR="00610401" w:rsidRPr="00610401">
        <w:rPr>
          <w:noProof/>
        </w:rPr>
        <w:t xml:space="preserve"> w spr</w:t>
      </w:r>
      <w:r w:rsidRPr="00610401">
        <w:rPr>
          <w:noProof/>
        </w:rPr>
        <w:t>awozdaniu</w:t>
      </w:r>
      <w:r w:rsidR="00610401" w:rsidRPr="00610401">
        <w:rPr>
          <w:noProof/>
        </w:rPr>
        <w:t xml:space="preserve"> z pos</w:t>
      </w:r>
      <w:r w:rsidRPr="00610401">
        <w:rPr>
          <w:noProof/>
        </w:rPr>
        <w:t>tępów</w:t>
      </w:r>
      <w:r w:rsidR="00610401" w:rsidRPr="00610401">
        <w:rPr>
          <w:noProof/>
        </w:rPr>
        <w:t xml:space="preserve"> w rea</w:t>
      </w:r>
      <w:r w:rsidRPr="00610401">
        <w:rPr>
          <w:noProof/>
        </w:rPr>
        <w:t>lizacji celów</w:t>
      </w:r>
      <w:r w:rsidR="00610401" w:rsidRPr="00610401">
        <w:rPr>
          <w:noProof/>
        </w:rPr>
        <w:t xml:space="preserve"> z Aic</w:t>
      </w:r>
      <w:r w:rsidRPr="00610401">
        <w:rPr>
          <w:noProof/>
        </w:rPr>
        <w:t>hi</w:t>
      </w:r>
      <w:r w:rsidRPr="00610401">
        <w:rPr>
          <w:rStyle w:val="FootnoteReference"/>
          <w:rFonts w:eastAsia="Times New Roman"/>
          <w:noProof/>
        </w:rPr>
        <w:footnoteReference w:id="4"/>
      </w:r>
      <w:r w:rsidRPr="00610401">
        <w:rPr>
          <w:noProof/>
        </w:rPr>
        <w:t xml:space="preserve"> oraz</w:t>
      </w:r>
      <w:r w:rsidR="00610401" w:rsidRPr="00610401">
        <w:rPr>
          <w:noProof/>
        </w:rPr>
        <w:t xml:space="preserve"> w pub</w:t>
      </w:r>
      <w:r w:rsidRPr="00610401">
        <w:rPr>
          <w:noProof/>
        </w:rPr>
        <w:t>likacji „The Economics of Biodiversity: The Dasgupta Review”</w:t>
      </w:r>
      <w:r w:rsidRPr="00610401">
        <w:rPr>
          <w:rStyle w:val="FootnoteReference"/>
          <w:rFonts w:eastAsia="Times New Roman"/>
          <w:noProof/>
        </w:rPr>
        <w:footnoteReference w:id="5"/>
      </w:r>
      <w:r w:rsidRPr="00610401">
        <w:rPr>
          <w:noProof/>
        </w:rPr>
        <w:t>. Zdrowe ekosystemy zapewniają żywność</w:t>
      </w:r>
      <w:r w:rsidR="00610401" w:rsidRPr="00610401">
        <w:rPr>
          <w:noProof/>
        </w:rPr>
        <w:t xml:space="preserve"> i bez</w:t>
      </w:r>
      <w:r w:rsidRPr="00610401">
        <w:rPr>
          <w:noProof/>
        </w:rPr>
        <w:t>pieczeństwo żywnościowe, czystą wodę, pochłaniacze dwutlenku węgla</w:t>
      </w:r>
      <w:r w:rsidR="00610401" w:rsidRPr="00610401">
        <w:rPr>
          <w:noProof/>
        </w:rPr>
        <w:t xml:space="preserve"> i och</w:t>
      </w:r>
      <w:r w:rsidRPr="00610401">
        <w:rPr>
          <w:noProof/>
        </w:rPr>
        <w:t>ronę przed klęskami żywiołowymi powodowanymi przez zmianę klimatu. Mają zasadnicze znaczenie dla długoterminowego przetrwania naszego gatunku, naszego dobrostanu, dobrobytu</w:t>
      </w:r>
      <w:r w:rsidR="00610401" w:rsidRPr="00610401">
        <w:rPr>
          <w:noProof/>
        </w:rPr>
        <w:t xml:space="preserve"> i bez</w:t>
      </w:r>
      <w:r w:rsidRPr="00610401">
        <w:rPr>
          <w:noProof/>
        </w:rPr>
        <w:t xml:space="preserve">pieczeństwa, ponieważ stanowią podstawę odporności Europy. </w:t>
      </w:r>
    </w:p>
    <w:p w:rsidR="00546D2E" w:rsidRPr="00610401" w:rsidRDefault="00546D2E" w:rsidP="00CC66C2">
      <w:pPr>
        <w:rPr>
          <w:rFonts w:eastAsia="Times New Roman"/>
          <w:noProof/>
        </w:rPr>
      </w:pPr>
      <w:r w:rsidRPr="00610401">
        <w:rPr>
          <w:noProof/>
        </w:rPr>
        <w:t>Odbudowa ekosystemów</w:t>
      </w:r>
      <w:r w:rsidR="00610401" w:rsidRPr="00610401">
        <w:rPr>
          <w:noProof/>
        </w:rPr>
        <w:t xml:space="preserve"> w poł</w:t>
      </w:r>
      <w:r w:rsidRPr="00610401">
        <w:rPr>
          <w:noProof/>
        </w:rPr>
        <w:t>ączeniu</w:t>
      </w:r>
      <w:r w:rsidR="00610401" w:rsidRPr="00610401">
        <w:rPr>
          <w:noProof/>
        </w:rPr>
        <w:t xml:space="preserve"> z wys</w:t>
      </w:r>
      <w:r w:rsidRPr="00610401">
        <w:rPr>
          <w:noProof/>
        </w:rPr>
        <w:t>iłkami na rzecz ograniczenia handlu dziką fauną</w:t>
      </w:r>
      <w:r w:rsidR="00610401" w:rsidRPr="00610401">
        <w:rPr>
          <w:noProof/>
        </w:rPr>
        <w:t xml:space="preserve"> i flo</w:t>
      </w:r>
      <w:r w:rsidRPr="00610401">
        <w:rPr>
          <w:noProof/>
        </w:rPr>
        <w:t>rą</w:t>
      </w:r>
      <w:r w:rsidR="00610401" w:rsidRPr="00610401">
        <w:rPr>
          <w:noProof/>
        </w:rPr>
        <w:t xml:space="preserve"> i ich</w:t>
      </w:r>
      <w:r w:rsidRPr="00610401">
        <w:rPr>
          <w:noProof/>
        </w:rPr>
        <w:t xml:space="preserve"> konsumpcji pomoże również zapobiec ewentualnym przyszłym chorobom zakaźnym</w:t>
      </w:r>
      <w:r w:rsidR="00610401" w:rsidRPr="00610401">
        <w:rPr>
          <w:noProof/>
        </w:rPr>
        <w:t xml:space="preserve"> o pot</w:t>
      </w:r>
      <w:r w:rsidRPr="00610401">
        <w:rPr>
          <w:noProof/>
        </w:rPr>
        <w:t>encjale zoonotycznym</w:t>
      </w:r>
      <w:r w:rsidR="00610401" w:rsidRPr="00610401">
        <w:rPr>
          <w:noProof/>
        </w:rPr>
        <w:t xml:space="preserve"> i zbu</w:t>
      </w:r>
      <w:r w:rsidRPr="00610401">
        <w:rPr>
          <w:noProof/>
        </w:rPr>
        <w:t>dować odporność na te choroby,</w:t>
      </w:r>
      <w:r w:rsidR="00610401" w:rsidRPr="00610401">
        <w:rPr>
          <w:noProof/>
        </w:rPr>
        <w:t xml:space="preserve"> a tym</w:t>
      </w:r>
      <w:r w:rsidRPr="00610401">
        <w:rPr>
          <w:noProof/>
        </w:rPr>
        <w:t xml:space="preserve"> samym zmniejszy ryzyko wystąpienia ognisk</w:t>
      </w:r>
      <w:r w:rsidR="00610401" w:rsidRPr="00610401">
        <w:rPr>
          <w:noProof/>
        </w:rPr>
        <w:t xml:space="preserve"> i pan</w:t>
      </w:r>
      <w:r w:rsidRPr="00610401">
        <w:rPr>
          <w:noProof/>
        </w:rPr>
        <w:t>demii,</w:t>
      </w:r>
      <w:r w:rsidR="00610401" w:rsidRPr="00610401">
        <w:rPr>
          <w:noProof/>
        </w:rPr>
        <w:t xml:space="preserve"> a tak</w:t>
      </w:r>
      <w:r w:rsidRPr="00610401">
        <w:rPr>
          <w:noProof/>
        </w:rPr>
        <w:t>że przyczyni się do wspierania unijnych</w:t>
      </w:r>
      <w:r w:rsidR="00610401" w:rsidRPr="00610401">
        <w:rPr>
          <w:noProof/>
        </w:rPr>
        <w:t xml:space="preserve"> i glo</w:t>
      </w:r>
      <w:r w:rsidRPr="00610401">
        <w:rPr>
          <w:noProof/>
        </w:rPr>
        <w:t>balnych wysiłków na rzecz stosowania podejścia „Jedno zdrowie”,</w:t>
      </w:r>
      <w:r w:rsidR="00610401" w:rsidRPr="00610401">
        <w:rPr>
          <w:noProof/>
        </w:rPr>
        <w:t xml:space="preserve"> w któ</w:t>
      </w:r>
      <w:r w:rsidRPr="00610401">
        <w:rPr>
          <w:noProof/>
        </w:rPr>
        <w:t>rym uznaje się, że zdrowie ludzi, zwierząt</w:t>
      </w:r>
      <w:r w:rsidR="00610401" w:rsidRPr="00610401">
        <w:rPr>
          <w:noProof/>
        </w:rPr>
        <w:t xml:space="preserve"> i zdr</w:t>
      </w:r>
      <w:r w:rsidRPr="00610401">
        <w:rPr>
          <w:noProof/>
        </w:rPr>
        <w:t>owa odporna przyroda są ze sobą nieodłącznie związane.</w:t>
      </w:r>
    </w:p>
    <w:p w:rsidR="00CC66C2" w:rsidRPr="00610401" w:rsidRDefault="00CC66C2" w:rsidP="00CC66C2">
      <w:pPr>
        <w:rPr>
          <w:rFonts w:eastAsia="Times New Roman"/>
          <w:noProof/>
        </w:rPr>
      </w:pPr>
      <w:r w:rsidRPr="00610401">
        <w:rPr>
          <w:noProof/>
        </w:rPr>
        <w:t>W sprawozdaniu IPCC</w:t>
      </w:r>
      <w:r w:rsidR="00610401" w:rsidRPr="00610401">
        <w:rPr>
          <w:noProof/>
        </w:rPr>
        <w:t xml:space="preserve"> z 2</w:t>
      </w:r>
      <w:r w:rsidRPr="00610401">
        <w:rPr>
          <w:noProof/>
        </w:rPr>
        <w:t>022</w:t>
      </w:r>
      <w:r w:rsidR="00610401" w:rsidRPr="00610401">
        <w:rPr>
          <w:noProof/>
        </w:rPr>
        <w:t> </w:t>
      </w:r>
      <w:r w:rsidRPr="00610401">
        <w:rPr>
          <w:noProof/>
        </w:rPr>
        <w:t>r. podkreślono</w:t>
      </w:r>
      <w:r w:rsidR="00610401" w:rsidRPr="00610401">
        <w:rPr>
          <w:noProof/>
        </w:rPr>
        <w:t xml:space="preserve"> w szc</w:t>
      </w:r>
      <w:r w:rsidRPr="00610401">
        <w:rPr>
          <w:noProof/>
        </w:rPr>
        <w:t>zególności, że</w:t>
      </w:r>
      <w:r w:rsidR="00610401" w:rsidRPr="00610401">
        <w:rPr>
          <w:noProof/>
        </w:rPr>
        <w:t xml:space="preserve"> w obl</w:t>
      </w:r>
      <w:r w:rsidRPr="00610401">
        <w:rPr>
          <w:noProof/>
        </w:rPr>
        <w:t>iczu coraz częściej występujących ekstremalnych zjawisk pogodowych</w:t>
      </w:r>
      <w:r w:rsidR="00610401" w:rsidRPr="00610401">
        <w:rPr>
          <w:noProof/>
        </w:rPr>
        <w:t xml:space="preserve"> i kli</w:t>
      </w:r>
      <w:r w:rsidRPr="00610401">
        <w:rPr>
          <w:noProof/>
        </w:rPr>
        <w:t>matycznych, które przyniosły nieodwracalne skutki, oraz ponieważ system naturalny</w:t>
      </w:r>
      <w:r w:rsidR="00610401" w:rsidRPr="00610401">
        <w:rPr>
          <w:noProof/>
        </w:rPr>
        <w:t xml:space="preserve"> i sys</w:t>
      </w:r>
      <w:r w:rsidRPr="00610401">
        <w:rPr>
          <w:noProof/>
        </w:rPr>
        <w:t>tem człowieka zbliżają się już do granic swoich możliwości adaptacyjnych, to naprawdę ostatni dzwonek, by świat</w:t>
      </w:r>
      <w:r w:rsidR="00610401" w:rsidRPr="00610401">
        <w:rPr>
          <w:noProof/>
        </w:rPr>
        <w:t xml:space="preserve"> i Eur</w:t>
      </w:r>
      <w:r w:rsidRPr="00610401">
        <w:rPr>
          <w:noProof/>
        </w:rPr>
        <w:t>opa zapewniły sobie przyszłość,</w:t>
      </w:r>
      <w:r w:rsidR="00610401" w:rsidRPr="00610401">
        <w:rPr>
          <w:noProof/>
        </w:rPr>
        <w:t xml:space="preserve"> w któ</w:t>
      </w:r>
      <w:r w:rsidRPr="00610401">
        <w:rPr>
          <w:noProof/>
        </w:rPr>
        <w:t>rej będą mogły żyć. Wzywa się</w:t>
      </w:r>
      <w:r w:rsidR="00610401" w:rsidRPr="00610401">
        <w:rPr>
          <w:noProof/>
        </w:rPr>
        <w:t xml:space="preserve"> w nim</w:t>
      </w:r>
      <w:r w:rsidRPr="00610401">
        <w:rPr>
          <w:noProof/>
        </w:rPr>
        <w:t xml:space="preserve"> do podjęcia pilnych działań na rzecz odbudowy zdegradowanych ekosystemów, aby złagodzić skutki zmiany klimatu,</w:t>
      </w:r>
      <w:r w:rsidR="00610401" w:rsidRPr="00610401">
        <w:rPr>
          <w:noProof/>
        </w:rPr>
        <w:t xml:space="preserve"> w szc</w:t>
      </w:r>
      <w:r w:rsidRPr="00610401">
        <w:rPr>
          <w:noProof/>
        </w:rPr>
        <w:t>zególności przez odbudowę zdegradowanych terenów podmokłych</w:t>
      </w:r>
      <w:r w:rsidR="00610401" w:rsidRPr="00610401">
        <w:rPr>
          <w:noProof/>
        </w:rPr>
        <w:t xml:space="preserve"> i rze</w:t>
      </w:r>
      <w:r w:rsidRPr="00610401">
        <w:rPr>
          <w:noProof/>
        </w:rPr>
        <w:t>k, lasów</w:t>
      </w:r>
      <w:r w:rsidR="00610401" w:rsidRPr="00610401">
        <w:rPr>
          <w:noProof/>
        </w:rPr>
        <w:t xml:space="preserve"> i eko</w:t>
      </w:r>
      <w:r w:rsidRPr="00610401">
        <w:rPr>
          <w:noProof/>
        </w:rPr>
        <w:t>systemów rolniczych.</w:t>
      </w:r>
    </w:p>
    <w:p w:rsidR="009503BE" w:rsidRPr="00610401" w:rsidRDefault="009503BE" w:rsidP="00CC66C2">
      <w:pPr>
        <w:rPr>
          <w:noProof/>
        </w:rPr>
      </w:pPr>
      <w:r w:rsidRPr="00610401">
        <w:rPr>
          <w:noProof/>
        </w:rPr>
        <w:t>Niedawne zmiany geopolityczne jeszcze bardziej uwypukliły potrzebę zapewnienia bezpieczeństwa żywnościowego</w:t>
      </w:r>
      <w:r w:rsidR="00610401" w:rsidRPr="00610401">
        <w:rPr>
          <w:noProof/>
        </w:rPr>
        <w:t xml:space="preserve"> i odp</w:t>
      </w:r>
      <w:r w:rsidRPr="00610401">
        <w:rPr>
          <w:noProof/>
        </w:rPr>
        <w:t>orności systemów żywnościowych. Wzrost cen towarów</w:t>
      </w:r>
      <w:r w:rsidR="00610401" w:rsidRPr="00610401">
        <w:rPr>
          <w:noProof/>
        </w:rPr>
        <w:t xml:space="preserve"> i oba</w:t>
      </w:r>
      <w:r w:rsidRPr="00610401">
        <w:rPr>
          <w:noProof/>
        </w:rPr>
        <w:t>wy dotyczące światowego bezpieczeństwa żywnościowego wymagają zajęcia się słabymi punktami, takimi jak uzależnienie od przywozu,</w:t>
      </w:r>
      <w:r w:rsidR="00610401" w:rsidRPr="00610401">
        <w:rPr>
          <w:noProof/>
        </w:rPr>
        <w:t xml:space="preserve"> a tak</w:t>
      </w:r>
      <w:r w:rsidRPr="00610401">
        <w:rPr>
          <w:noProof/>
        </w:rPr>
        <w:t>że potrzebą przyspieszenia przejścia na zrównoważone</w:t>
      </w:r>
      <w:r w:rsidR="00610401" w:rsidRPr="00610401">
        <w:rPr>
          <w:noProof/>
        </w:rPr>
        <w:t xml:space="preserve"> i odp</w:t>
      </w:r>
      <w:r w:rsidRPr="00610401">
        <w:rPr>
          <w:noProof/>
        </w:rPr>
        <w:t>orne systemy żywnościowe</w:t>
      </w:r>
      <w:r w:rsidRPr="00610401">
        <w:rPr>
          <w:rStyle w:val="FootnoteReference"/>
          <w:rFonts w:eastAsia="Times New Roman"/>
          <w:noProof/>
        </w:rPr>
        <w:footnoteReference w:id="6"/>
      </w:r>
      <w:r w:rsidRPr="00610401">
        <w:rPr>
          <w:noProof/>
        </w:rPr>
        <w:t>. Dowody wskazują, że odbudowa ekosystemów rolniczych ma pozytywny wpływ na wydajność produkcji żywności</w:t>
      </w:r>
      <w:r w:rsidR="00610401" w:rsidRPr="00610401">
        <w:rPr>
          <w:noProof/>
        </w:rPr>
        <w:t xml:space="preserve"> w per</w:t>
      </w:r>
      <w:r w:rsidRPr="00610401">
        <w:rPr>
          <w:noProof/>
        </w:rPr>
        <w:t>spektywie długoterminowej,</w:t>
      </w:r>
      <w:r w:rsidR="00610401" w:rsidRPr="00610401">
        <w:rPr>
          <w:noProof/>
        </w:rPr>
        <w:t xml:space="preserve"> a odb</w:t>
      </w:r>
      <w:r w:rsidRPr="00610401">
        <w:rPr>
          <w:noProof/>
        </w:rPr>
        <w:t>udowa zasobów przyrody stanowi polisę ubezpieczeniową długoterminowej stabilności</w:t>
      </w:r>
      <w:r w:rsidR="00610401" w:rsidRPr="00610401">
        <w:rPr>
          <w:noProof/>
        </w:rPr>
        <w:t xml:space="preserve"> i odp</w:t>
      </w:r>
      <w:r w:rsidRPr="00610401">
        <w:rPr>
          <w:noProof/>
        </w:rPr>
        <w:t>orności UE.</w:t>
      </w:r>
    </w:p>
    <w:p w:rsidR="003208C0" w:rsidRPr="00610401" w:rsidRDefault="008557A1" w:rsidP="00CD623F">
      <w:pPr>
        <w:rPr>
          <w:rFonts w:eastAsia="Times New Roman"/>
          <w:noProof/>
        </w:rPr>
      </w:pPr>
      <w:r w:rsidRPr="00610401">
        <w:rPr>
          <w:noProof/>
        </w:rPr>
        <w:t>W sprawozdaniu końcowym</w:t>
      </w:r>
      <w:r w:rsidR="00610401" w:rsidRPr="00610401">
        <w:rPr>
          <w:noProof/>
        </w:rPr>
        <w:t xml:space="preserve"> z </w:t>
      </w:r>
      <w:r w:rsidR="00610401" w:rsidRPr="00610401">
        <w:rPr>
          <w:noProof/>
          <w:shd w:val="clear" w:color="auto" w:fill="FFFFFF"/>
        </w:rPr>
        <w:t>Kon</w:t>
      </w:r>
      <w:r w:rsidRPr="00610401">
        <w:rPr>
          <w:noProof/>
          <w:shd w:val="clear" w:color="auto" w:fill="FFFFFF"/>
        </w:rPr>
        <w:t>ferencji</w:t>
      </w:r>
      <w:r w:rsidR="00610401" w:rsidRPr="00610401">
        <w:rPr>
          <w:noProof/>
          <w:shd w:val="clear" w:color="auto" w:fill="FFFFFF"/>
        </w:rPr>
        <w:t xml:space="preserve"> w spr</w:t>
      </w:r>
      <w:r w:rsidRPr="00610401">
        <w:rPr>
          <w:noProof/>
          <w:shd w:val="clear" w:color="auto" w:fill="FFFFFF"/>
        </w:rPr>
        <w:t>awie przyszłości Europy, opublikowanym 9 maja 2022</w:t>
      </w:r>
      <w:r w:rsidR="00610401" w:rsidRPr="00610401">
        <w:rPr>
          <w:noProof/>
          <w:shd w:val="clear" w:color="auto" w:fill="FFFFFF"/>
        </w:rPr>
        <w:t> </w:t>
      </w:r>
      <w:r w:rsidRPr="00610401">
        <w:rPr>
          <w:noProof/>
          <w:shd w:val="clear" w:color="auto" w:fill="FFFFFF"/>
        </w:rPr>
        <w:t>r.</w:t>
      </w:r>
      <w:r w:rsidRPr="00610401">
        <w:rPr>
          <w:rStyle w:val="FootnoteReference"/>
          <w:noProof/>
        </w:rPr>
        <w:footnoteReference w:id="7"/>
      </w:r>
      <w:r w:rsidRPr="00610401">
        <w:rPr>
          <w:noProof/>
          <w:shd w:val="clear" w:color="auto" w:fill="FFFFFF"/>
        </w:rPr>
        <w:t xml:space="preserve">, we wnioskach dotyczących </w:t>
      </w:r>
      <w:r w:rsidRPr="00610401">
        <w:rPr>
          <w:noProof/>
        </w:rPr>
        <w:t>rolnictwa, produkcji żywności, różnorodności biologicznej oraz ekosystemów</w:t>
      </w:r>
      <w:r w:rsidR="00610401" w:rsidRPr="00610401">
        <w:rPr>
          <w:noProof/>
        </w:rPr>
        <w:t xml:space="preserve"> i zan</w:t>
      </w:r>
      <w:r w:rsidRPr="00610401">
        <w:rPr>
          <w:noProof/>
        </w:rPr>
        <w:t>ieczyszczenia,</w:t>
      </w:r>
      <w:r w:rsidRPr="00610401">
        <w:rPr>
          <w:noProof/>
          <w:shd w:val="clear" w:color="auto" w:fill="FFFFFF"/>
        </w:rPr>
        <w:t xml:space="preserve"> obywatele zwrócili się</w:t>
      </w:r>
      <w:r w:rsidR="00610401" w:rsidRPr="00610401">
        <w:rPr>
          <w:noProof/>
          <w:shd w:val="clear" w:color="auto" w:fill="FFFFFF"/>
        </w:rPr>
        <w:t xml:space="preserve"> w szc</w:t>
      </w:r>
      <w:r w:rsidRPr="00610401">
        <w:rPr>
          <w:noProof/>
          <w:shd w:val="clear" w:color="auto" w:fill="FFFFFF"/>
        </w:rPr>
        <w:t>zególności o „tworzenie</w:t>
      </w:r>
      <w:r w:rsidR="00610401" w:rsidRPr="00610401">
        <w:rPr>
          <w:noProof/>
          <w:shd w:val="clear" w:color="auto" w:fill="FFFFFF"/>
        </w:rPr>
        <w:t xml:space="preserve"> i odb</w:t>
      </w:r>
      <w:r w:rsidRPr="00610401">
        <w:rPr>
          <w:noProof/>
          <w:shd w:val="clear" w:color="auto" w:fill="FFFFFF"/>
        </w:rPr>
        <w:t>udowę obszarów chronionych, lepsze zarządzanie nimi</w:t>
      </w:r>
      <w:r w:rsidR="00610401" w:rsidRPr="00610401">
        <w:rPr>
          <w:noProof/>
          <w:shd w:val="clear" w:color="auto" w:fill="FFFFFF"/>
        </w:rPr>
        <w:t xml:space="preserve"> i ich</w:t>
      </w:r>
      <w:r w:rsidRPr="00610401">
        <w:rPr>
          <w:noProof/>
          <w:shd w:val="clear" w:color="auto" w:fill="FFFFFF"/>
        </w:rPr>
        <w:t xml:space="preserve"> rozszerzanie –</w:t>
      </w:r>
      <w:r w:rsidR="00610401" w:rsidRPr="00610401">
        <w:rPr>
          <w:noProof/>
          <w:shd w:val="clear" w:color="auto" w:fill="FFFFFF"/>
        </w:rPr>
        <w:t xml:space="preserve"> w cel</w:t>
      </w:r>
      <w:r w:rsidRPr="00610401">
        <w:rPr>
          <w:noProof/>
          <w:shd w:val="clear" w:color="auto" w:fill="FFFFFF"/>
        </w:rPr>
        <w:t>u ochrony różnorodności biologicznej”; „ochronę owadów,</w:t>
      </w:r>
      <w:r w:rsidR="00610401" w:rsidRPr="00610401">
        <w:rPr>
          <w:noProof/>
          <w:shd w:val="clear" w:color="auto" w:fill="FFFFFF"/>
        </w:rPr>
        <w:t xml:space="preserve"> w szc</w:t>
      </w:r>
      <w:r w:rsidRPr="00610401">
        <w:rPr>
          <w:noProof/>
          <w:shd w:val="clear" w:color="auto" w:fill="FFFFFF"/>
        </w:rPr>
        <w:t>zególności owadów rodzimych</w:t>
      </w:r>
      <w:r w:rsidR="00610401" w:rsidRPr="00610401">
        <w:rPr>
          <w:noProof/>
          <w:shd w:val="clear" w:color="auto" w:fill="FFFFFF"/>
        </w:rPr>
        <w:t xml:space="preserve"> i zap</w:t>
      </w:r>
      <w:r w:rsidRPr="00610401">
        <w:rPr>
          <w:noProof/>
          <w:shd w:val="clear" w:color="auto" w:fill="FFFFFF"/>
        </w:rPr>
        <w:t>ylających,</w:t>
      </w:r>
      <w:r w:rsidR="00610401" w:rsidRPr="00610401">
        <w:rPr>
          <w:noProof/>
          <w:shd w:val="clear" w:color="auto" w:fill="FFFFFF"/>
        </w:rPr>
        <w:t xml:space="preserve"> w tym</w:t>
      </w:r>
      <w:r w:rsidRPr="00610401">
        <w:rPr>
          <w:noProof/>
          <w:shd w:val="clear" w:color="auto" w:fill="FFFFFF"/>
        </w:rPr>
        <w:t xml:space="preserve"> poprzez ich ochronę przed gatunkami inwazyjnymi</w:t>
      </w:r>
      <w:r w:rsidR="00610401" w:rsidRPr="00610401">
        <w:rPr>
          <w:noProof/>
          <w:shd w:val="clear" w:color="auto" w:fill="FFFFFF"/>
        </w:rPr>
        <w:t xml:space="preserve"> i lep</w:t>
      </w:r>
      <w:r w:rsidRPr="00610401">
        <w:rPr>
          <w:noProof/>
          <w:shd w:val="clear" w:color="auto" w:fill="FFFFFF"/>
        </w:rPr>
        <w:t>sze egzekwowanie obowiązujących przepisów”;</w:t>
      </w:r>
      <w:r w:rsidR="00610401" w:rsidRPr="00610401">
        <w:rPr>
          <w:noProof/>
          <w:shd w:val="clear" w:color="auto" w:fill="FFFFFF"/>
        </w:rPr>
        <w:t xml:space="preserve"> a tak</w:t>
      </w:r>
      <w:r w:rsidRPr="00610401">
        <w:rPr>
          <w:noProof/>
          <w:shd w:val="clear" w:color="auto" w:fill="FFFFFF"/>
        </w:rPr>
        <w:t>że o „ustanowienie wiążących celów krajowych we wszystkich państwach członkowskich UE</w:t>
      </w:r>
      <w:r w:rsidR="00610401" w:rsidRPr="00610401">
        <w:rPr>
          <w:noProof/>
          <w:shd w:val="clear" w:color="auto" w:fill="FFFFFF"/>
        </w:rPr>
        <w:t xml:space="preserve"> w zak</w:t>
      </w:r>
      <w:r w:rsidRPr="00610401">
        <w:rPr>
          <w:noProof/>
          <w:shd w:val="clear" w:color="auto" w:fill="FFFFFF"/>
        </w:rPr>
        <w:t>resie ponownego zalesiania rodzimych drzew</w:t>
      </w:r>
      <w:r w:rsidR="00610401" w:rsidRPr="00610401">
        <w:rPr>
          <w:noProof/>
          <w:shd w:val="clear" w:color="auto" w:fill="FFFFFF"/>
        </w:rPr>
        <w:t xml:space="preserve"> i odb</w:t>
      </w:r>
      <w:r w:rsidRPr="00610401">
        <w:rPr>
          <w:noProof/>
          <w:shd w:val="clear" w:color="auto" w:fill="FFFFFF"/>
        </w:rPr>
        <w:t>udowy lokalnej flory,</w:t>
      </w:r>
      <w:r w:rsidR="00610401" w:rsidRPr="00610401">
        <w:rPr>
          <w:noProof/>
          <w:shd w:val="clear" w:color="auto" w:fill="FFFFFF"/>
        </w:rPr>
        <w:t xml:space="preserve"> z uwz</w:t>
      </w:r>
      <w:r w:rsidRPr="00610401">
        <w:rPr>
          <w:noProof/>
          <w:shd w:val="clear" w:color="auto" w:fill="FFFFFF"/>
        </w:rPr>
        <w:t>ględnieniem różnej sytuacji</w:t>
      </w:r>
      <w:r w:rsidR="00610401" w:rsidRPr="00610401">
        <w:rPr>
          <w:noProof/>
          <w:shd w:val="clear" w:color="auto" w:fill="FFFFFF"/>
        </w:rPr>
        <w:t xml:space="preserve"> i spe</w:t>
      </w:r>
      <w:r w:rsidRPr="00610401">
        <w:rPr>
          <w:noProof/>
          <w:shd w:val="clear" w:color="auto" w:fill="FFFFFF"/>
        </w:rPr>
        <w:t>cyfiki poszczególnych państw”. Jeśli chodzi</w:t>
      </w:r>
      <w:r w:rsidR="00610401" w:rsidRPr="00610401">
        <w:rPr>
          <w:noProof/>
          <w:shd w:val="clear" w:color="auto" w:fill="FFFFFF"/>
        </w:rPr>
        <w:t xml:space="preserve"> o pro</w:t>
      </w:r>
      <w:r w:rsidRPr="00610401">
        <w:rPr>
          <w:noProof/>
          <w:shd w:val="clear" w:color="auto" w:fill="FFFFFF"/>
        </w:rPr>
        <w:t xml:space="preserve">pozycje dotyczące </w:t>
      </w:r>
      <w:r w:rsidRPr="00610401">
        <w:rPr>
          <w:noProof/>
        </w:rPr>
        <w:t>informacji, świadomości, dialogu</w:t>
      </w:r>
      <w:r w:rsidR="00610401" w:rsidRPr="00610401">
        <w:rPr>
          <w:noProof/>
        </w:rPr>
        <w:t xml:space="preserve"> i sty</w:t>
      </w:r>
      <w:r w:rsidRPr="00610401">
        <w:rPr>
          <w:noProof/>
        </w:rPr>
        <w:t>lu życia,</w:t>
      </w:r>
      <w:r w:rsidRPr="00610401">
        <w:rPr>
          <w:noProof/>
          <w:shd w:val="clear" w:color="auto" w:fill="FFFFFF"/>
        </w:rPr>
        <w:t xml:space="preserve"> </w:t>
      </w:r>
      <w:r w:rsidRPr="00610401">
        <w:rPr>
          <w:noProof/>
        </w:rPr>
        <w:t>obywatele zwrócili się</w:t>
      </w:r>
      <w:r w:rsidR="00610401" w:rsidRPr="00610401">
        <w:rPr>
          <w:noProof/>
        </w:rPr>
        <w:t xml:space="preserve"> w szc</w:t>
      </w:r>
      <w:r w:rsidRPr="00610401">
        <w:rPr>
          <w:noProof/>
        </w:rPr>
        <w:t>zególności</w:t>
      </w:r>
      <w:r w:rsidRPr="00610401">
        <w:rPr>
          <w:noProof/>
          <w:shd w:val="clear" w:color="auto" w:fill="FFFFFF"/>
        </w:rPr>
        <w:t xml:space="preserve"> o „włączenie produkcji żywności</w:t>
      </w:r>
      <w:r w:rsidR="00610401" w:rsidRPr="00610401">
        <w:rPr>
          <w:noProof/>
          <w:shd w:val="clear" w:color="auto" w:fill="FFFFFF"/>
        </w:rPr>
        <w:t xml:space="preserve"> i och</w:t>
      </w:r>
      <w:r w:rsidRPr="00610401">
        <w:rPr>
          <w:noProof/>
          <w:shd w:val="clear" w:color="auto" w:fill="FFFFFF"/>
        </w:rPr>
        <w:t>rony różnorodności biologicznej</w:t>
      </w:r>
      <w:r w:rsidR="00610401" w:rsidRPr="00610401">
        <w:rPr>
          <w:noProof/>
          <w:shd w:val="clear" w:color="auto" w:fill="FFFFFF"/>
        </w:rPr>
        <w:t xml:space="preserve"> w ram</w:t>
      </w:r>
      <w:r w:rsidRPr="00610401">
        <w:rPr>
          <w:noProof/>
          <w:shd w:val="clear" w:color="auto" w:fill="FFFFFF"/>
        </w:rPr>
        <w:t>y kształcenia,</w:t>
      </w:r>
      <w:r w:rsidR="00610401" w:rsidRPr="00610401">
        <w:rPr>
          <w:noProof/>
          <w:shd w:val="clear" w:color="auto" w:fill="FFFFFF"/>
        </w:rPr>
        <w:t xml:space="preserve"> w tym</w:t>
      </w:r>
      <w:r w:rsidRPr="00610401">
        <w:rPr>
          <w:noProof/>
          <w:shd w:val="clear" w:color="auto" w:fill="FFFFFF"/>
        </w:rPr>
        <w:t xml:space="preserve"> tematów dotyczących korzyści płynących</w:t>
      </w:r>
      <w:r w:rsidR="00610401" w:rsidRPr="00610401">
        <w:rPr>
          <w:noProof/>
          <w:shd w:val="clear" w:color="auto" w:fill="FFFFFF"/>
        </w:rPr>
        <w:t xml:space="preserve"> z nie</w:t>
      </w:r>
      <w:r w:rsidRPr="00610401">
        <w:rPr>
          <w:noProof/>
          <w:shd w:val="clear" w:color="auto" w:fill="FFFFFF"/>
        </w:rPr>
        <w:t>przetworzonej żywności</w:t>
      </w:r>
      <w:r w:rsidR="00610401" w:rsidRPr="00610401">
        <w:rPr>
          <w:noProof/>
          <w:shd w:val="clear" w:color="auto" w:fill="FFFFFF"/>
        </w:rPr>
        <w:t xml:space="preserve"> w sto</w:t>
      </w:r>
      <w:r w:rsidRPr="00610401">
        <w:rPr>
          <w:noProof/>
          <w:shd w:val="clear" w:color="auto" w:fill="FFFFFF"/>
        </w:rPr>
        <w:t>sunku do żywności przetworzonej, oraz promowanie ogrodów szkolnych, dotowanie miejskich projektów ogrodniczych</w:t>
      </w:r>
      <w:r w:rsidR="00610401" w:rsidRPr="00610401">
        <w:rPr>
          <w:noProof/>
          <w:shd w:val="clear" w:color="auto" w:fill="FFFFFF"/>
        </w:rPr>
        <w:t xml:space="preserve"> i upr</w:t>
      </w:r>
      <w:r w:rsidRPr="00610401">
        <w:rPr>
          <w:noProof/>
          <w:shd w:val="clear" w:color="auto" w:fill="FFFFFF"/>
        </w:rPr>
        <w:t>aw wertykalnych”,</w:t>
      </w:r>
      <w:r w:rsidR="00610401" w:rsidRPr="00610401">
        <w:rPr>
          <w:noProof/>
          <w:shd w:val="clear" w:color="auto" w:fill="FFFFFF"/>
        </w:rPr>
        <w:t xml:space="preserve"> a tak</w:t>
      </w:r>
      <w:r w:rsidRPr="00610401">
        <w:rPr>
          <w:noProof/>
          <w:shd w:val="clear" w:color="auto" w:fill="FFFFFF"/>
        </w:rPr>
        <w:t>że o „rozważenie wprowadzenia różnorodności biologicznej jako obowiązkowego przedmiotu</w:t>
      </w:r>
      <w:r w:rsidR="00610401" w:rsidRPr="00610401">
        <w:rPr>
          <w:noProof/>
          <w:shd w:val="clear" w:color="auto" w:fill="FFFFFF"/>
        </w:rPr>
        <w:t xml:space="preserve"> w szk</w:t>
      </w:r>
      <w:r w:rsidRPr="00610401">
        <w:rPr>
          <w:noProof/>
          <w:shd w:val="clear" w:color="auto" w:fill="FFFFFF"/>
        </w:rPr>
        <w:t>ołach</w:t>
      </w:r>
      <w:r w:rsidR="00610401" w:rsidRPr="00610401">
        <w:rPr>
          <w:noProof/>
          <w:shd w:val="clear" w:color="auto" w:fill="FFFFFF"/>
        </w:rPr>
        <w:t xml:space="preserve"> i pod</w:t>
      </w:r>
      <w:r w:rsidRPr="00610401">
        <w:rPr>
          <w:noProof/>
          <w:shd w:val="clear" w:color="auto" w:fill="FFFFFF"/>
        </w:rPr>
        <w:t>noszenie świadomości na temat różnorodności biologicznej poprzez kampanie medialne</w:t>
      </w:r>
      <w:r w:rsidR="00610401" w:rsidRPr="00610401">
        <w:rPr>
          <w:noProof/>
          <w:shd w:val="clear" w:color="auto" w:fill="FFFFFF"/>
        </w:rPr>
        <w:t xml:space="preserve"> i zac</w:t>
      </w:r>
      <w:r w:rsidRPr="00610401">
        <w:rPr>
          <w:noProof/>
          <w:shd w:val="clear" w:color="auto" w:fill="FFFFFF"/>
        </w:rPr>
        <w:t>hęcanie do »konkurencji«</w:t>
      </w:r>
      <w:r w:rsidR="00610401" w:rsidRPr="00610401">
        <w:rPr>
          <w:noProof/>
          <w:shd w:val="clear" w:color="auto" w:fill="FFFFFF"/>
        </w:rPr>
        <w:t xml:space="preserve"> w cał</w:t>
      </w:r>
      <w:r w:rsidRPr="00610401">
        <w:rPr>
          <w:noProof/>
          <w:shd w:val="clear" w:color="auto" w:fill="FFFFFF"/>
        </w:rPr>
        <w:t>ej UE”</w:t>
      </w:r>
      <w:r w:rsidRPr="00610401">
        <w:rPr>
          <w:rStyle w:val="FootnoteReference"/>
          <w:noProof/>
        </w:rPr>
        <w:footnoteReference w:id="8"/>
      </w:r>
      <w:r w:rsidRPr="00610401">
        <w:rPr>
          <w:noProof/>
          <w:shd w:val="clear" w:color="auto" w:fill="FFFFFF"/>
        </w:rPr>
        <w:t>.</w:t>
      </w:r>
      <w:r w:rsidRPr="00610401">
        <w:rPr>
          <w:noProof/>
        </w:rPr>
        <w:t xml:space="preserve"> Konieczne są zatem bardziej zdecydowane działania, aby osiągnąć cele UE</w:t>
      </w:r>
      <w:r w:rsidR="00610401" w:rsidRPr="00610401">
        <w:rPr>
          <w:noProof/>
        </w:rPr>
        <w:t xml:space="preserve"> w zak</w:t>
      </w:r>
      <w:r w:rsidRPr="00610401">
        <w:rPr>
          <w:noProof/>
        </w:rPr>
        <w:t>resie klimatu</w:t>
      </w:r>
      <w:r w:rsidR="00610401" w:rsidRPr="00610401">
        <w:rPr>
          <w:noProof/>
        </w:rPr>
        <w:t xml:space="preserve"> i róż</w:t>
      </w:r>
      <w:r w:rsidRPr="00610401">
        <w:rPr>
          <w:noProof/>
        </w:rPr>
        <w:t>norodności biologicznej na</w:t>
      </w:r>
      <w:r w:rsidR="00610401" w:rsidRPr="00610401">
        <w:rPr>
          <w:noProof/>
        </w:rPr>
        <w:t> </w:t>
      </w:r>
      <w:r w:rsidRPr="00610401">
        <w:rPr>
          <w:noProof/>
        </w:rPr>
        <w:t>2030</w:t>
      </w:r>
      <w:r w:rsidR="00610401" w:rsidRPr="00610401">
        <w:rPr>
          <w:noProof/>
        </w:rPr>
        <w:t> </w:t>
      </w:r>
      <w:r w:rsidRPr="00610401">
        <w:rPr>
          <w:noProof/>
        </w:rPr>
        <w:t>r.</w:t>
      </w:r>
      <w:r w:rsidR="00610401" w:rsidRPr="00610401">
        <w:rPr>
          <w:noProof/>
        </w:rPr>
        <w:t xml:space="preserve"> i 2</w:t>
      </w:r>
      <w:r w:rsidRPr="00610401">
        <w:rPr>
          <w:noProof/>
        </w:rPr>
        <w:t>050</w:t>
      </w:r>
      <w:r w:rsidR="00610401" w:rsidRPr="00610401">
        <w:rPr>
          <w:noProof/>
        </w:rPr>
        <w:t> </w:t>
      </w:r>
      <w:r w:rsidRPr="00610401">
        <w:rPr>
          <w:noProof/>
        </w:rPr>
        <w:t xml:space="preserve">r. oraz zapewnić odporność systemów żywnościowych. </w:t>
      </w:r>
    </w:p>
    <w:p w:rsidR="00CD623F" w:rsidRPr="00610401" w:rsidRDefault="0086670D" w:rsidP="00CD623F">
      <w:pPr>
        <w:rPr>
          <w:noProof/>
        </w:rPr>
      </w:pPr>
      <w:r w:rsidRPr="00610401">
        <w:rPr>
          <w:noProof/>
          <w:color w:val="FF0000"/>
        </w:rPr>
        <w:t>Aby zrealizować cele UE</w:t>
      </w:r>
      <w:r w:rsidR="00610401" w:rsidRPr="00610401">
        <w:rPr>
          <w:noProof/>
          <w:color w:val="FF0000"/>
        </w:rPr>
        <w:t xml:space="preserve"> w zak</w:t>
      </w:r>
      <w:r w:rsidRPr="00610401">
        <w:rPr>
          <w:noProof/>
          <w:color w:val="FF0000"/>
        </w:rPr>
        <w:t>resie klimatu</w:t>
      </w:r>
      <w:r w:rsidR="00610401" w:rsidRPr="00610401">
        <w:rPr>
          <w:noProof/>
          <w:color w:val="FF0000"/>
        </w:rPr>
        <w:t xml:space="preserve"> i róż</w:t>
      </w:r>
      <w:r w:rsidRPr="00610401">
        <w:rPr>
          <w:noProof/>
          <w:color w:val="FF0000"/>
        </w:rPr>
        <w:t>norodności biologicznej na</w:t>
      </w:r>
      <w:r w:rsidR="00610401" w:rsidRPr="00610401">
        <w:rPr>
          <w:noProof/>
          <w:color w:val="FF0000"/>
        </w:rPr>
        <w:t> </w:t>
      </w:r>
      <w:r w:rsidRPr="00610401">
        <w:rPr>
          <w:noProof/>
          <w:color w:val="FF0000"/>
        </w:rPr>
        <w:t>2030</w:t>
      </w:r>
      <w:r w:rsidR="00610401" w:rsidRPr="00610401">
        <w:rPr>
          <w:noProof/>
          <w:color w:val="FF0000"/>
        </w:rPr>
        <w:t> </w:t>
      </w:r>
      <w:r w:rsidRPr="00610401">
        <w:rPr>
          <w:noProof/>
          <w:color w:val="FF0000"/>
        </w:rPr>
        <w:t>r. i na</w:t>
      </w:r>
      <w:r w:rsidR="00610401" w:rsidRPr="00610401">
        <w:rPr>
          <w:noProof/>
          <w:color w:val="FF0000"/>
        </w:rPr>
        <w:t> </w:t>
      </w:r>
      <w:r w:rsidRPr="00610401">
        <w:rPr>
          <w:noProof/>
          <w:color w:val="FF0000"/>
        </w:rPr>
        <w:t>2050</w:t>
      </w:r>
      <w:r w:rsidR="00610401" w:rsidRPr="00610401">
        <w:rPr>
          <w:noProof/>
          <w:color w:val="FF0000"/>
        </w:rPr>
        <w:t> </w:t>
      </w:r>
      <w:r w:rsidRPr="00610401">
        <w:rPr>
          <w:noProof/>
          <w:color w:val="FF0000"/>
        </w:rPr>
        <w:t xml:space="preserve">r., konieczne są bardziej zdecydowane działania oraz zapewnienie odporności systemów żywnościowych. </w:t>
      </w:r>
      <w:r w:rsidRPr="00610401">
        <w:rPr>
          <w:noProof/>
        </w:rPr>
        <w:t xml:space="preserve">W </w:t>
      </w:r>
      <w:r w:rsidRPr="00610401">
        <w:rPr>
          <w:rStyle w:val="Hyperlink"/>
          <w:noProof/>
          <w:color w:val="auto"/>
          <w:u w:val="none"/>
        </w:rPr>
        <w:t>Europejskim Zielonym Ładzie</w:t>
      </w:r>
      <w:r w:rsidRPr="00610401">
        <w:rPr>
          <w:rStyle w:val="FootnoteReference"/>
          <w:noProof/>
        </w:rPr>
        <w:footnoteReference w:id="9"/>
      </w:r>
      <w:r w:rsidRPr="00610401">
        <w:rPr>
          <w:noProof/>
        </w:rPr>
        <w:t xml:space="preserve"> Europa zobowiązała się do ochrony</w:t>
      </w:r>
      <w:r w:rsidR="00610401" w:rsidRPr="00610401">
        <w:rPr>
          <w:noProof/>
        </w:rPr>
        <w:t xml:space="preserve"> i odb</w:t>
      </w:r>
      <w:r w:rsidRPr="00610401">
        <w:rPr>
          <w:noProof/>
        </w:rPr>
        <w:t>udowy zasobów przyrodniczych</w:t>
      </w:r>
      <w:r w:rsidR="00610401" w:rsidRPr="00610401">
        <w:rPr>
          <w:noProof/>
        </w:rPr>
        <w:t>. W dok</w:t>
      </w:r>
      <w:r w:rsidRPr="00610401">
        <w:rPr>
          <w:noProof/>
        </w:rPr>
        <w:t>umencie tym zapowiedziano, że Komisja określi działania,</w:t>
      </w:r>
      <w:r w:rsidR="00610401" w:rsidRPr="00610401">
        <w:rPr>
          <w:noProof/>
        </w:rPr>
        <w:t xml:space="preserve"> w tym</w:t>
      </w:r>
      <w:r w:rsidRPr="00610401">
        <w:rPr>
          <w:noProof/>
        </w:rPr>
        <w:t xml:space="preserve"> działania</w:t>
      </w:r>
      <w:r w:rsidR="00610401" w:rsidRPr="00610401">
        <w:rPr>
          <w:noProof/>
        </w:rPr>
        <w:t xml:space="preserve"> o cha</w:t>
      </w:r>
      <w:r w:rsidRPr="00610401">
        <w:rPr>
          <w:noProof/>
        </w:rPr>
        <w:t>rakterze prawnym, które pomogą państwom członkowskim poprawić stan ekologiczny zdegradowanych ekosystemów, również tych bogatych</w:t>
      </w:r>
      <w:r w:rsidR="00610401" w:rsidRPr="00610401">
        <w:rPr>
          <w:noProof/>
        </w:rPr>
        <w:t xml:space="preserve"> w węg</w:t>
      </w:r>
      <w:r w:rsidRPr="00610401">
        <w:rPr>
          <w:noProof/>
        </w:rPr>
        <w:t>iel, oraz przywrócić je do dobrego stanu ekologicznego. W Zielonym Ładzie podkreślono też, że wszystkie działania</w:t>
      </w:r>
      <w:r w:rsidR="00610401" w:rsidRPr="00610401">
        <w:rPr>
          <w:noProof/>
        </w:rPr>
        <w:t xml:space="preserve"> i str</w:t>
      </w:r>
      <w:r w:rsidRPr="00610401">
        <w:rPr>
          <w:noProof/>
        </w:rPr>
        <w:t>ategie polityczne UE powinny zostać połączone, aby pomóc UE</w:t>
      </w:r>
      <w:r w:rsidR="00610401" w:rsidRPr="00610401">
        <w:rPr>
          <w:noProof/>
        </w:rPr>
        <w:t xml:space="preserve"> w osi</w:t>
      </w:r>
      <w:r w:rsidRPr="00610401">
        <w:rPr>
          <w:noProof/>
        </w:rPr>
        <w:t>ągnięciu pomyślnej</w:t>
      </w:r>
      <w:r w:rsidR="00610401" w:rsidRPr="00610401">
        <w:rPr>
          <w:noProof/>
        </w:rPr>
        <w:t xml:space="preserve"> i spr</w:t>
      </w:r>
      <w:r w:rsidRPr="00610401">
        <w:rPr>
          <w:noProof/>
        </w:rPr>
        <w:t xml:space="preserve">awiedliwej transformacji ku zrównoważonej przyszłości. </w:t>
      </w:r>
    </w:p>
    <w:p w:rsidR="00CD623F" w:rsidRPr="00610401" w:rsidRDefault="00CD623F" w:rsidP="00CD623F">
      <w:pPr>
        <w:rPr>
          <w:noProof/>
          <w:color w:val="000000" w:themeColor="text1"/>
        </w:rPr>
      </w:pPr>
      <w:r w:rsidRPr="00610401">
        <w:rPr>
          <w:noProof/>
        </w:rPr>
        <w:t>W unijnej strategii na rzecz bioróżnorodności 2030</w:t>
      </w:r>
      <w:r w:rsidRPr="00610401">
        <w:rPr>
          <w:rStyle w:val="FootnoteReference"/>
          <w:noProof/>
        </w:rPr>
        <w:footnoteReference w:id="10"/>
      </w:r>
      <w:r w:rsidRPr="00610401">
        <w:rPr>
          <w:noProof/>
        </w:rPr>
        <w:t xml:space="preserve"> określono cele</w:t>
      </w:r>
      <w:r w:rsidR="00610401" w:rsidRPr="00610401">
        <w:rPr>
          <w:noProof/>
        </w:rPr>
        <w:t xml:space="preserve"> w zak</w:t>
      </w:r>
      <w:r w:rsidRPr="00610401">
        <w:rPr>
          <w:noProof/>
        </w:rPr>
        <w:t>resie dalszej ochrony przyrody w UE. Podkreślono jednak, że sama ochrona nie wystarczy: aby odwrócić proces utraty różnorodności biologicznej, konieczne jest zintensyfikowanie działań</w:t>
      </w:r>
      <w:r w:rsidR="00610401" w:rsidRPr="00610401">
        <w:rPr>
          <w:noProof/>
        </w:rPr>
        <w:t xml:space="preserve"> w cel</w:t>
      </w:r>
      <w:r w:rsidRPr="00610401">
        <w:rPr>
          <w:noProof/>
        </w:rPr>
        <w:t>u przywrócenia przyrody do dobrego stanu</w:t>
      </w:r>
      <w:r w:rsidR="00610401" w:rsidRPr="00610401">
        <w:rPr>
          <w:noProof/>
        </w:rPr>
        <w:t xml:space="preserve"> w cał</w:t>
      </w:r>
      <w:r w:rsidRPr="00610401">
        <w:rPr>
          <w:noProof/>
        </w:rPr>
        <w:t>ej UE, zarówno na obszarach chronionych, jak</w:t>
      </w:r>
      <w:r w:rsidR="00610401" w:rsidRPr="00610401">
        <w:rPr>
          <w:noProof/>
        </w:rPr>
        <w:t xml:space="preserve"> i poz</w:t>
      </w:r>
      <w:r w:rsidRPr="00610401">
        <w:rPr>
          <w:noProof/>
        </w:rPr>
        <w:t>a nimi</w:t>
      </w:r>
      <w:r w:rsidR="00610401" w:rsidRPr="00610401">
        <w:rPr>
          <w:noProof/>
        </w:rPr>
        <w:t>. W zwi</w:t>
      </w:r>
      <w:r w:rsidRPr="00610401">
        <w:rPr>
          <w:noProof/>
        </w:rPr>
        <w:t>ązku</w:t>
      </w:r>
      <w:r w:rsidR="00610401" w:rsidRPr="00610401">
        <w:rPr>
          <w:noProof/>
        </w:rPr>
        <w:t xml:space="preserve"> z tym</w:t>
      </w:r>
      <w:r w:rsidRPr="00610401">
        <w:rPr>
          <w:noProof/>
        </w:rPr>
        <w:t xml:space="preserve"> Komisja zobowiązała się do zaproponowania prawnie wiążących celów</w:t>
      </w:r>
      <w:r w:rsidR="00610401" w:rsidRPr="00610401">
        <w:rPr>
          <w:noProof/>
        </w:rPr>
        <w:t xml:space="preserve"> w zak</w:t>
      </w:r>
      <w:r w:rsidRPr="00610401">
        <w:rPr>
          <w:noProof/>
        </w:rPr>
        <w:t>resie odbudowy zdegradowanych ekosystemów w UE,</w:t>
      </w:r>
      <w:r w:rsidR="00610401" w:rsidRPr="00610401">
        <w:rPr>
          <w:noProof/>
        </w:rPr>
        <w:t xml:space="preserve"> w szc</w:t>
      </w:r>
      <w:r w:rsidRPr="00610401">
        <w:rPr>
          <w:noProof/>
        </w:rPr>
        <w:t>zególności tych</w:t>
      </w:r>
      <w:r w:rsidR="00610401" w:rsidRPr="00610401">
        <w:rPr>
          <w:noProof/>
        </w:rPr>
        <w:t xml:space="preserve"> o naj</w:t>
      </w:r>
      <w:r w:rsidRPr="00610401">
        <w:rPr>
          <w:noProof/>
        </w:rPr>
        <w:t>większym potencjale usuwania</w:t>
      </w:r>
      <w:r w:rsidR="00610401" w:rsidRPr="00610401">
        <w:rPr>
          <w:noProof/>
        </w:rPr>
        <w:t xml:space="preserve"> i skł</w:t>
      </w:r>
      <w:r w:rsidRPr="00610401">
        <w:rPr>
          <w:noProof/>
        </w:rPr>
        <w:t>adowania dwutlenku węgla, jak również</w:t>
      </w:r>
      <w:r w:rsidR="00610401" w:rsidRPr="00610401">
        <w:rPr>
          <w:noProof/>
        </w:rPr>
        <w:t xml:space="preserve"> w zak</w:t>
      </w:r>
      <w:r w:rsidRPr="00610401">
        <w:rPr>
          <w:noProof/>
        </w:rPr>
        <w:t>resie zapobiegania klęskom żywiołowym</w:t>
      </w:r>
      <w:r w:rsidR="00610401" w:rsidRPr="00610401">
        <w:rPr>
          <w:noProof/>
        </w:rPr>
        <w:t xml:space="preserve"> i łag</w:t>
      </w:r>
      <w:r w:rsidRPr="00610401">
        <w:rPr>
          <w:noProof/>
        </w:rPr>
        <w:t xml:space="preserve">odzenia ich skutków. </w:t>
      </w:r>
    </w:p>
    <w:p w:rsidR="00CD623F" w:rsidRPr="00610401" w:rsidRDefault="00CD623F" w:rsidP="00CD623F">
      <w:pPr>
        <w:rPr>
          <w:noProof/>
        </w:rPr>
      </w:pPr>
      <w:r w:rsidRPr="00610401">
        <w:rPr>
          <w:noProof/>
        </w:rPr>
        <w:t>Do tej pory UE nie zdołała powstrzymać utraty różnorodności biologicznej</w:t>
      </w:r>
      <w:r w:rsidR="00610401" w:rsidRPr="00610401">
        <w:rPr>
          <w:noProof/>
        </w:rPr>
        <w:t>. W naj</w:t>
      </w:r>
      <w:r w:rsidRPr="00610401">
        <w:rPr>
          <w:noProof/>
        </w:rPr>
        <w:t>nowszym badaniu</w:t>
      </w:r>
      <w:r w:rsidRPr="00610401">
        <w:rPr>
          <w:rStyle w:val="FootnoteReference"/>
          <w:noProof/>
        </w:rPr>
        <w:footnoteReference w:id="11"/>
      </w:r>
      <w:r w:rsidRPr="00610401">
        <w:rPr>
          <w:noProof/>
        </w:rPr>
        <w:t xml:space="preserve"> sporządzonym</w:t>
      </w:r>
      <w:r w:rsidR="00610401" w:rsidRPr="00610401">
        <w:rPr>
          <w:noProof/>
        </w:rPr>
        <w:t xml:space="preserve"> w ram</w:t>
      </w:r>
      <w:r w:rsidRPr="00610401">
        <w:rPr>
          <w:noProof/>
        </w:rPr>
        <w:t>ach oceny realizacji unijnej strategii różnorodności biologicznej na okres do</w:t>
      </w:r>
      <w:r w:rsidR="00610401" w:rsidRPr="00610401">
        <w:rPr>
          <w:noProof/>
        </w:rPr>
        <w:t> </w:t>
      </w:r>
      <w:r w:rsidRPr="00610401">
        <w:rPr>
          <w:noProof/>
        </w:rPr>
        <w:t>2020</w:t>
      </w:r>
      <w:r w:rsidR="00610401" w:rsidRPr="00610401">
        <w:rPr>
          <w:noProof/>
        </w:rPr>
        <w:t> </w:t>
      </w:r>
      <w:r w:rsidRPr="00610401">
        <w:rPr>
          <w:noProof/>
        </w:rPr>
        <w:t>r.</w:t>
      </w:r>
      <w:r w:rsidRPr="00610401">
        <w:rPr>
          <w:rStyle w:val="FootnoteReference"/>
          <w:noProof/>
        </w:rPr>
        <w:footnoteReference w:id="12"/>
      </w:r>
      <w:r w:rsidRPr="00610401">
        <w:rPr>
          <w:noProof/>
        </w:rPr>
        <w:t xml:space="preserve"> wskazano, że</w:t>
      </w:r>
      <w:r w:rsidR="00610401" w:rsidRPr="00610401">
        <w:rPr>
          <w:noProof/>
        </w:rPr>
        <w:t xml:space="preserve"> w lat</w:t>
      </w:r>
      <w:r w:rsidRPr="00610401">
        <w:rPr>
          <w:noProof/>
        </w:rPr>
        <w:t>ach 2011–2020 UE nie była</w:t>
      </w:r>
      <w:r w:rsidR="00610401" w:rsidRPr="00610401">
        <w:rPr>
          <w:noProof/>
        </w:rPr>
        <w:t xml:space="preserve"> w sta</w:t>
      </w:r>
      <w:r w:rsidRPr="00610401">
        <w:rPr>
          <w:noProof/>
        </w:rPr>
        <w:t>nie powstrzymać utraty różnorodności biologicznej. Nie osiągnęła dobrowolnego celu odbudowy do</w:t>
      </w:r>
      <w:r w:rsidR="00610401" w:rsidRPr="00610401">
        <w:rPr>
          <w:noProof/>
        </w:rPr>
        <w:t> </w:t>
      </w:r>
      <w:r w:rsidRPr="00610401">
        <w:rPr>
          <w:noProof/>
        </w:rPr>
        <w:t>2020</w:t>
      </w:r>
      <w:r w:rsidR="00610401" w:rsidRPr="00610401">
        <w:rPr>
          <w:noProof/>
        </w:rPr>
        <w:t> </w:t>
      </w:r>
      <w:r w:rsidRPr="00610401">
        <w:rPr>
          <w:noProof/>
        </w:rPr>
        <w:t>r. co najmniej 15</w:t>
      </w:r>
      <w:r w:rsidR="00610401" w:rsidRPr="00610401">
        <w:rPr>
          <w:noProof/>
        </w:rPr>
        <w:t> </w:t>
      </w:r>
      <w:r w:rsidRPr="00610401">
        <w:rPr>
          <w:noProof/>
        </w:rPr>
        <w:t>% ekosystemów zdegradowanych (zgodnie</w:t>
      </w:r>
      <w:r w:rsidR="00610401" w:rsidRPr="00610401">
        <w:rPr>
          <w:noProof/>
        </w:rPr>
        <w:t xml:space="preserve"> z 1</w:t>
      </w:r>
      <w:r w:rsidRPr="00610401">
        <w:rPr>
          <w:noProof/>
        </w:rPr>
        <w:t>5. celem</w:t>
      </w:r>
      <w:r w:rsidR="00610401" w:rsidRPr="00610401">
        <w:rPr>
          <w:noProof/>
        </w:rPr>
        <w:t xml:space="preserve"> z Aic</w:t>
      </w:r>
      <w:r w:rsidRPr="00610401">
        <w:rPr>
          <w:noProof/>
        </w:rPr>
        <w:t>hi zawartym</w:t>
      </w:r>
      <w:r w:rsidR="00610401" w:rsidRPr="00610401">
        <w:rPr>
          <w:noProof/>
        </w:rPr>
        <w:t xml:space="preserve"> w Kon</w:t>
      </w:r>
      <w:r w:rsidRPr="00610401">
        <w:rPr>
          <w:noProof/>
        </w:rPr>
        <w:t>wencji</w:t>
      </w:r>
      <w:r w:rsidR="00610401" w:rsidRPr="00610401">
        <w:rPr>
          <w:noProof/>
        </w:rPr>
        <w:t xml:space="preserve"> o róż</w:t>
      </w:r>
      <w:r w:rsidRPr="00610401">
        <w:rPr>
          <w:noProof/>
        </w:rPr>
        <w:t>norodności biologicznej</w:t>
      </w:r>
      <w:r w:rsidRPr="00610401">
        <w:rPr>
          <w:rStyle w:val="FootnoteReference"/>
          <w:noProof/>
        </w:rPr>
        <w:footnoteReference w:id="13"/>
      </w:r>
      <w:r w:rsidRPr="00610401">
        <w:rPr>
          <w:noProof/>
        </w:rPr>
        <w:t>). Prognoza dla różnorodności biologicznej</w:t>
      </w:r>
      <w:r w:rsidR="00610401" w:rsidRPr="00610401">
        <w:rPr>
          <w:noProof/>
        </w:rPr>
        <w:t xml:space="preserve"> i eko</w:t>
      </w:r>
      <w:r w:rsidRPr="00610401">
        <w:rPr>
          <w:noProof/>
        </w:rPr>
        <w:t>systemów nie napawa optymizmem</w:t>
      </w:r>
      <w:r w:rsidR="00610401" w:rsidRPr="00610401">
        <w:rPr>
          <w:noProof/>
        </w:rPr>
        <w:t xml:space="preserve"> i pok</w:t>
      </w:r>
      <w:r w:rsidRPr="00610401">
        <w:rPr>
          <w:noProof/>
        </w:rPr>
        <w:t xml:space="preserve">azuje, że obecne podejście jest nieskuteczne. </w:t>
      </w:r>
    </w:p>
    <w:p w:rsidR="00CD623F" w:rsidRPr="00610401" w:rsidRDefault="00CD623F" w:rsidP="00CD623F">
      <w:pPr>
        <w:rPr>
          <w:noProof/>
        </w:rPr>
      </w:pPr>
      <w:r w:rsidRPr="00610401">
        <w:rPr>
          <w:noProof/>
        </w:rPr>
        <w:t>Parlament Europejski</w:t>
      </w:r>
      <w:r w:rsidR="00610401" w:rsidRPr="00610401">
        <w:rPr>
          <w:noProof/>
        </w:rPr>
        <w:t xml:space="preserve"> i Rad</w:t>
      </w:r>
      <w:r w:rsidRPr="00610401">
        <w:rPr>
          <w:noProof/>
        </w:rPr>
        <w:t>a także nalegały na wzmożenie starań na rzecz odbudowy ekosystemów, co wyrażono</w:t>
      </w:r>
      <w:r w:rsidR="00610401" w:rsidRPr="00610401">
        <w:rPr>
          <w:noProof/>
        </w:rPr>
        <w:t xml:space="preserve"> w kon</w:t>
      </w:r>
      <w:r w:rsidRPr="00610401">
        <w:rPr>
          <w:noProof/>
        </w:rPr>
        <w:t>kluzjach Rady</w:t>
      </w:r>
      <w:r w:rsidR="00610401" w:rsidRPr="00610401">
        <w:rPr>
          <w:noProof/>
        </w:rPr>
        <w:t xml:space="preserve"> z gru</w:t>
      </w:r>
      <w:r w:rsidRPr="00610401">
        <w:rPr>
          <w:noProof/>
        </w:rPr>
        <w:t>dnia 2019</w:t>
      </w:r>
      <w:r w:rsidR="00610401" w:rsidRPr="00610401">
        <w:rPr>
          <w:noProof/>
        </w:rPr>
        <w:t> </w:t>
      </w:r>
      <w:r w:rsidRPr="00610401">
        <w:rPr>
          <w:noProof/>
        </w:rPr>
        <w:t>r.</w:t>
      </w:r>
      <w:r w:rsidRPr="00610401">
        <w:rPr>
          <w:rStyle w:val="FootnoteReference"/>
          <w:rFonts w:eastAsia="Times New Roman"/>
          <w:noProof/>
        </w:rPr>
        <w:footnoteReference w:id="14"/>
      </w:r>
      <w:r w:rsidRPr="00610401">
        <w:rPr>
          <w:noProof/>
        </w:rPr>
        <w:t xml:space="preserve"> oraz</w:t>
      </w:r>
      <w:r w:rsidR="00610401" w:rsidRPr="00610401">
        <w:rPr>
          <w:noProof/>
        </w:rPr>
        <w:t xml:space="preserve"> w rez</w:t>
      </w:r>
      <w:r w:rsidRPr="00610401">
        <w:rPr>
          <w:noProof/>
        </w:rPr>
        <w:t>olucji Parlamentu Europejskiego</w:t>
      </w:r>
      <w:r w:rsidR="00610401" w:rsidRPr="00610401">
        <w:rPr>
          <w:noProof/>
        </w:rPr>
        <w:t xml:space="preserve"> w sty</w:t>
      </w:r>
      <w:r w:rsidRPr="00610401">
        <w:rPr>
          <w:noProof/>
        </w:rPr>
        <w:t>czniu 2020</w:t>
      </w:r>
      <w:r w:rsidR="00610401" w:rsidRPr="00610401">
        <w:rPr>
          <w:noProof/>
        </w:rPr>
        <w:t> </w:t>
      </w:r>
      <w:r w:rsidRPr="00610401">
        <w:rPr>
          <w:noProof/>
        </w:rPr>
        <w:t>r.</w:t>
      </w:r>
      <w:r w:rsidRPr="00610401">
        <w:rPr>
          <w:rStyle w:val="FootnoteReference"/>
          <w:rFonts w:eastAsia="Times New Roman"/>
          <w:noProof/>
        </w:rPr>
        <w:footnoteReference w:id="15"/>
      </w:r>
      <w:r w:rsidRPr="00610401">
        <w:rPr>
          <w:noProof/>
        </w:rPr>
        <w:t xml:space="preserve"> W rezolucji Parlament wezwał Komisję, aby „odeszła od dobrowolnych zobowiązań</w:t>
      </w:r>
      <w:r w:rsidR="00610401" w:rsidRPr="00610401">
        <w:rPr>
          <w:noProof/>
        </w:rPr>
        <w:t xml:space="preserve"> i zap</w:t>
      </w:r>
      <w:r w:rsidRPr="00610401">
        <w:rPr>
          <w:noProof/>
        </w:rPr>
        <w:t>roponowała ambitną</w:t>
      </w:r>
      <w:r w:rsidR="00610401" w:rsidRPr="00610401">
        <w:rPr>
          <w:noProof/>
        </w:rPr>
        <w:t xml:space="preserve"> i spr</w:t>
      </w:r>
      <w:r w:rsidRPr="00610401">
        <w:rPr>
          <w:noProof/>
        </w:rPr>
        <w:t>zyjającą włączeniu społecznemu strategię obejmującą prawnie wiążące (a więc możliwe do wyegzekwowania) cele dla UE</w:t>
      </w:r>
      <w:r w:rsidR="00610401" w:rsidRPr="00610401">
        <w:rPr>
          <w:noProof/>
        </w:rPr>
        <w:t xml:space="preserve"> i jej</w:t>
      </w:r>
      <w:r w:rsidRPr="00610401">
        <w:rPr>
          <w:noProof/>
        </w:rPr>
        <w:t xml:space="preserve"> państw członkowskich”</w:t>
      </w:r>
      <w:r w:rsidR="00610401" w:rsidRPr="00610401">
        <w:rPr>
          <w:noProof/>
        </w:rPr>
        <w:t>. W rez</w:t>
      </w:r>
      <w:r w:rsidRPr="00610401">
        <w:rPr>
          <w:noProof/>
        </w:rPr>
        <w:t>olucji</w:t>
      </w:r>
      <w:r w:rsidR="00610401" w:rsidRPr="00610401">
        <w:rPr>
          <w:noProof/>
        </w:rPr>
        <w:t xml:space="preserve"> z 9</w:t>
      </w:r>
      <w:r w:rsidRPr="00610401">
        <w:rPr>
          <w:noProof/>
        </w:rPr>
        <w:t xml:space="preserve"> czerwca 2021</w:t>
      </w:r>
      <w:r w:rsidR="00610401" w:rsidRPr="00610401">
        <w:rPr>
          <w:noProof/>
        </w:rPr>
        <w:t> </w:t>
      </w:r>
      <w:r w:rsidRPr="00610401">
        <w:rPr>
          <w:noProof/>
        </w:rPr>
        <w:t>r.</w:t>
      </w:r>
      <w:r w:rsidRPr="00610401">
        <w:rPr>
          <w:rStyle w:val="FootnoteReference"/>
          <w:noProof/>
        </w:rPr>
        <w:footnoteReference w:id="16"/>
      </w:r>
      <w:r w:rsidRPr="00610401">
        <w:rPr>
          <w:noProof/>
        </w:rPr>
        <w:t xml:space="preserve"> Parlament Europejski</w:t>
      </w:r>
      <w:r w:rsidR="00610401" w:rsidRPr="00610401">
        <w:rPr>
          <w:noProof/>
        </w:rPr>
        <w:t xml:space="preserve"> z duż</w:t>
      </w:r>
      <w:r w:rsidRPr="00610401">
        <w:rPr>
          <w:noProof/>
        </w:rPr>
        <w:t>ym zadowoleniem przyjął zobowiązanie Komisji do sporządzenia wniosku ustawodawczego dotyczącego odbudowy zasobów przyrodniczych,</w:t>
      </w:r>
      <w:r w:rsidR="00610401" w:rsidRPr="00610401">
        <w:rPr>
          <w:noProof/>
        </w:rPr>
        <w:t xml:space="preserve"> w tym</w:t>
      </w:r>
      <w:r w:rsidRPr="00610401">
        <w:rPr>
          <w:noProof/>
        </w:rPr>
        <w:t xml:space="preserve"> wiążących celów</w:t>
      </w:r>
      <w:r w:rsidR="00610401" w:rsidRPr="00610401">
        <w:rPr>
          <w:noProof/>
        </w:rPr>
        <w:t xml:space="preserve"> w zak</w:t>
      </w:r>
      <w:r w:rsidRPr="00610401">
        <w:rPr>
          <w:noProof/>
        </w:rPr>
        <w:t xml:space="preserve">resie odbudowy. </w:t>
      </w:r>
    </w:p>
    <w:p w:rsidR="00CD623F" w:rsidRPr="00610401" w:rsidRDefault="00CD623F" w:rsidP="00CD623F">
      <w:pPr>
        <w:rPr>
          <w:noProof/>
          <w:color w:val="000000" w:themeColor="text1"/>
        </w:rPr>
      </w:pPr>
      <w:r w:rsidRPr="00610401">
        <w:rPr>
          <w:noProof/>
          <w:color w:val="000000" w:themeColor="text1"/>
        </w:rPr>
        <w:t>Odbudowa ekosystemów jest również priorytete</w:t>
      </w:r>
      <w:r w:rsidR="00A0460B" w:rsidRPr="00610401">
        <w:rPr>
          <w:noProof/>
          <w:color w:val="000000" w:themeColor="text1"/>
        </w:rPr>
        <w:t>m na szczeblu międzynarodowym</w:t>
      </w:r>
      <w:r w:rsidR="00610401" w:rsidRPr="00610401">
        <w:rPr>
          <w:noProof/>
          <w:color w:val="000000" w:themeColor="text1"/>
        </w:rPr>
        <w:t>. W </w:t>
      </w:r>
      <w:r w:rsidR="00610401" w:rsidRPr="00610401">
        <w:rPr>
          <w:noProof/>
        </w:rPr>
        <w:t>wiz</w:t>
      </w:r>
      <w:r w:rsidRPr="00610401">
        <w:rPr>
          <w:noProof/>
        </w:rPr>
        <w:t>ji na rok</w:t>
      </w:r>
      <w:r w:rsidR="00610401" w:rsidRPr="00610401">
        <w:rPr>
          <w:noProof/>
        </w:rPr>
        <w:t> </w:t>
      </w:r>
      <w:r w:rsidRPr="00610401">
        <w:rPr>
          <w:noProof/>
        </w:rPr>
        <w:t>2050 przyjętej na mocy Konwencji</w:t>
      </w:r>
      <w:r w:rsidR="00610401" w:rsidRPr="00610401">
        <w:rPr>
          <w:noProof/>
        </w:rPr>
        <w:t xml:space="preserve"> o róż</w:t>
      </w:r>
      <w:r w:rsidRPr="00610401">
        <w:rPr>
          <w:noProof/>
        </w:rPr>
        <w:t>norodności biologicznej</w:t>
      </w:r>
      <w:r w:rsidRPr="00610401">
        <w:rPr>
          <w:rStyle w:val="FootnoteReference"/>
          <w:noProof/>
        </w:rPr>
        <w:footnoteReference w:id="17"/>
      </w:r>
      <w:r w:rsidRPr="00610401">
        <w:rPr>
          <w:noProof/>
          <w:color w:val="000000" w:themeColor="text1"/>
        </w:rPr>
        <w:t>,</w:t>
      </w:r>
      <w:r w:rsidR="00610401" w:rsidRPr="00610401">
        <w:rPr>
          <w:noProof/>
          <w:color w:val="000000" w:themeColor="text1"/>
        </w:rPr>
        <w:t xml:space="preserve"> </w:t>
      </w:r>
      <w:r w:rsidR="00610401" w:rsidRPr="00610401">
        <w:rPr>
          <w:noProof/>
        </w:rPr>
        <w:t>w</w:t>
      </w:r>
      <w:r w:rsidR="00610401" w:rsidRPr="00610401">
        <w:rPr>
          <w:noProof/>
          <w:color w:val="000000" w:themeColor="text1"/>
        </w:rPr>
        <w:t> </w:t>
      </w:r>
      <w:r w:rsidR="00610401" w:rsidRPr="00610401">
        <w:rPr>
          <w:noProof/>
        </w:rPr>
        <w:t>kon</w:t>
      </w:r>
      <w:r w:rsidRPr="00610401">
        <w:rPr>
          <w:noProof/>
        </w:rPr>
        <w:t>wencji Narodów Zjednoczonych</w:t>
      </w:r>
      <w:r w:rsidR="00610401" w:rsidRPr="00610401">
        <w:rPr>
          <w:noProof/>
        </w:rPr>
        <w:t xml:space="preserve"> w spr</w:t>
      </w:r>
      <w:r w:rsidRPr="00610401">
        <w:rPr>
          <w:noProof/>
        </w:rPr>
        <w:t>awie zwalczania pustynnienia (UNCCD)</w:t>
      </w:r>
      <w:r w:rsidRPr="00610401">
        <w:rPr>
          <w:rStyle w:val="FootnoteReference"/>
          <w:noProof/>
        </w:rPr>
        <w:footnoteReference w:id="18"/>
      </w:r>
      <w:r w:rsidRPr="00610401">
        <w:rPr>
          <w:noProof/>
          <w:color w:val="000000" w:themeColor="text1"/>
        </w:rPr>
        <w:t>,</w:t>
      </w:r>
      <w:r w:rsidR="00610401" w:rsidRPr="00610401">
        <w:rPr>
          <w:noProof/>
          <w:color w:val="000000" w:themeColor="text1"/>
        </w:rPr>
        <w:t xml:space="preserve"> w </w:t>
      </w:r>
      <w:r w:rsidR="00610401" w:rsidRPr="00610401">
        <w:rPr>
          <w:noProof/>
        </w:rPr>
        <w:t>Age</w:t>
      </w:r>
      <w:r w:rsidRPr="00610401">
        <w:rPr>
          <w:noProof/>
        </w:rPr>
        <w:t>ndzie na rzecz zrównoważonego rozwoju 2030 (tj.</w:t>
      </w:r>
      <w:r w:rsidR="00610401" w:rsidRPr="00610401">
        <w:rPr>
          <w:noProof/>
        </w:rPr>
        <w:t xml:space="preserve"> w cel</w:t>
      </w:r>
      <w:r w:rsidRPr="00610401">
        <w:rPr>
          <w:noProof/>
        </w:rPr>
        <w:t>ach zrównoważonego rozwoju)</w:t>
      </w:r>
      <w:r w:rsidRPr="00610401">
        <w:rPr>
          <w:rStyle w:val="FootnoteReference"/>
          <w:noProof/>
        </w:rPr>
        <w:footnoteReference w:id="19"/>
      </w:r>
      <w:r w:rsidRPr="00610401">
        <w:rPr>
          <w:noProof/>
          <w:color w:val="000000" w:themeColor="text1"/>
        </w:rPr>
        <w:t xml:space="preserve"> oraz</w:t>
      </w:r>
      <w:r w:rsidR="00610401" w:rsidRPr="00610401">
        <w:rPr>
          <w:noProof/>
          <w:color w:val="000000" w:themeColor="text1"/>
        </w:rPr>
        <w:t xml:space="preserve"> w </w:t>
      </w:r>
      <w:r w:rsidR="00610401" w:rsidRPr="00610401">
        <w:rPr>
          <w:noProof/>
        </w:rPr>
        <w:t>Oen</w:t>
      </w:r>
      <w:r w:rsidRPr="00610401">
        <w:rPr>
          <w:noProof/>
        </w:rPr>
        <w:t>zetowskiej Dekadzie Restytucji Ekosystemów</w:t>
      </w:r>
      <w:r w:rsidRPr="00610401">
        <w:rPr>
          <w:rStyle w:val="FootnoteReference"/>
          <w:noProof/>
        </w:rPr>
        <w:footnoteReference w:id="20"/>
      </w:r>
      <w:r w:rsidRPr="00610401">
        <w:rPr>
          <w:noProof/>
        </w:rPr>
        <w:t xml:space="preserve"> </w:t>
      </w:r>
      <w:r w:rsidRPr="00610401">
        <w:rPr>
          <w:noProof/>
          <w:color w:val="000000" w:themeColor="text1"/>
        </w:rPr>
        <w:t>wezwano do ochrony</w:t>
      </w:r>
      <w:r w:rsidR="00610401" w:rsidRPr="00610401">
        <w:rPr>
          <w:noProof/>
          <w:color w:val="000000" w:themeColor="text1"/>
        </w:rPr>
        <w:t xml:space="preserve"> i odb</w:t>
      </w:r>
      <w:r w:rsidRPr="00610401">
        <w:rPr>
          <w:noProof/>
          <w:color w:val="000000" w:themeColor="text1"/>
        </w:rPr>
        <w:t>udowy ekosystemów. Odbudowa będzie konieczna także do realizacji unijnych zobowiązań wynikających</w:t>
      </w:r>
      <w:r w:rsidR="00610401" w:rsidRPr="00610401">
        <w:rPr>
          <w:noProof/>
          <w:color w:val="000000" w:themeColor="text1"/>
        </w:rPr>
        <w:t xml:space="preserve"> z Ram</w:t>
      </w:r>
      <w:r w:rsidRPr="00610401">
        <w:rPr>
          <w:noProof/>
          <w:color w:val="000000" w:themeColor="text1"/>
        </w:rPr>
        <w:t>owej konwencji Narodów Zjednoczonych</w:t>
      </w:r>
      <w:r w:rsidR="00610401" w:rsidRPr="00610401">
        <w:rPr>
          <w:noProof/>
          <w:color w:val="000000" w:themeColor="text1"/>
        </w:rPr>
        <w:t xml:space="preserve"> w spr</w:t>
      </w:r>
      <w:r w:rsidRPr="00610401">
        <w:rPr>
          <w:noProof/>
          <w:color w:val="000000" w:themeColor="text1"/>
        </w:rPr>
        <w:t xml:space="preserve">awie zmian klimatu oraz </w:t>
      </w:r>
      <w:r w:rsidRPr="00610401">
        <w:rPr>
          <w:noProof/>
        </w:rPr>
        <w:t>porozumienia paryskiego</w:t>
      </w:r>
      <w:r w:rsidRPr="00610401">
        <w:rPr>
          <w:rStyle w:val="FootnoteReference"/>
          <w:noProof/>
        </w:rPr>
        <w:footnoteReference w:id="21"/>
      </w:r>
      <w:r w:rsidRPr="00610401">
        <w:rPr>
          <w:noProof/>
          <w:color w:val="000000" w:themeColor="text1"/>
        </w:rPr>
        <w:t>. Ekosystemy, takie jak torfowiska, tereny podmokłe, oceany</w:t>
      </w:r>
      <w:r w:rsidR="00610401" w:rsidRPr="00610401">
        <w:rPr>
          <w:noProof/>
          <w:color w:val="000000" w:themeColor="text1"/>
        </w:rPr>
        <w:t xml:space="preserve"> i las</w:t>
      </w:r>
      <w:r w:rsidRPr="00610401">
        <w:rPr>
          <w:noProof/>
          <w:color w:val="000000" w:themeColor="text1"/>
        </w:rPr>
        <w:t>y mogą – jeśli są</w:t>
      </w:r>
      <w:r w:rsidR="00610401" w:rsidRPr="00610401">
        <w:rPr>
          <w:noProof/>
          <w:color w:val="000000" w:themeColor="text1"/>
        </w:rPr>
        <w:t xml:space="preserve"> w dob</w:t>
      </w:r>
      <w:r w:rsidRPr="00610401">
        <w:rPr>
          <w:noProof/>
          <w:color w:val="000000" w:themeColor="text1"/>
        </w:rPr>
        <w:t>rym stanie – usuwać</w:t>
      </w:r>
      <w:r w:rsidR="00610401" w:rsidRPr="00610401">
        <w:rPr>
          <w:noProof/>
          <w:color w:val="000000" w:themeColor="text1"/>
        </w:rPr>
        <w:t xml:space="preserve"> i skł</w:t>
      </w:r>
      <w:r w:rsidRPr="00610401">
        <w:rPr>
          <w:noProof/>
          <w:color w:val="000000" w:themeColor="text1"/>
        </w:rPr>
        <w:t>adować ogromne ilości dwutlenku węgla,</w:t>
      </w:r>
      <w:r w:rsidR="00610401" w:rsidRPr="00610401">
        <w:rPr>
          <w:noProof/>
          <w:color w:val="000000" w:themeColor="text1"/>
        </w:rPr>
        <w:t xml:space="preserve"> a tak</w:t>
      </w:r>
      <w:r w:rsidRPr="00610401">
        <w:rPr>
          <w:noProof/>
          <w:color w:val="000000" w:themeColor="text1"/>
        </w:rPr>
        <w:t>że</w:t>
      </w:r>
      <w:r w:rsidR="00610401" w:rsidRPr="00610401">
        <w:rPr>
          <w:noProof/>
          <w:color w:val="000000" w:themeColor="text1"/>
        </w:rPr>
        <w:t xml:space="preserve"> w zna</w:t>
      </w:r>
      <w:r w:rsidRPr="00610401">
        <w:rPr>
          <w:noProof/>
          <w:color w:val="000000" w:themeColor="text1"/>
        </w:rPr>
        <w:t xml:space="preserve">czącym stopniu przyczyniać się do złagodzenia skutków zmiany klimatu. </w:t>
      </w:r>
    </w:p>
    <w:p w:rsidR="00CD623F" w:rsidRPr="00610401" w:rsidRDefault="00CD623F" w:rsidP="00CD623F">
      <w:pPr>
        <w:rPr>
          <w:rFonts w:eastAsia="Times New Roman"/>
          <w:noProof/>
          <w:color w:val="242424"/>
        </w:rPr>
      </w:pPr>
      <w:r w:rsidRPr="00610401">
        <w:rPr>
          <w:noProof/>
        </w:rPr>
        <w:t>Celem nadrzędnym wyznaczonym we wniosku dotyczącym rozporządzenia</w:t>
      </w:r>
      <w:r w:rsidR="00610401" w:rsidRPr="00610401">
        <w:rPr>
          <w:noProof/>
        </w:rPr>
        <w:t xml:space="preserve"> w spr</w:t>
      </w:r>
      <w:r w:rsidRPr="00610401">
        <w:rPr>
          <w:noProof/>
        </w:rPr>
        <w:t xml:space="preserve">awie odbudowy zasobów przyrodniczych jest </w:t>
      </w:r>
      <w:r w:rsidRPr="00610401">
        <w:rPr>
          <w:noProof/>
          <w:color w:val="242424"/>
        </w:rPr>
        <w:t>przyczynianie się do ciągłej, długoterminowej</w:t>
      </w:r>
      <w:r w:rsidR="00610401" w:rsidRPr="00610401">
        <w:rPr>
          <w:noProof/>
          <w:color w:val="242424"/>
        </w:rPr>
        <w:t xml:space="preserve"> i trw</w:t>
      </w:r>
      <w:r w:rsidRPr="00610401">
        <w:rPr>
          <w:noProof/>
          <w:color w:val="242424"/>
        </w:rPr>
        <w:t>ałej odbudowy różnorodnej biologicznie</w:t>
      </w:r>
      <w:r w:rsidR="00610401" w:rsidRPr="00610401">
        <w:rPr>
          <w:noProof/>
          <w:color w:val="242424"/>
        </w:rPr>
        <w:t xml:space="preserve"> i odp</w:t>
      </w:r>
      <w:r w:rsidRPr="00610401">
        <w:rPr>
          <w:noProof/>
          <w:color w:val="242424"/>
        </w:rPr>
        <w:t>ornej przyrody na obszarach lądowych</w:t>
      </w:r>
      <w:r w:rsidR="00610401" w:rsidRPr="00610401">
        <w:rPr>
          <w:noProof/>
          <w:color w:val="242424"/>
        </w:rPr>
        <w:t xml:space="preserve"> i mor</w:t>
      </w:r>
      <w:r w:rsidRPr="00610401">
        <w:rPr>
          <w:noProof/>
          <w:color w:val="242424"/>
        </w:rPr>
        <w:t>skich UE poprzez odbudowę ekosystemów,</w:t>
      </w:r>
      <w:r w:rsidR="00610401" w:rsidRPr="00610401">
        <w:rPr>
          <w:noProof/>
          <w:color w:val="242424"/>
        </w:rPr>
        <w:t xml:space="preserve"> a tak</w:t>
      </w:r>
      <w:r w:rsidRPr="00610401">
        <w:rPr>
          <w:noProof/>
          <w:color w:val="242424"/>
        </w:rPr>
        <w:t>że przyczynianie się do osiągnięcia przez Unię celów</w:t>
      </w:r>
      <w:r w:rsidR="00610401" w:rsidRPr="00610401">
        <w:rPr>
          <w:noProof/>
          <w:color w:val="242424"/>
        </w:rPr>
        <w:t xml:space="preserve"> w zak</w:t>
      </w:r>
      <w:r w:rsidRPr="00610401">
        <w:rPr>
          <w:noProof/>
          <w:color w:val="242424"/>
        </w:rPr>
        <w:t>resie łagodzenia zmiany klimatu</w:t>
      </w:r>
      <w:r w:rsidR="00610401" w:rsidRPr="00610401">
        <w:rPr>
          <w:noProof/>
          <w:color w:val="242424"/>
        </w:rPr>
        <w:t xml:space="preserve"> i prz</w:t>
      </w:r>
      <w:r w:rsidRPr="00610401">
        <w:rPr>
          <w:noProof/>
          <w:color w:val="242424"/>
        </w:rPr>
        <w:t xml:space="preserve">ystosowania się do niej oraz wypełnienie międzynarodowych zobowiązań Unii. </w:t>
      </w:r>
    </w:p>
    <w:p w:rsidR="00CD623F" w:rsidRPr="00610401" w:rsidRDefault="00CD623F" w:rsidP="00CD623F">
      <w:pPr>
        <w:rPr>
          <w:rFonts w:eastAsia="Times New Roman"/>
          <w:noProof/>
          <w:color w:val="242424"/>
          <w:szCs w:val="24"/>
        </w:rPr>
      </w:pPr>
      <w:r w:rsidRPr="00610401">
        <w:rPr>
          <w:noProof/>
        </w:rPr>
        <w:t>Aby osiągnąć ten cel nadrzędny, we wniosku przedstawiono wiele wiążących celów</w:t>
      </w:r>
      <w:r w:rsidR="00610401" w:rsidRPr="00610401">
        <w:rPr>
          <w:noProof/>
        </w:rPr>
        <w:t xml:space="preserve"> i obo</w:t>
      </w:r>
      <w:r w:rsidRPr="00610401">
        <w:rPr>
          <w:noProof/>
        </w:rPr>
        <w:t>wiązków</w:t>
      </w:r>
      <w:r w:rsidR="00610401" w:rsidRPr="00610401">
        <w:rPr>
          <w:noProof/>
        </w:rPr>
        <w:t xml:space="preserve"> w zak</w:t>
      </w:r>
      <w:r w:rsidRPr="00610401">
        <w:rPr>
          <w:noProof/>
        </w:rPr>
        <w:t xml:space="preserve">resie odbudowy dotyczących rozmaitych ekosystemów. </w:t>
      </w:r>
      <w:r w:rsidRPr="00610401">
        <w:rPr>
          <w:noProof/>
          <w:color w:val="242424"/>
        </w:rPr>
        <w:t>Do 2030</w:t>
      </w:r>
      <w:r w:rsidR="00610401" w:rsidRPr="00610401">
        <w:rPr>
          <w:noProof/>
          <w:color w:val="242424"/>
        </w:rPr>
        <w:t> </w:t>
      </w:r>
      <w:r w:rsidRPr="00610401">
        <w:rPr>
          <w:noProof/>
          <w:color w:val="242424"/>
        </w:rPr>
        <w:t>r. należy objąć tymi środkami co najmniej 20</w:t>
      </w:r>
      <w:r w:rsidR="00610401" w:rsidRPr="00610401">
        <w:rPr>
          <w:noProof/>
          <w:color w:val="242424"/>
        </w:rPr>
        <w:t> </w:t>
      </w:r>
      <w:r w:rsidRPr="00610401">
        <w:rPr>
          <w:noProof/>
          <w:color w:val="242424"/>
        </w:rPr>
        <w:t>% unijnych obszarów lądowych</w:t>
      </w:r>
      <w:r w:rsidR="00610401" w:rsidRPr="00610401">
        <w:rPr>
          <w:noProof/>
          <w:color w:val="242424"/>
        </w:rPr>
        <w:t xml:space="preserve"> i mor</w:t>
      </w:r>
      <w:r w:rsidRPr="00610401">
        <w:rPr>
          <w:noProof/>
          <w:color w:val="242424"/>
        </w:rPr>
        <w:t xml:space="preserve">skich, a </w:t>
      </w:r>
      <w:r w:rsidRPr="00610401">
        <w:rPr>
          <w:noProof/>
        </w:rPr>
        <w:t>do</w:t>
      </w:r>
      <w:r w:rsidR="00610401" w:rsidRPr="00610401">
        <w:rPr>
          <w:noProof/>
        </w:rPr>
        <w:t> </w:t>
      </w:r>
      <w:r w:rsidRPr="00610401">
        <w:rPr>
          <w:noProof/>
        </w:rPr>
        <w:t>2050</w:t>
      </w:r>
      <w:r w:rsidR="00610401" w:rsidRPr="00610401">
        <w:rPr>
          <w:noProof/>
        </w:rPr>
        <w:t> </w:t>
      </w:r>
      <w:r w:rsidRPr="00610401">
        <w:rPr>
          <w:noProof/>
        </w:rPr>
        <w:t>r.</w:t>
      </w:r>
      <w:r w:rsidRPr="00610401">
        <w:rPr>
          <w:noProof/>
          <w:color w:val="242424"/>
        </w:rPr>
        <w:t xml:space="preserve"> – </w:t>
      </w:r>
      <w:r w:rsidRPr="00610401">
        <w:rPr>
          <w:noProof/>
        </w:rPr>
        <w:t>wszystkie ekosystemy wymagające odbudowy.</w:t>
      </w:r>
      <w:r w:rsidR="00A0460B" w:rsidRPr="00610401">
        <w:rPr>
          <w:noProof/>
        </w:rPr>
        <w:t xml:space="preserve"> </w:t>
      </w:r>
      <w:r w:rsidRPr="00610401">
        <w:rPr>
          <w:noProof/>
        </w:rPr>
        <w:t xml:space="preserve">Do </w:t>
      </w:r>
      <w:r w:rsidRPr="00610401">
        <w:rPr>
          <w:noProof/>
          <w:color w:val="242424"/>
        </w:rPr>
        <w:t xml:space="preserve">wniosku </w:t>
      </w:r>
      <w:r w:rsidRPr="00610401">
        <w:rPr>
          <w:noProof/>
        </w:rPr>
        <w:t>dołączono także ramy wdrażania,</w:t>
      </w:r>
      <w:r w:rsidR="00610401" w:rsidRPr="00610401">
        <w:rPr>
          <w:noProof/>
        </w:rPr>
        <w:t xml:space="preserve"> w któ</w:t>
      </w:r>
      <w:r w:rsidRPr="00610401">
        <w:rPr>
          <w:noProof/>
        </w:rPr>
        <w:t>rych cele przełożono na działania poprzez przygotowanie</w:t>
      </w:r>
      <w:r w:rsidR="00610401" w:rsidRPr="00610401">
        <w:rPr>
          <w:noProof/>
        </w:rPr>
        <w:t xml:space="preserve"> i rea</w:t>
      </w:r>
      <w:r w:rsidRPr="00610401">
        <w:rPr>
          <w:noProof/>
        </w:rPr>
        <w:t xml:space="preserve">lizację krajowych planów odbudowy. </w:t>
      </w:r>
    </w:p>
    <w:p w:rsidR="00CD623F" w:rsidRPr="00610401" w:rsidRDefault="00CD623F" w:rsidP="00CD623F">
      <w:pPr>
        <w:rPr>
          <w:rFonts w:eastAsia="Times New Roman"/>
          <w:noProof/>
        </w:rPr>
      </w:pPr>
      <w:r w:rsidRPr="00610401">
        <w:rPr>
          <w:noProof/>
        </w:rPr>
        <w:t>Wniosek ma umożliwić Unii podjęcie natychmiastowych działań oraz rozpoczęcie odbudowy ekosystemów</w:t>
      </w:r>
      <w:r w:rsidR="00610401" w:rsidRPr="00610401">
        <w:rPr>
          <w:noProof/>
        </w:rPr>
        <w:t xml:space="preserve"> w opa</w:t>
      </w:r>
      <w:r w:rsidRPr="00610401">
        <w:rPr>
          <w:noProof/>
        </w:rPr>
        <w:t>rciu</w:t>
      </w:r>
      <w:r w:rsidR="00610401" w:rsidRPr="00610401">
        <w:rPr>
          <w:noProof/>
        </w:rPr>
        <w:t xml:space="preserve"> o wią</w:t>
      </w:r>
      <w:r w:rsidRPr="00610401">
        <w:rPr>
          <w:noProof/>
        </w:rPr>
        <w:t>żące cele</w:t>
      </w:r>
      <w:r w:rsidR="00610401" w:rsidRPr="00610401">
        <w:rPr>
          <w:noProof/>
        </w:rPr>
        <w:t xml:space="preserve"> i obo</w:t>
      </w:r>
      <w:r w:rsidRPr="00610401">
        <w:rPr>
          <w:noProof/>
        </w:rPr>
        <w:t>wiązki, których realizację można już teraz mierzyć</w:t>
      </w:r>
      <w:r w:rsidR="00610401" w:rsidRPr="00610401">
        <w:rPr>
          <w:noProof/>
        </w:rPr>
        <w:t xml:space="preserve"> i mon</w:t>
      </w:r>
      <w:r w:rsidRPr="00610401">
        <w:rPr>
          <w:noProof/>
        </w:rPr>
        <w:t>itorować. Dzięki temu państwa członkowskie będą mogły niezwłocznie rozpocząć prace związane</w:t>
      </w:r>
      <w:r w:rsidR="00610401" w:rsidRPr="00610401">
        <w:rPr>
          <w:noProof/>
        </w:rPr>
        <w:t xml:space="preserve"> z odb</w:t>
      </w:r>
      <w:r w:rsidRPr="00610401">
        <w:rPr>
          <w:noProof/>
        </w:rPr>
        <w:t>udową. Na późniejszych etapach,</w:t>
      </w:r>
      <w:r w:rsidR="00610401" w:rsidRPr="00610401">
        <w:rPr>
          <w:noProof/>
        </w:rPr>
        <w:t xml:space="preserve"> w dro</w:t>
      </w:r>
      <w:r w:rsidRPr="00610401">
        <w:rPr>
          <w:noProof/>
        </w:rPr>
        <w:t xml:space="preserve">dze zmiany rozporządzenia, działaniami tymi będzie można objąć więcej ekosystemów dzięki opracowaniu wspólnych metod wyznaczania dalszych celów. </w:t>
      </w:r>
    </w:p>
    <w:p w:rsidR="00CD623F" w:rsidRPr="00610401" w:rsidRDefault="00CD623F" w:rsidP="00CD623F">
      <w:pPr>
        <w:rPr>
          <w:rStyle w:val="normaltextrun"/>
          <w:rFonts w:asciiTheme="minorHAnsi" w:hAnsiTheme="minorHAnsi"/>
          <w:noProof/>
          <w:color w:val="000000" w:themeColor="text1"/>
          <w:sz w:val="22"/>
        </w:rPr>
      </w:pPr>
      <w:r w:rsidRPr="00610401">
        <w:rPr>
          <w:noProof/>
        </w:rPr>
        <w:t>W ten sposób wniosek toruje drogę do odbudowy</w:t>
      </w:r>
      <w:r w:rsidR="00610401" w:rsidRPr="00610401">
        <w:rPr>
          <w:noProof/>
        </w:rPr>
        <w:t xml:space="preserve"> i utr</w:t>
      </w:r>
      <w:r w:rsidRPr="00610401">
        <w:rPr>
          <w:noProof/>
        </w:rPr>
        <w:t>zymania w UE szerokiego zakresu ekosystemów do</w:t>
      </w:r>
      <w:r w:rsidR="00610401" w:rsidRPr="00610401">
        <w:rPr>
          <w:noProof/>
        </w:rPr>
        <w:t> </w:t>
      </w:r>
      <w:r w:rsidRPr="00610401">
        <w:rPr>
          <w:noProof/>
        </w:rPr>
        <w:t>2050</w:t>
      </w:r>
      <w:r w:rsidR="00610401" w:rsidRPr="00610401">
        <w:rPr>
          <w:noProof/>
        </w:rPr>
        <w:t> </w:t>
      </w:r>
      <w:r w:rsidRPr="00610401">
        <w:rPr>
          <w:noProof/>
        </w:rPr>
        <w:t>r., przy czym wymierne rezultaty będą widoczne już do</w:t>
      </w:r>
      <w:r w:rsidR="00610401" w:rsidRPr="00610401">
        <w:rPr>
          <w:noProof/>
        </w:rPr>
        <w:t> </w:t>
      </w:r>
      <w:r w:rsidRPr="00610401">
        <w:rPr>
          <w:noProof/>
        </w:rPr>
        <w:t>2030</w:t>
      </w:r>
      <w:r w:rsidR="00610401" w:rsidRPr="00610401">
        <w:rPr>
          <w:noProof/>
        </w:rPr>
        <w:t xml:space="preserve"> i 2</w:t>
      </w:r>
      <w:r w:rsidRPr="00610401">
        <w:rPr>
          <w:noProof/>
        </w:rPr>
        <w:t>040</w:t>
      </w:r>
      <w:r w:rsidR="00610401" w:rsidRPr="00610401">
        <w:rPr>
          <w:noProof/>
        </w:rPr>
        <w:t> </w:t>
      </w:r>
      <w:r w:rsidRPr="00610401">
        <w:rPr>
          <w:noProof/>
        </w:rPr>
        <w:t>r. Dzięki niemu Unia może przyczynić się do powstrzymania utraty różnorodności biologicznej</w:t>
      </w:r>
      <w:r w:rsidR="00610401" w:rsidRPr="00610401">
        <w:rPr>
          <w:noProof/>
        </w:rPr>
        <w:t xml:space="preserve"> i prz</w:t>
      </w:r>
      <w:r w:rsidRPr="00610401">
        <w:rPr>
          <w:noProof/>
        </w:rPr>
        <w:t>ywrócenia przyrody do dobrego stanu.</w:t>
      </w:r>
      <w:r w:rsidR="00610401" w:rsidRPr="00610401">
        <w:rPr>
          <w:noProof/>
        </w:rPr>
        <w:t xml:space="preserve"> </w:t>
      </w:r>
      <w:r w:rsidRPr="00610401">
        <w:rPr>
          <w:noProof/>
        </w:rPr>
        <w:t xml:space="preserve">Dzięki niemu </w:t>
      </w:r>
      <w:r w:rsidRPr="00610401">
        <w:rPr>
          <w:rStyle w:val="normaltextrun"/>
          <w:noProof/>
          <w:color w:val="000000" w:themeColor="text1"/>
        </w:rPr>
        <w:t>Unia umocni też swoją pozycję globalnego lidera</w:t>
      </w:r>
      <w:r w:rsidR="00610401" w:rsidRPr="00610401">
        <w:rPr>
          <w:rStyle w:val="normaltextrun"/>
          <w:noProof/>
          <w:color w:val="000000" w:themeColor="text1"/>
        </w:rPr>
        <w:t xml:space="preserve"> w dzi</w:t>
      </w:r>
      <w:r w:rsidRPr="00610401">
        <w:rPr>
          <w:rStyle w:val="normaltextrun"/>
          <w:noProof/>
          <w:color w:val="000000" w:themeColor="text1"/>
        </w:rPr>
        <w:t>edzinie ochrony przyrody,</w:t>
      </w:r>
      <w:r w:rsidR="00610401" w:rsidRPr="00610401">
        <w:rPr>
          <w:rStyle w:val="normaltextrun"/>
          <w:noProof/>
          <w:color w:val="000000" w:themeColor="text1"/>
        </w:rPr>
        <w:t xml:space="preserve"> w szc</w:t>
      </w:r>
      <w:r w:rsidRPr="00610401">
        <w:rPr>
          <w:rStyle w:val="normaltextrun"/>
          <w:noProof/>
          <w:color w:val="000000" w:themeColor="text1"/>
        </w:rPr>
        <w:t xml:space="preserve">zególności na Konferencji Stron </w:t>
      </w:r>
      <w:r w:rsidRPr="00610401">
        <w:rPr>
          <w:noProof/>
        </w:rPr>
        <w:t>Konwencji</w:t>
      </w:r>
      <w:r w:rsidR="00610401" w:rsidRPr="00610401">
        <w:rPr>
          <w:noProof/>
        </w:rPr>
        <w:t xml:space="preserve"> o róż</w:t>
      </w:r>
      <w:r w:rsidRPr="00610401">
        <w:rPr>
          <w:noProof/>
        </w:rPr>
        <w:t>norodności biologicznej, która ma się odbyć jeszcze</w:t>
      </w:r>
      <w:r w:rsidR="00610401" w:rsidRPr="00610401">
        <w:rPr>
          <w:noProof/>
        </w:rPr>
        <w:t xml:space="preserve"> w 2</w:t>
      </w:r>
      <w:r w:rsidRPr="00610401">
        <w:rPr>
          <w:noProof/>
        </w:rPr>
        <w:t>022</w:t>
      </w:r>
      <w:r w:rsidR="00610401" w:rsidRPr="00610401">
        <w:rPr>
          <w:noProof/>
        </w:rPr>
        <w:t> </w:t>
      </w:r>
      <w:r w:rsidRPr="00610401">
        <w:rPr>
          <w:noProof/>
        </w:rPr>
        <w:t xml:space="preserve">r. </w:t>
      </w:r>
    </w:p>
    <w:p w:rsidR="00CD623F" w:rsidRPr="00610401" w:rsidRDefault="00CD623F" w:rsidP="00B16B21">
      <w:pPr>
        <w:pStyle w:val="ManualHeading2"/>
        <w:rPr>
          <w:noProof/>
          <w:color w:val="000000"/>
          <w:u w:color="000000"/>
          <w:bdr w:val="nil"/>
        </w:rPr>
      </w:pPr>
      <w:r w:rsidRPr="00610401">
        <w:rPr>
          <w:noProof/>
          <w:color w:val="000000"/>
          <w:bdr w:val="nil"/>
        </w:rPr>
        <w:t>•</w:t>
      </w:r>
      <w:r w:rsidRPr="00610401">
        <w:rPr>
          <w:noProof/>
        </w:rPr>
        <w:tab/>
        <w:t>Spójność</w:t>
      </w:r>
      <w:r w:rsidR="00610401" w:rsidRPr="00610401">
        <w:rPr>
          <w:noProof/>
        </w:rPr>
        <w:t xml:space="preserve"> z prz</w:t>
      </w:r>
      <w:r w:rsidRPr="00610401">
        <w:rPr>
          <w:noProof/>
        </w:rPr>
        <w:t>episami obowiązującymi</w:t>
      </w:r>
      <w:r w:rsidR="00610401" w:rsidRPr="00610401">
        <w:rPr>
          <w:noProof/>
        </w:rPr>
        <w:t xml:space="preserve"> w tej</w:t>
      </w:r>
      <w:r w:rsidRPr="00610401">
        <w:rPr>
          <w:noProof/>
        </w:rPr>
        <w:t xml:space="preserve"> dziedzinie polityki </w:t>
      </w:r>
    </w:p>
    <w:p w:rsidR="00CD623F" w:rsidRPr="00610401" w:rsidRDefault="00CD623F" w:rsidP="002E61AD">
      <w:pPr>
        <w:rPr>
          <w:noProof/>
        </w:rPr>
      </w:pPr>
      <w:r w:rsidRPr="00610401">
        <w:rPr>
          <w:noProof/>
        </w:rPr>
        <w:t>Celem wniosku jest uzupełnienie obowiązującej polityki ochrony środowiska. Opracowano go</w:t>
      </w:r>
      <w:r w:rsidR="00610401" w:rsidRPr="00610401">
        <w:rPr>
          <w:noProof/>
        </w:rPr>
        <w:t xml:space="preserve"> w tak</w:t>
      </w:r>
      <w:r w:rsidRPr="00610401">
        <w:rPr>
          <w:noProof/>
        </w:rPr>
        <w:t>i sposób, aby umożliwić jego skuteczne działanie</w:t>
      </w:r>
      <w:r w:rsidR="00610401" w:rsidRPr="00610401">
        <w:rPr>
          <w:noProof/>
        </w:rPr>
        <w:t xml:space="preserve"> w syn</w:t>
      </w:r>
      <w:r w:rsidRPr="00610401">
        <w:rPr>
          <w:noProof/>
        </w:rPr>
        <w:t>ergii</w:t>
      </w:r>
      <w:r w:rsidR="00610401" w:rsidRPr="00610401">
        <w:rPr>
          <w:noProof/>
        </w:rPr>
        <w:t xml:space="preserve"> z uni</w:t>
      </w:r>
      <w:r w:rsidRPr="00610401">
        <w:rPr>
          <w:noProof/>
        </w:rPr>
        <w:t>jnym prawem ochrony środowiska. Ponadto wniosek da impuls do lepszej koordynacji</w:t>
      </w:r>
      <w:r w:rsidR="00610401" w:rsidRPr="00610401">
        <w:rPr>
          <w:noProof/>
        </w:rPr>
        <w:t xml:space="preserve"> i sku</w:t>
      </w:r>
      <w:r w:rsidRPr="00610401">
        <w:rPr>
          <w:noProof/>
        </w:rPr>
        <w:t xml:space="preserve">teczniejszego wdrażania tych przepisów. </w:t>
      </w:r>
    </w:p>
    <w:p w:rsidR="00CD623F" w:rsidRPr="00610401" w:rsidRDefault="00CD623F" w:rsidP="002E61AD">
      <w:pPr>
        <w:rPr>
          <w:noProof/>
        </w:rPr>
      </w:pPr>
      <w:r w:rsidRPr="00610401">
        <w:rPr>
          <w:noProof/>
        </w:rPr>
        <w:t>Wniosek uzupełni</w:t>
      </w:r>
      <w:r w:rsidR="00610401" w:rsidRPr="00610401">
        <w:rPr>
          <w:noProof/>
        </w:rPr>
        <w:t xml:space="preserve"> w szc</w:t>
      </w:r>
      <w:r w:rsidRPr="00610401">
        <w:rPr>
          <w:noProof/>
        </w:rPr>
        <w:t xml:space="preserve">zególności: </w:t>
      </w:r>
    </w:p>
    <w:p w:rsidR="00CD623F" w:rsidRPr="00610401" w:rsidRDefault="00CD623F" w:rsidP="002E61AD">
      <w:pPr>
        <w:rPr>
          <w:noProof/>
        </w:rPr>
      </w:pPr>
      <w:r w:rsidRPr="00610401">
        <w:rPr>
          <w:noProof/>
        </w:rPr>
        <w:t>dyrektywy ptasią</w:t>
      </w:r>
      <w:r w:rsidRPr="00610401">
        <w:rPr>
          <w:rStyle w:val="FootnoteReference"/>
          <w:rFonts w:eastAsia="Arial Unicode MS"/>
          <w:noProof/>
        </w:rPr>
        <w:footnoteReference w:id="22"/>
      </w:r>
      <w:r w:rsidR="00610401" w:rsidRPr="00610401">
        <w:rPr>
          <w:noProof/>
        </w:rPr>
        <w:t xml:space="preserve"> i sie</w:t>
      </w:r>
      <w:r w:rsidRPr="00610401">
        <w:rPr>
          <w:noProof/>
        </w:rPr>
        <w:t>dliskową</w:t>
      </w:r>
      <w:r w:rsidRPr="00610401">
        <w:rPr>
          <w:rStyle w:val="FootnoteReference"/>
          <w:rFonts w:eastAsia="Arial Unicode MS"/>
          <w:noProof/>
        </w:rPr>
        <w:footnoteReference w:id="23"/>
      </w:r>
      <w:r w:rsidRPr="00610401">
        <w:rPr>
          <w:noProof/>
        </w:rPr>
        <w:t xml:space="preserve"> przez wyznaczenie terminów realizacji celów</w:t>
      </w:r>
      <w:r w:rsidR="00610401" w:rsidRPr="00610401">
        <w:rPr>
          <w:noProof/>
        </w:rPr>
        <w:t xml:space="preserve"> i nał</w:t>
      </w:r>
      <w:r w:rsidRPr="00610401">
        <w:rPr>
          <w:noProof/>
        </w:rPr>
        <w:t xml:space="preserve">ożenie na państwa członkowskie obowiązku odbudowy także ekosystemów znajdujących się poza siecią Natura 2000; </w:t>
      </w:r>
    </w:p>
    <w:p w:rsidR="00CD623F" w:rsidRPr="00610401" w:rsidRDefault="00B91421" w:rsidP="002E61AD">
      <w:pPr>
        <w:rPr>
          <w:bCs/>
          <w:noProof/>
        </w:rPr>
      </w:pPr>
      <w:r w:rsidRPr="00610401">
        <w:rPr>
          <w:noProof/>
        </w:rPr>
        <w:t>ramową dyrektywę wodną</w:t>
      </w:r>
      <w:r w:rsidRPr="00610401">
        <w:rPr>
          <w:rStyle w:val="FootnoteReference"/>
          <w:rFonts w:eastAsia="Arial Unicode MS"/>
          <w:noProof/>
        </w:rPr>
        <w:footnoteReference w:id="24"/>
      </w:r>
      <w:r w:rsidRPr="00610401">
        <w:rPr>
          <w:noProof/>
        </w:rPr>
        <w:t xml:space="preserve"> przez określenie dodatkowych wymogów dotyczących odbudowy na rzecz ciągłości rzek oraz</w:t>
      </w:r>
      <w:r w:rsidR="00610401" w:rsidRPr="00610401">
        <w:rPr>
          <w:noProof/>
        </w:rPr>
        <w:t xml:space="preserve"> w cel</w:t>
      </w:r>
      <w:r w:rsidRPr="00610401">
        <w:rPr>
          <w:noProof/>
        </w:rPr>
        <w:t xml:space="preserve">u zapewnienia dobrego stanu równin zalewowych; </w:t>
      </w:r>
    </w:p>
    <w:p w:rsidR="00CD623F" w:rsidRPr="00610401" w:rsidRDefault="00B91421" w:rsidP="002E61AD">
      <w:pPr>
        <w:rPr>
          <w:noProof/>
        </w:rPr>
      </w:pPr>
      <w:r w:rsidRPr="00610401">
        <w:rPr>
          <w:noProof/>
        </w:rPr>
        <w:t>dyrektywę ramową</w:t>
      </w:r>
      <w:r w:rsidR="00610401" w:rsidRPr="00610401">
        <w:rPr>
          <w:noProof/>
        </w:rPr>
        <w:t xml:space="preserve"> w spr</w:t>
      </w:r>
      <w:r w:rsidRPr="00610401">
        <w:rPr>
          <w:noProof/>
        </w:rPr>
        <w:t>awie strategii morskiej</w:t>
      </w:r>
      <w:r w:rsidRPr="00610401">
        <w:rPr>
          <w:rStyle w:val="FootnoteReference"/>
          <w:rFonts w:eastAsia="Arial Unicode MS"/>
          <w:noProof/>
        </w:rPr>
        <w:footnoteReference w:id="25"/>
      </w:r>
      <w:r w:rsidRPr="00610401">
        <w:rPr>
          <w:noProof/>
        </w:rPr>
        <w:t>, przez wprowadzenie konkretnych środków</w:t>
      </w:r>
      <w:r w:rsidR="00610401" w:rsidRPr="00610401">
        <w:rPr>
          <w:noProof/>
        </w:rPr>
        <w:t xml:space="preserve"> i szc</w:t>
      </w:r>
      <w:r w:rsidRPr="00610401">
        <w:rPr>
          <w:noProof/>
        </w:rPr>
        <w:t>zegółowych celów dotyczących określonych siedlisk morskich wymagających odbudowy;</w:t>
      </w:r>
    </w:p>
    <w:p w:rsidR="00CD623F" w:rsidRPr="00610401" w:rsidRDefault="00B91421" w:rsidP="002E61AD">
      <w:pPr>
        <w:rPr>
          <w:noProof/>
        </w:rPr>
      </w:pPr>
      <w:r w:rsidRPr="00610401">
        <w:rPr>
          <w:noProof/>
        </w:rPr>
        <w:t>rozporządzenie</w:t>
      </w:r>
      <w:r w:rsidR="00610401" w:rsidRPr="00610401">
        <w:rPr>
          <w:noProof/>
        </w:rPr>
        <w:t xml:space="preserve"> w spr</w:t>
      </w:r>
      <w:r w:rsidRPr="00610401">
        <w:rPr>
          <w:noProof/>
        </w:rPr>
        <w:t>awie inwazyjnych gatunków obcych</w:t>
      </w:r>
      <w:r w:rsidRPr="00610401">
        <w:rPr>
          <w:rStyle w:val="FootnoteReference"/>
          <w:rFonts w:eastAsia="Arial Unicode MS"/>
          <w:noProof/>
        </w:rPr>
        <w:footnoteReference w:id="26"/>
      </w:r>
      <w:r w:rsidRPr="00610401">
        <w:rPr>
          <w:noProof/>
        </w:rPr>
        <w:t xml:space="preserve">. </w:t>
      </w:r>
    </w:p>
    <w:p w:rsidR="00CD623F" w:rsidRPr="00610401" w:rsidRDefault="00CD623F" w:rsidP="00B0251E">
      <w:pPr>
        <w:rPr>
          <w:rFonts w:eastAsiaTheme="minorEastAsia"/>
          <w:bCs/>
          <w:noProof/>
          <w:color w:val="FF0000"/>
        </w:rPr>
      </w:pPr>
      <w:r w:rsidRPr="00610401">
        <w:rPr>
          <w:noProof/>
        </w:rPr>
        <w:t>Będzie on także funkcjonował</w:t>
      </w:r>
      <w:r w:rsidR="00610401" w:rsidRPr="00610401">
        <w:rPr>
          <w:noProof/>
        </w:rPr>
        <w:t xml:space="preserve"> w ści</w:t>
      </w:r>
      <w:r w:rsidRPr="00610401">
        <w:rPr>
          <w:noProof/>
        </w:rPr>
        <w:t>słym powiązaniu na poziomie szczegółowym ze wspólną polityką rybołówstwa, zapewni spójność</w:t>
      </w:r>
      <w:r w:rsidR="00610401" w:rsidRPr="00610401">
        <w:rPr>
          <w:noProof/>
        </w:rPr>
        <w:t xml:space="preserve"> i w sto</w:t>
      </w:r>
      <w:r w:rsidRPr="00610401">
        <w:rPr>
          <w:noProof/>
        </w:rPr>
        <w:t xml:space="preserve">sownych przypadkach komplementarność. </w:t>
      </w:r>
    </w:p>
    <w:p w:rsidR="00CD623F" w:rsidRPr="00610401" w:rsidRDefault="00CD623F" w:rsidP="002E61AD">
      <w:pPr>
        <w:rPr>
          <w:noProof/>
        </w:rPr>
      </w:pPr>
      <w:r w:rsidRPr="00610401">
        <w:rPr>
          <w:noProof/>
        </w:rPr>
        <w:t>Z uwagi na zawarte</w:t>
      </w:r>
      <w:r w:rsidR="00610401" w:rsidRPr="00610401">
        <w:rPr>
          <w:noProof/>
        </w:rPr>
        <w:t xml:space="preserve"> w nim</w:t>
      </w:r>
      <w:r w:rsidRPr="00610401">
        <w:rPr>
          <w:noProof/>
        </w:rPr>
        <w:t xml:space="preserve"> szczegółowe cele</w:t>
      </w:r>
      <w:r w:rsidR="00610401" w:rsidRPr="00610401">
        <w:rPr>
          <w:noProof/>
        </w:rPr>
        <w:t xml:space="preserve"> i obo</w:t>
      </w:r>
      <w:r w:rsidRPr="00610401">
        <w:rPr>
          <w:noProof/>
        </w:rPr>
        <w:t>wiązki dotyczące siedlisk leśnych wniosek jest bezpośrednio powiązany</w:t>
      </w:r>
      <w:r w:rsidR="00610401" w:rsidRPr="00610401">
        <w:rPr>
          <w:noProof/>
        </w:rPr>
        <w:t xml:space="preserve"> z now</w:t>
      </w:r>
      <w:r w:rsidRPr="00610401">
        <w:rPr>
          <w:noProof/>
        </w:rPr>
        <w:t>ą strategią leśną UE 2030</w:t>
      </w:r>
      <w:r w:rsidRPr="00610401">
        <w:rPr>
          <w:rStyle w:val="FootnoteReference"/>
          <w:noProof/>
        </w:rPr>
        <w:footnoteReference w:id="27"/>
      </w:r>
      <w:r w:rsidR="00610401" w:rsidRPr="00610401">
        <w:rPr>
          <w:noProof/>
        </w:rPr>
        <w:t xml:space="preserve"> i prz</w:t>
      </w:r>
      <w:r w:rsidRPr="00610401">
        <w:rPr>
          <w:noProof/>
        </w:rPr>
        <w:t>yczynia się do jej realizacji za sprawą środków odbudowy, które poprawią bioróżnorodność</w:t>
      </w:r>
      <w:r w:rsidR="00610401" w:rsidRPr="00610401">
        <w:rPr>
          <w:noProof/>
        </w:rPr>
        <w:t xml:space="preserve"> i odp</w:t>
      </w:r>
      <w:r w:rsidRPr="00610401">
        <w:rPr>
          <w:noProof/>
        </w:rPr>
        <w:t>orność lasów.</w:t>
      </w:r>
    </w:p>
    <w:p w:rsidR="00CD623F" w:rsidRPr="00610401" w:rsidRDefault="00025835" w:rsidP="002E61AD">
      <w:pPr>
        <w:rPr>
          <w:noProof/>
        </w:rPr>
      </w:pPr>
      <w:r w:rsidRPr="00610401">
        <w:rPr>
          <w:noProof/>
        </w:rPr>
        <w:t>W odniesieniu do wspólnej polityki rolnej wniosek opiera się na szczegółowych celach dotyczących siedlisk obszarów trawiastych objętych zakresem dyrektywy 92/43/EWG,</w:t>
      </w:r>
      <w:r w:rsidR="00610401" w:rsidRPr="00610401">
        <w:rPr>
          <w:noProof/>
        </w:rPr>
        <w:t xml:space="preserve"> a w sze</w:t>
      </w:r>
      <w:r w:rsidRPr="00610401">
        <w:rPr>
          <w:noProof/>
        </w:rPr>
        <w:t>rszym znaczeniu</w:t>
      </w:r>
      <w:r w:rsidR="00610401" w:rsidRPr="00610401">
        <w:rPr>
          <w:noProof/>
        </w:rPr>
        <w:t xml:space="preserve"> w kon</w:t>
      </w:r>
      <w:r w:rsidRPr="00610401">
        <w:rPr>
          <w:noProof/>
        </w:rPr>
        <w:t>tekście ekosystemów rolniczych</w:t>
      </w:r>
      <w:r w:rsidR="00610401" w:rsidRPr="00610401">
        <w:rPr>
          <w:noProof/>
        </w:rPr>
        <w:t xml:space="preserve"> w cał</w:t>
      </w:r>
      <w:r w:rsidRPr="00610401">
        <w:rPr>
          <w:noProof/>
        </w:rPr>
        <w:t>ej UE jego podstawę stanowią dowody potwierdzające poprawę zestawu wskaźników służących zwiększeniu różnorodności biologicznej. Wniosek jest wyraźne powiązany ze Strategią UE na rzecz ochrony gleb 2030, ponieważ wiele ekosystemów lądowych jest zależnych od danej gleby</w:t>
      </w:r>
      <w:r w:rsidR="00610401" w:rsidRPr="00610401">
        <w:rPr>
          <w:noProof/>
        </w:rPr>
        <w:t xml:space="preserve"> i odd</w:t>
      </w:r>
      <w:r w:rsidRPr="00610401">
        <w:rPr>
          <w:noProof/>
        </w:rPr>
        <w:t>ziałuje na glebę. Wszelkie inne cele związane</w:t>
      </w:r>
      <w:r w:rsidR="00610401" w:rsidRPr="00610401">
        <w:rPr>
          <w:noProof/>
        </w:rPr>
        <w:t xml:space="preserve"> z gle</w:t>
      </w:r>
      <w:r w:rsidRPr="00610401">
        <w:rPr>
          <w:noProof/>
        </w:rPr>
        <w:t xml:space="preserve">bą zostaną włączone do przyszłego prawodawstwa dotyczącego gleb. </w:t>
      </w:r>
    </w:p>
    <w:p w:rsidR="00CD623F" w:rsidRPr="00610401" w:rsidRDefault="00CD623F" w:rsidP="00B0251E">
      <w:pPr>
        <w:rPr>
          <w:noProof/>
        </w:rPr>
      </w:pPr>
      <w:r w:rsidRPr="00610401">
        <w:rPr>
          <w:noProof/>
        </w:rPr>
        <w:t>Co więcej, proponowany cel polegający na odwróceniu spadku liczebności owadów zapylających pomoże</w:t>
      </w:r>
      <w:r w:rsidR="00610401" w:rsidRPr="00610401">
        <w:rPr>
          <w:noProof/>
        </w:rPr>
        <w:t xml:space="preserve"> w osi</w:t>
      </w:r>
      <w:r w:rsidRPr="00610401">
        <w:rPr>
          <w:noProof/>
        </w:rPr>
        <w:t>ągnięciu celów inicjatywy UE na rzecz owadów zapylających</w:t>
      </w:r>
      <w:r w:rsidRPr="00610401">
        <w:rPr>
          <w:rStyle w:val="FootnoteReference"/>
          <w:noProof/>
        </w:rPr>
        <w:footnoteReference w:id="28"/>
      </w:r>
      <w:r w:rsidRPr="00610401">
        <w:rPr>
          <w:noProof/>
        </w:rPr>
        <w:t>. Zawarte we wniosku cele dotyczące zwiększenia powierzchni terenów zielonych na obszarach miejskich będą miały bezpośrednie przełożenie na realizację strategii na rzecz zielonej infrastruktury</w:t>
      </w:r>
      <w:r w:rsidRPr="00610401">
        <w:rPr>
          <w:rStyle w:val="FootnoteReference"/>
          <w:noProof/>
        </w:rPr>
        <w:footnoteReference w:id="29"/>
      </w:r>
      <w:r w:rsidRPr="00610401">
        <w:rPr>
          <w:noProof/>
        </w:rPr>
        <w:t xml:space="preserve">. </w:t>
      </w:r>
    </w:p>
    <w:p w:rsidR="00CD623F" w:rsidRPr="00610401" w:rsidRDefault="00CD623F" w:rsidP="002E61AD">
      <w:pPr>
        <w:rPr>
          <w:noProof/>
        </w:rPr>
      </w:pPr>
      <w:r w:rsidRPr="00610401">
        <w:rPr>
          <w:noProof/>
        </w:rPr>
        <w:t>Środki</w:t>
      </w:r>
      <w:r w:rsidR="00610401" w:rsidRPr="00610401">
        <w:rPr>
          <w:noProof/>
        </w:rPr>
        <w:t xml:space="preserve"> z zak</w:t>
      </w:r>
      <w:r w:rsidRPr="00610401">
        <w:rPr>
          <w:noProof/>
        </w:rPr>
        <w:t>resu polityki wprowadzane na podstawie innych strategii środowiskowych, takich jak plan działania dotyczący gospodarki</w:t>
      </w:r>
      <w:r w:rsidR="00610401" w:rsidRPr="00610401">
        <w:rPr>
          <w:noProof/>
        </w:rPr>
        <w:t xml:space="preserve"> o obi</w:t>
      </w:r>
      <w:r w:rsidRPr="00610401">
        <w:rPr>
          <w:noProof/>
        </w:rPr>
        <w:t>egu zamkniętym na rzecz czystszej</w:t>
      </w:r>
      <w:r w:rsidR="00610401" w:rsidRPr="00610401">
        <w:rPr>
          <w:noProof/>
        </w:rPr>
        <w:t xml:space="preserve"> i bar</w:t>
      </w:r>
      <w:r w:rsidRPr="00610401">
        <w:rPr>
          <w:noProof/>
        </w:rPr>
        <w:t>dziej konkurencyjnej Europy</w:t>
      </w:r>
      <w:r w:rsidRPr="00610401">
        <w:rPr>
          <w:rStyle w:val="FootnoteReference"/>
          <w:noProof/>
        </w:rPr>
        <w:footnoteReference w:id="30"/>
      </w:r>
      <w:r w:rsidRPr="00610401">
        <w:rPr>
          <w:noProof/>
        </w:rPr>
        <w:t xml:space="preserve"> oraz plan działania na rzecz eliminacji zanieczyszczeń wody, powietrza</w:t>
      </w:r>
      <w:r w:rsidR="00610401" w:rsidRPr="00610401">
        <w:rPr>
          <w:noProof/>
        </w:rPr>
        <w:t xml:space="preserve"> i gle</w:t>
      </w:r>
      <w:r w:rsidRPr="00610401">
        <w:rPr>
          <w:noProof/>
        </w:rPr>
        <w:t>by</w:t>
      </w:r>
      <w:r w:rsidRPr="00610401">
        <w:rPr>
          <w:rStyle w:val="FootnoteReference"/>
          <w:noProof/>
        </w:rPr>
        <w:footnoteReference w:id="31"/>
      </w:r>
      <w:r w:rsidRPr="00610401">
        <w:rPr>
          <w:noProof/>
        </w:rPr>
        <w:t>, pomogą</w:t>
      </w:r>
      <w:r w:rsidR="00610401" w:rsidRPr="00610401">
        <w:rPr>
          <w:noProof/>
        </w:rPr>
        <w:t xml:space="preserve"> w zmn</w:t>
      </w:r>
      <w:r w:rsidRPr="00610401">
        <w:rPr>
          <w:noProof/>
        </w:rPr>
        <w:t>iejszaniu presji wywieranej na ekosystemy przez redukcję różnych form zanieczyszczeń. Środki takie jak zalecenie Rady</w:t>
      </w:r>
      <w:r w:rsidR="00610401" w:rsidRPr="00610401">
        <w:rPr>
          <w:noProof/>
        </w:rPr>
        <w:t xml:space="preserve"> w spr</w:t>
      </w:r>
      <w:r w:rsidRPr="00610401">
        <w:rPr>
          <w:noProof/>
        </w:rPr>
        <w:t>awie uczenia się na rzecz transformacji ekologicznej</w:t>
      </w:r>
      <w:r w:rsidR="00610401" w:rsidRPr="00610401">
        <w:rPr>
          <w:noProof/>
        </w:rPr>
        <w:t xml:space="preserve"> i zró</w:t>
      </w:r>
      <w:r w:rsidRPr="00610401">
        <w:rPr>
          <w:noProof/>
        </w:rPr>
        <w:t>wnoważonego rozwoju (które ma zostać przyjęte przez Radę 16 czerwca 2022</w:t>
      </w:r>
      <w:r w:rsidR="00610401" w:rsidRPr="00610401">
        <w:rPr>
          <w:noProof/>
        </w:rPr>
        <w:t> </w:t>
      </w:r>
      <w:r w:rsidRPr="00610401">
        <w:rPr>
          <w:noProof/>
        </w:rPr>
        <w:t>r.)</w:t>
      </w:r>
      <w:r w:rsidRPr="00610401">
        <w:rPr>
          <w:rStyle w:val="FootnoteReference"/>
          <w:noProof/>
        </w:rPr>
        <w:footnoteReference w:id="32"/>
      </w:r>
      <w:r w:rsidRPr="00610401">
        <w:rPr>
          <w:noProof/>
        </w:rPr>
        <w:t xml:space="preserve"> mogą przyczynić się do tworzenia niezbędnej wiedzy, umiejętności</w:t>
      </w:r>
      <w:r w:rsidR="00610401" w:rsidRPr="00610401">
        <w:rPr>
          <w:noProof/>
        </w:rPr>
        <w:t xml:space="preserve"> i pos</w:t>
      </w:r>
      <w:r w:rsidRPr="00610401">
        <w:rPr>
          <w:noProof/>
        </w:rPr>
        <w:t>taw</w:t>
      </w:r>
      <w:r w:rsidR="00610401" w:rsidRPr="00610401">
        <w:rPr>
          <w:noProof/>
        </w:rPr>
        <w:t xml:space="preserve"> w zak</w:t>
      </w:r>
      <w:r w:rsidRPr="00610401">
        <w:rPr>
          <w:noProof/>
        </w:rPr>
        <w:t>resie zrównoważenia środowiskowego,</w:t>
      </w:r>
      <w:r w:rsidR="00610401" w:rsidRPr="00610401">
        <w:rPr>
          <w:noProof/>
        </w:rPr>
        <w:t xml:space="preserve"> w tym w cel</w:t>
      </w:r>
      <w:r w:rsidRPr="00610401">
        <w:rPr>
          <w:noProof/>
        </w:rPr>
        <w:t>u wsparcia odbudowy zasobów przyrodniczych.</w:t>
      </w:r>
    </w:p>
    <w:p w:rsidR="00CD623F" w:rsidRPr="00610401" w:rsidRDefault="00CD623F" w:rsidP="002E61AD">
      <w:pPr>
        <w:rPr>
          <w:noProof/>
        </w:rPr>
      </w:pPr>
      <w:r w:rsidRPr="00610401">
        <w:rPr>
          <w:noProof/>
        </w:rPr>
        <w:t xml:space="preserve"> </w:t>
      </w:r>
    </w:p>
    <w:p w:rsidR="00CD623F" w:rsidRPr="00610401" w:rsidRDefault="00CD623F" w:rsidP="002E61AD">
      <w:pPr>
        <w:pStyle w:val="ManualHeading2"/>
        <w:rPr>
          <w:noProof/>
        </w:rPr>
      </w:pPr>
      <w:r w:rsidRPr="00610401">
        <w:rPr>
          <w:noProof/>
        </w:rPr>
        <w:t>Spójność</w:t>
      </w:r>
      <w:r w:rsidR="00610401" w:rsidRPr="00610401">
        <w:rPr>
          <w:noProof/>
        </w:rPr>
        <w:t xml:space="preserve"> z inn</w:t>
      </w:r>
      <w:r w:rsidRPr="00610401">
        <w:rPr>
          <w:noProof/>
        </w:rPr>
        <w:t>ymi politykami Unii</w:t>
      </w:r>
    </w:p>
    <w:p w:rsidR="00CD623F" w:rsidRPr="00610401" w:rsidRDefault="00CD623F" w:rsidP="00B0251E">
      <w:pPr>
        <w:rPr>
          <w:noProof/>
        </w:rPr>
      </w:pPr>
      <w:r w:rsidRPr="00610401">
        <w:rPr>
          <w:noProof/>
        </w:rPr>
        <w:t>Odbudowa ekosystemów</w:t>
      </w:r>
      <w:r w:rsidR="00610401" w:rsidRPr="00610401">
        <w:rPr>
          <w:noProof/>
        </w:rPr>
        <w:t xml:space="preserve"> i zwi</w:t>
      </w:r>
      <w:r w:rsidRPr="00610401">
        <w:rPr>
          <w:noProof/>
        </w:rPr>
        <w:t>ększanie różnorodności biologicznej stanowią podstawowe elementy Europejskiego Zielonego Ładu. Zapewnienie zdrowych ekosystemów</w:t>
      </w:r>
      <w:r w:rsidR="00610401" w:rsidRPr="00610401">
        <w:rPr>
          <w:noProof/>
        </w:rPr>
        <w:t xml:space="preserve"> i prz</w:t>
      </w:r>
      <w:r w:rsidRPr="00610401">
        <w:rPr>
          <w:noProof/>
        </w:rPr>
        <w:t>eciwdziałanie zmianie klimatu są ze sobą nierozerwalnie związane. Globalne ocieplenie wywiera bezpośredni wpływ na ekosystemy, pociągając za sobą długotrwałe lub nieodwracalne skutki takie jak utrata ekosystemów</w:t>
      </w:r>
      <w:r w:rsidR="00610401" w:rsidRPr="00610401">
        <w:rPr>
          <w:noProof/>
        </w:rPr>
        <w:t>. W uni</w:t>
      </w:r>
      <w:r w:rsidRPr="00610401">
        <w:rPr>
          <w:noProof/>
        </w:rPr>
        <w:t>jnej polityce klimatycznej, np.</w:t>
      </w:r>
      <w:r w:rsidR="00610401" w:rsidRPr="00610401">
        <w:rPr>
          <w:noProof/>
        </w:rPr>
        <w:t xml:space="preserve"> w Eur</w:t>
      </w:r>
      <w:r w:rsidRPr="00610401">
        <w:rPr>
          <w:noProof/>
        </w:rPr>
        <w:t>opejskim prawie</w:t>
      </w:r>
      <w:r w:rsidR="00610401" w:rsidRPr="00610401">
        <w:rPr>
          <w:noProof/>
        </w:rPr>
        <w:t xml:space="preserve"> o kli</w:t>
      </w:r>
      <w:r w:rsidRPr="00610401">
        <w:rPr>
          <w:noProof/>
        </w:rPr>
        <w:t>macie</w:t>
      </w:r>
      <w:r w:rsidRPr="00610401">
        <w:rPr>
          <w:rStyle w:val="FootnoteReference"/>
          <w:noProof/>
        </w:rPr>
        <w:footnoteReference w:id="33"/>
      </w:r>
      <w:r w:rsidRPr="00610401">
        <w:rPr>
          <w:noProof/>
        </w:rPr>
        <w:t xml:space="preserve"> czy we wnioskach zawartych</w:t>
      </w:r>
      <w:r w:rsidR="00610401" w:rsidRPr="00610401">
        <w:rPr>
          <w:noProof/>
        </w:rPr>
        <w:t xml:space="preserve"> w pak</w:t>
      </w:r>
      <w:r w:rsidRPr="00610401">
        <w:rPr>
          <w:noProof/>
        </w:rPr>
        <w:t>iecie „Gotowi na</w:t>
      </w:r>
      <w:r w:rsidR="00610401" w:rsidRPr="00610401">
        <w:rPr>
          <w:noProof/>
        </w:rPr>
        <w:t> </w:t>
      </w:r>
      <w:r w:rsidRPr="00610401">
        <w:rPr>
          <w:noProof/>
        </w:rPr>
        <w:t>55” (w szczególności we wniosku dotyczącym rozporządzenia</w:t>
      </w:r>
      <w:r w:rsidR="00610401" w:rsidRPr="00610401">
        <w:rPr>
          <w:noProof/>
        </w:rPr>
        <w:t xml:space="preserve"> w spr</w:t>
      </w:r>
      <w:r w:rsidRPr="00610401">
        <w:rPr>
          <w:noProof/>
        </w:rPr>
        <w:t>awie użytkowania gruntów, zmiany użytkowania gruntów</w:t>
      </w:r>
      <w:r w:rsidR="00610401" w:rsidRPr="00610401">
        <w:rPr>
          <w:noProof/>
        </w:rPr>
        <w:t xml:space="preserve"> i leś</w:t>
      </w:r>
      <w:r w:rsidRPr="00610401">
        <w:rPr>
          <w:noProof/>
        </w:rPr>
        <w:t>nictwa</w:t>
      </w:r>
      <w:r w:rsidRPr="00610401">
        <w:rPr>
          <w:rStyle w:val="FootnoteReference"/>
          <w:noProof/>
        </w:rPr>
        <w:footnoteReference w:id="34"/>
      </w:r>
      <w:r w:rsidRPr="00610401">
        <w:rPr>
          <w:noProof/>
        </w:rPr>
        <w:t>), podkreśla się kluczowe znaczenie naturalnych pochłaniaczy, które wychwytują</w:t>
      </w:r>
      <w:r w:rsidR="00610401" w:rsidRPr="00610401">
        <w:rPr>
          <w:noProof/>
        </w:rPr>
        <w:t xml:space="preserve"> i skł</w:t>
      </w:r>
      <w:r w:rsidRPr="00610401">
        <w:rPr>
          <w:noProof/>
        </w:rPr>
        <w:t>adują dwutlenek węgla. Aby robić to skutecznie, ekosystemy, takie jak tereny podmokłe</w:t>
      </w:r>
      <w:r w:rsidR="00610401" w:rsidRPr="00610401">
        <w:rPr>
          <w:noProof/>
        </w:rPr>
        <w:t xml:space="preserve"> i las</w:t>
      </w:r>
      <w:r w:rsidRPr="00610401">
        <w:rPr>
          <w:noProof/>
        </w:rPr>
        <w:t>y, muszą być</w:t>
      </w:r>
      <w:r w:rsidR="00610401" w:rsidRPr="00610401">
        <w:rPr>
          <w:noProof/>
        </w:rPr>
        <w:t xml:space="preserve"> w dob</w:t>
      </w:r>
      <w:r w:rsidRPr="00610401">
        <w:rPr>
          <w:noProof/>
        </w:rPr>
        <w:t>rym stanie. Można zatem oczekiwać, że niniejsze rozporządzenie</w:t>
      </w:r>
      <w:r w:rsidR="00610401" w:rsidRPr="00610401">
        <w:rPr>
          <w:noProof/>
        </w:rPr>
        <w:t xml:space="preserve"> w zna</w:t>
      </w:r>
      <w:r w:rsidRPr="00610401">
        <w:rPr>
          <w:noProof/>
        </w:rPr>
        <w:t>cznym stopniu przyczyni się do realizacji polityk klimatycznych.</w:t>
      </w:r>
    </w:p>
    <w:p w:rsidR="00CD623F" w:rsidRPr="00610401" w:rsidRDefault="00CD623F" w:rsidP="00B0251E">
      <w:pPr>
        <w:rPr>
          <w:noProof/>
        </w:rPr>
      </w:pPr>
      <w:r w:rsidRPr="00610401">
        <w:rPr>
          <w:noProof/>
        </w:rPr>
        <w:t>Przywracanie ekosystemów do dobrego stanu oznacza wprowadzanie rozwiązań opartych na przyrodzie, które pomagają zarówno</w:t>
      </w:r>
      <w:r w:rsidR="00610401" w:rsidRPr="00610401">
        <w:rPr>
          <w:noProof/>
        </w:rPr>
        <w:t xml:space="preserve"> w łag</w:t>
      </w:r>
      <w:r w:rsidRPr="00610401">
        <w:rPr>
          <w:noProof/>
        </w:rPr>
        <w:t>odzeniu zmiany klimatu, jak</w:t>
      </w:r>
      <w:r w:rsidR="00610401" w:rsidRPr="00610401">
        <w:rPr>
          <w:noProof/>
        </w:rPr>
        <w:t xml:space="preserve"> i w rea</w:t>
      </w:r>
      <w:r w:rsidRPr="00610401">
        <w:rPr>
          <w:noProof/>
        </w:rPr>
        <w:t>lizacji celów strategii UE</w:t>
      </w:r>
      <w:r w:rsidR="00610401" w:rsidRPr="00610401">
        <w:rPr>
          <w:noProof/>
        </w:rPr>
        <w:t xml:space="preserve"> w zak</w:t>
      </w:r>
      <w:r w:rsidRPr="00610401">
        <w:rPr>
          <w:noProof/>
        </w:rPr>
        <w:t>resie przystosowania się do zmiany klimatu</w:t>
      </w:r>
      <w:r w:rsidRPr="00610401">
        <w:rPr>
          <w:rStyle w:val="FootnoteReference"/>
          <w:noProof/>
        </w:rPr>
        <w:footnoteReference w:id="35"/>
      </w:r>
      <w:r w:rsidRPr="00610401">
        <w:rPr>
          <w:noProof/>
        </w:rPr>
        <w:t>. Bardziej różnorodne biologicznie</w:t>
      </w:r>
      <w:r w:rsidR="00610401" w:rsidRPr="00610401">
        <w:rPr>
          <w:noProof/>
        </w:rPr>
        <w:t xml:space="preserve"> i zdr</w:t>
      </w:r>
      <w:r w:rsidRPr="00610401">
        <w:rPr>
          <w:noProof/>
        </w:rPr>
        <w:t>owsze ekosystemy są bardziej odporne na zmianę klimatu,</w:t>
      </w:r>
      <w:r w:rsidR="00610401" w:rsidRPr="00610401">
        <w:rPr>
          <w:noProof/>
        </w:rPr>
        <w:t xml:space="preserve"> a tak</w:t>
      </w:r>
      <w:r w:rsidRPr="00610401">
        <w:rPr>
          <w:noProof/>
        </w:rPr>
        <w:t>że skuteczne</w:t>
      </w:r>
      <w:r w:rsidR="00610401" w:rsidRPr="00610401">
        <w:rPr>
          <w:noProof/>
        </w:rPr>
        <w:t xml:space="preserve"> w zap</w:t>
      </w:r>
      <w:r w:rsidRPr="00610401">
        <w:rPr>
          <w:noProof/>
        </w:rPr>
        <w:t>obieganiu klęskom żywiołowym</w:t>
      </w:r>
      <w:r w:rsidR="00610401" w:rsidRPr="00610401">
        <w:rPr>
          <w:noProof/>
        </w:rPr>
        <w:t xml:space="preserve"> i zmn</w:t>
      </w:r>
      <w:r w:rsidRPr="00610401">
        <w:rPr>
          <w:noProof/>
        </w:rPr>
        <w:t>iejszaniu ryzyka ich wystąpienia. Na podstawie Europejskiego prawa</w:t>
      </w:r>
      <w:r w:rsidR="00610401" w:rsidRPr="00610401">
        <w:rPr>
          <w:noProof/>
        </w:rPr>
        <w:t xml:space="preserve"> o kli</w:t>
      </w:r>
      <w:r w:rsidRPr="00610401">
        <w:rPr>
          <w:noProof/>
        </w:rPr>
        <w:t>macie państwa członkowskie przyjmą</w:t>
      </w:r>
      <w:r w:rsidR="00610401" w:rsidRPr="00610401">
        <w:rPr>
          <w:noProof/>
        </w:rPr>
        <w:t xml:space="preserve"> i wdr</w:t>
      </w:r>
      <w:r w:rsidRPr="00610401">
        <w:rPr>
          <w:noProof/>
        </w:rPr>
        <w:t>ożą krajowe strategie przystosowawcze promujące rozwiązania oparte na przyrodzie</w:t>
      </w:r>
      <w:r w:rsidR="00610401" w:rsidRPr="00610401">
        <w:rPr>
          <w:noProof/>
        </w:rPr>
        <w:t xml:space="preserve"> i prz</w:t>
      </w:r>
      <w:r w:rsidRPr="00610401">
        <w:rPr>
          <w:noProof/>
        </w:rPr>
        <w:t>ystosowanie się oparte na ekosystemach. Krajowe plany odbudowy opracowane na podstawie niniejszego wniosku będą funkcjonować</w:t>
      </w:r>
      <w:r w:rsidR="00610401" w:rsidRPr="00610401">
        <w:rPr>
          <w:noProof/>
        </w:rPr>
        <w:t xml:space="preserve"> w ści</w:t>
      </w:r>
      <w:r w:rsidRPr="00610401">
        <w:rPr>
          <w:noProof/>
        </w:rPr>
        <w:t>słym powiązaniu</w:t>
      </w:r>
      <w:r w:rsidR="00610401" w:rsidRPr="00610401">
        <w:rPr>
          <w:noProof/>
        </w:rPr>
        <w:t xml:space="preserve"> z kra</w:t>
      </w:r>
      <w:r w:rsidRPr="00610401">
        <w:rPr>
          <w:noProof/>
        </w:rPr>
        <w:t>jowymi strategiami przystosowawczymi,</w:t>
      </w:r>
      <w:r w:rsidR="00610401" w:rsidRPr="00610401">
        <w:rPr>
          <w:noProof/>
        </w:rPr>
        <w:t xml:space="preserve"> o któ</w:t>
      </w:r>
      <w:r w:rsidRPr="00610401">
        <w:rPr>
          <w:noProof/>
        </w:rPr>
        <w:t>rych mowa</w:t>
      </w:r>
      <w:r w:rsidR="00610401" w:rsidRPr="00610401">
        <w:rPr>
          <w:noProof/>
        </w:rPr>
        <w:t xml:space="preserve"> w Eur</w:t>
      </w:r>
      <w:r w:rsidRPr="00610401">
        <w:rPr>
          <w:noProof/>
        </w:rPr>
        <w:t>opejskim prawie</w:t>
      </w:r>
      <w:r w:rsidR="00610401" w:rsidRPr="00610401">
        <w:rPr>
          <w:noProof/>
        </w:rPr>
        <w:t xml:space="preserve"> o kli</w:t>
      </w:r>
      <w:r w:rsidRPr="00610401">
        <w:rPr>
          <w:noProof/>
        </w:rPr>
        <w:t>macie, oraz</w:t>
      </w:r>
      <w:r w:rsidR="00610401" w:rsidRPr="00610401">
        <w:rPr>
          <w:noProof/>
        </w:rPr>
        <w:t xml:space="preserve"> z uni</w:t>
      </w:r>
      <w:r w:rsidRPr="00610401">
        <w:rPr>
          <w:noProof/>
        </w:rPr>
        <w:t>jnym prawodawstwem dotyczącym ochrony ludności</w:t>
      </w:r>
      <w:r w:rsidRPr="00610401">
        <w:rPr>
          <w:rStyle w:val="FootnoteReference"/>
          <w:noProof/>
        </w:rPr>
        <w:footnoteReference w:id="36"/>
      </w:r>
      <w:r w:rsidRPr="00610401">
        <w:rPr>
          <w:noProof/>
        </w:rPr>
        <w:t>. Instrumenty te będą</w:t>
      </w:r>
      <w:r w:rsidR="00610401" w:rsidRPr="00610401">
        <w:rPr>
          <w:noProof/>
        </w:rPr>
        <w:t xml:space="preserve"> </w:t>
      </w:r>
      <w:r w:rsidRPr="00610401">
        <w:rPr>
          <w:noProof/>
        </w:rPr>
        <w:t>uzupełniać się wzajemnie.</w:t>
      </w:r>
    </w:p>
    <w:p w:rsidR="00CD623F" w:rsidRPr="00610401" w:rsidRDefault="00CD623F" w:rsidP="002E61AD">
      <w:pPr>
        <w:rPr>
          <w:noProof/>
          <w:color w:val="000000" w:themeColor="text1"/>
        </w:rPr>
      </w:pPr>
      <w:r w:rsidRPr="00610401">
        <w:rPr>
          <w:noProof/>
        </w:rPr>
        <w:t>Rolnictwo, leśnictwo</w:t>
      </w:r>
      <w:r w:rsidR="00610401" w:rsidRPr="00610401">
        <w:rPr>
          <w:noProof/>
        </w:rPr>
        <w:t xml:space="preserve"> i ryb</w:t>
      </w:r>
      <w:r w:rsidRPr="00610401">
        <w:rPr>
          <w:noProof/>
        </w:rPr>
        <w:t>ołówstwo są sektorami zależnymi od dobrego stanu ekosystemów. Ekosystemy rolnicze</w:t>
      </w:r>
      <w:r w:rsidR="00610401" w:rsidRPr="00610401">
        <w:rPr>
          <w:noProof/>
        </w:rPr>
        <w:t xml:space="preserve"> w dob</w:t>
      </w:r>
      <w:r w:rsidRPr="00610401">
        <w:rPr>
          <w:noProof/>
        </w:rPr>
        <w:t>rym stanie zapewniają bezpieczną, zrównoważoną, bogatą</w:t>
      </w:r>
      <w:r w:rsidR="00610401" w:rsidRPr="00610401">
        <w:rPr>
          <w:noProof/>
        </w:rPr>
        <w:t xml:space="preserve"> w skł</w:t>
      </w:r>
      <w:r w:rsidRPr="00610401">
        <w:rPr>
          <w:noProof/>
        </w:rPr>
        <w:t>adniki odżywcze żywność po przystępnych cenach. Dzięki nim rolnictwo jest bardziej odporne na zmianę klimatu</w:t>
      </w:r>
      <w:r w:rsidR="00610401" w:rsidRPr="00610401">
        <w:rPr>
          <w:noProof/>
        </w:rPr>
        <w:t xml:space="preserve"> i ryz</w:t>
      </w:r>
      <w:r w:rsidRPr="00610401">
        <w:rPr>
          <w:noProof/>
        </w:rPr>
        <w:t>yko środowiskowe,</w:t>
      </w:r>
      <w:r w:rsidR="00610401" w:rsidRPr="00610401">
        <w:rPr>
          <w:noProof/>
        </w:rPr>
        <w:t xml:space="preserve"> a jed</w:t>
      </w:r>
      <w:r w:rsidRPr="00610401">
        <w:rPr>
          <w:noProof/>
        </w:rPr>
        <w:t>nocześnie przyczyniają się one do powstawania nowych miejsc pracy (na przykład</w:t>
      </w:r>
      <w:r w:rsidR="00610401" w:rsidRPr="00610401">
        <w:rPr>
          <w:noProof/>
        </w:rPr>
        <w:t xml:space="preserve"> w rol</w:t>
      </w:r>
      <w:r w:rsidRPr="00610401">
        <w:rPr>
          <w:noProof/>
        </w:rPr>
        <w:t>nictwie ekologicznym, turystyce wiejskiej</w:t>
      </w:r>
      <w:r w:rsidR="00610401" w:rsidRPr="00610401">
        <w:rPr>
          <w:noProof/>
        </w:rPr>
        <w:t xml:space="preserve"> i rek</w:t>
      </w:r>
      <w:r w:rsidRPr="00610401">
        <w:rPr>
          <w:noProof/>
        </w:rPr>
        <w:t>reacji). Ekosystemy leśne</w:t>
      </w:r>
      <w:r w:rsidR="00610401" w:rsidRPr="00610401">
        <w:rPr>
          <w:noProof/>
        </w:rPr>
        <w:t xml:space="preserve"> w dob</w:t>
      </w:r>
      <w:r w:rsidRPr="00610401">
        <w:rPr>
          <w:noProof/>
        </w:rPr>
        <w:t>rym stanie przynoszą wiele korzyści. Na przykład zapewniają drewno</w:t>
      </w:r>
      <w:r w:rsidR="00610401" w:rsidRPr="00610401">
        <w:rPr>
          <w:noProof/>
        </w:rPr>
        <w:t xml:space="preserve"> i żyw</w:t>
      </w:r>
      <w:r w:rsidRPr="00610401">
        <w:rPr>
          <w:noProof/>
        </w:rPr>
        <w:t>ność, wychwytują</w:t>
      </w:r>
      <w:r w:rsidR="00610401" w:rsidRPr="00610401">
        <w:rPr>
          <w:noProof/>
        </w:rPr>
        <w:t xml:space="preserve"> i skł</w:t>
      </w:r>
      <w:r w:rsidRPr="00610401">
        <w:rPr>
          <w:noProof/>
        </w:rPr>
        <w:t>adują dwutlenek węgla, stabilizują glebę, oczyszczają powietrze</w:t>
      </w:r>
      <w:r w:rsidR="00610401" w:rsidRPr="00610401">
        <w:rPr>
          <w:noProof/>
        </w:rPr>
        <w:t xml:space="preserve"> i wod</w:t>
      </w:r>
      <w:r w:rsidRPr="00610401">
        <w:rPr>
          <w:noProof/>
        </w:rPr>
        <w:t>ę oraz łagodzą skutki klęsk żywiołowych, takich jak pożary roślinności oraz plagi szkodników czy choroby roślin. Utrzymywanie ekosystemów morskich</w:t>
      </w:r>
      <w:r w:rsidR="00610401" w:rsidRPr="00610401">
        <w:rPr>
          <w:noProof/>
        </w:rPr>
        <w:t xml:space="preserve"> w dob</w:t>
      </w:r>
      <w:r w:rsidRPr="00610401">
        <w:rPr>
          <w:noProof/>
        </w:rPr>
        <w:t xml:space="preserve">rym stanie </w:t>
      </w:r>
      <w:r w:rsidRPr="00610401">
        <w:rPr>
          <w:noProof/>
          <w:color w:val="000000" w:themeColor="text1"/>
        </w:rPr>
        <w:t>znacząco wspomaga różnorodność biologiczną dzięki zapewnianiu ważnych tarlisk ryb</w:t>
      </w:r>
      <w:r w:rsidR="00610401" w:rsidRPr="00610401">
        <w:rPr>
          <w:noProof/>
          <w:color w:val="000000" w:themeColor="text1"/>
        </w:rPr>
        <w:t xml:space="preserve"> i obs</w:t>
      </w:r>
      <w:r w:rsidRPr="00610401">
        <w:rPr>
          <w:noProof/>
          <w:color w:val="000000" w:themeColor="text1"/>
        </w:rPr>
        <w:t>zarów dojrzewania narybku,</w:t>
      </w:r>
      <w:r w:rsidR="00610401" w:rsidRPr="00610401">
        <w:rPr>
          <w:noProof/>
          <w:color w:val="000000" w:themeColor="text1"/>
        </w:rPr>
        <w:t xml:space="preserve"> a tak</w:t>
      </w:r>
      <w:r w:rsidRPr="00610401">
        <w:rPr>
          <w:noProof/>
          <w:color w:val="000000" w:themeColor="text1"/>
        </w:rPr>
        <w:t>że zapewnia zdrową żywność pochodzącą</w:t>
      </w:r>
      <w:r w:rsidR="00610401" w:rsidRPr="00610401">
        <w:rPr>
          <w:noProof/>
          <w:color w:val="000000" w:themeColor="text1"/>
        </w:rPr>
        <w:t xml:space="preserve"> z mór</w:t>
      </w:r>
      <w:r w:rsidRPr="00610401">
        <w:rPr>
          <w:noProof/>
          <w:color w:val="000000" w:themeColor="text1"/>
        </w:rPr>
        <w:t>z</w:t>
      </w:r>
      <w:r w:rsidR="00610401" w:rsidRPr="00610401">
        <w:rPr>
          <w:noProof/>
          <w:color w:val="000000" w:themeColor="text1"/>
        </w:rPr>
        <w:t xml:space="preserve"> i oce</w:t>
      </w:r>
      <w:r w:rsidRPr="00610401">
        <w:rPr>
          <w:noProof/>
          <w:color w:val="000000" w:themeColor="text1"/>
        </w:rPr>
        <w:t xml:space="preserve">anów. Zdrowe ekosystemy morskie łagodzą także zmianę klimatu przez zmniejszenie skutków klęsk żywiołowych wzdłuż linii brzegowych.   </w:t>
      </w:r>
    </w:p>
    <w:p w:rsidR="00CD623F" w:rsidRPr="00610401" w:rsidRDefault="00CD623F" w:rsidP="00B0251E">
      <w:pPr>
        <w:rPr>
          <w:noProof/>
        </w:rPr>
      </w:pPr>
      <w:r w:rsidRPr="00610401">
        <w:rPr>
          <w:noProof/>
        </w:rPr>
        <w:t>Niektóre cele</w:t>
      </w:r>
      <w:r w:rsidR="00610401" w:rsidRPr="00610401">
        <w:rPr>
          <w:noProof/>
        </w:rPr>
        <w:t xml:space="preserve"> i wsk</w:t>
      </w:r>
      <w:r w:rsidRPr="00610401">
        <w:rPr>
          <w:noProof/>
        </w:rPr>
        <w:t>aźniki przedstawione</w:t>
      </w:r>
      <w:r w:rsidR="00610401" w:rsidRPr="00610401">
        <w:rPr>
          <w:noProof/>
        </w:rPr>
        <w:t xml:space="preserve"> w nin</w:t>
      </w:r>
      <w:r w:rsidRPr="00610401">
        <w:rPr>
          <w:noProof/>
        </w:rPr>
        <w:t>iejszym wniosku mają za zadanie sprawić, że działania</w:t>
      </w:r>
      <w:r w:rsidR="00610401" w:rsidRPr="00610401">
        <w:rPr>
          <w:noProof/>
        </w:rPr>
        <w:t xml:space="preserve"> w zak</w:t>
      </w:r>
      <w:r w:rsidRPr="00610401">
        <w:rPr>
          <w:noProof/>
        </w:rPr>
        <w:t>resie różnorodności biologicznej oraz działania</w:t>
      </w:r>
      <w:r w:rsidR="00610401" w:rsidRPr="00610401">
        <w:rPr>
          <w:noProof/>
        </w:rPr>
        <w:t xml:space="preserve"> w zak</w:t>
      </w:r>
      <w:r w:rsidRPr="00610401">
        <w:rPr>
          <w:noProof/>
        </w:rPr>
        <w:t>resie innych polityk unijnych będą wspólnie lepiej funkcjonować. Polityka ta obejmuje nową wspólną politykę rolną (WPR)</w:t>
      </w:r>
      <w:r w:rsidRPr="00610401">
        <w:rPr>
          <w:rStyle w:val="FootnoteReference"/>
          <w:noProof/>
        </w:rPr>
        <w:footnoteReference w:id="37"/>
      </w:r>
      <w:r w:rsidRPr="00610401">
        <w:rPr>
          <w:noProof/>
        </w:rPr>
        <w:t xml:space="preserve"> (z jej przepisami mającymi na celu poprawę stanu środowiska</w:t>
      </w:r>
      <w:r w:rsidR="00610401" w:rsidRPr="00610401">
        <w:rPr>
          <w:noProof/>
        </w:rPr>
        <w:t xml:space="preserve"> w rol</w:t>
      </w:r>
      <w:r w:rsidRPr="00610401">
        <w:rPr>
          <w:noProof/>
        </w:rPr>
        <w:t>nictwie,</w:t>
      </w:r>
      <w:r w:rsidR="00610401" w:rsidRPr="00610401">
        <w:rPr>
          <w:noProof/>
        </w:rPr>
        <w:t xml:space="preserve"> a tak</w:t>
      </w:r>
      <w:r w:rsidRPr="00610401">
        <w:rPr>
          <w:noProof/>
        </w:rPr>
        <w:t>że możliwościami finansowania dostępnymi</w:t>
      </w:r>
      <w:r w:rsidR="00610401" w:rsidRPr="00610401">
        <w:rPr>
          <w:noProof/>
        </w:rPr>
        <w:t xml:space="preserve"> w ram</w:t>
      </w:r>
      <w:r w:rsidRPr="00610401">
        <w:rPr>
          <w:noProof/>
        </w:rPr>
        <w:t>ach planów strategicznych WPR na lata 2023–2027), strategię „Od pola do stołu” na rzecz sprawiedliwego, zdrowego</w:t>
      </w:r>
      <w:r w:rsidR="00610401" w:rsidRPr="00610401">
        <w:rPr>
          <w:noProof/>
        </w:rPr>
        <w:t xml:space="preserve"> i prz</w:t>
      </w:r>
      <w:r w:rsidRPr="00610401">
        <w:rPr>
          <w:noProof/>
        </w:rPr>
        <w:t>yjaznego dla środowiska systemu żywnościowego</w:t>
      </w:r>
      <w:r w:rsidRPr="00610401">
        <w:rPr>
          <w:rStyle w:val="FootnoteReference"/>
          <w:noProof/>
        </w:rPr>
        <w:footnoteReference w:id="38"/>
      </w:r>
      <w:r w:rsidRPr="00610401">
        <w:rPr>
          <w:noProof/>
        </w:rPr>
        <w:t xml:space="preserve"> oraz wspólną politykę rybołówstwa. Wniosek jest powiązany także</w:t>
      </w:r>
      <w:r w:rsidR="00610401" w:rsidRPr="00610401">
        <w:rPr>
          <w:noProof/>
        </w:rPr>
        <w:t xml:space="preserve"> z uni</w:t>
      </w:r>
      <w:r w:rsidRPr="00610401">
        <w:rPr>
          <w:noProof/>
        </w:rPr>
        <w:t>jną polityką regionalną,</w:t>
      </w:r>
      <w:r w:rsidR="00610401" w:rsidRPr="00610401">
        <w:rPr>
          <w:noProof/>
        </w:rPr>
        <w:t xml:space="preserve"> w ram</w:t>
      </w:r>
      <w:r w:rsidRPr="00610401">
        <w:rPr>
          <w:noProof/>
        </w:rPr>
        <w:t>ach której możliwe jest finansowanie odbudowy ekosystemów</w:t>
      </w:r>
      <w:r w:rsidR="00610401" w:rsidRPr="00610401">
        <w:rPr>
          <w:noProof/>
        </w:rPr>
        <w:t xml:space="preserve"> z </w:t>
      </w:r>
      <w:r w:rsidR="00610401" w:rsidRPr="00610401">
        <w:rPr>
          <w:rStyle w:val="normaltextrun"/>
          <w:noProof/>
          <w:color w:val="000000"/>
          <w:bdr w:val="none" w:sz="0" w:space="0" w:color="auto" w:frame="1"/>
        </w:rPr>
        <w:t>Eur</w:t>
      </w:r>
      <w:r w:rsidRPr="00610401">
        <w:rPr>
          <w:rStyle w:val="normaltextrun"/>
          <w:noProof/>
          <w:color w:val="000000"/>
          <w:bdr w:val="none" w:sz="0" w:space="0" w:color="auto" w:frame="1"/>
        </w:rPr>
        <w:t>opejskiego Funduszu Rozwoju Regionalnego</w:t>
      </w:r>
      <w:r w:rsidRPr="00610401">
        <w:rPr>
          <w:rStyle w:val="FootnoteReference"/>
          <w:noProof/>
        </w:rPr>
        <w:footnoteReference w:id="39"/>
      </w:r>
      <w:r w:rsidRPr="00610401">
        <w:rPr>
          <w:noProof/>
        </w:rPr>
        <w:t>,</w:t>
      </w:r>
      <w:r w:rsidR="00610401" w:rsidRPr="00610401">
        <w:rPr>
          <w:noProof/>
        </w:rPr>
        <w:t xml:space="preserve"> a tak</w:t>
      </w:r>
      <w:r w:rsidRPr="00610401">
        <w:rPr>
          <w:noProof/>
        </w:rPr>
        <w:t>że</w:t>
      </w:r>
      <w:r w:rsidR="00610401" w:rsidRPr="00610401">
        <w:rPr>
          <w:noProof/>
        </w:rPr>
        <w:t xml:space="preserve"> z pro</w:t>
      </w:r>
      <w:r w:rsidRPr="00610401">
        <w:rPr>
          <w:noProof/>
        </w:rPr>
        <w:t>gramem „Horyzont Europa”</w:t>
      </w:r>
      <w:r w:rsidRPr="00610401">
        <w:rPr>
          <w:rStyle w:val="FootnoteReference"/>
          <w:noProof/>
        </w:rPr>
        <w:footnoteReference w:id="40"/>
      </w:r>
      <w:r w:rsidRPr="00610401">
        <w:rPr>
          <w:noProof/>
        </w:rPr>
        <w:t>, którego zadaniem jest wspieranie inwestycji</w:t>
      </w:r>
      <w:r w:rsidR="00610401" w:rsidRPr="00610401">
        <w:rPr>
          <w:noProof/>
        </w:rPr>
        <w:t xml:space="preserve"> w dzi</w:t>
      </w:r>
      <w:r w:rsidRPr="00610401">
        <w:rPr>
          <w:noProof/>
        </w:rPr>
        <w:t>edzinie badań naukowych</w:t>
      </w:r>
      <w:r w:rsidR="00610401" w:rsidRPr="00610401">
        <w:rPr>
          <w:noProof/>
        </w:rPr>
        <w:t xml:space="preserve"> i inn</w:t>
      </w:r>
      <w:r w:rsidRPr="00610401">
        <w:rPr>
          <w:noProof/>
        </w:rPr>
        <w:t>owacji dotyczących różnorodności biologicznej</w:t>
      </w:r>
      <w:r w:rsidR="00610401" w:rsidRPr="00610401">
        <w:rPr>
          <w:noProof/>
        </w:rPr>
        <w:t xml:space="preserve"> i eko</w:t>
      </w:r>
      <w:r w:rsidRPr="00610401">
        <w:rPr>
          <w:noProof/>
        </w:rPr>
        <w:t xml:space="preserve">systemów. </w:t>
      </w:r>
    </w:p>
    <w:p w:rsidR="00CD623F" w:rsidRPr="00610401" w:rsidRDefault="00CD623F" w:rsidP="00B0251E">
      <w:pPr>
        <w:rPr>
          <w:noProof/>
        </w:rPr>
      </w:pPr>
      <w:r w:rsidRPr="00610401">
        <w:rPr>
          <w:noProof/>
        </w:rPr>
        <w:t>Wniosek może także pomóc UE</w:t>
      </w:r>
      <w:r w:rsidR="00610401" w:rsidRPr="00610401">
        <w:rPr>
          <w:noProof/>
        </w:rPr>
        <w:t xml:space="preserve"> w wyk</w:t>
      </w:r>
      <w:r w:rsidRPr="00610401">
        <w:rPr>
          <w:noProof/>
        </w:rPr>
        <w:t>azaniu się globalnym przywództwem, zmobilizowaniu społeczności międzynarodowej</w:t>
      </w:r>
      <w:r w:rsidR="00610401" w:rsidRPr="00610401">
        <w:rPr>
          <w:noProof/>
        </w:rPr>
        <w:t xml:space="preserve"> i pod</w:t>
      </w:r>
      <w:r w:rsidRPr="00610401">
        <w:rPr>
          <w:noProof/>
        </w:rPr>
        <w:t>jęciu działań</w:t>
      </w:r>
      <w:r w:rsidR="00610401" w:rsidRPr="00610401">
        <w:rPr>
          <w:noProof/>
        </w:rPr>
        <w:t xml:space="preserve"> w cel</w:t>
      </w:r>
      <w:r w:rsidRPr="00610401">
        <w:rPr>
          <w:noProof/>
        </w:rPr>
        <w:t>u powstrzymania utraty różnorodności biologicznej na całym świecie. Oczekuje się, że Konferencja Stron Konwencji</w:t>
      </w:r>
      <w:r w:rsidR="00610401" w:rsidRPr="00610401">
        <w:rPr>
          <w:noProof/>
        </w:rPr>
        <w:t xml:space="preserve"> o róż</w:t>
      </w:r>
      <w:r w:rsidRPr="00610401">
        <w:rPr>
          <w:noProof/>
        </w:rPr>
        <w:t>norodności biologicznej (COP15) zakończy prace nad nowymi globalnymi ramami różnorodności biologicznej obejmującymi ambitne cele</w:t>
      </w:r>
      <w:r w:rsidR="00610401" w:rsidRPr="00610401">
        <w:rPr>
          <w:noProof/>
        </w:rPr>
        <w:t xml:space="preserve"> w zak</w:t>
      </w:r>
      <w:r w:rsidRPr="00610401">
        <w:rPr>
          <w:noProof/>
        </w:rPr>
        <w:t>resie odbudowy. Urzeczywistnieniem tych wszystkich planów w UE jest unijna strategia na rzecz bioróżnorodności 2030, która ma także pokazać zobowiązanie UE na poziomie globalnym. Wniosek będzie silnym sygnałem</w:t>
      </w:r>
      <w:r w:rsidR="00610401" w:rsidRPr="00610401">
        <w:rPr>
          <w:noProof/>
        </w:rPr>
        <w:t xml:space="preserve"> w str</w:t>
      </w:r>
      <w:r w:rsidRPr="00610401">
        <w:rPr>
          <w:noProof/>
        </w:rPr>
        <w:t>onę globalnej społeczności, że UE poważnie traktuje swoje zobowiązanie oraz dąży do zapisania</w:t>
      </w:r>
      <w:r w:rsidR="00610401" w:rsidRPr="00610401">
        <w:rPr>
          <w:noProof/>
        </w:rPr>
        <w:t xml:space="preserve"> w pra</w:t>
      </w:r>
      <w:r w:rsidRPr="00610401">
        <w:rPr>
          <w:noProof/>
        </w:rPr>
        <w:t>wie celów</w:t>
      </w:r>
      <w:r w:rsidR="00610401" w:rsidRPr="00610401">
        <w:rPr>
          <w:noProof/>
        </w:rPr>
        <w:t xml:space="preserve"> w zak</w:t>
      </w:r>
      <w:r w:rsidRPr="00610401">
        <w:rPr>
          <w:noProof/>
        </w:rPr>
        <w:t>resie odbudowy ekosystemów,</w:t>
      </w:r>
      <w:r w:rsidR="00610401" w:rsidRPr="00610401">
        <w:rPr>
          <w:noProof/>
        </w:rPr>
        <w:t xml:space="preserve"> a pon</w:t>
      </w:r>
      <w:r w:rsidRPr="00610401">
        <w:rPr>
          <w:noProof/>
        </w:rPr>
        <w:t>adto może być inspiracją dla innych państw do przyjmowania podobnych ambitnych celów politycznych</w:t>
      </w:r>
      <w:r w:rsidR="00610401" w:rsidRPr="00610401">
        <w:rPr>
          <w:noProof/>
        </w:rPr>
        <w:t xml:space="preserve"> w dzi</w:t>
      </w:r>
      <w:r w:rsidRPr="00610401">
        <w:rPr>
          <w:noProof/>
        </w:rPr>
        <w:t>edzinie odbudowy zasobów przyrodniczych</w:t>
      </w:r>
      <w:r w:rsidR="00610401" w:rsidRPr="00610401">
        <w:rPr>
          <w:noProof/>
        </w:rPr>
        <w:t xml:space="preserve"> i och</w:t>
      </w:r>
      <w:r w:rsidRPr="00610401">
        <w:rPr>
          <w:noProof/>
        </w:rPr>
        <w:t>rony różnorodności biologicznej.</w:t>
      </w:r>
    </w:p>
    <w:p w:rsidR="00CD623F" w:rsidRPr="00610401" w:rsidRDefault="00CD623F" w:rsidP="00CD623F">
      <w:pPr>
        <w:pStyle w:val="ManualHeading1"/>
        <w:rPr>
          <w:noProof/>
        </w:rPr>
      </w:pPr>
      <w:r w:rsidRPr="00610401">
        <w:rPr>
          <w:noProof/>
        </w:rPr>
        <w:t>2.</w:t>
      </w:r>
      <w:r w:rsidRPr="00610401">
        <w:rPr>
          <w:noProof/>
        </w:rPr>
        <w:tab/>
        <w:t>PODSTAWA PRAWNA, POMOCNICZOŚĆ I PROPORCJONALNOŚĆ</w:t>
      </w:r>
    </w:p>
    <w:p w:rsidR="002E61AD" w:rsidRPr="00610401" w:rsidRDefault="002E61AD" w:rsidP="002E61AD">
      <w:pPr>
        <w:pStyle w:val="ManualHeading2"/>
        <w:rPr>
          <w:noProof/>
        </w:rPr>
      </w:pPr>
      <w:r w:rsidRPr="00610401">
        <w:rPr>
          <w:noProof/>
        </w:rPr>
        <w:t>Podstawa prawna</w:t>
      </w:r>
    </w:p>
    <w:p w:rsidR="00CD623F" w:rsidRPr="00610401" w:rsidRDefault="00CD623F" w:rsidP="00CD623F">
      <w:pPr>
        <w:rPr>
          <w:rFonts w:eastAsia="Times New Roman"/>
          <w:noProof/>
          <w:szCs w:val="24"/>
        </w:rPr>
      </w:pPr>
      <w:r w:rsidRPr="00610401">
        <w:rPr>
          <w:noProof/>
        </w:rPr>
        <w:t>Podstawą prawną niniejszego wniosku jest art.</w:t>
      </w:r>
      <w:r w:rsidR="00610401" w:rsidRPr="00610401">
        <w:rPr>
          <w:noProof/>
        </w:rPr>
        <w:t> </w:t>
      </w:r>
      <w:r w:rsidRPr="00610401">
        <w:rPr>
          <w:noProof/>
        </w:rPr>
        <w:t>192 ust.</w:t>
      </w:r>
      <w:r w:rsidR="00610401" w:rsidRPr="00610401">
        <w:rPr>
          <w:noProof/>
        </w:rPr>
        <w:t> </w:t>
      </w:r>
      <w:r w:rsidRPr="00610401">
        <w:rPr>
          <w:noProof/>
        </w:rPr>
        <w:t>1 Traktatu</w:t>
      </w:r>
      <w:r w:rsidR="00610401" w:rsidRPr="00610401">
        <w:rPr>
          <w:noProof/>
        </w:rPr>
        <w:t xml:space="preserve"> o fun</w:t>
      </w:r>
      <w:r w:rsidRPr="00610401">
        <w:rPr>
          <w:noProof/>
        </w:rPr>
        <w:t>kcjonowaniu Unii Europejskiej, który określa sposób realizacji art.</w:t>
      </w:r>
      <w:r w:rsidR="00610401" w:rsidRPr="00610401">
        <w:rPr>
          <w:noProof/>
        </w:rPr>
        <w:t> </w:t>
      </w:r>
      <w:r w:rsidRPr="00610401">
        <w:rPr>
          <w:noProof/>
        </w:rPr>
        <w:t xml:space="preserve">191 Traktatu. Art. 191 Traktatu wskazuje cele unijnej polityki ochrony środowiska: </w:t>
      </w:r>
    </w:p>
    <w:p w:rsidR="00CD623F" w:rsidRPr="00610401" w:rsidRDefault="00CD623F" w:rsidP="001747E3">
      <w:pPr>
        <w:pStyle w:val="Tiret0"/>
        <w:numPr>
          <w:ilvl w:val="0"/>
          <w:numId w:val="43"/>
        </w:numPr>
        <w:rPr>
          <w:noProof/>
        </w:rPr>
      </w:pPr>
      <w:r w:rsidRPr="00610401">
        <w:rPr>
          <w:noProof/>
        </w:rPr>
        <w:t>zachowanie, ochrona</w:t>
      </w:r>
      <w:r w:rsidR="00610401" w:rsidRPr="00610401">
        <w:rPr>
          <w:noProof/>
        </w:rPr>
        <w:t xml:space="preserve"> i pop</w:t>
      </w:r>
      <w:r w:rsidRPr="00610401">
        <w:rPr>
          <w:noProof/>
        </w:rPr>
        <w:t>rawa jakości środowiska;</w:t>
      </w:r>
    </w:p>
    <w:p w:rsidR="00CD623F" w:rsidRPr="00610401" w:rsidRDefault="00CD623F" w:rsidP="00B16B21">
      <w:pPr>
        <w:pStyle w:val="Tiret0"/>
        <w:rPr>
          <w:noProof/>
        </w:rPr>
      </w:pPr>
      <w:r w:rsidRPr="00610401">
        <w:rPr>
          <w:noProof/>
        </w:rPr>
        <w:t>ochrona zdrowia ludzkiego;</w:t>
      </w:r>
    </w:p>
    <w:p w:rsidR="00CD623F" w:rsidRPr="00610401" w:rsidRDefault="00CD623F" w:rsidP="00B16B21">
      <w:pPr>
        <w:pStyle w:val="Tiret0"/>
        <w:rPr>
          <w:noProof/>
        </w:rPr>
      </w:pPr>
      <w:r w:rsidRPr="00610401">
        <w:rPr>
          <w:noProof/>
        </w:rPr>
        <w:t>ostrożne</w:t>
      </w:r>
      <w:r w:rsidR="00610401" w:rsidRPr="00610401">
        <w:rPr>
          <w:noProof/>
        </w:rPr>
        <w:t xml:space="preserve"> i rac</w:t>
      </w:r>
      <w:r w:rsidRPr="00610401">
        <w:rPr>
          <w:noProof/>
        </w:rPr>
        <w:t>jonalne wykorzystywanie zasobów naturalnych;</w:t>
      </w:r>
    </w:p>
    <w:p w:rsidR="00CD623F" w:rsidRPr="00610401" w:rsidRDefault="00CD623F" w:rsidP="00B16B21">
      <w:pPr>
        <w:pStyle w:val="Tiret0"/>
        <w:rPr>
          <w:noProof/>
        </w:rPr>
      </w:pPr>
      <w:r w:rsidRPr="00610401">
        <w:rPr>
          <w:noProof/>
        </w:rPr>
        <w:t>promowanie na płaszczyźnie międzynarodowej środków zmierzających do rozwiązywania regionalnych lub światowych problemów</w:t>
      </w:r>
      <w:r w:rsidR="00610401" w:rsidRPr="00610401">
        <w:rPr>
          <w:noProof/>
        </w:rPr>
        <w:t xml:space="preserve"> w dzi</w:t>
      </w:r>
      <w:r w:rsidRPr="00610401">
        <w:rPr>
          <w:noProof/>
        </w:rPr>
        <w:t>edzinie środowiska,</w:t>
      </w:r>
      <w:r w:rsidR="00610401" w:rsidRPr="00610401">
        <w:rPr>
          <w:noProof/>
        </w:rPr>
        <w:t xml:space="preserve"> w szc</w:t>
      </w:r>
      <w:r w:rsidRPr="00610401">
        <w:rPr>
          <w:noProof/>
        </w:rPr>
        <w:t>zególności zwalczania zmian klimatu.</w:t>
      </w:r>
    </w:p>
    <w:p w:rsidR="00CD623F" w:rsidRPr="00610401" w:rsidRDefault="00CD623F" w:rsidP="002E61AD">
      <w:pPr>
        <w:pStyle w:val="ManualHeading2"/>
        <w:rPr>
          <w:noProof/>
          <w:u w:color="000000"/>
          <w:bdr w:val="nil"/>
        </w:rPr>
      </w:pPr>
      <w:r w:rsidRPr="00610401">
        <w:rPr>
          <w:noProof/>
          <w:u w:color="000000"/>
          <w:bdr w:val="nil"/>
        </w:rPr>
        <w:t xml:space="preserve">Pomocniczość (w przypadku kompetencji niewyłącznych) </w:t>
      </w:r>
    </w:p>
    <w:p w:rsidR="00CD623F" w:rsidRPr="00610401" w:rsidRDefault="00CD623F" w:rsidP="00CD623F">
      <w:pPr>
        <w:spacing w:after="0"/>
        <w:textAlignment w:val="baseline"/>
        <w:rPr>
          <w:noProof/>
          <w:color w:val="000000"/>
          <w:position w:val="2"/>
        </w:rPr>
      </w:pPr>
      <w:r w:rsidRPr="00610401">
        <w:rPr>
          <w:noProof/>
          <w:color w:val="000000"/>
        </w:rPr>
        <w:t>Działanie na poziomie Unii jest uzasadnione</w:t>
      </w:r>
      <w:r w:rsidR="00610401" w:rsidRPr="00610401">
        <w:rPr>
          <w:noProof/>
          <w:color w:val="000000"/>
        </w:rPr>
        <w:t xml:space="preserve"> z uwa</w:t>
      </w:r>
      <w:r w:rsidRPr="00610401">
        <w:rPr>
          <w:noProof/>
          <w:color w:val="000000"/>
        </w:rPr>
        <w:t>gi na skalę</w:t>
      </w:r>
      <w:r w:rsidR="00610401" w:rsidRPr="00610401">
        <w:rPr>
          <w:noProof/>
          <w:color w:val="000000"/>
        </w:rPr>
        <w:t xml:space="preserve"> i tra</w:t>
      </w:r>
      <w:r w:rsidRPr="00610401">
        <w:rPr>
          <w:noProof/>
          <w:color w:val="000000"/>
        </w:rPr>
        <w:t>nsgraniczny charakter utraty różnorodności biologicznej</w:t>
      </w:r>
      <w:r w:rsidR="00610401" w:rsidRPr="00610401">
        <w:rPr>
          <w:noProof/>
          <w:color w:val="000000"/>
        </w:rPr>
        <w:t xml:space="preserve"> i deg</w:t>
      </w:r>
      <w:r w:rsidRPr="00610401">
        <w:rPr>
          <w:noProof/>
          <w:color w:val="000000"/>
        </w:rPr>
        <w:t>radacji ekosystemów, ich wpływ na społeczeństwo oraz ryzyko gospodarcze. Aby</w:t>
      </w:r>
      <w:r w:rsidR="00610401" w:rsidRPr="00610401">
        <w:rPr>
          <w:noProof/>
          <w:color w:val="000000"/>
        </w:rPr>
        <w:t xml:space="preserve"> w zna</w:t>
      </w:r>
      <w:r w:rsidRPr="00610401">
        <w:rPr>
          <w:noProof/>
          <w:color w:val="000000"/>
        </w:rPr>
        <w:t>cznym stopniu odbudować różnorodność biologiczną</w:t>
      </w:r>
      <w:r w:rsidR="00610401" w:rsidRPr="00610401">
        <w:rPr>
          <w:noProof/>
          <w:color w:val="000000"/>
        </w:rPr>
        <w:t xml:space="preserve"> i eko</w:t>
      </w:r>
      <w:r w:rsidRPr="00610401">
        <w:rPr>
          <w:noProof/>
          <w:color w:val="000000"/>
        </w:rPr>
        <w:t>systemy, konieczne jest ustanowienie ogólnounijnych przepisów</w:t>
      </w:r>
      <w:r w:rsidR="00610401" w:rsidRPr="00610401">
        <w:rPr>
          <w:noProof/>
          <w:color w:val="000000"/>
        </w:rPr>
        <w:t xml:space="preserve"> i obo</w:t>
      </w:r>
      <w:r w:rsidRPr="00610401">
        <w:rPr>
          <w:noProof/>
          <w:color w:val="000000"/>
        </w:rPr>
        <w:t>wiązków. Brak postępów</w:t>
      </w:r>
      <w:r w:rsidR="00610401" w:rsidRPr="00610401">
        <w:rPr>
          <w:noProof/>
          <w:color w:val="000000"/>
        </w:rPr>
        <w:t xml:space="preserve"> w rea</w:t>
      </w:r>
      <w:r w:rsidRPr="00610401">
        <w:rPr>
          <w:noProof/>
          <w:color w:val="000000"/>
        </w:rPr>
        <w:t>lizacji strategii na rzecz różnorodności biologicznej na okres do</w:t>
      </w:r>
      <w:r w:rsidR="00610401" w:rsidRPr="00610401">
        <w:rPr>
          <w:noProof/>
          <w:color w:val="000000"/>
        </w:rPr>
        <w:t> </w:t>
      </w:r>
      <w:r w:rsidRPr="00610401">
        <w:rPr>
          <w:noProof/>
          <w:color w:val="000000"/>
        </w:rPr>
        <w:t>2020</w:t>
      </w:r>
      <w:r w:rsidR="00610401" w:rsidRPr="00610401">
        <w:rPr>
          <w:noProof/>
          <w:color w:val="000000"/>
        </w:rPr>
        <w:t> </w:t>
      </w:r>
      <w:r w:rsidRPr="00610401">
        <w:rPr>
          <w:noProof/>
          <w:color w:val="000000"/>
        </w:rPr>
        <w:t>r. pokazuje, że dobrowolne zobowiązania podjęte przez państwa członkowskie nie wystarczają do osiągnięcia celów UE</w:t>
      </w:r>
      <w:r w:rsidR="00610401" w:rsidRPr="00610401">
        <w:rPr>
          <w:noProof/>
          <w:color w:val="000000"/>
        </w:rPr>
        <w:t xml:space="preserve"> w zak</w:t>
      </w:r>
      <w:r w:rsidRPr="00610401">
        <w:rPr>
          <w:noProof/>
          <w:color w:val="000000"/>
        </w:rPr>
        <w:t xml:space="preserve">resie odbudowy ekosystemów. </w:t>
      </w:r>
    </w:p>
    <w:p w:rsidR="00CD623F" w:rsidRPr="00610401" w:rsidRDefault="00CD623F" w:rsidP="008D6A36">
      <w:pPr>
        <w:rPr>
          <w:rFonts w:eastAsia="Times New Roman"/>
          <w:noProof/>
        </w:rPr>
      </w:pPr>
      <w:r w:rsidRPr="00610401">
        <w:rPr>
          <w:noProof/>
          <w:color w:val="000000" w:themeColor="text1"/>
        </w:rPr>
        <w:t>Aby rozwiązać problem utraty różnorodności biologicznej</w:t>
      </w:r>
      <w:r w:rsidR="00610401" w:rsidRPr="00610401">
        <w:rPr>
          <w:noProof/>
          <w:color w:val="000000" w:themeColor="text1"/>
        </w:rPr>
        <w:t xml:space="preserve"> i deg</w:t>
      </w:r>
      <w:r w:rsidRPr="00610401">
        <w:rPr>
          <w:noProof/>
          <w:color w:val="000000" w:themeColor="text1"/>
        </w:rPr>
        <w:t>radacji oraz stworzyć korzyści skali potrzebne są skoordynowane</w:t>
      </w:r>
      <w:r w:rsidR="00610401" w:rsidRPr="00610401">
        <w:rPr>
          <w:noProof/>
          <w:color w:val="000000" w:themeColor="text1"/>
        </w:rPr>
        <w:t xml:space="preserve"> i sze</w:t>
      </w:r>
      <w:r w:rsidRPr="00610401">
        <w:rPr>
          <w:noProof/>
          <w:color w:val="000000" w:themeColor="text1"/>
        </w:rPr>
        <w:t xml:space="preserve">roko zakrojone działania. Na przykład </w:t>
      </w:r>
      <w:r w:rsidRPr="00610401">
        <w:rPr>
          <w:noProof/>
        </w:rPr>
        <w:t>praca na poziomie UE jest konieczna do przywrócenia liczebności owadów zapylających: problem ten występuje</w:t>
      </w:r>
      <w:r w:rsidR="00610401" w:rsidRPr="00610401">
        <w:rPr>
          <w:noProof/>
        </w:rPr>
        <w:t xml:space="preserve"> w cał</w:t>
      </w:r>
      <w:r w:rsidRPr="00610401">
        <w:rPr>
          <w:noProof/>
        </w:rPr>
        <w:t>ej Unii</w:t>
      </w:r>
      <w:r w:rsidR="00610401" w:rsidRPr="00610401">
        <w:rPr>
          <w:noProof/>
        </w:rPr>
        <w:t xml:space="preserve"> i nie</w:t>
      </w:r>
      <w:r w:rsidRPr="00610401">
        <w:rPr>
          <w:noProof/>
        </w:rPr>
        <w:t xml:space="preserve"> da się go rozwiązać, jeśli zaledwie kilka państw członkowskich podejmie działania</w:t>
      </w:r>
      <w:r w:rsidR="00610401" w:rsidRPr="00610401">
        <w:rPr>
          <w:noProof/>
        </w:rPr>
        <w:t xml:space="preserve"> w tym</w:t>
      </w:r>
      <w:r w:rsidRPr="00610401">
        <w:rPr>
          <w:noProof/>
        </w:rPr>
        <w:t xml:space="preserve"> kierunku. Działania na poziomie UE są niezbędne także ze względu na mobilność wielu gatunków lądowych</w:t>
      </w:r>
      <w:r w:rsidR="00610401" w:rsidRPr="00610401">
        <w:rPr>
          <w:noProof/>
        </w:rPr>
        <w:t xml:space="preserve"> i mor</w:t>
      </w:r>
      <w:r w:rsidRPr="00610401">
        <w:rPr>
          <w:noProof/>
        </w:rPr>
        <w:t>skich.</w:t>
      </w:r>
    </w:p>
    <w:p w:rsidR="00CD623F" w:rsidRPr="00610401" w:rsidRDefault="00CD623F" w:rsidP="00B16B21">
      <w:pPr>
        <w:rPr>
          <w:noProof/>
        </w:rPr>
      </w:pPr>
      <w:r w:rsidRPr="00610401">
        <w:rPr>
          <w:noProof/>
        </w:rPr>
        <w:t>Odbudowa jednego ekosystemu wspomaga inne sąsiadujące lub połączone ekosystemy oraz ich różnorodność biologiczną, gdyż wiele gatunków rozwija się</w:t>
      </w:r>
      <w:r w:rsidR="00610401" w:rsidRPr="00610401">
        <w:rPr>
          <w:noProof/>
        </w:rPr>
        <w:t xml:space="preserve"> w poł</w:t>
      </w:r>
      <w:r w:rsidRPr="00610401">
        <w:rPr>
          <w:noProof/>
        </w:rPr>
        <w:t xml:space="preserve">ączonych sieciach ekosystemów obejmujących duże obszary geograficzne. </w:t>
      </w:r>
      <w:r w:rsidRPr="00610401">
        <w:rPr>
          <w:noProof/>
          <w:color w:val="000000" w:themeColor="text1"/>
        </w:rPr>
        <w:t>Ponadto działania na szczeblu UE są konieczne</w:t>
      </w:r>
      <w:r w:rsidR="00610401" w:rsidRPr="00610401">
        <w:rPr>
          <w:noProof/>
          <w:color w:val="000000" w:themeColor="text1"/>
        </w:rPr>
        <w:t xml:space="preserve"> w cel</w:t>
      </w:r>
      <w:r w:rsidRPr="00610401">
        <w:rPr>
          <w:noProof/>
          <w:color w:val="000000" w:themeColor="text1"/>
        </w:rPr>
        <w:t>u uzupełnienia istniejących wymogów prawnych</w:t>
      </w:r>
      <w:r w:rsidR="00610401" w:rsidRPr="00610401">
        <w:rPr>
          <w:noProof/>
          <w:color w:val="000000" w:themeColor="text1"/>
        </w:rPr>
        <w:t xml:space="preserve"> i pom</w:t>
      </w:r>
      <w:r w:rsidRPr="00610401">
        <w:rPr>
          <w:noProof/>
          <w:color w:val="000000" w:themeColor="text1"/>
        </w:rPr>
        <w:t>ocy UE</w:t>
      </w:r>
      <w:r w:rsidR="00610401" w:rsidRPr="00610401">
        <w:rPr>
          <w:noProof/>
          <w:color w:val="000000" w:themeColor="text1"/>
        </w:rPr>
        <w:t xml:space="preserve"> w osi</w:t>
      </w:r>
      <w:r w:rsidRPr="00610401">
        <w:rPr>
          <w:noProof/>
          <w:color w:val="000000" w:themeColor="text1"/>
        </w:rPr>
        <w:t>ągnięciu celów wyznaczonych przez inne unijne akty prawne</w:t>
      </w:r>
      <w:r w:rsidR="00610401" w:rsidRPr="00610401">
        <w:rPr>
          <w:noProof/>
          <w:color w:val="000000" w:themeColor="text1"/>
        </w:rPr>
        <w:t xml:space="preserve"> w dzi</w:t>
      </w:r>
      <w:r w:rsidRPr="00610401">
        <w:rPr>
          <w:noProof/>
          <w:color w:val="000000" w:themeColor="text1"/>
        </w:rPr>
        <w:t>edzinie środowiska</w:t>
      </w:r>
      <w:r w:rsidR="00610401" w:rsidRPr="00610401">
        <w:rPr>
          <w:noProof/>
          <w:color w:val="000000" w:themeColor="text1"/>
        </w:rPr>
        <w:t xml:space="preserve"> i kli</w:t>
      </w:r>
      <w:r w:rsidRPr="00610401">
        <w:rPr>
          <w:noProof/>
          <w:color w:val="000000" w:themeColor="text1"/>
        </w:rPr>
        <w:t xml:space="preserve">matu. </w:t>
      </w:r>
    </w:p>
    <w:p w:rsidR="00CD623F" w:rsidRPr="00610401" w:rsidRDefault="00CD623F" w:rsidP="002E61AD">
      <w:pPr>
        <w:pStyle w:val="ManualHeading2"/>
        <w:rPr>
          <w:noProof/>
          <w:u w:color="000000"/>
          <w:bdr w:val="nil"/>
        </w:rPr>
      </w:pPr>
      <w:r w:rsidRPr="00610401">
        <w:rPr>
          <w:noProof/>
          <w:u w:color="000000"/>
          <w:bdr w:val="nil"/>
        </w:rPr>
        <w:t>Proporcjonalność</w:t>
      </w:r>
    </w:p>
    <w:p w:rsidR="00CD623F" w:rsidRPr="00610401" w:rsidRDefault="00CD623F" w:rsidP="00CD623F">
      <w:pPr>
        <w:rPr>
          <w:noProof/>
          <w:color w:val="000000" w:themeColor="text1"/>
        </w:rPr>
      </w:pPr>
      <w:r w:rsidRPr="00610401">
        <w:rPr>
          <w:noProof/>
        </w:rPr>
        <w:t>Wniosek jest zgodny</w:t>
      </w:r>
      <w:r w:rsidR="00610401" w:rsidRPr="00610401">
        <w:rPr>
          <w:noProof/>
        </w:rPr>
        <w:t xml:space="preserve"> z zas</w:t>
      </w:r>
      <w:r w:rsidRPr="00610401">
        <w:rPr>
          <w:noProof/>
        </w:rPr>
        <w:t xml:space="preserve">adą proporcjonalności, ponieważ nie wykracza ponad to, co jest konieczne do osiągnięcia celu, jakim jest wprowadzenie </w:t>
      </w:r>
      <w:r w:rsidRPr="00610401">
        <w:rPr>
          <w:noProof/>
          <w:color w:val="000000" w:themeColor="text1"/>
        </w:rPr>
        <w:t>różnorodności biologicznej w UE na ścieżkę regeneracji do</w:t>
      </w:r>
      <w:r w:rsidR="00610401" w:rsidRPr="00610401">
        <w:rPr>
          <w:noProof/>
          <w:color w:val="000000" w:themeColor="text1"/>
        </w:rPr>
        <w:t> </w:t>
      </w:r>
      <w:r w:rsidRPr="00610401">
        <w:rPr>
          <w:noProof/>
          <w:color w:val="000000" w:themeColor="text1"/>
        </w:rPr>
        <w:t>2030</w:t>
      </w:r>
      <w:r w:rsidR="00610401" w:rsidRPr="00610401">
        <w:rPr>
          <w:noProof/>
          <w:color w:val="000000" w:themeColor="text1"/>
        </w:rPr>
        <w:t> </w:t>
      </w:r>
      <w:r w:rsidRPr="00610401">
        <w:rPr>
          <w:noProof/>
          <w:color w:val="000000" w:themeColor="text1"/>
        </w:rPr>
        <w:t xml:space="preserve">r. </w:t>
      </w:r>
    </w:p>
    <w:p w:rsidR="00CD623F" w:rsidRPr="00610401" w:rsidRDefault="00CD623F" w:rsidP="00CD623F">
      <w:pPr>
        <w:rPr>
          <w:rFonts w:eastAsia="Times New Roman"/>
          <w:noProof/>
        </w:rPr>
      </w:pPr>
      <w:r w:rsidRPr="00610401">
        <w:rPr>
          <w:noProof/>
        </w:rPr>
        <w:t>Ustanowienie na poziomie UE prawnie wiążących celów</w:t>
      </w:r>
      <w:r w:rsidR="00610401" w:rsidRPr="00610401">
        <w:rPr>
          <w:noProof/>
        </w:rPr>
        <w:t xml:space="preserve"> i obo</w:t>
      </w:r>
      <w:r w:rsidRPr="00610401">
        <w:rPr>
          <w:noProof/>
        </w:rPr>
        <w:t>wiązków</w:t>
      </w:r>
      <w:r w:rsidR="00610401" w:rsidRPr="00610401">
        <w:rPr>
          <w:noProof/>
        </w:rPr>
        <w:t xml:space="preserve"> w zak</w:t>
      </w:r>
      <w:r w:rsidRPr="00610401">
        <w:rPr>
          <w:noProof/>
        </w:rPr>
        <w:t>resie odbudowy ekosystemów zapewniłoby spójność działań niezbędnych</w:t>
      </w:r>
      <w:r w:rsidR="00610401" w:rsidRPr="00610401">
        <w:rPr>
          <w:noProof/>
        </w:rPr>
        <w:t xml:space="preserve"> w cał</w:t>
      </w:r>
      <w:r w:rsidRPr="00610401">
        <w:rPr>
          <w:noProof/>
        </w:rPr>
        <w:t>ej UE do osiągnięcia celu ogólnego. Monitorowanie</w:t>
      </w:r>
      <w:r w:rsidR="00610401" w:rsidRPr="00610401">
        <w:rPr>
          <w:noProof/>
        </w:rPr>
        <w:t xml:space="preserve"> i skł</w:t>
      </w:r>
      <w:r w:rsidRPr="00610401">
        <w:rPr>
          <w:noProof/>
        </w:rPr>
        <w:t>adanie przez Komisję sprawozdań na temat postępu przyniesie dalsze korzyści oraz umożliwi podejmowanie bardziej efektywnych wspólnych działań przez UE</w:t>
      </w:r>
      <w:r w:rsidR="00610401" w:rsidRPr="00610401">
        <w:rPr>
          <w:noProof/>
        </w:rPr>
        <w:t xml:space="preserve"> i pań</w:t>
      </w:r>
      <w:r w:rsidRPr="00610401">
        <w:rPr>
          <w:noProof/>
        </w:rPr>
        <w:t xml:space="preserve">stwa członkowskie. </w:t>
      </w:r>
    </w:p>
    <w:p w:rsidR="00CD623F" w:rsidRPr="00610401" w:rsidRDefault="00CD623F" w:rsidP="00CD623F">
      <w:pPr>
        <w:rPr>
          <w:rFonts w:eastAsia="Times New Roman"/>
          <w:noProof/>
          <w:color w:val="000000" w:themeColor="text1"/>
        </w:rPr>
      </w:pPr>
      <w:r w:rsidRPr="00610401">
        <w:rPr>
          <w:noProof/>
          <w:color w:val="000000" w:themeColor="text1"/>
        </w:rPr>
        <w:t>Podsumowując, we wniosku wyznaczono cel nadrzędny oraz cele</w:t>
      </w:r>
      <w:r w:rsidR="00610401" w:rsidRPr="00610401">
        <w:rPr>
          <w:noProof/>
          <w:color w:val="000000" w:themeColor="text1"/>
        </w:rPr>
        <w:t xml:space="preserve"> i obo</w:t>
      </w:r>
      <w:r w:rsidRPr="00610401">
        <w:rPr>
          <w:noProof/>
          <w:color w:val="000000" w:themeColor="text1"/>
        </w:rPr>
        <w:t>wiązki dotyczące poszczególnych ekosystemów, które są zgodne</w:t>
      </w:r>
      <w:r w:rsidR="00610401" w:rsidRPr="00610401">
        <w:rPr>
          <w:noProof/>
          <w:color w:val="000000" w:themeColor="text1"/>
        </w:rPr>
        <w:t xml:space="preserve"> z zak</w:t>
      </w:r>
      <w:r w:rsidRPr="00610401">
        <w:rPr>
          <w:noProof/>
          <w:color w:val="000000" w:themeColor="text1"/>
        </w:rPr>
        <w:t>resem ogólnych celów. Aby umożliwić UE osiągnięcie tych celów, we wniosku przedstawiono środki wykonawcze, oceny</w:t>
      </w:r>
      <w:r w:rsidR="00610401" w:rsidRPr="00610401">
        <w:rPr>
          <w:noProof/>
          <w:color w:val="000000" w:themeColor="text1"/>
        </w:rPr>
        <w:t xml:space="preserve"> i prz</w:t>
      </w:r>
      <w:r w:rsidRPr="00610401">
        <w:rPr>
          <w:noProof/>
          <w:color w:val="000000" w:themeColor="text1"/>
        </w:rPr>
        <w:t>eglądy.</w:t>
      </w:r>
    </w:p>
    <w:p w:rsidR="00CD623F" w:rsidRPr="00610401" w:rsidRDefault="00CD623F" w:rsidP="002E61AD">
      <w:pPr>
        <w:pStyle w:val="ManualHeading2"/>
        <w:rPr>
          <w:noProof/>
          <w:u w:color="000000"/>
          <w:bdr w:val="nil"/>
        </w:rPr>
      </w:pPr>
      <w:r w:rsidRPr="00610401">
        <w:rPr>
          <w:noProof/>
          <w:u w:color="000000"/>
          <w:bdr w:val="nil"/>
        </w:rPr>
        <w:t>Wybór instrumentu</w:t>
      </w:r>
    </w:p>
    <w:p w:rsidR="00CD623F" w:rsidRPr="00610401" w:rsidRDefault="00CD623F" w:rsidP="00CD623F">
      <w:pPr>
        <w:pBdr>
          <w:top w:val="nil"/>
          <w:left w:val="nil"/>
          <w:bottom w:val="nil"/>
          <w:right w:val="nil"/>
          <w:between w:val="nil"/>
          <w:bar w:val="nil"/>
        </w:pBdr>
        <w:spacing w:before="0" w:after="240"/>
        <w:rPr>
          <w:noProof/>
        </w:rPr>
      </w:pPr>
      <w:r w:rsidRPr="00610401">
        <w:rPr>
          <w:noProof/>
        </w:rPr>
        <w:t>Aby zrealizować cele długoterminowe, potrzebne jest raczej podejście ustawodawcze niż nieustawodawcze. Cele niniejszego wniosku najlepiej jest realizować na podstawie rozporządzenia, aby zapewnić bezpośrednie stosowanie przepisów. Państwa członkowskie są zobowiązane do działania na rzecz realizacji celów długoterminowych przez wprowadzanie krajowych planów odbudowy,</w:t>
      </w:r>
      <w:r w:rsidR="00610401" w:rsidRPr="00610401">
        <w:rPr>
          <w:noProof/>
        </w:rPr>
        <w:t xml:space="preserve"> w któ</w:t>
      </w:r>
      <w:r w:rsidRPr="00610401">
        <w:rPr>
          <w:noProof/>
        </w:rPr>
        <w:t>rych zostaną określone środki odbudowy potrzebne do realizacji celów</w:t>
      </w:r>
      <w:r w:rsidR="00610401" w:rsidRPr="00610401">
        <w:rPr>
          <w:noProof/>
        </w:rPr>
        <w:t xml:space="preserve"> i obo</w:t>
      </w:r>
      <w:r w:rsidRPr="00610401">
        <w:rPr>
          <w:noProof/>
        </w:rPr>
        <w:t>wiązków dotyczących poszczególnych ekosystemów. Rozporządzenie nie wymaga transpozycji do prawa krajowego, co oznacza, że środki odbudowy na jego podstawie można wprowadzić wcześniej niż to miałoby miejsce</w:t>
      </w:r>
      <w:r w:rsidR="00610401" w:rsidRPr="00610401">
        <w:rPr>
          <w:noProof/>
        </w:rPr>
        <w:t xml:space="preserve"> w prz</w:t>
      </w:r>
      <w:r w:rsidRPr="00610401">
        <w:rPr>
          <w:noProof/>
        </w:rPr>
        <w:t>ypadku dyrektywy.</w:t>
      </w:r>
    </w:p>
    <w:p w:rsidR="00CD623F" w:rsidRPr="00610401" w:rsidRDefault="00CD623F" w:rsidP="00CD623F">
      <w:pPr>
        <w:pBdr>
          <w:top w:val="nil"/>
          <w:left w:val="nil"/>
          <w:bottom w:val="nil"/>
          <w:right w:val="nil"/>
          <w:between w:val="nil"/>
          <w:bar w:val="nil"/>
        </w:pBdr>
        <w:spacing w:before="0" w:after="240"/>
        <w:rPr>
          <w:noProof/>
        </w:rPr>
      </w:pPr>
      <w:r w:rsidRPr="00610401">
        <w:rPr>
          <w:noProof/>
        </w:rPr>
        <w:t>Rozporządzenie zawiera bardziej precyzyjny</w:t>
      </w:r>
      <w:r w:rsidR="00610401" w:rsidRPr="00610401">
        <w:rPr>
          <w:noProof/>
        </w:rPr>
        <w:t xml:space="preserve"> i szc</w:t>
      </w:r>
      <w:r w:rsidRPr="00610401">
        <w:rPr>
          <w:noProof/>
        </w:rPr>
        <w:t>zegółowy opis działań, które mają zostać podjęte przez państwa członkowskie, dzięki czemu ramy tych działań są wyznaczone</w:t>
      </w:r>
      <w:r w:rsidR="00610401" w:rsidRPr="00610401">
        <w:rPr>
          <w:noProof/>
        </w:rPr>
        <w:t xml:space="preserve"> w spo</w:t>
      </w:r>
      <w:r w:rsidRPr="00610401">
        <w:rPr>
          <w:noProof/>
        </w:rPr>
        <w:t>sób znacznie bardziej dokładny, a co za tym idzie, rozporządzenie zapewnia większą zgodność</w:t>
      </w:r>
      <w:r w:rsidR="00610401" w:rsidRPr="00610401">
        <w:rPr>
          <w:noProof/>
        </w:rPr>
        <w:t xml:space="preserve"> i spó</w:t>
      </w:r>
      <w:r w:rsidRPr="00610401">
        <w:rPr>
          <w:noProof/>
        </w:rPr>
        <w:t>jność</w:t>
      </w:r>
      <w:r w:rsidR="00610401" w:rsidRPr="00610401">
        <w:rPr>
          <w:noProof/>
        </w:rPr>
        <w:t xml:space="preserve"> w cał</w:t>
      </w:r>
      <w:r w:rsidRPr="00610401">
        <w:rPr>
          <w:noProof/>
        </w:rPr>
        <w:t>ej UE</w:t>
      </w:r>
      <w:r w:rsidR="00610401" w:rsidRPr="00610401">
        <w:rPr>
          <w:noProof/>
        </w:rPr>
        <w:t>. W prz</w:t>
      </w:r>
      <w:r w:rsidRPr="00610401">
        <w:rPr>
          <w:noProof/>
        </w:rPr>
        <w:t>eciwieństwie do dyrektyw</w:t>
      </w:r>
      <w:r w:rsidR="00610401" w:rsidRPr="00610401">
        <w:rPr>
          <w:noProof/>
        </w:rPr>
        <w:t xml:space="preserve"> w roz</w:t>
      </w:r>
      <w:r w:rsidRPr="00610401">
        <w:rPr>
          <w:noProof/>
        </w:rPr>
        <w:t>porządzeniach nie tylko wskazuje się cel, który państwa członkowskie mają osiągnąć, lecz także bardziej szczegółowo określa się wymogi prawne</w:t>
      </w:r>
      <w:r w:rsidR="00610401" w:rsidRPr="00610401">
        <w:rPr>
          <w:noProof/>
        </w:rPr>
        <w:t xml:space="preserve"> i spo</w:t>
      </w:r>
      <w:r w:rsidRPr="00610401">
        <w:rPr>
          <w:noProof/>
        </w:rPr>
        <w:t>soby osiągnięcia tego celu.</w:t>
      </w:r>
    </w:p>
    <w:p w:rsidR="00CD623F" w:rsidRPr="00610401" w:rsidRDefault="00CD623F" w:rsidP="00CD623F">
      <w:pPr>
        <w:pStyle w:val="ManualHeading1"/>
        <w:rPr>
          <w:noProof/>
        </w:rPr>
      </w:pPr>
      <w:r w:rsidRPr="00610401">
        <w:rPr>
          <w:noProof/>
        </w:rPr>
        <w:t>3.</w:t>
      </w:r>
      <w:r w:rsidRPr="00610401">
        <w:rPr>
          <w:noProof/>
        </w:rPr>
        <w:tab/>
        <w:t xml:space="preserve">WYNIKI OCEN </w:t>
      </w:r>
      <w:r w:rsidRPr="00610401">
        <w:rPr>
          <w:i/>
          <w:iCs/>
          <w:noProof/>
        </w:rPr>
        <w:t>EX POST</w:t>
      </w:r>
      <w:r w:rsidRPr="00610401">
        <w:rPr>
          <w:noProof/>
        </w:rPr>
        <w:t>, KONSULTACJI Z ZAINTERESOWANYMI STRONAMI I OCEN SKUTKÓW</w:t>
      </w:r>
    </w:p>
    <w:p w:rsidR="00CD623F" w:rsidRPr="00610401" w:rsidRDefault="00CD623F" w:rsidP="00662A1F">
      <w:pPr>
        <w:pStyle w:val="ManualHeading2"/>
        <w:rPr>
          <w:noProof/>
          <w:u w:color="000000"/>
          <w:bdr w:val="nil"/>
        </w:rPr>
      </w:pPr>
      <w:r w:rsidRPr="00610401">
        <w:rPr>
          <w:noProof/>
          <w:u w:color="000000"/>
          <w:bdr w:val="nil"/>
        </w:rPr>
        <w:t xml:space="preserve">Oceny </w:t>
      </w:r>
      <w:r w:rsidRPr="00610401">
        <w:rPr>
          <w:i/>
          <w:iCs/>
          <w:noProof/>
          <w:u w:color="000000"/>
          <w:bdr w:val="nil"/>
        </w:rPr>
        <w:t>ex post</w:t>
      </w:r>
      <w:r w:rsidRPr="00610401">
        <w:rPr>
          <w:noProof/>
          <w:u w:color="000000"/>
          <w:bdr w:val="nil"/>
        </w:rPr>
        <w:t>/oceny adekwatności obowiązującego prawodawstwa</w:t>
      </w:r>
    </w:p>
    <w:p w:rsidR="00CD623F" w:rsidRPr="00610401" w:rsidRDefault="00CD623F" w:rsidP="00CD623F">
      <w:pPr>
        <w:pBdr>
          <w:top w:val="nil"/>
          <w:left w:val="nil"/>
          <w:bottom w:val="nil"/>
          <w:right w:val="nil"/>
          <w:between w:val="nil"/>
          <w:bar w:val="nil"/>
        </w:pBdr>
        <w:rPr>
          <w:noProof/>
          <w:color w:val="000000"/>
          <w:szCs w:val="24"/>
          <w:bdr w:val="none" w:sz="0" w:space="0" w:color="auto" w:frame="1"/>
          <w:shd w:val="clear" w:color="auto" w:fill="FFFFFF"/>
        </w:rPr>
      </w:pPr>
      <w:r w:rsidRPr="00610401">
        <w:rPr>
          <w:noProof/>
        </w:rPr>
        <w:t>W ocenie realizacji strategii na rzecz różnorodności biologicznej na okres do</w:t>
      </w:r>
      <w:r w:rsidR="00610401" w:rsidRPr="00610401">
        <w:rPr>
          <w:noProof/>
        </w:rPr>
        <w:t> </w:t>
      </w:r>
      <w:r w:rsidRPr="00610401">
        <w:rPr>
          <w:noProof/>
        </w:rPr>
        <w:t>2020</w:t>
      </w:r>
      <w:r w:rsidR="00610401" w:rsidRPr="00610401">
        <w:rPr>
          <w:noProof/>
        </w:rPr>
        <w:t> </w:t>
      </w:r>
      <w:r w:rsidRPr="00610401">
        <w:rPr>
          <w:noProof/>
        </w:rPr>
        <w:t>r. wskazano, że odbudowa ekosystemów nie została zrealizowana</w:t>
      </w:r>
      <w:r w:rsidR="00610401" w:rsidRPr="00610401">
        <w:rPr>
          <w:noProof/>
        </w:rPr>
        <w:t xml:space="preserve"> z pow</w:t>
      </w:r>
      <w:r w:rsidRPr="00610401">
        <w:rPr>
          <w:noProof/>
        </w:rPr>
        <w:t>odu dobrowolnego,</w:t>
      </w:r>
      <w:r w:rsidR="00610401" w:rsidRPr="00610401">
        <w:rPr>
          <w:noProof/>
        </w:rPr>
        <w:t xml:space="preserve"> a nie</w:t>
      </w:r>
      <w:r w:rsidRPr="00610401">
        <w:rPr>
          <w:noProof/>
        </w:rPr>
        <w:t xml:space="preserve"> prawnie wiążącego charakteru wyznaczonych celów. Wynikający</w:t>
      </w:r>
      <w:r w:rsidR="00610401" w:rsidRPr="00610401">
        <w:rPr>
          <w:noProof/>
        </w:rPr>
        <w:t xml:space="preserve"> z teg</w:t>
      </w:r>
      <w:r w:rsidRPr="00610401">
        <w:rPr>
          <w:noProof/>
        </w:rPr>
        <w:t>o brak zobowiązań</w:t>
      </w:r>
      <w:r w:rsidR="00610401" w:rsidRPr="00610401">
        <w:rPr>
          <w:noProof/>
        </w:rPr>
        <w:t xml:space="preserve"> i pri</w:t>
      </w:r>
      <w:r w:rsidRPr="00610401">
        <w:rPr>
          <w:noProof/>
        </w:rPr>
        <w:t>orytetów politycznych stanowi główną przeszkodę</w:t>
      </w:r>
      <w:r w:rsidR="00610401" w:rsidRPr="00610401">
        <w:rPr>
          <w:noProof/>
        </w:rPr>
        <w:t xml:space="preserve"> w prz</w:t>
      </w:r>
      <w:r w:rsidRPr="00610401">
        <w:rPr>
          <w:noProof/>
        </w:rPr>
        <w:t>eznaczaniu środków finansowych</w:t>
      </w:r>
      <w:r w:rsidR="00610401" w:rsidRPr="00610401">
        <w:rPr>
          <w:noProof/>
        </w:rPr>
        <w:t xml:space="preserve"> i zas</w:t>
      </w:r>
      <w:r w:rsidRPr="00610401">
        <w:rPr>
          <w:noProof/>
        </w:rPr>
        <w:t>obów na prace związane</w:t>
      </w:r>
      <w:r w:rsidR="00610401" w:rsidRPr="00610401">
        <w:rPr>
          <w:noProof/>
        </w:rPr>
        <w:t xml:space="preserve"> z odb</w:t>
      </w:r>
      <w:r w:rsidRPr="00610401">
        <w:rPr>
          <w:noProof/>
        </w:rPr>
        <w:t>udową.</w:t>
      </w:r>
    </w:p>
    <w:p w:rsidR="00CD623F" w:rsidRPr="00610401" w:rsidRDefault="00CD623F" w:rsidP="00CD623F">
      <w:pPr>
        <w:pBdr>
          <w:top w:val="nil"/>
          <w:left w:val="nil"/>
          <w:bottom w:val="nil"/>
          <w:right w:val="nil"/>
          <w:between w:val="nil"/>
          <w:bar w:val="nil"/>
        </w:pBdr>
        <w:rPr>
          <w:rFonts w:eastAsia="Arial Unicode MS"/>
          <w:noProof/>
        </w:rPr>
      </w:pPr>
      <w:r w:rsidRPr="00610401">
        <w:rPr>
          <w:noProof/>
        </w:rPr>
        <w:t>Ponadto</w:t>
      </w:r>
      <w:r w:rsidR="00610401" w:rsidRPr="00610401">
        <w:rPr>
          <w:noProof/>
        </w:rPr>
        <w:t xml:space="preserve"> w dyr</w:t>
      </w:r>
      <w:r w:rsidRPr="00610401">
        <w:rPr>
          <w:noProof/>
        </w:rPr>
        <w:t>ektywach ptasiej</w:t>
      </w:r>
      <w:r w:rsidR="00610401" w:rsidRPr="00610401">
        <w:rPr>
          <w:noProof/>
        </w:rPr>
        <w:t xml:space="preserve"> i sie</w:t>
      </w:r>
      <w:r w:rsidRPr="00610401">
        <w:rPr>
          <w:noProof/>
        </w:rPr>
        <w:t>dliskowej nie wyznaczono terminów</w:t>
      </w:r>
      <w:r w:rsidR="00610401" w:rsidRPr="00610401">
        <w:rPr>
          <w:noProof/>
        </w:rPr>
        <w:t xml:space="preserve"> w odn</w:t>
      </w:r>
      <w:r w:rsidRPr="00610401">
        <w:rPr>
          <w:noProof/>
        </w:rPr>
        <w:t>iesieniu do utrzymywania siedlisk przyrodniczych</w:t>
      </w:r>
      <w:r w:rsidR="00610401" w:rsidRPr="00610401">
        <w:rPr>
          <w:noProof/>
        </w:rPr>
        <w:t xml:space="preserve"> i gat</w:t>
      </w:r>
      <w:r w:rsidRPr="00610401">
        <w:rPr>
          <w:noProof/>
        </w:rPr>
        <w:t>unków lub przywrócenia ich do właściwego stanu ochrony. Brakuje</w:t>
      </w:r>
      <w:r w:rsidR="00610401" w:rsidRPr="00610401">
        <w:rPr>
          <w:noProof/>
        </w:rPr>
        <w:t xml:space="preserve"> w nic</w:t>
      </w:r>
      <w:r w:rsidRPr="00610401">
        <w:rPr>
          <w:noProof/>
        </w:rPr>
        <w:t>h także szczegółowych wymogów</w:t>
      </w:r>
      <w:r w:rsidR="00610401" w:rsidRPr="00610401">
        <w:rPr>
          <w:noProof/>
        </w:rPr>
        <w:t xml:space="preserve"> w zak</w:t>
      </w:r>
      <w:r w:rsidRPr="00610401">
        <w:rPr>
          <w:noProof/>
        </w:rPr>
        <w:t>resie odbudowy ekosystemów położonych poza siecią Natura 2000. Aby zaradzić tym niedociągnięciom,</w:t>
      </w:r>
      <w:r w:rsidR="00610401" w:rsidRPr="00610401">
        <w:rPr>
          <w:noProof/>
        </w:rPr>
        <w:t xml:space="preserve"> w nin</w:t>
      </w:r>
      <w:r w:rsidRPr="00610401">
        <w:rPr>
          <w:noProof/>
        </w:rPr>
        <w:t>iejszym wniosku wprowadzono obowiązek odbudowy określonych gatunków</w:t>
      </w:r>
      <w:r w:rsidR="00610401" w:rsidRPr="00610401">
        <w:rPr>
          <w:noProof/>
        </w:rPr>
        <w:t xml:space="preserve"> i sie</w:t>
      </w:r>
      <w:r w:rsidRPr="00610401">
        <w:rPr>
          <w:noProof/>
        </w:rPr>
        <w:t>dlisk, zarówno położonych</w:t>
      </w:r>
      <w:r w:rsidR="00610401" w:rsidRPr="00610401">
        <w:rPr>
          <w:noProof/>
        </w:rPr>
        <w:t xml:space="preserve"> w obr</w:t>
      </w:r>
      <w:r w:rsidRPr="00610401">
        <w:rPr>
          <w:noProof/>
        </w:rPr>
        <w:t>ębie sieci Natura 2000, jak</w:t>
      </w:r>
      <w:r w:rsidR="00610401" w:rsidRPr="00610401">
        <w:rPr>
          <w:noProof/>
        </w:rPr>
        <w:t xml:space="preserve"> i poz</w:t>
      </w:r>
      <w:r w:rsidRPr="00610401">
        <w:rPr>
          <w:noProof/>
        </w:rPr>
        <w:t>a nią, oraz jasno określono terminy wywiązania się</w:t>
      </w:r>
      <w:r w:rsidR="00610401" w:rsidRPr="00610401">
        <w:rPr>
          <w:noProof/>
        </w:rPr>
        <w:t xml:space="preserve"> z teg</w:t>
      </w:r>
      <w:r w:rsidRPr="00610401">
        <w:rPr>
          <w:noProof/>
        </w:rPr>
        <w:t>o obowiązku.</w:t>
      </w:r>
    </w:p>
    <w:p w:rsidR="00CD623F" w:rsidRPr="00610401" w:rsidRDefault="00CD623F" w:rsidP="00CD623F">
      <w:pPr>
        <w:pBdr>
          <w:top w:val="nil"/>
          <w:left w:val="nil"/>
          <w:bottom w:val="nil"/>
          <w:right w:val="nil"/>
          <w:between w:val="nil"/>
          <w:bar w:val="nil"/>
        </w:pBdr>
        <w:rPr>
          <w:rFonts w:eastAsia="Arial Unicode MS"/>
          <w:noProof/>
        </w:rPr>
      </w:pPr>
      <w:r w:rsidRPr="00610401">
        <w:rPr>
          <w:noProof/>
        </w:rPr>
        <w:t>Jeśli chodzi</w:t>
      </w:r>
      <w:r w:rsidR="00610401" w:rsidRPr="00610401">
        <w:rPr>
          <w:noProof/>
        </w:rPr>
        <w:t xml:space="preserve"> o dyr</w:t>
      </w:r>
      <w:r w:rsidRPr="00610401">
        <w:rPr>
          <w:noProof/>
        </w:rPr>
        <w:t>ektywę ramową</w:t>
      </w:r>
      <w:r w:rsidR="00610401" w:rsidRPr="00610401">
        <w:rPr>
          <w:noProof/>
        </w:rPr>
        <w:t xml:space="preserve"> w spr</w:t>
      </w:r>
      <w:r w:rsidRPr="00610401">
        <w:rPr>
          <w:noProof/>
        </w:rPr>
        <w:t>awie strategii morskiej,</w:t>
      </w:r>
      <w:r w:rsidR="00610401" w:rsidRPr="00610401">
        <w:rPr>
          <w:noProof/>
        </w:rPr>
        <w:t xml:space="preserve"> w spr</w:t>
      </w:r>
      <w:r w:rsidRPr="00610401">
        <w:rPr>
          <w:noProof/>
        </w:rPr>
        <w:t>awozdaniu Komisji</w:t>
      </w:r>
      <w:r w:rsidR="00610401" w:rsidRPr="00610401">
        <w:rPr>
          <w:noProof/>
        </w:rPr>
        <w:t xml:space="preserve"> z 2</w:t>
      </w:r>
      <w:r w:rsidRPr="00610401">
        <w:rPr>
          <w:noProof/>
        </w:rPr>
        <w:t>020</w:t>
      </w:r>
      <w:r w:rsidR="00610401" w:rsidRPr="00610401">
        <w:rPr>
          <w:noProof/>
        </w:rPr>
        <w:t> </w:t>
      </w:r>
      <w:r w:rsidRPr="00610401">
        <w:rPr>
          <w:noProof/>
        </w:rPr>
        <w:t>r.</w:t>
      </w:r>
      <w:r w:rsidR="00610401" w:rsidRPr="00610401">
        <w:rPr>
          <w:noProof/>
        </w:rPr>
        <w:t xml:space="preserve"> z pie</w:t>
      </w:r>
      <w:r w:rsidRPr="00610401">
        <w:rPr>
          <w:noProof/>
        </w:rPr>
        <w:t>rwszego cyklu wdrażania dyrektywy</w:t>
      </w:r>
      <w:r w:rsidRPr="00610401">
        <w:rPr>
          <w:rStyle w:val="FootnoteReference"/>
          <w:rFonts w:eastAsia="Arial Unicode MS"/>
          <w:noProof/>
        </w:rPr>
        <w:footnoteReference w:id="41"/>
      </w:r>
      <w:r w:rsidRPr="00610401">
        <w:rPr>
          <w:noProof/>
        </w:rPr>
        <w:t xml:space="preserve"> stwierdzono, że jej cel ogólny okazał się bardzo trudny do osiągnięcia. Powodem tego jest brak konkretnych środków oraz brak wystarczająco precyzyjnego monitorowania konkretnych siedlisk lub gatunków,</w:t>
      </w:r>
      <w:r w:rsidR="00610401" w:rsidRPr="00610401">
        <w:rPr>
          <w:noProof/>
        </w:rPr>
        <w:t xml:space="preserve"> a dod</w:t>
      </w:r>
      <w:r w:rsidRPr="00610401">
        <w:rPr>
          <w:noProof/>
        </w:rPr>
        <w:t>atkowo brak konkretnych celów. Zawarta</w:t>
      </w:r>
      <w:r w:rsidR="00610401" w:rsidRPr="00610401">
        <w:rPr>
          <w:noProof/>
        </w:rPr>
        <w:t xml:space="preserve"> w nin</w:t>
      </w:r>
      <w:r w:rsidRPr="00610401">
        <w:rPr>
          <w:noProof/>
        </w:rPr>
        <w:t>iejszym rozporządzeniu definicja celów</w:t>
      </w:r>
      <w:r w:rsidR="00610401" w:rsidRPr="00610401">
        <w:rPr>
          <w:noProof/>
        </w:rPr>
        <w:t xml:space="preserve"> w zak</w:t>
      </w:r>
      <w:r w:rsidRPr="00610401">
        <w:rPr>
          <w:noProof/>
        </w:rPr>
        <w:t>resie odbudowy będzie narzędziem wspierającym realizację celów dyrektywy ramowej</w:t>
      </w:r>
      <w:r w:rsidR="00610401" w:rsidRPr="00610401">
        <w:rPr>
          <w:noProof/>
        </w:rPr>
        <w:t xml:space="preserve"> w spr</w:t>
      </w:r>
      <w:r w:rsidRPr="00610401">
        <w:rPr>
          <w:noProof/>
        </w:rPr>
        <w:t>awie strategii morskiej</w:t>
      </w:r>
      <w:r w:rsidR="00610401" w:rsidRPr="00610401">
        <w:rPr>
          <w:noProof/>
        </w:rPr>
        <w:t xml:space="preserve"> i jej</w:t>
      </w:r>
      <w:r w:rsidRPr="00610401">
        <w:rPr>
          <w:noProof/>
        </w:rPr>
        <w:t xml:space="preserve"> wdrożenia.</w:t>
      </w:r>
    </w:p>
    <w:p w:rsidR="00CD623F" w:rsidRPr="00610401" w:rsidRDefault="00CD623F" w:rsidP="00CD623F">
      <w:pPr>
        <w:pBdr>
          <w:top w:val="nil"/>
          <w:left w:val="nil"/>
          <w:bottom w:val="nil"/>
          <w:right w:val="nil"/>
          <w:between w:val="nil"/>
          <w:bar w:val="nil"/>
        </w:pBdr>
        <w:rPr>
          <w:noProof/>
          <w:szCs w:val="24"/>
        </w:rPr>
      </w:pPr>
      <w:r w:rsidRPr="00610401">
        <w:rPr>
          <w:noProof/>
        </w:rPr>
        <w:t>W ocenie adekwatności ramowej dyrektywy wodnej stwierdzono, że trudności występujące przy jej wdrażaniu są częściowo spowodowane</w:t>
      </w:r>
      <w:r w:rsidR="00610401" w:rsidRPr="00610401">
        <w:rPr>
          <w:noProof/>
        </w:rPr>
        <w:t xml:space="preserve"> </w:t>
      </w:r>
      <w:r w:rsidRPr="00610401">
        <w:rPr>
          <w:noProof/>
        </w:rPr>
        <w:t>wpływem na stan jednolitej części wód rozproszonych zanieczyszczeń pochodzących</w:t>
      </w:r>
      <w:r w:rsidR="00610401" w:rsidRPr="00610401">
        <w:rPr>
          <w:noProof/>
        </w:rPr>
        <w:t xml:space="preserve"> z ota</w:t>
      </w:r>
      <w:r w:rsidRPr="00610401">
        <w:rPr>
          <w:noProof/>
        </w:rPr>
        <w:t>czających je siedlisk</w:t>
      </w:r>
      <w:r w:rsidR="00610401" w:rsidRPr="00610401">
        <w:rPr>
          <w:noProof/>
        </w:rPr>
        <w:t>. W ram</w:t>
      </w:r>
      <w:r w:rsidRPr="00610401">
        <w:rPr>
          <w:noProof/>
        </w:rPr>
        <w:t>owej dyrektywie wodnej nie wymaga od państw członkowskich usuwania barier, które mogą zakłócić naturalną łączność systemów rzecznych</w:t>
      </w:r>
      <w:r w:rsidR="00610401" w:rsidRPr="00610401">
        <w:rPr>
          <w:noProof/>
        </w:rPr>
        <w:t xml:space="preserve"> i sys</w:t>
      </w:r>
      <w:r w:rsidRPr="00610401">
        <w:rPr>
          <w:noProof/>
        </w:rPr>
        <w:t>temów jezior. Wiele ekosystemów lądowych, jak również szereg siedlisk</w:t>
      </w:r>
      <w:r w:rsidR="00610401" w:rsidRPr="00610401">
        <w:rPr>
          <w:noProof/>
        </w:rPr>
        <w:t xml:space="preserve"> i gat</w:t>
      </w:r>
      <w:r w:rsidRPr="00610401">
        <w:rPr>
          <w:noProof/>
        </w:rPr>
        <w:t>unków chronionych przez dyrektywy ptasią</w:t>
      </w:r>
      <w:r w:rsidR="00610401" w:rsidRPr="00610401">
        <w:rPr>
          <w:noProof/>
        </w:rPr>
        <w:t xml:space="preserve"> i sie</w:t>
      </w:r>
      <w:r w:rsidRPr="00610401">
        <w:rPr>
          <w:noProof/>
        </w:rPr>
        <w:t>dliskową jest jednak bezpośrednio zależnych od ekosystemów wodnych będących</w:t>
      </w:r>
      <w:r w:rsidR="00610401" w:rsidRPr="00610401">
        <w:rPr>
          <w:noProof/>
        </w:rPr>
        <w:t xml:space="preserve"> w sta</w:t>
      </w:r>
      <w:r w:rsidRPr="00610401">
        <w:rPr>
          <w:noProof/>
        </w:rPr>
        <w:t xml:space="preserve">nie zbliżonym do naturalnego. </w:t>
      </w:r>
      <w:r w:rsidRPr="00610401">
        <w:rPr>
          <w:noProof/>
          <w:color w:val="000000"/>
          <w:bdr w:val="none" w:sz="0" w:space="0" w:color="auto" w:frame="1"/>
          <w:shd w:val="clear" w:color="auto" w:fill="FFFFFF"/>
        </w:rPr>
        <w:t>Niniejszy wniosek uzupełnia ramową dyrektywę wodną przez określenie celów</w:t>
      </w:r>
      <w:r w:rsidR="00610401" w:rsidRPr="00610401">
        <w:rPr>
          <w:noProof/>
          <w:color w:val="000000"/>
          <w:bdr w:val="none" w:sz="0" w:space="0" w:color="auto" w:frame="1"/>
          <w:shd w:val="clear" w:color="auto" w:fill="FFFFFF"/>
        </w:rPr>
        <w:t xml:space="preserve"> w zak</w:t>
      </w:r>
      <w:r w:rsidRPr="00610401">
        <w:rPr>
          <w:noProof/>
          <w:color w:val="000000"/>
          <w:bdr w:val="none" w:sz="0" w:space="0" w:color="auto" w:frame="1"/>
          <w:shd w:val="clear" w:color="auto" w:fill="FFFFFF"/>
        </w:rPr>
        <w:t>resie odbudowy oraz innych konkretnych wymogów dotyczących rzek</w:t>
      </w:r>
      <w:r w:rsidR="00610401" w:rsidRPr="00610401">
        <w:rPr>
          <w:noProof/>
          <w:color w:val="000000"/>
          <w:bdr w:val="none" w:sz="0" w:space="0" w:color="auto" w:frame="1"/>
          <w:shd w:val="clear" w:color="auto" w:fill="FFFFFF"/>
        </w:rPr>
        <w:t xml:space="preserve"> i rów</w:t>
      </w:r>
      <w:r w:rsidRPr="00610401">
        <w:rPr>
          <w:noProof/>
          <w:color w:val="000000"/>
          <w:bdr w:val="none" w:sz="0" w:space="0" w:color="auto" w:frame="1"/>
          <w:shd w:val="clear" w:color="auto" w:fill="FFFFFF"/>
        </w:rPr>
        <w:t>nin zalewowych.</w:t>
      </w:r>
      <w:r w:rsidR="00610401" w:rsidRPr="00610401">
        <w:rPr>
          <w:noProof/>
          <w:color w:val="000000"/>
          <w:bdr w:val="none" w:sz="0" w:space="0" w:color="auto" w:frame="1"/>
          <w:shd w:val="clear" w:color="auto" w:fill="FFFFFF"/>
        </w:rPr>
        <w:t xml:space="preserve"> </w:t>
      </w:r>
      <w:r w:rsidRPr="00610401">
        <w:rPr>
          <w:noProof/>
          <w:color w:val="000000"/>
          <w:bdr w:val="none" w:sz="0" w:space="0" w:color="auto" w:frame="1"/>
          <w:shd w:val="clear" w:color="auto" w:fill="FFFFFF"/>
        </w:rPr>
        <w:t>Ponadto zawarty</w:t>
      </w:r>
      <w:r w:rsidR="00610401" w:rsidRPr="00610401">
        <w:rPr>
          <w:noProof/>
          <w:color w:val="000000"/>
          <w:bdr w:val="none" w:sz="0" w:space="0" w:color="auto" w:frame="1"/>
          <w:shd w:val="clear" w:color="auto" w:fill="FFFFFF"/>
        </w:rPr>
        <w:t xml:space="preserve"> w nin</w:t>
      </w:r>
      <w:r w:rsidRPr="00610401">
        <w:rPr>
          <w:noProof/>
          <w:color w:val="000000"/>
          <w:bdr w:val="none" w:sz="0" w:space="0" w:color="auto" w:frame="1"/>
          <w:shd w:val="clear" w:color="auto" w:fill="FFFFFF"/>
        </w:rPr>
        <w:t xml:space="preserve">iejszym wniosku wymóg przeciwdziałania pogarszaniu się stanu wód odpowiada nałożonemu przez dyrektywę wymogowi wprowadzenia środków zapobiegania pogorszeniu stanu wszystkich jednolitych części wód. </w:t>
      </w:r>
    </w:p>
    <w:p w:rsidR="00CD623F" w:rsidRPr="00610401" w:rsidRDefault="00CD623F" w:rsidP="00662A1F">
      <w:pPr>
        <w:pStyle w:val="ManualHeading2"/>
        <w:rPr>
          <w:noProof/>
          <w:u w:color="000000"/>
          <w:bdr w:val="nil"/>
        </w:rPr>
      </w:pPr>
      <w:r w:rsidRPr="00610401">
        <w:rPr>
          <w:noProof/>
          <w:u w:color="000000"/>
          <w:bdr w:val="nil"/>
        </w:rPr>
        <w:t>Konsultacje</w:t>
      </w:r>
      <w:r w:rsidR="00610401" w:rsidRPr="00610401">
        <w:rPr>
          <w:noProof/>
          <w:u w:color="000000"/>
          <w:bdr w:val="nil"/>
        </w:rPr>
        <w:t xml:space="preserve"> z zai</w:t>
      </w:r>
      <w:r w:rsidRPr="00610401">
        <w:rPr>
          <w:noProof/>
          <w:u w:color="000000"/>
          <w:bdr w:val="nil"/>
        </w:rPr>
        <w:t>nteresowanymi stronami</w:t>
      </w:r>
    </w:p>
    <w:p w:rsidR="0009048A" w:rsidRPr="00610401" w:rsidRDefault="00CD623F" w:rsidP="00B16B21">
      <w:pPr>
        <w:spacing w:before="0" w:after="40"/>
        <w:rPr>
          <w:rFonts w:eastAsia="Calibri"/>
          <w:noProof/>
        </w:rPr>
      </w:pPr>
      <w:r w:rsidRPr="00610401">
        <w:rPr>
          <w:noProof/>
        </w:rPr>
        <w:t>Zgodnie</w:t>
      </w:r>
      <w:r w:rsidR="00610401" w:rsidRPr="00610401">
        <w:rPr>
          <w:noProof/>
        </w:rPr>
        <w:t xml:space="preserve"> z wyt</w:t>
      </w:r>
      <w:r w:rsidRPr="00610401">
        <w:rPr>
          <w:noProof/>
        </w:rPr>
        <w:t>ycznymi dotyczącymi lepszego stanowienia prawa niniejsze rozporządzenie oraz dołączoną do niego ocenę skutków oparto na procesie szeroko zakrojonych konsultacji. Komisja zebrała opinie wielu różnych zainteresowanych stron,</w:t>
      </w:r>
      <w:r w:rsidR="00610401" w:rsidRPr="00610401">
        <w:rPr>
          <w:noProof/>
        </w:rPr>
        <w:t xml:space="preserve"> w szc</w:t>
      </w:r>
      <w:r w:rsidRPr="00610401">
        <w:rPr>
          <w:noProof/>
        </w:rPr>
        <w:t>zególności przedstawicieli państw członkowskich, organizacji działających na rzecz ochrony środowiska, instytutów badawczych, stowarzyszeń rolniczych</w:t>
      </w:r>
      <w:r w:rsidR="00610401" w:rsidRPr="00610401">
        <w:rPr>
          <w:noProof/>
        </w:rPr>
        <w:t xml:space="preserve"> i leś</w:t>
      </w:r>
      <w:r w:rsidRPr="00610401">
        <w:rPr>
          <w:noProof/>
        </w:rPr>
        <w:t>nych oraz przedstawicieli przedsiębiorstw. Konsultacje przeprowadzono jako część otwartych konsultacji publicznych,</w:t>
      </w:r>
      <w:r w:rsidR="00610401" w:rsidRPr="00610401">
        <w:rPr>
          <w:noProof/>
        </w:rPr>
        <w:t xml:space="preserve"> w for</w:t>
      </w:r>
      <w:r w:rsidRPr="00610401">
        <w:rPr>
          <w:noProof/>
        </w:rPr>
        <w:t>mie pięciu warsztatów</w:t>
      </w:r>
      <w:r w:rsidR="00610401" w:rsidRPr="00610401">
        <w:rPr>
          <w:noProof/>
        </w:rPr>
        <w:t xml:space="preserve"> z udz</w:t>
      </w:r>
      <w:r w:rsidRPr="00610401">
        <w:rPr>
          <w:noProof/>
        </w:rPr>
        <w:t>iałem zainteresowanych stron oraz spotkań</w:t>
      </w:r>
      <w:r w:rsidR="00610401" w:rsidRPr="00610401">
        <w:rPr>
          <w:noProof/>
        </w:rPr>
        <w:t xml:space="preserve"> z zai</w:t>
      </w:r>
      <w:r w:rsidRPr="00610401">
        <w:rPr>
          <w:noProof/>
        </w:rPr>
        <w:t>nteresowanymi stronami</w:t>
      </w:r>
      <w:r w:rsidR="00610401" w:rsidRPr="00610401">
        <w:rPr>
          <w:noProof/>
        </w:rPr>
        <w:t xml:space="preserve"> i pań</w:t>
      </w:r>
      <w:r w:rsidRPr="00610401">
        <w:rPr>
          <w:noProof/>
        </w:rPr>
        <w:t>stwami członkowskimi. Dzięki odmiennym stanowiskom uzyskano wartościowe informacje</w:t>
      </w:r>
      <w:r w:rsidR="00610401" w:rsidRPr="00610401">
        <w:rPr>
          <w:noProof/>
        </w:rPr>
        <w:t xml:space="preserve"> i spo</w:t>
      </w:r>
      <w:r w:rsidRPr="00610401">
        <w:rPr>
          <w:noProof/>
        </w:rPr>
        <w:t>strzeżenia, które pomogły</w:t>
      </w:r>
      <w:r w:rsidR="00610401" w:rsidRPr="00610401">
        <w:rPr>
          <w:noProof/>
        </w:rPr>
        <w:t xml:space="preserve"> w prz</w:t>
      </w:r>
      <w:r w:rsidRPr="00610401">
        <w:rPr>
          <w:noProof/>
        </w:rPr>
        <w:t>ygotowaniu oceny skutków oraz wniosku.</w:t>
      </w:r>
    </w:p>
    <w:p w:rsidR="00CD623F" w:rsidRPr="00610401" w:rsidRDefault="00CD623F" w:rsidP="00B0251E">
      <w:pPr>
        <w:pStyle w:val="ManualHeading2"/>
        <w:rPr>
          <w:noProof/>
        </w:rPr>
      </w:pPr>
      <w:r w:rsidRPr="00610401">
        <w:rPr>
          <w:noProof/>
        </w:rPr>
        <w:t>Wstępna ocena skutków</w:t>
      </w:r>
    </w:p>
    <w:p w:rsidR="00CD623F" w:rsidRPr="00610401" w:rsidRDefault="00CD623F" w:rsidP="001F3EC3">
      <w:pPr>
        <w:spacing w:after="80"/>
        <w:rPr>
          <w:rFonts w:eastAsia="Calibri"/>
          <w:noProof/>
        </w:rPr>
      </w:pPr>
      <w:r w:rsidRPr="00610401">
        <w:rPr>
          <w:noProof/>
        </w:rPr>
        <w:t>Wstępna ocena skutków rozporządzenia będącego przedmiotem wniosku została opublikowana 4 listopada 2020</w:t>
      </w:r>
      <w:r w:rsidR="00610401" w:rsidRPr="00610401">
        <w:rPr>
          <w:noProof/>
        </w:rPr>
        <w:t> </w:t>
      </w:r>
      <w:r w:rsidRPr="00610401">
        <w:rPr>
          <w:noProof/>
        </w:rPr>
        <w:t>r. Zainteresowane strony oraz obywatele mieli możliwość przekazania informacji zwrotnych na temat inicjatywy do</w:t>
      </w:r>
      <w:r w:rsidR="00610401" w:rsidRPr="00610401">
        <w:rPr>
          <w:noProof/>
        </w:rPr>
        <w:t> </w:t>
      </w:r>
      <w:r w:rsidRPr="00610401">
        <w:rPr>
          <w:noProof/>
        </w:rPr>
        <w:t>2 grudnia 2020</w:t>
      </w:r>
      <w:r w:rsidR="00610401" w:rsidRPr="00610401">
        <w:rPr>
          <w:noProof/>
        </w:rPr>
        <w:t> </w:t>
      </w:r>
      <w:r w:rsidRPr="00610401">
        <w:rPr>
          <w:noProof/>
        </w:rPr>
        <w:t>r. Otrzymano 132 odpowiedzi, głównie od organizacji pozarządowych, stowarzyszeń</w:t>
      </w:r>
      <w:r w:rsidR="00610401" w:rsidRPr="00610401">
        <w:rPr>
          <w:noProof/>
        </w:rPr>
        <w:t xml:space="preserve"> i org</w:t>
      </w:r>
      <w:r w:rsidRPr="00610401">
        <w:rPr>
          <w:noProof/>
        </w:rPr>
        <w:t xml:space="preserve">anizacji przedsiębiorców, organizacji zajmujących się ochroną środowiska oraz obywateli. </w:t>
      </w:r>
    </w:p>
    <w:p w:rsidR="00CD623F" w:rsidRPr="00610401" w:rsidRDefault="00CD623F" w:rsidP="00B0251E">
      <w:pPr>
        <w:pStyle w:val="ManualHeading2"/>
        <w:rPr>
          <w:noProof/>
        </w:rPr>
      </w:pPr>
      <w:r w:rsidRPr="00610401">
        <w:rPr>
          <w:noProof/>
        </w:rPr>
        <w:t>Konsultacje publiczne</w:t>
      </w:r>
    </w:p>
    <w:p w:rsidR="0009048A" w:rsidRPr="00610401" w:rsidRDefault="00CD623F" w:rsidP="0009048A">
      <w:pPr>
        <w:spacing w:after="80"/>
        <w:rPr>
          <w:noProof/>
        </w:rPr>
      </w:pPr>
      <w:r w:rsidRPr="00610401">
        <w:rPr>
          <w:noProof/>
        </w:rPr>
        <w:t>Komisja prowadziła internetowe konsultacje publiczne od</w:t>
      </w:r>
      <w:r w:rsidR="00610401" w:rsidRPr="00610401">
        <w:rPr>
          <w:noProof/>
        </w:rPr>
        <w:t> </w:t>
      </w:r>
      <w:r w:rsidRPr="00610401">
        <w:rPr>
          <w:noProof/>
        </w:rPr>
        <w:t>11 stycznia do</w:t>
      </w:r>
      <w:r w:rsidR="00610401" w:rsidRPr="00610401">
        <w:rPr>
          <w:noProof/>
        </w:rPr>
        <w:t> </w:t>
      </w:r>
      <w:r w:rsidRPr="00610401">
        <w:rPr>
          <w:noProof/>
        </w:rPr>
        <w:t>5 kwietnia 2021</w:t>
      </w:r>
      <w:r w:rsidR="00610401" w:rsidRPr="00610401">
        <w:rPr>
          <w:noProof/>
        </w:rPr>
        <w:t> </w:t>
      </w:r>
      <w:r w:rsidRPr="00610401">
        <w:rPr>
          <w:noProof/>
        </w:rPr>
        <w:t>r.</w:t>
      </w:r>
      <w:r w:rsidR="00610401" w:rsidRPr="00610401">
        <w:rPr>
          <w:noProof/>
        </w:rPr>
        <w:t xml:space="preserve"> i otr</w:t>
      </w:r>
      <w:r w:rsidRPr="00610401">
        <w:rPr>
          <w:noProof/>
        </w:rPr>
        <w:t xml:space="preserve">zymała </w:t>
      </w:r>
      <w:r w:rsidRPr="00610401">
        <w:rPr>
          <w:rStyle w:val="normaltextrun"/>
          <w:noProof/>
          <w:shd w:val="clear" w:color="auto" w:fill="FFFFFF"/>
        </w:rPr>
        <w:t>111 842</w:t>
      </w:r>
      <w:r w:rsidRPr="00610401">
        <w:rPr>
          <w:noProof/>
        </w:rPr>
        <w:t xml:space="preserve"> odpowiedzi</w:t>
      </w:r>
      <w:r w:rsidR="00610401" w:rsidRPr="00610401">
        <w:rPr>
          <w:noProof/>
        </w:rPr>
        <w:t>. W ram</w:t>
      </w:r>
      <w:r w:rsidRPr="00610401">
        <w:rPr>
          <w:noProof/>
        </w:rPr>
        <w:t>ach konsultacji zebrano opinie na temat głównych aspektów</w:t>
      </w:r>
      <w:r w:rsidR="00610401" w:rsidRPr="00610401">
        <w:rPr>
          <w:noProof/>
        </w:rPr>
        <w:t xml:space="preserve"> i pod</w:t>
      </w:r>
      <w:r w:rsidRPr="00610401">
        <w:rPr>
          <w:noProof/>
        </w:rPr>
        <w:t>ejścia do przygotowywanego przez Komisję wniosku dotyczącego wiążących celów</w:t>
      </w:r>
      <w:r w:rsidR="00610401" w:rsidRPr="00610401">
        <w:rPr>
          <w:noProof/>
        </w:rPr>
        <w:t xml:space="preserve"> w zak</w:t>
      </w:r>
      <w:r w:rsidRPr="00610401">
        <w:rPr>
          <w:noProof/>
        </w:rPr>
        <w:t>resie odbudowy. Wyniki pokazują przeważające poparcie dla prawnie wiążących celów</w:t>
      </w:r>
      <w:r w:rsidR="00610401" w:rsidRPr="00610401">
        <w:rPr>
          <w:noProof/>
        </w:rPr>
        <w:t xml:space="preserve"> w zak</w:t>
      </w:r>
      <w:r w:rsidRPr="00610401">
        <w:rPr>
          <w:noProof/>
        </w:rPr>
        <w:t>resie odbudowy: 97</w:t>
      </w:r>
      <w:r w:rsidR="00610401" w:rsidRPr="00610401">
        <w:rPr>
          <w:noProof/>
        </w:rPr>
        <w:t> </w:t>
      </w:r>
      <w:r w:rsidRPr="00610401">
        <w:rPr>
          <w:noProof/>
        </w:rPr>
        <w:t>% respondentów popiera ogólne unijne cele</w:t>
      </w:r>
      <w:r w:rsidR="00610401" w:rsidRPr="00610401">
        <w:rPr>
          <w:noProof/>
        </w:rPr>
        <w:t xml:space="preserve"> w zak</w:t>
      </w:r>
      <w:r w:rsidRPr="00610401">
        <w:rPr>
          <w:noProof/>
        </w:rPr>
        <w:t>resie odbudowy wszystkich ekosystemów,</w:t>
      </w:r>
      <w:r w:rsidR="00610401" w:rsidRPr="00610401">
        <w:rPr>
          <w:noProof/>
        </w:rPr>
        <w:t xml:space="preserve"> a 9</w:t>
      </w:r>
      <w:r w:rsidRPr="00610401">
        <w:rPr>
          <w:noProof/>
        </w:rPr>
        <w:t>6</w:t>
      </w:r>
      <w:r w:rsidR="00610401" w:rsidRPr="00610401">
        <w:rPr>
          <w:noProof/>
        </w:rPr>
        <w:t> </w:t>
      </w:r>
      <w:r w:rsidRPr="00610401">
        <w:rPr>
          <w:noProof/>
        </w:rPr>
        <w:t>% popiera cele dotyczące konkretnych ekosystemów lub siedlisk. Wskazuje to na prawie pełne poparcie zarówno dla nadrzędnego celu</w:t>
      </w:r>
      <w:r w:rsidR="00610401" w:rsidRPr="00610401">
        <w:rPr>
          <w:noProof/>
        </w:rPr>
        <w:t xml:space="preserve"> w zak</w:t>
      </w:r>
      <w:r w:rsidRPr="00610401">
        <w:rPr>
          <w:noProof/>
        </w:rPr>
        <w:t>resie odbudowy, jak</w:t>
      </w:r>
      <w:r w:rsidR="00610401" w:rsidRPr="00610401">
        <w:rPr>
          <w:noProof/>
        </w:rPr>
        <w:t xml:space="preserve"> i szc</w:t>
      </w:r>
      <w:r w:rsidRPr="00610401">
        <w:rPr>
          <w:noProof/>
        </w:rPr>
        <w:t xml:space="preserve">zegółowych celów unijnych dotyczących ekosystemów. </w:t>
      </w:r>
    </w:p>
    <w:p w:rsidR="00CD623F" w:rsidRPr="00610401" w:rsidRDefault="00CD623F" w:rsidP="00B0251E">
      <w:pPr>
        <w:pStyle w:val="ManualHeading2"/>
        <w:rPr>
          <w:noProof/>
        </w:rPr>
      </w:pPr>
      <w:r w:rsidRPr="00610401">
        <w:rPr>
          <w:noProof/>
        </w:rPr>
        <w:t>Warsztaty</w:t>
      </w:r>
      <w:r w:rsidR="00610401" w:rsidRPr="00610401">
        <w:rPr>
          <w:noProof/>
        </w:rPr>
        <w:t xml:space="preserve"> z udz</w:t>
      </w:r>
      <w:r w:rsidRPr="00610401">
        <w:rPr>
          <w:noProof/>
        </w:rPr>
        <w:t>iałem zainteresowanych stron</w:t>
      </w:r>
    </w:p>
    <w:p w:rsidR="00CD623F" w:rsidRPr="00610401" w:rsidRDefault="00CD623F" w:rsidP="00CD623F">
      <w:pPr>
        <w:pBdr>
          <w:top w:val="nil"/>
          <w:left w:val="nil"/>
          <w:bottom w:val="nil"/>
          <w:right w:val="nil"/>
          <w:between w:val="nil"/>
          <w:bar w:val="nil"/>
        </w:pBdr>
        <w:spacing w:before="0" w:after="240"/>
        <w:rPr>
          <w:noProof/>
        </w:rPr>
      </w:pPr>
      <w:r w:rsidRPr="00610401">
        <w:rPr>
          <w:noProof/>
        </w:rPr>
        <w:t>Od końca 2020</w:t>
      </w:r>
      <w:r w:rsidR="00610401" w:rsidRPr="00610401">
        <w:rPr>
          <w:noProof/>
        </w:rPr>
        <w:t> </w:t>
      </w:r>
      <w:r w:rsidRPr="00610401">
        <w:rPr>
          <w:noProof/>
        </w:rPr>
        <w:t>r. do września 2021</w:t>
      </w:r>
      <w:r w:rsidR="00610401" w:rsidRPr="00610401">
        <w:rPr>
          <w:noProof/>
        </w:rPr>
        <w:t> </w:t>
      </w:r>
      <w:r w:rsidRPr="00610401">
        <w:rPr>
          <w:noProof/>
        </w:rPr>
        <w:t>r. odbyło się pięć odrębnych warsztatów</w:t>
      </w:r>
      <w:r w:rsidR="00610401" w:rsidRPr="00610401">
        <w:rPr>
          <w:noProof/>
        </w:rPr>
        <w:t xml:space="preserve"> z udz</w:t>
      </w:r>
      <w:r w:rsidRPr="00610401">
        <w:rPr>
          <w:noProof/>
        </w:rPr>
        <w:t>iałem przedstawicieli państw członkowskich oraz zainteresowanych stron. Omówiono na nich warianty strategiczne, zebrano opinie na temat wariantów celów</w:t>
      </w:r>
      <w:r w:rsidR="00610401" w:rsidRPr="00610401">
        <w:rPr>
          <w:noProof/>
        </w:rPr>
        <w:t xml:space="preserve"> w zak</w:t>
      </w:r>
      <w:r w:rsidRPr="00610401">
        <w:rPr>
          <w:noProof/>
        </w:rPr>
        <w:t>resie odbudowy oraz sposobów realizacji tych celów. Podczas warsztatów rozważono potencjalne skutki społeczne</w:t>
      </w:r>
      <w:r w:rsidR="00610401" w:rsidRPr="00610401">
        <w:rPr>
          <w:noProof/>
        </w:rPr>
        <w:t xml:space="preserve"> i gos</w:t>
      </w:r>
      <w:r w:rsidRPr="00610401">
        <w:rPr>
          <w:noProof/>
        </w:rPr>
        <w:t>podarcze oraz wpływ na środowisko, jak również wstępne ustalenia poczynione</w:t>
      </w:r>
      <w:r w:rsidR="00610401" w:rsidRPr="00610401">
        <w:rPr>
          <w:noProof/>
        </w:rPr>
        <w:t xml:space="preserve"> w bad</w:t>
      </w:r>
      <w:r w:rsidRPr="00610401">
        <w:rPr>
          <w:noProof/>
        </w:rPr>
        <w:t>aniu uzupełniającym oceny skutków.</w:t>
      </w:r>
    </w:p>
    <w:p w:rsidR="00CD623F" w:rsidRPr="00610401" w:rsidRDefault="00CD623F" w:rsidP="00662A1F">
      <w:pPr>
        <w:pStyle w:val="ManualHeading2"/>
        <w:rPr>
          <w:noProof/>
          <w:u w:color="000000"/>
          <w:bdr w:val="nil"/>
        </w:rPr>
      </w:pPr>
      <w:r w:rsidRPr="00610401">
        <w:rPr>
          <w:noProof/>
          <w:u w:color="000000"/>
          <w:bdr w:val="nil"/>
        </w:rPr>
        <w:t>Gromadzenie</w:t>
      </w:r>
      <w:r w:rsidR="00610401" w:rsidRPr="00610401">
        <w:rPr>
          <w:noProof/>
          <w:u w:color="000000"/>
          <w:bdr w:val="nil"/>
        </w:rPr>
        <w:t xml:space="preserve"> i wyk</w:t>
      </w:r>
      <w:r w:rsidRPr="00610401">
        <w:rPr>
          <w:noProof/>
          <w:u w:color="000000"/>
          <w:bdr w:val="nil"/>
        </w:rPr>
        <w:t>orzystanie wiedzy eksperckiej</w:t>
      </w:r>
    </w:p>
    <w:p w:rsidR="00052C4D" w:rsidRPr="00610401" w:rsidRDefault="00CD623F" w:rsidP="00BE0A2F">
      <w:pPr>
        <w:pBdr>
          <w:top w:val="nil"/>
          <w:left w:val="nil"/>
          <w:bottom w:val="nil"/>
          <w:right w:val="nil"/>
          <w:between w:val="nil"/>
          <w:bar w:val="nil"/>
        </w:pBdr>
        <w:spacing w:before="0" w:after="240"/>
        <w:rPr>
          <w:noProof/>
        </w:rPr>
      </w:pPr>
      <w:r w:rsidRPr="00610401">
        <w:rPr>
          <w:noProof/>
        </w:rPr>
        <w:t>Wniosek opracowano na podstawie najnowszych dowodów naukowych. Ocena skutków dołączona do niniejszego wniosku została oparta na badaniu przygotowanym przez zespół ekspertów zewnętrznych. Zespół ekspertów pracował</w:t>
      </w:r>
      <w:r w:rsidR="00610401" w:rsidRPr="00610401">
        <w:rPr>
          <w:noProof/>
        </w:rPr>
        <w:t xml:space="preserve"> w ści</w:t>
      </w:r>
      <w:r w:rsidRPr="00610401">
        <w:rPr>
          <w:noProof/>
        </w:rPr>
        <w:t>słej konsultacji</w:t>
      </w:r>
      <w:r w:rsidR="00610401" w:rsidRPr="00610401">
        <w:rPr>
          <w:noProof/>
        </w:rPr>
        <w:t xml:space="preserve"> z Kom</w:t>
      </w:r>
      <w:r w:rsidRPr="00610401">
        <w:rPr>
          <w:noProof/>
        </w:rPr>
        <w:t>isją na poszczególnych etapach badania. Przygotowując niniejszy wniosek, Komisja korzystała także</w:t>
      </w:r>
      <w:r w:rsidR="00610401" w:rsidRPr="00610401">
        <w:rPr>
          <w:noProof/>
        </w:rPr>
        <w:t xml:space="preserve"> z wie</w:t>
      </w:r>
      <w:r w:rsidRPr="00610401">
        <w:rPr>
          <w:noProof/>
        </w:rPr>
        <w:t>lu innych źródeł informacji,</w:t>
      </w:r>
      <w:r w:rsidR="00610401" w:rsidRPr="00610401">
        <w:rPr>
          <w:noProof/>
        </w:rPr>
        <w:t xml:space="preserve"> w szc</w:t>
      </w:r>
      <w:r w:rsidRPr="00610401">
        <w:rPr>
          <w:noProof/>
        </w:rPr>
        <w:t>zególności wyników unijnych projektów dotyczących badań naukowych</w:t>
      </w:r>
      <w:r w:rsidR="00610401" w:rsidRPr="00610401">
        <w:rPr>
          <w:noProof/>
        </w:rPr>
        <w:t xml:space="preserve"> i inn</w:t>
      </w:r>
      <w:r w:rsidRPr="00610401">
        <w:rPr>
          <w:noProof/>
        </w:rPr>
        <w:t>owacji oraz uznanych sprawozdań międzynarodowych (takich jak sprawozdania cytowane</w:t>
      </w:r>
      <w:r w:rsidR="00610401" w:rsidRPr="00610401">
        <w:rPr>
          <w:noProof/>
        </w:rPr>
        <w:t xml:space="preserve"> w sek</w:t>
      </w:r>
      <w:r w:rsidRPr="00610401">
        <w:rPr>
          <w:noProof/>
        </w:rPr>
        <w:t>cji 1).</w:t>
      </w:r>
    </w:p>
    <w:p w:rsidR="00CD623F" w:rsidRPr="00610401" w:rsidRDefault="00834343" w:rsidP="00BE0A2F">
      <w:pPr>
        <w:pBdr>
          <w:top w:val="nil"/>
          <w:left w:val="nil"/>
          <w:bottom w:val="nil"/>
          <w:right w:val="nil"/>
          <w:between w:val="nil"/>
          <w:bar w:val="nil"/>
        </w:pBdr>
        <w:spacing w:before="0" w:after="240"/>
        <w:rPr>
          <w:noProof/>
        </w:rPr>
      </w:pPr>
      <w:r w:rsidRPr="00610401">
        <w:rPr>
          <w:noProof/>
        </w:rPr>
        <w:t>Europejska Agencja Środowiska oraz Wspólne Centrum Badawcze zapewniły konkretną wiedzę ekspercką</w:t>
      </w:r>
      <w:r w:rsidR="00610401" w:rsidRPr="00610401">
        <w:rPr>
          <w:noProof/>
        </w:rPr>
        <w:t xml:space="preserve"> i był</w:t>
      </w:r>
      <w:r w:rsidRPr="00610401">
        <w:rPr>
          <w:noProof/>
        </w:rPr>
        <w:t>y ściśle zaangażowane</w:t>
      </w:r>
      <w:r w:rsidR="00610401" w:rsidRPr="00610401">
        <w:rPr>
          <w:noProof/>
        </w:rPr>
        <w:t xml:space="preserve"> w opr</w:t>
      </w:r>
      <w:r w:rsidRPr="00610401">
        <w:rPr>
          <w:noProof/>
        </w:rPr>
        <w:t>acowanie niniejszego wniosku legislacyjnego</w:t>
      </w:r>
      <w:r w:rsidR="00610401" w:rsidRPr="00610401">
        <w:rPr>
          <w:noProof/>
        </w:rPr>
        <w:t xml:space="preserve"> i oce</w:t>
      </w:r>
      <w:r w:rsidRPr="00610401">
        <w:rPr>
          <w:noProof/>
        </w:rPr>
        <w:t xml:space="preserve">ny jego skutków. </w:t>
      </w:r>
      <w:r w:rsidRPr="00610401">
        <w:rPr>
          <w:rStyle w:val="normaltextrun"/>
          <w:noProof/>
        </w:rPr>
        <w:t>Na przykład Europejska Agencja Środowiska opracowała informacje na temat potrzeb</w:t>
      </w:r>
      <w:r w:rsidR="00610401" w:rsidRPr="00610401">
        <w:rPr>
          <w:rStyle w:val="normaltextrun"/>
          <w:noProof/>
        </w:rPr>
        <w:t xml:space="preserve"> w zak</w:t>
      </w:r>
      <w:r w:rsidRPr="00610401">
        <w:rPr>
          <w:rStyle w:val="normaltextrun"/>
          <w:noProof/>
        </w:rPr>
        <w:t>resie odbudowy</w:t>
      </w:r>
      <w:r w:rsidR="00610401" w:rsidRPr="00610401">
        <w:rPr>
          <w:rStyle w:val="normaltextrun"/>
          <w:noProof/>
        </w:rPr>
        <w:t xml:space="preserve"> w opa</w:t>
      </w:r>
      <w:r w:rsidRPr="00610401">
        <w:rPr>
          <w:rStyle w:val="normaltextrun"/>
          <w:noProof/>
        </w:rPr>
        <w:t>rciu</w:t>
      </w:r>
      <w:r w:rsidR="00610401" w:rsidRPr="00610401">
        <w:rPr>
          <w:rStyle w:val="normaltextrun"/>
          <w:noProof/>
        </w:rPr>
        <w:t xml:space="preserve"> o ofi</w:t>
      </w:r>
      <w:r w:rsidRPr="00610401">
        <w:rPr>
          <w:rStyle w:val="normaltextrun"/>
          <w:noProof/>
        </w:rPr>
        <w:t>cjalne dane zgłoszone przez państwa członkowskie zgodnie</w:t>
      </w:r>
      <w:r w:rsidR="00610401" w:rsidRPr="00610401">
        <w:rPr>
          <w:rStyle w:val="normaltextrun"/>
          <w:noProof/>
        </w:rPr>
        <w:t xml:space="preserve"> z art</w:t>
      </w:r>
      <w:r w:rsidRPr="00610401">
        <w:rPr>
          <w:rStyle w:val="normaltextrun"/>
          <w:noProof/>
        </w:rPr>
        <w:t>.</w:t>
      </w:r>
      <w:r w:rsidR="00610401" w:rsidRPr="00610401">
        <w:rPr>
          <w:rStyle w:val="normaltextrun"/>
          <w:noProof/>
        </w:rPr>
        <w:t> </w:t>
      </w:r>
      <w:r w:rsidRPr="00610401">
        <w:rPr>
          <w:rStyle w:val="normaltextrun"/>
          <w:noProof/>
        </w:rPr>
        <w:t xml:space="preserve">17 dyrektywy siedliskowej. </w:t>
      </w:r>
    </w:p>
    <w:p w:rsidR="00CD623F" w:rsidRPr="00610401" w:rsidRDefault="00CD623F" w:rsidP="00662A1F">
      <w:pPr>
        <w:pStyle w:val="ManualHeading2"/>
        <w:rPr>
          <w:noProof/>
          <w:u w:color="000000"/>
          <w:bdr w:val="nil"/>
        </w:rPr>
      </w:pPr>
      <w:r w:rsidRPr="00610401">
        <w:rPr>
          <w:noProof/>
          <w:u w:color="000000"/>
          <w:bdr w:val="nil"/>
        </w:rPr>
        <w:t>Ocena skutków</w:t>
      </w:r>
    </w:p>
    <w:p w:rsidR="00CD623F" w:rsidRPr="00610401" w:rsidRDefault="00CD623F" w:rsidP="00CD623F">
      <w:pPr>
        <w:pBdr>
          <w:top w:val="nil"/>
          <w:left w:val="nil"/>
          <w:bottom w:val="nil"/>
          <w:right w:val="nil"/>
          <w:between w:val="nil"/>
          <w:bar w:val="nil"/>
        </w:pBdr>
        <w:spacing w:before="0" w:after="240"/>
        <w:rPr>
          <w:noProof/>
        </w:rPr>
      </w:pPr>
      <w:r w:rsidRPr="00610401">
        <w:rPr>
          <w:noProof/>
        </w:rPr>
        <w:t>Wniosek opracowano na podstawie oceny skutków. Po rozwiązaniu problemów wskazanych przez Radę ds. Kontroli Regulacyjnej</w:t>
      </w:r>
      <w:r w:rsidR="00610401" w:rsidRPr="00610401">
        <w:rPr>
          <w:noProof/>
        </w:rPr>
        <w:t xml:space="preserve"> w jej</w:t>
      </w:r>
      <w:r w:rsidRPr="00610401">
        <w:rPr>
          <w:noProof/>
        </w:rPr>
        <w:t xml:space="preserve"> negatywnej opinii</w:t>
      </w:r>
      <w:r w:rsidR="00610401" w:rsidRPr="00610401">
        <w:rPr>
          <w:noProof/>
        </w:rPr>
        <w:t xml:space="preserve"> z 1</w:t>
      </w:r>
      <w:r w:rsidRPr="00610401">
        <w:rPr>
          <w:noProof/>
        </w:rPr>
        <w:t>6 lipca 2021</w:t>
      </w:r>
      <w:r w:rsidR="00610401" w:rsidRPr="00610401">
        <w:rPr>
          <w:noProof/>
        </w:rPr>
        <w:t> </w:t>
      </w:r>
      <w:r w:rsidRPr="00610401">
        <w:rPr>
          <w:noProof/>
        </w:rPr>
        <w:t>r. ocena skutków otrzymała 28 października 2021</w:t>
      </w:r>
      <w:r w:rsidR="00610401" w:rsidRPr="00610401">
        <w:rPr>
          <w:noProof/>
        </w:rPr>
        <w:t> </w:t>
      </w:r>
      <w:r w:rsidRPr="00610401">
        <w:rPr>
          <w:noProof/>
        </w:rPr>
        <w:t>r. pozytywną opinię (z zastrzeżeniami, które zostały wzięte pod uwagę).</w:t>
      </w:r>
    </w:p>
    <w:p w:rsidR="00CD623F" w:rsidRPr="00610401" w:rsidRDefault="00CD623F" w:rsidP="00CD623F">
      <w:pPr>
        <w:pBdr>
          <w:top w:val="nil"/>
          <w:left w:val="nil"/>
          <w:bottom w:val="nil"/>
          <w:right w:val="nil"/>
          <w:between w:val="nil"/>
          <w:bar w:val="nil"/>
        </w:pBdr>
        <w:spacing w:before="0" w:after="240"/>
        <w:rPr>
          <w:noProof/>
        </w:rPr>
      </w:pPr>
      <w:r w:rsidRPr="00610401">
        <w:rPr>
          <w:noProof/>
        </w:rPr>
        <w:t>W ocenie skutków rozważono następujące warianty strategiczne:</w:t>
      </w:r>
    </w:p>
    <w:p w:rsidR="00CD623F" w:rsidRPr="00610401" w:rsidRDefault="006E313D" w:rsidP="006E313D">
      <w:pPr>
        <w:pStyle w:val="Point0"/>
        <w:rPr>
          <w:noProof/>
        </w:rPr>
      </w:pPr>
      <w:r w:rsidRPr="006E313D">
        <w:rPr>
          <w:noProof/>
        </w:rPr>
        <w:t>1)</w:t>
      </w:r>
      <w:r w:rsidRPr="006E313D">
        <w:rPr>
          <w:noProof/>
        </w:rPr>
        <w:tab/>
      </w:r>
      <w:r w:rsidR="00CD623F" w:rsidRPr="00610401">
        <w:rPr>
          <w:noProof/>
        </w:rPr>
        <w:t>Scenariusz odniesienia: ten wariant strategiczny zakłada realistyczne wdrożenie polityk zawartych</w:t>
      </w:r>
      <w:r w:rsidR="00610401" w:rsidRPr="00610401">
        <w:rPr>
          <w:noProof/>
        </w:rPr>
        <w:t xml:space="preserve"> w Eur</w:t>
      </w:r>
      <w:r w:rsidR="00CD623F" w:rsidRPr="00610401">
        <w:rPr>
          <w:noProof/>
        </w:rPr>
        <w:t>opejskim Zielonym Ładzie oraz unijnej strategii na rzecz bioróżnorodności 2030,</w:t>
      </w:r>
      <w:r w:rsidR="00610401" w:rsidRPr="00610401">
        <w:rPr>
          <w:noProof/>
        </w:rPr>
        <w:t xml:space="preserve"> a tak</w:t>
      </w:r>
      <w:r w:rsidR="00CD623F" w:rsidRPr="00610401">
        <w:rPr>
          <w:noProof/>
        </w:rPr>
        <w:t>że innych istotnych obowiązujących polityk,</w:t>
      </w:r>
      <w:r w:rsidR="00610401" w:rsidRPr="00610401">
        <w:rPr>
          <w:noProof/>
        </w:rPr>
        <w:t xml:space="preserve"> z wyj</w:t>
      </w:r>
      <w:r w:rsidR="00CD623F" w:rsidRPr="00610401">
        <w:rPr>
          <w:noProof/>
        </w:rPr>
        <w:t>ątkiem prawnie wiążących celów</w:t>
      </w:r>
      <w:r w:rsidR="00610401" w:rsidRPr="00610401">
        <w:rPr>
          <w:noProof/>
        </w:rPr>
        <w:t xml:space="preserve"> w zak</w:t>
      </w:r>
      <w:r w:rsidR="00CD623F" w:rsidRPr="00610401">
        <w:rPr>
          <w:noProof/>
        </w:rPr>
        <w:t>resie odbudowy.</w:t>
      </w:r>
    </w:p>
    <w:p w:rsidR="005D13F1" w:rsidRPr="00610401" w:rsidRDefault="006E313D" w:rsidP="006E313D">
      <w:pPr>
        <w:pStyle w:val="Point0"/>
        <w:rPr>
          <w:noProof/>
        </w:rPr>
      </w:pPr>
      <w:r w:rsidRPr="006E313D">
        <w:rPr>
          <w:noProof/>
        </w:rPr>
        <w:t>2)</w:t>
      </w:r>
      <w:r w:rsidRPr="006E313D">
        <w:rPr>
          <w:noProof/>
        </w:rPr>
        <w:tab/>
      </w:r>
      <w:r w:rsidR="00CD623F" w:rsidRPr="00610401">
        <w:rPr>
          <w:noProof/>
        </w:rPr>
        <w:t>Wyznaczenie prawnie wiążącego celu nadrzędnego</w:t>
      </w:r>
      <w:r w:rsidR="00610401" w:rsidRPr="00610401">
        <w:rPr>
          <w:noProof/>
        </w:rPr>
        <w:t xml:space="preserve"> w zak</w:t>
      </w:r>
      <w:r w:rsidR="00CD623F" w:rsidRPr="00610401">
        <w:rPr>
          <w:noProof/>
        </w:rPr>
        <w:t>resie odbudowy ekosystemów:</w:t>
      </w:r>
      <w:r w:rsidR="00610401" w:rsidRPr="00610401">
        <w:rPr>
          <w:noProof/>
        </w:rPr>
        <w:t xml:space="preserve"> w tym</w:t>
      </w:r>
      <w:r w:rsidR="00CD623F" w:rsidRPr="00610401">
        <w:rPr>
          <w:noProof/>
        </w:rPr>
        <w:t xml:space="preserve"> wariancie wyznaczono jasno zdefiniowany prawnie wiążący cel nadrzędny</w:t>
      </w:r>
      <w:r w:rsidR="00610401" w:rsidRPr="00610401">
        <w:rPr>
          <w:noProof/>
        </w:rPr>
        <w:t xml:space="preserve"> w zak</w:t>
      </w:r>
      <w:r w:rsidR="00CD623F" w:rsidRPr="00610401">
        <w:rPr>
          <w:noProof/>
        </w:rPr>
        <w:t>resie odbudowy ekosystemów. Cel ten określono</w:t>
      </w:r>
      <w:r w:rsidR="00610401" w:rsidRPr="00610401">
        <w:rPr>
          <w:noProof/>
        </w:rPr>
        <w:t xml:space="preserve"> w nas</w:t>
      </w:r>
      <w:r w:rsidR="00CD623F" w:rsidRPr="00610401">
        <w:rPr>
          <w:noProof/>
        </w:rPr>
        <w:t>tępujący sposób: do</w:t>
      </w:r>
      <w:r w:rsidR="00610401" w:rsidRPr="00610401">
        <w:rPr>
          <w:noProof/>
        </w:rPr>
        <w:t> </w:t>
      </w:r>
      <w:r w:rsidR="00CD623F" w:rsidRPr="00610401">
        <w:rPr>
          <w:noProof/>
        </w:rPr>
        <w:t>2050</w:t>
      </w:r>
      <w:r w:rsidR="00610401" w:rsidRPr="00610401">
        <w:rPr>
          <w:noProof/>
        </w:rPr>
        <w:t> </w:t>
      </w:r>
      <w:r w:rsidR="00CD623F" w:rsidRPr="00610401">
        <w:rPr>
          <w:noProof/>
        </w:rPr>
        <w:t>r. określony odsetek ekosystemów w UE ma zostać przywrócony do dobrego stanu</w:t>
      </w:r>
      <w:r w:rsidR="00610401" w:rsidRPr="00610401">
        <w:rPr>
          <w:noProof/>
        </w:rPr>
        <w:t xml:space="preserve"> i utr</w:t>
      </w:r>
      <w:r w:rsidR="00CD623F" w:rsidRPr="00610401">
        <w:rPr>
          <w:noProof/>
        </w:rPr>
        <w:t>zymany</w:t>
      </w:r>
      <w:r w:rsidR="00610401" w:rsidRPr="00610401">
        <w:rPr>
          <w:noProof/>
        </w:rPr>
        <w:t xml:space="preserve"> w tym</w:t>
      </w:r>
      <w:r w:rsidR="00CD623F" w:rsidRPr="00610401">
        <w:rPr>
          <w:noProof/>
        </w:rPr>
        <w:t xml:space="preserve"> stanie. Wyznaczono także prawnie wiążące cele pośrednie na lata 2030</w:t>
      </w:r>
      <w:r w:rsidR="00610401" w:rsidRPr="00610401">
        <w:rPr>
          <w:noProof/>
        </w:rPr>
        <w:t xml:space="preserve"> i 2</w:t>
      </w:r>
      <w:r w:rsidR="00CD623F" w:rsidRPr="00610401">
        <w:rPr>
          <w:noProof/>
        </w:rPr>
        <w:t>040.</w:t>
      </w:r>
    </w:p>
    <w:p w:rsidR="00CD623F" w:rsidRPr="00610401" w:rsidRDefault="006E313D" w:rsidP="006E313D">
      <w:pPr>
        <w:pStyle w:val="Point0"/>
        <w:rPr>
          <w:noProof/>
        </w:rPr>
      </w:pPr>
      <w:r w:rsidRPr="006E313D">
        <w:rPr>
          <w:noProof/>
        </w:rPr>
        <w:t>3)</w:t>
      </w:r>
      <w:r w:rsidRPr="006E313D">
        <w:rPr>
          <w:noProof/>
        </w:rPr>
        <w:tab/>
      </w:r>
      <w:r w:rsidR="00CD623F" w:rsidRPr="00610401">
        <w:rPr>
          <w:noProof/>
        </w:rPr>
        <w:t>Wyznaczenie prawnie wiążących celów</w:t>
      </w:r>
      <w:r w:rsidR="00610401" w:rsidRPr="00610401">
        <w:rPr>
          <w:noProof/>
        </w:rPr>
        <w:t xml:space="preserve"> w zak</w:t>
      </w:r>
      <w:r w:rsidR="00CD623F" w:rsidRPr="00610401">
        <w:rPr>
          <w:noProof/>
        </w:rPr>
        <w:t>resie poszczególnych ekosystemów:</w:t>
      </w:r>
      <w:r w:rsidR="00610401" w:rsidRPr="00610401">
        <w:rPr>
          <w:noProof/>
        </w:rPr>
        <w:t xml:space="preserve"> w tym</w:t>
      </w:r>
      <w:r w:rsidR="00CD623F" w:rsidRPr="00610401">
        <w:rPr>
          <w:noProof/>
        </w:rPr>
        <w:t xml:space="preserve"> wariancie wyznaczono cele</w:t>
      </w:r>
      <w:r w:rsidR="00610401" w:rsidRPr="00610401">
        <w:rPr>
          <w:noProof/>
        </w:rPr>
        <w:t xml:space="preserve"> i obo</w:t>
      </w:r>
      <w:r w:rsidR="00CD623F" w:rsidRPr="00610401">
        <w:rPr>
          <w:noProof/>
        </w:rPr>
        <w:t>wiązki</w:t>
      </w:r>
      <w:r w:rsidR="00610401" w:rsidRPr="00610401">
        <w:rPr>
          <w:noProof/>
        </w:rPr>
        <w:t xml:space="preserve"> w zak</w:t>
      </w:r>
      <w:r w:rsidR="00CD623F" w:rsidRPr="00610401">
        <w:rPr>
          <w:noProof/>
        </w:rPr>
        <w:t>resie wielu ekosystemów, siedlisk</w:t>
      </w:r>
      <w:r w:rsidR="00610401" w:rsidRPr="00610401">
        <w:rPr>
          <w:noProof/>
        </w:rPr>
        <w:t xml:space="preserve"> i gru</w:t>
      </w:r>
      <w:r w:rsidR="00CD623F" w:rsidRPr="00610401">
        <w:rPr>
          <w:noProof/>
        </w:rPr>
        <w:t>p gatunków, które należy odbudować do</w:t>
      </w:r>
      <w:r w:rsidR="00610401" w:rsidRPr="00610401">
        <w:rPr>
          <w:noProof/>
        </w:rPr>
        <w:t> </w:t>
      </w:r>
      <w:r w:rsidR="00CD623F" w:rsidRPr="00610401">
        <w:rPr>
          <w:noProof/>
        </w:rPr>
        <w:t>2030, 2040</w:t>
      </w:r>
      <w:r w:rsidR="00610401" w:rsidRPr="00610401">
        <w:rPr>
          <w:noProof/>
        </w:rPr>
        <w:t xml:space="preserve"> i 2</w:t>
      </w:r>
      <w:r w:rsidR="00CD623F" w:rsidRPr="00610401">
        <w:rPr>
          <w:noProof/>
        </w:rPr>
        <w:t>050</w:t>
      </w:r>
      <w:r w:rsidR="00610401" w:rsidRPr="00610401">
        <w:rPr>
          <w:noProof/>
        </w:rPr>
        <w:t> </w:t>
      </w:r>
      <w:r w:rsidR="00CD623F" w:rsidRPr="00610401">
        <w:rPr>
          <w:noProof/>
        </w:rPr>
        <w:t>r. Cele</w:t>
      </w:r>
      <w:r w:rsidR="00610401" w:rsidRPr="00610401">
        <w:rPr>
          <w:noProof/>
        </w:rPr>
        <w:t xml:space="preserve"> i obo</w:t>
      </w:r>
      <w:r w:rsidR="00CD623F" w:rsidRPr="00610401">
        <w:rPr>
          <w:noProof/>
        </w:rPr>
        <w:t>wiązki, które ustalono dla każdego</w:t>
      </w:r>
      <w:r w:rsidR="00610401" w:rsidRPr="00610401">
        <w:rPr>
          <w:noProof/>
        </w:rPr>
        <w:t xml:space="preserve"> z głó</w:t>
      </w:r>
      <w:r w:rsidR="00CD623F" w:rsidRPr="00610401">
        <w:rPr>
          <w:noProof/>
        </w:rPr>
        <w:t xml:space="preserve">wnych rodzajów ekosystemów w UE, będą stosowane bezpośrednio na poziomie państwa członkowskiego. </w:t>
      </w:r>
    </w:p>
    <w:p w:rsidR="00CD623F" w:rsidRPr="00610401" w:rsidRDefault="006E313D" w:rsidP="006E313D">
      <w:pPr>
        <w:pStyle w:val="Point0"/>
        <w:rPr>
          <w:noProof/>
        </w:rPr>
      </w:pPr>
      <w:r w:rsidRPr="006E313D">
        <w:rPr>
          <w:noProof/>
        </w:rPr>
        <w:t>4)</w:t>
      </w:r>
      <w:r w:rsidRPr="006E313D">
        <w:rPr>
          <w:noProof/>
        </w:rPr>
        <w:tab/>
      </w:r>
      <w:r w:rsidR="00CD623F" w:rsidRPr="00610401">
        <w:rPr>
          <w:noProof/>
        </w:rPr>
        <w:t>Prawnie wiążące cele</w:t>
      </w:r>
      <w:r w:rsidR="00610401" w:rsidRPr="00610401">
        <w:rPr>
          <w:noProof/>
        </w:rPr>
        <w:t xml:space="preserve"> w zak</w:t>
      </w:r>
      <w:r w:rsidR="00CD623F" w:rsidRPr="00610401">
        <w:rPr>
          <w:noProof/>
        </w:rPr>
        <w:t>resie poszczególnych ekosystemów wraz</w:t>
      </w:r>
      <w:r w:rsidR="00610401" w:rsidRPr="00610401">
        <w:rPr>
          <w:noProof/>
        </w:rPr>
        <w:t xml:space="preserve"> z cel</w:t>
      </w:r>
      <w:r w:rsidR="00CD623F" w:rsidRPr="00610401">
        <w:rPr>
          <w:noProof/>
        </w:rPr>
        <w:t>em nadrzędnym: wariant ten stanowi połączenie celów</w:t>
      </w:r>
      <w:r w:rsidR="00610401" w:rsidRPr="00610401">
        <w:rPr>
          <w:noProof/>
        </w:rPr>
        <w:t xml:space="preserve"> w zak</w:t>
      </w:r>
      <w:r w:rsidR="00CD623F" w:rsidRPr="00610401">
        <w:rPr>
          <w:noProof/>
        </w:rPr>
        <w:t>resie poszczególnych ekosystemów</w:t>
      </w:r>
      <w:r w:rsidR="00610401" w:rsidRPr="00610401">
        <w:rPr>
          <w:noProof/>
        </w:rPr>
        <w:t xml:space="preserve"> z war</w:t>
      </w:r>
      <w:r w:rsidR="00CD623F" w:rsidRPr="00610401">
        <w:rPr>
          <w:noProof/>
        </w:rPr>
        <w:t>iantu 3 oraz odmiany wariantu 2, mianowicie zakłada cel nadrzędny, jakim jest „</w:t>
      </w:r>
      <w:r w:rsidR="00CD623F" w:rsidRPr="00610401">
        <w:rPr>
          <w:noProof/>
          <w:color w:val="242424"/>
        </w:rPr>
        <w:t>przyczynianie się do ciągłej, długoterminowej</w:t>
      </w:r>
      <w:r w:rsidR="00610401" w:rsidRPr="00610401">
        <w:rPr>
          <w:noProof/>
          <w:color w:val="242424"/>
        </w:rPr>
        <w:t xml:space="preserve"> i trw</w:t>
      </w:r>
      <w:r w:rsidR="00CD623F" w:rsidRPr="00610401">
        <w:rPr>
          <w:noProof/>
          <w:color w:val="242424"/>
        </w:rPr>
        <w:t>ałej odbudowy różnorodnej biologicznie</w:t>
      </w:r>
      <w:r w:rsidR="00610401" w:rsidRPr="00610401">
        <w:rPr>
          <w:noProof/>
          <w:color w:val="242424"/>
        </w:rPr>
        <w:t xml:space="preserve"> i odp</w:t>
      </w:r>
      <w:r w:rsidR="00CD623F" w:rsidRPr="00610401">
        <w:rPr>
          <w:noProof/>
          <w:color w:val="242424"/>
        </w:rPr>
        <w:t>ornej przyrody na obszarach lądowych</w:t>
      </w:r>
      <w:r w:rsidR="00610401" w:rsidRPr="00610401">
        <w:rPr>
          <w:noProof/>
          <w:color w:val="242424"/>
        </w:rPr>
        <w:t xml:space="preserve"> i mor</w:t>
      </w:r>
      <w:r w:rsidR="00CD623F" w:rsidRPr="00610401">
        <w:rPr>
          <w:noProof/>
          <w:color w:val="242424"/>
        </w:rPr>
        <w:t>skich Unii poprzez odbudowę ekosystemów</w:t>
      </w:r>
      <w:r w:rsidR="00CD623F" w:rsidRPr="00610401">
        <w:rPr>
          <w:noProof/>
        </w:rPr>
        <w:t>”, przy czym do</w:t>
      </w:r>
      <w:r w:rsidR="00610401" w:rsidRPr="00610401">
        <w:rPr>
          <w:noProof/>
        </w:rPr>
        <w:t> </w:t>
      </w:r>
      <w:r w:rsidR="00CD623F" w:rsidRPr="00610401">
        <w:rPr>
          <w:noProof/>
        </w:rPr>
        <w:t>2030</w:t>
      </w:r>
      <w:r w:rsidR="00610401" w:rsidRPr="00610401">
        <w:rPr>
          <w:noProof/>
        </w:rPr>
        <w:t> </w:t>
      </w:r>
      <w:r w:rsidR="00CD623F" w:rsidRPr="00610401">
        <w:rPr>
          <w:noProof/>
        </w:rPr>
        <w:t>r. środki odbudowy powinny objąć łącznie co najmniej 20</w:t>
      </w:r>
      <w:r w:rsidR="00610401" w:rsidRPr="00610401">
        <w:rPr>
          <w:noProof/>
        </w:rPr>
        <w:t> </w:t>
      </w:r>
      <w:r w:rsidR="00CD623F" w:rsidRPr="00610401">
        <w:rPr>
          <w:noProof/>
        </w:rPr>
        <w:t>% obszarów lądowych</w:t>
      </w:r>
      <w:r w:rsidR="00610401" w:rsidRPr="00610401">
        <w:rPr>
          <w:noProof/>
        </w:rPr>
        <w:t xml:space="preserve"> i mor</w:t>
      </w:r>
      <w:r w:rsidR="00CD623F" w:rsidRPr="00610401">
        <w:rPr>
          <w:noProof/>
        </w:rPr>
        <w:t>skich Unii, a do</w:t>
      </w:r>
      <w:r w:rsidR="00610401" w:rsidRPr="00610401">
        <w:rPr>
          <w:noProof/>
        </w:rPr>
        <w:t> </w:t>
      </w:r>
      <w:r w:rsidR="00CD623F" w:rsidRPr="00610401">
        <w:rPr>
          <w:noProof/>
        </w:rPr>
        <w:t>2050</w:t>
      </w:r>
      <w:r w:rsidR="00610401" w:rsidRPr="00610401">
        <w:rPr>
          <w:noProof/>
        </w:rPr>
        <w:t> </w:t>
      </w:r>
      <w:r w:rsidR="00CD623F" w:rsidRPr="00610401">
        <w:rPr>
          <w:noProof/>
        </w:rPr>
        <w:t>r. – wszystkie ekosystemy wymagające odbudowy. Wariant ten zakłada zatem cel nadrzędny, do którego powinna dążyć UE,</w:t>
      </w:r>
      <w:r w:rsidR="00610401" w:rsidRPr="00610401">
        <w:rPr>
          <w:noProof/>
        </w:rPr>
        <w:t xml:space="preserve"> w poł</w:t>
      </w:r>
      <w:r w:rsidR="00CD623F" w:rsidRPr="00610401">
        <w:rPr>
          <w:noProof/>
        </w:rPr>
        <w:t>ączeniu</w:t>
      </w:r>
      <w:r w:rsidR="00610401" w:rsidRPr="00610401">
        <w:rPr>
          <w:noProof/>
        </w:rPr>
        <w:t xml:space="preserve"> z sze</w:t>
      </w:r>
      <w:r w:rsidR="00CD623F" w:rsidRPr="00610401">
        <w:rPr>
          <w:noProof/>
        </w:rPr>
        <w:t>regiem wyznaczonych dla państw członkowskich celów</w:t>
      </w:r>
      <w:r w:rsidR="00610401" w:rsidRPr="00610401">
        <w:rPr>
          <w:noProof/>
        </w:rPr>
        <w:t xml:space="preserve"> i obo</w:t>
      </w:r>
      <w:r w:rsidR="00CD623F" w:rsidRPr="00610401">
        <w:rPr>
          <w:noProof/>
        </w:rPr>
        <w:t>wiązków</w:t>
      </w:r>
      <w:r w:rsidR="00610401" w:rsidRPr="00610401">
        <w:rPr>
          <w:noProof/>
        </w:rPr>
        <w:t xml:space="preserve"> w zak</w:t>
      </w:r>
      <w:r w:rsidR="00CD623F" w:rsidRPr="00610401">
        <w:rPr>
          <w:noProof/>
        </w:rPr>
        <w:t xml:space="preserve">resie poszczególnych ekosystemów. </w:t>
      </w:r>
    </w:p>
    <w:p w:rsidR="00CD623F" w:rsidRPr="00610401" w:rsidRDefault="00CD623F" w:rsidP="00CD623F">
      <w:pPr>
        <w:pBdr>
          <w:top w:val="nil"/>
          <w:left w:val="nil"/>
          <w:bottom w:val="nil"/>
          <w:right w:val="nil"/>
          <w:between w:val="nil"/>
          <w:bar w:val="nil"/>
        </w:pBdr>
        <w:spacing w:after="240"/>
        <w:rPr>
          <w:rFonts w:eastAsia="Times New Roman"/>
          <w:noProof/>
          <w:color w:val="000000" w:themeColor="text1"/>
        </w:rPr>
      </w:pPr>
      <w:r w:rsidRPr="00610401">
        <w:rPr>
          <w:noProof/>
        </w:rPr>
        <w:t>Za najlepszy wariant strategiczny uznano wariant 4, ponieważ jest on najbardziej skuteczny, wydajny</w:t>
      </w:r>
      <w:r w:rsidR="00610401" w:rsidRPr="00610401">
        <w:rPr>
          <w:noProof/>
        </w:rPr>
        <w:t xml:space="preserve"> i spó</w:t>
      </w:r>
      <w:r w:rsidRPr="00610401">
        <w:rPr>
          <w:noProof/>
        </w:rPr>
        <w:t>jny ze strategią. Dzięki wyznaczeniu celu nadrzędnego osiągnięcie konkretnych celów będzie łatwiejsze,</w:t>
      </w:r>
      <w:r w:rsidR="00610401" w:rsidRPr="00610401">
        <w:rPr>
          <w:noProof/>
        </w:rPr>
        <w:t xml:space="preserve"> a ryz</w:t>
      </w:r>
      <w:r w:rsidRPr="00610401">
        <w:rPr>
          <w:noProof/>
        </w:rPr>
        <w:t>yko braku podjęcia jakichkolwiek działań</w:t>
      </w:r>
      <w:r w:rsidR="00610401" w:rsidRPr="00610401">
        <w:rPr>
          <w:noProof/>
        </w:rPr>
        <w:t xml:space="preserve"> w tym</w:t>
      </w:r>
      <w:r w:rsidRPr="00610401">
        <w:rPr>
          <w:noProof/>
        </w:rPr>
        <w:t xml:space="preserve"> wariancie jest niższe niż we wszystkich pozostałych wariantach. Co więcej, wariant ten zmniejsza ryzyko opóźnienia działań</w:t>
      </w:r>
      <w:r w:rsidR="00610401" w:rsidRPr="00610401">
        <w:rPr>
          <w:noProof/>
        </w:rPr>
        <w:t xml:space="preserve"> w odn</w:t>
      </w:r>
      <w:r w:rsidRPr="00610401">
        <w:rPr>
          <w:noProof/>
        </w:rPr>
        <w:t xml:space="preserve">iesieniu do wszystkich rodzajów ekosystemów poprzez podejmowanie już teraz jak największej liczby działań tam, gdzie jest to możliwe. </w:t>
      </w:r>
      <w:r w:rsidRPr="00610401">
        <w:rPr>
          <w:noProof/>
          <w:color w:val="000000" w:themeColor="text1"/>
        </w:rPr>
        <w:t>Zmniejsza to ryzyko odraczania działań, co przyniosłoby szkody środowisku, gospodarce</w:t>
      </w:r>
      <w:r w:rsidR="00610401" w:rsidRPr="00610401">
        <w:rPr>
          <w:noProof/>
          <w:color w:val="000000" w:themeColor="text1"/>
        </w:rPr>
        <w:t xml:space="preserve"> i spo</w:t>
      </w:r>
      <w:r w:rsidRPr="00610401">
        <w:rPr>
          <w:noProof/>
          <w:color w:val="000000" w:themeColor="text1"/>
        </w:rPr>
        <w:t xml:space="preserve">łeczeństwu. </w:t>
      </w:r>
    </w:p>
    <w:p w:rsidR="00CD623F" w:rsidRPr="00610401" w:rsidRDefault="00CD623F" w:rsidP="00CD623F">
      <w:pPr>
        <w:pBdr>
          <w:top w:val="nil"/>
          <w:left w:val="nil"/>
          <w:bottom w:val="nil"/>
          <w:right w:val="nil"/>
          <w:between w:val="nil"/>
          <w:bar w:val="nil"/>
        </w:pBdr>
        <w:spacing w:after="240"/>
        <w:rPr>
          <w:noProof/>
        </w:rPr>
      </w:pPr>
      <w:r w:rsidRPr="00610401">
        <w:rPr>
          <w:noProof/>
        </w:rPr>
        <w:t>Z tego względu wariant preferowany umożliwia Unii podjęcie natychmiastowych działań oraz rozpoczęcie odbudowy ekosystemów</w:t>
      </w:r>
      <w:r w:rsidR="00610401" w:rsidRPr="00610401">
        <w:rPr>
          <w:noProof/>
        </w:rPr>
        <w:t xml:space="preserve"> w opa</w:t>
      </w:r>
      <w:r w:rsidRPr="00610401">
        <w:rPr>
          <w:noProof/>
        </w:rPr>
        <w:t>rciu</w:t>
      </w:r>
      <w:r w:rsidR="00610401" w:rsidRPr="00610401">
        <w:rPr>
          <w:noProof/>
        </w:rPr>
        <w:t xml:space="preserve"> o cel</w:t>
      </w:r>
      <w:r w:rsidRPr="00610401">
        <w:rPr>
          <w:noProof/>
        </w:rPr>
        <w:t>e, których realizację już teraz można mierzyć</w:t>
      </w:r>
      <w:r w:rsidR="00610401" w:rsidRPr="00610401">
        <w:rPr>
          <w:noProof/>
        </w:rPr>
        <w:t xml:space="preserve"> i mon</w:t>
      </w:r>
      <w:r w:rsidRPr="00610401">
        <w:rPr>
          <w:noProof/>
        </w:rPr>
        <w:t>itorować</w:t>
      </w:r>
      <w:r w:rsidR="00610401" w:rsidRPr="00610401">
        <w:rPr>
          <w:noProof/>
        </w:rPr>
        <w:t>. W prz</w:t>
      </w:r>
      <w:r w:rsidRPr="00610401">
        <w:rPr>
          <w:noProof/>
        </w:rPr>
        <w:t>yszłości po opracowaniu wspólnych metod oceny dobrego stanu ekosystemów w UE, będzie można wyznaczyć dodatkowe cele oparte na tych wspólnych metodach</w:t>
      </w:r>
      <w:r w:rsidR="00610401" w:rsidRPr="00610401">
        <w:rPr>
          <w:noProof/>
        </w:rPr>
        <w:t xml:space="preserve"> w dro</w:t>
      </w:r>
      <w:r w:rsidRPr="00610401">
        <w:rPr>
          <w:noProof/>
        </w:rPr>
        <w:t>dze zmiany rozporządzenia.</w:t>
      </w:r>
    </w:p>
    <w:p w:rsidR="00CD623F" w:rsidRPr="00610401" w:rsidRDefault="00CD623F" w:rsidP="00CD623F">
      <w:pPr>
        <w:pBdr>
          <w:top w:val="nil"/>
          <w:left w:val="nil"/>
          <w:bottom w:val="nil"/>
          <w:right w:val="nil"/>
          <w:between w:val="nil"/>
          <w:bar w:val="nil"/>
        </w:pBdr>
        <w:spacing w:before="0" w:after="240"/>
        <w:rPr>
          <w:rStyle w:val="normaltextrun"/>
          <w:bCs/>
          <w:noProof/>
          <w:color w:val="000000" w:themeColor="text1"/>
        </w:rPr>
      </w:pPr>
      <w:r w:rsidRPr="00610401">
        <w:rPr>
          <w:noProof/>
        </w:rPr>
        <w:t>Wariant preferowany wniosku legislacyjnego umożliwi UE osiągnięcie celów</w:t>
      </w:r>
      <w:r w:rsidR="00610401" w:rsidRPr="00610401">
        <w:rPr>
          <w:noProof/>
        </w:rPr>
        <w:t xml:space="preserve"> w zak</w:t>
      </w:r>
      <w:r w:rsidRPr="00610401">
        <w:rPr>
          <w:noProof/>
        </w:rPr>
        <w:t>resie odbudowy ekosystemów</w:t>
      </w:r>
      <w:r w:rsidR="00610401" w:rsidRPr="00610401">
        <w:rPr>
          <w:noProof/>
        </w:rPr>
        <w:t xml:space="preserve"> w pro</w:t>
      </w:r>
      <w:r w:rsidRPr="00610401">
        <w:rPr>
          <w:noProof/>
        </w:rPr>
        <w:t>ponowanym terminie</w:t>
      </w:r>
      <w:r w:rsidR="00610401" w:rsidRPr="00610401">
        <w:rPr>
          <w:noProof/>
        </w:rPr>
        <w:t xml:space="preserve"> i w spo</w:t>
      </w:r>
      <w:r w:rsidRPr="00610401">
        <w:rPr>
          <w:noProof/>
        </w:rPr>
        <w:t>sób opłacalny</w:t>
      </w:r>
      <w:r w:rsidR="00610401" w:rsidRPr="00610401">
        <w:rPr>
          <w:noProof/>
        </w:rPr>
        <w:t>. W prz</w:t>
      </w:r>
      <w:r w:rsidRPr="00610401">
        <w:rPr>
          <w:noProof/>
        </w:rPr>
        <w:t>ypadku każdego</w:t>
      </w:r>
      <w:r w:rsidR="00610401" w:rsidRPr="00610401">
        <w:rPr>
          <w:noProof/>
        </w:rPr>
        <w:t xml:space="preserve"> z głó</w:t>
      </w:r>
      <w:r w:rsidRPr="00610401">
        <w:rPr>
          <w:noProof/>
        </w:rPr>
        <w:t xml:space="preserve">wnych rodzajów ekosystemów korzyści przewyższają koszty. </w:t>
      </w:r>
      <w:r w:rsidRPr="00610401">
        <w:rPr>
          <w:rStyle w:val="normaltextrun"/>
          <w:noProof/>
          <w:color w:val="000000"/>
          <w:shd w:val="clear" w:color="auto" w:fill="FFFFFF"/>
        </w:rPr>
        <w:t>Szacuje się na przykład, że</w:t>
      </w:r>
      <w:r w:rsidR="00610401" w:rsidRPr="00610401">
        <w:rPr>
          <w:rStyle w:val="normaltextrun"/>
          <w:noProof/>
          <w:color w:val="000000"/>
          <w:shd w:val="clear" w:color="auto" w:fill="FFFFFF"/>
        </w:rPr>
        <w:t xml:space="preserve"> w prz</w:t>
      </w:r>
      <w:r w:rsidRPr="00610401">
        <w:rPr>
          <w:rStyle w:val="normaltextrun"/>
          <w:noProof/>
          <w:color w:val="000000"/>
          <w:shd w:val="clear" w:color="auto" w:fill="FFFFFF"/>
        </w:rPr>
        <w:t>ypadku śródlądowych</w:t>
      </w:r>
      <w:r w:rsidR="00610401" w:rsidRPr="00610401">
        <w:rPr>
          <w:rStyle w:val="normaltextrun"/>
          <w:noProof/>
          <w:color w:val="000000"/>
          <w:shd w:val="clear" w:color="auto" w:fill="FFFFFF"/>
        </w:rPr>
        <w:t xml:space="preserve"> i prz</w:t>
      </w:r>
      <w:r w:rsidRPr="00610401">
        <w:rPr>
          <w:rStyle w:val="normaltextrun"/>
          <w:noProof/>
          <w:color w:val="000000"/>
          <w:shd w:val="clear" w:color="auto" w:fill="FFFFFF"/>
        </w:rPr>
        <w:t>ybrzeżnych terenów podmokłych korzyści finansowe</w:t>
      </w:r>
      <w:r w:rsidR="00610401" w:rsidRPr="00610401">
        <w:rPr>
          <w:rStyle w:val="normaltextrun"/>
          <w:noProof/>
          <w:color w:val="000000"/>
          <w:shd w:val="clear" w:color="auto" w:fill="FFFFFF"/>
        </w:rPr>
        <w:t xml:space="preserve"> z sam</w:t>
      </w:r>
      <w:r w:rsidRPr="00610401">
        <w:rPr>
          <w:rStyle w:val="normaltextrun"/>
          <w:noProof/>
          <w:color w:val="000000"/>
          <w:shd w:val="clear" w:color="auto" w:fill="FFFFFF"/>
        </w:rPr>
        <w:t>ego składowania dwutlenku węgla już przewyższają szacowane koszty odbudowy ekosystemu. Jeżeli uwzględni się oszacowanie innych usług ekosystemowych, stosunek korzyści do kosztów bę</w:t>
      </w:r>
      <w:r w:rsidR="00A0460B" w:rsidRPr="00610401">
        <w:rPr>
          <w:rStyle w:val="normaltextrun"/>
          <w:noProof/>
          <w:color w:val="000000"/>
          <w:shd w:val="clear" w:color="auto" w:fill="FFFFFF"/>
        </w:rPr>
        <w:t xml:space="preserve">dzie jeszcze lepszy. </w:t>
      </w:r>
      <w:r w:rsidRPr="00610401">
        <w:rPr>
          <w:rStyle w:val="normaltextrun"/>
          <w:noProof/>
          <w:color w:val="000000" w:themeColor="text1"/>
        </w:rPr>
        <w:t>Ogólnie rzecz biorąc, korzyści</w:t>
      </w:r>
      <w:r w:rsidR="00610401" w:rsidRPr="00610401">
        <w:rPr>
          <w:rStyle w:val="normaltextrun"/>
          <w:noProof/>
          <w:color w:val="000000" w:themeColor="text1"/>
        </w:rPr>
        <w:t xml:space="preserve"> z odb</w:t>
      </w:r>
      <w:r w:rsidRPr="00610401">
        <w:rPr>
          <w:rStyle w:val="normaltextrun"/>
          <w:noProof/>
          <w:color w:val="000000" w:themeColor="text1"/>
        </w:rPr>
        <w:t>udowy wymienionych</w:t>
      </w:r>
      <w:r w:rsidR="00610401" w:rsidRPr="00610401">
        <w:rPr>
          <w:rStyle w:val="normaltextrun"/>
          <w:noProof/>
          <w:color w:val="000000" w:themeColor="text1"/>
        </w:rPr>
        <w:t xml:space="preserve"> w zał</w:t>
      </w:r>
      <w:r w:rsidRPr="00610401">
        <w:rPr>
          <w:rStyle w:val="normaltextrun"/>
          <w:noProof/>
          <w:color w:val="000000" w:themeColor="text1"/>
        </w:rPr>
        <w:t>ączniku I torfowisk, bagien, lasów, wrzosowisk</w:t>
      </w:r>
      <w:r w:rsidR="00610401" w:rsidRPr="00610401">
        <w:rPr>
          <w:rStyle w:val="normaltextrun"/>
          <w:noProof/>
          <w:color w:val="000000" w:themeColor="text1"/>
        </w:rPr>
        <w:t xml:space="preserve"> i zar</w:t>
      </w:r>
      <w:r w:rsidRPr="00610401">
        <w:rPr>
          <w:rStyle w:val="normaltextrun"/>
          <w:noProof/>
          <w:color w:val="000000" w:themeColor="text1"/>
        </w:rPr>
        <w:t>ośli, obszarów trawiastych, rzek, jezior</w:t>
      </w:r>
      <w:r w:rsidR="00610401" w:rsidRPr="00610401">
        <w:rPr>
          <w:rStyle w:val="normaltextrun"/>
          <w:noProof/>
          <w:color w:val="000000" w:themeColor="text1"/>
        </w:rPr>
        <w:t xml:space="preserve"> i sie</w:t>
      </w:r>
      <w:r w:rsidRPr="00610401">
        <w:rPr>
          <w:rStyle w:val="normaltextrun"/>
          <w:noProof/>
          <w:color w:val="000000" w:themeColor="text1"/>
        </w:rPr>
        <w:t>dlisk zalewowych oraz przybrzeżnych terenów podmokłych można oszacować</w:t>
      </w:r>
      <w:r w:rsidRPr="00610401">
        <w:rPr>
          <w:rStyle w:val="normaltextrun"/>
          <w:noProof/>
          <w:color w:val="000000"/>
          <w:shd w:val="clear" w:color="auto" w:fill="FFFFFF"/>
        </w:rPr>
        <w:t xml:space="preserve"> na kwotę rzędu</w:t>
      </w:r>
      <w:r w:rsidR="00610401">
        <w:rPr>
          <w:rStyle w:val="normaltextrun"/>
          <w:noProof/>
          <w:color w:val="000000"/>
          <w:shd w:val="clear" w:color="auto" w:fill="FFFFFF"/>
        </w:rPr>
        <w:t xml:space="preserve"> </w:t>
      </w:r>
      <w:r w:rsidRPr="00610401">
        <w:rPr>
          <w:rStyle w:val="normaltextrun"/>
          <w:noProof/>
          <w:color w:val="000000" w:themeColor="text1"/>
        </w:rPr>
        <w:t xml:space="preserve">1 860 mld EUR </w:t>
      </w:r>
      <w:r w:rsidRPr="00610401">
        <w:rPr>
          <w:rStyle w:val="normaltextrun"/>
          <w:noProof/>
        </w:rPr>
        <w:t>(przy czym koszty szacuje się na około 154 mld EUR)</w:t>
      </w:r>
      <w:r w:rsidRPr="00610401">
        <w:rPr>
          <w:rStyle w:val="normaltextrun"/>
          <w:noProof/>
          <w:color w:val="000000" w:themeColor="text1"/>
        </w:rPr>
        <w:t xml:space="preserve">. </w:t>
      </w:r>
    </w:p>
    <w:p w:rsidR="00CD623F" w:rsidRPr="00610401" w:rsidRDefault="00CD623F" w:rsidP="00CD623F">
      <w:pPr>
        <w:pBdr>
          <w:top w:val="nil"/>
          <w:left w:val="nil"/>
          <w:bottom w:val="nil"/>
          <w:right w:val="nil"/>
          <w:between w:val="nil"/>
          <w:bar w:val="nil"/>
        </w:pBdr>
        <w:spacing w:before="0" w:after="240"/>
        <w:rPr>
          <w:rStyle w:val="normaltextrun"/>
          <w:noProof/>
          <w:color w:val="000000"/>
          <w:shd w:val="clear" w:color="auto" w:fill="FFFFFF"/>
        </w:rPr>
      </w:pPr>
      <w:r w:rsidRPr="00610401">
        <w:rPr>
          <w:rStyle w:val="normaltextrun"/>
          <w:noProof/>
          <w:color w:val="000000" w:themeColor="text1"/>
        </w:rPr>
        <w:t>Znaczne korzyści szacuje się także</w:t>
      </w:r>
      <w:r w:rsidR="00610401" w:rsidRPr="00610401">
        <w:rPr>
          <w:rStyle w:val="normaltextrun"/>
          <w:noProof/>
          <w:color w:val="000000" w:themeColor="text1"/>
        </w:rPr>
        <w:t xml:space="preserve"> w prz</w:t>
      </w:r>
      <w:r w:rsidRPr="00610401">
        <w:rPr>
          <w:rStyle w:val="normaltextrun"/>
          <w:noProof/>
          <w:color w:val="000000" w:themeColor="text1"/>
        </w:rPr>
        <w:t>ypadku odbudowy ekosystemów morskich</w:t>
      </w:r>
      <w:r w:rsidR="00610401" w:rsidRPr="00610401">
        <w:rPr>
          <w:rStyle w:val="normaltextrun"/>
          <w:noProof/>
          <w:color w:val="000000" w:themeColor="text1"/>
        </w:rPr>
        <w:t xml:space="preserve"> i mie</w:t>
      </w:r>
      <w:r w:rsidRPr="00610401">
        <w:rPr>
          <w:rStyle w:val="normaltextrun"/>
          <w:noProof/>
          <w:color w:val="000000" w:themeColor="text1"/>
        </w:rPr>
        <w:t>jskich, lasów, ekosystemów rolniczych</w:t>
      </w:r>
      <w:r w:rsidR="00610401" w:rsidRPr="00610401">
        <w:rPr>
          <w:rStyle w:val="normaltextrun"/>
          <w:noProof/>
          <w:color w:val="000000" w:themeColor="text1"/>
        </w:rPr>
        <w:t xml:space="preserve"> i pop</w:t>
      </w:r>
      <w:r w:rsidRPr="00610401">
        <w:rPr>
          <w:rStyle w:val="normaltextrun"/>
          <w:noProof/>
          <w:color w:val="000000" w:themeColor="text1"/>
        </w:rPr>
        <w:t xml:space="preserve">ulacji owadów zapylających. Na przykład </w:t>
      </w:r>
      <w:r w:rsidRPr="00610401">
        <w:rPr>
          <w:rStyle w:val="normaltextrun"/>
          <w:noProof/>
          <w:color w:val="000000"/>
          <w:shd w:val="clear" w:color="auto" w:fill="FFFFFF"/>
        </w:rPr>
        <w:t xml:space="preserve">szacunkowa wartość zapylania roślin przez owady </w:t>
      </w:r>
      <w:r w:rsidRPr="00610401">
        <w:rPr>
          <w:rStyle w:val="normaltextrun"/>
          <w:noProof/>
          <w:color w:val="000000" w:themeColor="text1"/>
        </w:rPr>
        <w:t xml:space="preserve">w UE wynosi około </w:t>
      </w:r>
      <w:r w:rsidRPr="00610401">
        <w:rPr>
          <w:rStyle w:val="normaltextrun"/>
          <w:noProof/>
        </w:rPr>
        <w:t>5 mld EUR</w:t>
      </w:r>
      <w:r w:rsidRPr="00610401">
        <w:rPr>
          <w:rStyle w:val="normaltextrun"/>
          <w:noProof/>
          <w:color w:val="000000"/>
          <w:shd w:val="clear" w:color="auto" w:fill="FFFFFF"/>
        </w:rPr>
        <w:t xml:space="preserve"> rocznie. Oprócz tego istnieje wiele innych korzyści, takich jak kontrola biologiczna agrofagów oraz ogólna poprawa różnorodności biologicznej.</w:t>
      </w:r>
      <w:r w:rsidR="00610401" w:rsidRPr="00610401">
        <w:rPr>
          <w:rStyle w:val="normaltextrun"/>
          <w:noProof/>
          <w:color w:val="000000"/>
          <w:shd w:val="clear" w:color="auto" w:fill="FFFFFF"/>
        </w:rPr>
        <w:t xml:space="preserve"> </w:t>
      </w:r>
    </w:p>
    <w:p w:rsidR="00CD623F" w:rsidRPr="00610401" w:rsidRDefault="00CD623F" w:rsidP="00CD623F">
      <w:pPr>
        <w:pBdr>
          <w:top w:val="nil"/>
          <w:left w:val="nil"/>
          <w:bottom w:val="nil"/>
          <w:right w:val="nil"/>
          <w:between w:val="nil"/>
          <w:bar w:val="nil"/>
        </w:pBdr>
        <w:spacing w:before="0" w:after="240"/>
        <w:rPr>
          <w:noProof/>
        </w:rPr>
      </w:pPr>
      <w:r w:rsidRPr="00610401">
        <w:rPr>
          <w:rStyle w:val="normaltextrun"/>
          <w:noProof/>
          <w:color w:val="000000" w:themeColor="text1"/>
        </w:rPr>
        <w:t>Na podstawie oceny skutków środowiskowych, społecznych</w:t>
      </w:r>
      <w:r w:rsidR="00610401" w:rsidRPr="00610401">
        <w:rPr>
          <w:rStyle w:val="normaltextrun"/>
          <w:noProof/>
          <w:color w:val="000000" w:themeColor="text1"/>
        </w:rPr>
        <w:t xml:space="preserve"> i gos</w:t>
      </w:r>
      <w:r w:rsidRPr="00610401">
        <w:rPr>
          <w:rStyle w:val="normaltextrun"/>
          <w:noProof/>
          <w:color w:val="000000" w:themeColor="text1"/>
        </w:rPr>
        <w:t>podarczych można wyciągnąć wniosek, że niektóre grupy zainteresowanych stron mogą początkowo bardziej odczuwać skutki niż inne</w:t>
      </w:r>
      <w:r w:rsidR="00610401" w:rsidRPr="00610401">
        <w:rPr>
          <w:rStyle w:val="normaltextrun"/>
          <w:noProof/>
          <w:color w:val="000000" w:themeColor="text1"/>
        </w:rPr>
        <w:t>. Z teg</w:t>
      </w:r>
      <w:r w:rsidRPr="00610401">
        <w:rPr>
          <w:rStyle w:val="normaltextrun"/>
          <w:noProof/>
          <w:color w:val="000000" w:themeColor="text1"/>
        </w:rPr>
        <w:t>o względu</w:t>
      </w:r>
      <w:r w:rsidR="00610401" w:rsidRPr="00610401">
        <w:rPr>
          <w:rStyle w:val="normaltextrun"/>
          <w:noProof/>
          <w:color w:val="000000" w:themeColor="text1"/>
        </w:rPr>
        <w:t xml:space="preserve"> w roz</w:t>
      </w:r>
      <w:r w:rsidRPr="00610401">
        <w:rPr>
          <w:rStyle w:val="normaltextrun"/>
          <w:noProof/>
          <w:color w:val="000000" w:themeColor="text1"/>
        </w:rPr>
        <w:t>porządzeniu wprowadzono wymóg, aby państwa członkowskie,</w:t>
      </w:r>
      <w:r w:rsidR="00610401" w:rsidRPr="00610401">
        <w:rPr>
          <w:rStyle w:val="normaltextrun"/>
          <w:noProof/>
          <w:color w:val="000000" w:themeColor="text1"/>
        </w:rPr>
        <w:t xml:space="preserve"> w ram</w:t>
      </w:r>
      <w:r w:rsidRPr="00610401">
        <w:rPr>
          <w:rStyle w:val="normaltextrun"/>
          <w:noProof/>
          <w:color w:val="000000" w:themeColor="text1"/>
        </w:rPr>
        <w:t xml:space="preserve">ach swoich krajowych planach odbudowy, zapewniły </w:t>
      </w:r>
      <w:r w:rsidRPr="00610401">
        <w:rPr>
          <w:noProof/>
        </w:rPr>
        <w:t>udział społeczeństwa oraz określiły sposób uwzględnienia potrzeb społeczności lokalnych</w:t>
      </w:r>
      <w:r w:rsidR="00610401" w:rsidRPr="00610401">
        <w:rPr>
          <w:noProof/>
        </w:rPr>
        <w:t xml:space="preserve"> i zai</w:t>
      </w:r>
      <w:r w:rsidRPr="00610401">
        <w:rPr>
          <w:noProof/>
        </w:rPr>
        <w:t xml:space="preserve">nteresowanych stron. </w:t>
      </w:r>
    </w:p>
    <w:p w:rsidR="00CD623F" w:rsidRPr="00610401" w:rsidRDefault="00CD623F" w:rsidP="00662A1F">
      <w:pPr>
        <w:rPr>
          <w:noProof/>
        </w:rPr>
      </w:pPr>
      <w:r w:rsidRPr="00610401">
        <w:rPr>
          <w:noProof/>
        </w:rPr>
        <w:t>Środki finansowe, których potrzebują państwa członkowskie, aby osiągnąć swoje cele</w:t>
      </w:r>
      <w:r w:rsidR="00610401" w:rsidRPr="00610401">
        <w:rPr>
          <w:noProof/>
        </w:rPr>
        <w:t xml:space="preserve"> w zak</w:t>
      </w:r>
      <w:r w:rsidRPr="00610401">
        <w:rPr>
          <w:noProof/>
        </w:rPr>
        <w:t>resie odbudowy, mogą pochodzić ze źródeł unijnych, finansowania krajowego oraz źródeł prywatnych. Wpływ na budżet państw członkowskich będzie zależał od potrzeb</w:t>
      </w:r>
      <w:r w:rsidR="00610401" w:rsidRPr="00610401">
        <w:rPr>
          <w:noProof/>
        </w:rPr>
        <w:t xml:space="preserve"> w zak</w:t>
      </w:r>
      <w:r w:rsidRPr="00610401">
        <w:rPr>
          <w:noProof/>
        </w:rPr>
        <w:t>resie odbudowy oraz od wdrożenia powiązanych środków odbudowy. Koszty te można obniżyć, uzyskując finansowanie z UE lub ze źródeł prywatnych. Na przykład na cele odbudowy dostępny jest szeroki zakres funduszy unijnych,</w:t>
      </w:r>
      <w:r w:rsidR="00610401" w:rsidRPr="00610401">
        <w:rPr>
          <w:noProof/>
        </w:rPr>
        <w:t xml:space="preserve"> a ocz</w:t>
      </w:r>
      <w:r w:rsidRPr="00610401">
        <w:rPr>
          <w:noProof/>
        </w:rPr>
        <w:t>ekuje się, że rozporządzenie</w:t>
      </w:r>
      <w:r w:rsidR="00610401" w:rsidRPr="00610401">
        <w:rPr>
          <w:noProof/>
        </w:rPr>
        <w:t xml:space="preserve"> w spr</w:t>
      </w:r>
      <w:r w:rsidRPr="00610401">
        <w:rPr>
          <w:noProof/>
        </w:rPr>
        <w:t>awie systematyki</w:t>
      </w:r>
      <w:r w:rsidRPr="00610401">
        <w:rPr>
          <w:rStyle w:val="FootnoteReference"/>
          <w:noProof/>
        </w:rPr>
        <w:footnoteReference w:id="42"/>
      </w:r>
      <w:r w:rsidRPr="00610401">
        <w:rPr>
          <w:noProof/>
        </w:rPr>
        <w:t xml:space="preserve"> ułatwi szersze wykorzystanie funduszy prywatnych. Środki finansowe będą potrzebne także do opracowania krajowych planów odbudowy,</w:t>
      </w:r>
      <w:r w:rsidR="00610401" w:rsidRPr="00610401">
        <w:rPr>
          <w:noProof/>
        </w:rPr>
        <w:t xml:space="preserve"> w tym</w:t>
      </w:r>
      <w:r w:rsidRPr="00610401">
        <w:rPr>
          <w:noProof/>
        </w:rPr>
        <w:t xml:space="preserve"> na etapach konsultacji</w:t>
      </w:r>
      <w:r w:rsidR="00610401" w:rsidRPr="00610401">
        <w:rPr>
          <w:noProof/>
        </w:rPr>
        <w:t xml:space="preserve"> i mon</w:t>
      </w:r>
      <w:r w:rsidRPr="00610401">
        <w:rPr>
          <w:noProof/>
        </w:rPr>
        <w:t xml:space="preserve">itorowania. </w:t>
      </w:r>
    </w:p>
    <w:p w:rsidR="00CD623F" w:rsidRPr="00610401" w:rsidRDefault="00CD623F" w:rsidP="00662A1F">
      <w:pPr>
        <w:rPr>
          <w:noProof/>
        </w:rPr>
      </w:pPr>
      <w:r w:rsidRPr="00610401">
        <w:rPr>
          <w:noProof/>
        </w:rPr>
        <w:t>Jeśli chodzi</w:t>
      </w:r>
      <w:r w:rsidR="00610401" w:rsidRPr="00610401">
        <w:rPr>
          <w:noProof/>
        </w:rPr>
        <w:t xml:space="preserve"> o spr</w:t>
      </w:r>
      <w:r w:rsidRPr="00610401">
        <w:rPr>
          <w:noProof/>
        </w:rPr>
        <w:t>awozdawczość, we wniosku zminimalizowano obciążenia administracyjne dzięki pełnemu wykorzystaniu już istniejących wymogów</w:t>
      </w:r>
      <w:r w:rsidR="00610401" w:rsidRPr="00610401">
        <w:rPr>
          <w:noProof/>
        </w:rPr>
        <w:t xml:space="preserve"> w zak</w:t>
      </w:r>
      <w:r w:rsidRPr="00610401">
        <w:rPr>
          <w:noProof/>
        </w:rPr>
        <w:t>resie sprawozdawczości oraz potencjału</w:t>
      </w:r>
      <w:r w:rsidR="00610401" w:rsidRPr="00610401">
        <w:rPr>
          <w:noProof/>
        </w:rPr>
        <w:t xml:space="preserve"> w zak</w:t>
      </w:r>
      <w:r w:rsidRPr="00610401">
        <w:rPr>
          <w:noProof/>
        </w:rPr>
        <w:t>resie cyfryzacji tych procesów. Co więcej, wydajność</w:t>
      </w:r>
      <w:r w:rsidR="00610401" w:rsidRPr="00610401">
        <w:rPr>
          <w:noProof/>
        </w:rPr>
        <w:t xml:space="preserve"> i obn</w:t>
      </w:r>
      <w:r w:rsidRPr="00610401">
        <w:rPr>
          <w:noProof/>
        </w:rPr>
        <w:t>iżenie kosztów można znacznie poprawić przez maksymalne wykorzystanie nowych technologii, takich jak teledetekcja, usługi</w:t>
      </w:r>
      <w:r w:rsidR="00610401" w:rsidRPr="00610401">
        <w:rPr>
          <w:noProof/>
        </w:rPr>
        <w:t xml:space="preserve"> i pro</w:t>
      </w:r>
      <w:r w:rsidRPr="00610401">
        <w:rPr>
          <w:noProof/>
        </w:rPr>
        <w:t>dukty satelitarne programu Copernicus, systemy informacji geograficznej, czujniki</w:t>
      </w:r>
      <w:r w:rsidR="00610401" w:rsidRPr="00610401">
        <w:rPr>
          <w:noProof/>
        </w:rPr>
        <w:t xml:space="preserve"> i urz</w:t>
      </w:r>
      <w:r w:rsidRPr="00610401">
        <w:rPr>
          <w:noProof/>
        </w:rPr>
        <w:t xml:space="preserve">ądzenia </w:t>
      </w:r>
      <w:r w:rsidRPr="00610401">
        <w:rPr>
          <w:i/>
          <w:iCs/>
          <w:noProof/>
        </w:rPr>
        <w:t>in situ</w:t>
      </w:r>
      <w:r w:rsidRPr="00610401">
        <w:rPr>
          <w:noProof/>
        </w:rPr>
        <w:t>, analiza</w:t>
      </w:r>
      <w:r w:rsidR="00610401" w:rsidRPr="00610401">
        <w:rPr>
          <w:noProof/>
        </w:rPr>
        <w:t xml:space="preserve"> i prz</w:t>
      </w:r>
      <w:r w:rsidRPr="00610401">
        <w:rPr>
          <w:noProof/>
        </w:rPr>
        <w:t>etwarzanie danych oraz sztuczna inteligencja. Technologie te zwiększają szybkość, skuteczność</w:t>
      </w:r>
      <w:r w:rsidR="00610401" w:rsidRPr="00610401">
        <w:rPr>
          <w:noProof/>
        </w:rPr>
        <w:t xml:space="preserve"> i spó</w:t>
      </w:r>
      <w:r w:rsidRPr="00610401">
        <w:rPr>
          <w:noProof/>
        </w:rPr>
        <w:t>jność licznych procesów monitorowania</w:t>
      </w:r>
      <w:r w:rsidR="00610401" w:rsidRPr="00610401">
        <w:rPr>
          <w:noProof/>
        </w:rPr>
        <w:t xml:space="preserve"> i pro</w:t>
      </w:r>
      <w:r w:rsidRPr="00610401">
        <w:rPr>
          <w:noProof/>
        </w:rPr>
        <w:t xml:space="preserve">cesów sprawozdawczych. </w:t>
      </w:r>
    </w:p>
    <w:p w:rsidR="00CD623F" w:rsidRPr="00610401" w:rsidRDefault="00CD623F" w:rsidP="00CD623F">
      <w:pPr>
        <w:pBdr>
          <w:top w:val="nil"/>
          <w:left w:val="nil"/>
          <w:bottom w:val="nil"/>
          <w:right w:val="nil"/>
          <w:between w:val="nil"/>
          <w:bar w:val="nil"/>
        </w:pBdr>
        <w:spacing w:before="0" w:after="240"/>
        <w:rPr>
          <w:noProof/>
        </w:rPr>
      </w:pPr>
      <w:r w:rsidRPr="00610401">
        <w:rPr>
          <w:noProof/>
        </w:rPr>
        <w:t>Wniosek</w:t>
      </w:r>
      <w:r w:rsidR="00610401" w:rsidRPr="00610401">
        <w:rPr>
          <w:noProof/>
        </w:rPr>
        <w:t xml:space="preserve"> w nie</w:t>
      </w:r>
      <w:r w:rsidRPr="00610401">
        <w:rPr>
          <w:noProof/>
        </w:rPr>
        <w:t>znacznym stopniu odbiega od wariantu 4, gdyż niektóre potencjalne cele dotyczące gleby zostaną uwzględnione na późniejszym etapie</w:t>
      </w:r>
      <w:r w:rsidR="00610401" w:rsidRPr="00610401">
        <w:rPr>
          <w:noProof/>
        </w:rPr>
        <w:t xml:space="preserve"> w odr</w:t>
      </w:r>
      <w:r w:rsidRPr="00610401">
        <w:rPr>
          <w:noProof/>
        </w:rPr>
        <w:t>ębnych przepisach, jak zapowiedziano</w:t>
      </w:r>
      <w:r w:rsidR="00610401" w:rsidRPr="00610401">
        <w:rPr>
          <w:noProof/>
        </w:rPr>
        <w:t xml:space="preserve"> w uni</w:t>
      </w:r>
      <w:r w:rsidRPr="00610401">
        <w:rPr>
          <w:noProof/>
        </w:rPr>
        <w:t>jnej strategii ochrony gleb.</w:t>
      </w:r>
      <w:r w:rsidR="00610401" w:rsidRPr="00610401">
        <w:rPr>
          <w:noProof/>
        </w:rPr>
        <w:t xml:space="preserve"> </w:t>
      </w:r>
    </w:p>
    <w:p w:rsidR="00CD623F" w:rsidRPr="00610401" w:rsidRDefault="00CD623F" w:rsidP="00662A1F">
      <w:pPr>
        <w:pStyle w:val="ManualHeading2"/>
        <w:rPr>
          <w:noProof/>
          <w:u w:color="000000"/>
          <w:bdr w:val="nil"/>
        </w:rPr>
      </w:pPr>
      <w:r w:rsidRPr="00610401">
        <w:rPr>
          <w:noProof/>
          <w:u w:color="000000"/>
          <w:bdr w:val="nil"/>
        </w:rPr>
        <w:t>Sprawność regulacyjna</w:t>
      </w:r>
      <w:r w:rsidR="00610401" w:rsidRPr="00610401">
        <w:rPr>
          <w:noProof/>
          <w:u w:color="000000"/>
          <w:bdr w:val="nil"/>
        </w:rPr>
        <w:t xml:space="preserve"> i upr</w:t>
      </w:r>
      <w:r w:rsidRPr="00610401">
        <w:rPr>
          <w:noProof/>
          <w:u w:color="000000"/>
          <w:bdr w:val="nil"/>
        </w:rPr>
        <w:t>oszczenie</w:t>
      </w:r>
    </w:p>
    <w:p w:rsidR="00CD623F" w:rsidRPr="00610401" w:rsidRDefault="00CD623F" w:rsidP="00CD623F">
      <w:pPr>
        <w:rPr>
          <w:rStyle w:val="eop"/>
          <w:noProof/>
        </w:rPr>
      </w:pPr>
      <w:r w:rsidRPr="00610401">
        <w:rPr>
          <w:noProof/>
          <w:color w:val="000000"/>
          <w:shd w:val="clear" w:color="auto" w:fill="FFFFFF"/>
        </w:rPr>
        <w:t>Zgodnie ze zobowiązaniem Komisji do lepszego stanowienia prawa wniosek został przygotowany</w:t>
      </w:r>
      <w:r w:rsidR="00610401" w:rsidRPr="00610401">
        <w:rPr>
          <w:noProof/>
          <w:color w:val="000000"/>
          <w:shd w:val="clear" w:color="auto" w:fill="FFFFFF"/>
        </w:rPr>
        <w:t xml:space="preserve"> w spo</w:t>
      </w:r>
      <w:r w:rsidRPr="00610401">
        <w:rPr>
          <w:noProof/>
          <w:color w:val="000000"/>
          <w:shd w:val="clear" w:color="auto" w:fill="FFFFFF"/>
        </w:rPr>
        <w:t>sób kompleksowy,</w:t>
      </w:r>
      <w:r w:rsidR="00610401" w:rsidRPr="00610401">
        <w:rPr>
          <w:noProof/>
          <w:color w:val="000000"/>
          <w:shd w:val="clear" w:color="auto" w:fill="FFFFFF"/>
        </w:rPr>
        <w:t xml:space="preserve"> w opa</w:t>
      </w:r>
      <w:r w:rsidRPr="00610401">
        <w:rPr>
          <w:noProof/>
          <w:color w:val="000000"/>
          <w:shd w:val="clear" w:color="auto" w:fill="FFFFFF"/>
        </w:rPr>
        <w:t>rciu</w:t>
      </w:r>
      <w:r w:rsidR="00610401" w:rsidRPr="00610401">
        <w:rPr>
          <w:noProof/>
          <w:color w:val="000000"/>
          <w:shd w:val="clear" w:color="auto" w:fill="FFFFFF"/>
        </w:rPr>
        <w:t xml:space="preserve"> o zas</w:t>
      </w:r>
      <w:r w:rsidRPr="00610401">
        <w:rPr>
          <w:noProof/>
          <w:color w:val="000000"/>
          <w:shd w:val="clear" w:color="auto" w:fill="FFFFFF"/>
        </w:rPr>
        <w:t>adę przejrzystości</w:t>
      </w:r>
      <w:r w:rsidR="00610401" w:rsidRPr="00610401">
        <w:rPr>
          <w:noProof/>
          <w:color w:val="000000"/>
          <w:shd w:val="clear" w:color="auto" w:fill="FFFFFF"/>
        </w:rPr>
        <w:t xml:space="preserve"> i prz</w:t>
      </w:r>
      <w:r w:rsidRPr="00610401">
        <w:rPr>
          <w:noProof/>
          <w:color w:val="000000"/>
          <w:shd w:val="clear" w:color="auto" w:fill="FFFFFF"/>
        </w:rPr>
        <w:t xml:space="preserve">y stałym zaangażowaniu zainteresowanych stron. </w:t>
      </w:r>
      <w:r w:rsidRPr="00610401">
        <w:rPr>
          <w:noProof/>
        </w:rPr>
        <w:t>Zgodnie</w:t>
      </w:r>
      <w:r w:rsidR="00610401" w:rsidRPr="00610401">
        <w:rPr>
          <w:noProof/>
        </w:rPr>
        <w:t xml:space="preserve"> z zas</w:t>
      </w:r>
      <w:r w:rsidRPr="00610401">
        <w:rPr>
          <w:noProof/>
        </w:rPr>
        <w:t>adą „jedno więcej – jedno mniej” przeanalizowano skutki administracyjne. Kosztami administracyjnymi zostaną obciążone głównie UE oraz administracja publiczna</w:t>
      </w:r>
      <w:r w:rsidR="00610401" w:rsidRPr="00610401">
        <w:rPr>
          <w:noProof/>
        </w:rPr>
        <w:t xml:space="preserve"> w pań</w:t>
      </w:r>
      <w:r w:rsidRPr="00610401">
        <w:rPr>
          <w:noProof/>
        </w:rPr>
        <w:t xml:space="preserve">stwach członkowskich. Będą to koszty badania ekosystemów, </w:t>
      </w:r>
      <w:r w:rsidRPr="00610401">
        <w:rPr>
          <w:rStyle w:val="eop"/>
          <w:noProof/>
        </w:rPr>
        <w:t>opracowania krajowych planów odbudowy, zarządzania ekosystemami wybranymi do odbudowy</w:t>
      </w:r>
      <w:r w:rsidR="00610401" w:rsidRPr="00610401">
        <w:rPr>
          <w:rStyle w:val="eop"/>
          <w:noProof/>
        </w:rPr>
        <w:t xml:space="preserve"> i ich</w:t>
      </w:r>
      <w:r w:rsidRPr="00610401">
        <w:rPr>
          <w:rStyle w:val="eop"/>
          <w:noProof/>
        </w:rPr>
        <w:t xml:space="preserve"> monitorowania oraz koszty sprawozdawczości</w:t>
      </w:r>
      <w:r w:rsidR="00610401" w:rsidRPr="00610401">
        <w:rPr>
          <w:rStyle w:val="eop"/>
          <w:noProof/>
        </w:rPr>
        <w:t>. W oce</w:t>
      </w:r>
      <w:r w:rsidRPr="00610401">
        <w:rPr>
          <w:rStyle w:val="eop"/>
          <w:noProof/>
        </w:rPr>
        <w:t>nie skutków takie koszty administracyjne oszacowano na kwotę rzędu 14 mld EUR do</w:t>
      </w:r>
      <w:r w:rsidR="00610401" w:rsidRPr="00610401">
        <w:rPr>
          <w:rStyle w:val="eop"/>
          <w:noProof/>
        </w:rPr>
        <w:t> </w:t>
      </w:r>
      <w:r w:rsidRPr="00610401">
        <w:rPr>
          <w:rStyle w:val="eop"/>
          <w:noProof/>
        </w:rPr>
        <w:t>2050</w:t>
      </w:r>
      <w:r w:rsidR="00610401" w:rsidRPr="00610401">
        <w:rPr>
          <w:rStyle w:val="eop"/>
          <w:noProof/>
        </w:rPr>
        <w:t> </w:t>
      </w:r>
      <w:r w:rsidRPr="00610401">
        <w:rPr>
          <w:rStyle w:val="eop"/>
          <w:noProof/>
        </w:rPr>
        <w:t xml:space="preserve">r. </w:t>
      </w:r>
    </w:p>
    <w:p w:rsidR="00CD623F" w:rsidRPr="00610401" w:rsidRDefault="00CD623F" w:rsidP="00CD623F">
      <w:pPr>
        <w:rPr>
          <w:noProof/>
        </w:rPr>
      </w:pPr>
    </w:p>
    <w:p w:rsidR="00CD623F" w:rsidRPr="00610401" w:rsidRDefault="00CD623F" w:rsidP="00662A1F">
      <w:pPr>
        <w:pStyle w:val="ManualHeading2"/>
        <w:rPr>
          <w:noProof/>
          <w:u w:color="000000"/>
          <w:bdr w:val="nil"/>
        </w:rPr>
      </w:pPr>
      <w:r w:rsidRPr="00610401">
        <w:rPr>
          <w:noProof/>
          <w:u w:color="000000"/>
          <w:bdr w:val="nil"/>
        </w:rPr>
        <w:t>Prawa podstawowe</w:t>
      </w:r>
    </w:p>
    <w:p w:rsidR="00CD623F" w:rsidRPr="00610401" w:rsidRDefault="00CD623F" w:rsidP="00CD623F">
      <w:pPr>
        <w:pBdr>
          <w:top w:val="nil"/>
          <w:left w:val="nil"/>
          <w:bottom w:val="nil"/>
          <w:right w:val="nil"/>
          <w:between w:val="nil"/>
          <w:bar w:val="nil"/>
        </w:pBdr>
        <w:spacing w:before="0" w:after="240"/>
        <w:rPr>
          <w:rFonts w:eastAsia="Arial Unicode MS"/>
          <w:noProof/>
          <w:color w:val="000000" w:themeColor="text1"/>
        </w:rPr>
      </w:pPr>
      <w:r w:rsidRPr="00610401">
        <w:rPr>
          <w:noProof/>
        </w:rPr>
        <w:t>Niniejszy wniosek nie narusza praw podstawowych</w:t>
      </w:r>
      <w:r w:rsidR="00610401" w:rsidRPr="00610401">
        <w:rPr>
          <w:noProof/>
        </w:rPr>
        <w:t xml:space="preserve"> i w szc</w:t>
      </w:r>
      <w:r w:rsidRPr="00610401">
        <w:rPr>
          <w:noProof/>
        </w:rPr>
        <w:t>zególności jest zgodny</w:t>
      </w:r>
      <w:r w:rsidR="00610401" w:rsidRPr="00610401">
        <w:rPr>
          <w:noProof/>
        </w:rPr>
        <w:t xml:space="preserve"> z zas</w:t>
      </w:r>
      <w:r w:rsidRPr="00610401">
        <w:rPr>
          <w:noProof/>
        </w:rPr>
        <w:t>adami uznanymi</w:t>
      </w:r>
      <w:r w:rsidR="00610401" w:rsidRPr="00610401">
        <w:rPr>
          <w:noProof/>
        </w:rPr>
        <w:t xml:space="preserve"> w Kar</w:t>
      </w:r>
      <w:r w:rsidRPr="00610401">
        <w:rPr>
          <w:noProof/>
        </w:rPr>
        <w:t>cie praw podstawowych Unii Europejskiej. Wniosek przyczynia się do ochrony prawa do wysokiego poziomu ochrony środowiska oraz do poprawy jakości środowiska zgodnie</w:t>
      </w:r>
      <w:r w:rsidR="00610401" w:rsidRPr="00610401">
        <w:rPr>
          <w:noProof/>
        </w:rPr>
        <w:t xml:space="preserve"> z zas</w:t>
      </w:r>
      <w:r w:rsidRPr="00610401">
        <w:rPr>
          <w:noProof/>
        </w:rPr>
        <w:t>adą zrównoważonego rozwoju,</w:t>
      </w:r>
      <w:r w:rsidR="00610401" w:rsidRPr="00610401">
        <w:rPr>
          <w:noProof/>
        </w:rPr>
        <w:t xml:space="preserve"> o któ</w:t>
      </w:r>
      <w:r w:rsidRPr="00610401">
        <w:rPr>
          <w:noProof/>
        </w:rPr>
        <w:t>rej mowa</w:t>
      </w:r>
      <w:r w:rsidR="00610401" w:rsidRPr="00610401">
        <w:rPr>
          <w:noProof/>
        </w:rPr>
        <w:t xml:space="preserve"> w art</w:t>
      </w:r>
      <w:r w:rsidRPr="00610401">
        <w:rPr>
          <w:noProof/>
        </w:rPr>
        <w:t>.</w:t>
      </w:r>
      <w:r w:rsidR="00610401" w:rsidRPr="00610401">
        <w:rPr>
          <w:noProof/>
        </w:rPr>
        <w:t> </w:t>
      </w:r>
      <w:r w:rsidRPr="00610401">
        <w:rPr>
          <w:noProof/>
        </w:rPr>
        <w:t>37 Karty.</w:t>
      </w:r>
      <w:r w:rsidRPr="00610401">
        <w:rPr>
          <w:noProof/>
          <w:color w:val="000000" w:themeColor="text1"/>
          <w:sz w:val="27"/>
          <w:shd w:val="clear" w:color="auto" w:fill="FFFFFF"/>
        </w:rPr>
        <w:t xml:space="preserve"> </w:t>
      </w:r>
    </w:p>
    <w:p w:rsidR="00CD623F" w:rsidRPr="00610401" w:rsidRDefault="00CD623F" w:rsidP="00CD623F">
      <w:pPr>
        <w:pStyle w:val="ManualHeading1"/>
        <w:rPr>
          <w:noProof/>
        </w:rPr>
      </w:pPr>
      <w:r w:rsidRPr="00610401">
        <w:rPr>
          <w:noProof/>
        </w:rPr>
        <w:t>4.</w:t>
      </w:r>
      <w:r w:rsidRPr="00610401">
        <w:rPr>
          <w:noProof/>
        </w:rPr>
        <w:tab/>
        <w:t>WPŁYW NA BUDŻET</w:t>
      </w:r>
    </w:p>
    <w:p w:rsidR="00CD623F" w:rsidRPr="00610401" w:rsidRDefault="00CD623F" w:rsidP="00CD623F">
      <w:pPr>
        <w:pStyle w:val="Normal2"/>
        <w:jc w:val="both"/>
        <w:rPr>
          <w:rFonts w:eastAsia="Arial Unicode MS"/>
          <w:noProof/>
        </w:rPr>
      </w:pPr>
      <w:r w:rsidRPr="00610401">
        <w:rPr>
          <w:noProof/>
        </w:rPr>
        <w:t>Do realizacji wniosku potrzebne będą zasoby ludzkie</w:t>
      </w:r>
      <w:r w:rsidR="00610401" w:rsidRPr="00610401">
        <w:rPr>
          <w:noProof/>
        </w:rPr>
        <w:t xml:space="preserve"> w Kom</w:t>
      </w:r>
      <w:r w:rsidRPr="00610401">
        <w:rPr>
          <w:noProof/>
        </w:rPr>
        <w:t>isji, jak określono</w:t>
      </w:r>
      <w:r w:rsidR="00610401" w:rsidRPr="00610401">
        <w:rPr>
          <w:noProof/>
        </w:rPr>
        <w:t xml:space="preserve"> w zał</w:t>
      </w:r>
      <w:r w:rsidRPr="00610401">
        <w:rPr>
          <w:noProof/>
        </w:rPr>
        <w:t>ączonej ocenie skutków finansowych regulacji. Oczekuje się, że potrzeby Komisji</w:t>
      </w:r>
      <w:r w:rsidR="00610401" w:rsidRPr="00610401">
        <w:rPr>
          <w:noProof/>
        </w:rPr>
        <w:t xml:space="preserve"> w zak</w:t>
      </w:r>
      <w:r w:rsidRPr="00610401">
        <w:rPr>
          <w:noProof/>
        </w:rPr>
        <w:t>resie zasobów ludzkich zostaną pokryte</w:t>
      </w:r>
      <w:r w:rsidR="00610401" w:rsidRPr="00610401">
        <w:rPr>
          <w:noProof/>
        </w:rPr>
        <w:t xml:space="preserve"> z ist</w:t>
      </w:r>
      <w:r w:rsidRPr="00610401">
        <w:rPr>
          <w:noProof/>
        </w:rPr>
        <w:t xml:space="preserve">niejących przydzielonych jej środków. </w:t>
      </w:r>
    </w:p>
    <w:p w:rsidR="00CD623F" w:rsidRPr="00610401" w:rsidRDefault="00CD623F" w:rsidP="00CD623F">
      <w:pPr>
        <w:pStyle w:val="Normal2"/>
        <w:jc w:val="both"/>
        <w:rPr>
          <w:rFonts w:eastAsia="Arial Unicode MS"/>
          <w:noProof/>
        </w:rPr>
      </w:pPr>
      <w:r w:rsidRPr="00610401">
        <w:rPr>
          <w:noProof/>
        </w:rPr>
        <w:t>Realizacja będzie wymagała także wsparcia ze strony Europejskiej Agencji Środowiska, dla której potrzebne będą dodatkowe środki, jak wskazano</w:t>
      </w:r>
      <w:r w:rsidR="00610401" w:rsidRPr="00610401">
        <w:rPr>
          <w:noProof/>
        </w:rPr>
        <w:t xml:space="preserve"> w spr</w:t>
      </w:r>
      <w:r w:rsidRPr="00610401">
        <w:rPr>
          <w:noProof/>
        </w:rPr>
        <w:t>awozdaniu finansowym.</w:t>
      </w:r>
      <w:r w:rsidR="00610401" w:rsidRPr="00610401">
        <w:rPr>
          <w:noProof/>
        </w:rPr>
        <w:t xml:space="preserve"> </w:t>
      </w:r>
    </w:p>
    <w:p w:rsidR="00CD623F" w:rsidRPr="00610401" w:rsidRDefault="00CD623F" w:rsidP="00CD623F">
      <w:pPr>
        <w:pStyle w:val="Normal2"/>
        <w:jc w:val="both"/>
        <w:rPr>
          <w:noProof/>
        </w:rPr>
      </w:pPr>
      <w:r w:rsidRPr="00610401">
        <w:rPr>
          <w:noProof/>
        </w:rPr>
        <w:t>Niniejszy wniosek zawiera artykuły,</w:t>
      </w:r>
      <w:r w:rsidR="00610401" w:rsidRPr="00610401">
        <w:rPr>
          <w:noProof/>
        </w:rPr>
        <w:t xml:space="preserve"> w któ</w:t>
      </w:r>
      <w:r w:rsidRPr="00610401">
        <w:rPr>
          <w:noProof/>
        </w:rPr>
        <w:t>rych szczegółowo opisano przyszłe prace, które będą konieczne</w:t>
      </w:r>
      <w:r w:rsidR="00610401" w:rsidRPr="00610401">
        <w:rPr>
          <w:noProof/>
        </w:rPr>
        <w:t xml:space="preserve"> w cel</w:t>
      </w:r>
      <w:r w:rsidRPr="00610401">
        <w:rPr>
          <w:noProof/>
        </w:rPr>
        <w:t>u realizacji rozporządzenia,</w:t>
      </w:r>
      <w:r w:rsidR="00610401" w:rsidRPr="00610401">
        <w:rPr>
          <w:noProof/>
        </w:rPr>
        <w:t xml:space="preserve"> w tym</w:t>
      </w:r>
      <w:r w:rsidRPr="00610401">
        <w:rPr>
          <w:noProof/>
        </w:rPr>
        <w:t xml:space="preserve"> uprawnienie do przyjęcia aktów delegowanych lub wykonawczych (na przykład do opracowania jednolitego formatu dla krajowych planów odbudowy lub wprowadzania zmian</w:t>
      </w:r>
      <w:r w:rsidR="00610401" w:rsidRPr="00610401">
        <w:rPr>
          <w:noProof/>
        </w:rPr>
        <w:t xml:space="preserve"> w zał</w:t>
      </w:r>
      <w:r w:rsidRPr="00610401">
        <w:rPr>
          <w:noProof/>
        </w:rPr>
        <w:t xml:space="preserve">ącznikach). </w:t>
      </w:r>
    </w:p>
    <w:p w:rsidR="00CD623F" w:rsidRPr="00610401" w:rsidRDefault="00CD623F" w:rsidP="00CD623F">
      <w:pPr>
        <w:pStyle w:val="Normal2"/>
        <w:jc w:val="both"/>
        <w:rPr>
          <w:rFonts w:eastAsia="Arial Unicode MS"/>
          <w:noProof/>
        </w:rPr>
      </w:pPr>
      <w:r w:rsidRPr="00610401">
        <w:rPr>
          <w:noProof/>
        </w:rPr>
        <w:t>W ocenie skutków finansowych regulacji dołączonej do niniejszego wniosku szczegółowo przedstawiono wpływ na budżet oraz potrzebne zasoby ludzkie</w:t>
      </w:r>
      <w:r w:rsidR="00610401" w:rsidRPr="00610401">
        <w:rPr>
          <w:noProof/>
        </w:rPr>
        <w:t xml:space="preserve"> i adm</w:t>
      </w:r>
      <w:r w:rsidRPr="00610401">
        <w:rPr>
          <w:noProof/>
        </w:rPr>
        <w:t>inistracyjne.</w:t>
      </w:r>
    </w:p>
    <w:p w:rsidR="00CD623F" w:rsidRPr="00610401" w:rsidRDefault="00CD623F" w:rsidP="00CD623F">
      <w:pPr>
        <w:pStyle w:val="ManualHeading1"/>
        <w:rPr>
          <w:noProof/>
        </w:rPr>
      </w:pPr>
      <w:r w:rsidRPr="00610401">
        <w:rPr>
          <w:noProof/>
        </w:rPr>
        <w:t>5.</w:t>
      </w:r>
      <w:r w:rsidRPr="00610401">
        <w:rPr>
          <w:noProof/>
        </w:rPr>
        <w:tab/>
        <w:t>ELEMENTY FAKULTATYWNE</w:t>
      </w:r>
    </w:p>
    <w:p w:rsidR="00CD623F" w:rsidRPr="00610401" w:rsidRDefault="00CD623F" w:rsidP="00662A1F">
      <w:pPr>
        <w:pStyle w:val="ManualHeading2"/>
        <w:rPr>
          <w:noProof/>
          <w:u w:color="000000"/>
          <w:bdr w:val="nil"/>
        </w:rPr>
      </w:pPr>
      <w:r w:rsidRPr="00610401">
        <w:rPr>
          <w:noProof/>
          <w:u w:color="000000"/>
          <w:bdr w:val="nil"/>
        </w:rPr>
        <w:t>Plany wdrożenia</w:t>
      </w:r>
      <w:r w:rsidR="00610401" w:rsidRPr="00610401">
        <w:rPr>
          <w:noProof/>
          <w:u w:color="000000"/>
          <w:bdr w:val="nil"/>
        </w:rPr>
        <w:t xml:space="preserve"> i mon</w:t>
      </w:r>
      <w:r w:rsidRPr="00610401">
        <w:rPr>
          <w:noProof/>
          <w:u w:color="000000"/>
          <w:bdr w:val="nil"/>
        </w:rPr>
        <w:t>itorowanie, ocena</w:t>
      </w:r>
      <w:r w:rsidR="00610401" w:rsidRPr="00610401">
        <w:rPr>
          <w:noProof/>
          <w:u w:color="000000"/>
          <w:bdr w:val="nil"/>
        </w:rPr>
        <w:t xml:space="preserve"> i spr</w:t>
      </w:r>
      <w:r w:rsidRPr="00610401">
        <w:rPr>
          <w:noProof/>
          <w:u w:color="000000"/>
          <w:bdr w:val="nil"/>
        </w:rPr>
        <w:t>awozdania</w:t>
      </w:r>
    </w:p>
    <w:p w:rsidR="00CD623F" w:rsidRPr="00610401" w:rsidRDefault="00CD623F" w:rsidP="00CD623F">
      <w:pPr>
        <w:pBdr>
          <w:top w:val="nil"/>
          <w:left w:val="nil"/>
          <w:bottom w:val="nil"/>
          <w:right w:val="nil"/>
          <w:between w:val="nil"/>
          <w:bar w:val="nil"/>
        </w:pBdr>
        <w:spacing w:before="0" w:after="240"/>
        <w:rPr>
          <w:noProof/>
        </w:rPr>
      </w:pPr>
      <w:r w:rsidRPr="00610401">
        <w:rPr>
          <w:noProof/>
        </w:rPr>
        <w:t>Zgodność</w:t>
      </w:r>
      <w:r w:rsidR="00610401" w:rsidRPr="00610401">
        <w:rPr>
          <w:noProof/>
        </w:rPr>
        <w:t xml:space="preserve"> z prz</w:t>
      </w:r>
      <w:r w:rsidRPr="00610401">
        <w:rPr>
          <w:noProof/>
        </w:rPr>
        <w:t>episami</w:t>
      </w:r>
      <w:r w:rsidR="00610401" w:rsidRPr="00610401">
        <w:rPr>
          <w:noProof/>
        </w:rPr>
        <w:t xml:space="preserve"> i egz</w:t>
      </w:r>
      <w:r w:rsidRPr="00610401">
        <w:rPr>
          <w:noProof/>
        </w:rPr>
        <w:t>ekwowanie przepisów będą monitorowane:</w:t>
      </w:r>
    </w:p>
    <w:p w:rsidR="00CD623F" w:rsidRPr="00610401" w:rsidRDefault="00CD623F" w:rsidP="00032C27">
      <w:pPr>
        <w:pStyle w:val="Tiret0"/>
        <w:rPr>
          <w:noProof/>
        </w:rPr>
      </w:pPr>
      <w:r w:rsidRPr="00610401">
        <w:rPr>
          <w:noProof/>
        </w:rPr>
        <w:t>za pomocą przekazywanych przez państwa członkowskie informacji na temat postępów</w:t>
      </w:r>
      <w:r w:rsidR="00610401" w:rsidRPr="00610401">
        <w:rPr>
          <w:noProof/>
        </w:rPr>
        <w:t xml:space="preserve"> w rea</w:t>
      </w:r>
      <w:r w:rsidRPr="00610401">
        <w:rPr>
          <w:noProof/>
        </w:rPr>
        <w:t>lizacji celów</w:t>
      </w:r>
      <w:r w:rsidR="00610401" w:rsidRPr="00610401">
        <w:rPr>
          <w:noProof/>
        </w:rPr>
        <w:t xml:space="preserve"> i obo</w:t>
      </w:r>
      <w:r w:rsidRPr="00610401">
        <w:rPr>
          <w:noProof/>
        </w:rPr>
        <w:t xml:space="preserve">wiązków określonych we wniosku; </w:t>
      </w:r>
    </w:p>
    <w:p w:rsidR="00CD623F" w:rsidRPr="00610401" w:rsidRDefault="00CD623F" w:rsidP="00032C27">
      <w:pPr>
        <w:pStyle w:val="Tiret0"/>
        <w:rPr>
          <w:noProof/>
        </w:rPr>
      </w:pPr>
      <w:r w:rsidRPr="00610401">
        <w:rPr>
          <w:noProof/>
        </w:rPr>
        <w:t>dzięki wdrażaniu środków odbudowy określonych</w:t>
      </w:r>
      <w:r w:rsidR="00610401" w:rsidRPr="00610401">
        <w:rPr>
          <w:noProof/>
        </w:rPr>
        <w:t xml:space="preserve"> w kra</w:t>
      </w:r>
      <w:r w:rsidRPr="00610401">
        <w:rPr>
          <w:noProof/>
        </w:rPr>
        <w:t xml:space="preserve">jowych planach odbudowy państw członkowskich; </w:t>
      </w:r>
    </w:p>
    <w:p w:rsidR="00CD623F" w:rsidRPr="00610401" w:rsidRDefault="00CD623F" w:rsidP="00032C27">
      <w:pPr>
        <w:pStyle w:val="Tiret0"/>
        <w:rPr>
          <w:noProof/>
        </w:rPr>
      </w:pPr>
      <w:r w:rsidRPr="00610401">
        <w:rPr>
          <w:noProof/>
        </w:rPr>
        <w:t xml:space="preserve">na podstawie tendencji obserwowanych na odbudowanych obszarach. </w:t>
      </w:r>
    </w:p>
    <w:p w:rsidR="00CD623F" w:rsidRPr="00610401" w:rsidRDefault="00CD623F" w:rsidP="00CD623F">
      <w:pPr>
        <w:pBdr>
          <w:top w:val="nil"/>
          <w:left w:val="nil"/>
          <w:bottom w:val="nil"/>
          <w:right w:val="nil"/>
          <w:between w:val="nil"/>
          <w:bar w:val="nil"/>
        </w:pBdr>
        <w:spacing w:before="0" w:after="240"/>
        <w:rPr>
          <w:noProof/>
        </w:rPr>
      </w:pPr>
      <w:r w:rsidRPr="00610401">
        <w:rPr>
          <w:noProof/>
        </w:rPr>
        <w:t>Komisja sporządzi sprawozdania</w:t>
      </w:r>
      <w:r w:rsidR="00610401" w:rsidRPr="00610401">
        <w:rPr>
          <w:noProof/>
        </w:rPr>
        <w:t xml:space="preserve"> z pos</w:t>
      </w:r>
      <w:r w:rsidRPr="00610401">
        <w:rPr>
          <w:noProof/>
        </w:rPr>
        <w:t>tępów na podstawie informacji przekazanych przez państwa członkowskie, jak również na podstawie innych danych zebranych przez Komisję (np.</w:t>
      </w:r>
      <w:r w:rsidR="00610401" w:rsidRPr="00610401">
        <w:rPr>
          <w:noProof/>
        </w:rPr>
        <w:t xml:space="preserve"> z usł</w:t>
      </w:r>
      <w:r w:rsidRPr="00610401">
        <w:rPr>
          <w:noProof/>
        </w:rPr>
        <w:t xml:space="preserve">ug satelitarnych programu Copernicus). </w:t>
      </w:r>
    </w:p>
    <w:p w:rsidR="00CD623F" w:rsidRPr="00610401" w:rsidRDefault="00CD623F" w:rsidP="00CD623F">
      <w:pPr>
        <w:pBdr>
          <w:top w:val="nil"/>
          <w:left w:val="nil"/>
          <w:bottom w:val="nil"/>
          <w:right w:val="nil"/>
          <w:between w:val="nil"/>
          <w:bar w:val="nil"/>
        </w:pBdr>
        <w:spacing w:before="0" w:after="240"/>
        <w:rPr>
          <w:noProof/>
        </w:rPr>
      </w:pPr>
      <w:r w:rsidRPr="00610401">
        <w:rPr>
          <w:noProof/>
        </w:rPr>
        <w:t>Do 2035</w:t>
      </w:r>
      <w:r w:rsidR="00610401" w:rsidRPr="00610401">
        <w:rPr>
          <w:noProof/>
        </w:rPr>
        <w:t> </w:t>
      </w:r>
      <w:r w:rsidRPr="00610401">
        <w:rPr>
          <w:noProof/>
        </w:rPr>
        <w:t>r. stosowanie rozporządzenia zostanie poddane przeglądowi</w:t>
      </w:r>
      <w:r w:rsidR="00610401" w:rsidRPr="00610401">
        <w:rPr>
          <w:noProof/>
        </w:rPr>
        <w:t xml:space="preserve"> w cel</w:t>
      </w:r>
      <w:r w:rsidRPr="00610401">
        <w:rPr>
          <w:noProof/>
        </w:rPr>
        <w:t xml:space="preserve">u zagwarantowania, że jego cele są realizowane oraz że przynosi ono zamierzone skutki. </w:t>
      </w:r>
    </w:p>
    <w:p w:rsidR="00CD623F" w:rsidRPr="00610401" w:rsidRDefault="00CD623F" w:rsidP="00CD623F">
      <w:pPr>
        <w:pBdr>
          <w:top w:val="nil"/>
          <w:left w:val="nil"/>
          <w:bottom w:val="nil"/>
          <w:right w:val="nil"/>
          <w:between w:val="nil"/>
          <w:bar w:val="nil"/>
        </w:pBdr>
        <w:spacing w:before="0" w:after="240"/>
        <w:rPr>
          <w:rFonts w:eastAsia="Arial Unicode MS"/>
          <w:noProof/>
          <w:color w:val="000000" w:themeColor="text1"/>
        </w:rPr>
      </w:pPr>
      <w:r w:rsidRPr="00610401">
        <w:rPr>
          <w:noProof/>
        </w:rPr>
        <w:t>W razie potrzeby rozporządzenie będzie zmieniane, na przykład, aby wprowadzić dodatkowe, prawnie wiążące cele</w:t>
      </w:r>
      <w:r w:rsidR="00610401" w:rsidRPr="00610401">
        <w:rPr>
          <w:noProof/>
        </w:rPr>
        <w:t xml:space="preserve"> w zak</w:t>
      </w:r>
      <w:r w:rsidRPr="00610401">
        <w:rPr>
          <w:noProof/>
        </w:rPr>
        <w:t xml:space="preserve">resie odbudowy ekosystemów, oparte na nowych metodach umożliwiających ocenę stanu tych ekosystemów. </w:t>
      </w:r>
    </w:p>
    <w:p w:rsidR="00CD623F" w:rsidRPr="00610401" w:rsidRDefault="00CD623F" w:rsidP="00B16B21">
      <w:pPr>
        <w:pStyle w:val="ManualHeading2"/>
        <w:rPr>
          <w:noProof/>
          <w:bdr w:val="nil"/>
        </w:rPr>
      </w:pPr>
      <w:r w:rsidRPr="00610401">
        <w:rPr>
          <w:noProof/>
          <w:bdr w:val="nil"/>
        </w:rPr>
        <w:t>Szczegółowe objaśnienia poszczególnych przepisów wniosku</w:t>
      </w:r>
    </w:p>
    <w:p w:rsidR="00CD623F" w:rsidRPr="00610401" w:rsidRDefault="00CD623F" w:rsidP="00CD623F">
      <w:pPr>
        <w:pStyle w:val="Normal2"/>
        <w:jc w:val="both"/>
        <w:rPr>
          <w:noProof/>
        </w:rPr>
      </w:pPr>
      <w:r w:rsidRPr="00610401">
        <w:rPr>
          <w:noProof/>
        </w:rPr>
        <w:t>Cel nadrzędny opisano</w:t>
      </w:r>
      <w:r w:rsidR="00610401" w:rsidRPr="00610401">
        <w:rPr>
          <w:noProof/>
        </w:rPr>
        <w:t xml:space="preserve"> w </w:t>
      </w:r>
      <w:r w:rsidR="00610401" w:rsidRPr="00610401">
        <w:rPr>
          <w:b/>
          <w:noProof/>
        </w:rPr>
        <w:t>art</w:t>
      </w:r>
      <w:r w:rsidRPr="00610401">
        <w:rPr>
          <w:b/>
          <w:noProof/>
        </w:rPr>
        <w:t>.</w:t>
      </w:r>
      <w:r w:rsidR="00610401" w:rsidRPr="00610401">
        <w:rPr>
          <w:b/>
          <w:noProof/>
        </w:rPr>
        <w:t> </w:t>
      </w:r>
      <w:r w:rsidRPr="00610401">
        <w:rPr>
          <w:b/>
          <w:noProof/>
        </w:rPr>
        <w:t>1</w:t>
      </w:r>
      <w:r w:rsidR="00610401" w:rsidRPr="00610401">
        <w:rPr>
          <w:noProof/>
        </w:rPr>
        <w:t xml:space="preserve"> i jes</w:t>
      </w:r>
      <w:r w:rsidRPr="00610401">
        <w:rPr>
          <w:noProof/>
        </w:rPr>
        <w:t>t nim: przyczynianie się do ciągłej, długoterminowej</w:t>
      </w:r>
      <w:r w:rsidR="00610401" w:rsidRPr="00610401">
        <w:rPr>
          <w:noProof/>
        </w:rPr>
        <w:t xml:space="preserve"> i trw</w:t>
      </w:r>
      <w:r w:rsidRPr="00610401">
        <w:rPr>
          <w:noProof/>
        </w:rPr>
        <w:t>ałej odbudowy różnorodnej biologicznie</w:t>
      </w:r>
      <w:r w:rsidR="00610401" w:rsidRPr="00610401">
        <w:rPr>
          <w:noProof/>
        </w:rPr>
        <w:t xml:space="preserve"> i odp</w:t>
      </w:r>
      <w:r w:rsidRPr="00610401">
        <w:rPr>
          <w:noProof/>
        </w:rPr>
        <w:t>ornej przyrody na obszarach lądowych</w:t>
      </w:r>
      <w:r w:rsidR="00610401" w:rsidRPr="00610401">
        <w:rPr>
          <w:noProof/>
        </w:rPr>
        <w:t xml:space="preserve"> i mor</w:t>
      </w:r>
      <w:r w:rsidRPr="00610401">
        <w:rPr>
          <w:noProof/>
        </w:rPr>
        <w:t>skich Unii poprzez odbudowę ekosystemów. Stanowi on ramy,</w:t>
      </w:r>
      <w:r w:rsidR="00610401" w:rsidRPr="00610401">
        <w:rPr>
          <w:noProof/>
        </w:rPr>
        <w:t xml:space="preserve"> w któ</w:t>
      </w:r>
      <w:r w:rsidRPr="00610401">
        <w:rPr>
          <w:noProof/>
        </w:rPr>
        <w:t>rych państwa członkowskie wprowadzą środki odbudowy, które do</w:t>
      </w:r>
      <w:r w:rsidR="00610401" w:rsidRPr="00610401">
        <w:rPr>
          <w:noProof/>
        </w:rPr>
        <w:t> </w:t>
      </w:r>
      <w:r w:rsidRPr="00610401">
        <w:rPr>
          <w:noProof/>
        </w:rPr>
        <w:t>2030</w:t>
      </w:r>
      <w:r w:rsidR="00610401" w:rsidRPr="00610401">
        <w:rPr>
          <w:noProof/>
        </w:rPr>
        <w:t> </w:t>
      </w:r>
      <w:r w:rsidRPr="00610401">
        <w:rPr>
          <w:noProof/>
        </w:rPr>
        <w:t>r. mają objąć łącznie co najmniej 20</w:t>
      </w:r>
      <w:r w:rsidR="00610401" w:rsidRPr="00610401">
        <w:rPr>
          <w:noProof/>
        </w:rPr>
        <w:t> </w:t>
      </w:r>
      <w:r w:rsidRPr="00610401">
        <w:rPr>
          <w:noProof/>
        </w:rPr>
        <w:t>% unijnych obszarów lądowych</w:t>
      </w:r>
      <w:r w:rsidR="00610401" w:rsidRPr="00610401">
        <w:rPr>
          <w:noProof/>
        </w:rPr>
        <w:t xml:space="preserve"> i mor</w:t>
      </w:r>
      <w:r w:rsidRPr="00610401">
        <w:rPr>
          <w:noProof/>
        </w:rPr>
        <w:t>skich, a do</w:t>
      </w:r>
      <w:r w:rsidR="00610401" w:rsidRPr="00610401">
        <w:rPr>
          <w:noProof/>
        </w:rPr>
        <w:t> </w:t>
      </w:r>
      <w:r w:rsidRPr="00610401">
        <w:rPr>
          <w:noProof/>
        </w:rPr>
        <w:t>2050</w:t>
      </w:r>
      <w:r w:rsidR="00610401" w:rsidRPr="00610401">
        <w:rPr>
          <w:noProof/>
        </w:rPr>
        <w:t> </w:t>
      </w:r>
      <w:r w:rsidRPr="00610401">
        <w:rPr>
          <w:noProof/>
        </w:rPr>
        <w:t>r. – wszystkie ekosystemy wymagające odbudowy. Działania te służą osiągnięciu naczelnego celu wyznaczonego</w:t>
      </w:r>
      <w:r w:rsidR="00610401" w:rsidRPr="00610401">
        <w:rPr>
          <w:noProof/>
        </w:rPr>
        <w:t xml:space="preserve"> w uni</w:t>
      </w:r>
      <w:r w:rsidRPr="00610401">
        <w:rPr>
          <w:noProof/>
        </w:rPr>
        <w:t>jnej strategii na rzecz bioróżnorodności, jakim jest zapewnienie odbudowy, odporności</w:t>
      </w:r>
      <w:r w:rsidR="00610401" w:rsidRPr="00610401">
        <w:rPr>
          <w:noProof/>
        </w:rPr>
        <w:t xml:space="preserve"> i odp</w:t>
      </w:r>
      <w:r w:rsidRPr="00610401">
        <w:rPr>
          <w:noProof/>
        </w:rPr>
        <w:t>owiedniej ochrony wszystkich ekosystemów do</w:t>
      </w:r>
      <w:r w:rsidR="00610401" w:rsidRPr="00610401">
        <w:rPr>
          <w:noProof/>
        </w:rPr>
        <w:t> </w:t>
      </w:r>
      <w:r w:rsidRPr="00610401">
        <w:rPr>
          <w:noProof/>
        </w:rPr>
        <w:t>2050</w:t>
      </w:r>
      <w:r w:rsidR="00610401" w:rsidRPr="00610401">
        <w:rPr>
          <w:noProof/>
        </w:rPr>
        <w:t> </w:t>
      </w:r>
      <w:r w:rsidRPr="00610401">
        <w:rPr>
          <w:noProof/>
        </w:rPr>
        <w:t>r.,</w:t>
      </w:r>
      <w:r w:rsidR="00610401" w:rsidRPr="00610401">
        <w:rPr>
          <w:noProof/>
        </w:rPr>
        <w:t xml:space="preserve"> a tak</w:t>
      </w:r>
      <w:r w:rsidRPr="00610401">
        <w:rPr>
          <w:noProof/>
        </w:rPr>
        <w:t>że celu pośredniego, aby do</w:t>
      </w:r>
      <w:r w:rsidR="00610401" w:rsidRPr="00610401">
        <w:rPr>
          <w:noProof/>
        </w:rPr>
        <w:t> </w:t>
      </w:r>
      <w:r w:rsidRPr="00610401">
        <w:rPr>
          <w:noProof/>
        </w:rPr>
        <w:t>2030</w:t>
      </w:r>
      <w:r w:rsidR="00610401" w:rsidRPr="00610401">
        <w:rPr>
          <w:noProof/>
        </w:rPr>
        <w:t> </w:t>
      </w:r>
      <w:r w:rsidRPr="00610401">
        <w:rPr>
          <w:noProof/>
        </w:rPr>
        <w:t>r. europejska różnorodność biologiczna weszła na ścieżkę regeneracji. Uznaje się, że odbudowa zasobów przyrodniczych</w:t>
      </w:r>
      <w:r w:rsidR="00610401" w:rsidRPr="00610401">
        <w:rPr>
          <w:noProof/>
        </w:rPr>
        <w:t xml:space="preserve"> w zna</w:t>
      </w:r>
      <w:r w:rsidRPr="00610401">
        <w:rPr>
          <w:noProof/>
        </w:rPr>
        <w:t>cznym stopniu przyczyni się do realizacji celów UE</w:t>
      </w:r>
      <w:r w:rsidR="00610401" w:rsidRPr="00610401">
        <w:rPr>
          <w:noProof/>
        </w:rPr>
        <w:t xml:space="preserve"> w zak</w:t>
      </w:r>
      <w:r w:rsidRPr="00610401">
        <w:rPr>
          <w:noProof/>
        </w:rPr>
        <w:t>resie łagodzenia zmiany klimatu</w:t>
      </w:r>
      <w:r w:rsidR="00610401" w:rsidRPr="00610401">
        <w:rPr>
          <w:noProof/>
        </w:rPr>
        <w:t xml:space="preserve"> i prz</w:t>
      </w:r>
      <w:r w:rsidRPr="00610401">
        <w:rPr>
          <w:noProof/>
        </w:rPr>
        <w:t>ystosowania się do niej, zapobiegania klęskom żywiołowym</w:t>
      </w:r>
      <w:r w:rsidR="00610401" w:rsidRPr="00610401">
        <w:rPr>
          <w:noProof/>
        </w:rPr>
        <w:t xml:space="preserve"> i łag</w:t>
      </w:r>
      <w:r w:rsidRPr="00610401">
        <w:rPr>
          <w:noProof/>
        </w:rPr>
        <w:t>odzenia ich skutków,</w:t>
      </w:r>
      <w:r w:rsidR="00610401" w:rsidRPr="00610401">
        <w:rPr>
          <w:noProof/>
        </w:rPr>
        <w:t xml:space="preserve"> a tak</w:t>
      </w:r>
      <w:r w:rsidRPr="00610401">
        <w:rPr>
          <w:noProof/>
        </w:rPr>
        <w:t xml:space="preserve">że do wypełnienia międzynarodowych zobowiązań UE. </w:t>
      </w:r>
    </w:p>
    <w:p w:rsidR="00CD623F" w:rsidRPr="00610401" w:rsidRDefault="00CD623F" w:rsidP="00CD623F">
      <w:pPr>
        <w:pStyle w:val="Normal2"/>
        <w:jc w:val="both"/>
        <w:rPr>
          <w:noProof/>
        </w:rPr>
      </w:pPr>
      <w:r w:rsidRPr="00610401">
        <w:rPr>
          <w:noProof/>
        </w:rPr>
        <w:t>Podejście zastosowane</w:t>
      </w:r>
      <w:r w:rsidR="00610401" w:rsidRPr="00610401">
        <w:rPr>
          <w:noProof/>
        </w:rPr>
        <w:t xml:space="preserve"> w ram</w:t>
      </w:r>
      <w:r w:rsidRPr="00610401">
        <w:rPr>
          <w:noProof/>
        </w:rPr>
        <w:t>ach opisanych</w:t>
      </w:r>
      <w:r w:rsidR="00610401" w:rsidRPr="00610401">
        <w:rPr>
          <w:noProof/>
        </w:rPr>
        <w:t xml:space="preserve"> w art</w:t>
      </w:r>
      <w:r w:rsidRPr="00610401">
        <w:rPr>
          <w:noProof/>
        </w:rPr>
        <w:t>.</w:t>
      </w:r>
      <w:r w:rsidR="00610401" w:rsidRPr="00610401">
        <w:rPr>
          <w:noProof/>
        </w:rPr>
        <w:t> </w:t>
      </w:r>
      <w:r w:rsidRPr="00610401">
        <w:rPr>
          <w:noProof/>
        </w:rPr>
        <w:t>1 polega na wykorzystaniu</w:t>
      </w:r>
      <w:r w:rsidR="00610401" w:rsidRPr="00610401">
        <w:rPr>
          <w:noProof/>
        </w:rPr>
        <w:t xml:space="preserve"> w pie</w:t>
      </w:r>
      <w:r w:rsidRPr="00610401">
        <w:rPr>
          <w:noProof/>
        </w:rPr>
        <w:t>rwszej kolejności typów siedlisk chronionych na mocy dyrektywy siedliskowej,</w:t>
      </w:r>
      <w:r w:rsidR="00610401" w:rsidRPr="00610401">
        <w:rPr>
          <w:noProof/>
        </w:rPr>
        <w:t xml:space="preserve"> w prz</w:t>
      </w:r>
      <w:r w:rsidRPr="00610401">
        <w:rPr>
          <w:noProof/>
        </w:rPr>
        <w:t>ypadku których istnieją już metody pozwalające stwierdzić, czy ich stan jest dobry. Na podstawie tych metod można zatem wyznaczyć cele</w:t>
      </w:r>
      <w:r w:rsidR="00610401" w:rsidRPr="00610401">
        <w:rPr>
          <w:noProof/>
        </w:rPr>
        <w:t xml:space="preserve"> w zak</w:t>
      </w:r>
      <w:r w:rsidRPr="00610401">
        <w:rPr>
          <w:noProof/>
        </w:rPr>
        <w:t xml:space="preserve">resie odbudowy tych siedlisk. </w:t>
      </w:r>
    </w:p>
    <w:p w:rsidR="00CD623F" w:rsidRPr="00610401" w:rsidRDefault="00CD623F" w:rsidP="00CD623F">
      <w:pPr>
        <w:pStyle w:val="Normal2"/>
        <w:jc w:val="both"/>
        <w:rPr>
          <w:noProof/>
        </w:rPr>
      </w:pPr>
      <w:r w:rsidRPr="00610401">
        <w:rPr>
          <w:noProof/>
        </w:rPr>
        <w:t xml:space="preserve">W </w:t>
      </w:r>
      <w:r w:rsidRPr="00610401">
        <w:rPr>
          <w:b/>
          <w:noProof/>
        </w:rPr>
        <w:t>art.</w:t>
      </w:r>
      <w:r w:rsidR="00610401" w:rsidRPr="00610401">
        <w:rPr>
          <w:b/>
          <w:noProof/>
        </w:rPr>
        <w:t> </w:t>
      </w:r>
      <w:r w:rsidRPr="00610401">
        <w:rPr>
          <w:b/>
          <w:noProof/>
        </w:rPr>
        <w:t>4</w:t>
      </w:r>
      <w:r w:rsidRPr="00610401">
        <w:rPr>
          <w:noProof/>
        </w:rPr>
        <w:t xml:space="preserve"> określono cele</w:t>
      </w:r>
      <w:r w:rsidR="00610401" w:rsidRPr="00610401">
        <w:rPr>
          <w:noProof/>
        </w:rPr>
        <w:t xml:space="preserve"> w zak</w:t>
      </w:r>
      <w:r w:rsidRPr="00610401">
        <w:rPr>
          <w:noProof/>
        </w:rPr>
        <w:t>resie odbudowy ekosystemów lądowych, przybrzeżnych</w:t>
      </w:r>
      <w:r w:rsidR="00610401" w:rsidRPr="00610401">
        <w:rPr>
          <w:noProof/>
        </w:rPr>
        <w:t xml:space="preserve"> i sło</w:t>
      </w:r>
      <w:r w:rsidRPr="00610401">
        <w:rPr>
          <w:noProof/>
        </w:rPr>
        <w:t>dkowodnych,</w:t>
      </w:r>
      <w:r w:rsidR="00610401" w:rsidRPr="00610401">
        <w:rPr>
          <w:noProof/>
        </w:rPr>
        <w:t xml:space="preserve"> a w </w:t>
      </w:r>
      <w:r w:rsidR="00610401" w:rsidRPr="00610401">
        <w:rPr>
          <w:b/>
          <w:noProof/>
        </w:rPr>
        <w:t>art</w:t>
      </w:r>
      <w:r w:rsidRPr="00610401">
        <w:rPr>
          <w:b/>
          <w:noProof/>
        </w:rPr>
        <w:t>.</w:t>
      </w:r>
      <w:r w:rsidR="00610401" w:rsidRPr="00610401">
        <w:rPr>
          <w:b/>
          <w:noProof/>
        </w:rPr>
        <w:t> </w:t>
      </w:r>
      <w:r w:rsidRPr="00610401">
        <w:rPr>
          <w:b/>
          <w:noProof/>
        </w:rPr>
        <w:t>5</w:t>
      </w:r>
      <w:r w:rsidRPr="00610401">
        <w:rPr>
          <w:noProof/>
        </w:rPr>
        <w:t xml:space="preserve"> cele</w:t>
      </w:r>
      <w:r w:rsidR="00610401" w:rsidRPr="00610401">
        <w:rPr>
          <w:noProof/>
        </w:rPr>
        <w:t xml:space="preserve"> w zak</w:t>
      </w:r>
      <w:r w:rsidRPr="00610401">
        <w:rPr>
          <w:noProof/>
        </w:rPr>
        <w:t>resie odbudowy ekosystemów morskich (obejmujących oprócz obszarów objętych dyrektywą siedliskową także inne obszary morskie). Cele te dotyczą odbudowy</w:t>
      </w:r>
      <w:r w:rsidR="00610401" w:rsidRPr="00610401">
        <w:rPr>
          <w:noProof/>
        </w:rPr>
        <w:t xml:space="preserve"> i prz</w:t>
      </w:r>
      <w:r w:rsidRPr="00610401">
        <w:rPr>
          <w:noProof/>
        </w:rPr>
        <w:t>ywracania obszarów,</w:t>
      </w:r>
      <w:r w:rsidR="00610401" w:rsidRPr="00610401">
        <w:rPr>
          <w:noProof/>
        </w:rPr>
        <w:t xml:space="preserve"> a tak</w:t>
      </w:r>
      <w:r w:rsidRPr="00610401">
        <w:rPr>
          <w:noProof/>
        </w:rPr>
        <w:t>że odbudowy siedlisk gatunków. Odbudowa idzie</w:t>
      </w:r>
      <w:r w:rsidR="00610401" w:rsidRPr="00610401">
        <w:rPr>
          <w:noProof/>
        </w:rPr>
        <w:t xml:space="preserve"> w par</w:t>
      </w:r>
      <w:r w:rsidRPr="00610401">
        <w:rPr>
          <w:noProof/>
        </w:rPr>
        <w:t>ze</w:t>
      </w:r>
      <w:r w:rsidR="00610401" w:rsidRPr="00610401">
        <w:rPr>
          <w:noProof/>
        </w:rPr>
        <w:t xml:space="preserve"> z och</w:t>
      </w:r>
      <w:r w:rsidRPr="00610401">
        <w:rPr>
          <w:noProof/>
        </w:rPr>
        <w:t>roną</w:t>
      </w:r>
      <w:r w:rsidR="00610401" w:rsidRPr="00610401">
        <w:rPr>
          <w:noProof/>
        </w:rPr>
        <w:t xml:space="preserve"> i utr</w:t>
      </w:r>
      <w:r w:rsidRPr="00610401">
        <w:rPr>
          <w:noProof/>
        </w:rPr>
        <w:t>zymaniem, dlatego zarówno</w:t>
      </w:r>
      <w:r w:rsidR="00610401" w:rsidRPr="00610401">
        <w:rPr>
          <w:noProof/>
        </w:rPr>
        <w:t xml:space="preserve"> w art</w:t>
      </w:r>
      <w:r w:rsidRPr="00610401">
        <w:rPr>
          <w:noProof/>
        </w:rPr>
        <w:t>.</w:t>
      </w:r>
      <w:r w:rsidR="00610401" w:rsidRPr="00610401">
        <w:rPr>
          <w:noProof/>
        </w:rPr>
        <w:t> </w:t>
      </w:r>
      <w:r w:rsidRPr="00610401">
        <w:rPr>
          <w:noProof/>
        </w:rPr>
        <w:t>4, jak</w:t>
      </w:r>
      <w:r w:rsidR="00610401" w:rsidRPr="00610401">
        <w:rPr>
          <w:noProof/>
        </w:rPr>
        <w:t xml:space="preserve"> i 5</w:t>
      </w:r>
      <w:r w:rsidRPr="00610401">
        <w:rPr>
          <w:noProof/>
        </w:rPr>
        <w:t xml:space="preserve"> określono obowiązek zapewnienia, aby stan ekosystemów nie uległ pogorszeniu przed lub po ich odbudowie. </w:t>
      </w:r>
    </w:p>
    <w:p w:rsidR="00CD623F" w:rsidRPr="00610401" w:rsidRDefault="00CD623F" w:rsidP="00CD623F">
      <w:pPr>
        <w:pStyle w:val="Normal2"/>
        <w:jc w:val="both"/>
        <w:rPr>
          <w:noProof/>
        </w:rPr>
      </w:pPr>
      <w:r w:rsidRPr="00610401">
        <w:rPr>
          <w:noProof/>
        </w:rPr>
        <w:t>W przypadku typów siedlisk lub ekosystemów, które nie są objęte dyrektywą siedliskową, nie zdefiniowano jeszcze co oznacza dobry stan</w:t>
      </w:r>
      <w:r w:rsidR="00610401" w:rsidRPr="00610401">
        <w:rPr>
          <w:noProof/>
        </w:rPr>
        <w:t>. W </w:t>
      </w:r>
      <w:r w:rsidR="00610401" w:rsidRPr="00610401">
        <w:rPr>
          <w:b/>
          <w:noProof/>
        </w:rPr>
        <w:t>art</w:t>
      </w:r>
      <w:r w:rsidRPr="00610401">
        <w:rPr>
          <w:b/>
          <w:noProof/>
        </w:rPr>
        <w:t>.</w:t>
      </w:r>
      <w:r w:rsidR="00610401" w:rsidRPr="00610401">
        <w:rPr>
          <w:b/>
          <w:noProof/>
        </w:rPr>
        <w:t> </w:t>
      </w:r>
      <w:r w:rsidRPr="00610401">
        <w:rPr>
          <w:b/>
          <w:noProof/>
        </w:rPr>
        <w:t>6–10</w:t>
      </w:r>
      <w:r w:rsidRPr="00610401">
        <w:rPr>
          <w:noProof/>
        </w:rPr>
        <w:t xml:space="preserve"> określono jednak dalsze szczegółowe cele</w:t>
      </w:r>
      <w:r w:rsidR="00610401" w:rsidRPr="00610401">
        <w:rPr>
          <w:noProof/>
        </w:rPr>
        <w:t xml:space="preserve"> i obo</w:t>
      </w:r>
      <w:r w:rsidRPr="00610401">
        <w:rPr>
          <w:noProof/>
        </w:rPr>
        <w:t xml:space="preserve">wiązki, które będą wymagać dodatkowych środków odbudowy. </w:t>
      </w:r>
    </w:p>
    <w:p w:rsidR="00CD623F" w:rsidRPr="00610401" w:rsidRDefault="00CD623F" w:rsidP="00CD623F">
      <w:pPr>
        <w:pStyle w:val="Normal2"/>
        <w:jc w:val="both"/>
        <w:rPr>
          <w:noProof/>
        </w:rPr>
      </w:pPr>
      <w:r w:rsidRPr="00610401">
        <w:rPr>
          <w:noProof/>
        </w:rPr>
        <w:t xml:space="preserve">W </w:t>
      </w:r>
      <w:r w:rsidRPr="00610401">
        <w:rPr>
          <w:b/>
          <w:noProof/>
        </w:rPr>
        <w:t>art.</w:t>
      </w:r>
      <w:r w:rsidR="00610401" w:rsidRPr="00610401">
        <w:rPr>
          <w:b/>
          <w:noProof/>
        </w:rPr>
        <w:t> </w:t>
      </w:r>
      <w:r w:rsidRPr="00610401">
        <w:rPr>
          <w:b/>
          <w:noProof/>
        </w:rPr>
        <w:t>6</w:t>
      </w:r>
      <w:r w:rsidRPr="00610401">
        <w:rPr>
          <w:noProof/>
        </w:rPr>
        <w:t xml:space="preserve"> określono cele, które mają zapewnić brak strat netto oraz zwiększenie powierzchni miejskich terenów zielonych</w:t>
      </w:r>
      <w:r w:rsidR="00610401" w:rsidRPr="00610401">
        <w:rPr>
          <w:noProof/>
        </w:rPr>
        <w:t xml:space="preserve"> w </w:t>
      </w:r>
      <w:r w:rsidR="00610401" w:rsidRPr="00610401">
        <w:rPr>
          <w:noProof/>
          <w:color w:val="000000" w:themeColor="text1"/>
        </w:rPr>
        <w:t>mia</w:t>
      </w:r>
      <w:r w:rsidRPr="00610401">
        <w:rPr>
          <w:noProof/>
          <w:color w:val="000000" w:themeColor="text1"/>
        </w:rPr>
        <w:t>stach oraz</w:t>
      </w:r>
      <w:r w:rsidR="00610401" w:rsidRPr="00610401">
        <w:rPr>
          <w:noProof/>
          <w:color w:val="000000" w:themeColor="text1"/>
        </w:rPr>
        <w:t xml:space="preserve"> w mał</w:t>
      </w:r>
      <w:r w:rsidRPr="00610401">
        <w:rPr>
          <w:noProof/>
          <w:color w:val="000000" w:themeColor="text1"/>
        </w:rPr>
        <w:t xml:space="preserve">ych miastach i na przedmieściach. </w:t>
      </w:r>
      <w:r w:rsidRPr="00610401">
        <w:rPr>
          <w:noProof/>
        </w:rPr>
        <w:t xml:space="preserve">Osiągnięciu tych celów sprzyja </w:t>
      </w:r>
      <w:r w:rsidRPr="00610401">
        <w:rPr>
          <w:noProof/>
          <w:color w:val="000000" w:themeColor="text1"/>
        </w:rPr>
        <w:t xml:space="preserve">zapewnienie </w:t>
      </w:r>
      <w:r w:rsidRPr="00610401">
        <w:rPr>
          <w:noProof/>
        </w:rPr>
        <w:t>minimalnego poziomu zadrzewienia oraz zintegrowanie terenów zielonych</w:t>
      </w:r>
      <w:r w:rsidR="00610401" w:rsidRPr="00610401">
        <w:rPr>
          <w:noProof/>
        </w:rPr>
        <w:t xml:space="preserve"> z ist</w:t>
      </w:r>
      <w:r w:rsidRPr="00610401">
        <w:rPr>
          <w:noProof/>
        </w:rPr>
        <w:t>niejącą</w:t>
      </w:r>
      <w:r w:rsidR="00610401" w:rsidRPr="00610401">
        <w:rPr>
          <w:noProof/>
        </w:rPr>
        <w:t xml:space="preserve"> i now</w:t>
      </w:r>
      <w:r w:rsidRPr="00610401">
        <w:rPr>
          <w:noProof/>
        </w:rPr>
        <w:t>ą zabudową oraz rozwojem infrastruktury. Tereny zielone</w:t>
      </w:r>
      <w:r w:rsidR="00610401" w:rsidRPr="00610401">
        <w:rPr>
          <w:noProof/>
        </w:rPr>
        <w:t xml:space="preserve"> i zad</w:t>
      </w:r>
      <w:r w:rsidRPr="00610401">
        <w:rPr>
          <w:noProof/>
        </w:rPr>
        <w:t>rzewienia są podstawowym elementem zielonej infrastruktury miejskiej, który przynosi korzyści ekologiczne, społeczne</w:t>
      </w:r>
      <w:r w:rsidR="00610401" w:rsidRPr="00610401">
        <w:rPr>
          <w:noProof/>
        </w:rPr>
        <w:t xml:space="preserve"> i gos</w:t>
      </w:r>
      <w:r w:rsidRPr="00610401">
        <w:rPr>
          <w:noProof/>
        </w:rPr>
        <w:t xml:space="preserve">podarcze mieszkańcom </w:t>
      </w:r>
      <w:r w:rsidRPr="00610401">
        <w:rPr>
          <w:noProof/>
          <w:color w:val="000000" w:themeColor="text1"/>
        </w:rPr>
        <w:t>miast oraz małych miast</w:t>
      </w:r>
      <w:r w:rsidR="00610401" w:rsidRPr="00610401">
        <w:rPr>
          <w:noProof/>
          <w:color w:val="000000" w:themeColor="text1"/>
        </w:rPr>
        <w:t xml:space="preserve"> i prz</w:t>
      </w:r>
      <w:r w:rsidRPr="00610401">
        <w:rPr>
          <w:noProof/>
          <w:color w:val="000000" w:themeColor="text1"/>
        </w:rPr>
        <w:t>edmieść.</w:t>
      </w:r>
      <w:r w:rsidRPr="00610401">
        <w:rPr>
          <w:noProof/>
        </w:rPr>
        <w:t xml:space="preserve"> </w:t>
      </w:r>
    </w:p>
    <w:p w:rsidR="00CD623F" w:rsidRPr="00610401" w:rsidRDefault="00CD623F" w:rsidP="00CD623F">
      <w:pPr>
        <w:pStyle w:val="Normal2"/>
        <w:jc w:val="both"/>
        <w:rPr>
          <w:noProof/>
        </w:rPr>
      </w:pPr>
      <w:r w:rsidRPr="00610401">
        <w:rPr>
          <w:noProof/>
        </w:rPr>
        <w:t xml:space="preserve">W </w:t>
      </w:r>
      <w:r w:rsidRPr="00610401">
        <w:rPr>
          <w:b/>
          <w:noProof/>
        </w:rPr>
        <w:t>art.</w:t>
      </w:r>
      <w:r w:rsidR="00610401" w:rsidRPr="00610401">
        <w:rPr>
          <w:b/>
          <w:noProof/>
        </w:rPr>
        <w:t> </w:t>
      </w:r>
      <w:r w:rsidRPr="00610401">
        <w:rPr>
          <w:b/>
          <w:noProof/>
        </w:rPr>
        <w:t>7</w:t>
      </w:r>
      <w:r w:rsidRPr="00610401">
        <w:rPr>
          <w:noProof/>
        </w:rPr>
        <w:t xml:space="preserve"> określono obowiązek usunięcia barier rzecznych. Przyczyni się to do zachowania naturalnej podłużnej</w:t>
      </w:r>
      <w:r w:rsidR="00610401" w:rsidRPr="00610401">
        <w:rPr>
          <w:noProof/>
        </w:rPr>
        <w:t xml:space="preserve"> i pop</w:t>
      </w:r>
      <w:r w:rsidRPr="00610401">
        <w:rPr>
          <w:noProof/>
        </w:rPr>
        <w:t>rzecznej łączności rzek oraz do realizacji celu UE, jakim jest zapewnienie 25 000 km rzek</w:t>
      </w:r>
      <w:r w:rsidR="00610401" w:rsidRPr="00610401">
        <w:rPr>
          <w:noProof/>
        </w:rPr>
        <w:t xml:space="preserve"> o swo</w:t>
      </w:r>
      <w:r w:rsidRPr="00610401">
        <w:rPr>
          <w:noProof/>
        </w:rPr>
        <w:t>bodnym przepływie. Pomoże również</w:t>
      </w:r>
      <w:r w:rsidR="00610401" w:rsidRPr="00610401">
        <w:rPr>
          <w:noProof/>
        </w:rPr>
        <w:t xml:space="preserve"> w odb</w:t>
      </w:r>
      <w:r w:rsidRPr="00610401">
        <w:rPr>
          <w:noProof/>
        </w:rPr>
        <w:t>udowie obszarów rzecznych</w:t>
      </w:r>
      <w:r w:rsidR="00610401" w:rsidRPr="00610401">
        <w:rPr>
          <w:noProof/>
        </w:rPr>
        <w:t xml:space="preserve"> i rów</w:t>
      </w:r>
      <w:r w:rsidRPr="00610401">
        <w:rPr>
          <w:noProof/>
        </w:rPr>
        <w:t xml:space="preserve">nin zalewowych. </w:t>
      </w:r>
    </w:p>
    <w:p w:rsidR="00CD623F" w:rsidRPr="00610401" w:rsidRDefault="00CD623F" w:rsidP="00CD623F">
      <w:pPr>
        <w:pStyle w:val="Normal2"/>
        <w:jc w:val="both"/>
        <w:rPr>
          <w:noProof/>
        </w:rPr>
      </w:pPr>
      <w:r w:rsidRPr="00610401">
        <w:rPr>
          <w:noProof/>
        </w:rPr>
        <w:t xml:space="preserve">W </w:t>
      </w:r>
      <w:r w:rsidRPr="00610401">
        <w:rPr>
          <w:b/>
          <w:noProof/>
        </w:rPr>
        <w:t>art.</w:t>
      </w:r>
      <w:r w:rsidR="00610401" w:rsidRPr="00610401">
        <w:rPr>
          <w:b/>
          <w:noProof/>
        </w:rPr>
        <w:t> </w:t>
      </w:r>
      <w:r w:rsidRPr="00610401">
        <w:rPr>
          <w:b/>
          <w:noProof/>
        </w:rPr>
        <w:t>8</w:t>
      </w:r>
      <w:r w:rsidRPr="00610401">
        <w:rPr>
          <w:noProof/>
        </w:rPr>
        <w:t xml:space="preserve"> określono obowiązek odwrócenia spadku liczebności owadów zapylających</w:t>
      </w:r>
      <w:r w:rsidR="00610401" w:rsidRPr="00610401">
        <w:rPr>
          <w:noProof/>
        </w:rPr>
        <w:t xml:space="preserve"> i osi</w:t>
      </w:r>
      <w:r w:rsidRPr="00610401">
        <w:rPr>
          <w:noProof/>
        </w:rPr>
        <w:t>ągnięcia tendencji wzrostowych ich populacji aż do osiągnięcia zadowalającego poziomu. Realizacja tego obowiązku będzie się opierać na metodzie monitorowania owadów zapylających, która zostanie opracowana.</w:t>
      </w:r>
    </w:p>
    <w:p w:rsidR="00CD623F" w:rsidRPr="00610401" w:rsidRDefault="00CD623F" w:rsidP="00CD623F">
      <w:pPr>
        <w:pStyle w:val="Normal2"/>
        <w:jc w:val="both"/>
        <w:rPr>
          <w:noProof/>
        </w:rPr>
      </w:pPr>
      <w:r w:rsidRPr="00610401">
        <w:rPr>
          <w:noProof/>
        </w:rPr>
        <w:t>Aby poprawić różnorodność biologiczną ekosystemów rolniczych</w:t>
      </w:r>
      <w:r w:rsidR="00610401" w:rsidRPr="00610401">
        <w:rPr>
          <w:noProof/>
        </w:rPr>
        <w:t xml:space="preserve"> i eko</w:t>
      </w:r>
      <w:r w:rsidRPr="00610401">
        <w:rPr>
          <w:noProof/>
        </w:rPr>
        <w:t>systemów leśnych,</w:t>
      </w:r>
      <w:r w:rsidR="00610401" w:rsidRPr="00610401">
        <w:rPr>
          <w:noProof/>
        </w:rPr>
        <w:t xml:space="preserve"> w </w:t>
      </w:r>
      <w:r w:rsidR="00610401" w:rsidRPr="00610401">
        <w:rPr>
          <w:b/>
          <w:noProof/>
        </w:rPr>
        <w:t>art</w:t>
      </w:r>
      <w:r w:rsidRPr="00610401">
        <w:rPr>
          <w:b/>
          <w:noProof/>
        </w:rPr>
        <w:t>.</w:t>
      </w:r>
      <w:r w:rsidR="00610401" w:rsidRPr="00610401">
        <w:rPr>
          <w:b/>
          <w:noProof/>
        </w:rPr>
        <w:t> </w:t>
      </w:r>
      <w:r w:rsidRPr="00610401">
        <w:rPr>
          <w:b/>
          <w:noProof/>
        </w:rPr>
        <w:t>9</w:t>
      </w:r>
      <w:r w:rsidR="00610401" w:rsidRPr="00610401">
        <w:rPr>
          <w:b/>
          <w:noProof/>
        </w:rPr>
        <w:t xml:space="preserve"> i 1</w:t>
      </w:r>
      <w:r w:rsidRPr="00610401">
        <w:rPr>
          <w:b/>
          <w:noProof/>
        </w:rPr>
        <w:t>0</w:t>
      </w:r>
      <w:r w:rsidRPr="00610401">
        <w:rPr>
          <w:noProof/>
        </w:rPr>
        <w:t xml:space="preserve"> nałożono na poszczególne państwa członkowskie obowiązek osiągnięcia tendencji wzrostowej</w:t>
      </w:r>
      <w:r w:rsidR="00610401" w:rsidRPr="00610401">
        <w:rPr>
          <w:noProof/>
        </w:rPr>
        <w:t xml:space="preserve"> w zak</w:t>
      </w:r>
      <w:r w:rsidRPr="00610401">
        <w:rPr>
          <w:noProof/>
        </w:rPr>
        <w:t xml:space="preserve">resie szeregu wskaźników, które są szczególnie ważne dla różnorodności biologicznej tych ekosystemów. </w:t>
      </w:r>
    </w:p>
    <w:p w:rsidR="00CD623F" w:rsidRPr="00610401" w:rsidRDefault="00CD623F" w:rsidP="00CD623F">
      <w:pPr>
        <w:pStyle w:val="Normal2"/>
        <w:jc w:val="both"/>
        <w:rPr>
          <w:noProof/>
        </w:rPr>
      </w:pPr>
      <w:r w:rsidRPr="00610401">
        <w:rPr>
          <w:noProof/>
        </w:rPr>
        <w:t>Cele</w:t>
      </w:r>
      <w:r w:rsidR="00610401" w:rsidRPr="00610401">
        <w:rPr>
          <w:noProof/>
        </w:rPr>
        <w:t xml:space="preserve"> i obo</w:t>
      </w:r>
      <w:r w:rsidRPr="00610401">
        <w:rPr>
          <w:noProof/>
        </w:rPr>
        <w:t>wiązki</w:t>
      </w:r>
      <w:r w:rsidR="00610401" w:rsidRPr="00610401">
        <w:rPr>
          <w:noProof/>
        </w:rPr>
        <w:t xml:space="preserve"> w zak</w:t>
      </w:r>
      <w:r w:rsidRPr="00610401">
        <w:rPr>
          <w:noProof/>
        </w:rPr>
        <w:t>resie odbudowy określone</w:t>
      </w:r>
      <w:r w:rsidR="00610401" w:rsidRPr="00610401">
        <w:rPr>
          <w:noProof/>
        </w:rPr>
        <w:t xml:space="preserve"> w art</w:t>
      </w:r>
      <w:r w:rsidRPr="00610401">
        <w:rPr>
          <w:noProof/>
        </w:rPr>
        <w:t>.</w:t>
      </w:r>
      <w:r w:rsidR="00610401" w:rsidRPr="00610401">
        <w:rPr>
          <w:noProof/>
        </w:rPr>
        <w:t> </w:t>
      </w:r>
      <w:r w:rsidRPr="00610401">
        <w:rPr>
          <w:noProof/>
        </w:rPr>
        <w:t>6–10 stanowią uzupełnienie celów określonych</w:t>
      </w:r>
      <w:r w:rsidR="00610401" w:rsidRPr="00610401">
        <w:rPr>
          <w:noProof/>
        </w:rPr>
        <w:t xml:space="preserve"> w art</w:t>
      </w:r>
      <w:r w:rsidRPr="00610401">
        <w:rPr>
          <w:noProof/>
        </w:rPr>
        <w:t>.</w:t>
      </w:r>
      <w:r w:rsidR="00610401" w:rsidRPr="00610401">
        <w:rPr>
          <w:noProof/>
        </w:rPr>
        <w:t> </w:t>
      </w:r>
      <w:r w:rsidRPr="00610401">
        <w:rPr>
          <w:noProof/>
        </w:rPr>
        <w:t>4</w:t>
      </w:r>
      <w:r w:rsidR="00610401" w:rsidRPr="00610401">
        <w:rPr>
          <w:noProof/>
        </w:rPr>
        <w:t xml:space="preserve"> i 5</w:t>
      </w:r>
      <w:r w:rsidRPr="00610401">
        <w:rPr>
          <w:noProof/>
        </w:rPr>
        <w:t xml:space="preserve">, dlatego będą one miały również wpływ na obszary zajmowane przez typy siedlisk chronionych na mocy dyrektywy siedliskowej. </w:t>
      </w:r>
    </w:p>
    <w:p w:rsidR="00CD623F" w:rsidRPr="00610401" w:rsidRDefault="00CD623F" w:rsidP="00CD623F">
      <w:pPr>
        <w:pStyle w:val="Normal2"/>
        <w:jc w:val="both"/>
        <w:rPr>
          <w:noProof/>
        </w:rPr>
      </w:pPr>
      <w:r w:rsidRPr="00610401">
        <w:rPr>
          <w:noProof/>
        </w:rPr>
        <w:t xml:space="preserve">W </w:t>
      </w:r>
      <w:r w:rsidRPr="00610401">
        <w:rPr>
          <w:b/>
          <w:noProof/>
        </w:rPr>
        <w:t>art.</w:t>
      </w:r>
      <w:r w:rsidR="00610401" w:rsidRPr="00610401">
        <w:rPr>
          <w:b/>
          <w:noProof/>
        </w:rPr>
        <w:t> </w:t>
      </w:r>
      <w:r w:rsidRPr="00610401">
        <w:rPr>
          <w:b/>
          <w:noProof/>
        </w:rPr>
        <w:t>11</w:t>
      </w:r>
      <w:r w:rsidR="00610401" w:rsidRPr="00610401">
        <w:rPr>
          <w:b/>
          <w:noProof/>
        </w:rPr>
        <w:t xml:space="preserve"> i 1</w:t>
      </w:r>
      <w:r w:rsidRPr="00610401">
        <w:rPr>
          <w:b/>
          <w:noProof/>
        </w:rPr>
        <w:t>2</w:t>
      </w:r>
      <w:r w:rsidRPr="00610401">
        <w:rPr>
          <w:noProof/>
        </w:rPr>
        <w:t xml:space="preserve"> opisano wymogi dla państw członkowskich dotyczące krajowych planów odbudowy. Środki odbudowy należy planować</w:t>
      </w:r>
      <w:r w:rsidR="00610401" w:rsidRPr="00610401">
        <w:rPr>
          <w:noProof/>
        </w:rPr>
        <w:t xml:space="preserve"> w spo</w:t>
      </w:r>
      <w:r w:rsidRPr="00610401">
        <w:rPr>
          <w:noProof/>
        </w:rPr>
        <w:t>sób strategiczny, tak aby możliwie jak najskuteczniej przyczyniały się do odbudowy zasobów przyrodniczych</w:t>
      </w:r>
      <w:r w:rsidR="00610401" w:rsidRPr="00610401">
        <w:rPr>
          <w:noProof/>
        </w:rPr>
        <w:t xml:space="preserve"> w cał</w:t>
      </w:r>
      <w:r w:rsidRPr="00610401">
        <w:rPr>
          <w:noProof/>
        </w:rPr>
        <w:t>ej Unii oraz do łagodzenia zmiany klimatu</w:t>
      </w:r>
      <w:r w:rsidR="00610401" w:rsidRPr="00610401">
        <w:rPr>
          <w:noProof/>
        </w:rPr>
        <w:t xml:space="preserve"> i prz</w:t>
      </w:r>
      <w:r w:rsidRPr="00610401">
        <w:rPr>
          <w:noProof/>
        </w:rPr>
        <w:t>ystosowania się do niej. Ważne jest, by państwa członkowskie opracowały krajowe plany odbudowy</w:t>
      </w:r>
      <w:r w:rsidR="00610401" w:rsidRPr="00610401">
        <w:rPr>
          <w:noProof/>
        </w:rPr>
        <w:t xml:space="preserve"> w opa</w:t>
      </w:r>
      <w:r w:rsidRPr="00610401">
        <w:rPr>
          <w:noProof/>
        </w:rPr>
        <w:t>rciu</w:t>
      </w:r>
      <w:r w:rsidR="00610401" w:rsidRPr="00610401">
        <w:rPr>
          <w:noProof/>
        </w:rPr>
        <w:t xml:space="preserve"> o naj</w:t>
      </w:r>
      <w:r w:rsidRPr="00610401">
        <w:rPr>
          <w:noProof/>
        </w:rPr>
        <w:t>lepsze</w:t>
      </w:r>
      <w:r w:rsidR="00610401" w:rsidRPr="00610401">
        <w:rPr>
          <w:noProof/>
        </w:rPr>
        <w:t xml:space="preserve"> i naj</w:t>
      </w:r>
      <w:r w:rsidRPr="00610401">
        <w:rPr>
          <w:noProof/>
        </w:rPr>
        <w:t xml:space="preserve">bardziej aktualne dostępne dowody naukowe. </w:t>
      </w:r>
    </w:p>
    <w:p w:rsidR="00834343" w:rsidRPr="00610401" w:rsidRDefault="00CD623F" w:rsidP="00CD623F">
      <w:pPr>
        <w:pStyle w:val="Normal2"/>
        <w:jc w:val="both"/>
        <w:rPr>
          <w:noProof/>
        </w:rPr>
      </w:pPr>
      <w:r w:rsidRPr="00610401">
        <w:rPr>
          <w:b/>
          <w:noProof/>
        </w:rPr>
        <w:t>Art. 13, 14</w:t>
      </w:r>
      <w:r w:rsidR="00610401" w:rsidRPr="00610401">
        <w:rPr>
          <w:b/>
          <w:noProof/>
        </w:rPr>
        <w:t xml:space="preserve"> i 1</w:t>
      </w:r>
      <w:r w:rsidRPr="00610401">
        <w:rPr>
          <w:b/>
          <w:noProof/>
        </w:rPr>
        <w:t>5</w:t>
      </w:r>
      <w:r w:rsidRPr="00610401">
        <w:rPr>
          <w:noProof/>
        </w:rPr>
        <w:t xml:space="preserve"> stanowią, że państwa członkowskie muszą przedłożyć Komisji krajowe plany odbudowy do oceny,</w:t>
      </w:r>
      <w:r w:rsidR="00610401" w:rsidRPr="00610401">
        <w:rPr>
          <w:noProof/>
        </w:rPr>
        <w:t xml:space="preserve"> a prz</w:t>
      </w:r>
      <w:r w:rsidRPr="00610401">
        <w:rPr>
          <w:noProof/>
        </w:rPr>
        <w:t>ed przyjęciem planów będą musiały odpowiedzieć na uwagi Komisji. Opisano również proces przeglądu</w:t>
      </w:r>
      <w:r w:rsidR="00610401" w:rsidRPr="00610401">
        <w:rPr>
          <w:noProof/>
        </w:rPr>
        <w:t xml:space="preserve"> i reg</w:t>
      </w:r>
      <w:r w:rsidRPr="00610401">
        <w:rPr>
          <w:noProof/>
        </w:rPr>
        <w:t xml:space="preserve">ularnej rewizji krajowych planów odbudowy. </w:t>
      </w:r>
    </w:p>
    <w:p w:rsidR="00CD623F" w:rsidRPr="00610401" w:rsidRDefault="00CD623F" w:rsidP="00CD623F">
      <w:pPr>
        <w:pStyle w:val="Normal2"/>
        <w:jc w:val="both"/>
        <w:rPr>
          <w:b/>
          <w:noProof/>
        </w:rPr>
      </w:pPr>
      <w:r w:rsidRPr="00610401">
        <w:rPr>
          <w:b/>
          <w:noProof/>
        </w:rPr>
        <w:t>Art. 17</w:t>
      </w:r>
      <w:r w:rsidR="00610401" w:rsidRPr="00610401">
        <w:rPr>
          <w:b/>
          <w:noProof/>
        </w:rPr>
        <w:t xml:space="preserve"> i 1</w:t>
      </w:r>
      <w:r w:rsidRPr="00610401">
        <w:rPr>
          <w:b/>
          <w:noProof/>
        </w:rPr>
        <w:t>8</w:t>
      </w:r>
      <w:r w:rsidRPr="00610401">
        <w:rPr>
          <w:noProof/>
        </w:rPr>
        <w:t xml:space="preserve"> zawierają wymogi dotyczące monitorowania</w:t>
      </w:r>
      <w:r w:rsidR="00610401" w:rsidRPr="00610401">
        <w:rPr>
          <w:noProof/>
        </w:rPr>
        <w:t xml:space="preserve"> i spr</w:t>
      </w:r>
      <w:r w:rsidRPr="00610401">
        <w:rPr>
          <w:noProof/>
        </w:rPr>
        <w:t>awozdawczości.</w:t>
      </w:r>
    </w:p>
    <w:p w:rsidR="00CD623F" w:rsidRPr="00610401" w:rsidRDefault="00CD623F" w:rsidP="00CD623F">
      <w:pPr>
        <w:pStyle w:val="Normal2"/>
        <w:jc w:val="both"/>
        <w:rPr>
          <w:noProof/>
          <w:color w:val="000000" w:themeColor="text1"/>
        </w:rPr>
      </w:pPr>
      <w:r w:rsidRPr="00610401">
        <w:rPr>
          <w:b/>
          <w:noProof/>
          <w:color w:val="000000" w:themeColor="text1"/>
        </w:rPr>
        <w:t>Art. 19</w:t>
      </w:r>
      <w:r w:rsidRPr="00610401">
        <w:rPr>
          <w:noProof/>
          <w:color w:val="000000" w:themeColor="text1"/>
        </w:rPr>
        <w:t xml:space="preserve"> zawiera przepisy dotyczące zmiany załączników do rozporządzenia. </w:t>
      </w:r>
    </w:p>
    <w:p w:rsidR="00CD623F" w:rsidRPr="00610401" w:rsidRDefault="00CD623F" w:rsidP="00CD623F">
      <w:pPr>
        <w:pStyle w:val="Normal2"/>
        <w:jc w:val="both"/>
        <w:rPr>
          <w:noProof/>
          <w:color w:val="000000" w:themeColor="text1"/>
        </w:rPr>
      </w:pPr>
      <w:r w:rsidRPr="00610401">
        <w:rPr>
          <w:b/>
          <w:noProof/>
          <w:color w:val="000000" w:themeColor="text1"/>
        </w:rPr>
        <w:t>Art. 20</w:t>
      </w:r>
      <w:r w:rsidR="00610401" w:rsidRPr="00610401">
        <w:rPr>
          <w:b/>
          <w:noProof/>
          <w:color w:val="000000" w:themeColor="text1"/>
        </w:rPr>
        <w:t xml:space="preserve"> i 2</w:t>
      </w:r>
      <w:r w:rsidRPr="00610401">
        <w:rPr>
          <w:b/>
          <w:noProof/>
          <w:color w:val="000000" w:themeColor="text1"/>
        </w:rPr>
        <w:t>1</w:t>
      </w:r>
      <w:r w:rsidRPr="00610401">
        <w:rPr>
          <w:noProof/>
          <w:color w:val="000000" w:themeColor="text1"/>
        </w:rPr>
        <w:t xml:space="preserve"> określają warunki przyjmowania przez Komisję aktów delegowanych</w:t>
      </w:r>
      <w:r w:rsidR="00610401" w:rsidRPr="00610401">
        <w:rPr>
          <w:noProof/>
          <w:color w:val="000000" w:themeColor="text1"/>
        </w:rPr>
        <w:t xml:space="preserve"> i wyk</w:t>
      </w:r>
      <w:r w:rsidRPr="00610401">
        <w:rPr>
          <w:noProof/>
          <w:color w:val="000000" w:themeColor="text1"/>
        </w:rPr>
        <w:t xml:space="preserve">onawczych. </w:t>
      </w:r>
    </w:p>
    <w:p w:rsidR="00CD623F" w:rsidRPr="00610401" w:rsidRDefault="00CD623F" w:rsidP="00CD623F">
      <w:pPr>
        <w:pStyle w:val="Normal2"/>
        <w:jc w:val="both"/>
        <w:rPr>
          <w:noProof/>
          <w:color w:val="000000" w:themeColor="text1"/>
        </w:rPr>
      </w:pPr>
      <w:r w:rsidRPr="00610401">
        <w:rPr>
          <w:b/>
          <w:noProof/>
          <w:color w:val="000000" w:themeColor="text1"/>
        </w:rPr>
        <w:t>Art. 22</w:t>
      </w:r>
      <w:r w:rsidRPr="00610401">
        <w:rPr>
          <w:noProof/>
          <w:color w:val="000000" w:themeColor="text1"/>
        </w:rPr>
        <w:t xml:space="preserve"> przewiduje przegląd rozporządzenia do</w:t>
      </w:r>
      <w:r w:rsidR="00610401" w:rsidRPr="00610401">
        <w:rPr>
          <w:noProof/>
          <w:color w:val="000000" w:themeColor="text1"/>
        </w:rPr>
        <w:t> </w:t>
      </w:r>
      <w:r w:rsidRPr="00610401">
        <w:rPr>
          <w:noProof/>
          <w:color w:val="000000" w:themeColor="text1"/>
        </w:rPr>
        <w:t>31 grudnia 2035</w:t>
      </w:r>
      <w:r w:rsidR="00610401" w:rsidRPr="00610401">
        <w:rPr>
          <w:noProof/>
          <w:color w:val="000000" w:themeColor="text1"/>
        </w:rPr>
        <w:t> </w:t>
      </w:r>
      <w:r w:rsidRPr="00610401">
        <w:rPr>
          <w:noProof/>
          <w:color w:val="000000" w:themeColor="text1"/>
        </w:rPr>
        <w:t>r.</w:t>
      </w:r>
    </w:p>
    <w:p w:rsidR="001A7B88" w:rsidRPr="00610401" w:rsidRDefault="00CD623F" w:rsidP="00CD623F">
      <w:pPr>
        <w:pStyle w:val="Normal2"/>
        <w:jc w:val="both"/>
        <w:rPr>
          <w:noProof/>
          <w:color w:val="000000" w:themeColor="text1"/>
        </w:rPr>
      </w:pPr>
      <w:r w:rsidRPr="00610401">
        <w:rPr>
          <w:b/>
          <w:noProof/>
          <w:color w:val="000000" w:themeColor="text1"/>
        </w:rPr>
        <w:t>Art. 23</w:t>
      </w:r>
      <w:r w:rsidRPr="00610401">
        <w:rPr>
          <w:noProof/>
          <w:color w:val="000000" w:themeColor="text1"/>
        </w:rPr>
        <w:t> przewiduje wejście</w:t>
      </w:r>
      <w:r w:rsidR="00610401" w:rsidRPr="00610401">
        <w:rPr>
          <w:noProof/>
          <w:color w:val="000000" w:themeColor="text1"/>
        </w:rPr>
        <w:t xml:space="preserve"> w życ</w:t>
      </w:r>
      <w:r w:rsidRPr="00610401">
        <w:rPr>
          <w:noProof/>
          <w:color w:val="000000" w:themeColor="text1"/>
        </w:rPr>
        <w:t>ie</w:t>
      </w:r>
      <w:r w:rsidR="00610401" w:rsidRPr="00610401">
        <w:rPr>
          <w:noProof/>
          <w:color w:val="000000" w:themeColor="text1"/>
        </w:rPr>
        <w:t xml:space="preserve"> i sto</w:t>
      </w:r>
      <w:r w:rsidRPr="00610401">
        <w:rPr>
          <w:noProof/>
          <w:color w:val="000000" w:themeColor="text1"/>
        </w:rPr>
        <w:t>sowanie rozporządzenia.</w:t>
      </w:r>
    </w:p>
    <w:p w:rsidR="005C7FCA" w:rsidRPr="00610401" w:rsidRDefault="005C7FCA" w:rsidP="00EC044F">
      <w:pPr>
        <w:rPr>
          <w:noProof/>
        </w:rPr>
        <w:sectPr w:rsidR="005C7FCA" w:rsidRPr="00610401" w:rsidSect="003C0B66">
          <w:footerReference w:type="default" r:id="rId13"/>
          <w:footerReference w:type="first" r:id="rId14"/>
          <w:pgSz w:w="11907" w:h="16839"/>
          <w:pgMar w:top="1134" w:right="1417" w:bottom="1134" w:left="1417" w:header="709" w:footer="709" w:gutter="0"/>
          <w:cols w:space="708"/>
          <w:docGrid w:linePitch="360"/>
        </w:sectPr>
      </w:pPr>
    </w:p>
    <w:p w:rsidR="00DD69EC" w:rsidRPr="00610401" w:rsidRDefault="0040682F" w:rsidP="0040682F">
      <w:pPr>
        <w:pStyle w:val="Rfrenceinterinstitutionnelle"/>
        <w:rPr>
          <w:noProof/>
        </w:rPr>
      </w:pPr>
      <w:r w:rsidRPr="0040682F">
        <w:t>2022/0195 (COD)</w:t>
      </w:r>
    </w:p>
    <w:p w:rsidR="00EC044F" w:rsidRPr="00610401" w:rsidRDefault="00940D40" w:rsidP="00940D40">
      <w:pPr>
        <w:pStyle w:val="Statut"/>
        <w:rPr>
          <w:noProof/>
        </w:rPr>
      </w:pPr>
      <w:r w:rsidRPr="00940D40">
        <w:rPr>
          <w:noProof/>
        </w:rPr>
        <w:t>Wniosek</w:t>
      </w:r>
    </w:p>
    <w:p w:rsidR="00EC044F" w:rsidRPr="00610401" w:rsidRDefault="00940D40" w:rsidP="00940D40">
      <w:pPr>
        <w:pStyle w:val="Typedudocument"/>
        <w:rPr>
          <w:noProof/>
        </w:rPr>
      </w:pPr>
      <w:r w:rsidRPr="00940D40">
        <w:rPr>
          <w:noProof/>
        </w:rPr>
        <w:t>ROZPORZĄDZENIE PARLAMENTU EUROPEJSKIEGO I RADY</w:t>
      </w:r>
    </w:p>
    <w:p w:rsidR="00EC044F" w:rsidRPr="00610401" w:rsidRDefault="00940D40" w:rsidP="00940D40">
      <w:pPr>
        <w:pStyle w:val="Titreobjet"/>
        <w:rPr>
          <w:noProof/>
        </w:rPr>
      </w:pPr>
      <w:r w:rsidRPr="00940D40">
        <w:rPr>
          <w:noProof/>
        </w:rPr>
        <w:t>w sprawie odbudowy zasobów przyrodniczych</w:t>
      </w:r>
    </w:p>
    <w:p w:rsidR="00EC044F" w:rsidRPr="00610401" w:rsidRDefault="00940D40" w:rsidP="00940D40">
      <w:pPr>
        <w:pStyle w:val="IntrtEEE"/>
        <w:rPr>
          <w:noProof/>
        </w:rPr>
      </w:pPr>
      <w:r w:rsidRPr="00940D40">
        <w:rPr>
          <w:noProof/>
        </w:rPr>
        <w:t>(Tekst mający znaczenie dla EOG)</w:t>
      </w:r>
    </w:p>
    <w:p w:rsidR="00EC044F" w:rsidRPr="00610401" w:rsidRDefault="00EC044F" w:rsidP="00EC044F">
      <w:pPr>
        <w:pStyle w:val="Institutionquiagit"/>
        <w:rPr>
          <w:noProof/>
        </w:rPr>
      </w:pPr>
      <w:r w:rsidRPr="00610401">
        <w:rPr>
          <w:noProof/>
        </w:rPr>
        <w:t>PARLAMENT EUROPEJSKI I RADA UNII EUROPEJSKIEJ,</w:t>
      </w:r>
    </w:p>
    <w:p w:rsidR="00186DC5" w:rsidRPr="00610401" w:rsidRDefault="00186DC5" w:rsidP="00186DC5">
      <w:pPr>
        <w:rPr>
          <w:noProof/>
        </w:rPr>
      </w:pPr>
      <w:r w:rsidRPr="00610401">
        <w:rPr>
          <w:noProof/>
        </w:rPr>
        <w:t>uwzględniając Traktat</w:t>
      </w:r>
      <w:r w:rsidR="00610401" w:rsidRPr="00610401">
        <w:rPr>
          <w:noProof/>
        </w:rPr>
        <w:t xml:space="preserve"> o fun</w:t>
      </w:r>
      <w:r w:rsidRPr="00610401">
        <w:rPr>
          <w:noProof/>
        </w:rPr>
        <w:t>kcjonowaniu Unii Europejskiej,</w:t>
      </w:r>
      <w:r w:rsidR="00610401" w:rsidRPr="00610401">
        <w:rPr>
          <w:noProof/>
        </w:rPr>
        <w:t xml:space="preserve"> w szc</w:t>
      </w:r>
      <w:r w:rsidRPr="00610401">
        <w:rPr>
          <w:noProof/>
        </w:rPr>
        <w:t>zególności jego art.</w:t>
      </w:r>
      <w:r w:rsidR="00610401" w:rsidRPr="00610401">
        <w:rPr>
          <w:noProof/>
        </w:rPr>
        <w:t> </w:t>
      </w:r>
      <w:r w:rsidRPr="00610401">
        <w:rPr>
          <w:noProof/>
        </w:rPr>
        <w:t>192 ust.</w:t>
      </w:r>
      <w:r w:rsidR="00610401" w:rsidRPr="00610401">
        <w:rPr>
          <w:noProof/>
        </w:rPr>
        <w:t> </w:t>
      </w:r>
      <w:r w:rsidRPr="00610401">
        <w:rPr>
          <w:noProof/>
        </w:rPr>
        <w:t>1,</w:t>
      </w:r>
    </w:p>
    <w:p w:rsidR="00186DC5" w:rsidRPr="00610401" w:rsidRDefault="00186DC5" w:rsidP="00186DC5">
      <w:pPr>
        <w:rPr>
          <w:noProof/>
        </w:rPr>
      </w:pPr>
      <w:r w:rsidRPr="00610401">
        <w:rPr>
          <w:noProof/>
        </w:rPr>
        <w:t>uwzględniając wniosek Komisji Europejskiej,</w:t>
      </w:r>
    </w:p>
    <w:p w:rsidR="00186DC5" w:rsidRPr="00610401" w:rsidRDefault="00186DC5" w:rsidP="00186DC5">
      <w:pPr>
        <w:rPr>
          <w:noProof/>
        </w:rPr>
      </w:pPr>
      <w:r w:rsidRPr="00610401">
        <w:rPr>
          <w:noProof/>
        </w:rPr>
        <w:t>po przekazaniu projektu aktu ustawodawczego parlamentom narodowym,</w:t>
      </w:r>
    </w:p>
    <w:p w:rsidR="00186DC5" w:rsidRPr="00610401" w:rsidRDefault="00186DC5" w:rsidP="00186DC5">
      <w:pPr>
        <w:rPr>
          <w:noProof/>
        </w:rPr>
      </w:pPr>
      <w:r w:rsidRPr="00610401">
        <w:rPr>
          <w:noProof/>
        </w:rPr>
        <w:t>uwzględniając opinię Europejskiego Komitetu Ekonomiczno-Społecznego</w:t>
      </w:r>
      <w:r w:rsidRPr="00610401">
        <w:rPr>
          <w:rStyle w:val="FootnoteReference"/>
          <w:noProof/>
        </w:rPr>
        <w:footnoteReference w:id="43"/>
      </w:r>
      <w:r w:rsidRPr="00610401">
        <w:rPr>
          <w:noProof/>
        </w:rPr>
        <w:t>,</w:t>
      </w:r>
    </w:p>
    <w:p w:rsidR="00186DC5" w:rsidRPr="00610401" w:rsidRDefault="00186DC5" w:rsidP="00186DC5">
      <w:pPr>
        <w:rPr>
          <w:noProof/>
        </w:rPr>
      </w:pPr>
      <w:r w:rsidRPr="00610401">
        <w:rPr>
          <w:noProof/>
        </w:rPr>
        <w:t xml:space="preserve">uwzględniając opinię Komitetu Regionów, </w:t>
      </w:r>
    </w:p>
    <w:p w:rsidR="00186DC5" w:rsidRPr="00610401" w:rsidRDefault="00186DC5" w:rsidP="00186DC5">
      <w:pPr>
        <w:rPr>
          <w:noProof/>
        </w:rPr>
      </w:pPr>
      <w:r w:rsidRPr="00610401">
        <w:rPr>
          <w:noProof/>
        </w:rPr>
        <w:t>stanowiąc zgodnie ze zwykłą procedurą ustawodawczą,</w:t>
      </w:r>
    </w:p>
    <w:p w:rsidR="00EC044F" w:rsidRPr="00610401" w:rsidRDefault="6F6C603F" w:rsidP="00EC044F">
      <w:pPr>
        <w:rPr>
          <w:noProof/>
        </w:rPr>
      </w:pPr>
      <w:r w:rsidRPr="00610401">
        <w:rPr>
          <w:noProof/>
        </w:rPr>
        <w:t>a także mając na uwadze, co następuje:</w:t>
      </w:r>
    </w:p>
    <w:p w:rsidR="008734F2" w:rsidRPr="00610401" w:rsidRDefault="009F5C98" w:rsidP="009F5C98">
      <w:pPr>
        <w:pStyle w:val="ManualConsidrant"/>
        <w:rPr>
          <w:noProof/>
        </w:rPr>
      </w:pPr>
      <w:r w:rsidRPr="009F5C98">
        <w:t>(1)</w:t>
      </w:r>
      <w:r w:rsidRPr="009F5C98">
        <w:tab/>
      </w:r>
      <w:r w:rsidR="776F1F7B" w:rsidRPr="00610401">
        <w:rPr>
          <w:noProof/>
        </w:rPr>
        <w:t>Aby przywrócić różnorodną biologicznie</w:t>
      </w:r>
      <w:r w:rsidR="00610401" w:rsidRPr="00610401">
        <w:rPr>
          <w:noProof/>
        </w:rPr>
        <w:t xml:space="preserve"> i odp</w:t>
      </w:r>
      <w:r w:rsidR="776F1F7B" w:rsidRPr="00610401">
        <w:rPr>
          <w:noProof/>
        </w:rPr>
        <w:t>orną przyrodę na całym terytorium Unii trzeba na poziomie Unii ustanowić zasady dotyczące odbudowy ekosystemów. Odbudowa ekosystemów przyczynia się również do realizacji celów Unii</w:t>
      </w:r>
      <w:r w:rsidR="00610401" w:rsidRPr="00610401">
        <w:rPr>
          <w:noProof/>
        </w:rPr>
        <w:t xml:space="preserve"> w zak</w:t>
      </w:r>
      <w:r w:rsidR="776F1F7B" w:rsidRPr="00610401">
        <w:rPr>
          <w:noProof/>
        </w:rPr>
        <w:t>resie łagodzenia zmiany klimatu</w:t>
      </w:r>
      <w:r w:rsidR="00610401" w:rsidRPr="00610401">
        <w:rPr>
          <w:noProof/>
        </w:rPr>
        <w:t xml:space="preserve"> i prz</w:t>
      </w:r>
      <w:r w:rsidR="776F1F7B" w:rsidRPr="00610401">
        <w:rPr>
          <w:noProof/>
        </w:rPr>
        <w:t xml:space="preserve">ystosowania się do zmiany klimatu. </w:t>
      </w:r>
    </w:p>
    <w:p w:rsidR="00934CE4" w:rsidRPr="00610401" w:rsidRDefault="009F5C98" w:rsidP="009F5C98">
      <w:pPr>
        <w:pStyle w:val="ManualConsidrant"/>
        <w:rPr>
          <w:noProof/>
        </w:rPr>
      </w:pPr>
      <w:r w:rsidRPr="009F5C98">
        <w:t>(2)</w:t>
      </w:r>
      <w:r w:rsidRPr="009F5C98">
        <w:tab/>
      </w:r>
      <w:r w:rsidR="5D29A595" w:rsidRPr="00610401">
        <w:rPr>
          <w:noProof/>
        </w:rPr>
        <w:t>W ramach Europejskiego Zielonego Ładu</w:t>
      </w:r>
      <w:r w:rsidR="5D29A595" w:rsidRPr="00610401">
        <w:rPr>
          <w:rStyle w:val="FootnoteReference"/>
          <w:noProof/>
        </w:rPr>
        <w:footnoteReference w:id="44"/>
      </w:r>
      <w:r w:rsidR="5D29A595" w:rsidRPr="00610401">
        <w:rPr>
          <w:noProof/>
        </w:rPr>
        <w:t xml:space="preserve"> określono ambitny plan działania zmierzający do przekształcenia Unii</w:t>
      </w:r>
      <w:r w:rsidR="00610401" w:rsidRPr="00610401">
        <w:rPr>
          <w:noProof/>
        </w:rPr>
        <w:t xml:space="preserve"> w spr</w:t>
      </w:r>
      <w:r w:rsidR="5D29A595" w:rsidRPr="00610401">
        <w:rPr>
          <w:noProof/>
        </w:rPr>
        <w:t>awiedliwe</w:t>
      </w:r>
      <w:r w:rsidR="00610401" w:rsidRPr="00610401">
        <w:rPr>
          <w:noProof/>
        </w:rPr>
        <w:t xml:space="preserve"> i pro</w:t>
      </w:r>
      <w:r w:rsidR="5D29A595" w:rsidRPr="00610401">
        <w:rPr>
          <w:noProof/>
        </w:rPr>
        <w:t>sperujące społeczeństwo żyjące</w:t>
      </w:r>
      <w:r w:rsidR="00610401" w:rsidRPr="00610401">
        <w:rPr>
          <w:noProof/>
        </w:rPr>
        <w:t xml:space="preserve"> w now</w:t>
      </w:r>
      <w:r w:rsidR="5D29A595" w:rsidRPr="00610401">
        <w:rPr>
          <w:noProof/>
        </w:rPr>
        <w:t>oczesnej, zasobooszczędnej</w:t>
      </w:r>
      <w:r w:rsidR="00610401" w:rsidRPr="00610401">
        <w:rPr>
          <w:noProof/>
        </w:rPr>
        <w:t xml:space="preserve"> i kon</w:t>
      </w:r>
      <w:r w:rsidR="5D29A595" w:rsidRPr="00610401">
        <w:rPr>
          <w:noProof/>
        </w:rPr>
        <w:t>kurencyjnej gospodarce, mający na celu ochronę, zachowanie</w:t>
      </w:r>
      <w:r w:rsidR="00610401" w:rsidRPr="00610401">
        <w:rPr>
          <w:noProof/>
        </w:rPr>
        <w:t xml:space="preserve"> i pop</w:t>
      </w:r>
      <w:r w:rsidR="5D29A595" w:rsidRPr="00610401">
        <w:rPr>
          <w:noProof/>
        </w:rPr>
        <w:t>rawę kapitału naturalnego Unii oraz ochronę zdrowia</w:t>
      </w:r>
      <w:r w:rsidR="00610401" w:rsidRPr="00610401">
        <w:rPr>
          <w:noProof/>
        </w:rPr>
        <w:t xml:space="preserve"> i dob</w:t>
      </w:r>
      <w:r w:rsidR="5D29A595" w:rsidRPr="00610401">
        <w:rPr>
          <w:noProof/>
        </w:rPr>
        <w:t>rostanu obywateli przed zagrożeniami</w:t>
      </w:r>
      <w:r w:rsidR="00610401" w:rsidRPr="00610401">
        <w:rPr>
          <w:noProof/>
        </w:rPr>
        <w:t xml:space="preserve"> i neg</w:t>
      </w:r>
      <w:r w:rsidR="5D29A595" w:rsidRPr="00610401">
        <w:rPr>
          <w:noProof/>
        </w:rPr>
        <w:t>atywnymi skutkami związanymi ze środowiskiem</w:t>
      </w:r>
      <w:r w:rsidR="00610401" w:rsidRPr="00610401">
        <w:rPr>
          <w:noProof/>
        </w:rPr>
        <w:t>. W ram</w:t>
      </w:r>
      <w:r w:rsidR="5D29A595" w:rsidRPr="00610401">
        <w:rPr>
          <w:noProof/>
        </w:rPr>
        <w:t>ach Europejskiego Zielonego Ładu Komisja przyjęła unijną strategię na rzecz bioróżnorodności 2030</w:t>
      </w:r>
      <w:r w:rsidR="5D29A595" w:rsidRPr="00610401">
        <w:rPr>
          <w:rStyle w:val="FootnoteReference"/>
          <w:noProof/>
        </w:rPr>
        <w:footnoteReference w:id="45"/>
      </w:r>
      <w:r w:rsidR="5D29A595" w:rsidRPr="00610401">
        <w:rPr>
          <w:noProof/>
        </w:rPr>
        <w:t xml:space="preserve">. </w:t>
      </w:r>
    </w:p>
    <w:p w:rsidR="00D9253E" w:rsidRPr="00610401" w:rsidRDefault="009F5C98" w:rsidP="009F5C98">
      <w:pPr>
        <w:pStyle w:val="ManualConsidrant"/>
        <w:rPr>
          <w:noProof/>
        </w:rPr>
      </w:pPr>
      <w:r w:rsidRPr="009F5C98">
        <w:t>(3)</w:t>
      </w:r>
      <w:r w:rsidRPr="009F5C98">
        <w:tab/>
      </w:r>
      <w:r w:rsidR="1C9C372F" w:rsidRPr="00610401">
        <w:rPr>
          <w:noProof/>
        </w:rPr>
        <w:t>Unia</w:t>
      </w:r>
      <w:r w:rsidR="00610401" w:rsidRPr="00610401">
        <w:rPr>
          <w:noProof/>
        </w:rPr>
        <w:t xml:space="preserve"> i jej</w:t>
      </w:r>
      <w:r w:rsidR="1C9C372F" w:rsidRPr="00610401">
        <w:rPr>
          <w:noProof/>
        </w:rPr>
        <w:t xml:space="preserve"> państwa członkowskie, jako strony Konwencji</w:t>
      </w:r>
      <w:r w:rsidR="00610401" w:rsidRPr="00610401">
        <w:rPr>
          <w:noProof/>
        </w:rPr>
        <w:t xml:space="preserve"> o róż</w:t>
      </w:r>
      <w:r w:rsidR="1C9C372F" w:rsidRPr="00610401">
        <w:rPr>
          <w:noProof/>
        </w:rPr>
        <w:t>norodności biologicznej, zatwierdzonej decyzją Rady 93/626/EWG</w:t>
      </w:r>
      <w:r w:rsidR="1C9C372F" w:rsidRPr="00610401">
        <w:rPr>
          <w:rStyle w:val="FootnoteReference"/>
          <w:noProof/>
        </w:rPr>
        <w:footnoteReference w:id="46"/>
      </w:r>
      <w:r w:rsidR="1C9C372F" w:rsidRPr="00610401">
        <w:rPr>
          <w:noProof/>
        </w:rPr>
        <w:t>, zobowiązane są do realizacji długoterminowej wizji strategicznej przyjętej przez Konferencję Stron</w:t>
      </w:r>
      <w:r w:rsidR="00610401" w:rsidRPr="00610401">
        <w:rPr>
          <w:noProof/>
        </w:rPr>
        <w:t xml:space="preserve"> w 2</w:t>
      </w:r>
      <w:r w:rsidR="1C9C372F" w:rsidRPr="00610401">
        <w:rPr>
          <w:noProof/>
        </w:rPr>
        <w:t>010</w:t>
      </w:r>
      <w:r w:rsidR="00610401" w:rsidRPr="00610401">
        <w:rPr>
          <w:noProof/>
        </w:rPr>
        <w:t> </w:t>
      </w:r>
      <w:r w:rsidR="1C9C372F" w:rsidRPr="00610401">
        <w:rPr>
          <w:noProof/>
        </w:rPr>
        <w:t>r. decyzją X/2 „Strategiczny plan na rzecz różnorodności biologicznej na lata 2011–2020”</w:t>
      </w:r>
      <w:r w:rsidR="1C9C372F" w:rsidRPr="00610401">
        <w:rPr>
          <w:rStyle w:val="FootnoteReference"/>
          <w:noProof/>
        </w:rPr>
        <w:footnoteReference w:id="47"/>
      </w:r>
      <w:r w:rsidR="1C9C372F" w:rsidRPr="00610401">
        <w:rPr>
          <w:noProof/>
        </w:rPr>
        <w:t>, która zakłada, że do</w:t>
      </w:r>
      <w:r w:rsidR="00610401" w:rsidRPr="00610401">
        <w:rPr>
          <w:noProof/>
        </w:rPr>
        <w:t> </w:t>
      </w:r>
      <w:r w:rsidR="1C9C372F" w:rsidRPr="00610401">
        <w:rPr>
          <w:noProof/>
        </w:rPr>
        <w:t>2050</w:t>
      </w:r>
      <w:r w:rsidR="00610401" w:rsidRPr="00610401">
        <w:rPr>
          <w:noProof/>
        </w:rPr>
        <w:t> </w:t>
      </w:r>
      <w:r w:rsidR="1C9C372F" w:rsidRPr="00610401">
        <w:rPr>
          <w:noProof/>
        </w:rPr>
        <w:t>r. ludzkość będzie cenić, chronić, przywracać</w:t>
      </w:r>
      <w:r w:rsidR="00610401" w:rsidRPr="00610401">
        <w:rPr>
          <w:noProof/>
        </w:rPr>
        <w:t xml:space="preserve"> i z roz</w:t>
      </w:r>
      <w:r w:rsidR="1C9C372F" w:rsidRPr="00610401">
        <w:rPr>
          <w:noProof/>
        </w:rPr>
        <w:t>wagą wykorzystywać różnorodność biologiczną, by zachować usługi ekosystemowe, dbać</w:t>
      </w:r>
      <w:r w:rsidR="00610401" w:rsidRPr="00610401">
        <w:rPr>
          <w:noProof/>
        </w:rPr>
        <w:t xml:space="preserve"> o zdr</w:t>
      </w:r>
      <w:r w:rsidR="1C9C372F" w:rsidRPr="00610401">
        <w:rPr>
          <w:noProof/>
        </w:rPr>
        <w:t>ową planetę</w:t>
      </w:r>
      <w:r w:rsidR="00610401" w:rsidRPr="00610401">
        <w:rPr>
          <w:noProof/>
        </w:rPr>
        <w:t xml:space="preserve"> i zap</w:t>
      </w:r>
      <w:r w:rsidR="1C9C372F" w:rsidRPr="00610401">
        <w:rPr>
          <w:noProof/>
        </w:rPr>
        <w:t xml:space="preserve">ewniać korzyści niezbędne wszystkim ludziom. </w:t>
      </w:r>
    </w:p>
    <w:p w:rsidR="00F52EFB" w:rsidRPr="00610401" w:rsidRDefault="009F5C98" w:rsidP="009F5C98">
      <w:pPr>
        <w:pStyle w:val="ManualConsidrant"/>
        <w:rPr>
          <w:noProof/>
        </w:rPr>
      </w:pPr>
      <w:r w:rsidRPr="009F5C98">
        <w:t>(4)</w:t>
      </w:r>
      <w:r w:rsidRPr="009F5C98">
        <w:tab/>
      </w:r>
      <w:r w:rsidR="1C9C372F" w:rsidRPr="00610401">
        <w:rPr>
          <w:noProof/>
        </w:rPr>
        <w:t>[Do uzupełnienia: cel</w:t>
      </w:r>
      <w:r w:rsidR="00610401" w:rsidRPr="00610401">
        <w:rPr>
          <w:noProof/>
        </w:rPr>
        <w:t xml:space="preserve"> w zak</w:t>
      </w:r>
      <w:r w:rsidR="1C9C372F" w:rsidRPr="00610401">
        <w:rPr>
          <w:noProof/>
        </w:rPr>
        <w:t>resie odbudowy</w:t>
      </w:r>
      <w:r w:rsidR="00610401" w:rsidRPr="00610401">
        <w:rPr>
          <w:noProof/>
        </w:rPr>
        <w:t xml:space="preserve"> w now</w:t>
      </w:r>
      <w:r w:rsidR="1C9C372F" w:rsidRPr="00610401">
        <w:rPr>
          <w:noProof/>
        </w:rPr>
        <w:t>ych globalnych ramach różnorodności biologicznej, które mają zostać uzgodnione podczas 15. posiedzenia Konferencji Stron Konwencji</w:t>
      </w:r>
      <w:r w:rsidR="00610401" w:rsidRPr="00610401">
        <w:rPr>
          <w:noProof/>
        </w:rPr>
        <w:t xml:space="preserve"> o róż</w:t>
      </w:r>
      <w:r w:rsidR="1C9C372F" w:rsidRPr="00610401">
        <w:rPr>
          <w:noProof/>
        </w:rPr>
        <w:t>norodności biologicznej]</w:t>
      </w:r>
    </w:p>
    <w:p w:rsidR="0075764C" w:rsidRPr="00610401" w:rsidRDefault="009F5C98" w:rsidP="009F5C98">
      <w:pPr>
        <w:pStyle w:val="ManualConsidrant"/>
        <w:rPr>
          <w:noProof/>
        </w:rPr>
      </w:pPr>
      <w:r w:rsidRPr="009F5C98">
        <w:t>(5)</w:t>
      </w:r>
      <w:r w:rsidRPr="009F5C98">
        <w:tab/>
      </w:r>
      <w:r w:rsidR="0075764C" w:rsidRPr="00610401">
        <w:rPr>
          <w:noProof/>
        </w:rPr>
        <w:t>Cele zrównoważonego rozwoju ONZ</w:t>
      </w:r>
      <w:r w:rsidR="0075764C" w:rsidRPr="00610401">
        <w:rPr>
          <w:rStyle w:val="FootnoteReference"/>
          <w:noProof/>
        </w:rPr>
        <w:footnoteReference w:id="48"/>
      </w:r>
      <w:r w:rsidR="0075764C" w:rsidRPr="00610401">
        <w:rPr>
          <w:noProof/>
        </w:rPr>
        <w:t>,</w:t>
      </w:r>
      <w:r w:rsidR="00610401" w:rsidRPr="00610401">
        <w:rPr>
          <w:noProof/>
        </w:rPr>
        <w:t xml:space="preserve"> w szc</w:t>
      </w:r>
      <w:r w:rsidR="0075764C" w:rsidRPr="00610401">
        <w:rPr>
          <w:noProof/>
        </w:rPr>
        <w:t>zególności cele 14.2, 15.1, 15.2</w:t>
      </w:r>
      <w:r w:rsidR="00610401" w:rsidRPr="00610401">
        <w:rPr>
          <w:noProof/>
        </w:rPr>
        <w:t xml:space="preserve"> i 1</w:t>
      </w:r>
      <w:r w:rsidR="0075764C" w:rsidRPr="00610401">
        <w:rPr>
          <w:noProof/>
        </w:rPr>
        <w:t>5.3, odnoszą się do potrzeby zapewnienia ochrony, odbudowy</w:t>
      </w:r>
      <w:r w:rsidR="00610401" w:rsidRPr="00610401">
        <w:rPr>
          <w:noProof/>
        </w:rPr>
        <w:t xml:space="preserve"> i zró</w:t>
      </w:r>
      <w:r w:rsidR="0075764C" w:rsidRPr="00610401">
        <w:rPr>
          <w:noProof/>
        </w:rPr>
        <w:t>wnoważonego wykorzystania ekosystemów lądowych</w:t>
      </w:r>
      <w:r w:rsidR="00610401" w:rsidRPr="00610401">
        <w:rPr>
          <w:noProof/>
        </w:rPr>
        <w:t xml:space="preserve"> i śró</w:t>
      </w:r>
      <w:r w:rsidR="0075764C" w:rsidRPr="00610401">
        <w:rPr>
          <w:noProof/>
        </w:rPr>
        <w:t>dlądowych ekosystemów słodkowodnych oraz ich usług,</w:t>
      </w:r>
      <w:r w:rsidR="00610401" w:rsidRPr="00610401">
        <w:rPr>
          <w:noProof/>
        </w:rPr>
        <w:t xml:space="preserve"> w szc</w:t>
      </w:r>
      <w:r w:rsidR="0075764C" w:rsidRPr="00610401">
        <w:rPr>
          <w:noProof/>
        </w:rPr>
        <w:t>zególności</w:t>
      </w:r>
      <w:r w:rsidR="00610401" w:rsidRPr="00610401">
        <w:rPr>
          <w:noProof/>
        </w:rPr>
        <w:t xml:space="preserve"> w odn</w:t>
      </w:r>
      <w:r w:rsidR="0075764C" w:rsidRPr="00610401">
        <w:rPr>
          <w:noProof/>
        </w:rPr>
        <w:t>iesieniu do lasów, terenów podmokłych, gór</w:t>
      </w:r>
      <w:r w:rsidR="00610401" w:rsidRPr="00610401">
        <w:rPr>
          <w:noProof/>
        </w:rPr>
        <w:t xml:space="preserve"> i obs</w:t>
      </w:r>
      <w:r w:rsidR="0075764C" w:rsidRPr="00610401">
        <w:rPr>
          <w:noProof/>
        </w:rPr>
        <w:t xml:space="preserve">zarów suchych. </w:t>
      </w:r>
    </w:p>
    <w:p w:rsidR="5BBE5DD2" w:rsidRPr="00610401" w:rsidRDefault="009F5C98" w:rsidP="009F5C98">
      <w:pPr>
        <w:pStyle w:val="ManualConsidrant"/>
        <w:rPr>
          <w:rFonts w:eastAsiaTheme="minorEastAsia"/>
          <w:noProof/>
          <w:szCs w:val="24"/>
        </w:rPr>
      </w:pPr>
      <w:r w:rsidRPr="009F5C98">
        <w:t>(6)</w:t>
      </w:r>
      <w:r w:rsidRPr="009F5C98">
        <w:tab/>
      </w:r>
      <w:r w:rsidR="5BBE5DD2" w:rsidRPr="00610401">
        <w:rPr>
          <w:noProof/>
        </w:rPr>
        <w:t>Zgromadzenie Ogólne Narodów Zjednoczonych</w:t>
      </w:r>
      <w:r w:rsidR="00610401" w:rsidRPr="00610401">
        <w:rPr>
          <w:noProof/>
        </w:rPr>
        <w:t xml:space="preserve"> w rez</w:t>
      </w:r>
      <w:r w:rsidR="5BBE5DD2" w:rsidRPr="00610401">
        <w:rPr>
          <w:noProof/>
        </w:rPr>
        <w:t>olucji</w:t>
      </w:r>
      <w:r w:rsidR="00610401" w:rsidRPr="00610401">
        <w:rPr>
          <w:noProof/>
        </w:rPr>
        <w:t xml:space="preserve"> z dni</w:t>
      </w:r>
      <w:r w:rsidR="5BBE5DD2" w:rsidRPr="00610401">
        <w:rPr>
          <w:noProof/>
        </w:rPr>
        <w:t>a 1 marca 2019</w:t>
      </w:r>
      <w:r w:rsidR="00610401" w:rsidRPr="00610401">
        <w:rPr>
          <w:noProof/>
        </w:rPr>
        <w:t> </w:t>
      </w:r>
      <w:r w:rsidR="5BBE5DD2" w:rsidRPr="00610401">
        <w:rPr>
          <w:noProof/>
        </w:rPr>
        <w:t>r.</w:t>
      </w:r>
      <w:r w:rsidR="5BBE5DD2" w:rsidRPr="00610401">
        <w:rPr>
          <w:rStyle w:val="FootnoteReference"/>
          <w:rFonts w:eastAsia="Calibri"/>
          <w:noProof/>
          <w:szCs w:val="24"/>
        </w:rPr>
        <w:footnoteReference w:id="49"/>
      </w:r>
      <w:r w:rsidR="5BBE5DD2" w:rsidRPr="00610401">
        <w:rPr>
          <w:noProof/>
        </w:rPr>
        <w:t xml:space="preserve"> ogłosiło lata 2021–2030 Oenzetowską Dekadą Restytucji Ekosystemów,</w:t>
      </w:r>
      <w:r w:rsidR="00610401" w:rsidRPr="00610401">
        <w:rPr>
          <w:noProof/>
        </w:rPr>
        <w:t xml:space="preserve"> w któ</w:t>
      </w:r>
      <w:r w:rsidR="5BBE5DD2" w:rsidRPr="00610401">
        <w:rPr>
          <w:noProof/>
        </w:rPr>
        <w:t>rej za cel postawiono wspieranie</w:t>
      </w:r>
      <w:r w:rsidR="00610401" w:rsidRPr="00610401">
        <w:rPr>
          <w:noProof/>
        </w:rPr>
        <w:t xml:space="preserve"> i int</w:t>
      </w:r>
      <w:r w:rsidR="5BBE5DD2" w:rsidRPr="00610401">
        <w:rPr>
          <w:noProof/>
        </w:rPr>
        <w:t>ensyfikowanie starań na rzecz zapobiegania degradacji ekosystemów na całym świecie, powstrzymywania</w:t>
      </w:r>
      <w:r w:rsidR="00610401" w:rsidRPr="00610401">
        <w:rPr>
          <w:noProof/>
        </w:rPr>
        <w:t xml:space="preserve"> i odw</w:t>
      </w:r>
      <w:r w:rsidR="5BBE5DD2" w:rsidRPr="00610401">
        <w:rPr>
          <w:noProof/>
        </w:rPr>
        <w:t xml:space="preserve">racania procesu degradacji oraz podnoszenie świadomości na temat znaczenia odbudowy ekosystemów. </w:t>
      </w:r>
    </w:p>
    <w:p w:rsidR="00F52EFB" w:rsidRPr="00610401" w:rsidRDefault="009F5C98" w:rsidP="009F5C98">
      <w:pPr>
        <w:pStyle w:val="ManualConsidrant"/>
        <w:rPr>
          <w:noProof/>
        </w:rPr>
      </w:pPr>
      <w:r w:rsidRPr="009F5C98">
        <w:t>(7)</w:t>
      </w:r>
      <w:r w:rsidRPr="009F5C98">
        <w:tab/>
      </w:r>
      <w:r w:rsidR="1C9C372F" w:rsidRPr="00610401">
        <w:rPr>
          <w:noProof/>
        </w:rPr>
        <w:t>Celem unijnej strategii na rzecz bioróżnorodności 2030 jest zapewnienie, aby do</w:t>
      </w:r>
      <w:r w:rsidR="00610401" w:rsidRPr="00610401">
        <w:rPr>
          <w:noProof/>
        </w:rPr>
        <w:t> </w:t>
      </w:r>
      <w:r w:rsidR="1C9C372F" w:rsidRPr="00610401">
        <w:rPr>
          <w:noProof/>
        </w:rPr>
        <w:t>2030</w:t>
      </w:r>
      <w:r w:rsidR="00610401" w:rsidRPr="00610401">
        <w:rPr>
          <w:noProof/>
        </w:rPr>
        <w:t> </w:t>
      </w:r>
      <w:r w:rsidR="1C9C372F" w:rsidRPr="00610401">
        <w:rPr>
          <w:noProof/>
        </w:rPr>
        <w:t>r. europejska różnorodność biologiczna weszła na ścieżkę regeneracji</w:t>
      </w:r>
      <w:r w:rsidR="00610401" w:rsidRPr="00610401">
        <w:rPr>
          <w:noProof/>
        </w:rPr>
        <w:t xml:space="preserve"> z kor</w:t>
      </w:r>
      <w:r w:rsidR="1C9C372F" w:rsidRPr="00610401">
        <w:rPr>
          <w:noProof/>
        </w:rPr>
        <w:t>zyścią dla ludzi, planety, klimatu</w:t>
      </w:r>
      <w:r w:rsidR="00610401" w:rsidRPr="00610401">
        <w:rPr>
          <w:noProof/>
        </w:rPr>
        <w:t xml:space="preserve"> i nas</w:t>
      </w:r>
      <w:r w:rsidR="1C9C372F" w:rsidRPr="00610401">
        <w:rPr>
          <w:noProof/>
        </w:rPr>
        <w:t>zej gospodarki.</w:t>
      </w:r>
      <w:r w:rsidR="00610401" w:rsidRPr="00610401">
        <w:rPr>
          <w:noProof/>
        </w:rPr>
        <w:t xml:space="preserve"> </w:t>
      </w:r>
      <w:r w:rsidR="1C9C372F" w:rsidRPr="00610401">
        <w:rPr>
          <w:noProof/>
        </w:rPr>
        <w:t>Określono</w:t>
      </w:r>
      <w:r w:rsidR="00610401" w:rsidRPr="00610401">
        <w:rPr>
          <w:noProof/>
        </w:rPr>
        <w:t xml:space="preserve"> w nie</w:t>
      </w:r>
      <w:r w:rsidR="1C9C372F" w:rsidRPr="00610401">
        <w:rPr>
          <w:noProof/>
        </w:rPr>
        <w:t>j ambitny unijny plan odbudowy zasobów przyrodniczych, zawierający szereg głównych zobowiązań,</w:t>
      </w:r>
      <w:r w:rsidR="00610401" w:rsidRPr="00610401">
        <w:rPr>
          <w:noProof/>
        </w:rPr>
        <w:t xml:space="preserve"> w tym</w:t>
      </w:r>
      <w:r w:rsidR="1C9C372F" w:rsidRPr="00610401">
        <w:rPr>
          <w:noProof/>
        </w:rPr>
        <w:t xml:space="preserve"> zobowiązanie do przedstawienia wniosku dotyczącego prawnie wiążących celów UE</w:t>
      </w:r>
      <w:r w:rsidR="00610401" w:rsidRPr="00610401">
        <w:rPr>
          <w:noProof/>
        </w:rPr>
        <w:t xml:space="preserve"> w zak</w:t>
      </w:r>
      <w:r w:rsidR="1C9C372F" w:rsidRPr="00610401">
        <w:rPr>
          <w:noProof/>
        </w:rPr>
        <w:t>resie odbudowy zasobów przyrodniczych, co ma służyć odbudowie zdegradowanych ekosystemów,</w:t>
      </w:r>
      <w:r w:rsidR="00610401" w:rsidRPr="00610401">
        <w:rPr>
          <w:noProof/>
        </w:rPr>
        <w:t xml:space="preserve"> w szc</w:t>
      </w:r>
      <w:r w:rsidR="1C9C372F" w:rsidRPr="00610401">
        <w:rPr>
          <w:noProof/>
        </w:rPr>
        <w:t>zególności tych dysponujących największym potencjałem</w:t>
      </w:r>
      <w:r w:rsidR="00610401" w:rsidRPr="00610401">
        <w:rPr>
          <w:noProof/>
        </w:rPr>
        <w:t xml:space="preserve"> w zak</w:t>
      </w:r>
      <w:r w:rsidR="1C9C372F" w:rsidRPr="00610401">
        <w:rPr>
          <w:noProof/>
        </w:rPr>
        <w:t>resie wychwytywania</w:t>
      </w:r>
      <w:r w:rsidR="00610401" w:rsidRPr="00610401">
        <w:rPr>
          <w:noProof/>
        </w:rPr>
        <w:t xml:space="preserve"> i skł</w:t>
      </w:r>
      <w:r w:rsidR="1C9C372F" w:rsidRPr="00610401">
        <w:rPr>
          <w:noProof/>
        </w:rPr>
        <w:t>adowania dwutlenku węgla,</w:t>
      </w:r>
      <w:r w:rsidR="00610401" w:rsidRPr="00610401">
        <w:rPr>
          <w:noProof/>
        </w:rPr>
        <w:t xml:space="preserve"> a tak</w:t>
      </w:r>
      <w:r w:rsidR="1C9C372F" w:rsidRPr="00610401">
        <w:rPr>
          <w:noProof/>
        </w:rPr>
        <w:t>że zapobieganiu klęskom żywiołowym</w:t>
      </w:r>
      <w:r w:rsidR="00610401" w:rsidRPr="00610401">
        <w:rPr>
          <w:noProof/>
        </w:rPr>
        <w:t xml:space="preserve"> i ogr</w:t>
      </w:r>
      <w:r w:rsidR="1C9C372F" w:rsidRPr="00610401">
        <w:rPr>
          <w:noProof/>
        </w:rPr>
        <w:t xml:space="preserve">aniczeniu ich skutków. </w:t>
      </w:r>
    </w:p>
    <w:p w:rsidR="00F52EFB" w:rsidRPr="00610401" w:rsidRDefault="009F5C98" w:rsidP="009F5C98">
      <w:pPr>
        <w:pStyle w:val="ManualConsidrant"/>
        <w:rPr>
          <w:noProof/>
        </w:rPr>
      </w:pPr>
      <w:r w:rsidRPr="009F5C98">
        <w:t>(8)</w:t>
      </w:r>
      <w:r w:rsidRPr="009F5C98">
        <w:tab/>
      </w:r>
      <w:r w:rsidR="2E3979ED" w:rsidRPr="00610401">
        <w:rPr>
          <w:noProof/>
        </w:rPr>
        <w:t>W rezolucji</w:t>
      </w:r>
      <w:r w:rsidR="00610401" w:rsidRPr="00610401">
        <w:rPr>
          <w:noProof/>
        </w:rPr>
        <w:t xml:space="preserve"> z dni</w:t>
      </w:r>
      <w:r w:rsidR="2E3979ED" w:rsidRPr="00610401">
        <w:rPr>
          <w:noProof/>
        </w:rPr>
        <w:t>a 9 czerwca 2021</w:t>
      </w:r>
      <w:r w:rsidR="00610401" w:rsidRPr="00610401">
        <w:rPr>
          <w:noProof/>
        </w:rPr>
        <w:t> </w:t>
      </w:r>
      <w:r w:rsidR="2E3979ED" w:rsidRPr="00610401">
        <w:rPr>
          <w:noProof/>
        </w:rPr>
        <w:t>r.</w:t>
      </w:r>
      <w:r w:rsidR="2E3979ED" w:rsidRPr="00610401">
        <w:rPr>
          <w:rStyle w:val="FootnoteReference"/>
          <w:noProof/>
        </w:rPr>
        <w:footnoteReference w:id="50"/>
      </w:r>
      <w:r w:rsidR="2E3979ED" w:rsidRPr="00610401">
        <w:rPr>
          <w:noProof/>
        </w:rPr>
        <w:t xml:space="preserve"> Parlament Europejski</w:t>
      </w:r>
      <w:r w:rsidR="00610401" w:rsidRPr="00610401">
        <w:rPr>
          <w:noProof/>
        </w:rPr>
        <w:t xml:space="preserve"> z duż</w:t>
      </w:r>
      <w:r w:rsidR="2E3979ED" w:rsidRPr="00610401">
        <w:rPr>
          <w:noProof/>
        </w:rPr>
        <w:t>ym zadowoleniem przyjął zobowiązanie dotyczące sporządzenia wniosku ustawodawczego obejmującego wiążące cele</w:t>
      </w:r>
      <w:r w:rsidR="00610401" w:rsidRPr="00610401">
        <w:rPr>
          <w:noProof/>
        </w:rPr>
        <w:t xml:space="preserve"> w zak</w:t>
      </w:r>
      <w:r w:rsidR="2E3979ED" w:rsidRPr="00610401">
        <w:rPr>
          <w:noProof/>
        </w:rPr>
        <w:t>resie odbudowy zasobów przyrodniczych,</w:t>
      </w:r>
      <w:r w:rsidR="00610401" w:rsidRPr="00610401">
        <w:rPr>
          <w:noProof/>
        </w:rPr>
        <w:t xml:space="preserve"> a pon</w:t>
      </w:r>
      <w:r w:rsidR="2E3979ED" w:rsidRPr="00610401">
        <w:rPr>
          <w:noProof/>
        </w:rPr>
        <w:t>adto uznał, że oprócz ogólnego celu</w:t>
      </w:r>
      <w:r w:rsidR="00610401" w:rsidRPr="00610401">
        <w:rPr>
          <w:noProof/>
        </w:rPr>
        <w:t xml:space="preserve"> w zak</w:t>
      </w:r>
      <w:r w:rsidR="2E3979ED" w:rsidRPr="00610401">
        <w:rPr>
          <w:noProof/>
        </w:rPr>
        <w:t>resie odbudowy wniosek powinien obejmować cele</w:t>
      </w:r>
      <w:r w:rsidR="00610401" w:rsidRPr="00610401">
        <w:rPr>
          <w:noProof/>
        </w:rPr>
        <w:t xml:space="preserve"> w zak</w:t>
      </w:r>
      <w:r w:rsidR="2E3979ED" w:rsidRPr="00610401">
        <w:rPr>
          <w:noProof/>
        </w:rPr>
        <w:t>resie odbudowy dotyczące poszczególnych ekosystemów, siedlisk</w:t>
      </w:r>
      <w:r w:rsidR="00610401" w:rsidRPr="00610401">
        <w:rPr>
          <w:noProof/>
        </w:rPr>
        <w:t xml:space="preserve"> i gat</w:t>
      </w:r>
      <w:r w:rsidR="2E3979ED" w:rsidRPr="00610401">
        <w:rPr>
          <w:noProof/>
        </w:rPr>
        <w:t>unków, obejmujące lasy, obszary trawiaste, tereny podmokłe, torfowiska, owady zapylające, rzeki swobodnie przepływające, obszary przybrzeżne</w:t>
      </w:r>
      <w:r w:rsidR="00610401" w:rsidRPr="00610401">
        <w:rPr>
          <w:noProof/>
        </w:rPr>
        <w:t xml:space="preserve"> i eko</w:t>
      </w:r>
      <w:r w:rsidR="2E3979ED" w:rsidRPr="00610401">
        <w:rPr>
          <w:noProof/>
        </w:rPr>
        <w:t xml:space="preserve">systemy morskie. </w:t>
      </w:r>
    </w:p>
    <w:p w:rsidR="002F2D27" w:rsidRPr="00610401" w:rsidRDefault="009F5C98" w:rsidP="009F5C98">
      <w:pPr>
        <w:pStyle w:val="ManualConsidrant"/>
        <w:rPr>
          <w:rFonts w:eastAsiaTheme="minorEastAsia"/>
          <w:noProof/>
          <w:szCs w:val="24"/>
        </w:rPr>
      </w:pPr>
      <w:r w:rsidRPr="009F5C98">
        <w:t>(9)</w:t>
      </w:r>
      <w:r w:rsidRPr="009F5C98">
        <w:tab/>
      </w:r>
      <w:r w:rsidR="2E3979ED" w:rsidRPr="00610401">
        <w:rPr>
          <w:noProof/>
        </w:rPr>
        <w:t>W konkluzjach</w:t>
      </w:r>
      <w:r w:rsidR="00610401" w:rsidRPr="00610401">
        <w:rPr>
          <w:noProof/>
        </w:rPr>
        <w:t xml:space="preserve"> z 2</w:t>
      </w:r>
      <w:r w:rsidR="2E3979ED" w:rsidRPr="00610401">
        <w:rPr>
          <w:noProof/>
        </w:rPr>
        <w:t>3 października 2020</w:t>
      </w:r>
      <w:r w:rsidR="00610401" w:rsidRPr="00610401">
        <w:rPr>
          <w:noProof/>
        </w:rPr>
        <w:t> </w:t>
      </w:r>
      <w:r w:rsidR="2E3979ED" w:rsidRPr="00610401">
        <w:rPr>
          <w:noProof/>
        </w:rPr>
        <w:t>r.</w:t>
      </w:r>
      <w:r w:rsidR="2E3979ED" w:rsidRPr="00610401">
        <w:rPr>
          <w:rStyle w:val="FootnoteReference"/>
          <w:noProof/>
        </w:rPr>
        <w:footnoteReference w:id="51"/>
      </w:r>
      <w:r w:rsidR="2E3979ED" w:rsidRPr="00610401">
        <w:rPr>
          <w:noProof/>
        </w:rPr>
        <w:t xml:space="preserve"> Rada dostrzegła, że zapobieganie dalszemu pogarszaniu się obecnego stanu różnorodności biologicznej</w:t>
      </w:r>
      <w:r w:rsidR="00610401" w:rsidRPr="00610401">
        <w:rPr>
          <w:noProof/>
        </w:rPr>
        <w:t xml:space="preserve"> i prz</w:t>
      </w:r>
      <w:r w:rsidR="2E3979ED" w:rsidRPr="00610401">
        <w:rPr>
          <w:noProof/>
        </w:rPr>
        <w:t>yrody będzie miało zasadnicze znaczenie, ale nie wystarczy, aby przywrócić przyrodę do naszego życia. Rada potwierdziła, że konieczne jest zwiększenie ambicji</w:t>
      </w:r>
      <w:r w:rsidR="00610401" w:rsidRPr="00610401">
        <w:rPr>
          <w:noProof/>
        </w:rPr>
        <w:t xml:space="preserve"> w zak</w:t>
      </w:r>
      <w:r w:rsidR="2E3979ED" w:rsidRPr="00610401">
        <w:rPr>
          <w:noProof/>
        </w:rPr>
        <w:t>resie odbudowy zasobów przyrodniczych, zgodnie</w:t>
      </w:r>
      <w:r w:rsidR="00610401" w:rsidRPr="00610401">
        <w:rPr>
          <w:noProof/>
        </w:rPr>
        <w:t xml:space="preserve"> z pro</w:t>
      </w:r>
      <w:r w:rsidR="2E3979ED" w:rsidRPr="00610401">
        <w:rPr>
          <w:noProof/>
        </w:rPr>
        <w:t>pozycją zawartą</w:t>
      </w:r>
      <w:r w:rsidR="00610401" w:rsidRPr="00610401">
        <w:rPr>
          <w:noProof/>
        </w:rPr>
        <w:t xml:space="preserve"> w now</w:t>
      </w:r>
      <w:r w:rsidR="2E3979ED" w:rsidRPr="00610401">
        <w:rPr>
          <w:noProof/>
        </w:rPr>
        <w:t>ym unijnym planie odbudowy zasobów przyrodniczych, który obejmuje środki służące ochronie</w:t>
      </w:r>
      <w:r w:rsidR="00610401" w:rsidRPr="00610401">
        <w:rPr>
          <w:noProof/>
        </w:rPr>
        <w:t xml:space="preserve"> i prz</w:t>
      </w:r>
      <w:r w:rsidR="2E3979ED" w:rsidRPr="00610401">
        <w:rPr>
          <w:noProof/>
        </w:rPr>
        <w:t>ywróceniu różnorodności biologicznej poza obszarami chronionymi. Rada stwierdziła również, że oczekuje wniosku dotyczącego prawnie wiążących celów</w:t>
      </w:r>
      <w:r w:rsidR="00610401" w:rsidRPr="00610401">
        <w:rPr>
          <w:noProof/>
        </w:rPr>
        <w:t xml:space="preserve"> w zak</w:t>
      </w:r>
      <w:r w:rsidR="2E3979ED" w:rsidRPr="00610401">
        <w:rPr>
          <w:noProof/>
        </w:rPr>
        <w:t>resie odbudowy zasobów przyrodniczych poddanego ocenie skutków.</w:t>
      </w:r>
    </w:p>
    <w:p w:rsidR="009B3183" w:rsidRPr="00610401" w:rsidRDefault="009F5C98" w:rsidP="009F5C98">
      <w:pPr>
        <w:pStyle w:val="ManualConsidrant"/>
        <w:rPr>
          <w:noProof/>
          <w:sz w:val="22"/>
        </w:rPr>
      </w:pPr>
      <w:r w:rsidRPr="009F5C98">
        <w:t>(10)</w:t>
      </w:r>
      <w:r w:rsidRPr="009F5C98">
        <w:tab/>
      </w:r>
      <w:r w:rsidR="0E696219" w:rsidRPr="00610401">
        <w:rPr>
          <w:noProof/>
        </w:rPr>
        <w:t>W unijnej strategii na rzecz bioróżnorodności 2030 zawarto zobowiązanie do objęcia ochroną prawną co najmniej 30</w:t>
      </w:r>
      <w:r w:rsidR="00610401" w:rsidRPr="00610401">
        <w:rPr>
          <w:noProof/>
        </w:rPr>
        <w:t> </w:t>
      </w:r>
      <w:r w:rsidR="0E696219" w:rsidRPr="00610401">
        <w:rPr>
          <w:noProof/>
        </w:rPr>
        <w:t>% obszarów lądowych,</w:t>
      </w:r>
      <w:r w:rsidR="00610401" w:rsidRPr="00610401">
        <w:rPr>
          <w:noProof/>
        </w:rPr>
        <w:t xml:space="preserve"> w tym</w:t>
      </w:r>
      <w:r w:rsidR="0E696219" w:rsidRPr="00610401">
        <w:rPr>
          <w:noProof/>
        </w:rPr>
        <w:t xml:space="preserve"> wód śródlądowych, oraz 30</w:t>
      </w:r>
      <w:r w:rsidR="00610401" w:rsidRPr="00610401">
        <w:rPr>
          <w:noProof/>
        </w:rPr>
        <w:t> </w:t>
      </w:r>
      <w:r w:rsidR="0E696219" w:rsidRPr="00610401">
        <w:rPr>
          <w:noProof/>
        </w:rPr>
        <w:t>% obszarów morskich</w:t>
      </w:r>
      <w:r w:rsidR="00610401" w:rsidRPr="00610401">
        <w:rPr>
          <w:noProof/>
        </w:rPr>
        <w:t xml:space="preserve"> w Uni</w:t>
      </w:r>
      <w:r w:rsidR="0E696219" w:rsidRPr="00610401">
        <w:rPr>
          <w:noProof/>
        </w:rPr>
        <w:t>i,</w:t>
      </w:r>
      <w:r w:rsidR="00610401" w:rsidRPr="00610401">
        <w:rPr>
          <w:noProof/>
        </w:rPr>
        <w:t xml:space="preserve"> z cze</w:t>
      </w:r>
      <w:r w:rsidR="0E696219" w:rsidRPr="00610401">
        <w:rPr>
          <w:noProof/>
        </w:rPr>
        <w:t>go co najmniej jedna trzecia,</w:t>
      </w:r>
      <w:r w:rsidR="00610401" w:rsidRPr="00610401">
        <w:rPr>
          <w:noProof/>
        </w:rPr>
        <w:t xml:space="preserve"> w tym</w:t>
      </w:r>
      <w:r w:rsidR="0E696219" w:rsidRPr="00610401">
        <w:rPr>
          <w:noProof/>
        </w:rPr>
        <w:t xml:space="preserve"> wszystkie pozostałe lasy pierwotne</w:t>
      </w:r>
      <w:r w:rsidR="00610401" w:rsidRPr="00610401">
        <w:rPr>
          <w:noProof/>
        </w:rPr>
        <w:t xml:space="preserve"> i sta</w:t>
      </w:r>
      <w:r w:rsidR="0E696219" w:rsidRPr="00610401">
        <w:rPr>
          <w:noProof/>
        </w:rPr>
        <w:t>rodrzewy, powinna być objęta ścisłą ochroną</w:t>
      </w:r>
      <w:r w:rsidR="00610401" w:rsidRPr="00610401">
        <w:rPr>
          <w:noProof/>
        </w:rPr>
        <w:t>. W kry</w:t>
      </w:r>
      <w:r w:rsidR="0E696219" w:rsidRPr="00610401">
        <w:rPr>
          <w:noProof/>
        </w:rPr>
        <w:t>teriach</w:t>
      </w:r>
      <w:r w:rsidR="00610401" w:rsidRPr="00610401">
        <w:rPr>
          <w:noProof/>
        </w:rPr>
        <w:t xml:space="preserve"> i wyt</w:t>
      </w:r>
      <w:r w:rsidR="0E696219" w:rsidRPr="00610401">
        <w:rPr>
          <w:noProof/>
        </w:rPr>
        <w:t>ycznych</w:t>
      </w:r>
      <w:r w:rsidR="00610401" w:rsidRPr="00610401">
        <w:rPr>
          <w:noProof/>
        </w:rPr>
        <w:t xml:space="preserve"> w zak</w:t>
      </w:r>
      <w:r w:rsidR="0E696219" w:rsidRPr="00610401">
        <w:rPr>
          <w:noProof/>
        </w:rPr>
        <w:t>resie wyznaczania dodatkowych obszarów chronionych przez państwa członkowskie</w:t>
      </w:r>
      <w:r w:rsidR="0E696219" w:rsidRPr="00610401">
        <w:rPr>
          <w:rStyle w:val="FootnoteReference"/>
          <w:noProof/>
        </w:rPr>
        <w:footnoteReference w:id="52"/>
      </w:r>
      <w:r w:rsidR="0E696219" w:rsidRPr="00610401">
        <w:rPr>
          <w:noProof/>
        </w:rPr>
        <w:t xml:space="preserve"> („kryteria</w:t>
      </w:r>
      <w:r w:rsidR="00610401" w:rsidRPr="00610401">
        <w:rPr>
          <w:noProof/>
        </w:rPr>
        <w:t xml:space="preserve"> i wyt</w:t>
      </w:r>
      <w:r w:rsidR="0E696219" w:rsidRPr="00610401">
        <w:rPr>
          <w:noProof/>
        </w:rPr>
        <w:t>yczne”), opracowanych przez Komisję we współpracy</w:t>
      </w:r>
      <w:r w:rsidR="00610401" w:rsidRPr="00610401">
        <w:rPr>
          <w:noProof/>
        </w:rPr>
        <w:t xml:space="preserve"> z pań</w:t>
      </w:r>
      <w:r w:rsidR="0E696219" w:rsidRPr="00610401">
        <w:rPr>
          <w:noProof/>
        </w:rPr>
        <w:t>stwami członkowskimi</w:t>
      </w:r>
      <w:r w:rsidR="00610401" w:rsidRPr="00610401">
        <w:rPr>
          <w:noProof/>
        </w:rPr>
        <w:t xml:space="preserve"> i zai</w:t>
      </w:r>
      <w:r w:rsidR="0E696219" w:rsidRPr="00610401">
        <w:rPr>
          <w:noProof/>
        </w:rPr>
        <w:t>nteresowanymi stronami, podkreślono, że jeśli odbudowane obszary spełniają lub oczekuje się, że będą spełniać – gdy odbudowa przyniesie pełny efekt – kryteria dotyczące obszarów chronionych, to te odbudowane obszary powinny również przyczynić się do osiągnięcia celów Unii</w:t>
      </w:r>
      <w:r w:rsidR="00610401" w:rsidRPr="00610401">
        <w:rPr>
          <w:noProof/>
        </w:rPr>
        <w:t xml:space="preserve"> w zak</w:t>
      </w:r>
      <w:r w:rsidR="0E696219" w:rsidRPr="00610401">
        <w:rPr>
          <w:noProof/>
        </w:rPr>
        <w:t>resie obszarów chronionych</w:t>
      </w:r>
      <w:r w:rsidR="00610401" w:rsidRPr="00610401">
        <w:rPr>
          <w:noProof/>
        </w:rPr>
        <w:t>. W kry</w:t>
      </w:r>
      <w:r w:rsidR="0E696219" w:rsidRPr="00610401">
        <w:rPr>
          <w:noProof/>
        </w:rPr>
        <w:t>teriach</w:t>
      </w:r>
      <w:r w:rsidR="00610401" w:rsidRPr="00610401">
        <w:rPr>
          <w:noProof/>
        </w:rPr>
        <w:t xml:space="preserve"> i wyt</w:t>
      </w:r>
      <w:r w:rsidR="0E696219" w:rsidRPr="00610401">
        <w:rPr>
          <w:noProof/>
        </w:rPr>
        <w:t>ycznych podkreślono również, że obszary chronione mogą</w:t>
      </w:r>
      <w:r w:rsidR="00610401" w:rsidRPr="00610401">
        <w:rPr>
          <w:noProof/>
        </w:rPr>
        <w:t xml:space="preserve"> w ist</w:t>
      </w:r>
      <w:r w:rsidR="0E696219" w:rsidRPr="00610401">
        <w:rPr>
          <w:noProof/>
        </w:rPr>
        <w:t>otny sposób przyczynić się do osiągnięcia celów</w:t>
      </w:r>
      <w:r w:rsidR="00610401" w:rsidRPr="00610401">
        <w:rPr>
          <w:noProof/>
        </w:rPr>
        <w:t xml:space="preserve"> w zak</w:t>
      </w:r>
      <w:r w:rsidR="0E696219" w:rsidRPr="00610401">
        <w:rPr>
          <w:noProof/>
        </w:rPr>
        <w:t>resie odbudowy określonych</w:t>
      </w:r>
      <w:r w:rsidR="00610401" w:rsidRPr="00610401">
        <w:rPr>
          <w:noProof/>
        </w:rPr>
        <w:t xml:space="preserve"> w uni</w:t>
      </w:r>
      <w:r w:rsidR="0E696219" w:rsidRPr="00610401">
        <w:rPr>
          <w:noProof/>
        </w:rPr>
        <w:t>jnej strategii na rzecz bioróżnorodności 2030 dzięki utworzeniu warunków umożliwiających skuteczną realizację działań</w:t>
      </w:r>
      <w:r w:rsidR="00610401" w:rsidRPr="00610401">
        <w:rPr>
          <w:noProof/>
        </w:rPr>
        <w:t xml:space="preserve"> w zak</w:t>
      </w:r>
      <w:r w:rsidR="0E696219" w:rsidRPr="00610401">
        <w:rPr>
          <w:noProof/>
        </w:rPr>
        <w:t>resie odbudowy. Dotyczy to</w:t>
      </w:r>
      <w:r w:rsidR="00610401" w:rsidRPr="00610401">
        <w:rPr>
          <w:noProof/>
        </w:rPr>
        <w:t xml:space="preserve"> w szc</w:t>
      </w:r>
      <w:r w:rsidR="0E696219" w:rsidRPr="00610401">
        <w:rPr>
          <w:noProof/>
        </w:rPr>
        <w:t>zególności obszarów, które mogą się odbudować</w:t>
      </w:r>
      <w:r w:rsidR="00610401" w:rsidRPr="00610401">
        <w:rPr>
          <w:noProof/>
        </w:rPr>
        <w:t xml:space="preserve"> w spo</w:t>
      </w:r>
      <w:r w:rsidR="0E696219" w:rsidRPr="00610401">
        <w:rPr>
          <w:noProof/>
        </w:rPr>
        <w:t>sób naturalny dzięki powstrzymaniu lub ograniczeniu niektórych presji związanych</w:t>
      </w:r>
      <w:r w:rsidR="00610401" w:rsidRPr="00610401">
        <w:rPr>
          <w:noProof/>
        </w:rPr>
        <w:t xml:space="preserve"> z dzi</w:t>
      </w:r>
      <w:r w:rsidR="0E696219" w:rsidRPr="00610401">
        <w:rPr>
          <w:noProof/>
        </w:rPr>
        <w:t>ałalnością człowieka. Objęcie takich obszarów,</w:t>
      </w:r>
      <w:r w:rsidR="00610401" w:rsidRPr="00610401">
        <w:rPr>
          <w:noProof/>
        </w:rPr>
        <w:t xml:space="preserve"> w tym</w:t>
      </w:r>
      <w:r w:rsidR="0E696219" w:rsidRPr="00610401">
        <w:rPr>
          <w:noProof/>
        </w:rPr>
        <w:t xml:space="preserve"> środowiska morskiego, ścisłą ochroną</w:t>
      </w:r>
      <w:r w:rsidR="00610401" w:rsidRPr="00610401">
        <w:rPr>
          <w:noProof/>
        </w:rPr>
        <w:t xml:space="preserve"> w nie</w:t>
      </w:r>
      <w:r w:rsidR="0E696219" w:rsidRPr="00610401">
        <w:rPr>
          <w:noProof/>
        </w:rPr>
        <w:t>których przypadkach wystarczy, by doprowadzić do odbudowy znajdujących się na nich wartości przyrodniczych. Ponadto</w:t>
      </w:r>
      <w:r w:rsidR="00610401" w:rsidRPr="00610401">
        <w:rPr>
          <w:noProof/>
        </w:rPr>
        <w:t xml:space="preserve"> w kry</w:t>
      </w:r>
      <w:r w:rsidR="0E696219" w:rsidRPr="00610401">
        <w:rPr>
          <w:noProof/>
        </w:rPr>
        <w:t>teriach</w:t>
      </w:r>
      <w:r w:rsidR="00610401" w:rsidRPr="00610401">
        <w:rPr>
          <w:noProof/>
        </w:rPr>
        <w:t xml:space="preserve"> i wyt</w:t>
      </w:r>
      <w:r w:rsidR="0E696219" w:rsidRPr="00610401">
        <w:rPr>
          <w:noProof/>
        </w:rPr>
        <w:t>ycznych podkreślono, że od wszystkich państw członkowskich oczekuje się, że przyczynią się do osiągnięcia celów Unii</w:t>
      </w:r>
      <w:r w:rsidR="00610401" w:rsidRPr="00610401">
        <w:rPr>
          <w:noProof/>
        </w:rPr>
        <w:t xml:space="preserve"> w zak</w:t>
      </w:r>
      <w:r w:rsidR="0E696219" w:rsidRPr="00610401">
        <w:rPr>
          <w:noProof/>
        </w:rPr>
        <w:t>resie obszarów chronionych, określonych</w:t>
      </w:r>
      <w:r w:rsidR="00610401" w:rsidRPr="00610401">
        <w:rPr>
          <w:noProof/>
        </w:rPr>
        <w:t xml:space="preserve"> w uni</w:t>
      </w:r>
      <w:r w:rsidR="0E696219" w:rsidRPr="00610401">
        <w:rPr>
          <w:noProof/>
        </w:rPr>
        <w:t>jnej strategii na rzecz bioróżnorodności 2030 proporcjonalnie do wartości przyrodniczych tych obszarów oraz ich potencjału</w:t>
      </w:r>
      <w:r w:rsidR="00610401" w:rsidRPr="00610401">
        <w:rPr>
          <w:noProof/>
        </w:rPr>
        <w:t xml:space="preserve"> w zak</w:t>
      </w:r>
      <w:r w:rsidR="0E696219" w:rsidRPr="00610401">
        <w:rPr>
          <w:noProof/>
        </w:rPr>
        <w:t xml:space="preserve">resie odbudowy zasobów przyrodniczych. </w:t>
      </w:r>
    </w:p>
    <w:p w:rsidR="009B3183" w:rsidRPr="00610401" w:rsidRDefault="009F5C98" w:rsidP="009F5C98">
      <w:pPr>
        <w:pStyle w:val="ManualConsidrant"/>
        <w:rPr>
          <w:noProof/>
        </w:rPr>
      </w:pPr>
      <w:r w:rsidRPr="009F5C98">
        <w:t>(11)</w:t>
      </w:r>
      <w:r w:rsidRPr="009F5C98">
        <w:tab/>
      </w:r>
      <w:r w:rsidR="25EA8F68" w:rsidRPr="00610401">
        <w:rPr>
          <w:noProof/>
        </w:rPr>
        <w:t>W unijnej strategii na rzecz bioróżnorodności 2030 określono cel polegający na zapewnieniu, aby do</w:t>
      </w:r>
      <w:r w:rsidR="00610401" w:rsidRPr="00610401">
        <w:rPr>
          <w:noProof/>
        </w:rPr>
        <w:t> </w:t>
      </w:r>
      <w:r w:rsidR="25EA8F68" w:rsidRPr="00610401">
        <w:rPr>
          <w:noProof/>
        </w:rPr>
        <w:t>2030</w:t>
      </w:r>
      <w:r w:rsidR="00610401" w:rsidRPr="00610401">
        <w:rPr>
          <w:noProof/>
        </w:rPr>
        <w:t> </w:t>
      </w:r>
      <w:r w:rsidR="25EA8F68" w:rsidRPr="00610401">
        <w:rPr>
          <w:noProof/>
        </w:rPr>
        <w:t>r. nie doszło do pogorszenia tendencji</w:t>
      </w:r>
      <w:r w:rsidR="00610401" w:rsidRPr="00610401">
        <w:rPr>
          <w:noProof/>
        </w:rPr>
        <w:t xml:space="preserve"> w zak</w:t>
      </w:r>
      <w:r w:rsidR="25EA8F68" w:rsidRPr="00610401">
        <w:rPr>
          <w:noProof/>
        </w:rPr>
        <w:t>resie ochrony lub stanu siedlisk</w:t>
      </w:r>
      <w:r w:rsidR="00610401" w:rsidRPr="00610401">
        <w:rPr>
          <w:noProof/>
        </w:rPr>
        <w:t xml:space="preserve"> i gat</w:t>
      </w:r>
      <w:r w:rsidR="25EA8F68" w:rsidRPr="00610401">
        <w:rPr>
          <w:noProof/>
        </w:rPr>
        <w:t>unków chronionych oraz aby co najmniej 30</w:t>
      </w:r>
      <w:r w:rsidR="00610401" w:rsidRPr="00610401">
        <w:rPr>
          <w:noProof/>
        </w:rPr>
        <w:t> </w:t>
      </w:r>
      <w:r w:rsidR="25EA8F68" w:rsidRPr="00610401">
        <w:rPr>
          <w:noProof/>
        </w:rPr>
        <w:t>% gatunków</w:t>
      </w:r>
      <w:r w:rsidR="00610401" w:rsidRPr="00610401">
        <w:rPr>
          <w:noProof/>
        </w:rPr>
        <w:t xml:space="preserve"> i sie</w:t>
      </w:r>
      <w:r w:rsidR="25EA8F68" w:rsidRPr="00610401">
        <w:rPr>
          <w:noProof/>
        </w:rPr>
        <w:t>dlisk, których stan ochrony nie jest obecnie właściwy, osiągnęło taki stan lub wykazywało zdecydowaną, pozytywną tendencję</w:t>
      </w:r>
      <w:r w:rsidR="00610401" w:rsidRPr="00610401">
        <w:rPr>
          <w:noProof/>
        </w:rPr>
        <w:t xml:space="preserve"> w tym</w:t>
      </w:r>
      <w:r w:rsidR="25EA8F68" w:rsidRPr="00610401">
        <w:rPr>
          <w:noProof/>
        </w:rPr>
        <w:t xml:space="preserve"> kierunku</w:t>
      </w:r>
      <w:r w:rsidR="00610401" w:rsidRPr="00610401">
        <w:rPr>
          <w:noProof/>
        </w:rPr>
        <w:t>. W opr</w:t>
      </w:r>
      <w:r w:rsidR="25EA8F68" w:rsidRPr="00610401">
        <w:rPr>
          <w:noProof/>
        </w:rPr>
        <w:t>acowanych przez Komisję we współpracy</w:t>
      </w:r>
      <w:r w:rsidR="00610401" w:rsidRPr="00610401">
        <w:rPr>
          <w:noProof/>
        </w:rPr>
        <w:t xml:space="preserve"> z pań</w:t>
      </w:r>
      <w:r w:rsidR="25EA8F68" w:rsidRPr="00610401">
        <w:rPr>
          <w:noProof/>
        </w:rPr>
        <w:t>stwami członkowskimi</w:t>
      </w:r>
      <w:r w:rsidR="00610401" w:rsidRPr="00610401">
        <w:rPr>
          <w:noProof/>
        </w:rPr>
        <w:t xml:space="preserve"> i zai</w:t>
      </w:r>
      <w:r w:rsidR="25EA8F68" w:rsidRPr="00610401">
        <w:rPr>
          <w:noProof/>
        </w:rPr>
        <w:t>nteresowanymi stronami wytycznych</w:t>
      </w:r>
      <w:r w:rsidR="25EA8F68" w:rsidRPr="00610401">
        <w:rPr>
          <w:rStyle w:val="FootnoteReference"/>
          <w:noProof/>
        </w:rPr>
        <w:footnoteReference w:id="53"/>
      </w:r>
      <w:r w:rsidR="25EA8F68" w:rsidRPr="00610401">
        <w:rPr>
          <w:noProof/>
        </w:rPr>
        <w:t>, które mają pomóc</w:t>
      </w:r>
      <w:r w:rsidR="00610401" w:rsidRPr="00610401">
        <w:rPr>
          <w:noProof/>
        </w:rPr>
        <w:t xml:space="preserve"> w osi</w:t>
      </w:r>
      <w:r w:rsidR="25EA8F68" w:rsidRPr="00610401">
        <w:rPr>
          <w:noProof/>
        </w:rPr>
        <w:t>ągnięciu tych celów, podkreślono, że</w:t>
      </w:r>
      <w:r w:rsidR="00610401" w:rsidRPr="00610401">
        <w:rPr>
          <w:noProof/>
        </w:rPr>
        <w:t xml:space="preserve"> w prz</w:t>
      </w:r>
      <w:r w:rsidR="25EA8F68" w:rsidRPr="00610401">
        <w:rPr>
          <w:noProof/>
        </w:rPr>
        <w:t>ypadku większości wspomnianych siedlisk</w:t>
      </w:r>
      <w:r w:rsidR="00610401" w:rsidRPr="00610401">
        <w:rPr>
          <w:noProof/>
        </w:rPr>
        <w:t xml:space="preserve"> i gat</w:t>
      </w:r>
      <w:r w:rsidR="25EA8F68" w:rsidRPr="00610401">
        <w:rPr>
          <w:noProof/>
        </w:rPr>
        <w:t>unków prawdopodobnie konieczne będą działania</w:t>
      </w:r>
      <w:r w:rsidR="00610401" w:rsidRPr="00610401">
        <w:rPr>
          <w:noProof/>
        </w:rPr>
        <w:t xml:space="preserve"> w zak</w:t>
      </w:r>
      <w:r w:rsidR="25EA8F68" w:rsidRPr="00610401">
        <w:rPr>
          <w:noProof/>
        </w:rPr>
        <w:t>resie utrzymania</w:t>
      </w:r>
      <w:r w:rsidR="00610401" w:rsidRPr="00610401">
        <w:rPr>
          <w:noProof/>
        </w:rPr>
        <w:t xml:space="preserve"> i odb</w:t>
      </w:r>
      <w:r w:rsidR="25EA8F68" w:rsidRPr="00610401">
        <w:rPr>
          <w:noProof/>
        </w:rPr>
        <w:t>udowy, polegające albo na zatrzymaniu obecnych negatywnych tendencji do</w:t>
      </w:r>
      <w:r w:rsidR="00610401" w:rsidRPr="00610401">
        <w:rPr>
          <w:noProof/>
        </w:rPr>
        <w:t> </w:t>
      </w:r>
      <w:r w:rsidR="25EA8F68" w:rsidRPr="00610401">
        <w:rPr>
          <w:noProof/>
        </w:rPr>
        <w:t>2030</w:t>
      </w:r>
      <w:r w:rsidR="00610401" w:rsidRPr="00610401">
        <w:rPr>
          <w:noProof/>
        </w:rPr>
        <w:t> </w:t>
      </w:r>
      <w:r w:rsidR="25EA8F68" w:rsidRPr="00610401">
        <w:rPr>
          <w:noProof/>
        </w:rPr>
        <w:t>r., utrzymaniu obecnych stabilnych bądź poprawiających się tendencji, albo na zapobieganiu pogarszania się stanu siedlisk</w:t>
      </w:r>
      <w:r w:rsidR="00610401" w:rsidRPr="00610401">
        <w:rPr>
          <w:noProof/>
        </w:rPr>
        <w:t xml:space="preserve"> i spa</w:t>
      </w:r>
      <w:r w:rsidR="25EA8F68" w:rsidRPr="00610401">
        <w:rPr>
          <w:noProof/>
        </w:rPr>
        <w:t>dku liczebności gatunków</w:t>
      </w:r>
      <w:r w:rsidR="00610401" w:rsidRPr="00610401">
        <w:rPr>
          <w:noProof/>
        </w:rPr>
        <w:t xml:space="preserve"> o wła</w:t>
      </w:r>
      <w:r w:rsidR="25EA8F68" w:rsidRPr="00610401">
        <w:rPr>
          <w:noProof/>
        </w:rPr>
        <w:t>ściwym stanie ochrony</w:t>
      </w:r>
      <w:r w:rsidR="00610401" w:rsidRPr="00610401">
        <w:rPr>
          <w:noProof/>
        </w:rPr>
        <w:t>. W wyt</w:t>
      </w:r>
      <w:r w:rsidR="25EA8F68" w:rsidRPr="00610401">
        <w:rPr>
          <w:noProof/>
        </w:rPr>
        <w:t>ycznych tych podkreślono ponadto, że działania</w:t>
      </w:r>
      <w:r w:rsidR="00610401" w:rsidRPr="00610401">
        <w:rPr>
          <w:noProof/>
        </w:rPr>
        <w:t xml:space="preserve"> w zak</w:t>
      </w:r>
      <w:r w:rsidR="25EA8F68" w:rsidRPr="00610401">
        <w:rPr>
          <w:noProof/>
        </w:rPr>
        <w:t>resie odbudowy należy przede wszystkim planować, wdrażać</w:t>
      </w:r>
      <w:r w:rsidR="00610401" w:rsidRPr="00610401">
        <w:rPr>
          <w:noProof/>
        </w:rPr>
        <w:t xml:space="preserve"> i koo</w:t>
      </w:r>
      <w:r w:rsidR="25EA8F68" w:rsidRPr="00610401">
        <w:rPr>
          <w:noProof/>
        </w:rPr>
        <w:t>rdynować na poziomie krajowym lub regionalnym,</w:t>
      </w:r>
      <w:r w:rsidR="00610401" w:rsidRPr="00610401">
        <w:rPr>
          <w:noProof/>
        </w:rPr>
        <w:t xml:space="preserve"> a prz</w:t>
      </w:r>
      <w:r w:rsidR="25EA8F68" w:rsidRPr="00610401">
        <w:rPr>
          <w:noProof/>
        </w:rPr>
        <w:t>y wyborze</w:t>
      </w:r>
      <w:r w:rsidR="00610401" w:rsidRPr="00610401">
        <w:rPr>
          <w:noProof/>
        </w:rPr>
        <w:t xml:space="preserve"> i ust</w:t>
      </w:r>
      <w:r w:rsidR="25EA8F68" w:rsidRPr="00610401">
        <w:rPr>
          <w:noProof/>
        </w:rPr>
        <w:t>alaniu priorytetów</w:t>
      </w:r>
      <w:r w:rsidR="00610401" w:rsidRPr="00610401">
        <w:rPr>
          <w:noProof/>
        </w:rPr>
        <w:t xml:space="preserve"> w odn</w:t>
      </w:r>
      <w:r w:rsidR="25EA8F68" w:rsidRPr="00610401">
        <w:rPr>
          <w:noProof/>
        </w:rPr>
        <w:t>iesieniu do gatunków</w:t>
      </w:r>
      <w:r w:rsidR="00610401" w:rsidRPr="00610401">
        <w:rPr>
          <w:noProof/>
        </w:rPr>
        <w:t xml:space="preserve"> i sie</w:t>
      </w:r>
      <w:r w:rsidR="25EA8F68" w:rsidRPr="00610401">
        <w:rPr>
          <w:noProof/>
        </w:rPr>
        <w:t>dlisk, których stan należy poprawić do</w:t>
      </w:r>
      <w:r w:rsidR="00610401" w:rsidRPr="00610401">
        <w:rPr>
          <w:noProof/>
        </w:rPr>
        <w:t> </w:t>
      </w:r>
      <w:r w:rsidR="25EA8F68" w:rsidRPr="00610401">
        <w:rPr>
          <w:noProof/>
        </w:rPr>
        <w:t>2030</w:t>
      </w:r>
      <w:r w:rsidR="00610401" w:rsidRPr="00610401">
        <w:rPr>
          <w:noProof/>
        </w:rPr>
        <w:t> </w:t>
      </w:r>
      <w:r w:rsidR="25EA8F68" w:rsidRPr="00610401">
        <w:rPr>
          <w:noProof/>
        </w:rPr>
        <w:t>r., trzeba dążyć do synergii</w:t>
      </w:r>
      <w:r w:rsidR="00610401" w:rsidRPr="00610401">
        <w:rPr>
          <w:noProof/>
        </w:rPr>
        <w:t xml:space="preserve"> z inn</w:t>
      </w:r>
      <w:r w:rsidR="25EA8F68" w:rsidRPr="00610401">
        <w:rPr>
          <w:noProof/>
        </w:rPr>
        <w:t>ymi celami unijnymi</w:t>
      </w:r>
      <w:r w:rsidR="00610401" w:rsidRPr="00610401">
        <w:rPr>
          <w:noProof/>
        </w:rPr>
        <w:t xml:space="preserve"> i mię</w:t>
      </w:r>
      <w:r w:rsidR="25EA8F68" w:rsidRPr="00610401">
        <w:rPr>
          <w:noProof/>
        </w:rPr>
        <w:t>dzynarodowymi,</w:t>
      </w:r>
      <w:r w:rsidR="00610401" w:rsidRPr="00610401">
        <w:rPr>
          <w:noProof/>
        </w:rPr>
        <w:t xml:space="preserve"> w szc</w:t>
      </w:r>
      <w:r w:rsidR="25EA8F68" w:rsidRPr="00610401">
        <w:rPr>
          <w:noProof/>
        </w:rPr>
        <w:t>zególności</w:t>
      </w:r>
      <w:r w:rsidR="00610401" w:rsidRPr="00610401">
        <w:rPr>
          <w:noProof/>
        </w:rPr>
        <w:t xml:space="preserve"> z cel</w:t>
      </w:r>
      <w:r w:rsidR="25EA8F68" w:rsidRPr="00610401">
        <w:rPr>
          <w:noProof/>
        </w:rPr>
        <w:t>ami polityki ochrony środowiska</w:t>
      </w:r>
      <w:r w:rsidR="00610401" w:rsidRPr="00610401">
        <w:rPr>
          <w:noProof/>
        </w:rPr>
        <w:t xml:space="preserve"> i pol</w:t>
      </w:r>
      <w:r w:rsidR="25EA8F68" w:rsidRPr="00610401">
        <w:rPr>
          <w:noProof/>
        </w:rPr>
        <w:t>ityki klimatycznej.</w:t>
      </w:r>
    </w:p>
    <w:p w:rsidR="0023770E" w:rsidRPr="00610401" w:rsidRDefault="009F5C98" w:rsidP="009F5C98">
      <w:pPr>
        <w:pStyle w:val="ManualConsidrant"/>
        <w:rPr>
          <w:noProof/>
        </w:rPr>
      </w:pPr>
      <w:r w:rsidRPr="009F5C98">
        <w:t>(12)</w:t>
      </w:r>
      <w:r w:rsidRPr="009F5C98">
        <w:tab/>
      </w:r>
      <w:r w:rsidR="52F83635" w:rsidRPr="00610401">
        <w:rPr>
          <w:noProof/>
        </w:rPr>
        <w:t>W sprawozdaniu Komisji</w:t>
      </w:r>
      <w:r w:rsidR="00610401" w:rsidRPr="00610401">
        <w:rPr>
          <w:noProof/>
        </w:rPr>
        <w:t xml:space="preserve"> z 2</w:t>
      </w:r>
      <w:r w:rsidR="52F83635" w:rsidRPr="00610401">
        <w:rPr>
          <w:noProof/>
        </w:rPr>
        <w:t>020</w:t>
      </w:r>
      <w:r w:rsidR="00610401" w:rsidRPr="00610401">
        <w:rPr>
          <w:noProof/>
        </w:rPr>
        <w:t> </w:t>
      </w:r>
      <w:r w:rsidR="52F83635" w:rsidRPr="00610401">
        <w:rPr>
          <w:noProof/>
        </w:rPr>
        <w:t>r.</w:t>
      </w:r>
      <w:r w:rsidR="52F83635" w:rsidRPr="00610401">
        <w:rPr>
          <w:rStyle w:val="FootnoteReference"/>
          <w:noProof/>
        </w:rPr>
        <w:footnoteReference w:id="54"/>
      </w:r>
      <w:r w:rsidR="52F83635" w:rsidRPr="00610401">
        <w:rPr>
          <w:noProof/>
        </w:rPr>
        <w:t xml:space="preserve"> na temat stanu przyrody zauważono, że Unia nie zdołała jeszcze powstrzymać pogarszania się stanu chronionych typów siedlisk</w:t>
      </w:r>
      <w:r w:rsidR="00610401" w:rsidRPr="00610401">
        <w:rPr>
          <w:noProof/>
        </w:rPr>
        <w:t xml:space="preserve"> i gat</w:t>
      </w:r>
      <w:r w:rsidR="52F83635" w:rsidRPr="00610401">
        <w:rPr>
          <w:noProof/>
        </w:rPr>
        <w:t>unków, których ochrona jest dla Unii ważna. Pogorszenie to jest spowodowane głównie odejściem od rolnictwa ekstensywnego, intensyfikacją praktyk zarządzania uprawami, zmianą reżimów hydrologicznych, urbanizacją</w:t>
      </w:r>
      <w:r w:rsidR="00610401" w:rsidRPr="00610401">
        <w:rPr>
          <w:noProof/>
        </w:rPr>
        <w:t xml:space="preserve"> i zan</w:t>
      </w:r>
      <w:r w:rsidR="52F83635" w:rsidRPr="00610401">
        <w:rPr>
          <w:noProof/>
        </w:rPr>
        <w:t>ieczyszczeniem środowiska,</w:t>
      </w:r>
      <w:r w:rsidR="00610401" w:rsidRPr="00610401">
        <w:rPr>
          <w:noProof/>
        </w:rPr>
        <w:t xml:space="preserve"> a tak</w:t>
      </w:r>
      <w:r w:rsidR="52F83635" w:rsidRPr="00610401">
        <w:rPr>
          <w:noProof/>
        </w:rPr>
        <w:t>że niezrównoważoną działalnością leśną</w:t>
      </w:r>
      <w:r w:rsidR="00610401" w:rsidRPr="00610401">
        <w:rPr>
          <w:noProof/>
        </w:rPr>
        <w:t xml:space="preserve"> i eks</w:t>
      </w:r>
      <w:r w:rsidR="52F83635" w:rsidRPr="00610401">
        <w:rPr>
          <w:noProof/>
        </w:rPr>
        <w:t>ploatacją gatunków. Ponadto inwazyjne gatunki obce</w:t>
      </w:r>
      <w:r w:rsidR="00610401" w:rsidRPr="00610401">
        <w:rPr>
          <w:noProof/>
        </w:rPr>
        <w:t xml:space="preserve"> i zmi</w:t>
      </w:r>
      <w:r w:rsidR="52F83635" w:rsidRPr="00610401">
        <w:rPr>
          <w:noProof/>
        </w:rPr>
        <w:t>ana klimatu stanowią poważne</w:t>
      </w:r>
      <w:r w:rsidR="00610401" w:rsidRPr="00610401">
        <w:rPr>
          <w:noProof/>
        </w:rPr>
        <w:t xml:space="preserve"> i ros</w:t>
      </w:r>
      <w:r w:rsidR="52F83635" w:rsidRPr="00610401">
        <w:rPr>
          <w:noProof/>
        </w:rPr>
        <w:t>nące zagrożenie dla rodzimej unijnej fauny</w:t>
      </w:r>
      <w:r w:rsidR="00610401" w:rsidRPr="00610401">
        <w:rPr>
          <w:noProof/>
        </w:rPr>
        <w:t xml:space="preserve"> i flo</w:t>
      </w:r>
      <w:r w:rsidR="52F83635" w:rsidRPr="00610401">
        <w:rPr>
          <w:noProof/>
        </w:rPr>
        <w:t>ry.</w:t>
      </w:r>
    </w:p>
    <w:p w:rsidR="003D48AD" w:rsidRPr="00610401" w:rsidRDefault="009F5C98" w:rsidP="009F5C98">
      <w:pPr>
        <w:pStyle w:val="ManualConsidrant"/>
        <w:rPr>
          <w:noProof/>
        </w:rPr>
      </w:pPr>
      <w:r w:rsidRPr="009F5C98">
        <w:t>(13)</w:t>
      </w:r>
      <w:r w:rsidRPr="009F5C98">
        <w:tab/>
      </w:r>
      <w:r w:rsidR="00DE155B" w:rsidRPr="00610401">
        <w:rPr>
          <w:noProof/>
        </w:rPr>
        <w:t>Należy wyznaczyć cel nadrzędny zakładający, aby odbudowa ekosystemów sprzyjała przemianom gospodarczym</w:t>
      </w:r>
      <w:r w:rsidR="00610401" w:rsidRPr="00610401">
        <w:rPr>
          <w:noProof/>
        </w:rPr>
        <w:t xml:space="preserve"> i spo</w:t>
      </w:r>
      <w:r w:rsidR="00DE155B" w:rsidRPr="00610401">
        <w:rPr>
          <w:noProof/>
        </w:rPr>
        <w:t>łecznym, tworzeniu wysokiej jakości miejsc pracy</w:t>
      </w:r>
      <w:r w:rsidR="00610401" w:rsidRPr="00610401">
        <w:rPr>
          <w:noProof/>
        </w:rPr>
        <w:t xml:space="preserve"> i zró</w:t>
      </w:r>
      <w:r w:rsidR="00DE155B" w:rsidRPr="00610401">
        <w:rPr>
          <w:noProof/>
        </w:rPr>
        <w:t>wnoważonemu wzrostowi. Różnorodne biologicznie ekosystemy, takie jak tereny podmokłe, wody słodkie</w:t>
      </w:r>
      <w:r w:rsidR="00610401" w:rsidRPr="00610401">
        <w:rPr>
          <w:noProof/>
        </w:rPr>
        <w:t xml:space="preserve"> i las</w:t>
      </w:r>
      <w:r w:rsidR="00DE155B" w:rsidRPr="00610401">
        <w:rPr>
          <w:noProof/>
        </w:rPr>
        <w:t>y,</w:t>
      </w:r>
      <w:r w:rsidR="00610401" w:rsidRPr="00610401">
        <w:rPr>
          <w:noProof/>
        </w:rPr>
        <w:t xml:space="preserve"> a tak</w:t>
      </w:r>
      <w:r w:rsidR="00DE155B" w:rsidRPr="00610401">
        <w:rPr>
          <w:noProof/>
        </w:rPr>
        <w:t>że ekosystemy rolnicze, słabo porośnięte roślinnością, morskie, przybrzeżne</w:t>
      </w:r>
      <w:r w:rsidR="00610401" w:rsidRPr="00610401">
        <w:rPr>
          <w:noProof/>
        </w:rPr>
        <w:t xml:space="preserve"> i mie</w:t>
      </w:r>
      <w:r w:rsidR="00DE155B" w:rsidRPr="00610401">
        <w:rPr>
          <w:noProof/>
        </w:rPr>
        <w:t>jskie, jeśli są</w:t>
      </w:r>
      <w:r w:rsidR="00610401" w:rsidRPr="00610401">
        <w:rPr>
          <w:noProof/>
        </w:rPr>
        <w:t xml:space="preserve"> w dob</w:t>
      </w:r>
      <w:r w:rsidR="00DE155B" w:rsidRPr="00610401">
        <w:rPr>
          <w:noProof/>
        </w:rPr>
        <w:t>rym stanie, dostarczają szeregu podstawowych usług ekosystemowych,</w:t>
      </w:r>
      <w:r w:rsidR="00610401" w:rsidRPr="00610401">
        <w:rPr>
          <w:noProof/>
        </w:rPr>
        <w:t xml:space="preserve"> a kor</w:t>
      </w:r>
      <w:r w:rsidR="00DE155B" w:rsidRPr="00610401">
        <w:rPr>
          <w:noProof/>
        </w:rPr>
        <w:t>zyści</w:t>
      </w:r>
      <w:r w:rsidR="00610401" w:rsidRPr="00610401">
        <w:rPr>
          <w:noProof/>
        </w:rPr>
        <w:t xml:space="preserve"> z prz</w:t>
      </w:r>
      <w:r w:rsidR="00DE155B" w:rsidRPr="00610401">
        <w:rPr>
          <w:noProof/>
        </w:rPr>
        <w:t>ywrócenia zdegradowanych ekosystemów do dobrego stanu na wszystkich obszarach lądowych</w:t>
      </w:r>
      <w:r w:rsidR="00610401" w:rsidRPr="00610401">
        <w:rPr>
          <w:noProof/>
        </w:rPr>
        <w:t xml:space="preserve"> i mor</w:t>
      </w:r>
      <w:r w:rsidR="00DE155B" w:rsidRPr="00610401">
        <w:rPr>
          <w:noProof/>
        </w:rPr>
        <w:t>skich znacznie przewyższają koszty ich odbudowy. Usługi te przynoszą szeroki zakres korzyści społeczno-gospodarczych,</w:t>
      </w:r>
      <w:r w:rsidR="00610401" w:rsidRPr="00610401">
        <w:rPr>
          <w:noProof/>
        </w:rPr>
        <w:t xml:space="preserve"> w zal</w:t>
      </w:r>
      <w:r w:rsidR="00DE155B" w:rsidRPr="00610401">
        <w:rPr>
          <w:noProof/>
        </w:rPr>
        <w:t>eżności od uwarunkowań gospodarczych, społecznych, kulturowych, regionalnych</w:t>
      </w:r>
      <w:r w:rsidR="00610401" w:rsidRPr="00610401">
        <w:rPr>
          <w:noProof/>
        </w:rPr>
        <w:t xml:space="preserve"> i lok</w:t>
      </w:r>
      <w:r w:rsidR="00DE155B" w:rsidRPr="00610401">
        <w:rPr>
          <w:noProof/>
        </w:rPr>
        <w:t>alnych.</w:t>
      </w:r>
    </w:p>
    <w:p w:rsidR="00DA6D1A" w:rsidRPr="00610401" w:rsidRDefault="009F5C98" w:rsidP="009F5C98">
      <w:pPr>
        <w:pStyle w:val="ManualConsidrant"/>
        <w:rPr>
          <w:noProof/>
        </w:rPr>
      </w:pPr>
      <w:r w:rsidRPr="009F5C98">
        <w:t>(14)</w:t>
      </w:r>
      <w:r w:rsidRPr="009F5C98">
        <w:tab/>
      </w:r>
      <w:r w:rsidR="4A22A073" w:rsidRPr="00610401">
        <w:rPr>
          <w:noProof/>
        </w:rPr>
        <w:t>Podczas 52. sesji</w:t>
      </w:r>
      <w:r w:rsidR="00610401" w:rsidRPr="00610401">
        <w:rPr>
          <w:noProof/>
        </w:rPr>
        <w:t xml:space="preserve"> w mar</w:t>
      </w:r>
      <w:r w:rsidR="4A22A073" w:rsidRPr="00610401">
        <w:rPr>
          <w:noProof/>
        </w:rPr>
        <w:t>cu 2021</w:t>
      </w:r>
      <w:r w:rsidR="00610401" w:rsidRPr="00610401">
        <w:rPr>
          <w:noProof/>
        </w:rPr>
        <w:t> </w:t>
      </w:r>
      <w:r w:rsidR="4A22A073" w:rsidRPr="00610401">
        <w:rPr>
          <w:noProof/>
        </w:rPr>
        <w:t>r. Komisja Statystyczna Organizacji Narodów Zjednoczonych przyjęła system rachunków ekonomicznych środowiska – rachunkowość ekosystemową („SEEA EA”)</w:t>
      </w:r>
      <w:r w:rsidR="4A22A073" w:rsidRPr="00610401">
        <w:rPr>
          <w:rStyle w:val="FootnoteReference"/>
          <w:noProof/>
        </w:rPr>
        <w:footnoteReference w:id="55"/>
      </w:r>
      <w:r w:rsidR="4A22A073" w:rsidRPr="00610401">
        <w:rPr>
          <w:noProof/>
        </w:rPr>
        <w:t>. SEEA EA to zintegrowane</w:t>
      </w:r>
      <w:r w:rsidR="00610401" w:rsidRPr="00610401">
        <w:rPr>
          <w:noProof/>
        </w:rPr>
        <w:t xml:space="preserve"> i kom</w:t>
      </w:r>
      <w:r w:rsidR="4A22A073" w:rsidRPr="00610401">
        <w:rPr>
          <w:noProof/>
        </w:rPr>
        <w:t>pleksowe ramy statystyczne umożliwiające porządkowanie danych dotyczących siedlisk</w:t>
      </w:r>
      <w:r w:rsidR="00610401" w:rsidRPr="00610401">
        <w:rPr>
          <w:noProof/>
        </w:rPr>
        <w:t xml:space="preserve"> i kra</w:t>
      </w:r>
      <w:r w:rsidR="4A22A073" w:rsidRPr="00610401">
        <w:rPr>
          <w:noProof/>
        </w:rPr>
        <w:t>jobrazów, przeprowadzanie pomiaru zasięgu</w:t>
      </w:r>
      <w:r w:rsidR="00610401" w:rsidRPr="00610401">
        <w:rPr>
          <w:noProof/>
        </w:rPr>
        <w:t xml:space="preserve"> i sta</w:t>
      </w:r>
      <w:r w:rsidR="4A22A073" w:rsidRPr="00610401">
        <w:rPr>
          <w:noProof/>
        </w:rPr>
        <w:t>nu ekosystemów oraz usług ekosystemowych,</w:t>
      </w:r>
      <w:r w:rsidR="00610401" w:rsidRPr="00610401">
        <w:rPr>
          <w:noProof/>
        </w:rPr>
        <w:t xml:space="preserve"> a tak</w:t>
      </w:r>
      <w:r w:rsidR="4A22A073" w:rsidRPr="00610401">
        <w:rPr>
          <w:noProof/>
        </w:rPr>
        <w:t>że śledzenie zmian aktywów ekosystemów oraz powiązanie tych informacji</w:t>
      </w:r>
      <w:r w:rsidR="00610401" w:rsidRPr="00610401">
        <w:rPr>
          <w:noProof/>
        </w:rPr>
        <w:t xml:space="preserve"> z dzi</w:t>
      </w:r>
      <w:r w:rsidR="4A22A073" w:rsidRPr="00610401">
        <w:rPr>
          <w:noProof/>
        </w:rPr>
        <w:t>ałalnością gospodarczą</w:t>
      </w:r>
      <w:r w:rsidR="00610401" w:rsidRPr="00610401">
        <w:rPr>
          <w:noProof/>
        </w:rPr>
        <w:t xml:space="preserve"> i inn</w:t>
      </w:r>
      <w:r w:rsidR="4A22A073" w:rsidRPr="00610401">
        <w:rPr>
          <w:noProof/>
        </w:rPr>
        <w:t xml:space="preserve">ymi formami działalności człowieka. </w:t>
      </w:r>
    </w:p>
    <w:p w:rsidR="002E001E" w:rsidRPr="00610401" w:rsidRDefault="009F5C98" w:rsidP="009F5C98">
      <w:pPr>
        <w:pStyle w:val="ManualConsidrant"/>
        <w:rPr>
          <w:rFonts w:eastAsiaTheme="minorEastAsia"/>
          <w:noProof/>
        </w:rPr>
      </w:pPr>
      <w:r w:rsidRPr="009F5C98">
        <w:t>(15)</w:t>
      </w:r>
      <w:r w:rsidRPr="009F5C98">
        <w:tab/>
      </w:r>
      <w:r w:rsidR="11DD617F" w:rsidRPr="00610401">
        <w:rPr>
          <w:noProof/>
        </w:rPr>
        <w:t>Zapewnienie różnorodności biologicznej ekosystemów</w:t>
      </w:r>
      <w:r w:rsidR="00610401" w:rsidRPr="00610401">
        <w:rPr>
          <w:noProof/>
        </w:rPr>
        <w:t xml:space="preserve"> i prz</w:t>
      </w:r>
      <w:r w:rsidR="11DD617F" w:rsidRPr="00610401">
        <w:rPr>
          <w:noProof/>
        </w:rPr>
        <w:t>eciwdziałanie zmianie klimatu są ze sobą nierozerwalnie związane. Przyroda</w:t>
      </w:r>
      <w:r w:rsidR="00610401" w:rsidRPr="00610401">
        <w:rPr>
          <w:noProof/>
        </w:rPr>
        <w:t xml:space="preserve"> i roz</w:t>
      </w:r>
      <w:r w:rsidR="11DD617F" w:rsidRPr="00610401">
        <w:rPr>
          <w:noProof/>
        </w:rPr>
        <w:t>wiązania oparte na przyrodzie,</w:t>
      </w:r>
      <w:r w:rsidR="00610401" w:rsidRPr="00610401">
        <w:rPr>
          <w:noProof/>
        </w:rPr>
        <w:t xml:space="preserve"> w tym</w:t>
      </w:r>
      <w:r w:rsidR="11DD617F" w:rsidRPr="00610401">
        <w:rPr>
          <w:noProof/>
        </w:rPr>
        <w:t xml:space="preserve"> naturalne zasoby węgla</w:t>
      </w:r>
      <w:r w:rsidR="00610401" w:rsidRPr="00610401">
        <w:rPr>
          <w:noProof/>
        </w:rPr>
        <w:t xml:space="preserve"> i poc</w:t>
      </w:r>
      <w:r w:rsidR="11DD617F" w:rsidRPr="00610401">
        <w:rPr>
          <w:noProof/>
        </w:rPr>
        <w:t>hłaniacze dwutlenku węgla, mają fundamentalne znaczenie</w:t>
      </w:r>
      <w:r w:rsidR="00610401" w:rsidRPr="00610401">
        <w:rPr>
          <w:noProof/>
        </w:rPr>
        <w:t xml:space="preserve"> w kon</w:t>
      </w:r>
      <w:r w:rsidR="11DD617F" w:rsidRPr="00610401">
        <w:rPr>
          <w:noProof/>
        </w:rPr>
        <w:t>tekście walki</w:t>
      </w:r>
      <w:r w:rsidR="00610401" w:rsidRPr="00610401">
        <w:rPr>
          <w:noProof/>
        </w:rPr>
        <w:t xml:space="preserve"> z kry</w:t>
      </w:r>
      <w:r w:rsidR="11DD617F" w:rsidRPr="00610401">
        <w:rPr>
          <w:noProof/>
        </w:rPr>
        <w:t>zysem klimatycznym. Jednocześnie kryzys klimatyczny już teraz jest czynnikiem powodującym zmiany</w:t>
      </w:r>
      <w:r w:rsidR="00610401" w:rsidRPr="00610401">
        <w:rPr>
          <w:noProof/>
        </w:rPr>
        <w:t xml:space="preserve"> w eko</w:t>
      </w:r>
      <w:r w:rsidR="11DD617F" w:rsidRPr="00610401">
        <w:rPr>
          <w:noProof/>
        </w:rPr>
        <w:t>systemach lądowych</w:t>
      </w:r>
      <w:r w:rsidR="00610401" w:rsidRPr="00610401">
        <w:rPr>
          <w:noProof/>
        </w:rPr>
        <w:t xml:space="preserve"> i mor</w:t>
      </w:r>
      <w:r w:rsidR="11DD617F" w:rsidRPr="00610401">
        <w:rPr>
          <w:noProof/>
        </w:rPr>
        <w:t>skich,</w:t>
      </w:r>
      <w:r w:rsidR="00610401" w:rsidRPr="00610401">
        <w:rPr>
          <w:noProof/>
        </w:rPr>
        <w:t xml:space="preserve"> a Uni</w:t>
      </w:r>
      <w:r w:rsidR="11DD617F" w:rsidRPr="00610401">
        <w:rPr>
          <w:noProof/>
        </w:rPr>
        <w:t>a musi przygotować się na to, że jego skutki będą coraz bardziej intensywne, coraz częstsze</w:t>
      </w:r>
      <w:r w:rsidR="00610401" w:rsidRPr="00610401">
        <w:rPr>
          <w:noProof/>
        </w:rPr>
        <w:t xml:space="preserve"> i cor</w:t>
      </w:r>
      <w:r w:rsidR="11DD617F" w:rsidRPr="00610401">
        <w:rPr>
          <w:noProof/>
        </w:rPr>
        <w:t>az bardziej rozległe</w:t>
      </w:r>
      <w:r w:rsidR="00610401" w:rsidRPr="00610401">
        <w:rPr>
          <w:noProof/>
        </w:rPr>
        <w:t>. W rap</w:t>
      </w:r>
      <w:r w:rsidR="11DD617F" w:rsidRPr="00610401">
        <w:rPr>
          <w:noProof/>
        </w:rPr>
        <w:t>orcie specjalnym Międzyrządowego Zespołu ds. Zmian Klimatu („IPCC”)</w:t>
      </w:r>
      <w:r w:rsidR="11DD617F" w:rsidRPr="00610401">
        <w:rPr>
          <w:rStyle w:val="FootnoteReference"/>
          <w:rFonts w:eastAsia="Times New Roman"/>
          <w:noProof/>
        </w:rPr>
        <w:footnoteReference w:id="56"/>
      </w:r>
      <w:r w:rsidR="11DD617F" w:rsidRPr="00610401">
        <w:rPr>
          <w:noProof/>
        </w:rPr>
        <w:t xml:space="preserve"> na temat wpływu globalnego ocieplenia</w:t>
      </w:r>
      <w:r w:rsidR="00610401" w:rsidRPr="00610401">
        <w:rPr>
          <w:noProof/>
        </w:rPr>
        <w:t xml:space="preserve"> o 1</w:t>
      </w:r>
      <w:r w:rsidR="11DD617F" w:rsidRPr="00610401">
        <w:rPr>
          <w:noProof/>
        </w:rPr>
        <w:t>,5</w:t>
      </w:r>
      <w:r w:rsidR="00610401" w:rsidRPr="00610401">
        <w:rPr>
          <w:noProof/>
        </w:rPr>
        <w:t> </w:t>
      </w:r>
      <w:r w:rsidR="11DD617F" w:rsidRPr="00610401">
        <w:rPr>
          <w:noProof/>
        </w:rPr>
        <w:t>°C wskazano, że niektóre skutki mogą być długotrwałe lub nieodwracalne</w:t>
      </w:r>
      <w:r w:rsidR="00610401" w:rsidRPr="00610401">
        <w:rPr>
          <w:noProof/>
        </w:rPr>
        <w:t xml:space="preserve">. </w:t>
      </w:r>
      <w:r w:rsidR="00610401" w:rsidRPr="00610401">
        <w:rPr>
          <w:noProof/>
          <w:shd w:val="clear" w:color="auto" w:fill="FFFFFF"/>
        </w:rPr>
        <w:t>W</w:t>
      </w:r>
      <w:r w:rsidR="00610401" w:rsidRPr="00610401">
        <w:rPr>
          <w:noProof/>
        </w:rPr>
        <w:t> </w:t>
      </w:r>
      <w:r w:rsidR="00610401" w:rsidRPr="00610401">
        <w:rPr>
          <w:noProof/>
          <w:shd w:val="clear" w:color="auto" w:fill="FFFFFF"/>
        </w:rPr>
        <w:t>szó</w:t>
      </w:r>
      <w:r w:rsidR="11DD617F" w:rsidRPr="00610401">
        <w:rPr>
          <w:noProof/>
          <w:shd w:val="clear" w:color="auto" w:fill="FFFFFF"/>
        </w:rPr>
        <w:t>stym sprawozdaniu oceniającym IPCC</w:t>
      </w:r>
      <w:r w:rsidR="11DD617F" w:rsidRPr="00610401">
        <w:rPr>
          <w:rStyle w:val="FootnoteReference"/>
          <w:noProof/>
          <w:szCs w:val="24"/>
        </w:rPr>
        <w:footnoteReference w:id="57"/>
      </w:r>
      <w:r w:rsidR="11DD617F" w:rsidRPr="00610401">
        <w:rPr>
          <w:noProof/>
          <w:shd w:val="clear" w:color="auto" w:fill="FFFFFF"/>
        </w:rPr>
        <w:t xml:space="preserve"> stwierdzono, że odbudowa ekosystemów będzie miała zasadnicze znaczenie</w:t>
      </w:r>
      <w:r w:rsidR="00610401" w:rsidRPr="00610401">
        <w:rPr>
          <w:noProof/>
          <w:shd w:val="clear" w:color="auto" w:fill="FFFFFF"/>
        </w:rPr>
        <w:t xml:space="preserve"> w prz</w:t>
      </w:r>
      <w:r w:rsidR="11DD617F" w:rsidRPr="00610401">
        <w:rPr>
          <w:noProof/>
          <w:shd w:val="clear" w:color="auto" w:fill="FFFFFF"/>
        </w:rPr>
        <w:t>eciwdziałaniu zmianie klimatu oraz</w:t>
      </w:r>
      <w:r w:rsidR="00610401" w:rsidRPr="00610401">
        <w:rPr>
          <w:noProof/>
          <w:shd w:val="clear" w:color="auto" w:fill="FFFFFF"/>
        </w:rPr>
        <w:t xml:space="preserve"> w zmn</w:t>
      </w:r>
      <w:r w:rsidR="11DD617F" w:rsidRPr="00610401">
        <w:rPr>
          <w:noProof/>
          <w:shd w:val="clear" w:color="auto" w:fill="FFFFFF"/>
        </w:rPr>
        <w:t>iejszeniu zagrożeń dla bezpieczeństwa żywnościowego.</w:t>
      </w:r>
      <w:r w:rsidR="11DD617F" w:rsidRPr="00610401">
        <w:rPr>
          <w:noProof/>
        </w:rPr>
        <w:t xml:space="preserve"> Międzyrządowa Platforma Naukowo-Polityczna</w:t>
      </w:r>
      <w:r w:rsidR="00610401" w:rsidRPr="00610401">
        <w:rPr>
          <w:noProof/>
        </w:rPr>
        <w:t xml:space="preserve"> w spr</w:t>
      </w:r>
      <w:r w:rsidR="11DD617F" w:rsidRPr="00610401">
        <w:rPr>
          <w:noProof/>
        </w:rPr>
        <w:t>awie Różnorodności Biologicznej</w:t>
      </w:r>
      <w:r w:rsidR="00610401" w:rsidRPr="00610401">
        <w:rPr>
          <w:noProof/>
        </w:rPr>
        <w:t xml:space="preserve"> i Fun</w:t>
      </w:r>
      <w:r w:rsidR="11DD617F" w:rsidRPr="00610401">
        <w:rPr>
          <w:noProof/>
        </w:rPr>
        <w:t>kcjonowania Ekosystemów (IPBES)</w:t>
      </w:r>
      <w:r w:rsidR="00610401" w:rsidRPr="00610401">
        <w:rPr>
          <w:noProof/>
        </w:rPr>
        <w:t xml:space="preserve"> w spr</w:t>
      </w:r>
      <w:r w:rsidR="11DD617F" w:rsidRPr="00610401">
        <w:rPr>
          <w:noProof/>
        </w:rPr>
        <w:t>awozdaniu</w:t>
      </w:r>
      <w:r w:rsidR="00610401" w:rsidRPr="00610401">
        <w:rPr>
          <w:noProof/>
        </w:rPr>
        <w:t xml:space="preserve"> z 2</w:t>
      </w:r>
      <w:r w:rsidR="11DD617F" w:rsidRPr="00610401">
        <w:rPr>
          <w:noProof/>
        </w:rPr>
        <w:t>019</w:t>
      </w:r>
      <w:r w:rsidR="00610401" w:rsidRPr="00610401">
        <w:rPr>
          <w:noProof/>
        </w:rPr>
        <w:t> </w:t>
      </w:r>
      <w:r w:rsidR="11DD617F" w:rsidRPr="00610401">
        <w:rPr>
          <w:noProof/>
        </w:rPr>
        <w:t>r. na temat globalnej oceny różnorodności biologicznej</w:t>
      </w:r>
      <w:r w:rsidR="00610401" w:rsidRPr="00610401">
        <w:rPr>
          <w:noProof/>
        </w:rPr>
        <w:t xml:space="preserve"> i usł</w:t>
      </w:r>
      <w:r w:rsidR="11DD617F" w:rsidRPr="00610401">
        <w:rPr>
          <w:noProof/>
        </w:rPr>
        <w:t>ug ekosystemowych</w:t>
      </w:r>
      <w:r w:rsidR="11DD617F" w:rsidRPr="00610401">
        <w:rPr>
          <w:rStyle w:val="FootnoteReference"/>
          <w:noProof/>
        </w:rPr>
        <w:footnoteReference w:id="58"/>
      </w:r>
      <w:r w:rsidR="11DD617F" w:rsidRPr="00610401">
        <w:rPr>
          <w:noProof/>
        </w:rPr>
        <w:t xml:space="preserve"> uznała zmianę klimatu za kluczowy czynnik zmian</w:t>
      </w:r>
      <w:r w:rsidR="00610401" w:rsidRPr="00610401">
        <w:rPr>
          <w:noProof/>
        </w:rPr>
        <w:t xml:space="preserve"> w prz</w:t>
      </w:r>
      <w:r w:rsidR="11DD617F" w:rsidRPr="00610401">
        <w:rPr>
          <w:noProof/>
        </w:rPr>
        <w:t>yrodzie</w:t>
      </w:r>
      <w:r w:rsidR="00610401" w:rsidRPr="00610401">
        <w:rPr>
          <w:noProof/>
        </w:rPr>
        <w:t xml:space="preserve"> i ocz</w:t>
      </w:r>
      <w:r w:rsidR="11DD617F" w:rsidRPr="00610401">
        <w:rPr>
          <w:noProof/>
        </w:rPr>
        <w:t>ekuje, że</w:t>
      </w:r>
      <w:r w:rsidR="00610401" w:rsidRPr="00610401">
        <w:rPr>
          <w:noProof/>
        </w:rPr>
        <w:t xml:space="preserve"> w nad</w:t>
      </w:r>
      <w:r w:rsidR="11DD617F" w:rsidRPr="00610401">
        <w:rPr>
          <w:noProof/>
        </w:rPr>
        <w:t>chodzących dziesięcioleciach jej skutki będą się nasilać,</w:t>
      </w:r>
      <w:r w:rsidR="00610401" w:rsidRPr="00610401">
        <w:rPr>
          <w:noProof/>
        </w:rPr>
        <w:t xml:space="preserve"> w nie</w:t>
      </w:r>
      <w:r w:rsidR="11DD617F" w:rsidRPr="00610401">
        <w:rPr>
          <w:noProof/>
        </w:rPr>
        <w:t>których przypadkach przewyższając wpływ innych czynników powodujących zmiany</w:t>
      </w:r>
      <w:r w:rsidR="00610401" w:rsidRPr="00610401">
        <w:rPr>
          <w:noProof/>
        </w:rPr>
        <w:t xml:space="preserve"> w eko</w:t>
      </w:r>
      <w:r w:rsidR="11DD617F" w:rsidRPr="00610401">
        <w:rPr>
          <w:noProof/>
        </w:rPr>
        <w:t>systemie, takich jak zmiana użytkowania gruntów</w:t>
      </w:r>
      <w:r w:rsidR="00610401" w:rsidRPr="00610401">
        <w:rPr>
          <w:noProof/>
        </w:rPr>
        <w:t xml:space="preserve"> i mór</w:t>
      </w:r>
      <w:r w:rsidR="11DD617F" w:rsidRPr="00610401">
        <w:rPr>
          <w:noProof/>
        </w:rPr>
        <w:t xml:space="preserve">z. </w:t>
      </w:r>
    </w:p>
    <w:p w:rsidR="005E6A9E" w:rsidRPr="00610401" w:rsidRDefault="009F5C98" w:rsidP="009F5C98">
      <w:pPr>
        <w:pStyle w:val="ManualConsidrant"/>
        <w:rPr>
          <w:noProof/>
        </w:rPr>
      </w:pPr>
      <w:r w:rsidRPr="009F5C98">
        <w:t>(16)</w:t>
      </w:r>
      <w:r w:rsidRPr="009F5C98">
        <w:tab/>
      </w:r>
      <w:r w:rsidR="000B7636" w:rsidRPr="00610401">
        <w:rPr>
          <w:noProof/>
        </w:rPr>
        <w:t>W rozporządzeniu Parlamentu Europejskiego</w:t>
      </w:r>
      <w:r w:rsidR="00610401" w:rsidRPr="00610401">
        <w:rPr>
          <w:noProof/>
        </w:rPr>
        <w:t xml:space="preserve"> i Rad</w:t>
      </w:r>
      <w:r w:rsidR="000B7636" w:rsidRPr="00610401">
        <w:rPr>
          <w:noProof/>
        </w:rPr>
        <w:t>y (UE) 2021/1119</w:t>
      </w:r>
      <w:r w:rsidR="000B7636" w:rsidRPr="00610401">
        <w:rPr>
          <w:rStyle w:val="FootnoteReference"/>
          <w:rFonts w:eastAsia="Times New Roman"/>
          <w:noProof/>
          <w:szCs w:val="24"/>
        </w:rPr>
        <w:footnoteReference w:id="59"/>
      </w:r>
      <w:r w:rsidR="000B7636" w:rsidRPr="00610401">
        <w:rPr>
          <w:noProof/>
        </w:rPr>
        <w:t xml:space="preserve"> określono wiążący cel polegający na osiągnięciu neutralności klimatycznej</w:t>
      </w:r>
      <w:r w:rsidR="00610401" w:rsidRPr="00610401">
        <w:rPr>
          <w:noProof/>
        </w:rPr>
        <w:t xml:space="preserve"> w Uni</w:t>
      </w:r>
      <w:r w:rsidR="000B7636" w:rsidRPr="00610401">
        <w:rPr>
          <w:noProof/>
        </w:rPr>
        <w:t>i do</w:t>
      </w:r>
      <w:r w:rsidR="00610401" w:rsidRPr="00610401">
        <w:rPr>
          <w:noProof/>
        </w:rPr>
        <w:t> </w:t>
      </w:r>
      <w:r w:rsidR="000B7636" w:rsidRPr="00610401">
        <w:rPr>
          <w:noProof/>
        </w:rPr>
        <w:t>2050</w:t>
      </w:r>
      <w:r w:rsidR="00610401" w:rsidRPr="00610401">
        <w:rPr>
          <w:noProof/>
        </w:rPr>
        <w:t> </w:t>
      </w:r>
      <w:r w:rsidR="000B7636" w:rsidRPr="00610401">
        <w:rPr>
          <w:noProof/>
        </w:rPr>
        <w:t>r.,</w:t>
      </w:r>
      <w:r w:rsidR="00610401" w:rsidRPr="00610401">
        <w:rPr>
          <w:noProof/>
        </w:rPr>
        <w:t xml:space="preserve"> a nas</w:t>
      </w:r>
      <w:r w:rsidR="000B7636" w:rsidRPr="00610401">
        <w:rPr>
          <w:noProof/>
        </w:rPr>
        <w:t>tępnie dążeniu do ujemnego bilansu emisji, jak również priorytetowym traktowaniu szybkich</w:t>
      </w:r>
      <w:r w:rsidR="00610401" w:rsidRPr="00610401">
        <w:rPr>
          <w:noProof/>
        </w:rPr>
        <w:t xml:space="preserve"> i prz</w:t>
      </w:r>
      <w:r w:rsidR="000B7636" w:rsidRPr="00610401">
        <w:rPr>
          <w:noProof/>
        </w:rPr>
        <w:t>ewidywalnych sposobów redukcji emisji oraz jednoczesnym zwiększaniu pochłaniania przez naturalne pochłaniacze. Odbudowa ekosystemów może</w:t>
      </w:r>
      <w:r w:rsidR="00610401" w:rsidRPr="00610401">
        <w:rPr>
          <w:noProof/>
        </w:rPr>
        <w:t xml:space="preserve"> w zna</w:t>
      </w:r>
      <w:r w:rsidR="000B7636" w:rsidRPr="00610401">
        <w:rPr>
          <w:noProof/>
        </w:rPr>
        <w:t>cznym stopniu przyczynić się do utrzymania naturalnych pochłaniaczy, zarządzania nimi</w:t>
      </w:r>
      <w:r w:rsidR="00610401" w:rsidRPr="00610401">
        <w:rPr>
          <w:noProof/>
        </w:rPr>
        <w:t xml:space="preserve"> i ich</w:t>
      </w:r>
      <w:r w:rsidR="000B7636" w:rsidRPr="00610401">
        <w:rPr>
          <w:noProof/>
        </w:rPr>
        <w:t xml:space="preserve"> wzmacniania,</w:t>
      </w:r>
      <w:r w:rsidR="00610401" w:rsidRPr="00610401">
        <w:rPr>
          <w:noProof/>
        </w:rPr>
        <w:t xml:space="preserve"> a tak</w:t>
      </w:r>
      <w:r w:rsidR="000B7636" w:rsidRPr="00610401">
        <w:rPr>
          <w:noProof/>
        </w:rPr>
        <w:t>że do zwiększenia różnorodności biologicznej przy jednoczesnym przeciwdziałaniu zmianie klimatu</w:t>
      </w:r>
      <w:r w:rsidR="00610401" w:rsidRPr="00610401">
        <w:rPr>
          <w:noProof/>
        </w:rPr>
        <w:t>. W roz</w:t>
      </w:r>
      <w:r w:rsidR="000B7636" w:rsidRPr="00610401">
        <w:rPr>
          <w:noProof/>
        </w:rPr>
        <w:t>porządzeniu (UE) 2021/1119 nałożono również na odpowiednie instytucje Unii</w:t>
      </w:r>
      <w:r w:rsidR="00610401" w:rsidRPr="00610401">
        <w:rPr>
          <w:noProof/>
        </w:rPr>
        <w:t xml:space="preserve"> i pań</w:t>
      </w:r>
      <w:r w:rsidR="000B7636" w:rsidRPr="00610401">
        <w:rPr>
          <w:noProof/>
        </w:rPr>
        <w:t>stw członkowskich wymóg zapewniania ciągłych postępów</w:t>
      </w:r>
      <w:r w:rsidR="00610401" w:rsidRPr="00610401">
        <w:rPr>
          <w:noProof/>
        </w:rPr>
        <w:t xml:space="preserve"> w zwi</w:t>
      </w:r>
      <w:r w:rsidR="000B7636" w:rsidRPr="00610401">
        <w:rPr>
          <w:noProof/>
        </w:rPr>
        <w:t>ększaniu zdolności przystosowawczych, wzmacnianiu odporności</w:t>
      </w:r>
      <w:r w:rsidR="00610401" w:rsidRPr="00610401">
        <w:rPr>
          <w:noProof/>
        </w:rPr>
        <w:t xml:space="preserve"> i zmn</w:t>
      </w:r>
      <w:r w:rsidR="000B7636" w:rsidRPr="00610401">
        <w:rPr>
          <w:noProof/>
        </w:rPr>
        <w:t>iejszaniu podatności na skutki zmiany klimatu. Wymaga ono również od państw członkowskich włączenia kwestii przystosowania się do wszystkich obszarów polityki oraz promowania rozwiązań opartych na przyrodzie</w:t>
      </w:r>
      <w:r w:rsidR="000B7636" w:rsidRPr="00610401">
        <w:rPr>
          <w:rStyle w:val="FootnoteReference"/>
          <w:rFonts w:eastAsia="Times New Roman"/>
          <w:noProof/>
        </w:rPr>
        <w:footnoteReference w:id="60"/>
      </w:r>
      <w:r w:rsidR="00610401" w:rsidRPr="00610401">
        <w:rPr>
          <w:noProof/>
        </w:rPr>
        <w:t xml:space="preserve"> i prz</w:t>
      </w:r>
      <w:r w:rsidR="000B7636" w:rsidRPr="00610401">
        <w:rPr>
          <w:noProof/>
        </w:rPr>
        <w:t xml:space="preserve">ystosowania się opartego na ekosystemach. </w:t>
      </w:r>
    </w:p>
    <w:p w:rsidR="002E001E" w:rsidRPr="00610401" w:rsidRDefault="009F5C98" w:rsidP="009F5C98">
      <w:pPr>
        <w:pStyle w:val="ManualConsidrant"/>
        <w:rPr>
          <w:noProof/>
          <w:szCs w:val="24"/>
        </w:rPr>
      </w:pPr>
      <w:r w:rsidRPr="009F5C98">
        <w:t>(17)</w:t>
      </w:r>
      <w:r w:rsidRPr="009F5C98">
        <w:tab/>
      </w:r>
      <w:r w:rsidR="00C646A1" w:rsidRPr="00610401">
        <w:rPr>
          <w:noProof/>
        </w:rPr>
        <w:t>W komunikacie Komisji</w:t>
      </w:r>
      <w:r w:rsidR="00610401" w:rsidRPr="00610401">
        <w:rPr>
          <w:noProof/>
        </w:rPr>
        <w:t xml:space="preserve"> w spr</w:t>
      </w:r>
      <w:r w:rsidR="00C646A1" w:rsidRPr="00610401">
        <w:rPr>
          <w:noProof/>
        </w:rPr>
        <w:t>awie przystosowania się do zmiany klimatu od</w:t>
      </w:r>
      <w:r w:rsidR="00610401" w:rsidRPr="00610401">
        <w:rPr>
          <w:noProof/>
        </w:rPr>
        <w:t> </w:t>
      </w:r>
      <w:r w:rsidR="00C646A1" w:rsidRPr="00610401">
        <w:rPr>
          <w:noProof/>
        </w:rPr>
        <w:t>2021</w:t>
      </w:r>
      <w:r w:rsidR="00610401" w:rsidRPr="00610401">
        <w:rPr>
          <w:noProof/>
        </w:rPr>
        <w:t> </w:t>
      </w:r>
      <w:r w:rsidR="00C646A1" w:rsidRPr="00610401">
        <w:rPr>
          <w:noProof/>
        </w:rPr>
        <w:t>r.</w:t>
      </w:r>
      <w:r w:rsidR="00C646A1" w:rsidRPr="00610401">
        <w:rPr>
          <w:rStyle w:val="FootnoteReference"/>
          <w:rFonts w:eastAsia="Times New Roman"/>
          <w:noProof/>
          <w:szCs w:val="24"/>
        </w:rPr>
        <w:footnoteReference w:id="61"/>
      </w:r>
      <w:r w:rsidR="00C646A1" w:rsidRPr="00610401">
        <w:rPr>
          <w:noProof/>
          <w:vertAlign w:val="superscript"/>
        </w:rPr>
        <w:t xml:space="preserve"> </w:t>
      </w:r>
      <w:r w:rsidR="00C646A1" w:rsidRPr="00610401">
        <w:rPr>
          <w:noProof/>
        </w:rPr>
        <w:t>podkreślono potrzebę propagowania rozwiązań opartych na przyrodzie</w:t>
      </w:r>
      <w:r w:rsidR="00610401" w:rsidRPr="00610401">
        <w:rPr>
          <w:noProof/>
        </w:rPr>
        <w:t xml:space="preserve"> i uzn</w:t>
      </w:r>
      <w:r w:rsidR="00C646A1" w:rsidRPr="00610401">
        <w:rPr>
          <w:noProof/>
        </w:rPr>
        <w:t>ano, że przystosowanie się do zmiany klimatu</w:t>
      </w:r>
      <w:r w:rsidR="00610401" w:rsidRPr="00610401">
        <w:rPr>
          <w:noProof/>
        </w:rPr>
        <w:t xml:space="preserve"> w spo</w:t>
      </w:r>
      <w:r w:rsidR="00C646A1" w:rsidRPr="00610401">
        <w:rPr>
          <w:noProof/>
        </w:rPr>
        <w:t>sób racjonalny pod względem kosztów jest możliwe dzięki ochronie</w:t>
      </w:r>
      <w:r w:rsidR="00610401" w:rsidRPr="00610401">
        <w:rPr>
          <w:noProof/>
        </w:rPr>
        <w:t xml:space="preserve"> i odt</w:t>
      </w:r>
      <w:r w:rsidR="00C646A1" w:rsidRPr="00610401">
        <w:rPr>
          <w:noProof/>
        </w:rPr>
        <w:t>warzaniu terenów podmokłych</w:t>
      </w:r>
      <w:r w:rsidR="00610401" w:rsidRPr="00610401">
        <w:rPr>
          <w:noProof/>
        </w:rPr>
        <w:t xml:space="preserve"> i tor</w:t>
      </w:r>
      <w:r w:rsidR="00C646A1" w:rsidRPr="00610401">
        <w:rPr>
          <w:noProof/>
        </w:rPr>
        <w:t>fowisk oraz ekosystemów przybrzeżnych</w:t>
      </w:r>
      <w:r w:rsidR="00610401" w:rsidRPr="00610401">
        <w:rPr>
          <w:noProof/>
        </w:rPr>
        <w:t xml:space="preserve"> i mor</w:t>
      </w:r>
      <w:r w:rsidR="00C646A1" w:rsidRPr="00610401">
        <w:rPr>
          <w:noProof/>
        </w:rPr>
        <w:t>skich, rozwijaniu zielonych przestrzeni miejskich oraz budowie zielonych dachów</w:t>
      </w:r>
      <w:r w:rsidR="00610401" w:rsidRPr="00610401">
        <w:rPr>
          <w:noProof/>
        </w:rPr>
        <w:t xml:space="preserve"> i ści</w:t>
      </w:r>
      <w:r w:rsidR="00C646A1" w:rsidRPr="00610401">
        <w:rPr>
          <w:noProof/>
        </w:rPr>
        <w:t>an,</w:t>
      </w:r>
      <w:r w:rsidR="00610401" w:rsidRPr="00610401">
        <w:rPr>
          <w:noProof/>
        </w:rPr>
        <w:t xml:space="preserve"> a tak</w:t>
      </w:r>
      <w:r w:rsidR="00C646A1" w:rsidRPr="00610401">
        <w:rPr>
          <w:noProof/>
        </w:rPr>
        <w:t>że propagowaniu</w:t>
      </w:r>
      <w:r w:rsidR="00610401" w:rsidRPr="00610401">
        <w:rPr>
          <w:noProof/>
        </w:rPr>
        <w:t xml:space="preserve"> i pro</w:t>
      </w:r>
      <w:r w:rsidR="00C646A1" w:rsidRPr="00610401">
        <w:rPr>
          <w:noProof/>
        </w:rPr>
        <w:t>wadzeniu zrównoważonego gospodarowania lasami</w:t>
      </w:r>
      <w:r w:rsidR="00610401" w:rsidRPr="00610401">
        <w:rPr>
          <w:noProof/>
        </w:rPr>
        <w:t xml:space="preserve"> i gru</w:t>
      </w:r>
      <w:r w:rsidR="00C646A1" w:rsidRPr="00610401">
        <w:rPr>
          <w:noProof/>
        </w:rPr>
        <w:t>ntami rolnymi. Większa liczba różnorodnych biologicznie ekosystemów oznacza większą odporność na zmianę klimatu oraz zapewnia skuteczniejsze formy zmniejszania ryzyka związanego</w:t>
      </w:r>
      <w:r w:rsidR="00610401" w:rsidRPr="00610401">
        <w:rPr>
          <w:noProof/>
        </w:rPr>
        <w:t xml:space="preserve"> z klę</w:t>
      </w:r>
      <w:r w:rsidR="00C646A1" w:rsidRPr="00610401">
        <w:rPr>
          <w:noProof/>
        </w:rPr>
        <w:t>skami żywiołowymi</w:t>
      </w:r>
      <w:r w:rsidR="00610401" w:rsidRPr="00610401">
        <w:rPr>
          <w:noProof/>
        </w:rPr>
        <w:t xml:space="preserve"> i zap</w:t>
      </w:r>
      <w:r w:rsidR="00C646A1" w:rsidRPr="00610401">
        <w:rPr>
          <w:noProof/>
        </w:rPr>
        <w:t>obiegania takim klęskom.</w:t>
      </w:r>
    </w:p>
    <w:p w:rsidR="002E001E" w:rsidRPr="00610401" w:rsidRDefault="009F5C98" w:rsidP="009F5C98">
      <w:pPr>
        <w:pStyle w:val="ManualConsidrant"/>
        <w:rPr>
          <w:rFonts w:eastAsiaTheme="minorEastAsia"/>
          <w:noProof/>
          <w:szCs w:val="24"/>
        </w:rPr>
      </w:pPr>
      <w:r w:rsidRPr="009F5C98">
        <w:t>(18)</w:t>
      </w:r>
      <w:r w:rsidRPr="009F5C98">
        <w:tab/>
      </w:r>
      <w:r w:rsidR="11DD617F" w:rsidRPr="00610401">
        <w:rPr>
          <w:noProof/>
          <w:color w:val="000000" w:themeColor="text1"/>
        </w:rPr>
        <w:t xml:space="preserve">Unijna </w:t>
      </w:r>
      <w:r w:rsidR="11DD617F" w:rsidRPr="00610401">
        <w:rPr>
          <w:noProof/>
        </w:rPr>
        <w:t>polityka klimatyczna jest obecnie poddawana przeglądowi</w:t>
      </w:r>
      <w:r w:rsidR="00610401" w:rsidRPr="00610401">
        <w:rPr>
          <w:noProof/>
        </w:rPr>
        <w:t xml:space="preserve"> w cel</w:t>
      </w:r>
      <w:r w:rsidR="11DD617F" w:rsidRPr="00610401">
        <w:rPr>
          <w:noProof/>
        </w:rPr>
        <w:t>u dostosowania jej do zaproponowanej</w:t>
      </w:r>
      <w:r w:rsidR="00610401" w:rsidRPr="00610401">
        <w:rPr>
          <w:noProof/>
        </w:rPr>
        <w:t xml:space="preserve"> w roz</w:t>
      </w:r>
      <w:r w:rsidR="11DD617F" w:rsidRPr="00610401">
        <w:rPr>
          <w:noProof/>
        </w:rPr>
        <w:t>porządzeniu (UE) 2021/1119 ścieżki redukcji emisji netto o co najmniej 55</w:t>
      </w:r>
      <w:r w:rsidR="00610401" w:rsidRPr="00610401">
        <w:rPr>
          <w:noProof/>
        </w:rPr>
        <w:t> </w:t>
      </w:r>
      <w:r w:rsidR="11DD617F" w:rsidRPr="00610401">
        <w:rPr>
          <w:noProof/>
        </w:rPr>
        <w:t>% do</w:t>
      </w:r>
      <w:r w:rsidR="00610401" w:rsidRPr="00610401">
        <w:rPr>
          <w:noProof/>
        </w:rPr>
        <w:t> </w:t>
      </w:r>
      <w:r w:rsidR="11DD617F" w:rsidRPr="00610401">
        <w:rPr>
          <w:noProof/>
        </w:rPr>
        <w:t>2030</w:t>
      </w:r>
      <w:r w:rsidR="00610401" w:rsidRPr="00610401">
        <w:rPr>
          <w:noProof/>
        </w:rPr>
        <w:t> </w:t>
      </w:r>
      <w:r w:rsidR="11DD617F" w:rsidRPr="00610401">
        <w:rPr>
          <w:noProof/>
        </w:rPr>
        <w:t>r.</w:t>
      </w:r>
      <w:r w:rsidR="00610401" w:rsidRPr="00610401">
        <w:rPr>
          <w:noProof/>
        </w:rPr>
        <w:t xml:space="preserve"> w por</w:t>
      </w:r>
      <w:r w:rsidR="11DD617F" w:rsidRPr="00610401">
        <w:rPr>
          <w:noProof/>
        </w:rPr>
        <w:t>ównaniu</w:t>
      </w:r>
      <w:r w:rsidR="00610401" w:rsidRPr="00610401">
        <w:rPr>
          <w:noProof/>
        </w:rPr>
        <w:t xml:space="preserve"> z 1</w:t>
      </w:r>
      <w:r w:rsidR="11DD617F" w:rsidRPr="00610401">
        <w:rPr>
          <w:noProof/>
        </w:rPr>
        <w:t>990</w:t>
      </w:r>
      <w:r w:rsidR="00610401" w:rsidRPr="00610401">
        <w:rPr>
          <w:noProof/>
        </w:rPr>
        <w:t> </w:t>
      </w:r>
      <w:r w:rsidR="11DD617F" w:rsidRPr="00610401">
        <w:rPr>
          <w:noProof/>
        </w:rPr>
        <w:t>r</w:t>
      </w:r>
      <w:r w:rsidR="00610401" w:rsidRPr="00610401">
        <w:rPr>
          <w:noProof/>
        </w:rPr>
        <w:t>. W szc</w:t>
      </w:r>
      <w:r w:rsidR="11DD617F" w:rsidRPr="00610401">
        <w:rPr>
          <w:noProof/>
        </w:rPr>
        <w:t>zególności wniosek dotyczący rozporządzenia Parlamentu Europejskiego</w:t>
      </w:r>
      <w:r w:rsidR="00610401" w:rsidRPr="00610401">
        <w:rPr>
          <w:noProof/>
        </w:rPr>
        <w:t xml:space="preserve"> i Rad</w:t>
      </w:r>
      <w:r w:rsidR="11DD617F" w:rsidRPr="00610401">
        <w:rPr>
          <w:noProof/>
        </w:rPr>
        <w:t>y zmieniającego rozporządzenia (UE) 2018/841 i (UE) 2018/1999</w:t>
      </w:r>
      <w:r w:rsidR="11DD617F" w:rsidRPr="00610401">
        <w:rPr>
          <w:rStyle w:val="FootnoteReference"/>
          <w:rFonts w:eastAsia="Times New Roman"/>
          <w:noProof/>
        </w:rPr>
        <w:footnoteReference w:id="62"/>
      </w:r>
      <w:r w:rsidR="11DD617F" w:rsidRPr="00610401">
        <w:rPr>
          <w:noProof/>
        </w:rPr>
        <w:t xml:space="preserve"> ma na celu zwiększenie wkładu sektora gruntów</w:t>
      </w:r>
      <w:r w:rsidR="00610401" w:rsidRPr="00610401">
        <w:rPr>
          <w:noProof/>
        </w:rPr>
        <w:t xml:space="preserve"> w ogó</w:t>
      </w:r>
      <w:r w:rsidR="11DD617F" w:rsidRPr="00610401">
        <w:rPr>
          <w:noProof/>
        </w:rPr>
        <w:t>lne ambitne cele klimatyczne na</w:t>
      </w:r>
      <w:r w:rsidR="00610401" w:rsidRPr="00610401">
        <w:rPr>
          <w:noProof/>
        </w:rPr>
        <w:t> </w:t>
      </w:r>
      <w:r w:rsidR="11DD617F" w:rsidRPr="00610401">
        <w:rPr>
          <w:noProof/>
        </w:rPr>
        <w:t>2030</w:t>
      </w:r>
      <w:r w:rsidR="00610401" w:rsidRPr="00610401">
        <w:rPr>
          <w:noProof/>
        </w:rPr>
        <w:t> </w:t>
      </w:r>
      <w:r w:rsidR="11DD617F" w:rsidRPr="00610401">
        <w:rPr>
          <w:noProof/>
        </w:rPr>
        <w:t>r.</w:t>
      </w:r>
      <w:r w:rsidR="00610401" w:rsidRPr="00610401">
        <w:rPr>
          <w:noProof/>
        </w:rPr>
        <w:t xml:space="preserve"> i dos</w:t>
      </w:r>
      <w:r w:rsidR="11DD617F" w:rsidRPr="00610401">
        <w:rPr>
          <w:noProof/>
        </w:rPr>
        <w:t>tosowuje cele</w:t>
      </w:r>
      <w:r w:rsidR="00610401" w:rsidRPr="00610401">
        <w:rPr>
          <w:noProof/>
        </w:rPr>
        <w:t xml:space="preserve"> w zak</w:t>
      </w:r>
      <w:r w:rsidR="11DD617F" w:rsidRPr="00610401">
        <w:rPr>
          <w:noProof/>
        </w:rPr>
        <w:t>resie rozliczania emisji</w:t>
      </w:r>
      <w:r w:rsidR="00610401" w:rsidRPr="00610401">
        <w:rPr>
          <w:noProof/>
        </w:rPr>
        <w:t xml:space="preserve"> i ich</w:t>
      </w:r>
      <w:r w:rsidR="11DD617F" w:rsidRPr="00610401">
        <w:rPr>
          <w:noProof/>
        </w:rPr>
        <w:t xml:space="preserve"> pochłaniania</w:t>
      </w:r>
      <w:r w:rsidR="00610401" w:rsidRPr="00610401">
        <w:rPr>
          <w:noProof/>
        </w:rPr>
        <w:t xml:space="preserve"> w sek</w:t>
      </w:r>
      <w:r w:rsidR="11DD617F" w:rsidRPr="00610401">
        <w:rPr>
          <w:noProof/>
        </w:rPr>
        <w:t>torze użytkowania gruntów, zmiany użytkowania gruntów</w:t>
      </w:r>
      <w:r w:rsidR="00610401" w:rsidRPr="00610401">
        <w:rPr>
          <w:noProof/>
        </w:rPr>
        <w:t xml:space="preserve"> i leś</w:t>
      </w:r>
      <w:r w:rsidR="11DD617F" w:rsidRPr="00610401">
        <w:rPr>
          <w:noProof/>
        </w:rPr>
        <w:t>nictwa („LULUCF”) do powiązanych inicjatyw politycznych dotyczących różnorodności biologicznej. We wniosku tym położono nacisk na potrzebę ochrony</w:t>
      </w:r>
      <w:r w:rsidR="00610401" w:rsidRPr="00610401">
        <w:rPr>
          <w:noProof/>
        </w:rPr>
        <w:t xml:space="preserve"> i zwi</w:t>
      </w:r>
      <w:r w:rsidR="11DD617F" w:rsidRPr="00610401">
        <w:rPr>
          <w:noProof/>
        </w:rPr>
        <w:t>ększenia pochłaniania dwutlenku węgla</w:t>
      </w:r>
      <w:r w:rsidR="00610401" w:rsidRPr="00610401">
        <w:rPr>
          <w:noProof/>
        </w:rPr>
        <w:t xml:space="preserve"> w opa</w:t>
      </w:r>
      <w:r w:rsidR="11DD617F" w:rsidRPr="00610401">
        <w:rPr>
          <w:noProof/>
        </w:rPr>
        <w:t>rciu</w:t>
      </w:r>
      <w:r w:rsidR="00610401" w:rsidRPr="00610401">
        <w:rPr>
          <w:noProof/>
        </w:rPr>
        <w:t xml:space="preserve"> o zas</w:t>
      </w:r>
      <w:r w:rsidR="11DD617F" w:rsidRPr="00610401">
        <w:rPr>
          <w:noProof/>
        </w:rPr>
        <w:t>oby przyrody, zwiększenia odporności ekosystemów na zmianę klimatu, odbudowy zdegradowanych terenów</w:t>
      </w:r>
      <w:r w:rsidR="00610401" w:rsidRPr="00610401">
        <w:rPr>
          <w:noProof/>
        </w:rPr>
        <w:t xml:space="preserve"> i eko</w:t>
      </w:r>
      <w:r w:rsidR="11DD617F" w:rsidRPr="00610401">
        <w:rPr>
          <w:noProof/>
        </w:rPr>
        <w:t>systemów oraz ponownego nawadniania torfowisk. Ma on również na celu poprawę monitorowania</w:t>
      </w:r>
      <w:r w:rsidR="00610401" w:rsidRPr="00610401">
        <w:rPr>
          <w:noProof/>
        </w:rPr>
        <w:t xml:space="preserve"> i spr</w:t>
      </w:r>
      <w:r w:rsidR="11DD617F" w:rsidRPr="00610401">
        <w:rPr>
          <w:noProof/>
        </w:rPr>
        <w:t>awozdawczości</w:t>
      </w:r>
      <w:r w:rsidR="00610401" w:rsidRPr="00610401">
        <w:rPr>
          <w:noProof/>
        </w:rPr>
        <w:t xml:space="preserve"> w zak</w:t>
      </w:r>
      <w:r w:rsidR="11DD617F" w:rsidRPr="00610401">
        <w:rPr>
          <w:noProof/>
        </w:rPr>
        <w:t>resie emisji</w:t>
      </w:r>
      <w:r w:rsidR="00610401" w:rsidRPr="00610401">
        <w:rPr>
          <w:noProof/>
        </w:rPr>
        <w:t xml:space="preserve"> i poc</w:t>
      </w:r>
      <w:r w:rsidR="11DD617F" w:rsidRPr="00610401">
        <w:rPr>
          <w:noProof/>
        </w:rPr>
        <w:t>hłaniania gazów cieplarnianych</w:t>
      </w:r>
      <w:r w:rsidR="00610401" w:rsidRPr="00610401">
        <w:rPr>
          <w:noProof/>
        </w:rPr>
        <w:t xml:space="preserve"> w odn</w:t>
      </w:r>
      <w:r w:rsidR="11DD617F" w:rsidRPr="00610401">
        <w:rPr>
          <w:noProof/>
        </w:rPr>
        <w:t>iesieniu do terenów podlegających ochronie</w:t>
      </w:r>
      <w:r w:rsidR="00610401" w:rsidRPr="00610401">
        <w:rPr>
          <w:noProof/>
        </w:rPr>
        <w:t xml:space="preserve"> i odb</w:t>
      </w:r>
      <w:r w:rsidR="11DD617F" w:rsidRPr="00610401">
        <w:rPr>
          <w:noProof/>
        </w:rPr>
        <w:t>udowie</w:t>
      </w:r>
      <w:r w:rsidR="00610401" w:rsidRPr="00610401">
        <w:rPr>
          <w:noProof/>
        </w:rPr>
        <w:t>. W tym</w:t>
      </w:r>
      <w:r w:rsidR="11DD617F" w:rsidRPr="00610401">
        <w:rPr>
          <w:noProof/>
        </w:rPr>
        <w:t xml:space="preserve"> kontekście ważne jest, aby ekosystemy na gruntach wszystkich kategorii,</w:t>
      </w:r>
      <w:r w:rsidR="00610401" w:rsidRPr="00610401">
        <w:rPr>
          <w:noProof/>
        </w:rPr>
        <w:t xml:space="preserve"> w tym</w:t>
      </w:r>
      <w:r w:rsidR="11DD617F" w:rsidRPr="00610401">
        <w:rPr>
          <w:noProof/>
        </w:rPr>
        <w:t xml:space="preserve"> lasy, obszary trawiaste, grunty uprawne</w:t>
      </w:r>
      <w:r w:rsidR="00610401" w:rsidRPr="00610401">
        <w:rPr>
          <w:noProof/>
        </w:rPr>
        <w:t xml:space="preserve"> i ter</w:t>
      </w:r>
      <w:r w:rsidR="11DD617F" w:rsidRPr="00610401">
        <w:rPr>
          <w:noProof/>
        </w:rPr>
        <w:t>eny podmokłe, były</w:t>
      </w:r>
      <w:r w:rsidR="00610401" w:rsidRPr="00610401">
        <w:rPr>
          <w:noProof/>
        </w:rPr>
        <w:t xml:space="preserve"> w dob</w:t>
      </w:r>
      <w:r w:rsidR="11DD617F" w:rsidRPr="00610401">
        <w:rPr>
          <w:noProof/>
        </w:rPr>
        <w:t>rym stanie, aby mogły skutecznie wychwytywać</w:t>
      </w:r>
      <w:r w:rsidR="00610401" w:rsidRPr="00610401">
        <w:rPr>
          <w:noProof/>
        </w:rPr>
        <w:t xml:space="preserve"> i skł</w:t>
      </w:r>
      <w:r w:rsidR="11DD617F" w:rsidRPr="00610401">
        <w:rPr>
          <w:noProof/>
        </w:rPr>
        <w:t>adować dwutlenek węgla.</w:t>
      </w:r>
    </w:p>
    <w:p w:rsidR="009503BE" w:rsidRPr="00610401" w:rsidRDefault="009F5C98" w:rsidP="009F5C98">
      <w:pPr>
        <w:pStyle w:val="ManualConsidrant"/>
        <w:rPr>
          <w:noProof/>
        </w:rPr>
      </w:pPr>
      <w:r w:rsidRPr="009F5C98">
        <w:t>(19)</w:t>
      </w:r>
      <w:r w:rsidRPr="009F5C98">
        <w:tab/>
      </w:r>
      <w:r w:rsidR="009503BE" w:rsidRPr="00610401">
        <w:rPr>
          <w:noProof/>
        </w:rPr>
        <w:t>Zmiany geopolityczne jeszcze bardziej uwypukliły potrzebę ochrony odporności systemów żywnościowych</w:t>
      </w:r>
      <w:r w:rsidR="009503BE" w:rsidRPr="00610401">
        <w:rPr>
          <w:rStyle w:val="FootnoteReference"/>
          <w:rFonts w:eastAsia="Times New Roman"/>
          <w:noProof/>
        </w:rPr>
        <w:footnoteReference w:id="63"/>
      </w:r>
      <w:r w:rsidR="009503BE" w:rsidRPr="00610401">
        <w:rPr>
          <w:noProof/>
        </w:rPr>
        <w:t>. Dowody wskazują, że odbudowa ekosystemów rolniczych ma pozytywny wpływ na wydajność produkcji żywności</w:t>
      </w:r>
      <w:r w:rsidR="00610401" w:rsidRPr="00610401">
        <w:rPr>
          <w:noProof/>
        </w:rPr>
        <w:t xml:space="preserve"> w per</w:t>
      </w:r>
      <w:r w:rsidR="009503BE" w:rsidRPr="00610401">
        <w:rPr>
          <w:noProof/>
        </w:rPr>
        <w:t>spektywie długoterminowej,</w:t>
      </w:r>
      <w:r w:rsidR="00610401" w:rsidRPr="00610401">
        <w:rPr>
          <w:noProof/>
        </w:rPr>
        <w:t xml:space="preserve"> a odb</w:t>
      </w:r>
      <w:r w:rsidR="009503BE" w:rsidRPr="00610401">
        <w:rPr>
          <w:noProof/>
        </w:rPr>
        <w:t>udowa zasobów przyrody stanowi polisę ubezpieczeniową długoterminowej stabilności</w:t>
      </w:r>
      <w:r w:rsidR="00610401" w:rsidRPr="00610401">
        <w:rPr>
          <w:noProof/>
        </w:rPr>
        <w:t xml:space="preserve"> i odp</w:t>
      </w:r>
      <w:r w:rsidR="009503BE" w:rsidRPr="00610401">
        <w:rPr>
          <w:noProof/>
        </w:rPr>
        <w:t>orności UE.</w:t>
      </w:r>
    </w:p>
    <w:p w:rsidR="0094744A" w:rsidRPr="00610401" w:rsidRDefault="009F5C98" w:rsidP="009F5C98">
      <w:pPr>
        <w:pStyle w:val="ManualConsidrant"/>
        <w:rPr>
          <w:rFonts w:eastAsia="Times New Roman"/>
          <w:noProof/>
          <w:szCs w:val="24"/>
        </w:rPr>
      </w:pPr>
      <w:r w:rsidRPr="009F5C98">
        <w:t>(20)</w:t>
      </w:r>
      <w:r w:rsidRPr="009F5C98">
        <w:tab/>
      </w:r>
      <w:r w:rsidR="008557A1" w:rsidRPr="00610401">
        <w:rPr>
          <w:noProof/>
        </w:rPr>
        <w:t>W sprawozdaniu końcowym</w:t>
      </w:r>
      <w:r w:rsidR="00610401" w:rsidRPr="00610401">
        <w:rPr>
          <w:noProof/>
        </w:rPr>
        <w:t xml:space="preserve"> z </w:t>
      </w:r>
      <w:r w:rsidR="00610401" w:rsidRPr="00610401">
        <w:rPr>
          <w:noProof/>
          <w:shd w:val="clear" w:color="auto" w:fill="FFFFFF"/>
        </w:rPr>
        <w:t>Kon</w:t>
      </w:r>
      <w:r w:rsidR="008557A1" w:rsidRPr="00610401">
        <w:rPr>
          <w:noProof/>
          <w:shd w:val="clear" w:color="auto" w:fill="FFFFFF"/>
        </w:rPr>
        <w:t>ferencji</w:t>
      </w:r>
      <w:r w:rsidR="00610401" w:rsidRPr="00610401">
        <w:rPr>
          <w:noProof/>
          <w:shd w:val="clear" w:color="auto" w:fill="FFFFFF"/>
        </w:rPr>
        <w:t xml:space="preserve"> w spr</w:t>
      </w:r>
      <w:r w:rsidR="008557A1" w:rsidRPr="00610401">
        <w:rPr>
          <w:noProof/>
          <w:shd w:val="clear" w:color="auto" w:fill="FFFFFF"/>
        </w:rPr>
        <w:t>awie przyszłości Europy</w:t>
      </w:r>
      <w:r w:rsidR="008557A1" w:rsidRPr="00610401">
        <w:rPr>
          <w:noProof/>
        </w:rPr>
        <w:t xml:space="preserve"> obywatele wzywają Unię do ochrony</w:t>
      </w:r>
      <w:r w:rsidR="00610401" w:rsidRPr="00610401">
        <w:rPr>
          <w:noProof/>
        </w:rPr>
        <w:t xml:space="preserve"> i odb</w:t>
      </w:r>
      <w:r w:rsidR="008557A1" w:rsidRPr="00610401">
        <w:rPr>
          <w:noProof/>
        </w:rPr>
        <w:t>udowy różnorodności biologicznej, krajobrazu</w:t>
      </w:r>
      <w:r w:rsidR="00610401" w:rsidRPr="00610401">
        <w:rPr>
          <w:noProof/>
        </w:rPr>
        <w:t xml:space="preserve"> i oce</w:t>
      </w:r>
      <w:r w:rsidR="008557A1" w:rsidRPr="00610401">
        <w:rPr>
          <w:noProof/>
        </w:rPr>
        <w:t>anów, wyeliminowania zanieczyszczenia oraz do wspierania wiedzy, świadomości, edukacji</w:t>
      </w:r>
      <w:r w:rsidR="00610401" w:rsidRPr="00610401">
        <w:rPr>
          <w:noProof/>
        </w:rPr>
        <w:t xml:space="preserve"> i dia</w:t>
      </w:r>
      <w:r w:rsidR="008557A1" w:rsidRPr="00610401">
        <w:rPr>
          <w:noProof/>
        </w:rPr>
        <w:t>logu na temat środowiska, zmiany klimatu, wykorzystania energii</w:t>
      </w:r>
      <w:r w:rsidR="00610401" w:rsidRPr="00610401">
        <w:rPr>
          <w:noProof/>
        </w:rPr>
        <w:t xml:space="preserve"> i zró</w:t>
      </w:r>
      <w:r w:rsidR="008557A1" w:rsidRPr="00610401">
        <w:rPr>
          <w:noProof/>
        </w:rPr>
        <w:t>wnoważonego rozwoju</w:t>
      </w:r>
      <w:r w:rsidR="008557A1" w:rsidRPr="00610401">
        <w:rPr>
          <w:rStyle w:val="FootnoteReference"/>
          <w:noProof/>
        </w:rPr>
        <w:footnoteReference w:id="64"/>
      </w:r>
      <w:r w:rsidR="008557A1" w:rsidRPr="00610401">
        <w:rPr>
          <w:noProof/>
        </w:rPr>
        <w:t>.</w:t>
      </w:r>
    </w:p>
    <w:p w:rsidR="009A7903" w:rsidRPr="00610401" w:rsidRDefault="009F5C98" w:rsidP="009F5C98">
      <w:pPr>
        <w:pStyle w:val="ManualConsidrant"/>
        <w:rPr>
          <w:noProof/>
        </w:rPr>
      </w:pPr>
      <w:r w:rsidRPr="009F5C98">
        <w:t>(21)</w:t>
      </w:r>
      <w:r w:rsidRPr="009F5C98">
        <w:tab/>
      </w:r>
      <w:r w:rsidR="009A7903" w:rsidRPr="00610401">
        <w:rPr>
          <w:noProof/>
        </w:rPr>
        <w:t>Odbudowa ekosystemów</w:t>
      </w:r>
      <w:r w:rsidR="00610401" w:rsidRPr="00610401">
        <w:rPr>
          <w:noProof/>
        </w:rPr>
        <w:t xml:space="preserve"> w poł</w:t>
      </w:r>
      <w:r w:rsidR="009A7903" w:rsidRPr="00610401">
        <w:rPr>
          <w:noProof/>
        </w:rPr>
        <w:t>ączeniu</w:t>
      </w:r>
      <w:r w:rsidR="00610401" w:rsidRPr="00610401">
        <w:rPr>
          <w:noProof/>
        </w:rPr>
        <w:t xml:space="preserve"> z wys</w:t>
      </w:r>
      <w:r w:rsidR="009A7903" w:rsidRPr="00610401">
        <w:rPr>
          <w:noProof/>
        </w:rPr>
        <w:t>iłkami na rzecz ograniczenia handlu dziką fauną</w:t>
      </w:r>
      <w:r w:rsidR="00610401" w:rsidRPr="00610401">
        <w:rPr>
          <w:noProof/>
        </w:rPr>
        <w:t xml:space="preserve"> i flo</w:t>
      </w:r>
      <w:r w:rsidR="009A7903" w:rsidRPr="00610401">
        <w:rPr>
          <w:noProof/>
        </w:rPr>
        <w:t>rą</w:t>
      </w:r>
      <w:r w:rsidR="00610401" w:rsidRPr="00610401">
        <w:rPr>
          <w:noProof/>
        </w:rPr>
        <w:t xml:space="preserve"> i ich</w:t>
      </w:r>
      <w:r w:rsidR="009A7903" w:rsidRPr="00610401">
        <w:rPr>
          <w:noProof/>
        </w:rPr>
        <w:t xml:space="preserve"> konsumpcji pomoże również zapobiec ewentualnym przyszłym chorobom zakaźnym</w:t>
      </w:r>
      <w:r w:rsidR="00610401" w:rsidRPr="00610401">
        <w:rPr>
          <w:noProof/>
        </w:rPr>
        <w:t xml:space="preserve"> o pot</w:t>
      </w:r>
      <w:r w:rsidR="009A7903" w:rsidRPr="00610401">
        <w:rPr>
          <w:noProof/>
        </w:rPr>
        <w:t>encjale zoonotycznym</w:t>
      </w:r>
      <w:r w:rsidR="00610401" w:rsidRPr="00610401">
        <w:rPr>
          <w:noProof/>
        </w:rPr>
        <w:t xml:space="preserve"> i zbu</w:t>
      </w:r>
      <w:r w:rsidR="009A7903" w:rsidRPr="00610401">
        <w:rPr>
          <w:noProof/>
        </w:rPr>
        <w:t>dować odporność na te choroby,</w:t>
      </w:r>
      <w:r w:rsidR="00610401" w:rsidRPr="00610401">
        <w:rPr>
          <w:noProof/>
        </w:rPr>
        <w:t xml:space="preserve"> a tym</w:t>
      </w:r>
      <w:r w:rsidR="009A7903" w:rsidRPr="00610401">
        <w:rPr>
          <w:noProof/>
        </w:rPr>
        <w:t xml:space="preserve"> samym zmniejszy ryzyko wystąpienia ognisk</w:t>
      </w:r>
      <w:r w:rsidR="00610401" w:rsidRPr="00610401">
        <w:rPr>
          <w:noProof/>
        </w:rPr>
        <w:t xml:space="preserve"> i pan</w:t>
      </w:r>
      <w:r w:rsidR="009A7903" w:rsidRPr="00610401">
        <w:rPr>
          <w:noProof/>
        </w:rPr>
        <w:t>demii,</w:t>
      </w:r>
      <w:r w:rsidR="00610401" w:rsidRPr="00610401">
        <w:rPr>
          <w:noProof/>
        </w:rPr>
        <w:t xml:space="preserve"> a tak</w:t>
      </w:r>
      <w:r w:rsidR="009A7903" w:rsidRPr="00610401">
        <w:rPr>
          <w:noProof/>
        </w:rPr>
        <w:t>że przyczyni się do wspierania unijnych</w:t>
      </w:r>
      <w:r w:rsidR="00610401" w:rsidRPr="00610401">
        <w:rPr>
          <w:noProof/>
        </w:rPr>
        <w:t xml:space="preserve"> i glo</w:t>
      </w:r>
      <w:r w:rsidR="009A7903" w:rsidRPr="00610401">
        <w:rPr>
          <w:noProof/>
        </w:rPr>
        <w:t>balnych wysiłków na rzecz stosowania podejścia „Jedno zdrowie”,</w:t>
      </w:r>
      <w:r w:rsidR="00610401" w:rsidRPr="00610401">
        <w:rPr>
          <w:noProof/>
        </w:rPr>
        <w:t xml:space="preserve"> w któ</w:t>
      </w:r>
      <w:r w:rsidR="009A7903" w:rsidRPr="00610401">
        <w:rPr>
          <w:noProof/>
        </w:rPr>
        <w:t>rym uznaje się, że zdrowie ludzi, zwierząt</w:t>
      </w:r>
      <w:r w:rsidR="00610401" w:rsidRPr="00610401">
        <w:rPr>
          <w:noProof/>
        </w:rPr>
        <w:t xml:space="preserve"> i zdr</w:t>
      </w:r>
      <w:r w:rsidR="009A7903" w:rsidRPr="00610401">
        <w:rPr>
          <w:noProof/>
        </w:rPr>
        <w:t>owa odporna przyroda są ze sobą nieodłącznie związane.</w:t>
      </w:r>
    </w:p>
    <w:p w:rsidR="004268A4" w:rsidRPr="00610401" w:rsidRDefault="009F5C98" w:rsidP="009F5C98">
      <w:pPr>
        <w:pStyle w:val="ManualConsidrant"/>
        <w:rPr>
          <w:noProof/>
        </w:rPr>
      </w:pPr>
      <w:r w:rsidRPr="009F5C98">
        <w:t>(22)</w:t>
      </w:r>
      <w:r w:rsidRPr="009F5C98">
        <w:tab/>
      </w:r>
      <w:r w:rsidR="004268A4" w:rsidRPr="00610401">
        <w:rPr>
          <w:noProof/>
        </w:rPr>
        <w:t>Gleby stanowią integralną część ekosystemów lądowych</w:t>
      </w:r>
      <w:r w:rsidR="00610401" w:rsidRPr="00610401">
        <w:rPr>
          <w:noProof/>
        </w:rPr>
        <w:t>. W kom</w:t>
      </w:r>
      <w:r w:rsidR="004268A4" w:rsidRPr="00610401">
        <w:rPr>
          <w:noProof/>
        </w:rPr>
        <w:t>unikacie Komisji</w:t>
      </w:r>
      <w:r w:rsidR="00610401" w:rsidRPr="00610401">
        <w:rPr>
          <w:noProof/>
        </w:rPr>
        <w:t xml:space="preserve"> z 2</w:t>
      </w:r>
      <w:r w:rsidR="004268A4" w:rsidRPr="00610401">
        <w:rPr>
          <w:noProof/>
        </w:rPr>
        <w:t>021</w:t>
      </w:r>
      <w:r w:rsidR="00610401" w:rsidRPr="00610401">
        <w:rPr>
          <w:noProof/>
        </w:rPr>
        <w:t> </w:t>
      </w:r>
      <w:r w:rsidR="004268A4" w:rsidRPr="00610401">
        <w:rPr>
          <w:noProof/>
        </w:rPr>
        <w:t>r. pt. „Strategia UE na rzecz ochrony gleb 2030”</w:t>
      </w:r>
      <w:r w:rsidR="004268A4" w:rsidRPr="00610401">
        <w:rPr>
          <w:rStyle w:val="FootnoteReference"/>
          <w:noProof/>
        </w:rPr>
        <w:footnoteReference w:id="65"/>
      </w:r>
      <w:r w:rsidR="004268A4" w:rsidRPr="00610401">
        <w:rPr>
          <w:noProof/>
        </w:rPr>
        <w:t xml:space="preserve"> podkreślono potrzebę odtworzenia zdegradowanych gleb</w:t>
      </w:r>
      <w:r w:rsidR="00610401" w:rsidRPr="00610401">
        <w:rPr>
          <w:noProof/>
        </w:rPr>
        <w:t xml:space="preserve"> i zwi</w:t>
      </w:r>
      <w:r w:rsidR="004268A4" w:rsidRPr="00610401">
        <w:rPr>
          <w:noProof/>
        </w:rPr>
        <w:t>ększenia ich bioróżnorodności.</w:t>
      </w:r>
    </w:p>
    <w:p w:rsidR="00C3592D" w:rsidRPr="00610401" w:rsidRDefault="009F5C98" w:rsidP="009F5C98">
      <w:pPr>
        <w:pStyle w:val="ManualConsidrant"/>
        <w:rPr>
          <w:rFonts w:eastAsiaTheme="minorEastAsia"/>
          <w:noProof/>
          <w:szCs w:val="24"/>
        </w:rPr>
      </w:pPr>
      <w:r w:rsidRPr="009F5C98">
        <w:t>(23)</w:t>
      </w:r>
      <w:r w:rsidRPr="009F5C98">
        <w:tab/>
      </w:r>
      <w:r w:rsidR="27A92160" w:rsidRPr="00610401">
        <w:rPr>
          <w:noProof/>
        </w:rPr>
        <w:t>Dyrektywa Rady 92/43/EWG</w:t>
      </w:r>
      <w:r w:rsidR="27A92160" w:rsidRPr="00610401">
        <w:rPr>
          <w:rStyle w:val="FootnoteReference"/>
          <w:noProof/>
        </w:rPr>
        <w:footnoteReference w:id="66"/>
      </w:r>
      <w:r w:rsidR="00610401" w:rsidRPr="00610401">
        <w:rPr>
          <w:noProof/>
        </w:rPr>
        <w:t xml:space="preserve"> i dyr</w:t>
      </w:r>
      <w:r w:rsidR="27A92160" w:rsidRPr="00610401">
        <w:rPr>
          <w:noProof/>
        </w:rPr>
        <w:t>ektywa Parlamentu Europejskiego</w:t>
      </w:r>
      <w:r w:rsidR="00610401" w:rsidRPr="00610401">
        <w:rPr>
          <w:noProof/>
        </w:rPr>
        <w:t xml:space="preserve"> i Rad</w:t>
      </w:r>
      <w:r w:rsidR="27A92160" w:rsidRPr="00610401">
        <w:rPr>
          <w:noProof/>
        </w:rPr>
        <w:t>y 2009/147/WE</w:t>
      </w:r>
      <w:r w:rsidR="27A92160" w:rsidRPr="00610401">
        <w:rPr>
          <w:rStyle w:val="FootnoteReference"/>
          <w:noProof/>
        </w:rPr>
        <w:footnoteReference w:id="67"/>
      </w:r>
      <w:r w:rsidR="27A92160" w:rsidRPr="00610401">
        <w:rPr>
          <w:noProof/>
        </w:rPr>
        <w:t xml:space="preserve"> mają na celu zapewnienie długoterminowej ochrony, zachowania</w:t>
      </w:r>
      <w:r w:rsidR="00610401" w:rsidRPr="00610401">
        <w:rPr>
          <w:noProof/>
        </w:rPr>
        <w:t xml:space="preserve"> i prz</w:t>
      </w:r>
      <w:r w:rsidR="27A92160" w:rsidRPr="00610401">
        <w:rPr>
          <w:noProof/>
        </w:rPr>
        <w:t>etrwania najbardziej wartościowych</w:t>
      </w:r>
      <w:r w:rsidR="00610401" w:rsidRPr="00610401">
        <w:rPr>
          <w:noProof/>
        </w:rPr>
        <w:t xml:space="preserve"> i zag</w:t>
      </w:r>
      <w:r w:rsidR="27A92160" w:rsidRPr="00610401">
        <w:rPr>
          <w:noProof/>
        </w:rPr>
        <w:t>rożonych europejskich gatunków</w:t>
      </w:r>
      <w:r w:rsidR="00610401" w:rsidRPr="00610401">
        <w:rPr>
          <w:noProof/>
        </w:rPr>
        <w:t xml:space="preserve"> i sie</w:t>
      </w:r>
      <w:r w:rsidR="27A92160" w:rsidRPr="00610401">
        <w:rPr>
          <w:noProof/>
        </w:rPr>
        <w:t>dlisk,</w:t>
      </w:r>
      <w:r w:rsidR="00610401" w:rsidRPr="00610401">
        <w:rPr>
          <w:noProof/>
        </w:rPr>
        <w:t xml:space="preserve"> a tak</w:t>
      </w:r>
      <w:r w:rsidR="27A92160" w:rsidRPr="00610401">
        <w:rPr>
          <w:noProof/>
        </w:rPr>
        <w:t>że ekosystemów, których są częścią. Sieć Natura 2000, która powstała</w:t>
      </w:r>
      <w:r w:rsidR="00610401" w:rsidRPr="00610401">
        <w:rPr>
          <w:noProof/>
        </w:rPr>
        <w:t xml:space="preserve"> w 1</w:t>
      </w:r>
      <w:r w:rsidR="27A92160" w:rsidRPr="00610401">
        <w:rPr>
          <w:noProof/>
        </w:rPr>
        <w:t>992</w:t>
      </w:r>
      <w:r w:rsidR="00610401" w:rsidRPr="00610401">
        <w:rPr>
          <w:noProof/>
        </w:rPr>
        <w:t> </w:t>
      </w:r>
      <w:r w:rsidR="27A92160" w:rsidRPr="00610401">
        <w:rPr>
          <w:noProof/>
        </w:rPr>
        <w:t>r.</w:t>
      </w:r>
      <w:r w:rsidR="00610401" w:rsidRPr="00610401">
        <w:rPr>
          <w:noProof/>
        </w:rPr>
        <w:t xml:space="preserve"> i jes</w:t>
      </w:r>
      <w:r w:rsidR="27A92160" w:rsidRPr="00610401">
        <w:rPr>
          <w:noProof/>
        </w:rPr>
        <w:t xml:space="preserve">t największą na świecie skoordynowaną siecią obszarów chronionych, jest głównym instrumentem realizacji celów tych dwóch dyrektyw. </w:t>
      </w:r>
    </w:p>
    <w:p w:rsidR="00914525" w:rsidRPr="00610401" w:rsidRDefault="009F5C98" w:rsidP="009F5C98">
      <w:pPr>
        <w:pStyle w:val="ManualConsidrant"/>
        <w:rPr>
          <w:noProof/>
        </w:rPr>
      </w:pPr>
      <w:r w:rsidRPr="009F5C98">
        <w:t>(24)</w:t>
      </w:r>
      <w:r w:rsidRPr="009F5C98">
        <w:tab/>
      </w:r>
      <w:r w:rsidR="00914525" w:rsidRPr="00610401">
        <w:rPr>
          <w:noProof/>
        </w:rPr>
        <w:t>Istnieją już ramy</w:t>
      </w:r>
      <w:r w:rsidR="00610401" w:rsidRPr="00610401">
        <w:rPr>
          <w:noProof/>
        </w:rPr>
        <w:t xml:space="preserve"> i wyt</w:t>
      </w:r>
      <w:r w:rsidR="00914525" w:rsidRPr="00610401">
        <w:rPr>
          <w:noProof/>
        </w:rPr>
        <w:t>yczne</w:t>
      </w:r>
      <w:r w:rsidR="00914525" w:rsidRPr="00610401">
        <w:rPr>
          <w:rStyle w:val="FootnoteReference"/>
          <w:rFonts w:eastAsia="Times New Roman"/>
          <w:noProof/>
        </w:rPr>
        <w:footnoteReference w:id="68"/>
      </w:r>
      <w:r w:rsidR="00914525" w:rsidRPr="00610401">
        <w:rPr>
          <w:noProof/>
        </w:rPr>
        <w:t xml:space="preserve"> pozwalające ocenić, czy stan typów siedlisk chronionych na mocy dyrektywy 92/43/EWG jest dobry oraz określić wystarczającą jakość</w:t>
      </w:r>
      <w:r w:rsidR="00610401" w:rsidRPr="00610401">
        <w:rPr>
          <w:noProof/>
        </w:rPr>
        <w:t xml:space="preserve"> i wie</w:t>
      </w:r>
      <w:r w:rsidR="00914525" w:rsidRPr="00610401">
        <w:rPr>
          <w:noProof/>
        </w:rPr>
        <w:t>lkość siedlisk gatunków objętych zakresem tej dyrektywy. Na podstawie tych ram</w:t>
      </w:r>
      <w:r w:rsidR="00610401" w:rsidRPr="00610401">
        <w:rPr>
          <w:noProof/>
        </w:rPr>
        <w:t xml:space="preserve"> i wyt</w:t>
      </w:r>
      <w:r w:rsidR="00914525" w:rsidRPr="00610401">
        <w:rPr>
          <w:noProof/>
        </w:rPr>
        <w:t>ycznych można określić cele</w:t>
      </w:r>
      <w:r w:rsidR="00610401" w:rsidRPr="00610401">
        <w:rPr>
          <w:noProof/>
        </w:rPr>
        <w:t xml:space="preserve"> w zak</w:t>
      </w:r>
      <w:r w:rsidR="00914525" w:rsidRPr="00610401">
        <w:rPr>
          <w:noProof/>
        </w:rPr>
        <w:t>resie odbudowy dla tych typów siedlisk</w:t>
      </w:r>
      <w:r w:rsidR="00610401" w:rsidRPr="00610401">
        <w:rPr>
          <w:noProof/>
        </w:rPr>
        <w:t xml:space="preserve"> i sie</w:t>
      </w:r>
      <w:r w:rsidR="00914525" w:rsidRPr="00610401">
        <w:rPr>
          <w:noProof/>
        </w:rPr>
        <w:t>dlisk gatunków. Taka odbudowa nie wystarczy jednak do odwrócenia procesu utraty różnorodności biologicznej</w:t>
      </w:r>
      <w:r w:rsidR="00610401" w:rsidRPr="00610401">
        <w:rPr>
          <w:noProof/>
        </w:rPr>
        <w:t xml:space="preserve"> i odt</w:t>
      </w:r>
      <w:r w:rsidR="00914525" w:rsidRPr="00610401">
        <w:rPr>
          <w:noProof/>
        </w:rPr>
        <w:t>worzenia wszystkich ekosystemów. Dlatego też należy ustanowić dodatkowe obowiązki</w:t>
      </w:r>
      <w:r w:rsidR="00610401" w:rsidRPr="00610401">
        <w:rPr>
          <w:noProof/>
        </w:rPr>
        <w:t xml:space="preserve"> w opa</w:t>
      </w:r>
      <w:r w:rsidR="00914525" w:rsidRPr="00610401">
        <w:rPr>
          <w:noProof/>
        </w:rPr>
        <w:t>rciu</w:t>
      </w:r>
      <w:r w:rsidR="00610401" w:rsidRPr="00610401">
        <w:rPr>
          <w:noProof/>
        </w:rPr>
        <w:t xml:space="preserve"> o kon</w:t>
      </w:r>
      <w:r w:rsidR="00914525" w:rsidRPr="00610401">
        <w:rPr>
          <w:noProof/>
        </w:rPr>
        <w:t>kretne wskaźniki</w:t>
      </w:r>
      <w:r w:rsidR="00610401" w:rsidRPr="00610401">
        <w:rPr>
          <w:noProof/>
        </w:rPr>
        <w:t xml:space="preserve"> w cel</w:t>
      </w:r>
      <w:r w:rsidR="00914525" w:rsidRPr="00610401">
        <w:rPr>
          <w:noProof/>
        </w:rPr>
        <w:t>u zwiększenia różnorodności biologicznej</w:t>
      </w:r>
      <w:r w:rsidR="00610401" w:rsidRPr="00610401">
        <w:rPr>
          <w:noProof/>
        </w:rPr>
        <w:t xml:space="preserve"> w ska</w:t>
      </w:r>
      <w:r w:rsidR="00914525" w:rsidRPr="00610401">
        <w:rPr>
          <w:noProof/>
        </w:rPr>
        <w:t xml:space="preserve">li szerszych ekosystemów. </w:t>
      </w:r>
    </w:p>
    <w:p w:rsidR="00C3592D" w:rsidRPr="00610401" w:rsidRDefault="009F5C98" w:rsidP="009F5C98">
      <w:pPr>
        <w:pStyle w:val="ManualConsidrant"/>
        <w:rPr>
          <w:rFonts w:eastAsiaTheme="minorEastAsia"/>
          <w:noProof/>
          <w:szCs w:val="24"/>
        </w:rPr>
      </w:pPr>
      <w:r w:rsidRPr="009F5C98">
        <w:t>(25)</w:t>
      </w:r>
      <w:r w:rsidRPr="009F5C98">
        <w:tab/>
      </w:r>
      <w:r w:rsidR="52FA3FC9" w:rsidRPr="00610401">
        <w:rPr>
          <w:noProof/>
        </w:rPr>
        <w:t>Opierając się na dyrektywach 92/43/EWG</w:t>
      </w:r>
      <w:r w:rsidR="00610401" w:rsidRPr="00610401">
        <w:rPr>
          <w:noProof/>
        </w:rPr>
        <w:t xml:space="preserve"> i 2</w:t>
      </w:r>
      <w:r w:rsidR="52FA3FC9" w:rsidRPr="00610401">
        <w:rPr>
          <w:noProof/>
        </w:rPr>
        <w:t>009/147/WE,</w:t>
      </w:r>
      <w:r w:rsidR="00610401" w:rsidRPr="00610401">
        <w:rPr>
          <w:i/>
          <w:noProof/>
        </w:rPr>
        <w:t xml:space="preserve"> </w:t>
      </w:r>
      <w:r w:rsidR="00610401" w:rsidRPr="00610401">
        <w:rPr>
          <w:noProof/>
        </w:rPr>
        <w:t>a</w:t>
      </w:r>
      <w:r w:rsidR="00610401" w:rsidRPr="00610401">
        <w:rPr>
          <w:i/>
          <w:noProof/>
        </w:rPr>
        <w:t> </w:t>
      </w:r>
      <w:r w:rsidR="00610401" w:rsidRPr="00610401">
        <w:rPr>
          <w:noProof/>
        </w:rPr>
        <w:t>tak</w:t>
      </w:r>
      <w:r w:rsidR="52FA3FC9" w:rsidRPr="00610401">
        <w:rPr>
          <w:noProof/>
        </w:rPr>
        <w:t>że aby wspierać realizację celów określonych</w:t>
      </w:r>
      <w:r w:rsidR="00610401" w:rsidRPr="00610401">
        <w:rPr>
          <w:noProof/>
        </w:rPr>
        <w:t xml:space="preserve"> w tyc</w:t>
      </w:r>
      <w:r w:rsidR="52FA3FC9" w:rsidRPr="00610401">
        <w:rPr>
          <w:noProof/>
        </w:rPr>
        <w:t>h dyrektywach, państwa członkowskie powinny wprowadzić środki odbudowy</w:t>
      </w:r>
      <w:r w:rsidR="00610401" w:rsidRPr="00610401">
        <w:rPr>
          <w:noProof/>
        </w:rPr>
        <w:t xml:space="preserve"> w cel</w:t>
      </w:r>
      <w:r w:rsidR="52FA3FC9" w:rsidRPr="00610401">
        <w:rPr>
          <w:noProof/>
        </w:rPr>
        <w:t>u zapewnienia odbudowy chronionych siedlisk</w:t>
      </w:r>
      <w:r w:rsidR="00610401" w:rsidRPr="00610401">
        <w:rPr>
          <w:noProof/>
        </w:rPr>
        <w:t xml:space="preserve"> i gat</w:t>
      </w:r>
      <w:r w:rsidR="52FA3FC9" w:rsidRPr="00610401">
        <w:rPr>
          <w:noProof/>
        </w:rPr>
        <w:t>unków,</w:t>
      </w:r>
      <w:r w:rsidR="00610401" w:rsidRPr="00610401">
        <w:rPr>
          <w:noProof/>
        </w:rPr>
        <w:t xml:space="preserve"> w tym</w:t>
      </w:r>
      <w:r w:rsidR="52FA3FC9" w:rsidRPr="00610401">
        <w:rPr>
          <w:noProof/>
        </w:rPr>
        <w:t xml:space="preserve"> dzikiego ptactwa, na całym obszarze Unii, również na obszarach nienależących do sieci Natura 2000. </w:t>
      </w:r>
    </w:p>
    <w:p w:rsidR="00C3592D" w:rsidRPr="00610401" w:rsidRDefault="009F5C98" w:rsidP="009F5C98">
      <w:pPr>
        <w:pStyle w:val="ManualConsidrant"/>
        <w:rPr>
          <w:rFonts w:eastAsiaTheme="minorEastAsia"/>
          <w:noProof/>
        </w:rPr>
      </w:pPr>
      <w:r w:rsidRPr="009F5C98">
        <w:t>(26)</w:t>
      </w:r>
      <w:r w:rsidRPr="009F5C98">
        <w:tab/>
      </w:r>
      <w:r w:rsidR="2204B708" w:rsidRPr="00610401">
        <w:rPr>
          <w:noProof/>
        </w:rPr>
        <w:t>Dyrektywa 92/43/EWG ma na celu zachowanie</w:t>
      </w:r>
      <w:r w:rsidR="00610401" w:rsidRPr="00610401">
        <w:rPr>
          <w:noProof/>
        </w:rPr>
        <w:t xml:space="preserve"> i odt</w:t>
      </w:r>
      <w:r w:rsidR="2204B708" w:rsidRPr="00610401">
        <w:rPr>
          <w:noProof/>
        </w:rPr>
        <w:t>worzenie właściwego stanu ochrony siedlisk przyrodniczych oraz gatunków dzikiej fauny</w:t>
      </w:r>
      <w:r w:rsidR="00610401" w:rsidRPr="00610401">
        <w:rPr>
          <w:noProof/>
        </w:rPr>
        <w:t xml:space="preserve"> i flo</w:t>
      </w:r>
      <w:r w:rsidR="2204B708" w:rsidRPr="00610401">
        <w:rPr>
          <w:noProof/>
        </w:rPr>
        <w:t>ry będących przedmiotem zainteresowania Unii. Nie określono</w:t>
      </w:r>
      <w:r w:rsidR="00610401" w:rsidRPr="00610401">
        <w:rPr>
          <w:noProof/>
        </w:rPr>
        <w:t xml:space="preserve"> w nie</w:t>
      </w:r>
      <w:r w:rsidR="2204B708" w:rsidRPr="00610401">
        <w:rPr>
          <w:noProof/>
        </w:rPr>
        <w:t>j jednak terminu osiągnięcia tego celu. Podobnie</w:t>
      </w:r>
      <w:r w:rsidR="00610401" w:rsidRPr="00610401">
        <w:rPr>
          <w:noProof/>
        </w:rPr>
        <w:t xml:space="preserve"> w dyr</w:t>
      </w:r>
      <w:r w:rsidR="2204B708" w:rsidRPr="00610401">
        <w:rPr>
          <w:noProof/>
        </w:rPr>
        <w:t>ektywie 2009/147/WE nie określono terminu odbudowy populacji ptaków</w:t>
      </w:r>
      <w:r w:rsidR="00610401" w:rsidRPr="00610401">
        <w:rPr>
          <w:noProof/>
        </w:rPr>
        <w:t xml:space="preserve"> w Uni</w:t>
      </w:r>
      <w:r w:rsidR="2204B708" w:rsidRPr="00610401">
        <w:rPr>
          <w:noProof/>
        </w:rPr>
        <w:t xml:space="preserve">i. </w:t>
      </w:r>
    </w:p>
    <w:p w:rsidR="00C3592D" w:rsidRPr="00610401" w:rsidRDefault="009F5C98" w:rsidP="009F5C98">
      <w:pPr>
        <w:pStyle w:val="ManualConsidrant"/>
        <w:rPr>
          <w:noProof/>
        </w:rPr>
      </w:pPr>
      <w:r w:rsidRPr="009F5C98">
        <w:t>(27)</w:t>
      </w:r>
      <w:r w:rsidRPr="009F5C98">
        <w:tab/>
      </w:r>
      <w:r w:rsidR="05632D5D" w:rsidRPr="00610401">
        <w:rPr>
          <w:noProof/>
        </w:rPr>
        <w:t>Należy zatem ustalić terminy wprowadzenia środków odbudowy na obszarach Natura 2000</w:t>
      </w:r>
      <w:r w:rsidR="00610401" w:rsidRPr="00610401">
        <w:rPr>
          <w:noProof/>
        </w:rPr>
        <w:t xml:space="preserve"> i poz</w:t>
      </w:r>
      <w:r w:rsidR="05632D5D" w:rsidRPr="00610401">
        <w:rPr>
          <w:noProof/>
        </w:rPr>
        <w:t>a nimi, tak aby stopniowo poprawiać stan chronionych typów siedlisk</w:t>
      </w:r>
      <w:r w:rsidR="00610401" w:rsidRPr="00610401">
        <w:rPr>
          <w:noProof/>
        </w:rPr>
        <w:t xml:space="preserve"> w cał</w:t>
      </w:r>
      <w:r w:rsidR="05632D5D" w:rsidRPr="00610401">
        <w:rPr>
          <w:noProof/>
        </w:rPr>
        <w:t>ej Unii,</w:t>
      </w:r>
      <w:r w:rsidR="00610401" w:rsidRPr="00610401">
        <w:rPr>
          <w:noProof/>
        </w:rPr>
        <w:t xml:space="preserve"> a tak</w:t>
      </w:r>
      <w:r w:rsidR="05632D5D" w:rsidRPr="00610401">
        <w:rPr>
          <w:noProof/>
        </w:rPr>
        <w:t>że przywracać je aż do osiągnięcia właściwego obszaru odniesienia niezbędnego do uzyskania właściwego stanu ochrony tych typów siedlisk</w:t>
      </w:r>
      <w:r w:rsidR="00610401" w:rsidRPr="00610401">
        <w:rPr>
          <w:noProof/>
        </w:rPr>
        <w:t xml:space="preserve"> w Uni</w:t>
      </w:r>
      <w:r w:rsidR="05632D5D" w:rsidRPr="00610401">
        <w:rPr>
          <w:noProof/>
        </w:rPr>
        <w:t>i. Aby zapewnić państwom członkowskim elastyczność niezbędną przy podejmowaniu szeroko zakrojonych działań</w:t>
      </w:r>
      <w:r w:rsidR="00610401" w:rsidRPr="00610401">
        <w:rPr>
          <w:noProof/>
        </w:rPr>
        <w:t xml:space="preserve"> w zak</w:t>
      </w:r>
      <w:r w:rsidR="05632D5D" w:rsidRPr="00610401">
        <w:rPr>
          <w:noProof/>
        </w:rPr>
        <w:t>resie odbudowy, należy pogrupować typy siedlisk według ekosystemów, do których przynależą,</w:t>
      </w:r>
      <w:r w:rsidR="00610401" w:rsidRPr="00610401">
        <w:rPr>
          <w:noProof/>
        </w:rPr>
        <w:t xml:space="preserve"> a tak</w:t>
      </w:r>
      <w:r w:rsidR="05632D5D" w:rsidRPr="00610401">
        <w:rPr>
          <w:noProof/>
        </w:rPr>
        <w:t>że wyznaczyć dla poszczególnych grup typów siedlisk określone czasowo</w:t>
      </w:r>
      <w:r w:rsidR="00610401" w:rsidRPr="00610401">
        <w:rPr>
          <w:noProof/>
        </w:rPr>
        <w:t xml:space="preserve"> i ilo</w:t>
      </w:r>
      <w:r w:rsidR="05632D5D" w:rsidRPr="00610401">
        <w:rPr>
          <w:noProof/>
        </w:rPr>
        <w:t>ściowo cele dotyczące konkretnych obszarów. Pozwoli to państwom członkowskim wskazać siedliska, które należy odbudować</w:t>
      </w:r>
      <w:r w:rsidR="00610401" w:rsidRPr="00610401">
        <w:rPr>
          <w:noProof/>
        </w:rPr>
        <w:t xml:space="preserve"> w obr</w:t>
      </w:r>
      <w:r w:rsidR="05632D5D" w:rsidRPr="00610401">
        <w:rPr>
          <w:noProof/>
        </w:rPr>
        <w:t>ębie danej grupy</w:t>
      </w:r>
      <w:r w:rsidR="00610401" w:rsidRPr="00610401">
        <w:rPr>
          <w:noProof/>
        </w:rPr>
        <w:t xml:space="preserve"> w pie</w:t>
      </w:r>
      <w:r w:rsidR="05632D5D" w:rsidRPr="00610401">
        <w:rPr>
          <w:noProof/>
        </w:rPr>
        <w:t xml:space="preserve">rwszej kolejności. </w:t>
      </w:r>
    </w:p>
    <w:p w:rsidR="00C3592D" w:rsidRPr="00610401" w:rsidRDefault="009F5C98" w:rsidP="009F5C98">
      <w:pPr>
        <w:pStyle w:val="ManualConsidrant"/>
        <w:rPr>
          <w:noProof/>
        </w:rPr>
      </w:pPr>
      <w:r w:rsidRPr="009F5C98">
        <w:t>(28)</w:t>
      </w:r>
      <w:r w:rsidRPr="009F5C98">
        <w:tab/>
      </w:r>
      <w:r w:rsidR="013E6B3F" w:rsidRPr="00610401">
        <w:rPr>
          <w:noProof/>
        </w:rPr>
        <w:t>Podobne wymogi należy wprowadzić</w:t>
      </w:r>
      <w:r w:rsidR="00610401" w:rsidRPr="00610401">
        <w:rPr>
          <w:noProof/>
        </w:rPr>
        <w:t xml:space="preserve"> w odn</w:t>
      </w:r>
      <w:r w:rsidR="013E6B3F" w:rsidRPr="00610401">
        <w:rPr>
          <w:noProof/>
        </w:rPr>
        <w:t xml:space="preserve">iesieniu do siedlisk gatunków objętych zakresem dyrektywy 92/43/EWG oraz siedlisk dzikiego ptactwa objętych zakresem dyrektywy 2009/147/WE, zwracając przy tym szczególną uwagę na konieczność zapewnienia łączności między tymi dwoma rodzajami siedlisk niezbędną do rozwoju populacji gatunków. </w:t>
      </w:r>
    </w:p>
    <w:p w:rsidR="004A2B92" w:rsidRPr="00610401" w:rsidRDefault="009F5C98" w:rsidP="009F5C98">
      <w:pPr>
        <w:pStyle w:val="ManualConsidrant"/>
        <w:rPr>
          <w:rFonts w:eastAsiaTheme="minorEastAsia"/>
          <w:noProof/>
        </w:rPr>
      </w:pPr>
      <w:r w:rsidRPr="009F5C98">
        <w:t>(29)</w:t>
      </w:r>
      <w:r w:rsidRPr="009F5C98">
        <w:tab/>
      </w:r>
      <w:r w:rsidR="004A2B92" w:rsidRPr="00610401">
        <w:rPr>
          <w:noProof/>
        </w:rPr>
        <w:t>Konieczne jest, aby środki odbudowy typów siedlisk były odpowiednie</w:t>
      </w:r>
      <w:r w:rsidR="00610401" w:rsidRPr="00610401">
        <w:rPr>
          <w:noProof/>
        </w:rPr>
        <w:t xml:space="preserve"> i umo</w:t>
      </w:r>
      <w:r w:rsidR="004A2B92" w:rsidRPr="00610401">
        <w:rPr>
          <w:noProof/>
        </w:rPr>
        <w:t>żliwiały jak najszybsze osiągnięcie dobrego stanu</w:t>
      </w:r>
      <w:r w:rsidR="00610401" w:rsidRPr="00610401">
        <w:rPr>
          <w:noProof/>
        </w:rPr>
        <w:t xml:space="preserve"> i wła</w:t>
      </w:r>
      <w:r w:rsidR="004A2B92" w:rsidRPr="00610401">
        <w:rPr>
          <w:noProof/>
        </w:rPr>
        <w:t>ściwych obszarów odniesienia</w:t>
      </w:r>
      <w:r w:rsidR="00610401" w:rsidRPr="00610401">
        <w:rPr>
          <w:noProof/>
        </w:rPr>
        <w:t xml:space="preserve"> z myś</w:t>
      </w:r>
      <w:r w:rsidR="004A2B92" w:rsidRPr="00610401">
        <w:rPr>
          <w:noProof/>
        </w:rPr>
        <w:t>lą</w:t>
      </w:r>
      <w:r w:rsidR="00610401" w:rsidRPr="00610401">
        <w:rPr>
          <w:noProof/>
        </w:rPr>
        <w:t xml:space="preserve"> o dop</w:t>
      </w:r>
      <w:r w:rsidR="004A2B92" w:rsidRPr="00610401">
        <w:rPr>
          <w:noProof/>
        </w:rPr>
        <w:t>rowadzeniu tych typów siedlisk do właściwego stanu ochrony. Ważne jest, aby środki odbudowy umożliwiały osiągnięcie określonych czasowo</w:t>
      </w:r>
      <w:r w:rsidR="00610401" w:rsidRPr="00610401">
        <w:rPr>
          <w:noProof/>
        </w:rPr>
        <w:t xml:space="preserve"> i ilo</w:t>
      </w:r>
      <w:r w:rsidR="004A2B92" w:rsidRPr="00610401">
        <w:rPr>
          <w:noProof/>
        </w:rPr>
        <w:t>ściowo celów dotyczących konkretnych obszarów. Również środki odbudowy siedlisk gatunków muszą być odpowiednie</w:t>
      </w:r>
      <w:r w:rsidR="00610401" w:rsidRPr="00610401">
        <w:rPr>
          <w:noProof/>
        </w:rPr>
        <w:t xml:space="preserve"> i umo</w:t>
      </w:r>
      <w:r w:rsidR="004A2B92" w:rsidRPr="00610401">
        <w:rPr>
          <w:noProof/>
        </w:rPr>
        <w:t>żliwić jak najszybsze osiągnięcie wystarczającej jakości</w:t>
      </w:r>
      <w:r w:rsidR="00610401" w:rsidRPr="00610401">
        <w:rPr>
          <w:noProof/>
        </w:rPr>
        <w:t xml:space="preserve"> i wie</w:t>
      </w:r>
      <w:r w:rsidR="004A2B92" w:rsidRPr="00610401">
        <w:rPr>
          <w:noProof/>
        </w:rPr>
        <w:t xml:space="preserve">lkości tych siedlisk, tak aby uzyskać właściwy stan ochrony gatunków. </w:t>
      </w:r>
    </w:p>
    <w:p w:rsidR="73CAA32F" w:rsidRPr="00610401" w:rsidRDefault="009F5C98" w:rsidP="009F5C98">
      <w:pPr>
        <w:pStyle w:val="ManualConsidrant"/>
        <w:rPr>
          <w:rFonts w:eastAsiaTheme="minorEastAsia"/>
          <w:noProof/>
        </w:rPr>
      </w:pPr>
      <w:r w:rsidRPr="009F5C98">
        <w:t>(30)</w:t>
      </w:r>
      <w:r w:rsidRPr="009F5C98">
        <w:tab/>
      </w:r>
      <w:r w:rsidR="34DF800B" w:rsidRPr="00610401">
        <w:rPr>
          <w:noProof/>
        </w:rPr>
        <w:t>Należy zapewnić, aby środki odbudowy wprowadzone na mocy niniejszego rozporządzenia przełożyły się na konkretną</w:t>
      </w:r>
      <w:r w:rsidR="00610401" w:rsidRPr="00610401">
        <w:rPr>
          <w:noProof/>
        </w:rPr>
        <w:t xml:space="preserve"> i wym</w:t>
      </w:r>
      <w:r w:rsidR="34DF800B" w:rsidRPr="00610401">
        <w:rPr>
          <w:noProof/>
        </w:rPr>
        <w:t>ierną poprawę stanu ekosystemów, zarówno na poziomie poszczególnych obszarów objętych odbudową, jak i na poziomie krajowym</w:t>
      </w:r>
      <w:r w:rsidR="00610401" w:rsidRPr="00610401">
        <w:rPr>
          <w:noProof/>
        </w:rPr>
        <w:t xml:space="preserve"> i uni</w:t>
      </w:r>
      <w:r w:rsidR="34DF800B" w:rsidRPr="00610401">
        <w:rPr>
          <w:noProof/>
        </w:rPr>
        <w:t xml:space="preserve">jnym. </w:t>
      </w:r>
    </w:p>
    <w:p w:rsidR="00FA07EE" w:rsidRPr="00610401" w:rsidRDefault="009F5C98" w:rsidP="009F5C98">
      <w:pPr>
        <w:pStyle w:val="ManualConsidrant"/>
        <w:rPr>
          <w:rFonts w:eastAsiaTheme="minorEastAsia"/>
          <w:noProof/>
        </w:rPr>
      </w:pPr>
      <w:r w:rsidRPr="009F5C98">
        <w:t>(31)</w:t>
      </w:r>
      <w:r w:rsidRPr="009F5C98">
        <w:tab/>
      </w:r>
      <w:r w:rsidR="00875C7E" w:rsidRPr="00610401">
        <w:rPr>
          <w:noProof/>
        </w:rPr>
        <w:t>Aby zagwarantować skuteczność środków odbudowy</w:t>
      </w:r>
      <w:r w:rsidR="00610401" w:rsidRPr="00610401">
        <w:rPr>
          <w:noProof/>
        </w:rPr>
        <w:t xml:space="preserve"> i moż</w:t>
      </w:r>
      <w:r w:rsidR="00875C7E" w:rsidRPr="00610401">
        <w:rPr>
          <w:noProof/>
        </w:rPr>
        <w:t>liwość zmierzenia ich rezultatów</w:t>
      </w:r>
      <w:r w:rsidR="00610401" w:rsidRPr="00610401">
        <w:rPr>
          <w:noProof/>
        </w:rPr>
        <w:t xml:space="preserve"> w cza</w:t>
      </w:r>
      <w:r w:rsidR="00875C7E" w:rsidRPr="00610401">
        <w:rPr>
          <w:noProof/>
        </w:rPr>
        <w:t>sie, istotne jest, aby obszary, gdzie zastosowano te środki odbudowy celem poprawy stanu siedlisk objętych zakresem załącznika I do dyrektywy 92/43/EWG oraz przywrócenia tych siedlisk</w:t>
      </w:r>
      <w:r w:rsidR="00610401" w:rsidRPr="00610401">
        <w:rPr>
          <w:noProof/>
        </w:rPr>
        <w:t xml:space="preserve"> i pop</w:t>
      </w:r>
      <w:r w:rsidR="00875C7E" w:rsidRPr="00610401">
        <w:rPr>
          <w:noProof/>
        </w:rPr>
        <w:t>rawy ich łączności, wykazywały stałą poprawę aż do osiągnięcia dobrego stanu.</w:t>
      </w:r>
      <w:r w:rsidR="00610401" w:rsidRPr="00610401">
        <w:rPr>
          <w:noProof/>
        </w:rPr>
        <w:t xml:space="preserve"> </w:t>
      </w:r>
    </w:p>
    <w:p w:rsidR="00FA07EE" w:rsidRPr="00610401" w:rsidRDefault="009F5C98" w:rsidP="009F5C98">
      <w:pPr>
        <w:pStyle w:val="ManualConsidrant"/>
        <w:rPr>
          <w:rFonts w:eastAsiaTheme="minorEastAsia"/>
          <w:noProof/>
        </w:rPr>
      </w:pPr>
      <w:r w:rsidRPr="009F5C98">
        <w:t>(32)</w:t>
      </w:r>
      <w:r w:rsidRPr="009F5C98">
        <w:tab/>
      </w:r>
      <w:r w:rsidR="76E2329F" w:rsidRPr="00610401">
        <w:rPr>
          <w:noProof/>
        </w:rPr>
        <w:t>Niezbędne jest także, by obszary, gdzie zastosowano środki odbudowy celem poprawy jakości</w:t>
      </w:r>
      <w:r w:rsidR="00610401" w:rsidRPr="00610401">
        <w:rPr>
          <w:noProof/>
        </w:rPr>
        <w:t xml:space="preserve"> i wie</w:t>
      </w:r>
      <w:r w:rsidR="76E2329F" w:rsidRPr="00610401">
        <w:rPr>
          <w:noProof/>
        </w:rPr>
        <w:t>lkości siedlisk gatunków objętych zakresem dyrektywy 92/43/EWG,</w:t>
      </w:r>
      <w:r w:rsidR="00610401" w:rsidRPr="00610401">
        <w:rPr>
          <w:noProof/>
        </w:rPr>
        <w:t xml:space="preserve"> a tak</w:t>
      </w:r>
      <w:r w:rsidR="76E2329F" w:rsidRPr="00610401">
        <w:rPr>
          <w:noProof/>
        </w:rPr>
        <w:t>że siedlisk dzikiego ptactwa objętych zakresem dyrektywy 2009/147/WE, wykazywały stałą poprawę, co doprowadzi do osiągnięcia wystarczającej wielkości</w:t>
      </w:r>
      <w:r w:rsidR="00610401" w:rsidRPr="00610401">
        <w:rPr>
          <w:noProof/>
        </w:rPr>
        <w:t xml:space="preserve"> i jak</w:t>
      </w:r>
      <w:r w:rsidR="76E2329F" w:rsidRPr="00610401">
        <w:rPr>
          <w:noProof/>
        </w:rPr>
        <w:t xml:space="preserve">ości siedlisk tych gatunków. </w:t>
      </w:r>
    </w:p>
    <w:p w:rsidR="00FA07EE" w:rsidRPr="00610401" w:rsidRDefault="009F5C98" w:rsidP="009F5C98">
      <w:pPr>
        <w:pStyle w:val="ManualConsidrant"/>
        <w:rPr>
          <w:noProof/>
        </w:rPr>
      </w:pPr>
      <w:r w:rsidRPr="009F5C98">
        <w:t>(33)</w:t>
      </w:r>
      <w:r w:rsidRPr="009F5C98">
        <w:tab/>
      </w:r>
      <w:r w:rsidR="76E2329F" w:rsidRPr="00610401">
        <w:rPr>
          <w:noProof/>
        </w:rPr>
        <w:t>Należy zapewnić stopniowe poszerzanie obszarów zajmowanych przez typy siedlisk wchodzące</w:t>
      </w:r>
      <w:r w:rsidR="00610401" w:rsidRPr="00610401">
        <w:rPr>
          <w:noProof/>
        </w:rPr>
        <w:t xml:space="preserve"> w zak</w:t>
      </w:r>
      <w:r w:rsidR="76E2329F" w:rsidRPr="00610401">
        <w:rPr>
          <w:noProof/>
        </w:rPr>
        <w:t>res dyrektywy 92/43/EWG, które są</w:t>
      </w:r>
      <w:r w:rsidR="00610401" w:rsidRPr="00610401">
        <w:rPr>
          <w:noProof/>
        </w:rPr>
        <w:t xml:space="preserve"> w dob</w:t>
      </w:r>
      <w:r w:rsidR="76E2329F" w:rsidRPr="00610401">
        <w:rPr>
          <w:noProof/>
        </w:rPr>
        <w:t>rym stanie, na terytorium państw członkowskich</w:t>
      </w:r>
      <w:r w:rsidR="00610401" w:rsidRPr="00610401">
        <w:rPr>
          <w:noProof/>
        </w:rPr>
        <w:t xml:space="preserve"> i cał</w:t>
      </w:r>
      <w:r w:rsidR="76E2329F" w:rsidRPr="00610401">
        <w:rPr>
          <w:noProof/>
        </w:rPr>
        <w:t>ej Unii, do czasu aż</w:t>
      </w:r>
      <w:r w:rsidR="00610401" w:rsidRPr="00610401">
        <w:rPr>
          <w:noProof/>
        </w:rPr>
        <w:t xml:space="preserve"> w odn</w:t>
      </w:r>
      <w:r w:rsidR="76E2329F" w:rsidRPr="00610401">
        <w:rPr>
          <w:noProof/>
        </w:rPr>
        <w:t>iesieniu do każdego typu siedliska zostanie osiągnięty właściwy obszar odniesienia, a co najmniej 90</w:t>
      </w:r>
      <w:r w:rsidR="00610401" w:rsidRPr="00610401">
        <w:rPr>
          <w:noProof/>
        </w:rPr>
        <w:t> </w:t>
      </w:r>
      <w:r w:rsidR="76E2329F" w:rsidRPr="00610401">
        <w:rPr>
          <w:noProof/>
        </w:rPr>
        <w:t>% tego obszaru na poziomie państwa członkowskiego będzie</w:t>
      </w:r>
      <w:r w:rsidR="00610401" w:rsidRPr="00610401">
        <w:rPr>
          <w:noProof/>
        </w:rPr>
        <w:t xml:space="preserve"> w dob</w:t>
      </w:r>
      <w:r w:rsidR="76E2329F" w:rsidRPr="00610401">
        <w:rPr>
          <w:noProof/>
        </w:rPr>
        <w:t>rym stanie, co umożliwi uzyskanie</w:t>
      </w:r>
      <w:r w:rsidR="00610401" w:rsidRPr="00610401">
        <w:rPr>
          <w:noProof/>
        </w:rPr>
        <w:t xml:space="preserve"> w prz</w:t>
      </w:r>
      <w:r w:rsidR="76E2329F" w:rsidRPr="00610401">
        <w:rPr>
          <w:noProof/>
        </w:rPr>
        <w:t xml:space="preserve">ypadku tych typów siedlisk właściwego stanu ochrony. </w:t>
      </w:r>
    </w:p>
    <w:p w:rsidR="00FA07EE" w:rsidRPr="00610401" w:rsidRDefault="009F5C98" w:rsidP="009F5C98">
      <w:pPr>
        <w:pStyle w:val="ManualConsidrant"/>
        <w:rPr>
          <w:noProof/>
        </w:rPr>
      </w:pPr>
      <w:r w:rsidRPr="009F5C98">
        <w:t>(34)</w:t>
      </w:r>
      <w:r w:rsidRPr="009F5C98">
        <w:tab/>
      </w:r>
      <w:r w:rsidR="76E2329F" w:rsidRPr="00610401">
        <w:rPr>
          <w:noProof/>
        </w:rPr>
        <w:t>Istotne jest, aby zapewnić stopniowy wzrost jakości</w:t>
      </w:r>
      <w:r w:rsidR="00610401" w:rsidRPr="00610401">
        <w:rPr>
          <w:noProof/>
        </w:rPr>
        <w:t xml:space="preserve"> i wie</w:t>
      </w:r>
      <w:r w:rsidR="76E2329F" w:rsidRPr="00610401">
        <w:rPr>
          <w:noProof/>
        </w:rPr>
        <w:t>lkości siedlisk gatunków objętych zakresem dyrektywy 92/43/EWG,</w:t>
      </w:r>
      <w:r w:rsidR="00610401" w:rsidRPr="00610401">
        <w:rPr>
          <w:noProof/>
        </w:rPr>
        <w:t xml:space="preserve"> a tak</w:t>
      </w:r>
      <w:r w:rsidR="76E2329F" w:rsidRPr="00610401">
        <w:rPr>
          <w:noProof/>
        </w:rPr>
        <w:t>że siedlisk dzikiego ptactwa objętych zakresem dyrektywy 2009/147/WE, na terytorium państw członkowskich,</w:t>
      </w:r>
      <w:r w:rsidR="00610401" w:rsidRPr="00610401">
        <w:rPr>
          <w:noProof/>
        </w:rPr>
        <w:t xml:space="preserve"> a doc</w:t>
      </w:r>
      <w:r w:rsidR="76E2329F" w:rsidRPr="00610401">
        <w:rPr>
          <w:noProof/>
        </w:rPr>
        <w:t xml:space="preserve">elowo całej Unii, aż do osiągnięcia stanu wystarczającego do zagwarantowania długoterminowego przetrwania tych gatunków. </w:t>
      </w:r>
    </w:p>
    <w:p w:rsidR="00270602" w:rsidRPr="00610401" w:rsidRDefault="009F5C98" w:rsidP="009F5C98">
      <w:pPr>
        <w:pStyle w:val="ManualConsidrant"/>
        <w:rPr>
          <w:rFonts w:eastAsiaTheme="minorEastAsia"/>
          <w:noProof/>
          <w:szCs w:val="24"/>
        </w:rPr>
      </w:pPr>
      <w:r w:rsidRPr="009F5C98">
        <w:t>(35)</w:t>
      </w:r>
      <w:r w:rsidRPr="009F5C98">
        <w:tab/>
      </w:r>
      <w:r w:rsidR="00D057A8" w:rsidRPr="00610401">
        <w:rPr>
          <w:noProof/>
        </w:rPr>
        <w:t>Ważne jest, aby stan obszarów zajmowanych przez typy siedlisk wchodzących</w:t>
      </w:r>
      <w:r w:rsidR="00610401" w:rsidRPr="00610401">
        <w:rPr>
          <w:noProof/>
        </w:rPr>
        <w:t xml:space="preserve"> w zak</w:t>
      </w:r>
      <w:r w:rsidR="00D057A8" w:rsidRPr="00610401">
        <w:rPr>
          <w:noProof/>
        </w:rPr>
        <w:t>res niniejszego rozporządzenia nie uległ pogorszeniu</w:t>
      </w:r>
      <w:r w:rsidR="00610401" w:rsidRPr="00610401">
        <w:rPr>
          <w:noProof/>
        </w:rPr>
        <w:t xml:space="preserve"> w por</w:t>
      </w:r>
      <w:r w:rsidR="00D057A8" w:rsidRPr="00610401">
        <w:rPr>
          <w:noProof/>
        </w:rPr>
        <w:t>ównaniu</w:t>
      </w:r>
      <w:r w:rsidR="00610401" w:rsidRPr="00610401">
        <w:rPr>
          <w:noProof/>
        </w:rPr>
        <w:t xml:space="preserve"> z obe</w:t>
      </w:r>
      <w:r w:rsidR="00D057A8" w:rsidRPr="00610401">
        <w:rPr>
          <w:noProof/>
        </w:rPr>
        <w:t>cną sytuacją, biorąc pod uwagę obecne potrzeby</w:t>
      </w:r>
      <w:r w:rsidR="00610401" w:rsidRPr="00610401">
        <w:rPr>
          <w:noProof/>
        </w:rPr>
        <w:t xml:space="preserve"> w zak</w:t>
      </w:r>
      <w:r w:rsidR="00D057A8" w:rsidRPr="00610401">
        <w:rPr>
          <w:noProof/>
        </w:rPr>
        <w:t>resie odbudowy</w:t>
      </w:r>
      <w:r w:rsidR="00610401" w:rsidRPr="00610401">
        <w:rPr>
          <w:noProof/>
        </w:rPr>
        <w:t xml:space="preserve"> i kon</w:t>
      </w:r>
      <w:r w:rsidR="00D057A8" w:rsidRPr="00610401">
        <w:rPr>
          <w:noProof/>
        </w:rPr>
        <w:t>ieczność uniknięcia dalszego zwiększania potrzeb</w:t>
      </w:r>
      <w:r w:rsidR="00610401" w:rsidRPr="00610401">
        <w:rPr>
          <w:noProof/>
        </w:rPr>
        <w:t xml:space="preserve"> w zak</w:t>
      </w:r>
      <w:r w:rsidR="00D057A8" w:rsidRPr="00610401">
        <w:rPr>
          <w:noProof/>
        </w:rPr>
        <w:t>resie odbudowy</w:t>
      </w:r>
      <w:r w:rsidR="00610401" w:rsidRPr="00610401">
        <w:rPr>
          <w:noProof/>
        </w:rPr>
        <w:t xml:space="preserve"> w prz</w:t>
      </w:r>
      <w:r w:rsidR="00D057A8" w:rsidRPr="00610401">
        <w:rPr>
          <w:noProof/>
        </w:rPr>
        <w:t>yszłości. Należy jednak rozważyć możliwość działania siły wyższej, która może spowodować pogorszenie stanu obszarów zajmowanych przez typy siedlisk,</w:t>
      </w:r>
      <w:r w:rsidR="00610401" w:rsidRPr="00610401">
        <w:rPr>
          <w:noProof/>
        </w:rPr>
        <w:t xml:space="preserve"> a tak</w:t>
      </w:r>
      <w:r w:rsidR="00D057A8" w:rsidRPr="00610401">
        <w:rPr>
          <w:noProof/>
        </w:rPr>
        <w:t>że nieuniknione przekształcenia siedlisk spowodowane bezpośrednio przez zmianę klimatu lub będące konsekwencją planów lub przedsięwzięć realizowanych</w:t>
      </w:r>
      <w:r w:rsidR="00610401" w:rsidRPr="00610401">
        <w:rPr>
          <w:noProof/>
        </w:rPr>
        <w:t xml:space="preserve"> w nad</w:t>
      </w:r>
      <w:r w:rsidR="00D057A8" w:rsidRPr="00610401">
        <w:rPr>
          <w:noProof/>
        </w:rPr>
        <w:t>rzędnym interesie publicznym,</w:t>
      </w:r>
      <w:r w:rsidR="00610401" w:rsidRPr="00610401">
        <w:rPr>
          <w:noProof/>
        </w:rPr>
        <w:t xml:space="preserve"> w prz</w:t>
      </w:r>
      <w:r w:rsidR="00D057A8" w:rsidRPr="00610401">
        <w:rPr>
          <w:noProof/>
        </w:rPr>
        <w:t>ypadku których nie są dostępne żadne mniej szkodliwe rozwiązania alternatywne, co należy ustalać indywidualnie dla każdego przypadku, bądź planu lub przedsięwzięcia zatwierdzonego zgodnie</w:t>
      </w:r>
      <w:r w:rsidR="00610401" w:rsidRPr="00610401">
        <w:rPr>
          <w:noProof/>
        </w:rPr>
        <w:t xml:space="preserve"> z art</w:t>
      </w:r>
      <w:r w:rsidR="00D057A8" w:rsidRPr="00610401">
        <w:rPr>
          <w:noProof/>
        </w:rPr>
        <w:t>.</w:t>
      </w:r>
      <w:r w:rsidR="00610401" w:rsidRPr="00610401">
        <w:rPr>
          <w:noProof/>
        </w:rPr>
        <w:t> </w:t>
      </w:r>
      <w:r w:rsidR="00D057A8" w:rsidRPr="00610401">
        <w:rPr>
          <w:noProof/>
        </w:rPr>
        <w:t>6 ust.</w:t>
      </w:r>
      <w:r w:rsidR="00610401" w:rsidRPr="00610401">
        <w:rPr>
          <w:noProof/>
        </w:rPr>
        <w:t> </w:t>
      </w:r>
      <w:r w:rsidR="00D057A8" w:rsidRPr="00610401">
        <w:rPr>
          <w:noProof/>
        </w:rPr>
        <w:t xml:space="preserve">4 dyrektywy 92/43/EWG. </w:t>
      </w:r>
    </w:p>
    <w:p w:rsidR="00FD56A2" w:rsidRPr="00610401" w:rsidRDefault="009F5C98" w:rsidP="009F5C98">
      <w:pPr>
        <w:pStyle w:val="ManualConsidrant"/>
        <w:rPr>
          <w:rFonts w:eastAsiaTheme="minorEastAsia"/>
          <w:noProof/>
          <w:szCs w:val="24"/>
        </w:rPr>
      </w:pPr>
      <w:r w:rsidRPr="009F5C98">
        <w:t>(36)</w:t>
      </w:r>
      <w:r w:rsidRPr="009F5C98">
        <w:tab/>
      </w:r>
      <w:r w:rsidR="499792F7" w:rsidRPr="00610401">
        <w:rPr>
          <w:noProof/>
        </w:rPr>
        <w:t>W unijnej strategii na rzecz bioróżnorodności 2030 podkreślono potrzebę podjęcia bardziej zdecydowanego działania na rzecz odbudowy zdegradowanych ekosystemów morskich,</w:t>
      </w:r>
      <w:r w:rsidR="00610401" w:rsidRPr="00610401">
        <w:rPr>
          <w:noProof/>
        </w:rPr>
        <w:t xml:space="preserve"> w tym</w:t>
      </w:r>
      <w:r w:rsidR="499792F7" w:rsidRPr="00610401">
        <w:rPr>
          <w:noProof/>
        </w:rPr>
        <w:t xml:space="preserve"> ekosystemów bogatych</w:t>
      </w:r>
      <w:r w:rsidR="00610401" w:rsidRPr="00610401">
        <w:rPr>
          <w:noProof/>
        </w:rPr>
        <w:t xml:space="preserve"> w węg</w:t>
      </w:r>
      <w:r w:rsidR="499792F7" w:rsidRPr="00610401">
        <w:rPr>
          <w:noProof/>
        </w:rPr>
        <w:t>iel oraz ważnych tarlisk ryb</w:t>
      </w:r>
      <w:r w:rsidR="00610401" w:rsidRPr="00610401">
        <w:rPr>
          <w:noProof/>
        </w:rPr>
        <w:t xml:space="preserve"> i obs</w:t>
      </w:r>
      <w:r w:rsidR="499792F7" w:rsidRPr="00610401">
        <w:rPr>
          <w:noProof/>
        </w:rPr>
        <w:t>zarów dojrzewania narybku</w:t>
      </w:r>
      <w:r w:rsidR="00610401" w:rsidRPr="00610401">
        <w:rPr>
          <w:noProof/>
        </w:rPr>
        <w:t>. W str</w:t>
      </w:r>
      <w:r w:rsidR="499792F7" w:rsidRPr="00610401">
        <w:rPr>
          <w:noProof/>
        </w:rPr>
        <w:t>ategii ogłoszono również, że Komisja zaproponuje nowy plan działania</w:t>
      </w:r>
      <w:r w:rsidR="00610401" w:rsidRPr="00610401">
        <w:rPr>
          <w:noProof/>
        </w:rPr>
        <w:t xml:space="preserve"> w cel</w:t>
      </w:r>
      <w:r w:rsidR="499792F7" w:rsidRPr="00610401">
        <w:rPr>
          <w:noProof/>
        </w:rPr>
        <w:t>u ochrony zasobów rybnych</w:t>
      </w:r>
      <w:r w:rsidR="00610401" w:rsidRPr="00610401">
        <w:rPr>
          <w:noProof/>
        </w:rPr>
        <w:t xml:space="preserve"> i och</w:t>
      </w:r>
      <w:r w:rsidR="499792F7" w:rsidRPr="00610401">
        <w:rPr>
          <w:noProof/>
        </w:rPr>
        <w:t>rony ekosystemów morskich.</w:t>
      </w:r>
    </w:p>
    <w:p w:rsidR="00223F54" w:rsidRPr="00610401" w:rsidRDefault="009F5C98" w:rsidP="009F5C98">
      <w:pPr>
        <w:pStyle w:val="ManualConsidrant"/>
        <w:rPr>
          <w:rFonts w:eastAsiaTheme="minorEastAsia"/>
          <w:noProof/>
          <w:szCs w:val="24"/>
        </w:rPr>
      </w:pPr>
      <w:r w:rsidRPr="009F5C98">
        <w:t>(37)</w:t>
      </w:r>
      <w:r w:rsidRPr="009F5C98">
        <w:tab/>
      </w:r>
      <w:r w:rsidR="383FEC8D" w:rsidRPr="00610401">
        <w:rPr>
          <w:noProof/>
        </w:rPr>
        <w:t>Typy siedlisk morskich wymienione</w:t>
      </w:r>
      <w:r w:rsidR="00610401" w:rsidRPr="00610401">
        <w:rPr>
          <w:noProof/>
        </w:rPr>
        <w:t xml:space="preserve"> w zał</w:t>
      </w:r>
      <w:r w:rsidR="383FEC8D" w:rsidRPr="00610401">
        <w:rPr>
          <w:noProof/>
        </w:rPr>
        <w:t>ączniku I do dyrektywy 92/43/EWG mają szeroką definicję</w:t>
      </w:r>
      <w:r w:rsidR="00610401" w:rsidRPr="00610401">
        <w:rPr>
          <w:noProof/>
        </w:rPr>
        <w:t xml:space="preserve"> i obe</w:t>
      </w:r>
      <w:r w:rsidR="383FEC8D" w:rsidRPr="00610401">
        <w:rPr>
          <w:noProof/>
        </w:rPr>
        <w:t>jmują wiele podtypów różnicowanych pod względem ekologicznym</w:t>
      </w:r>
      <w:r w:rsidR="00610401" w:rsidRPr="00610401">
        <w:rPr>
          <w:noProof/>
        </w:rPr>
        <w:t xml:space="preserve"> i pot</w:t>
      </w:r>
      <w:r w:rsidR="383FEC8D" w:rsidRPr="00610401">
        <w:rPr>
          <w:noProof/>
        </w:rPr>
        <w:t>encjału odbudowy, co utrudnia państwom członkowskim ustanowienie odpowiednich środków odbudowy na poziomie tych typów siedlisk. Należy zatem doprecyzować typy siedlisk morskich przez zastosowanie odpowiednich poziomów klasyfikacji siedlisk morskich</w:t>
      </w:r>
      <w:r w:rsidR="00610401" w:rsidRPr="00610401">
        <w:rPr>
          <w:noProof/>
        </w:rPr>
        <w:t xml:space="preserve"> w ram</w:t>
      </w:r>
      <w:r w:rsidR="383FEC8D" w:rsidRPr="00610401">
        <w:rPr>
          <w:noProof/>
        </w:rPr>
        <w:t>ach europejskiego systemu informacji</w:t>
      </w:r>
      <w:r w:rsidR="00610401" w:rsidRPr="00610401">
        <w:rPr>
          <w:noProof/>
        </w:rPr>
        <w:t xml:space="preserve"> o prz</w:t>
      </w:r>
      <w:r w:rsidR="383FEC8D" w:rsidRPr="00610401">
        <w:rPr>
          <w:noProof/>
        </w:rPr>
        <w:t>yrodzie (EUNIS). Państwa członkowskie powinny ustanowić właściwe obszary odniesienia pozwalające osiągnąć właściwy stan ochrony każdego</w:t>
      </w:r>
      <w:r w:rsidR="00610401" w:rsidRPr="00610401">
        <w:rPr>
          <w:noProof/>
        </w:rPr>
        <w:t xml:space="preserve"> z tyc</w:t>
      </w:r>
      <w:r w:rsidR="383FEC8D" w:rsidRPr="00610401">
        <w:rPr>
          <w:noProof/>
        </w:rPr>
        <w:t>h typów siedlisk,</w:t>
      </w:r>
      <w:r w:rsidR="00610401" w:rsidRPr="00610401">
        <w:rPr>
          <w:noProof/>
        </w:rPr>
        <w:t xml:space="preserve"> o ile</w:t>
      </w:r>
      <w:r w:rsidR="383FEC8D" w:rsidRPr="00610401">
        <w:rPr>
          <w:noProof/>
        </w:rPr>
        <w:t xml:space="preserve"> te obszary odniesienia nie zostały wcześniej uwzględnione</w:t>
      </w:r>
      <w:r w:rsidR="00610401" w:rsidRPr="00610401">
        <w:rPr>
          <w:noProof/>
        </w:rPr>
        <w:t xml:space="preserve"> w inn</w:t>
      </w:r>
      <w:r w:rsidR="383FEC8D" w:rsidRPr="00610401">
        <w:rPr>
          <w:noProof/>
        </w:rPr>
        <w:t xml:space="preserve">ych przepisach Unii. </w:t>
      </w:r>
    </w:p>
    <w:p w:rsidR="008F2FC4" w:rsidRPr="00610401" w:rsidRDefault="009F5C98" w:rsidP="009F5C98">
      <w:pPr>
        <w:pStyle w:val="ManualConsidrant"/>
        <w:rPr>
          <w:noProof/>
        </w:rPr>
      </w:pPr>
      <w:r w:rsidRPr="009F5C98">
        <w:t>(38)</w:t>
      </w:r>
      <w:r w:rsidRPr="009F5C98">
        <w:tab/>
      </w:r>
      <w:r w:rsidR="008C2681" w:rsidRPr="00610401">
        <w:rPr>
          <w:noProof/>
        </w:rPr>
        <w:t>W przypadku gdy ochrona siedlisk przybrzeżnych</w:t>
      </w:r>
      <w:r w:rsidR="00610401" w:rsidRPr="00610401">
        <w:rPr>
          <w:noProof/>
        </w:rPr>
        <w:t xml:space="preserve"> i mor</w:t>
      </w:r>
      <w:r w:rsidR="008C2681" w:rsidRPr="00610401">
        <w:rPr>
          <w:noProof/>
        </w:rPr>
        <w:t>skich wymaga regulacji działalności połowowej lub</w:t>
      </w:r>
      <w:r w:rsidR="00610401" w:rsidRPr="00610401">
        <w:rPr>
          <w:noProof/>
        </w:rPr>
        <w:t xml:space="preserve"> w zak</w:t>
      </w:r>
      <w:r w:rsidR="008C2681" w:rsidRPr="00610401">
        <w:rPr>
          <w:noProof/>
        </w:rPr>
        <w:t>resie akwakultury, zastosowanie ma wspólna polityka rybołówstwa</w:t>
      </w:r>
      <w:r w:rsidR="00610401" w:rsidRPr="00610401">
        <w:rPr>
          <w:noProof/>
        </w:rPr>
        <w:t>. W roz</w:t>
      </w:r>
      <w:r w:rsidR="008C2681" w:rsidRPr="00610401">
        <w:rPr>
          <w:noProof/>
        </w:rPr>
        <w:t>porządzeniu Parlamentu Europejskiego</w:t>
      </w:r>
      <w:r w:rsidR="00610401" w:rsidRPr="00610401">
        <w:rPr>
          <w:noProof/>
        </w:rPr>
        <w:t xml:space="preserve"> i Rad</w:t>
      </w:r>
      <w:r w:rsidR="008C2681" w:rsidRPr="00610401">
        <w:rPr>
          <w:noProof/>
        </w:rPr>
        <w:t>y (UE) nr</w:t>
      </w:r>
      <w:r w:rsidR="00610401" w:rsidRPr="00610401">
        <w:rPr>
          <w:noProof/>
        </w:rPr>
        <w:t> </w:t>
      </w:r>
      <w:r w:rsidR="008C2681" w:rsidRPr="00610401">
        <w:rPr>
          <w:noProof/>
        </w:rPr>
        <w:t>1380/2013</w:t>
      </w:r>
      <w:r w:rsidR="008C2681" w:rsidRPr="00610401">
        <w:rPr>
          <w:rStyle w:val="FootnoteReference"/>
          <w:noProof/>
        </w:rPr>
        <w:footnoteReference w:id="69"/>
      </w:r>
      <w:r w:rsidR="008C2681" w:rsidRPr="00610401">
        <w:rPr>
          <w:noProof/>
        </w:rPr>
        <w:t xml:space="preserve"> ustanowiono,</w:t>
      </w:r>
      <w:r w:rsidR="00610401" w:rsidRPr="00610401">
        <w:rPr>
          <w:noProof/>
        </w:rPr>
        <w:t xml:space="preserve"> w szc</w:t>
      </w:r>
      <w:r w:rsidR="008C2681" w:rsidRPr="00610401">
        <w:rPr>
          <w:noProof/>
        </w:rPr>
        <w:t xml:space="preserve">zególności, że wspólna polityka rybołówstwa </w:t>
      </w:r>
      <w:r w:rsidR="008C2681" w:rsidRPr="00610401">
        <w:rPr>
          <w:noProof/>
          <w:color w:val="000000"/>
          <w:shd w:val="clear" w:color="auto" w:fill="FFFFFF"/>
        </w:rPr>
        <w:t>wdraża podejście ekosystemowe do zarządzania rybołówstwem, aby zapewnić minimalizowanie negatywnych skutków działalności połowowej dla ekosystemu morskiego</w:t>
      </w:r>
      <w:r w:rsidR="00610401" w:rsidRPr="00610401">
        <w:rPr>
          <w:noProof/>
          <w:color w:val="000000"/>
          <w:shd w:val="clear" w:color="auto" w:fill="FFFFFF"/>
        </w:rPr>
        <w:t>. W roz</w:t>
      </w:r>
      <w:r w:rsidR="008C2681" w:rsidRPr="00610401">
        <w:rPr>
          <w:noProof/>
          <w:color w:val="000000"/>
          <w:shd w:val="clear" w:color="auto" w:fill="FFFFFF"/>
        </w:rPr>
        <w:t>porządzeniu przewidziano także, dążenie polityczne, aby akwakultura</w:t>
      </w:r>
      <w:r w:rsidR="00610401" w:rsidRPr="00610401">
        <w:rPr>
          <w:noProof/>
          <w:color w:val="000000"/>
          <w:shd w:val="clear" w:color="auto" w:fill="FFFFFF"/>
        </w:rPr>
        <w:t xml:space="preserve"> i dzi</w:t>
      </w:r>
      <w:r w:rsidR="008C2681" w:rsidRPr="00610401">
        <w:rPr>
          <w:noProof/>
          <w:color w:val="000000"/>
          <w:shd w:val="clear" w:color="auto" w:fill="FFFFFF"/>
        </w:rPr>
        <w:t xml:space="preserve">ałalność połowowa nie powodowały degradacji środowiska morskiego. </w:t>
      </w:r>
    </w:p>
    <w:p w:rsidR="008C2681" w:rsidRPr="00610401" w:rsidRDefault="009F5C98" w:rsidP="009F5C98">
      <w:pPr>
        <w:pStyle w:val="ManualConsidrant"/>
        <w:rPr>
          <w:noProof/>
        </w:rPr>
      </w:pPr>
      <w:r w:rsidRPr="009F5C98">
        <w:t>(39)</w:t>
      </w:r>
      <w:r w:rsidRPr="009F5C98">
        <w:tab/>
      </w:r>
      <w:r w:rsidR="00DC030A" w:rsidRPr="00610401">
        <w:rPr>
          <w:noProof/>
          <w:shd w:val="clear" w:color="auto" w:fill="FFFFFF"/>
        </w:rPr>
        <w:t>Aby osiągnąć cel, jakim jest ciągła, długoterminowa</w:t>
      </w:r>
      <w:r w:rsidR="00610401" w:rsidRPr="00610401">
        <w:rPr>
          <w:noProof/>
          <w:shd w:val="clear" w:color="auto" w:fill="FFFFFF"/>
        </w:rPr>
        <w:t xml:space="preserve"> i trw</w:t>
      </w:r>
      <w:r w:rsidR="00DC030A" w:rsidRPr="00610401">
        <w:rPr>
          <w:noProof/>
          <w:shd w:val="clear" w:color="auto" w:fill="FFFFFF"/>
        </w:rPr>
        <w:t>ała odbudowa różnorodnej biologicznie</w:t>
      </w:r>
      <w:r w:rsidR="00610401" w:rsidRPr="00610401">
        <w:rPr>
          <w:noProof/>
          <w:shd w:val="clear" w:color="auto" w:fill="FFFFFF"/>
        </w:rPr>
        <w:t xml:space="preserve"> i odp</w:t>
      </w:r>
      <w:r w:rsidR="00DC030A" w:rsidRPr="00610401">
        <w:rPr>
          <w:noProof/>
          <w:shd w:val="clear" w:color="auto" w:fill="FFFFFF"/>
        </w:rPr>
        <w:t>ornej przyrody, państwa członkowskie powinny</w:t>
      </w:r>
      <w:r w:rsidR="00610401" w:rsidRPr="00610401">
        <w:rPr>
          <w:noProof/>
          <w:shd w:val="clear" w:color="auto" w:fill="FFFFFF"/>
        </w:rPr>
        <w:t xml:space="preserve"> w peł</w:t>
      </w:r>
      <w:r w:rsidR="00DC030A" w:rsidRPr="00610401">
        <w:rPr>
          <w:noProof/>
          <w:shd w:val="clear" w:color="auto" w:fill="FFFFFF"/>
        </w:rPr>
        <w:t>ni wykorzystać możliwości, jakie daje wspólna polityka rybołówstwa</w:t>
      </w:r>
      <w:r w:rsidR="00610401" w:rsidRPr="00610401">
        <w:rPr>
          <w:noProof/>
          <w:shd w:val="clear" w:color="auto" w:fill="FFFFFF"/>
        </w:rPr>
        <w:t>. W zak</w:t>
      </w:r>
      <w:r w:rsidR="00DC030A" w:rsidRPr="00610401">
        <w:rPr>
          <w:noProof/>
          <w:shd w:val="clear" w:color="auto" w:fill="FFFFFF"/>
        </w:rPr>
        <w:t>resie wyłącznej kompetencji Unii</w:t>
      </w:r>
      <w:r w:rsidR="00610401" w:rsidRPr="00610401">
        <w:rPr>
          <w:noProof/>
          <w:shd w:val="clear" w:color="auto" w:fill="FFFFFF"/>
        </w:rPr>
        <w:t xml:space="preserve"> w odn</w:t>
      </w:r>
      <w:r w:rsidR="00DC030A" w:rsidRPr="00610401">
        <w:rPr>
          <w:noProof/>
          <w:shd w:val="clear" w:color="auto" w:fill="FFFFFF"/>
        </w:rPr>
        <w:t>iesieniu do zachowania żywych zasobów morza, państwa członkowskie mogą wprowadzić niedyskryminacyjne środki na rzecz ochrony stad ryb</w:t>
      </w:r>
      <w:r w:rsidR="00610401" w:rsidRPr="00610401">
        <w:rPr>
          <w:noProof/>
          <w:shd w:val="clear" w:color="auto" w:fill="FFFFFF"/>
        </w:rPr>
        <w:t xml:space="preserve"> i zar</w:t>
      </w:r>
      <w:r w:rsidR="00DC030A" w:rsidRPr="00610401">
        <w:rPr>
          <w:noProof/>
          <w:shd w:val="clear" w:color="auto" w:fill="FFFFFF"/>
        </w:rPr>
        <w:t>ządzania nimi oraz utrzymania lub poprawy stanu ochrony ekosystemów morskich</w:t>
      </w:r>
      <w:r w:rsidR="00610401" w:rsidRPr="00610401">
        <w:rPr>
          <w:noProof/>
          <w:shd w:val="clear" w:color="auto" w:fill="FFFFFF"/>
        </w:rPr>
        <w:t xml:space="preserve"> w str</w:t>
      </w:r>
      <w:r w:rsidR="00DC030A" w:rsidRPr="00610401">
        <w:rPr>
          <w:noProof/>
          <w:shd w:val="clear" w:color="auto" w:fill="FFFFFF"/>
        </w:rPr>
        <w:t>efie 12 mil morskich od linii podstawowej. Co więcej, państwa członkowskie, które mają bezpośredni interes</w:t>
      </w:r>
      <w:r w:rsidR="00610401" w:rsidRPr="00610401">
        <w:rPr>
          <w:noProof/>
          <w:shd w:val="clear" w:color="auto" w:fill="FFFFFF"/>
        </w:rPr>
        <w:t xml:space="preserve"> w zar</w:t>
      </w:r>
      <w:r w:rsidR="00DC030A" w:rsidRPr="00610401">
        <w:rPr>
          <w:noProof/>
          <w:shd w:val="clear" w:color="auto" w:fill="FFFFFF"/>
        </w:rPr>
        <w:t>ządzaniu, mogą skorzystać</w:t>
      </w:r>
      <w:r w:rsidR="00610401" w:rsidRPr="00610401">
        <w:rPr>
          <w:noProof/>
          <w:shd w:val="clear" w:color="auto" w:fill="FFFFFF"/>
        </w:rPr>
        <w:t xml:space="preserve"> z moż</w:t>
      </w:r>
      <w:r w:rsidR="00DC030A" w:rsidRPr="00610401">
        <w:rPr>
          <w:noProof/>
          <w:shd w:val="clear" w:color="auto" w:fill="FFFFFF"/>
        </w:rPr>
        <w:t>liwości przedstawienia wspólnych rekomendacji dotyczących środków ochronnych niezbędnych do wypełniania zobowiązań wynikających</w:t>
      </w:r>
      <w:r w:rsidR="00610401" w:rsidRPr="00610401">
        <w:rPr>
          <w:noProof/>
          <w:shd w:val="clear" w:color="auto" w:fill="FFFFFF"/>
        </w:rPr>
        <w:t xml:space="preserve"> z pra</w:t>
      </w:r>
      <w:r w:rsidR="00DC030A" w:rsidRPr="00610401">
        <w:rPr>
          <w:noProof/>
          <w:shd w:val="clear" w:color="auto" w:fill="FFFFFF"/>
        </w:rPr>
        <w:t>wa Unii</w:t>
      </w:r>
      <w:r w:rsidR="00610401" w:rsidRPr="00610401">
        <w:rPr>
          <w:noProof/>
          <w:shd w:val="clear" w:color="auto" w:fill="FFFFFF"/>
        </w:rPr>
        <w:t xml:space="preserve"> w dzi</w:t>
      </w:r>
      <w:r w:rsidR="00DC030A" w:rsidRPr="00610401">
        <w:rPr>
          <w:noProof/>
          <w:shd w:val="clear" w:color="auto" w:fill="FFFFFF"/>
        </w:rPr>
        <w:t>edzinie ochrony środowiska. Środki takie</w:t>
      </w:r>
      <w:r w:rsidR="00610401" w:rsidRPr="00610401">
        <w:rPr>
          <w:noProof/>
          <w:sz w:val="20"/>
          <w:shd w:val="clear" w:color="auto" w:fill="FFFFFF"/>
        </w:rPr>
        <w:t xml:space="preserve"> </w:t>
      </w:r>
      <w:r w:rsidR="00DC030A" w:rsidRPr="00610401">
        <w:rPr>
          <w:noProof/>
          <w:shd w:val="clear" w:color="auto" w:fill="FFFFFF"/>
        </w:rPr>
        <w:t>zostaną przyjęte</w:t>
      </w:r>
      <w:r w:rsidR="00610401" w:rsidRPr="00610401">
        <w:rPr>
          <w:noProof/>
          <w:shd w:val="clear" w:color="auto" w:fill="FFFFFF"/>
        </w:rPr>
        <w:t xml:space="preserve"> i oce</w:t>
      </w:r>
      <w:r w:rsidR="00DC030A" w:rsidRPr="00610401">
        <w:rPr>
          <w:noProof/>
          <w:shd w:val="clear" w:color="auto" w:fill="FFFFFF"/>
        </w:rPr>
        <w:t>nione zgodnie</w:t>
      </w:r>
      <w:r w:rsidR="00610401" w:rsidRPr="00610401">
        <w:rPr>
          <w:noProof/>
          <w:shd w:val="clear" w:color="auto" w:fill="FFFFFF"/>
        </w:rPr>
        <w:t xml:space="preserve"> z zas</w:t>
      </w:r>
      <w:r w:rsidR="00DC030A" w:rsidRPr="00610401">
        <w:rPr>
          <w:noProof/>
          <w:shd w:val="clear" w:color="auto" w:fill="FFFFFF"/>
        </w:rPr>
        <w:t>adami</w:t>
      </w:r>
      <w:r w:rsidR="00610401" w:rsidRPr="00610401">
        <w:rPr>
          <w:noProof/>
          <w:shd w:val="clear" w:color="auto" w:fill="FFFFFF"/>
        </w:rPr>
        <w:t xml:space="preserve"> i pro</w:t>
      </w:r>
      <w:r w:rsidR="00DC030A" w:rsidRPr="00610401">
        <w:rPr>
          <w:noProof/>
          <w:shd w:val="clear" w:color="auto" w:fill="FFFFFF"/>
        </w:rPr>
        <w:t>cedurami przewidzianymi we wspólnej polityce rybołówstwa.</w:t>
      </w:r>
      <w:r w:rsidR="00DC030A" w:rsidRPr="00610401">
        <w:rPr>
          <w:noProof/>
        </w:rPr>
        <w:t xml:space="preserve"> </w:t>
      </w:r>
    </w:p>
    <w:p w:rsidR="009A1898" w:rsidRPr="00610401" w:rsidRDefault="009F5C98" w:rsidP="009F5C98">
      <w:pPr>
        <w:pStyle w:val="ManualConsidrant"/>
        <w:rPr>
          <w:noProof/>
        </w:rPr>
      </w:pPr>
      <w:r w:rsidRPr="009F5C98">
        <w:t>(40)</w:t>
      </w:r>
      <w:r w:rsidRPr="009F5C98">
        <w:tab/>
      </w:r>
      <w:r w:rsidR="24DB6835" w:rsidRPr="00610401">
        <w:rPr>
          <w:noProof/>
        </w:rPr>
        <w:t>W dyrektywie 2008/56/WE nałożono na państwa członkowskie wymóg współpracy dwustronnej oraz</w:t>
      </w:r>
      <w:r w:rsidR="00610401" w:rsidRPr="00610401">
        <w:rPr>
          <w:noProof/>
        </w:rPr>
        <w:t xml:space="preserve"> w ram</w:t>
      </w:r>
      <w:r w:rsidR="24DB6835" w:rsidRPr="00610401">
        <w:rPr>
          <w:noProof/>
        </w:rPr>
        <w:t>ach mechanizmów współpracy regionalnej lub na szczeblu podregionu,</w:t>
      </w:r>
      <w:r w:rsidR="00610401" w:rsidRPr="00610401">
        <w:rPr>
          <w:noProof/>
        </w:rPr>
        <w:t xml:space="preserve"> w tym</w:t>
      </w:r>
      <w:r w:rsidR="24DB6835" w:rsidRPr="00610401">
        <w:rPr>
          <w:noProof/>
        </w:rPr>
        <w:t xml:space="preserve"> poprzez regionalne konwencje morskie</w:t>
      </w:r>
      <w:r w:rsidR="24DB6835" w:rsidRPr="00610401">
        <w:rPr>
          <w:rStyle w:val="FootnoteReference"/>
          <w:rFonts w:eastAsia="Times New Roman"/>
          <w:noProof/>
          <w:szCs w:val="24"/>
        </w:rPr>
        <w:footnoteReference w:id="70"/>
      </w:r>
      <w:r w:rsidR="24DB6835" w:rsidRPr="00610401">
        <w:rPr>
          <w:noProof/>
        </w:rPr>
        <w:t>,</w:t>
      </w:r>
      <w:r w:rsidR="00610401" w:rsidRPr="00610401">
        <w:rPr>
          <w:noProof/>
        </w:rPr>
        <w:t xml:space="preserve"> a tak</w:t>
      </w:r>
      <w:r w:rsidR="24DB6835" w:rsidRPr="00610401">
        <w:rPr>
          <w:noProof/>
        </w:rPr>
        <w:t>że –</w:t>
      </w:r>
      <w:r w:rsidR="00610401" w:rsidRPr="00610401">
        <w:rPr>
          <w:noProof/>
        </w:rPr>
        <w:t xml:space="preserve"> w odn</w:t>
      </w:r>
      <w:r w:rsidR="24DB6835" w:rsidRPr="00610401">
        <w:rPr>
          <w:noProof/>
        </w:rPr>
        <w:t>iesieniu do środków</w:t>
      </w:r>
      <w:r w:rsidR="00610401" w:rsidRPr="00610401">
        <w:rPr>
          <w:noProof/>
        </w:rPr>
        <w:t xml:space="preserve"> w zak</w:t>
      </w:r>
      <w:r w:rsidR="24DB6835" w:rsidRPr="00610401">
        <w:rPr>
          <w:noProof/>
        </w:rPr>
        <w:t>resie rybołówstwa –</w:t>
      </w:r>
      <w:r w:rsidR="00610401" w:rsidRPr="00610401">
        <w:rPr>
          <w:noProof/>
        </w:rPr>
        <w:t xml:space="preserve"> w kon</w:t>
      </w:r>
      <w:r w:rsidR="24DB6835" w:rsidRPr="00610401">
        <w:rPr>
          <w:noProof/>
        </w:rPr>
        <w:t>tekście grup regionalnych ustanowionych</w:t>
      </w:r>
      <w:r w:rsidR="00610401" w:rsidRPr="00610401">
        <w:rPr>
          <w:noProof/>
        </w:rPr>
        <w:t xml:space="preserve"> w ram</w:t>
      </w:r>
      <w:r w:rsidR="24DB6835" w:rsidRPr="00610401">
        <w:rPr>
          <w:noProof/>
        </w:rPr>
        <w:t xml:space="preserve">ach wspólnej polityki rybołówstwa. </w:t>
      </w:r>
    </w:p>
    <w:p w:rsidR="007A18CC" w:rsidRPr="00610401" w:rsidRDefault="009F5C98" w:rsidP="009F5C98">
      <w:pPr>
        <w:pStyle w:val="ManualConsidrant"/>
        <w:rPr>
          <w:rFonts w:eastAsiaTheme="minorEastAsia"/>
          <w:noProof/>
        </w:rPr>
      </w:pPr>
      <w:r w:rsidRPr="009F5C98">
        <w:t>(41)</w:t>
      </w:r>
      <w:r w:rsidRPr="009F5C98">
        <w:tab/>
      </w:r>
      <w:r w:rsidR="3BCB9A65" w:rsidRPr="00610401">
        <w:rPr>
          <w:noProof/>
        </w:rPr>
        <w:t>Siedliska wybranych gatunków morskich, takich jak rekiny</w:t>
      </w:r>
      <w:r w:rsidR="00610401" w:rsidRPr="00610401">
        <w:rPr>
          <w:noProof/>
        </w:rPr>
        <w:t xml:space="preserve"> i pła</w:t>
      </w:r>
      <w:r w:rsidR="3BCB9A65" w:rsidRPr="00610401">
        <w:rPr>
          <w:noProof/>
        </w:rPr>
        <w:t>szczki, które są objęte zakresem Konwencji</w:t>
      </w:r>
      <w:r w:rsidR="00610401" w:rsidRPr="00610401">
        <w:rPr>
          <w:noProof/>
        </w:rPr>
        <w:t xml:space="preserve"> o och</w:t>
      </w:r>
      <w:r w:rsidR="3BCB9A65" w:rsidRPr="00610401">
        <w:rPr>
          <w:noProof/>
        </w:rPr>
        <w:t>ronie wędrownych gatunków dzikich zwierząt, ale nie podlegają dyrektywie 92/43/EWG, należy objąć środkami odbudowy, gdyż pełnią ważną funkcję</w:t>
      </w:r>
      <w:r w:rsidR="00610401" w:rsidRPr="00610401">
        <w:rPr>
          <w:noProof/>
        </w:rPr>
        <w:t xml:space="preserve"> w eko</w:t>
      </w:r>
      <w:r w:rsidR="3BCB9A65" w:rsidRPr="00610401">
        <w:rPr>
          <w:noProof/>
        </w:rPr>
        <w:t xml:space="preserve">systemie. </w:t>
      </w:r>
    </w:p>
    <w:p w:rsidR="00994F70" w:rsidRPr="00610401" w:rsidRDefault="009F5C98" w:rsidP="009F5C98">
      <w:pPr>
        <w:pStyle w:val="ManualConsidrant"/>
        <w:rPr>
          <w:rFonts w:eastAsiaTheme="minorEastAsia"/>
          <w:noProof/>
        </w:rPr>
      </w:pPr>
      <w:r w:rsidRPr="009F5C98">
        <w:t>(42)</w:t>
      </w:r>
      <w:r w:rsidRPr="009F5C98">
        <w:tab/>
      </w:r>
      <w:r w:rsidR="00994F70" w:rsidRPr="00610401">
        <w:rPr>
          <w:noProof/>
        </w:rPr>
        <w:t>Aby wspierać odbudowę siedlisk lądowych, słodkowodnych, przybrzeżnych</w:t>
      </w:r>
      <w:r w:rsidR="00610401" w:rsidRPr="00610401">
        <w:rPr>
          <w:noProof/>
        </w:rPr>
        <w:t xml:space="preserve"> i mor</w:t>
      </w:r>
      <w:r w:rsidR="00994F70" w:rsidRPr="00610401">
        <w:rPr>
          <w:noProof/>
        </w:rPr>
        <w:t>skich oraz przeciwdziałanie pogarszaniu się ich stanu, państwa członkowskie mogą nadać dodatkowym obszarom status „obszarów chronionych” lub „obszarów ściśle chronionych”, wprowadzić inne skuteczne obszarowe środki ochrony,</w:t>
      </w:r>
      <w:r w:rsidR="00610401" w:rsidRPr="00610401">
        <w:rPr>
          <w:noProof/>
        </w:rPr>
        <w:t xml:space="preserve"> a tak</w:t>
      </w:r>
      <w:r w:rsidR="00994F70" w:rsidRPr="00610401">
        <w:rPr>
          <w:noProof/>
        </w:rPr>
        <w:t>że wspierać środki prywatnej ochrony gruntów.</w:t>
      </w:r>
    </w:p>
    <w:p w:rsidR="00CB4327" w:rsidRPr="00610401" w:rsidRDefault="009F5C98" w:rsidP="009F5C98">
      <w:pPr>
        <w:pStyle w:val="ManualConsidrant"/>
        <w:rPr>
          <w:noProof/>
        </w:rPr>
      </w:pPr>
      <w:r w:rsidRPr="009F5C98">
        <w:t>(43)</w:t>
      </w:r>
      <w:r w:rsidRPr="009F5C98">
        <w:tab/>
      </w:r>
      <w:r w:rsidR="00746A1F" w:rsidRPr="00610401">
        <w:rPr>
          <w:noProof/>
        </w:rPr>
        <w:t>Ekosystemy miejskie stanowią około 22</w:t>
      </w:r>
      <w:r w:rsidR="00610401" w:rsidRPr="00610401">
        <w:rPr>
          <w:noProof/>
        </w:rPr>
        <w:t> </w:t>
      </w:r>
      <w:r w:rsidR="00746A1F" w:rsidRPr="00610401">
        <w:rPr>
          <w:noProof/>
        </w:rPr>
        <w:t>% powierzchni lądowej Unii i są obszarem, na którym mieszka większość obywateli Unii. Zielone przestrzenie miejskie, obejmujące lasy miejskie, parki</w:t>
      </w:r>
      <w:r w:rsidR="00610401" w:rsidRPr="00610401">
        <w:rPr>
          <w:noProof/>
        </w:rPr>
        <w:t xml:space="preserve"> i ogr</w:t>
      </w:r>
      <w:r w:rsidR="00746A1F" w:rsidRPr="00610401">
        <w:rPr>
          <w:noProof/>
        </w:rPr>
        <w:t>ody, gospodarstwa miejskie, ulice obsadzone drzewami, łąki</w:t>
      </w:r>
      <w:r w:rsidR="00610401" w:rsidRPr="00610401">
        <w:rPr>
          <w:noProof/>
        </w:rPr>
        <w:t xml:space="preserve"> i żyw</w:t>
      </w:r>
      <w:r w:rsidR="00746A1F" w:rsidRPr="00610401">
        <w:rPr>
          <w:noProof/>
        </w:rPr>
        <w:t>opłoty miejskie, stanowią ważne siedliska dla różnorodności biologicznej,</w:t>
      </w:r>
      <w:r w:rsidR="00610401" w:rsidRPr="00610401">
        <w:rPr>
          <w:noProof/>
        </w:rPr>
        <w:t xml:space="preserve"> w szc</w:t>
      </w:r>
      <w:r w:rsidR="00746A1F" w:rsidRPr="00610401">
        <w:rPr>
          <w:noProof/>
        </w:rPr>
        <w:t>zególności roślin, ptaków</w:t>
      </w:r>
      <w:r w:rsidR="00610401" w:rsidRPr="00610401">
        <w:rPr>
          <w:noProof/>
        </w:rPr>
        <w:t xml:space="preserve"> i owa</w:t>
      </w:r>
      <w:r w:rsidR="00746A1F" w:rsidRPr="00610401">
        <w:rPr>
          <w:noProof/>
        </w:rPr>
        <w:t>dów,</w:t>
      </w:r>
      <w:r w:rsidR="00610401" w:rsidRPr="00610401">
        <w:rPr>
          <w:noProof/>
        </w:rPr>
        <w:t xml:space="preserve"> w tym</w:t>
      </w:r>
      <w:r w:rsidR="00746A1F" w:rsidRPr="00610401">
        <w:rPr>
          <w:noProof/>
        </w:rPr>
        <w:t xml:space="preserve"> owadów zapylających. Zapewniają także kluczowe usługi ekosystemowe,</w:t>
      </w:r>
      <w:r w:rsidR="00610401" w:rsidRPr="00610401">
        <w:rPr>
          <w:noProof/>
        </w:rPr>
        <w:t xml:space="preserve"> w tym</w:t>
      </w:r>
      <w:r w:rsidR="00746A1F" w:rsidRPr="00610401">
        <w:rPr>
          <w:noProof/>
        </w:rPr>
        <w:t xml:space="preserve"> zmniejszanie</w:t>
      </w:r>
      <w:r w:rsidR="00610401" w:rsidRPr="00610401">
        <w:rPr>
          <w:noProof/>
        </w:rPr>
        <w:t xml:space="preserve"> i kon</w:t>
      </w:r>
      <w:r w:rsidR="00746A1F" w:rsidRPr="00610401">
        <w:rPr>
          <w:noProof/>
        </w:rPr>
        <w:t>trolowanie ryzyka związanego</w:t>
      </w:r>
      <w:r w:rsidR="00610401" w:rsidRPr="00610401">
        <w:rPr>
          <w:noProof/>
        </w:rPr>
        <w:t xml:space="preserve"> z klę</w:t>
      </w:r>
      <w:r w:rsidR="00746A1F" w:rsidRPr="00610401">
        <w:rPr>
          <w:noProof/>
        </w:rPr>
        <w:t>skami żywiołowymi (takimi jak powodzie, efekt wyspy ciepła), chłodzenie, rekreację, filtrowanie wody</w:t>
      </w:r>
      <w:r w:rsidR="00610401" w:rsidRPr="00610401">
        <w:rPr>
          <w:noProof/>
        </w:rPr>
        <w:t xml:space="preserve"> i pow</w:t>
      </w:r>
      <w:r w:rsidR="00746A1F" w:rsidRPr="00610401">
        <w:rPr>
          <w:noProof/>
        </w:rPr>
        <w:t>ietrza,</w:t>
      </w:r>
      <w:r w:rsidR="00610401" w:rsidRPr="00610401">
        <w:rPr>
          <w:noProof/>
        </w:rPr>
        <w:t xml:space="preserve"> a tak</w:t>
      </w:r>
      <w:r w:rsidR="00746A1F" w:rsidRPr="00610401">
        <w:rPr>
          <w:noProof/>
        </w:rPr>
        <w:t>że łagodzenie zmiany klimatu</w:t>
      </w:r>
      <w:r w:rsidR="00610401" w:rsidRPr="00610401">
        <w:rPr>
          <w:noProof/>
        </w:rPr>
        <w:t xml:space="preserve"> i prz</w:t>
      </w:r>
      <w:r w:rsidR="00746A1F" w:rsidRPr="00610401">
        <w:rPr>
          <w:noProof/>
        </w:rPr>
        <w:t xml:space="preserve">ystosowanie się do niej. </w:t>
      </w:r>
    </w:p>
    <w:p w:rsidR="000869EC" w:rsidRPr="00610401" w:rsidRDefault="009F5C98" w:rsidP="009F5C98">
      <w:pPr>
        <w:pStyle w:val="ManualConsidrant"/>
        <w:rPr>
          <w:noProof/>
        </w:rPr>
      </w:pPr>
      <w:r w:rsidRPr="009F5C98">
        <w:t>(44)</w:t>
      </w:r>
      <w:r w:rsidRPr="009F5C98">
        <w:tab/>
      </w:r>
      <w:r w:rsidR="000869EC" w:rsidRPr="00610401">
        <w:rPr>
          <w:noProof/>
        </w:rPr>
        <w:t>Należy zdecydowanie zintensyfikować działania mające na celu zapewnienie, aby zielone przestrzenie miejskie nie były już zagrożone degradacją. Aby zagwarantować, że zielone przestrzenie miejskie będą nadal zapewniały niezbędne usługi ekosystemowe</w:t>
      </w:r>
      <w:r w:rsidR="000869EC" w:rsidRPr="00610401">
        <w:rPr>
          <w:i/>
          <w:noProof/>
        </w:rPr>
        <w:t>,</w:t>
      </w:r>
      <w:r w:rsidR="000869EC" w:rsidRPr="00610401">
        <w:rPr>
          <w:noProof/>
        </w:rPr>
        <w:t xml:space="preserve"> należy zahamować utratę tych terenów oraz odbudować je</w:t>
      </w:r>
      <w:r w:rsidR="00610401" w:rsidRPr="00610401">
        <w:rPr>
          <w:noProof/>
        </w:rPr>
        <w:t xml:space="preserve"> i zwi</w:t>
      </w:r>
      <w:r w:rsidR="000869EC" w:rsidRPr="00610401">
        <w:rPr>
          <w:noProof/>
        </w:rPr>
        <w:t>ększyć, m.in. poprzez lepsze włączanie zielonej infrastruktury</w:t>
      </w:r>
      <w:r w:rsidR="00610401" w:rsidRPr="00610401">
        <w:rPr>
          <w:noProof/>
        </w:rPr>
        <w:t xml:space="preserve"> i roz</w:t>
      </w:r>
      <w:r w:rsidR="000869EC" w:rsidRPr="00610401">
        <w:rPr>
          <w:noProof/>
        </w:rPr>
        <w:t>wiązań opartych na przyrodzie do miejskiego planowania przestrzennego oraz poprzez uwzględnienie, na etapie projektowania budynków zielonej infrastruktury, takiej jak zielone dachy</w:t>
      </w:r>
      <w:r w:rsidR="00610401" w:rsidRPr="00610401">
        <w:rPr>
          <w:noProof/>
        </w:rPr>
        <w:t xml:space="preserve"> i ści</w:t>
      </w:r>
      <w:r w:rsidR="000869EC" w:rsidRPr="00610401">
        <w:rPr>
          <w:noProof/>
        </w:rPr>
        <w:t>any.</w:t>
      </w:r>
    </w:p>
    <w:p w:rsidR="007C5221" w:rsidRPr="00610401" w:rsidRDefault="009F5C98" w:rsidP="009F5C98">
      <w:pPr>
        <w:pStyle w:val="ManualConsidrant"/>
        <w:rPr>
          <w:noProof/>
        </w:rPr>
      </w:pPr>
      <w:r w:rsidRPr="009F5C98">
        <w:t>(45)</w:t>
      </w:r>
      <w:r w:rsidRPr="009F5C98">
        <w:tab/>
      </w:r>
      <w:r w:rsidR="16491933" w:rsidRPr="00610401">
        <w:rPr>
          <w:noProof/>
        </w:rPr>
        <w:t>W unijnej strategii na rzecz bioróżnorodności 2030 wezwano do intensyfikacji starań</w:t>
      </w:r>
      <w:r w:rsidR="00610401" w:rsidRPr="00610401">
        <w:rPr>
          <w:noProof/>
        </w:rPr>
        <w:t xml:space="preserve"> w cel</w:t>
      </w:r>
      <w:r w:rsidR="16491933" w:rsidRPr="00610401">
        <w:rPr>
          <w:noProof/>
        </w:rPr>
        <w:t>u odbudowania ekosystemów słodkowodnych</w:t>
      </w:r>
      <w:r w:rsidR="00610401" w:rsidRPr="00610401">
        <w:rPr>
          <w:noProof/>
        </w:rPr>
        <w:t xml:space="preserve"> i prz</w:t>
      </w:r>
      <w:r w:rsidR="16491933" w:rsidRPr="00610401">
        <w:rPr>
          <w:noProof/>
        </w:rPr>
        <w:t>ywrócenia naturalnych funkcji rzek. Odbudowa ekosystemów słodkowodnych powinna obejmować starania na rzecz odbudowy naturalnej łączności podłużnej</w:t>
      </w:r>
      <w:r w:rsidR="00610401" w:rsidRPr="00610401">
        <w:rPr>
          <w:noProof/>
        </w:rPr>
        <w:t xml:space="preserve"> i pop</w:t>
      </w:r>
      <w:r w:rsidR="16491933" w:rsidRPr="00610401">
        <w:rPr>
          <w:noProof/>
        </w:rPr>
        <w:t>rzecznej rzek,</w:t>
      </w:r>
      <w:r w:rsidR="00610401" w:rsidRPr="00610401">
        <w:rPr>
          <w:noProof/>
        </w:rPr>
        <w:t xml:space="preserve"> a tak</w:t>
      </w:r>
      <w:r w:rsidR="16491933" w:rsidRPr="00610401">
        <w:rPr>
          <w:noProof/>
        </w:rPr>
        <w:t>że ich obszarów nadbrzeżnych</w:t>
      </w:r>
      <w:r w:rsidR="00610401" w:rsidRPr="00610401">
        <w:rPr>
          <w:noProof/>
        </w:rPr>
        <w:t xml:space="preserve"> i rów</w:t>
      </w:r>
      <w:r w:rsidR="16491933" w:rsidRPr="00610401">
        <w:rPr>
          <w:noProof/>
        </w:rPr>
        <w:t>nin zalewowych,</w:t>
      </w:r>
      <w:r w:rsidR="00610401" w:rsidRPr="00610401">
        <w:rPr>
          <w:noProof/>
        </w:rPr>
        <w:t xml:space="preserve"> w tym</w:t>
      </w:r>
      <w:r w:rsidR="16491933" w:rsidRPr="00610401">
        <w:rPr>
          <w:noProof/>
        </w:rPr>
        <w:t xml:space="preserve"> przez usuwanie barier</w:t>
      </w:r>
      <w:r w:rsidR="00610401" w:rsidRPr="00610401">
        <w:rPr>
          <w:noProof/>
        </w:rPr>
        <w:t xml:space="preserve"> w cel</w:t>
      </w:r>
      <w:r w:rsidR="16491933" w:rsidRPr="00610401">
        <w:rPr>
          <w:noProof/>
        </w:rPr>
        <w:t>u wsparcia osiągnięcia właściwego stanu ochrony rzek, jezior</w:t>
      </w:r>
      <w:r w:rsidR="00610401" w:rsidRPr="00610401">
        <w:rPr>
          <w:noProof/>
        </w:rPr>
        <w:t xml:space="preserve"> i sie</w:t>
      </w:r>
      <w:r w:rsidR="16491933" w:rsidRPr="00610401">
        <w:rPr>
          <w:noProof/>
        </w:rPr>
        <w:t>dlisk zalewowych oraz gatunków zamieszkujących te siedliska chronione dyrektywami 92/43/EWG</w:t>
      </w:r>
      <w:r w:rsidR="00610401" w:rsidRPr="00610401">
        <w:rPr>
          <w:noProof/>
        </w:rPr>
        <w:t xml:space="preserve"> i 2</w:t>
      </w:r>
      <w:r w:rsidR="16491933" w:rsidRPr="00610401">
        <w:rPr>
          <w:noProof/>
        </w:rPr>
        <w:t>009/147/WE,</w:t>
      </w:r>
      <w:r w:rsidR="00610401" w:rsidRPr="00610401">
        <w:rPr>
          <w:noProof/>
        </w:rPr>
        <w:t xml:space="preserve"> a tak</w:t>
      </w:r>
      <w:r w:rsidR="16491933" w:rsidRPr="00610401">
        <w:rPr>
          <w:noProof/>
        </w:rPr>
        <w:t>że wypełnienia jednego</w:t>
      </w:r>
      <w:r w:rsidR="00610401" w:rsidRPr="00610401">
        <w:rPr>
          <w:noProof/>
        </w:rPr>
        <w:t xml:space="preserve"> z głó</w:t>
      </w:r>
      <w:r w:rsidR="16491933" w:rsidRPr="00610401">
        <w:rPr>
          <w:noProof/>
        </w:rPr>
        <w:t>wnych celów unijnej strategii na rzecz bioróżnorodności 2030, jakim jest przywrócenie co najmniej 25 000 km rzek do stanu swobodnego przepływu. Usuwając bariery, państwa członkowskie powinny przede wszystkim zająć się przestarzałymi barierami, które nie są już potrzebne do wytwarzania energii ze źródeł odnawialnych, żeglugi śródlądowej, zaopatrzenia</w:t>
      </w:r>
      <w:r w:rsidR="00610401" w:rsidRPr="00610401">
        <w:rPr>
          <w:noProof/>
        </w:rPr>
        <w:t xml:space="preserve"> w wod</w:t>
      </w:r>
      <w:r w:rsidR="16491933" w:rsidRPr="00610401">
        <w:rPr>
          <w:noProof/>
        </w:rPr>
        <w:t>ę lub innych zastosowań.</w:t>
      </w:r>
    </w:p>
    <w:p w:rsidR="00586816" w:rsidRPr="00610401" w:rsidRDefault="009F5C98" w:rsidP="009F5C98">
      <w:pPr>
        <w:pStyle w:val="ManualConsidrant"/>
        <w:rPr>
          <w:noProof/>
        </w:rPr>
      </w:pPr>
      <w:r w:rsidRPr="009F5C98">
        <w:t>(46)</w:t>
      </w:r>
      <w:r w:rsidRPr="009F5C98">
        <w:tab/>
      </w:r>
      <w:r w:rsidR="564DA8E5" w:rsidRPr="00610401">
        <w:rPr>
          <w:noProof/>
        </w:rPr>
        <w:t>W ostatnich dziesięcioleciach na terenie Unii dramatycznie spadła liczebność populacji owadów zapylających – spadek liczebności odnotowano</w:t>
      </w:r>
      <w:r w:rsidR="00610401" w:rsidRPr="00610401">
        <w:rPr>
          <w:noProof/>
        </w:rPr>
        <w:t xml:space="preserve"> w prz</w:t>
      </w:r>
      <w:r w:rsidR="564DA8E5" w:rsidRPr="00610401">
        <w:rPr>
          <w:noProof/>
        </w:rPr>
        <w:t>ypadku co trzeciego gatunku pszczół</w:t>
      </w:r>
      <w:r w:rsidR="00610401" w:rsidRPr="00610401">
        <w:rPr>
          <w:noProof/>
        </w:rPr>
        <w:t xml:space="preserve"> i mot</w:t>
      </w:r>
      <w:r w:rsidR="564DA8E5" w:rsidRPr="00610401">
        <w:rPr>
          <w:noProof/>
        </w:rPr>
        <w:t>yli, a co dziesiąty</w:t>
      </w:r>
      <w:r w:rsidR="00610401" w:rsidRPr="00610401">
        <w:rPr>
          <w:noProof/>
        </w:rPr>
        <w:t xml:space="preserve"> z ich</w:t>
      </w:r>
      <w:r w:rsidR="564DA8E5" w:rsidRPr="00610401">
        <w:rPr>
          <w:noProof/>
        </w:rPr>
        <w:t xml:space="preserve"> gatunków znajduje się na skraju wyginięcia. Owady zapylające są niezbędne do funkcjonowania ekosystemów lądowych oraz utrzymania dobrostanu człowieka</w:t>
      </w:r>
      <w:r w:rsidR="00610401" w:rsidRPr="00610401">
        <w:rPr>
          <w:noProof/>
        </w:rPr>
        <w:t xml:space="preserve"> i bez</w:t>
      </w:r>
      <w:r w:rsidR="564DA8E5" w:rsidRPr="00610401">
        <w:rPr>
          <w:noProof/>
        </w:rPr>
        <w:t>pieczeństwa żywnościowego ze względu na to, że zapylają rośliny dziko rosnące</w:t>
      </w:r>
      <w:r w:rsidR="00610401" w:rsidRPr="00610401">
        <w:rPr>
          <w:noProof/>
        </w:rPr>
        <w:t xml:space="preserve"> i upr</w:t>
      </w:r>
      <w:r w:rsidR="564DA8E5" w:rsidRPr="00610401">
        <w:rPr>
          <w:noProof/>
        </w:rPr>
        <w:t>awne. Wartość rocznej produkcji rolnej w UE bezpośrednio związanej</w:t>
      </w:r>
      <w:r w:rsidR="00610401" w:rsidRPr="00610401">
        <w:rPr>
          <w:noProof/>
        </w:rPr>
        <w:t xml:space="preserve"> z owa</w:t>
      </w:r>
      <w:r w:rsidR="564DA8E5" w:rsidRPr="00610401">
        <w:rPr>
          <w:noProof/>
        </w:rPr>
        <w:t>dami zapylającymi wynosi prawie 5 000 000 000 EUR</w:t>
      </w:r>
      <w:r w:rsidR="564DA8E5" w:rsidRPr="00610401">
        <w:rPr>
          <w:rStyle w:val="FootnoteReference"/>
          <w:noProof/>
        </w:rPr>
        <w:footnoteReference w:id="71"/>
      </w:r>
      <w:r w:rsidR="564DA8E5" w:rsidRPr="00610401">
        <w:rPr>
          <w:noProof/>
        </w:rPr>
        <w:t xml:space="preserve">. </w:t>
      </w:r>
    </w:p>
    <w:p w:rsidR="00586816" w:rsidRPr="00610401" w:rsidRDefault="009F5C98" w:rsidP="009F5C98">
      <w:pPr>
        <w:pStyle w:val="ManualConsidrant"/>
        <w:rPr>
          <w:noProof/>
        </w:rPr>
      </w:pPr>
      <w:r w:rsidRPr="009F5C98">
        <w:t>(47)</w:t>
      </w:r>
      <w:r w:rsidRPr="009F5C98">
        <w:tab/>
      </w:r>
      <w:r w:rsidR="17F75303" w:rsidRPr="00610401">
        <w:rPr>
          <w:noProof/>
        </w:rPr>
        <w:t>1 czerwca 2018</w:t>
      </w:r>
      <w:r w:rsidR="00610401" w:rsidRPr="00610401">
        <w:rPr>
          <w:noProof/>
        </w:rPr>
        <w:t> </w:t>
      </w:r>
      <w:r w:rsidR="17F75303" w:rsidRPr="00610401">
        <w:rPr>
          <w:noProof/>
        </w:rPr>
        <w:t>r. Komisja uruchomiła inicjatywę UE na rzecz owadów zapylających</w:t>
      </w:r>
      <w:r w:rsidR="17F75303" w:rsidRPr="00610401">
        <w:rPr>
          <w:rStyle w:val="FootnoteReference"/>
          <w:noProof/>
        </w:rPr>
        <w:footnoteReference w:id="72"/>
      </w:r>
      <w:r w:rsidR="00610401" w:rsidRPr="00610401">
        <w:rPr>
          <w:noProof/>
        </w:rPr>
        <w:t xml:space="preserve"> w odp</w:t>
      </w:r>
      <w:r w:rsidR="17F75303" w:rsidRPr="00610401">
        <w:rPr>
          <w:noProof/>
        </w:rPr>
        <w:t>owiedzi na apele Parlamentu Europejskiego</w:t>
      </w:r>
      <w:r w:rsidR="00610401" w:rsidRPr="00610401">
        <w:rPr>
          <w:noProof/>
        </w:rPr>
        <w:t xml:space="preserve"> i Rad</w:t>
      </w:r>
      <w:r w:rsidR="17F75303" w:rsidRPr="00610401">
        <w:rPr>
          <w:noProof/>
        </w:rPr>
        <w:t>y</w:t>
      </w:r>
      <w:r w:rsidR="00610401" w:rsidRPr="00610401">
        <w:rPr>
          <w:noProof/>
        </w:rPr>
        <w:t xml:space="preserve"> o zaj</w:t>
      </w:r>
      <w:r w:rsidR="17F75303" w:rsidRPr="00610401">
        <w:rPr>
          <w:noProof/>
        </w:rPr>
        <w:t>ęcie się problemem spadku liczebności owadów zapylających. Ze sprawozdania</w:t>
      </w:r>
      <w:r w:rsidR="00610401" w:rsidRPr="00610401">
        <w:rPr>
          <w:noProof/>
        </w:rPr>
        <w:t xml:space="preserve"> z pos</w:t>
      </w:r>
      <w:r w:rsidR="17F75303" w:rsidRPr="00610401">
        <w:rPr>
          <w:noProof/>
        </w:rPr>
        <w:t>tępu prac nad wdrożeniem inicjatywy</w:t>
      </w:r>
      <w:r w:rsidR="17F75303" w:rsidRPr="00610401">
        <w:rPr>
          <w:rStyle w:val="FootnoteReference"/>
          <w:noProof/>
        </w:rPr>
        <w:footnoteReference w:id="73"/>
      </w:r>
      <w:r w:rsidR="17F75303" w:rsidRPr="00610401">
        <w:rPr>
          <w:noProof/>
        </w:rPr>
        <w:t xml:space="preserve"> wynika, że nadal istnieją poważne wyzwania związane</w:t>
      </w:r>
      <w:r w:rsidR="00610401" w:rsidRPr="00610401">
        <w:rPr>
          <w:noProof/>
        </w:rPr>
        <w:t xml:space="preserve"> z eli</w:t>
      </w:r>
      <w:r w:rsidR="17F75303" w:rsidRPr="00610401">
        <w:rPr>
          <w:noProof/>
        </w:rPr>
        <w:t>minowaniem czynników wpływających na spadek liczebności owadów zapylających,</w:t>
      </w:r>
      <w:r w:rsidR="00610401" w:rsidRPr="00610401">
        <w:rPr>
          <w:noProof/>
        </w:rPr>
        <w:t xml:space="preserve"> w tym</w:t>
      </w:r>
      <w:r w:rsidR="17F75303" w:rsidRPr="00610401">
        <w:rPr>
          <w:noProof/>
        </w:rPr>
        <w:t xml:space="preserve"> stosowania pestycydów. Parlament Europejski</w:t>
      </w:r>
      <w:r w:rsidR="17F75303" w:rsidRPr="00610401">
        <w:rPr>
          <w:rStyle w:val="FootnoteReference"/>
          <w:noProof/>
        </w:rPr>
        <w:footnoteReference w:id="74"/>
      </w:r>
      <w:r w:rsidR="00610401" w:rsidRPr="00610401">
        <w:rPr>
          <w:noProof/>
        </w:rPr>
        <w:t xml:space="preserve"> i Rad</w:t>
      </w:r>
      <w:r w:rsidR="17F75303" w:rsidRPr="00610401">
        <w:rPr>
          <w:noProof/>
        </w:rPr>
        <w:t>a</w:t>
      </w:r>
      <w:r w:rsidR="17F75303" w:rsidRPr="00610401">
        <w:rPr>
          <w:rStyle w:val="FootnoteReference"/>
          <w:noProof/>
        </w:rPr>
        <w:footnoteReference w:id="75"/>
      </w:r>
      <w:r w:rsidR="17F75303" w:rsidRPr="00610401">
        <w:rPr>
          <w:noProof/>
        </w:rPr>
        <w:t xml:space="preserve"> wezwały do podjęcia bardziej zdecydowanych działań</w:t>
      </w:r>
      <w:r w:rsidR="00610401" w:rsidRPr="00610401">
        <w:rPr>
          <w:noProof/>
        </w:rPr>
        <w:t xml:space="preserve"> w cel</w:t>
      </w:r>
      <w:r w:rsidR="17F75303" w:rsidRPr="00610401">
        <w:rPr>
          <w:noProof/>
        </w:rPr>
        <w:t>u przeciwdziałania spadkowi liczebności owadów zapylających oraz do utworzenia ogólnounijnych ram monitorowania owadów zapylających,</w:t>
      </w:r>
      <w:r w:rsidR="00610401" w:rsidRPr="00610401">
        <w:rPr>
          <w:noProof/>
        </w:rPr>
        <w:t xml:space="preserve"> a tak</w:t>
      </w:r>
      <w:r w:rsidR="17F75303" w:rsidRPr="00610401">
        <w:rPr>
          <w:noProof/>
        </w:rPr>
        <w:t>że do ustanowienia jasnych celów</w:t>
      </w:r>
      <w:r w:rsidR="00610401" w:rsidRPr="00610401">
        <w:rPr>
          <w:noProof/>
        </w:rPr>
        <w:t xml:space="preserve"> i wsk</w:t>
      </w:r>
      <w:r w:rsidR="17F75303" w:rsidRPr="00610401">
        <w:rPr>
          <w:noProof/>
        </w:rPr>
        <w:t>aźników dotyczących zobowiązania do odwrócenia spadku liczebności owadów zapylających. Europejski Trybunał Obrachunkowy zalecił, by Komisja ustanowiła odpowiednie mechanizmy zarządzania działaniami mającymi na celu zapobieganie zagrożeniom dla owadów zapylających oraz monitorowania tych działań</w:t>
      </w:r>
      <w:r w:rsidR="17F75303" w:rsidRPr="00610401">
        <w:rPr>
          <w:rStyle w:val="FootnoteReference"/>
          <w:noProof/>
        </w:rPr>
        <w:footnoteReference w:id="76"/>
      </w:r>
      <w:r w:rsidR="17F75303" w:rsidRPr="00610401">
        <w:rPr>
          <w:noProof/>
        </w:rPr>
        <w:t xml:space="preserve">. </w:t>
      </w:r>
    </w:p>
    <w:p w:rsidR="00256836" w:rsidRPr="00610401" w:rsidRDefault="009F5C98" w:rsidP="009F5C98">
      <w:pPr>
        <w:pStyle w:val="ManualConsidrant"/>
        <w:rPr>
          <w:noProof/>
        </w:rPr>
      </w:pPr>
      <w:r w:rsidRPr="009F5C98">
        <w:t>(48)</w:t>
      </w:r>
      <w:r w:rsidRPr="009F5C98">
        <w:tab/>
      </w:r>
      <w:r w:rsidR="00B6508C" w:rsidRPr="00610401">
        <w:rPr>
          <w:noProof/>
        </w:rPr>
        <w:t>Wniosek dotyczący rozporządzenia Parlamentu Europejskiego</w:t>
      </w:r>
      <w:r w:rsidR="00610401" w:rsidRPr="00610401">
        <w:rPr>
          <w:noProof/>
        </w:rPr>
        <w:t xml:space="preserve"> i Rad</w:t>
      </w:r>
      <w:r w:rsidR="00B6508C" w:rsidRPr="00610401">
        <w:rPr>
          <w:noProof/>
        </w:rPr>
        <w:t>y</w:t>
      </w:r>
      <w:r w:rsidR="00610401" w:rsidRPr="00610401">
        <w:rPr>
          <w:noProof/>
        </w:rPr>
        <w:t xml:space="preserve"> w spr</w:t>
      </w:r>
      <w:r w:rsidR="00B6508C" w:rsidRPr="00610401">
        <w:rPr>
          <w:noProof/>
        </w:rPr>
        <w:t xml:space="preserve">awie zrównoważonego stosowania środków ochrony roślin </w:t>
      </w:r>
      <w:r w:rsidR="00B6508C" w:rsidRPr="00610401">
        <w:rPr>
          <w:i/>
          <w:noProof/>
        </w:rPr>
        <w:t>[ma zostać przyjęty 22 czerwca 2022</w:t>
      </w:r>
      <w:r w:rsidR="00610401" w:rsidRPr="00610401">
        <w:rPr>
          <w:i/>
          <w:noProof/>
        </w:rPr>
        <w:t> </w:t>
      </w:r>
      <w:r w:rsidR="00B6508C" w:rsidRPr="00610401">
        <w:rPr>
          <w:i/>
          <w:noProof/>
        </w:rPr>
        <w:t>r., należy podać tytuł</w:t>
      </w:r>
      <w:r w:rsidR="00610401" w:rsidRPr="00610401">
        <w:rPr>
          <w:i/>
          <w:noProof/>
        </w:rPr>
        <w:t xml:space="preserve"> i num</w:t>
      </w:r>
      <w:r w:rsidR="00B6508C" w:rsidRPr="00610401">
        <w:rPr>
          <w:i/>
          <w:noProof/>
        </w:rPr>
        <w:t>er przyjętego aktu, kiedy będą dostępne]</w:t>
      </w:r>
      <w:r w:rsidR="00B6508C" w:rsidRPr="00610401">
        <w:rPr>
          <w:noProof/>
        </w:rPr>
        <w:t xml:space="preserve"> ma na celu regulację jednego</w:t>
      </w:r>
      <w:r w:rsidR="00610401" w:rsidRPr="00610401">
        <w:rPr>
          <w:noProof/>
        </w:rPr>
        <w:t xml:space="preserve"> z czy</w:t>
      </w:r>
      <w:r w:rsidR="00B6508C" w:rsidRPr="00610401">
        <w:rPr>
          <w:noProof/>
        </w:rPr>
        <w:t>nników wpływających na spadek liczebności owadów zapylających przez wprowadzenie zakazu stosowania pestycydów na obszarach ekologicznie wrażliwych,</w:t>
      </w:r>
      <w:r w:rsidR="00610401" w:rsidRPr="00610401">
        <w:rPr>
          <w:noProof/>
        </w:rPr>
        <w:t xml:space="preserve"> z któ</w:t>
      </w:r>
      <w:r w:rsidR="00B6508C" w:rsidRPr="00610401">
        <w:rPr>
          <w:noProof/>
        </w:rPr>
        <w:t>rych wiele ujęto</w:t>
      </w:r>
      <w:r w:rsidR="00610401" w:rsidRPr="00610401">
        <w:rPr>
          <w:noProof/>
        </w:rPr>
        <w:t xml:space="preserve"> w nin</w:t>
      </w:r>
      <w:r w:rsidR="00B6508C" w:rsidRPr="00610401">
        <w:rPr>
          <w:noProof/>
        </w:rPr>
        <w:t>iejszym rozporządzeniu, np. na obszarach, gdzie żyją gatunki owadów zapylających sklasyfikowane</w:t>
      </w:r>
      <w:r w:rsidR="00610401" w:rsidRPr="00610401">
        <w:rPr>
          <w:noProof/>
        </w:rPr>
        <w:t xml:space="preserve"> w Eur</w:t>
      </w:r>
      <w:r w:rsidR="00B6508C" w:rsidRPr="00610401">
        <w:rPr>
          <w:noProof/>
        </w:rPr>
        <w:t>opejskich czerwonych księgach</w:t>
      </w:r>
      <w:r w:rsidR="00B6508C" w:rsidRPr="00610401">
        <w:rPr>
          <w:rStyle w:val="FootnoteReference"/>
          <w:noProof/>
        </w:rPr>
        <w:footnoteReference w:id="77"/>
      </w:r>
      <w:r w:rsidR="00B6508C" w:rsidRPr="00610401">
        <w:rPr>
          <w:noProof/>
        </w:rPr>
        <w:t xml:space="preserve"> jako zagrożone wyginięciem. </w:t>
      </w:r>
    </w:p>
    <w:p w:rsidR="0065238B" w:rsidRPr="00610401" w:rsidRDefault="009F5C98" w:rsidP="009F5C98">
      <w:pPr>
        <w:pStyle w:val="ManualConsidrant"/>
        <w:rPr>
          <w:noProof/>
        </w:rPr>
      </w:pPr>
      <w:r w:rsidRPr="009F5C98">
        <w:t>(49)</w:t>
      </w:r>
      <w:r w:rsidRPr="009F5C98">
        <w:tab/>
      </w:r>
      <w:r w:rsidR="00C57A49" w:rsidRPr="00610401">
        <w:rPr>
          <w:noProof/>
        </w:rPr>
        <w:t>Zrównoważone, odporne</w:t>
      </w:r>
      <w:r w:rsidR="00610401" w:rsidRPr="00610401">
        <w:rPr>
          <w:noProof/>
        </w:rPr>
        <w:t xml:space="preserve"> i róż</w:t>
      </w:r>
      <w:r w:rsidR="00C57A49" w:rsidRPr="00610401">
        <w:rPr>
          <w:noProof/>
        </w:rPr>
        <w:t>norodne pod względem biologicznym ekosystemy rolnicze są konieczne, by zapewnić bezpieczną, zrównoważoną</w:t>
      </w:r>
      <w:r w:rsidR="00610401" w:rsidRPr="00610401">
        <w:rPr>
          <w:noProof/>
        </w:rPr>
        <w:t xml:space="preserve"> i zdr</w:t>
      </w:r>
      <w:r w:rsidR="00C57A49" w:rsidRPr="00610401">
        <w:rPr>
          <w:noProof/>
        </w:rPr>
        <w:t>ową żywność</w:t>
      </w:r>
      <w:r w:rsidR="00610401" w:rsidRPr="00610401">
        <w:rPr>
          <w:noProof/>
        </w:rPr>
        <w:t xml:space="preserve"> w prz</w:t>
      </w:r>
      <w:r w:rsidR="00C57A49" w:rsidRPr="00610401">
        <w:rPr>
          <w:noProof/>
        </w:rPr>
        <w:t>ystępnych cenach. Ekosystemy rolnicze charakteryzujące się bogatą różnorodnością biologiczną zwiększają również odporność rolnictwa na zmianę klimatu</w:t>
      </w:r>
      <w:r w:rsidR="00610401" w:rsidRPr="00610401">
        <w:rPr>
          <w:noProof/>
        </w:rPr>
        <w:t xml:space="preserve"> i ryz</w:t>
      </w:r>
      <w:r w:rsidR="00C57A49" w:rsidRPr="00610401">
        <w:rPr>
          <w:noProof/>
        </w:rPr>
        <w:t>yko środowiskowe,</w:t>
      </w:r>
      <w:r w:rsidR="00610401" w:rsidRPr="00610401">
        <w:rPr>
          <w:noProof/>
        </w:rPr>
        <w:t xml:space="preserve"> a jed</w:t>
      </w:r>
      <w:r w:rsidR="00C57A49" w:rsidRPr="00610401">
        <w:rPr>
          <w:noProof/>
        </w:rPr>
        <w:t>nocześnie przyczyniają się do zapewnienia bezpieczeństwa żywności</w:t>
      </w:r>
      <w:r w:rsidR="00610401" w:rsidRPr="00610401">
        <w:rPr>
          <w:noProof/>
        </w:rPr>
        <w:t xml:space="preserve"> i bez</w:t>
      </w:r>
      <w:r w:rsidR="00C57A49" w:rsidRPr="00610401">
        <w:rPr>
          <w:noProof/>
        </w:rPr>
        <w:t>pieczeństwa żywnościowego oraz tworzenia nowych miejsc pracy na obszarach wiejskich,</w:t>
      </w:r>
      <w:r w:rsidR="00610401" w:rsidRPr="00610401">
        <w:rPr>
          <w:noProof/>
        </w:rPr>
        <w:t xml:space="preserve"> w szc</w:t>
      </w:r>
      <w:r w:rsidR="00C57A49" w:rsidRPr="00610401">
        <w:rPr>
          <w:noProof/>
        </w:rPr>
        <w:t>zególności miejsc pracy związanych</w:t>
      </w:r>
      <w:r w:rsidR="00610401" w:rsidRPr="00610401">
        <w:rPr>
          <w:noProof/>
        </w:rPr>
        <w:t xml:space="preserve"> z rol</w:t>
      </w:r>
      <w:r w:rsidR="00C57A49" w:rsidRPr="00610401">
        <w:rPr>
          <w:noProof/>
        </w:rPr>
        <w:t>nictwem ekologicznym oraz turystyką wiejską</w:t>
      </w:r>
      <w:r w:rsidR="00610401" w:rsidRPr="00610401">
        <w:rPr>
          <w:noProof/>
        </w:rPr>
        <w:t xml:space="preserve"> i rek</w:t>
      </w:r>
      <w:r w:rsidR="00C57A49" w:rsidRPr="00610401">
        <w:rPr>
          <w:noProof/>
        </w:rPr>
        <w:t>reacją. Unia powinna zatem dążyć do poprawy różnorodności biologicznej na swoich gruntach rolnych, stosując różne istniejące praktyki sprzyjające osiągnięciu celu, jakim jest zwiększenie różnorodności biologicznej, lub zgodne</w:t>
      </w:r>
      <w:r w:rsidR="00610401" w:rsidRPr="00610401">
        <w:rPr>
          <w:noProof/>
        </w:rPr>
        <w:t xml:space="preserve"> z tym</w:t>
      </w:r>
      <w:r w:rsidR="00C57A49" w:rsidRPr="00610401">
        <w:rPr>
          <w:noProof/>
        </w:rPr>
        <w:t xml:space="preserve"> celem,</w:t>
      </w:r>
      <w:r w:rsidR="00610401" w:rsidRPr="00610401">
        <w:rPr>
          <w:noProof/>
        </w:rPr>
        <w:t xml:space="preserve"> w tym</w:t>
      </w:r>
      <w:r w:rsidR="00C57A49" w:rsidRPr="00610401">
        <w:rPr>
          <w:noProof/>
        </w:rPr>
        <w:t xml:space="preserve"> rolnictwo ekstensywne. Rolnictwo ekstensywne jest kluczowe dla utrzymania szeregu gatunków</w:t>
      </w:r>
      <w:r w:rsidR="00610401" w:rsidRPr="00610401">
        <w:rPr>
          <w:noProof/>
        </w:rPr>
        <w:t xml:space="preserve"> i sie</w:t>
      </w:r>
      <w:r w:rsidR="00C57A49" w:rsidRPr="00610401">
        <w:rPr>
          <w:noProof/>
        </w:rPr>
        <w:t>dlisk na obszarach charakteryzujących się bogatą różnorodnością biologiczną. Istnieje szereg praktyk charakterystycznych dla rolnictwa ekstensywnego, które przynoszą liczne</w:t>
      </w:r>
      <w:r w:rsidR="00610401" w:rsidRPr="00610401">
        <w:rPr>
          <w:noProof/>
        </w:rPr>
        <w:t xml:space="preserve"> i zna</w:t>
      </w:r>
      <w:r w:rsidR="00C57A49" w:rsidRPr="00610401">
        <w:rPr>
          <w:noProof/>
        </w:rPr>
        <w:t>czne korzyści</w:t>
      </w:r>
      <w:r w:rsidR="00610401" w:rsidRPr="00610401">
        <w:rPr>
          <w:noProof/>
        </w:rPr>
        <w:t xml:space="preserve"> w zak</w:t>
      </w:r>
      <w:r w:rsidR="00C57A49" w:rsidRPr="00610401">
        <w:rPr>
          <w:noProof/>
        </w:rPr>
        <w:t>resie ochrony różnorodności biologicznej, usług ekosystemowych oraz elementów krajobrazu, takich jak rolnictwo precyzyjne, rolnictwo ekologiczne, agroekologia, system rolno-leśny oraz trwałe użytki zielone</w:t>
      </w:r>
      <w:r w:rsidR="00610401" w:rsidRPr="00610401">
        <w:rPr>
          <w:noProof/>
        </w:rPr>
        <w:t xml:space="preserve"> o nis</w:t>
      </w:r>
      <w:r w:rsidR="00C57A49" w:rsidRPr="00610401">
        <w:rPr>
          <w:noProof/>
        </w:rPr>
        <w:t>kiej intensywności użytkowania.</w:t>
      </w:r>
    </w:p>
    <w:p w:rsidR="00746A1F" w:rsidRPr="00610401" w:rsidRDefault="009F5C98" w:rsidP="009F5C98">
      <w:pPr>
        <w:pStyle w:val="ManualConsidrant"/>
        <w:rPr>
          <w:noProof/>
        </w:rPr>
      </w:pPr>
      <w:r w:rsidRPr="009F5C98">
        <w:t>(50)</w:t>
      </w:r>
      <w:r w:rsidRPr="009F5C98">
        <w:tab/>
      </w:r>
      <w:r w:rsidR="58A97349" w:rsidRPr="00610401">
        <w:rPr>
          <w:noProof/>
        </w:rPr>
        <w:t>Należy wprowadzić środki odbudowy, które zwiększą różnorodność biologiczną ekosystemów rolniczych</w:t>
      </w:r>
      <w:r w:rsidR="00610401" w:rsidRPr="00610401">
        <w:rPr>
          <w:noProof/>
        </w:rPr>
        <w:t xml:space="preserve"> w cał</w:t>
      </w:r>
      <w:r w:rsidR="58A97349" w:rsidRPr="00610401">
        <w:rPr>
          <w:noProof/>
        </w:rPr>
        <w:t>ej Unii,</w:t>
      </w:r>
      <w:r w:rsidR="00610401" w:rsidRPr="00610401">
        <w:rPr>
          <w:noProof/>
        </w:rPr>
        <w:t xml:space="preserve"> w tym</w:t>
      </w:r>
      <w:r w:rsidR="58A97349" w:rsidRPr="00610401">
        <w:rPr>
          <w:noProof/>
        </w:rPr>
        <w:t xml:space="preserve"> na obszarach nie obejmujących typów siedlisk objętych zakresem dyrektywy 92/43/EWG.</w:t>
      </w:r>
      <w:r w:rsidR="00610401" w:rsidRPr="00610401">
        <w:rPr>
          <w:noProof/>
        </w:rPr>
        <w:t xml:space="preserve"> </w:t>
      </w:r>
      <w:r w:rsidR="58A97349" w:rsidRPr="00610401">
        <w:rPr>
          <w:noProof/>
        </w:rPr>
        <w:t>Wobec braku wspólnej metody oceny stanu ekosystemów rolniczych, która umożliwiłaby wyznaczenie szczegółowych celów</w:t>
      </w:r>
      <w:r w:rsidR="00610401" w:rsidRPr="00610401">
        <w:rPr>
          <w:noProof/>
        </w:rPr>
        <w:t xml:space="preserve"> w zak</w:t>
      </w:r>
      <w:r w:rsidR="58A97349" w:rsidRPr="00610401">
        <w:rPr>
          <w:noProof/>
        </w:rPr>
        <w:t>resie odbudowy ekosystemów rolniczych, należy ustanowić ogólny obowiązek zwiększenia różnorodności biologicznej ekosystemów rolniczych</w:t>
      </w:r>
      <w:r w:rsidR="00610401" w:rsidRPr="00610401">
        <w:rPr>
          <w:noProof/>
        </w:rPr>
        <w:t xml:space="preserve"> i dok</w:t>
      </w:r>
      <w:r w:rsidR="58A97349" w:rsidRPr="00610401">
        <w:rPr>
          <w:noProof/>
        </w:rPr>
        <w:t xml:space="preserve">onywać pomiaru stopnia realizacji tego obowiązku na podstawie istniejących wskaźników. </w:t>
      </w:r>
    </w:p>
    <w:p w:rsidR="0065238B" w:rsidRPr="00610401" w:rsidRDefault="009F5C98" w:rsidP="009F5C98">
      <w:pPr>
        <w:pStyle w:val="ManualConsidrant"/>
        <w:rPr>
          <w:noProof/>
        </w:rPr>
      </w:pPr>
      <w:r w:rsidRPr="009F5C98">
        <w:t>(51)</w:t>
      </w:r>
      <w:r w:rsidRPr="009F5C98">
        <w:tab/>
      </w:r>
      <w:r w:rsidR="21B10619" w:rsidRPr="00610401">
        <w:rPr>
          <w:noProof/>
        </w:rPr>
        <w:t>Ponieważ ptaki krajobrazu rolniczego uznaje się powszechnie za kluczowe wskaźniki zdrowia ekosystemów rolniczych, należy wyznaczyć cele</w:t>
      </w:r>
      <w:r w:rsidR="00610401" w:rsidRPr="00610401">
        <w:rPr>
          <w:noProof/>
        </w:rPr>
        <w:t xml:space="preserve"> w zak</w:t>
      </w:r>
      <w:r w:rsidR="21B10619" w:rsidRPr="00610401">
        <w:rPr>
          <w:noProof/>
        </w:rPr>
        <w:t>resie odbudowy tych gatunków. Obowiązek osiągnięcia takich celów spoczywałby na państwach członkowskich,</w:t>
      </w:r>
      <w:r w:rsidR="00610401" w:rsidRPr="00610401">
        <w:rPr>
          <w:noProof/>
        </w:rPr>
        <w:t xml:space="preserve"> a nie</w:t>
      </w:r>
      <w:r w:rsidR="21B10619" w:rsidRPr="00610401">
        <w:rPr>
          <w:noProof/>
        </w:rPr>
        <w:t xml:space="preserve"> na indywidualnych rolnikach. Państwa członkowskie powinny osiągnąć te cele poprzez wprowadzenie skutecznych środków odbudowy</w:t>
      </w:r>
      <w:r w:rsidR="00610401" w:rsidRPr="00610401">
        <w:rPr>
          <w:noProof/>
        </w:rPr>
        <w:t xml:space="preserve"> w ram</w:t>
      </w:r>
      <w:r w:rsidR="21B10619" w:rsidRPr="00610401">
        <w:rPr>
          <w:noProof/>
        </w:rPr>
        <w:t>ach gruntów rolnych, współpracując</w:t>
      </w:r>
      <w:r w:rsidR="00610401" w:rsidRPr="00610401">
        <w:rPr>
          <w:noProof/>
        </w:rPr>
        <w:t xml:space="preserve"> z rol</w:t>
      </w:r>
      <w:r w:rsidR="21B10619" w:rsidRPr="00610401">
        <w:rPr>
          <w:noProof/>
        </w:rPr>
        <w:t>nikami</w:t>
      </w:r>
      <w:r w:rsidR="00610401" w:rsidRPr="00610401">
        <w:rPr>
          <w:noProof/>
        </w:rPr>
        <w:t xml:space="preserve"> i inn</w:t>
      </w:r>
      <w:r w:rsidR="21B10619" w:rsidRPr="00610401">
        <w:rPr>
          <w:noProof/>
        </w:rPr>
        <w:t>ymi zainteresowanymi stronami</w:t>
      </w:r>
      <w:r w:rsidR="00610401" w:rsidRPr="00610401">
        <w:rPr>
          <w:noProof/>
        </w:rPr>
        <w:t xml:space="preserve"> w zak</w:t>
      </w:r>
      <w:r w:rsidR="21B10619" w:rsidRPr="00610401">
        <w:rPr>
          <w:noProof/>
        </w:rPr>
        <w:t>resie opracowywania</w:t>
      </w:r>
      <w:r w:rsidR="00610401" w:rsidRPr="00610401">
        <w:rPr>
          <w:noProof/>
        </w:rPr>
        <w:t xml:space="preserve"> i wdr</w:t>
      </w:r>
      <w:r w:rsidR="21B10619" w:rsidRPr="00610401">
        <w:rPr>
          <w:noProof/>
        </w:rPr>
        <w:t>ażania tych środków</w:t>
      </w:r>
      <w:r w:rsidR="00610401" w:rsidRPr="00610401">
        <w:rPr>
          <w:noProof/>
        </w:rPr>
        <w:t xml:space="preserve"> w ter</w:t>
      </w:r>
      <w:r w:rsidR="21B10619" w:rsidRPr="00610401">
        <w:rPr>
          <w:noProof/>
        </w:rPr>
        <w:t xml:space="preserve">enie. </w:t>
      </w:r>
    </w:p>
    <w:p w:rsidR="00B0044A" w:rsidRPr="00610401" w:rsidRDefault="009F5C98" w:rsidP="009F5C98">
      <w:pPr>
        <w:pStyle w:val="ManualConsidrant"/>
        <w:rPr>
          <w:noProof/>
          <w:szCs w:val="24"/>
        </w:rPr>
      </w:pPr>
      <w:r w:rsidRPr="009F5C98">
        <w:t>(52)</w:t>
      </w:r>
      <w:r w:rsidRPr="009F5C98">
        <w:tab/>
      </w:r>
      <w:r w:rsidR="00B0044A" w:rsidRPr="00610401">
        <w:rPr>
          <w:noProof/>
        </w:rPr>
        <w:t>Elementy krajobrazu</w:t>
      </w:r>
      <w:r w:rsidR="00610401" w:rsidRPr="00610401">
        <w:rPr>
          <w:noProof/>
        </w:rPr>
        <w:t xml:space="preserve"> o wys</w:t>
      </w:r>
      <w:r w:rsidR="00B0044A" w:rsidRPr="00610401">
        <w:rPr>
          <w:noProof/>
        </w:rPr>
        <w:t>okiej różnorodności na gruntach rolnych,</w:t>
      </w:r>
      <w:r w:rsidR="00610401" w:rsidRPr="00610401">
        <w:rPr>
          <w:noProof/>
        </w:rPr>
        <w:t xml:space="preserve"> w tym</w:t>
      </w:r>
      <w:r w:rsidR="00B0044A" w:rsidRPr="00610401">
        <w:rPr>
          <w:noProof/>
        </w:rPr>
        <w:t xml:space="preserve"> strefy buforowe, podlegające albo niepodlegające płodozmianowi ugory, żywopłoty, pojedyncze drzewa lub grupy drzew, rzędy drzew, miedze śródpolne, działki, rowy, strumienie, małe tereny podmokłe, tarasy, kopce kamieni, kamienne ściany, małe stawy, elementy związane</w:t>
      </w:r>
      <w:r w:rsidR="00610401" w:rsidRPr="00610401">
        <w:rPr>
          <w:noProof/>
        </w:rPr>
        <w:t xml:space="preserve"> z kul</w:t>
      </w:r>
      <w:r w:rsidR="00B0044A" w:rsidRPr="00610401">
        <w:rPr>
          <w:noProof/>
        </w:rPr>
        <w:t>turą, zapewniają przestrzeń dla roślin dziko rosnących</w:t>
      </w:r>
      <w:r w:rsidR="00610401" w:rsidRPr="00610401">
        <w:rPr>
          <w:noProof/>
        </w:rPr>
        <w:t xml:space="preserve"> i dzi</w:t>
      </w:r>
      <w:r w:rsidR="00B0044A" w:rsidRPr="00610401">
        <w:rPr>
          <w:noProof/>
        </w:rPr>
        <w:t>kich zwierząt,</w:t>
      </w:r>
      <w:r w:rsidR="00610401" w:rsidRPr="00610401">
        <w:rPr>
          <w:noProof/>
        </w:rPr>
        <w:t xml:space="preserve"> w tym</w:t>
      </w:r>
      <w:r w:rsidR="00B0044A" w:rsidRPr="00610401">
        <w:rPr>
          <w:noProof/>
        </w:rPr>
        <w:t xml:space="preserve"> owadów zapylających, zapobiegają erozji</w:t>
      </w:r>
      <w:r w:rsidR="00610401" w:rsidRPr="00610401">
        <w:rPr>
          <w:noProof/>
        </w:rPr>
        <w:t xml:space="preserve"> i zub</w:t>
      </w:r>
      <w:r w:rsidR="00B0044A" w:rsidRPr="00610401">
        <w:rPr>
          <w:noProof/>
        </w:rPr>
        <w:t>ożeniu gleby, filtrują powietrze</w:t>
      </w:r>
      <w:r w:rsidR="00610401" w:rsidRPr="00610401">
        <w:rPr>
          <w:noProof/>
        </w:rPr>
        <w:t xml:space="preserve"> i wod</w:t>
      </w:r>
      <w:r w:rsidR="00B0044A" w:rsidRPr="00610401">
        <w:rPr>
          <w:noProof/>
        </w:rPr>
        <w:t>ę, przyczyniają się do łagodzenia zmiany klimatu oraz przystosowania się do niej,</w:t>
      </w:r>
      <w:r w:rsidR="00610401" w:rsidRPr="00610401">
        <w:rPr>
          <w:noProof/>
        </w:rPr>
        <w:t xml:space="preserve"> a tak</w:t>
      </w:r>
      <w:r w:rsidR="00B0044A" w:rsidRPr="00610401">
        <w:rPr>
          <w:noProof/>
        </w:rPr>
        <w:t>że wspierają wydajność rolnictwa</w:t>
      </w:r>
      <w:r w:rsidR="00610401" w:rsidRPr="00610401">
        <w:rPr>
          <w:noProof/>
        </w:rPr>
        <w:t xml:space="preserve"> i upr</w:t>
      </w:r>
      <w:r w:rsidR="00B0044A" w:rsidRPr="00610401">
        <w:rPr>
          <w:noProof/>
        </w:rPr>
        <w:t>aw zależnych od owadów zapylających. Drzewa produktywne stanowiące część systemów rolno-leśnych gruntów ornych</w:t>
      </w:r>
      <w:r w:rsidR="00610401" w:rsidRPr="00610401">
        <w:rPr>
          <w:noProof/>
        </w:rPr>
        <w:t xml:space="preserve"> i ele</w:t>
      </w:r>
      <w:r w:rsidR="00B0044A" w:rsidRPr="00610401">
        <w:rPr>
          <w:noProof/>
        </w:rPr>
        <w:t>menty produktywne</w:t>
      </w:r>
      <w:r w:rsidR="00610401" w:rsidRPr="00610401">
        <w:rPr>
          <w:noProof/>
        </w:rPr>
        <w:t xml:space="preserve"> w nie</w:t>
      </w:r>
      <w:r w:rsidR="00B0044A" w:rsidRPr="00610401">
        <w:rPr>
          <w:noProof/>
        </w:rPr>
        <w:t>produktywnych żywopłotach można również uznać za elementy krajobrazu</w:t>
      </w:r>
      <w:r w:rsidR="00610401" w:rsidRPr="00610401">
        <w:rPr>
          <w:noProof/>
        </w:rPr>
        <w:t xml:space="preserve"> o wys</w:t>
      </w:r>
      <w:r w:rsidR="00B0044A" w:rsidRPr="00610401">
        <w:rPr>
          <w:noProof/>
        </w:rPr>
        <w:t>okiej różnorodności biologicznej, pod warunkiem że nie są nawożone ani poddawane działaniu pestycydów oraz jeżeli zbiory odbywają się tylko</w:t>
      </w:r>
      <w:r w:rsidR="00610401" w:rsidRPr="00610401">
        <w:rPr>
          <w:noProof/>
        </w:rPr>
        <w:t xml:space="preserve"> w cza</w:t>
      </w:r>
      <w:r w:rsidR="00B0044A" w:rsidRPr="00610401">
        <w:rPr>
          <w:noProof/>
        </w:rPr>
        <w:t>sie, gdy nie zagraża to wysokiemu poziomowi różnorodności biologicznej. Należy zatem wprowadzić wymóg dotyczący zwiększania udziału elementów krajobrazu</w:t>
      </w:r>
      <w:r w:rsidR="00610401" w:rsidRPr="00610401">
        <w:rPr>
          <w:noProof/>
        </w:rPr>
        <w:t xml:space="preserve"> o wys</w:t>
      </w:r>
      <w:r w:rsidR="00B0044A" w:rsidRPr="00610401">
        <w:rPr>
          <w:noProof/>
        </w:rPr>
        <w:t>okiej różnorodności na gruntach rolnych. Wprowadzenie takiego wymogu umożliwiłoby Unii osiągnięcie jednego</w:t>
      </w:r>
      <w:r w:rsidR="00610401" w:rsidRPr="00610401">
        <w:rPr>
          <w:noProof/>
        </w:rPr>
        <w:t xml:space="preserve"> z poz</w:t>
      </w:r>
      <w:r w:rsidR="00B0044A" w:rsidRPr="00610401">
        <w:rPr>
          <w:noProof/>
        </w:rPr>
        <w:t>ostałych głównych zobowiązań unijnej strategii na rzecz bioróżnorodności 2030, mianowicie zapewnienia obecności elementów krajobrazu</w:t>
      </w:r>
      <w:r w:rsidR="00610401" w:rsidRPr="00610401">
        <w:rPr>
          <w:noProof/>
        </w:rPr>
        <w:t xml:space="preserve"> o wys</w:t>
      </w:r>
      <w:r w:rsidR="00B0044A" w:rsidRPr="00610401">
        <w:rPr>
          <w:noProof/>
        </w:rPr>
        <w:t>okiej różnorodności na co najmniej 10</w:t>
      </w:r>
      <w:r w:rsidR="00610401" w:rsidRPr="00610401">
        <w:rPr>
          <w:noProof/>
        </w:rPr>
        <w:t> </w:t>
      </w:r>
      <w:r w:rsidR="00B0044A" w:rsidRPr="00610401">
        <w:rPr>
          <w:noProof/>
        </w:rPr>
        <w:t>% użytków rolnych. Należy również zapewnić poprawę innych istniejących wskaźników, takich jak wskaźnik liczebności motyli występujących na obszarach trawiastych oraz zasoby węgla organicznego</w:t>
      </w:r>
      <w:r w:rsidR="00610401" w:rsidRPr="00610401">
        <w:rPr>
          <w:noProof/>
        </w:rPr>
        <w:t xml:space="preserve"> w gle</w:t>
      </w:r>
      <w:r w:rsidR="00B0044A" w:rsidRPr="00610401">
        <w:rPr>
          <w:noProof/>
        </w:rPr>
        <w:t xml:space="preserve">bach mineralnych na gruntach uprawnych. </w:t>
      </w:r>
    </w:p>
    <w:p w:rsidR="00B0044A" w:rsidRPr="00610401" w:rsidRDefault="009F5C98" w:rsidP="009F5C98">
      <w:pPr>
        <w:pStyle w:val="ManualConsidrant"/>
        <w:rPr>
          <w:noProof/>
        </w:rPr>
      </w:pPr>
      <w:r w:rsidRPr="009F5C98">
        <w:t>(53)</w:t>
      </w:r>
      <w:r w:rsidRPr="009F5C98">
        <w:tab/>
      </w:r>
      <w:r w:rsidR="00D14943" w:rsidRPr="00610401">
        <w:rPr>
          <w:noProof/>
        </w:rPr>
        <w:t>Celem wspólnej polityki rolnej (WPR) jest wspieranie</w:t>
      </w:r>
      <w:r w:rsidR="00610401" w:rsidRPr="00610401">
        <w:rPr>
          <w:noProof/>
        </w:rPr>
        <w:t xml:space="preserve"> i wzm</w:t>
      </w:r>
      <w:r w:rsidR="00D14943" w:rsidRPr="00610401">
        <w:rPr>
          <w:noProof/>
        </w:rPr>
        <w:t>acnianie ochrony środowiska,</w:t>
      </w:r>
      <w:r w:rsidR="00610401" w:rsidRPr="00610401">
        <w:rPr>
          <w:noProof/>
        </w:rPr>
        <w:t xml:space="preserve"> w tym</w:t>
      </w:r>
      <w:r w:rsidR="00D14943" w:rsidRPr="00610401">
        <w:rPr>
          <w:noProof/>
        </w:rPr>
        <w:t xml:space="preserve"> różnorodności biologicznej. Jednym</w:t>
      </w:r>
      <w:r w:rsidR="00610401" w:rsidRPr="00610401">
        <w:rPr>
          <w:noProof/>
        </w:rPr>
        <w:t xml:space="preserve"> z cel</w:t>
      </w:r>
      <w:r w:rsidR="00D14943" w:rsidRPr="00610401">
        <w:rPr>
          <w:noProof/>
        </w:rPr>
        <w:t>ów szczegółowych polityki jest przyczynianie się do powstrzymania</w:t>
      </w:r>
      <w:r w:rsidR="00610401" w:rsidRPr="00610401">
        <w:rPr>
          <w:noProof/>
        </w:rPr>
        <w:t xml:space="preserve"> i odw</w:t>
      </w:r>
      <w:r w:rsidR="00D14943" w:rsidRPr="00610401">
        <w:rPr>
          <w:noProof/>
        </w:rPr>
        <w:t>rócenia procesu utraty różnorodności biologicznej, poprawa usług ekosystemowych oraz ochrona siedlisk</w:t>
      </w:r>
      <w:r w:rsidR="00610401" w:rsidRPr="00610401">
        <w:rPr>
          <w:noProof/>
        </w:rPr>
        <w:t xml:space="preserve"> i kra</w:t>
      </w:r>
      <w:r w:rsidR="00D14943" w:rsidRPr="00610401">
        <w:rPr>
          <w:noProof/>
        </w:rPr>
        <w:t>jobrazów. Nowa norma warunkowości WPR nr</w:t>
      </w:r>
      <w:r w:rsidR="00610401" w:rsidRPr="00610401">
        <w:rPr>
          <w:noProof/>
        </w:rPr>
        <w:t> </w:t>
      </w:r>
      <w:r w:rsidR="00D14943" w:rsidRPr="00610401">
        <w:rPr>
          <w:noProof/>
        </w:rPr>
        <w:t>8, tj. norma dobrej kultury rolnej zgodnej</w:t>
      </w:r>
      <w:r w:rsidR="00610401" w:rsidRPr="00610401">
        <w:rPr>
          <w:noProof/>
        </w:rPr>
        <w:t xml:space="preserve"> z och</w:t>
      </w:r>
      <w:r w:rsidR="00D14943" w:rsidRPr="00610401">
        <w:rPr>
          <w:noProof/>
        </w:rPr>
        <w:t>roną środowiska (GAEC 8)</w:t>
      </w:r>
      <w:r w:rsidR="00D14943" w:rsidRPr="00610401">
        <w:rPr>
          <w:rStyle w:val="FootnoteReference"/>
          <w:noProof/>
        </w:rPr>
        <w:footnoteReference w:id="78"/>
      </w:r>
      <w:r w:rsidR="00D14943" w:rsidRPr="00610401">
        <w:rPr>
          <w:noProof/>
        </w:rPr>
        <w:t xml:space="preserve"> wymaga, aby beneficjenci płatności obszarowych przeznaczali co najmniej 4 % gruntów ornych na poziomie gospodarstwa rolnego na obszary</w:t>
      </w:r>
      <w:r w:rsidR="00610401" w:rsidRPr="00610401">
        <w:rPr>
          <w:noProof/>
        </w:rPr>
        <w:t xml:space="preserve"> i ele</w:t>
      </w:r>
      <w:r w:rsidR="00D14943" w:rsidRPr="00610401">
        <w:rPr>
          <w:noProof/>
        </w:rPr>
        <w:t>menty nieproduktywne,</w:t>
      </w:r>
      <w:r w:rsidR="00610401" w:rsidRPr="00610401">
        <w:rPr>
          <w:noProof/>
        </w:rPr>
        <w:t xml:space="preserve"> w tym</w:t>
      </w:r>
      <w:r w:rsidR="00D14943" w:rsidRPr="00610401">
        <w:rPr>
          <w:noProof/>
        </w:rPr>
        <w:t xml:space="preserve"> na grunty ugorowane, oraz aby zachowali istniejące elementy krajobrazu. Wspomniane 4</w:t>
      </w:r>
      <w:r w:rsidR="00610401" w:rsidRPr="00610401">
        <w:rPr>
          <w:noProof/>
        </w:rPr>
        <w:t> </w:t>
      </w:r>
      <w:r w:rsidR="00D14943" w:rsidRPr="00610401">
        <w:rPr>
          <w:noProof/>
        </w:rPr>
        <w:t>% przeznaczone na potrzeby dostosowania do normy GAEC może zostać obniżone do</w:t>
      </w:r>
      <w:r w:rsidR="00610401" w:rsidRPr="00610401">
        <w:rPr>
          <w:noProof/>
        </w:rPr>
        <w:t> </w:t>
      </w:r>
      <w:r w:rsidR="00D14943" w:rsidRPr="00610401">
        <w:rPr>
          <w:noProof/>
        </w:rPr>
        <w:t>3</w:t>
      </w:r>
      <w:r w:rsidR="00610401" w:rsidRPr="00610401">
        <w:rPr>
          <w:noProof/>
        </w:rPr>
        <w:t> </w:t>
      </w:r>
      <w:r w:rsidR="00D14943" w:rsidRPr="00610401">
        <w:rPr>
          <w:noProof/>
        </w:rPr>
        <w:t>%, jeśli spełnione są określone przesłanki</w:t>
      </w:r>
      <w:r w:rsidR="00D14943" w:rsidRPr="00610401">
        <w:rPr>
          <w:rStyle w:val="FootnoteReference"/>
          <w:noProof/>
        </w:rPr>
        <w:footnoteReference w:id="79"/>
      </w:r>
      <w:r w:rsidR="00D14943" w:rsidRPr="00610401">
        <w:rPr>
          <w:noProof/>
        </w:rPr>
        <w:t>. Obowiązek ten przyczyni się do osiągnięcia przez państwa członkowskie pozytywnej tendencji</w:t>
      </w:r>
      <w:r w:rsidR="00610401" w:rsidRPr="00610401">
        <w:rPr>
          <w:noProof/>
        </w:rPr>
        <w:t xml:space="preserve"> w zak</w:t>
      </w:r>
      <w:r w:rsidR="00D14943" w:rsidRPr="00610401">
        <w:rPr>
          <w:noProof/>
        </w:rPr>
        <w:t>resie elementów krajobrazu</w:t>
      </w:r>
      <w:r w:rsidR="00610401" w:rsidRPr="00610401">
        <w:rPr>
          <w:noProof/>
        </w:rPr>
        <w:t xml:space="preserve"> o wys</w:t>
      </w:r>
      <w:r w:rsidR="00D14943" w:rsidRPr="00610401">
        <w:rPr>
          <w:noProof/>
        </w:rPr>
        <w:t>okiej różnorodności na gruntach rolnych. Ponadto</w:t>
      </w:r>
      <w:r w:rsidR="00610401" w:rsidRPr="00610401">
        <w:rPr>
          <w:noProof/>
        </w:rPr>
        <w:t xml:space="preserve"> w ram</w:t>
      </w:r>
      <w:r w:rsidR="00D14943" w:rsidRPr="00610401">
        <w:rPr>
          <w:noProof/>
        </w:rPr>
        <w:t>ach WPR państwa członkowskie mają możliwość ustanawiania ekoschematów dotyczących praktyk rolniczych stosowanych przez rolników na użytkach rolnych, które to praktyki mogą obejmować utrzymywanie</w:t>
      </w:r>
      <w:r w:rsidR="00610401" w:rsidRPr="00610401">
        <w:rPr>
          <w:noProof/>
        </w:rPr>
        <w:t xml:space="preserve"> i two</w:t>
      </w:r>
      <w:r w:rsidR="00D14943" w:rsidRPr="00610401">
        <w:rPr>
          <w:noProof/>
        </w:rPr>
        <w:t>rzenie elementów krajobrazu lub obszarów nieproduktywnych. Podobnie</w:t>
      </w:r>
      <w:r w:rsidR="00610401" w:rsidRPr="00610401">
        <w:rPr>
          <w:noProof/>
        </w:rPr>
        <w:t xml:space="preserve"> w swo</w:t>
      </w:r>
      <w:r w:rsidR="00D14943" w:rsidRPr="00610401">
        <w:rPr>
          <w:noProof/>
        </w:rPr>
        <w:t>ich planach strategicznych WPR państwa członkowskie mogą również uwzględnić zobowiązanie rolno-środowiskowo-klimatyczne,</w:t>
      </w:r>
      <w:r w:rsidR="00610401" w:rsidRPr="00610401">
        <w:rPr>
          <w:noProof/>
        </w:rPr>
        <w:t xml:space="preserve"> w tym</w:t>
      </w:r>
      <w:r w:rsidR="00D14943" w:rsidRPr="00610401">
        <w:rPr>
          <w:noProof/>
        </w:rPr>
        <w:t xml:space="preserve"> ulepszone zarządzanie elementami krajobrazu wykraczające poza normę warunkowości GAEC 8 lub ekoschematy. Projekty LIFE dotyczące przyrody</w:t>
      </w:r>
      <w:r w:rsidR="00610401" w:rsidRPr="00610401">
        <w:rPr>
          <w:noProof/>
        </w:rPr>
        <w:t xml:space="preserve"> i róż</w:t>
      </w:r>
      <w:r w:rsidR="00D14943" w:rsidRPr="00610401">
        <w:rPr>
          <w:noProof/>
        </w:rPr>
        <w:t>norodności biologicznej przyczynią się również do skierowania europejskiej różnorodności biologicznej na gruntach rolnych na ścieżkę regeneracji do</w:t>
      </w:r>
      <w:r w:rsidR="00610401" w:rsidRPr="00610401">
        <w:rPr>
          <w:noProof/>
        </w:rPr>
        <w:t> </w:t>
      </w:r>
      <w:r w:rsidR="00D14943" w:rsidRPr="00610401">
        <w:rPr>
          <w:noProof/>
        </w:rPr>
        <w:t>2030</w:t>
      </w:r>
      <w:r w:rsidR="00610401" w:rsidRPr="00610401">
        <w:rPr>
          <w:noProof/>
        </w:rPr>
        <w:t> </w:t>
      </w:r>
      <w:r w:rsidR="00D14943" w:rsidRPr="00610401">
        <w:rPr>
          <w:noProof/>
        </w:rPr>
        <w:t>r. poprzez wspieranie wdrażania dyrektywy 92/43/EWG</w:t>
      </w:r>
      <w:r w:rsidR="00610401" w:rsidRPr="00610401">
        <w:rPr>
          <w:noProof/>
        </w:rPr>
        <w:t xml:space="preserve"> i dyr</w:t>
      </w:r>
      <w:r w:rsidR="00D14943" w:rsidRPr="00610401">
        <w:rPr>
          <w:noProof/>
        </w:rPr>
        <w:t>ektywy 2009/147/WE,</w:t>
      </w:r>
      <w:r w:rsidR="00610401" w:rsidRPr="00610401">
        <w:rPr>
          <w:noProof/>
        </w:rPr>
        <w:t xml:space="preserve"> a tak</w:t>
      </w:r>
      <w:r w:rsidR="00D14943" w:rsidRPr="00610401">
        <w:rPr>
          <w:noProof/>
        </w:rPr>
        <w:t>że unijnej strategii na rzecz bioróżnorodności 2030.</w:t>
      </w:r>
    </w:p>
    <w:p w:rsidR="00272A2A" w:rsidRPr="00610401" w:rsidRDefault="009F5C98" w:rsidP="009F5C98">
      <w:pPr>
        <w:pStyle w:val="ManualConsidrant"/>
        <w:rPr>
          <w:noProof/>
        </w:rPr>
      </w:pPr>
      <w:r w:rsidRPr="009F5C98">
        <w:t>(54)</w:t>
      </w:r>
      <w:r w:rsidRPr="009F5C98">
        <w:tab/>
      </w:r>
      <w:r w:rsidR="00272A2A" w:rsidRPr="00610401">
        <w:rPr>
          <w:noProof/>
        </w:rPr>
        <w:t>Odbudowa</w:t>
      </w:r>
      <w:r w:rsidR="00610401" w:rsidRPr="00610401">
        <w:rPr>
          <w:noProof/>
        </w:rPr>
        <w:t xml:space="preserve"> i pon</w:t>
      </w:r>
      <w:r w:rsidR="00272A2A" w:rsidRPr="00610401">
        <w:rPr>
          <w:noProof/>
        </w:rPr>
        <w:t>owne nawadnianie</w:t>
      </w:r>
      <w:r w:rsidR="00272A2A" w:rsidRPr="00610401">
        <w:rPr>
          <w:rStyle w:val="FootnoteReference"/>
          <w:noProof/>
        </w:rPr>
        <w:footnoteReference w:id="80"/>
      </w:r>
      <w:r w:rsidR="00272A2A" w:rsidRPr="00610401">
        <w:rPr>
          <w:noProof/>
        </w:rPr>
        <w:t xml:space="preserve"> gleb organicznych</w:t>
      </w:r>
      <w:r w:rsidR="00272A2A" w:rsidRPr="00610401">
        <w:rPr>
          <w:rStyle w:val="FootnoteReference"/>
          <w:noProof/>
        </w:rPr>
        <w:footnoteReference w:id="81"/>
      </w:r>
      <w:r w:rsidR="00272A2A" w:rsidRPr="00610401">
        <w:rPr>
          <w:noProof/>
        </w:rPr>
        <w:t xml:space="preserve"> użytkowanych rolniczo (tj. użytkowanych jako obszary trawiaste</w:t>
      </w:r>
      <w:r w:rsidR="00610401" w:rsidRPr="00610401">
        <w:rPr>
          <w:noProof/>
        </w:rPr>
        <w:t xml:space="preserve"> i gru</w:t>
      </w:r>
      <w:r w:rsidR="00272A2A" w:rsidRPr="00610401">
        <w:rPr>
          <w:noProof/>
        </w:rPr>
        <w:t>nty uprawne), które stanowią osuszone torfowiska, pomagają</w:t>
      </w:r>
      <w:r w:rsidR="00610401" w:rsidRPr="00610401">
        <w:rPr>
          <w:noProof/>
        </w:rPr>
        <w:t xml:space="preserve"> w osi</w:t>
      </w:r>
      <w:r w:rsidR="00272A2A" w:rsidRPr="00610401">
        <w:rPr>
          <w:noProof/>
        </w:rPr>
        <w:t>ągnięciu znaczących korzyści</w:t>
      </w:r>
      <w:r w:rsidR="00610401" w:rsidRPr="00610401">
        <w:rPr>
          <w:noProof/>
        </w:rPr>
        <w:t xml:space="preserve"> w zak</w:t>
      </w:r>
      <w:r w:rsidR="00272A2A" w:rsidRPr="00610401">
        <w:rPr>
          <w:noProof/>
        </w:rPr>
        <w:t>resie różnorodności biologicznej</w:t>
      </w:r>
      <w:r w:rsidR="00610401" w:rsidRPr="00610401">
        <w:rPr>
          <w:noProof/>
        </w:rPr>
        <w:t xml:space="preserve"> i zna</w:t>
      </w:r>
      <w:r w:rsidR="00272A2A" w:rsidRPr="00610401">
        <w:rPr>
          <w:noProof/>
        </w:rPr>
        <w:t>cznej redukcji emisji gazów cieplarnianych oraz przynoszą inne korzyści dla środowiska, przyczyniając się jednocześnie do zróżnicowania krajobrazu rolniczego. Państwa członkowskie mogą wybrać spośród szerokiej gamy środków odbudowy osuszonych torfowisk użytkowanych rolniczo od przekształcania gruntów uprawnych</w:t>
      </w:r>
      <w:r w:rsidR="00610401" w:rsidRPr="00610401">
        <w:rPr>
          <w:noProof/>
        </w:rPr>
        <w:t xml:space="preserve"> w trw</w:t>
      </w:r>
      <w:r w:rsidR="00272A2A" w:rsidRPr="00610401">
        <w:rPr>
          <w:noProof/>
        </w:rPr>
        <w:t>ałe użytki zielone, przez środki</w:t>
      </w:r>
      <w:r w:rsidR="00610401" w:rsidRPr="00610401">
        <w:rPr>
          <w:noProof/>
        </w:rPr>
        <w:t xml:space="preserve"> w zak</w:t>
      </w:r>
      <w:r w:rsidR="00272A2A" w:rsidRPr="00610401">
        <w:rPr>
          <w:noProof/>
        </w:rPr>
        <w:t>resie ekstensyfikacji</w:t>
      </w:r>
      <w:r w:rsidR="00610401" w:rsidRPr="00610401">
        <w:rPr>
          <w:noProof/>
        </w:rPr>
        <w:t xml:space="preserve"> w poł</w:t>
      </w:r>
      <w:r w:rsidR="00272A2A" w:rsidRPr="00610401">
        <w:rPr>
          <w:noProof/>
        </w:rPr>
        <w:t>ączeniu ze zmniejszonym osuszaniem, aż po pełne ponowne nawadnianie</w:t>
      </w:r>
      <w:r w:rsidR="00610401" w:rsidRPr="00610401">
        <w:rPr>
          <w:noProof/>
        </w:rPr>
        <w:t xml:space="preserve"> z moż</w:t>
      </w:r>
      <w:r w:rsidR="00272A2A" w:rsidRPr="00610401">
        <w:rPr>
          <w:noProof/>
        </w:rPr>
        <w:t>liwością użytkowania torfowisk lub wprowadzenie roślinności torfotwórczej. Najistotniejsze korzyści dla klimatu wynikają</w:t>
      </w:r>
      <w:r w:rsidR="00610401" w:rsidRPr="00610401">
        <w:rPr>
          <w:noProof/>
        </w:rPr>
        <w:t xml:space="preserve"> z odb</w:t>
      </w:r>
      <w:r w:rsidR="00272A2A" w:rsidRPr="00610401">
        <w:rPr>
          <w:noProof/>
        </w:rPr>
        <w:t>udowy</w:t>
      </w:r>
      <w:r w:rsidR="00610401" w:rsidRPr="00610401">
        <w:rPr>
          <w:noProof/>
        </w:rPr>
        <w:t xml:space="preserve"> i pon</w:t>
      </w:r>
      <w:r w:rsidR="00272A2A" w:rsidRPr="00610401">
        <w:rPr>
          <w:noProof/>
        </w:rPr>
        <w:t>ownego nawadniania gruntów uprawnych,</w:t>
      </w:r>
      <w:r w:rsidR="00610401" w:rsidRPr="00610401">
        <w:rPr>
          <w:noProof/>
        </w:rPr>
        <w:t xml:space="preserve"> a nas</w:t>
      </w:r>
      <w:r w:rsidR="00272A2A" w:rsidRPr="00610401">
        <w:rPr>
          <w:noProof/>
        </w:rPr>
        <w:t>tępnie odtworzenia intensywnych obszarów trawiastych. Aby umożliwić elastyczną realizację celu</w:t>
      </w:r>
      <w:r w:rsidR="00610401" w:rsidRPr="00610401">
        <w:rPr>
          <w:noProof/>
        </w:rPr>
        <w:t xml:space="preserve"> w zak</w:t>
      </w:r>
      <w:r w:rsidR="00272A2A" w:rsidRPr="00610401">
        <w:rPr>
          <w:noProof/>
        </w:rPr>
        <w:t>resie odbudowy osuszonych torfowisk wykorzystywanych</w:t>
      </w:r>
      <w:r w:rsidR="00610401" w:rsidRPr="00610401">
        <w:rPr>
          <w:noProof/>
        </w:rPr>
        <w:t xml:space="preserve"> w rol</w:t>
      </w:r>
      <w:r w:rsidR="00272A2A" w:rsidRPr="00610401">
        <w:rPr>
          <w:noProof/>
        </w:rPr>
        <w:t>nictwie, państwa członkowskie mogą zaliczyć środki odbudowy</w:t>
      </w:r>
      <w:r w:rsidR="00610401" w:rsidRPr="00610401">
        <w:rPr>
          <w:noProof/>
        </w:rPr>
        <w:t xml:space="preserve"> i pon</w:t>
      </w:r>
      <w:r w:rsidR="00272A2A" w:rsidRPr="00610401">
        <w:rPr>
          <w:noProof/>
        </w:rPr>
        <w:t>owne nawadnianie osuszonych torfowisk na obszarach wydobycia torfu,</w:t>
      </w:r>
      <w:r w:rsidR="00610401" w:rsidRPr="00610401">
        <w:rPr>
          <w:noProof/>
        </w:rPr>
        <w:t xml:space="preserve"> a tak</w:t>
      </w:r>
      <w:r w:rsidR="00272A2A" w:rsidRPr="00610401">
        <w:rPr>
          <w:noProof/>
        </w:rPr>
        <w:t>że,</w:t>
      </w:r>
      <w:r w:rsidR="00610401" w:rsidRPr="00610401">
        <w:rPr>
          <w:noProof/>
        </w:rPr>
        <w:t xml:space="preserve"> w pew</w:t>
      </w:r>
      <w:r w:rsidR="00272A2A" w:rsidRPr="00610401">
        <w:rPr>
          <w:noProof/>
        </w:rPr>
        <w:t>nym stopniu, odbudowę</w:t>
      </w:r>
      <w:r w:rsidR="00610401" w:rsidRPr="00610401">
        <w:rPr>
          <w:noProof/>
        </w:rPr>
        <w:t xml:space="preserve"> i pon</w:t>
      </w:r>
      <w:r w:rsidR="00272A2A" w:rsidRPr="00610401">
        <w:rPr>
          <w:noProof/>
        </w:rPr>
        <w:t>owne nawadnianie osuszonych torfowisk</w:t>
      </w:r>
      <w:r w:rsidR="00610401" w:rsidRPr="00610401">
        <w:rPr>
          <w:noProof/>
        </w:rPr>
        <w:t xml:space="preserve"> w ram</w:t>
      </w:r>
      <w:r w:rsidR="00272A2A" w:rsidRPr="00610401">
        <w:rPr>
          <w:noProof/>
        </w:rPr>
        <w:t>ach innych rodzajów użytkowania gruntów (np. lasów), jako przyczyniające się do osiągnięcia celów dotyczących osuszonych torfowisk wykorzystywanych</w:t>
      </w:r>
      <w:r w:rsidR="00610401" w:rsidRPr="00610401">
        <w:rPr>
          <w:noProof/>
        </w:rPr>
        <w:t xml:space="preserve"> w rol</w:t>
      </w:r>
      <w:r w:rsidR="00272A2A" w:rsidRPr="00610401">
        <w:rPr>
          <w:noProof/>
        </w:rPr>
        <w:t xml:space="preserve">nictwie. </w:t>
      </w:r>
    </w:p>
    <w:p w:rsidR="00D158E9" w:rsidRPr="00610401" w:rsidRDefault="009F5C98" w:rsidP="009F5C98">
      <w:pPr>
        <w:pStyle w:val="ManualConsidrant"/>
        <w:rPr>
          <w:noProof/>
        </w:rPr>
      </w:pPr>
      <w:r w:rsidRPr="009F5C98">
        <w:t>(55)</w:t>
      </w:r>
      <w:r w:rsidRPr="009F5C98">
        <w:tab/>
      </w:r>
    </w:p>
    <w:p w:rsidR="007A0FCA" w:rsidRPr="00610401" w:rsidRDefault="009F5C98" w:rsidP="009F5C98">
      <w:pPr>
        <w:pStyle w:val="ManualConsidrant"/>
        <w:rPr>
          <w:noProof/>
        </w:rPr>
      </w:pPr>
      <w:r w:rsidRPr="009F5C98">
        <w:t>(56)</w:t>
      </w:r>
      <w:r w:rsidRPr="009F5C98">
        <w:tab/>
      </w:r>
      <w:r w:rsidR="00272A2A" w:rsidRPr="00610401">
        <w:rPr>
          <w:noProof/>
        </w:rPr>
        <w:t>Aby czerpać najpełniejsze korzyści</w:t>
      </w:r>
      <w:r w:rsidR="00610401" w:rsidRPr="00610401">
        <w:rPr>
          <w:noProof/>
        </w:rPr>
        <w:t xml:space="preserve"> w zak</w:t>
      </w:r>
      <w:r w:rsidR="00272A2A" w:rsidRPr="00610401">
        <w:rPr>
          <w:noProof/>
        </w:rPr>
        <w:t>resie różnorodności biologicznej, odbudowa</w:t>
      </w:r>
      <w:r w:rsidR="00610401" w:rsidRPr="00610401">
        <w:rPr>
          <w:noProof/>
        </w:rPr>
        <w:t xml:space="preserve"> i pon</w:t>
      </w:r>
      <w:r w:rsidR="00272A2A" w:rsidRPr="00610401">
        <w:rPr>
          <w:noProof/>
        </w:rPr>
        <w:t>owne nawadnianie osuszonych torfowisk powinny wykraczać poza obszary występowania typów siedlisk podmokłych wymienionych</w:t>
      </w:r>
      <w:r w:rsidR="00610401" w:rsidRPr="00610401">
        <w:rPr>
          <w:noProof/>
        </w:rPr>
        <w:t xml:space="preserve"> w zał</w:t>
      </w:r>
      <w:r w:rsidR="00272A2A" w:rsidRPr="00610401">
        <w:rPr>
          <w:noProof/>
        </w:rPr>
        <w:t>ączniku I do dyrektywy 92/43/EWG, które mają być odbudowane</w:t>
      </w:r>
      <w:r w:rsidR="00610401" w:rsidRPr="00610401">
        <w:rPr>
          <w:noProof/>
        </w:rPr>
        <w:t xml:space="preserve"> i prz</w:t>
      </w:r>
      <w:r w:rsidR="00272A2A" w:rsidRPr="00610401">
        <w:rPr>
          <w:noProof/>
        </w:rPr>
        <w:t>ywrócone. Dane dotyczące zasięgu występowania gleb organicznych oraz związanych</w:t>
      </w:r>
      <w:r w:rsidR="00610401" w:rsidRPr="00610401">
        <w:rPr>
          <w:noProof/>
        </w:rPr>
        <w:t xml:space="preserve"> z nim</w:t>
      </w:r>
      <w:r w:rsidR="00272A2A" w:rsidRPr="00610401">
        <w:rPr>
          <w:noProof/>
        </w:rPr>
        <w:t>i emisji gazów cieplarnianych</w:t>
      </w:r>
      <w:r w:rsidR="00610401" w:rsidRPr="00610401">
        <w:rPr>
          <w:noProof/>
        </w:rPr>
        <w:t xml:space="preserve"> i ich</w:t>
      </w:r>
      <w:r w:rsidR="00272A2A" w:rsidRPr="00610401">
        <w:rPr>
          <w:noProof/>
        </w:rPr>
        <w:t xml:space="preserve"> pochłaniania są monitorowane</w:t>
      </w:r>
      <w:r w:rsidR="00610401" w:rsidRPr="00610401">
        <w:rPr>
          <w:noProof/>
        </w:rPr>
        <w:t xml:space="preserve"> i udo</w:t>
      </w:r>
      <w:r w:rsidR="00272A2A" w:rsidRPr="00610401">
        <w:rPr>
          <w:noProof/>
        </w:rPr>
        <w:t>stępniane</w:t>
      </w:r>
      <w:r w:rsidR="00610401" w:rsidRPr="00610401">
        <w:rPr>
          <w:noProof/>
        </w:rPr>
        <w:t xml:space="preserve"> w ram</w:t>
      </w:r>
      <w:r w:rsidR="00272A2A" w:rsidRPr="00610401">
        <w:rPr>
          <w:noProof/>
        </w:rPr>
        <w:t>ach sprawozdawczości sektora LULUCF</w:t>
      </w:r>
      <w:r w:rsidR="00610401" w:rsidRPr="00610401">
        <w:rPr>
          <w:noProof/>
        </w:rPr>
        <w:t xml:space="preserve"> w kra</w:t>
      </w:r>
      <w:r w:rsidR="00272A2A" w:rsidRPr="00610401">
        <w:rPr>
          <w:noProof/>
        </w:rPr>
        <w:t>jowych wykazach gazów cieplarnianych opracowywanych przez państwa członkowskie</w:t>
      </w:r>
      <w:r w:rsidR="00610401" w:rsidRPr="00610401">
        <w:rPr>
          <w:noProof/>
        </w:rPr>
        <w:t xml:space="preserve"> i prz</w:t>
      </w:r>
      <w:r w:rsidR="00272A2A" w:rsidRPr="00610401">
        <w:rPr>
          <w:noProof/>
        </w:rPr>
        <w:t>edkładanych UNFCCC. Istnieją alternatywne sposoby produktywnego użytkowania odbudowanych</w:t>
      </w:r>
      <w:r w:rsidR="00610401" w:rsidRPr="00610401">
        <w:rPr>
          <w:noProof/>
        </w:rPr>
        <w:t xml:space="preserve"> i pon</w:t>
      </w:r>
      <w:r w:rsidR="00272A2A" w:rsidRPr="00610401">
        <w:rPr>
          <w:noProof/>
        </w:rPr>
        <w:t>ownie nawodnionych torfowisk. Przykładowo użytkowanie torfowisk – praktyka polegająca na prowadzeniu działalności uprawnej na podmokłych torfowiskach – może obejmować uprawę różnych rodzajów trzcin, produkcję niektórych rodzajów drewna, uprawę borówek</w:t>
      </w:r>
      <w:r w:rsidR="00610401" w:rsidRPr="00610401">
        <w:rPr>
          <w:noProof/>
        </w:rPr>
        <w:t xml:space="preserve"> i żur</w:t>
      </w:r>
      <w:r w:rsidR="00272A2A" w:rsidRPr="00610401">
        <w:rPr>
          <w:noProof/>
        </w:rPr>
        <w:t>awiny, uprawę torfowców oraz wypas wołów domowych. Praktyki te powinny opierać się na zasadach zrównoważonego gospodarowania</w:t>
      </w:r>
      <w:r w:rsidR="00610401" w:rsidRPr="00610401">
        <w:rPr>
          <w:noProof/>
        </w:rPr>
        <w:t xml:space="preserve"> i mie</w:t>
      </w:r>
      <w:r w:rsidR="00272A2A" w:rsidRPr="00610401">
        <w:rPr>
          <w:noProof/>
        </w:rPr>
        <w:t>ć na celu zwiększenie różnorodności biologicznej, tak aby oferowały wysoką wartość zarówno pod względem finansowym, jak</w:t>
      </w:r>
      <w:r w:rsidR="00610401" w:rsidRPr="00610401">
        <w:rPr>
          <w:noProof/>
        </w:rPr>
        <w:t xml:space="preserve"> i eko</w:t>
      </w:r>
      <w:r w:rsidR="00272A2A" w:rsidRPr="00610401">
        <w:rPr>
          <w:noProof/>
        </w:rPr>
        <w:t>logicznym. Użytkowanie torfowisk może być korzystne również dla niektórych gatunków zagrożonych</w:t>
      </w:r>
      <w:r w:rsidR="00610401" w:rsidRPr="00610401">
        <w:rPr>
          <w:noProof/>
        </w:rPr>
        <w:t xml:space="preserve"> w Uni</w:t>
      </w:r>
      <w:r w:rsidR="00272A2A" w:rsidRPr="00610401">
        <w:rPr>
          <w:noProof/>
        </w:rPr>
        <w:t>i,</w:t>
      </w:r>
      <w:r w:rsidR="00610401" w:rsidRPr="00610401">
        <w:rPr>
          <w:noProof/>
        </w:rPr>
        <w:t xml:space="preserve"> a tak</w:t>
      </w:r>
      <w:r w:rsidR="00272A2A" w:rsidRPr="00610401">
        <w:rPr>
          <w:noProof/>
        </w:rPr>
        <w:t>że może ułatwiać łączność między terenami podmokłymi</w:t>
      </w:r>
      <w:r w:rsidR="00610401" w:rsidRPr="00610401">
        <w:rPr>
          <w:noProof/>
        </w:rPr>
        <w:t xml:space="preserve"> a pow</w:t>
      </w:r>
      <w:r w:rsidR="00272A2A" w:rsidRPr="00610401">
        <w:rPr>
          <w:noProof/>
        </w:rPr>
        <w:t>iązanymi</w:t>
      </w:r>
      <w:r w:rsidR="00610401" w:rsidRPr="00610401">
        <w:rPr>
          <w:noProof/>
        </w:rPr>
        <w:t xml:space="preserve"> z nim</w:t>
      </w:r>
      <w:r w:rsidR="00272A2A" w:rsidRPr="00610401">
        <w:rPr>
          <w:noProof/>
        </w:rPr>
        <w:t>i populacjami gatunków</w:t>
      </w:r>
      <w:r w:rsidR="00610401" w:rsidRPr="00610401">
        <w:rPr>
          <w:noProof/>
        </w:rPr>
        <w:t xml:space="preserve"> w Uni</w:t>
      </w:r>
      <w:r w:rsidR="00272A2A" w:rsidRPr="00610401">
        <w:rPr>
          <w:noProof/>
        </w:rPr>
        <w:t>i. Finansowanie działań mających na celu odbudowę</w:t>
      </w:r>
      <w:r w:rsidR="00610401" w:rsidRPr="00610401">
        <w:rPr>
          <w:noProof/>
        </w:rPr>
        <w:t xml:space="preserve"> i pon</w:t>
      </w:r>
      <w:r w:rsidR="00272A2A" w:rsidRPr="00610401">
        <w:rPr>
          <w:noProof/>
        </w:rPr>
        <w:t>owne nawadnianie osuszonych torfowisk,</w:t>
      </w:r>
      <w:r w:rsidR="00610401" w:rsidRPr="00610401">
        <w:rPr>
          <w:noProof/>
        </w:rPr>
        <w:t xml:space="preserve"> a ewe</w:t>
      </w:r>
      <w:r w:rsidR="00272A2A" w:rsidRPr="00610401">
        <w:rPr>
          <w:noProof/>
        </w:rPr>
        <w:t>ntualne straty dochodów mogą być kompensowane</w:t>
      </w:r>
      <w:r w:rsidR="00610401" w:rsidRPr="00610401">
        <w:rPr>
          <w:noProof/>
        </w:rPr>
        <w:t xml:space="preserve"> z wie</w:t>
      </w:r>
      <w:r w:rsidR="00272A2A" w:rsidRPr="00610401">
        <w:rPr>
          <w:noProof/>
        </w:rPr>
        <w:t>lu różnych źródeł,</w:t>
      </w:r>
      <w:r w:rsidR="00610401" w:rsidRPr="00610401">
        <w:rPr>
          <w:noProof/>
        </w:rPr>
        <w:t xml:space="preserve"> w tym z wyd</w:t>
      </w:r>
      <w:r w:rsidR="00272A2A" w:rsidRPr="00610401">
        <w:rPr>
          <w:noProof/>
        </w:rPr>
        <w:t>atków</w:t>
      </w:r>
      <w:r w:rsidR="00610401" w:rsidRPr="00610401">
        <w:rPr>
          <w:noProof/>
        </w:rPr>
        <w:t xml:space="preserve"> w ram</w:t>
      </w:r>
      <w:r w:rsidR="00272A2A" w:rsidRPr="00610401">
        <w:rPr>
          <w:noProof/>
        </w:rPr>
        <w:t>ach budżetu Unii</w:t>
      </w:r>
      <w:r w:rsidR="00610401" w:rsidRPr="00610401">
        <w:rPr>
          <w:noProof/>
        </w:rPr>
        <w:t xml:space="preserve"> i uni</w:t>
      </w:r>
      <w:r w:rsidR="00272A2A" w:rsidRPr="00610401">
        <w:rPr>
          <w:noProof/>
        </w:rPr>
        <w:t>jnych programów finansowania.</w:t>
      </w:r>
    </w:p>
    <w:p w:rsidR="004D4BB7" w:rsidRPr="00610401" w:rsidRDefault="009F5C98" w:rsidP="009F5C98">
      <w:pPr>
        <w:pStyle w:val="ManualConsidrant"/>
        <w:rPr>
          <w:noProof/>
        </w:rPr>
      </w:pPr>
      <w:r w:rsidRPr="009F5C98">
        <w:t>(57)</w:t>
      </w:r>
      <w:r w:rsidRPr="009F5C98">
        <w:tab/>
      </w:r>
      <w:r w:rsidR="21B10619" w:rsidRPr="00610401">
        <w:rPr>
          <w:noProof/>
        </w:rPr>
        <w:t>W nowej strategii leśnej UE 2030</w:t>
      </w:r>
      <w:r w:rsidR="21B10619" w:rsidRPr="00610401">
        <w:rPr>
          <w:rStyle w:val="FootnoteReference"/>
          <w:noProof/>
        </w:rPr>
        <w:footnoteReference w:id="82"/>
      </w:r>
      <w:r w:rsidR="21B10619" w:rsidRPr="00610401">
        <w:rPr>
          <w:noProof/>
        </w:rPr>
        <w:t xml:space="preserve"> podkreślono potrzebę odbudowy bioróżnorodności lasów. Lasy</w:t>
      </w:r>
      <w:r w:rsidR="00610401" w:rsidRPr="00610401">
        <w:rPr>
          <w:noProof/>
        </w:rPr>
        <w:t xml:space="preserve"> i inn</w:t>
      </w:r>
      <w:r w:rsidR="21B10619" w:rsidRPr="00610401">
        <w:rPr>
          <w:noProof/>
        </w:rPr>
        <w:t>e obszary zalesione zajmują ponad 43,5</w:t>
      </w:r>
      <w:r w:rsidR="00610401" w:rsidRPr="00610401">
        <w:rPr>
          <w:noProof/>
        </w:rPr>
        <w:t> </w:t>
      </w:r>
      <w:r w:rsidR="21B10619" w:rsidRPr="00610401">
        <w:rPr>
          <w:noProof/>
        </w:rPr>
        <w:t>% powierzchni lądowej UE. Ekosystemy leśne,</w:t>
      </w:r>
      <w:r w:rsidR="00610401" w:rsidRPr="00610401">
        <w:rPr>
          <w:noProof/>
        </w:rPr>
        <w:t xml:space="preserve"> w któ</w:t>
      </w:r>
      <w:r w:rsidR="21B10619" w:rsidRPr="00610401">
        <w:rPr>
          <w:noProof/>
        </w:rPr>
        <w:t>rych występuje bogata różnorodność biologiczna, są wrażliwe na zmianę klimatu, ale też</w:t>
      </w:r>
      <w:r w:rsidR="00610401" w:rsidRPr="00610401">
        <w:rPr>
          <w:noProof/>
        </w:rPr>
        <w:t xml:space="preserve"> </w:t>
      </w:r>
      <w:r w:rsidR="00610401" w:rsidRPr="00610401">
        <w:rPr>
          <w:noProof/>
          <w:shd w:val="clear" w:color="auto" w:fill="FFFFFF"/>
        </w:rPr>
        <w:t>w</w:t>
      </w:r>
      <w:r w:rsidR="00610401" w:rsidRPr="00610401">
        <w:rPr>
          <w:noProof/>
        </w:rPr>
        <w:t> </w:t>
      </w:r>
      <w:r w:rsidR="00610401" w:rsidRPr="00610401">
        <w:rPr>
          <w:noProof/>
          <w:shd w:val="clear" w:color="auto" w:fill="FFFFFF"/>
        </w:rPr>
        <w:t>nat</w:t>
      </w:r>
      <w:r w:rsidR="21B10619" w:rsidRPr="00610401">
        <w:rPr>
          <w:noProof/>
          <w:shd w:val="clear" w:color="auto" w:fill="FFFFFF"/>
        </w:rPr>
        <w:t>uralny sposób sprzyjają przystosowaniu się do zmiany klimatu</w:t>
      </w:r>
      <w:r w:rsidR="00610401" w:rsidRPr="00610401">
        <w:rPr>
          <w:noProof/>
          <w:shd w:val="clear" w:color="auto" w:fill="FFFFFF"/>
        </w:rPr>
        <w:t xml:space="preserve"> i wal</w:t>
      </w:r>
      <w:r w:rsidR="21B10619" w:rsidRPr="00610401">
        <w:rPr>
          <w:noProof/>
          <w:shd w:val="clear" w:color="auto" w:fill="FFFFFF"/>
        </w:rPr>
        <w:t>ce</w:t>
      </w:r>
      <w:r w:rsidR="00610401" w:rsidRPr="00610401">
        <w:rPr>
          <w:noProof/>
          <w:shd w:val="clear" w:color="auto" w:fill="FFFFFF"/>
        </w:rPr>
        <w:t xml:space="preserve"> z nią</w:t>
      </w:r>
      <w:r w:rsidR="21B10619" w:rsidRPr="00610401">
        <w:rPr>
          <w:noProof/>
          <w:shd w:val="clear" w:color="auto" w:fill="FFFFFF"/>
        </w:rPr>
        <w:t xml:space="preserve"> oraz ze związanymi</w:t>
      </w:r>
      <w:r w:rsidR="00610401" w:rsidRPr="00610401">
        <w:rPr>
          <w:noProof/>
          <w:shd w:val="clear" w:color="auto" w:fill="FFFFFF"/>
        </w:rPr>
        <w:t xml:space="preserve"> z nią</w:t>
      </w:r>
      <w:r w:rsidR="21B10619" w:rsidRPr="00610401">
        <w:rPr>
          <w:noProof/>
          <w:shd w:val="clear" w:color="auto" w:fill="FFFFFF"/>
        </w:rPr>
        <w:t xml:space="preserve"> zagrożeniami, m.in. dzięki swoim funkcjom składowania zasobów węgla</w:t>
      </w:r>
      <w:r w:rsidR="00610401" w:rsidRPr="00610401">
        <w:rPr>
          <w:noProof/>
          <w:shd w:val="clear" w:color="auto" w:fill="FFFFFF"/>
        </w:rPr>
        <w:t xml:space="preserve"> i poc</w:t>
      </w:r>
      <w:r w:rsidR="21B10619" w:rsidRPr="00610401">
        <w:rPr>
          <w:noProof/>
          <w:shd w:val="clear" w:color="auto" w:fill="FFFFFF"/>
        </w:rPr>
        <w:t>hłaniania dwutlenku węgla,</w:t>
      </w:r>
      <w:r w:rsidR="00610401" w:rsidRPr="00610401">
        <w:rPr>
          <w:noProof/>
          <w:shd w:val="clear" w:color="auto" w:fill="FFFFFF"/>
        </w:rPr>
        <w:t xml:space="preserve"> a tak</w:t>
      </w:r>
      <w:r w:rsidR="21B10619" w:rsidRPr="00610401">
        <w:rPr>
          <w:noProof/>
          <w:shd w:val="clear" w:color="auto" w:fill="FFFFFF"/>
        </w:rPr>
        <w:t>że</w:t>
      </w:r>
      <w:r w:rsidR="21B10619" w:rsidRPr="00610401">
        <w:rPr>
          <w:noProof/>
          <w:sz w:val="27"/>
          <w:shd w:val="clear" w:color="auto" w:fill="FFFFFF"/>
        </w:rPr>
        <w:t xml:space="preserve"> </w:t>
      </w:r>
      <w:r w:rsidR="21B10619" w:rsidRPr="00610401">
        <w:rPr>
          <w:noProof/>
        </w:rPr>
        <w:t>zapewniają wiele innych kluczowych usług ekosystemowych</w:t>
      </w:r>
      <w:r w:rsidR="00610401" w:rsidRPr="00610401">
        <w:rPr>
          <w:i/>
          <w:noProof/>
        </w:rPr>
        <w:t xml:space="preserve"> </w:t>
      </w:r>
      <w:r w:rsidR="00610401" w:rsidRPr="00610401">
        <w:rPr>
          <w:noProof/>
        </w:rPr>
        <w:t>i</w:t>
      </w:r>
      <w:r w:rsidR="00610401" w:rsidRPr="00610401">
        <w:rPr>
          <w:i/>
          <w:noProof/>
        </w:rPr>
        <w:t> </w:t>
      </w:r>
      <w:r w:rsidR="00610401" w:rsidRPr="00610401">
        <w:rPr>
          <w:noProof/>
        </w:rPr>
        <w:t>kor</w:t>
      </w:r>
      <w:r w:rsidR="21B10619" w:rsidRPr="00610401">
        <w:rPr>
          <w:noProof/>
        </w:rPr>
        <w:t>zyści, takich jak dostarczanie drewna, pożywienia</w:t>
      </w:r>
      <w:r w:rsidR="00610401" w:rsidRPr="00610401">
        <w:rPr>
          <w:noProof/>
        </w:rPr>
        <w:t xml:space="preserve"> i inn</w:t>
      </w:r>
      <w:r w:rsidR="21B10619" w:rsidRPr="00610401">
        <w:rPr>
          <w:noProof/>
        </w:rPr>
        <w:t>ych produktów niedrzewnych oraz regulacja klimatu, stabilizacja gleby, kontrola erozji oraz oczyszczanie powietrza</w:t>
      </w:r>
      <w:r w:rsidR="00610401" w:rsidRPr="00610401">
        <w:rPr>
          <w:noProof/>
        </w:rPr>
        <w:t xml:space="preserve"> i wod</w:t>
      </w:r>
      <w:r w:rsidR="21B10619" w:rsidRPr="00610401">
        <w:rPr>
          <w:noProof/>
        </w:rPr>
        <w:t xml:space="preserve">y. </w:t>
      </w:r>
    </w:p>
    <w:p w:rsidR="00DE38D1" w:rsidRPr="00610401" w:rsidRDefault="009F5C98" w:rsidP="009F5C98">
      <w:pPr>
        <w:pStyle w:val="ManualConsidrant"/>
        <w:rPr>
          <w:noProof/>
        </w:rPr>
      </w:pPr>
      <w:r w:rsidRPr="009F5C98">
        <w:t>(58)</w:t>
      </w:r>
      <w:r w:rsidRPr="009F5C98">
        <w:tab/>
      </w:r>
      <w:r w:rsidR="5C1B47A7" w:rsidRPr="00610401">
        <w:rPr>
          <w:noProof/>
        </w:rPr>
        <w:t>Należy wprowadzić środki odbudowy, które zwiększą różnorodność biologiczną ekosystemów leśnych</w:t>
      </w:r>
      <w:r w:rsidR="00610401" w:rsidRPr="00610401">
        <w:rPr>
          <w:noProof/>
        </w:rPr>
        <w:t xml:space="preserve"> w cał</w:t>
      </w:r>
      <w:r w:rsidR="5C1B47A7" w:rsidRPr="00610401">
        <w:rPr>
          <w:noProof/>
        </w:rPr>
        <w:t>ej Unii,</w:t>
      </w:r>
      <w:r w:rsidR="00610401" w:rsidRPr="00610401">
        <w:rPr>
          <w:noProof/>
        </w:rPr>
        <w:t xml:space="preserve"> w tym</w:t>
      </w:r>
      <w:r w:rsidR="5C1B47A7" w:rsidRPr="00610401">
        <w:rPr>
          <w:noProof/>
        </w:rPr>
        <w:t xml:space="preserve"> na obszarach nie obejmujących typów siedlisk objętych zakresem dyrektywy 92/43/EWG. Wobec braku wspólnej metody oceny stanu ekosystemów leśnych, która umożliwiłaby wyznaczenie szczegółowych celów</w:t>
      </w:r>
      <w:r w:rsidR="00610401" w:rsidRPr="00610401">
        <w:rPr>
          <w:noProof/>
        </w:rPr>
        <w:t xml:space="preserve"> w zak</w:t>
      </w:r>
      <w:r w:rsidR="5C1B47A7" w:rsidRPr="00610401">
        <w:rPr>
          <w:noProof/>
        </w:rPr>
        <w:t>resie odbudowy ekosystemów leśnych, należy ustanowić ogólny obowiązek poprawy różnorodności biologicznej ekosystemów leśnych</w:t>
      </w:r>
      <w:r w:rsidR="00610401" w:rsidRPr="00610401">
        <w:rPr>
          <w:noProof/>
        </w:rPr>
        <w:t xml:space="preserve"> i dok</w:t>
      </w:r>
      <w:r w:rsidR="5C1B47A7" w:rsidRPr="00610401">
        <w:rPr>
          <w:noProof/>
        </w:rPr>
        <w:t>onywać pomiaru stopnia realizacji tego obowiązku na podstawie istniejących wskaźników, takich jak stojące</w:t>
      </w:r>
      <w:r w:rsidR="00610401" w:rsidRPr="00610401">
        <w:rPr>
          <w:noProof/>
        </w:rPr>
        <w:t xml:space="preserve"> i leż</w:t>
      </w:r>
      <w:r w:rsidR="5C1B47A7" w:rsidRPr="00610401">
        <w:rPr>
          <w:noProof/>
        </w:rPr>
        <w:t>ące drewno posuszowe, udział lasów różnowiekowych, łączność leśna, wskaźnik liczebności pospolitych ptaków leśnych</w:t>
      </w:r>
      <w:r w:rsidR="5C1B47A7" w:rsidRPr="00610401">
        <w:rPr>
          <w:rStyle w:val="FootnoteReference"/>
          <w:rFonts w:eastAsia="Times New Roman"/>
          <w:noProof/>
        </w:rPr>
        <w:footnoteReference w:id="83"/>
      </w:r>
      <w:r w:rsidR="5C1B47A7" w:rsidRPr="00610401">
        <w:rPr>
          <w:noProof/>
        </w:rPr>
        <w:t xml:space="preserve"> oraz zasoby węgla organicznego.</w:t>
      </w:r>
    </w:p>
    <w:p w:rsidR="00C3592D" w:rsidRPr="00610401" w:rsidRDefault="009F5C98" w:rsidP="009F5C98">
      <w:pPr>
        <w:pStyle w:val="ManualConsidrant"/>
        <w:rPr>
          <w:noProof/>
        </w:rPr>
      </w:pPr>
      <w:r w:rsidRPr="009F5C98">
        <w:t>(59)</w:t>
      </w:r>
      <w:r w:rsidRPr="009F5C98">
        <w:tab/>
      </w:r>
      <w:r w:rsidR="00AF33FE" w:rsidRPr="00610401">
        <w:rPr>
          <w:noProof/>
        </w:rPr>
        <w:t>Cele</w:t>
      </w:r>
      <w:r w:rsidR="00610401" w:rsidRPr="00610401">
        <w:rPr>
          <w:noProof/>
        </w:rPr>
        <w:t xml:space="preserve"> i obo</w:t>
      </w:r>
      <w:r w:rsidR="00AF33FE" w:rsidRPr="00610401">
        <w:rPr>
          <w:noProof/>
        </w:rPr>
        <w:t>wiązki</w:t>
      </w:r>
      <w:r w:rsidR="00610401" w:rsidRPr="00610401">
        <w:rPr>
          <w:noProof/>
        </w:rPr>
        <w:t xml:space="preserve"> w zak</w:t>
      </w:r>
      <w:r w:rsidR="00AF33FE" w:rsidRPr="00610401">
        <w:rPr>
          <w:noProof/>
        </w:rPr>
        <w:t>resie odbudowy siedlisk</w:t>
      </w:r>
      <w:r w:rsidR="00610401" w:rsidRPr="00610401">
        <w:rPr>
          <w:noProof/>
        </w:rPr>
        <w:t xml:space="preserve"> i gat</w:t>
      </w:r>
      <w:r w:rsidR="00AF33FE" w:rsidRPr="00610401">
        <w:rPr>
          <w:noProof/>
        </w:rPr>
        <w:t>unków chronionych na mocy dyrektyw 92/43/EWG</w:t>
      </w:r>
      <w:r w:rsidR="00610401" w:rsidRPr="00610401">
        <w:rPr>
          <w:noProof/>
        </w:rPr>
        <w:t xml:space="preserve"> i 2</w:t>
      </w:r>
      <w:r w:rsidR="00AF33FE" w:rsidRPr="00610401">
        <w:rPr>
          <w:noProof/>
        </w:rPr>
        <w:t>009/147/WE, owadów zapylających oraz ekosystemów słodkowodnych, miejskich, rolniczych</w:t>
      </w:r>
      <w:r w:rsidR="00610401" w:rsidRPr="00610401">
        <w:rPr>
          <w:noProof/>
        </w:rPr>
        <w:t xml:space="preserve"> i leś</w:t>
      </w:r>
      <w:r w:rsidR="00AF33FE" w:rsidRPr="00610401">
        <w:rPr>
          <w:noProof/>
        </w:rPr>
        <w:t>nych powinny się uzupełniać</w:t>
      </w:r>
      <w:r w:rsidR="00610401" w:rsidRPr="00610401">
        <w:rPr>
          <w:noProof/>
        </w:rPr>
        <w:t xml:space="preserve"> i poz</w:t>
      </w:r>
      <w:r w:rsidR="00AF33FE" w:rsidRPr="00610401">
        <w:rPr>
          <w:noProof/>
        </w:rPr>
        <w:t>ostawać</w:t>
      </w:r>
      <w:r w:rsidR="00610401" w:rsidRPr="00610401">
        <w:rPr>
          <w:noProof/>
        </w:rPr>
        <w:t xml:space="preserve"> w syn</w:t>
      </w:r>
      <w:r w:rsidR="00AF33FE" w:rsidRPr="00610401">
        <w:rPr>
          <w:noProof/>
        </w:rPr>
        <w:t>ergii</w:t>
      </w:r>
      <w:r w:rsidR="00610401" w:rsidRPr="00610401">
        <w:rPr>
          <w:noProof/>
        </w:rPr>
        <w:t xml:space="preserve"> z myś</w:t>
      </w:r>
      <w:r w:rsidR="00AF33FE" w:rsidRPr="00610401">
        <w:rPr>
          <w:noProof/>
        </w:rPr>
        <w:t>lą</w:t>
      </w:r>
      <w:r w:rsidR="00610401" w:rsidRPr="00610401">
        <w:rPr>
          <w:noProof/>
        </w:rPr>
        <w:t xml:space="preserve"> o osi</w:t>
      </w:r>
      <w:r w:rsidR="00AF33FE" w:rsidRPr="00610401">
        <w:rPr>
          <w:noProof/>
        </w:rPr>
        <w:t>ągnięciu nadrzędnego celu, jakim jest odbudowa ekosystemów na obszarach lądowych</w:t>
      </w:r>
      <w:r w:rsidR="00610401" w:rsidRPr="00610401">
        <w:rPr>
          <w:noProof/>
        </w:rPr>
        <w:t xml:space="preserve"> i mor</w:t>
      </w:r>
      <w:r w:rsidR="00AF33FE" w:rsidRPr="00610401">
        <w:rPr>
          <w:noProof/>
        </w:rPr>
        <w:t>skich Unii. Środki odbudowy wymagane do osiągnięcia jednego konkretnego celu</w:t>
      </w:r>
      <w:r w:rsidR="00610401" w:rsidRPr="00610401">
        <w:rPr>
          <w:noProof/>
        </w:rPr>
        <w:t xml:space="preserve"> w wie</w:t>
      </w:r>
      <w:r w:rsidR="00AF33FE" w:rsidRPr="00610401">
        <w:rPr>
          <w:noProof/>
        </w:rPr>
        <w:t>lu przypadkach przyczynią się do osiągnięcia innych celów lub wywiązania się</w:t>
      </w:r>
      <w:r w:rsidR="00610401" w:rsidRPr="00610401">
        <w:rPr>
          <w:noProof/>
        </w:rPr>
        <w:t xml:space="preserve"> z inn</w:t>
      </w:r>
      <w:r w:rsidR="00AF33FE" w:rsidRPr="00610401">
        <w:rPr>
          <w:noProof/>
        </w:rPr>
        <w:t>ych zobowiązań. Państwa członkowskie powinny zatem planować środki odbudowy</w:t>
      </w:r>
      <w:r w:rsidR="00610401" w:rsidRPr="00610401">
        <w:rPr>
          <w:noProof/>
        </w:rPr>
        <w:t xml:space="preserve"> w spo</w:t>
      </w:r>
      <w:r w:rsidR="00AF33FE" w:rsidRPr="00610401">
        <w:rPr>
          <w:noProof/>
        </w:rPr>
        <w:t>sób strategiczny</w:t>
      </w:r>
      <w:r w:rsidR="00610401" w:rsidRPr="00610401">
        <w:rPr>
          <w:noProof/>
        </w:rPr>
        <w:t xml:space="preserve"> w cel</w:t>
      </w:r>
      <w:r w:rsidR="00AF33FE" w:rsidRPr="00610401">
        <w:rPr>
          <w:noProof/>
        </w:rPr>
        <w:t>u maksymalizacji ich skuteczności</w:t>
      </w:r>
      <w:r w:rsidR="00610401" w:rsidRPr="00610401">
        <w:rPr>
          <w:noProof/>
        </w:rPr>
        <w:t xml:space="preserve"> w prz</w:t>
      </w:r>
      <w:r w:rsidR="00AF33FE" w:rsidRPr="00610401">
        <w:rPr>
          <w:noProof/>
        </w:rPr>
        <w:t>yczynianiu się do odbudowy przyrody</w:t>
      </w:r>
      <w:r w:rsidR="00610401" w:rsidRPr="00610401">
        <w:rPr>
          <w:noProof/>
        </w:rPr>
        <w:t xml:space="preserve"> w cał</w:t>
      </w:r>
      <w:r w:rsidR="00AF33FE" w:rsidRPr="00610401">
        <w:rPr>
          <w:noProof/>
        </w:rPr>
        <w:t>ej Unii. Środki odbudowy należy również planować</w:t>
      </w:r>
      <w:r w:rsidR="00610401" w:rsidRPr="00610401">
        <w:rPr>
          <w:noProof/>
        </w:rPr>
        <w:t xml:space="preserve"> w tak</w:t>
      </w:r>
      <w:r w:rsidR="00AF33FE" w:rsidRPr="00610401">
        <w:rPr>
          <w:noProof/>
        </w:rPr>
        <w:t>i sposób, aby uwzględniały łagodzenie zmiany klimatu</w:t>
      </w:r>
      <w:r w:rsidR="00610401" w:rsidRPr="00610401">
        <w:rPr>
          <w:noProof/>
        </w:rPr>
        <w:t xml:space="preserve"> i prz</w:t>
      </w:r>
      <w:r w:rsidR="00AF33FE" w:rsidRPr="00610401">
        <w:rPr>
          <w:noProof/>
        </w:rPr>
        <w:t>ystosowywanie się do niej oraz zapobieganie skutkom klęsk żywiołowych</w:t>
      </w:r>
      <w:r w:rsidR="00610401" w:rsidRPr="00610401">
        <w:rPr>
          <w:noProof/>
        </w:rPr>
        <w:t xml:space="preserve"> i kon</w:t>
      </w:r>
      <w:r w:rsidR="00AF33FE" w:rsidRPr="00610401">
        <w:rPr>
          <w:noProof/>
        </w:rPr>
        <w:t>trolę tych skutków. Środki te powinny zmierzać do optymalizacji ekologicznych, gospodarczych</w:t>
      </w:r>
      <w:r w:rsidR="00610401" w:rsidRPr="00610401">
        <w:rPr>
          <w:noProof/>
        </w:rPr>
        <w:t xml:space="preserve"> i spo</w:t>
      </w:r>
      <w:r w:rsidR="00AF33FE" w:rsidRPr="00610401">
        <w:rPr>
          <w:noProof/>
        </w:rPr>
        <w:t>łecznych funkcji ekosystemów,</w:t>
      </w:r>
      <w:r w:rsidR="00610401" w:rsidRPr="00610401">
        <w:rPr>
          <w:noProof/>
        </w:rPr>
        <w:t xml:space="preserve"> w tym</w:t>
      </w:r>
      <w:r w:rsidR="00AF33FE" w:rsidRPr="00610401">
        <w:rPr>
          <w:noProof/>
        </w:rPr>
        <w:t xml:space="preserve"> ich potencjału wydajności,</w:t>
      </w:r>
      <w:r w:rsidR="00610401" w:rsidRPr="00610401">
        <w:rPr>
          <w:noProof/>
        </w:rPr>
        <w:t xml:space="preserve"> z uwz</w:t>
      </w:r>
      <w:r w:rsidR="00AF33FE" w:rsidRPr="00610401">
        <w:rPr>
          <w:noProof/>
        </w:rPr>
        <w:t>ględnieniem ich wkładu</w:t>
      </w:r>
      <w:r w:rsidR="00610401" w:rsidRPr="00610401">
        <w:rPr>
          <w:noProof/>
        </w:rPr>
        <w:t xml:space="preserve"> w zró</w:t>
      </w:r>
      <w:r w:rsidR="00AF33FE" w:rsidRPr="00610401">
        <w:rPr>
          <w:noProof/>
        </w:rPr>
        <w:t>wnoważony rozwój odpowiednich regionów</w:t>
      </w:r>
      <w:r w:rsidR="00610401" w:rsidRPr="00610401">
        <w:rPr>
          <w:noProof/>
        </w:rPr>
        <w:t xml:space="preserve"> i spo</w:t>
      </w:r>
      <w:r w:rsidR="00AF33FE" w:rsidRPr="00610401">
        <w:rPr>
          <w:noProof/>
        </w:rPr>
        <w:t>łeczności. Ważne jest, by państwa członkowskie opracowały szczegółowe krajowe plany odbudowy</w:t>
      </w:r>
      <w:r w:rsidR="00610401" w:rsidRPr="00610401">
        <w:rPr>
          <w:noProof/>
        </w:rPr>
        <w:t xml:space="preserve"> w opa</w:t>
      </w:r>
      <w:r w:rsidR="00AF33FE" w:rsidRPr="00610401">
        <w:rPr>
          <w:noProof/>
        </w:rPr>
        <w:t>rciu</w:t>
      </w:r>
      <w:r w:rsidR="00610401" w:rsidRPr="00610401">
        <w:rPr>
          <w:noProof/>
        </w:rPr>
        <w:t xml:space="preserve"> o naj</w:t>
      </w:r>
      <w:r w:rsidR="00AF33FE" w:rsidRPr="00610401">
        <w:rPr>
          <w:noProof/>
        </w:rPr>
        <w:t>lepsze dostępne dowody naukowe,</w:t>
      </w:r>
      <w:r w:rsidR="00610401" w:rsidRPr="00610401">
        <w:rPr>
          <w:noProof/>
        </w:rPr>
        <w:t xml:space="preserve"> a tak</w:t>
      </w:r>
      <w:r w:rsidR="00AF33FE" w:rsidRPr="00610401">
        <w:rPr>
          <w:noProof/>
        </w:rPr>
        <w:t>że by społeczeństwo miało wczesną</w:t>
      </w:r>
      <w:r w:rsidR="00610401" w:rsidRPr="00610401">
        <w:rPr>
          <w:noProof/>
        </w:rPr>
        <w:t xml:space="preserve"> i rea</w:t>
      </w:r>
      <w:r w:rsidR="00AF33FE" w:rsidRPr="00610401">
        <w:rPr>
          <w:noProof/>
        </w:rPr>
        <w:t>lną możliwość udziału</w:t>
      </w:r>
      <w:r w:rsidR="00610401" w:rsidRPr="00610401">
        <w:rPr>
          <w:noProof/>
        </w:rPr>
        <w:t xml:space="preserve"> w prz</w:t>
      </w:r>
      <w:r w:rsidR="00AF33FE" w:rsidRPr="00610401">
        <w:rPr>
          <w:noProof/>
        </w:rPr>
        <w:t>ygotowywaniu tych planów. Państwa członkowskie powinny uwzględnić szczególne uwarunkowania oraz potrzeby swoich terytoriów, tak aby plany odnosiły się do konkretnych presji</w:t>
      </w:r>
      <w:r w:rsidR="00610401" w:rsidRPr="00610401">
        <w:rPr>
          <w:noProof/>
        </w:rPr>
        <w:t xml:space="preserve"> i zag</w:t>
      </w:r>
      <w:r w:rsidR="00AF33FE" w:rsidRPr="00610401">
        <w:rPr>
          <w:noProof/>
        </w:rPr>
        <w:t>rożeń oraz czynników powodujących utratę różnorodności biologicznej,</w:t>
      </w:r>
      <w:r w:rsidR="00610401" w:rsidRPr="00610401">
        <w:rPr>
          <w:noProof/>
        </w:rPr>
        <w:t xml:space="preserve"> a tak</w:t>
      </w:r>
      <w:r w:rsidR="00AF33FE" w:rsidRPr="00610401">
        <w:rPr>
          <w:noProof/>
        </w:rPr>
        <w:t>że powinny ze sobą współpracować</w:t>
      </w:r>
      <w:r w:rsidR="00610401" w:rsidRPr="00610401">
        <w:rPr>
          <w:noProof/>
        </w:rPr>
        <w:t xml:space="preserve"> w cel</w:t>
      </w:r>
      <w:r w:rsidR="00AF33FE" w:rsidRPr="00610401">
        <w:rPr>
          <w:noProof/>
        </w:rPr>
        <w:t>u zapewnienia odbudowy</w:t>
      </w:r>
      <w:r w:rsidR="00610401" w:rsidRPr="00610401">
        <w:rPr>
          <w:noProof/>
        </w:rPr>
        <w:t xml:space="preserve"> i łąc</w:t>
      </w:r>
      <w:r w:rsidR="00AF33FE" w:rsidRPr="00610401">
        <w:rPr>
          <w:noProof/>
        </w:rPr>
        <w:t xml:space="preserve">zności ponad granicami. </w:t>
      </w:r>
    </w:p>
    <w:p w:rsidR="000964CB" w:rsidRPr="00610401" w:rsidRDefault="009F5C98" w:rsidP="009F5C98">
      <w:pPr>
        <w:pStyle w:val="ManualConsidrant"/>
        <w:rPr>
          <w:noProof/>
        </w:rPr>
      </w:pPr>
      <w:r w:rsidRPr="009F5C98">
        <w:t>(60)</w:t>
      </w:r>
      <w:r w:rsidRPr="009F5C98">
        <w:tab/>
      </w:r>
      <w:r w:rsidR="43B25F76" w:rsidRPr="00610401">
        <w:rPr>
          <w:noProof/>
        </w:rPr>
        <w:t>Aby zapewnić synergię między poszczególnymi środkami ochrony</w:t>
      </w:r>
      <w:r w:rsidR="00610401" w:rsidRPr="00610401">
        <w:rPr>
          <w:noProof/>
        </w:rPr>
        <w:t xml:space="preserve"> i odb</w:t>
      </w:r>
      <w:r w:rsidR="43B25F76" w:rsidRPr="00610401">
        <w:rPr>
          <w:noProof/>
        </w:rPr>
        <w:t>udowy zasobów przyrodniczych</w:t>
      </w:r>
      <w:r w:rsidR="00610401" w:rsidRPr="00610401">
        <w:rPr>
          <w:noProof/>
        </w:rPr>
        <w:t xml:space="preserve"> w Uni</w:t>
      </w:r>
      <w:r w:rsidR="43B25F76" w:rsidRPr="00610401">
        <w:rPr>
          <w:noProof/>
        </w:rPr>
        <w:t>i, które to środki zostały lub mają zostać wprowadzone, przy przygotowywaniu krajowych planów odbudowy państwa członkowskie powinny uwzględnić: środki ochronne ustanowione</w:t>
      </w:r>
      <w:r w:rsidR="00610401" w:rsidRPr="00610401">
        <w:rPr>
          <w:noProof/>
        </w:rPr>
        <w:t xml:space="preserve"> w odn</w:t>
      </w:r>
      <w:r w:rsidR="43B25F76" w:rsidRPr="00610401">
        <w:rPr>
          <w:noProof/>
        </w:rPr>
        <w:t>iesieniu do obszarów Natura 2000 oraz priorytetowe ramy działań przygotowane zgodnie</w:t>
      </w:r>
      <w:r w:rsidR="00610401" w:rsidRPr="00610401">
        <w:rPr>
          <w:noProof/>
        </w:rPr>
        <w:t xml:space="preserve"> z dyr</w:t>
      </w:r>
      <w:r w:rsidR="43B25F76" w:rsidRPr="00610401">
        <w:rPr>
          <w:noProof/>
        </w:rPr>
        <w:t>ektywami 92/43/EWG</w:t>
      </w:r>
      <w:r w:rsidR="00610401" w:rsidRPr="00610401">
        <w:rPr>
          <w:noProof/>
        </w:rPr>
        <w:t xml:space="preserve"> i 2</w:t>
      </w:r>
      <w:r w:rsidR="43B25F76" w:rsidRPr="00610401">
        <w:rPr>
          <w:noProof/>
        </w:rPr>
        <w:t>009/147/WE; środki mające na celu osiągnięcie dobrego stanu ekologicznego</w:t>
      </w:r>
      <w:r w:rsidR="00610401" w:rsidRPr="00610401">
        <w:rPr>
          <w:noProof/>
        </w:rPr>
        <w:t xml:space="preserve"> i che</w:t>
      </w:r>
      <w:r w:rsidR="43B25F76" w:rsidRPr="00610401">
        <w:rPr>
          <w:noProof/>
        </w:rPr>
        <w:t>micznego jednolitych części wód uwzględnionych</w:t>
      </w:r>
      <w:r w:rsidR="00610401" w:rsidRPr="00610401">
        <w:rPr>
          <w:noProof/>
        </w:rPr>
        <w:t xml:space="preserve"> w pla</w:t>
      </w:r>
      <w:r w:rsidR="43B25F76" w:rsidRPr="00610401">
        <w:rPr>
          <w:noProof/>
        </w:rPr>
        <w:t>nach gospodarowania wodami</w:t>
      </w:r>
      <w:r w:rsidR="00610401" w:rsidRPr="00610401">
        <w:rPr>
          <w:noProof/>
        </w:rPr>
        <w:t xml:space="preserve"> w dor</w:t>
      </w:r>
      <w:r w:rsidR="43B25F76" w:rsidRPr="00610401">
        <w:rPr>
          <w:noProof/>
        </w:rPr>
        <w:t>zeczu przygotowanych zgodnie</w:t>
      </w:r>
      <w:r w:rsidR="00610401" w:rsidRPr="00610401">
        <w:rPr>
          <w:noProof/>
        </w:rPr>
        <w:t xml:space="preserve"> z dyr</w:t>
      </w:r>
      <w:r w:rsidR="43B25F76" w:rsidRPr="00610401">
        <w:rPr>
          <w:noProof/>
        </w:rPr>
        <w:t>ektywą 2000/60/WE; strategie morskie mające na celu osiągnięcie dobrego stanu środowiska we wszystkich unijnych regionach morskich przygotowane zgodnie</w:t>
      </w:r>
      <w:r w:rsidR="00610401" w:rsidRPr="00610401">
        <w:rPr>
          <w:noProof/>
        </w:rPr>
        <w:t xml:space="preserve"> z dyr</w:t>
      </w:r>
      <w:r w:rsidR="43B25F76" w:rsidRPr="00610401">
        <w:rPr>
          <w:noProof/>
        </w:rPr>
        <w:t>ektywą 2008/56/WE; krajowe programy ograniczania zanieczyszczenia powietrza przygotowane na mocy dyrektywy (UE) 2016/2284; krajowe strategie</w:t>
      </w:r>
      <w:r w:rsidR="00610401" w:rsidRPr="00610401">
        <w:rPr>
          <w:noProof/>
        </w:rPr>
        <w:t xml:space="preserve"> i pla</w:t>
      </w:r>
      <w:r w:rsidR="43B25F76" w:rsidRPr="00610401">
        <w:rPr>
          <w:noProof/>
        </w:rPr>
        <w:t>ny działania na rzecz bioróżnorodności opracowane zgodnie</w:t>
      </w:r>
      <w:r w:rsidR="00610401" w:rsidRPr="00610401">
        <w:rPr>
          <w:noProof/>
        </w:rPr>
        <w:t xml:space="preserve"> z art</w:t>
      </w:r>
      <w:r w:rsidR="43B25F76" w:rsidRPr="00610401">
        <w:rPr>
          <w:noProof/>
        </w:rPr>
        <w:t>.</w:t>
      </w:r>
      <w:r w:rsidR="00610401" w:rsidRPr="00610401">
        <w:rPr>
          <w:noProof/>
        </w:rPr>
        <w:t> </w:t>
      </w:r>
      <w:r w:rsidR="43B25F76" w:rsidRPr="00610401">
        <w:rPr>
          <w:noProof/>
        </w:rPr>
        <w:t>6 Konwencji</w:t>
      </w:r>
      <w:r w:rsidR="00610401" w:rsidRPr="00610401">
        <w:rPr>
          <w:noProof/>
        </w:rPr>
        <w:t xml:space="preserve"> o róż</w:t>
      </w:r>
      <w:r w:rsidR="43B25F76" w:rsidRPr="00610401">
        <w:rPr>
          <w:noProof/>
        </w:rPr>
        <w:t>norodności biologicznej,</w:t>
      </w:r>
      <w:r w:rsidR="00610401" w:rsidRPr="00610401">
        <w:rPr>
          <w:noProof/>
        </w:rPr>
        <w:t xml:space="preserve"> a tak</w:t>
      </w:r>
      <w:r w:rsidR="43B25F76" w:rsidRPr="00610401">
        <w:rPr>
          <w:noProof/>
        </w:rPr>
        <w:t>że środki ochronne przyjęte zgodnie</w:t>
      </w:r>
      <w:r w:rsidR="00610401" w:rsidRPr="00610401">
        <w:rPr>
          <w:noProof/>
        </w:rPr>
        <w:t xml:space="preserve"> z roz</w:t>
      </w:r>
      <w:r w:rsidR="43B25F76" w:rsidRPr="00610401">
        <w:rPr>
          <w:noProof/>
        </w:rPr>
        <w:t>porządzeniem (UE) nr</w:t>
      </w:r>
      <w:r w:rsidR="00610401" w:rsidRPr="00610401">
        <w:rPr>
          <w:noProof/>
        </w:rPr>
        <w:t> </w:t>
      </w:r>
      <w:r w:rsidR="43B25F76" w:rsidRPr="00610401">
        <w:rPr>
          <w:noProof/>
        </w:rPr>
        <w:t>1380/2013</w:t>
      </w:r>
      <w:r w:rsidR="00610401" w:rsidRPr="00610401">
        <w:rPr>
          <w:noProof/>
        </w:rPr>
        <w:t xml:space="preserve"> i śro</w:t>
      </w:r>
      <w:r w:rsidR="43B25F76" w:rsidRPr="00610401">
        <w:rPr>
          <w:noProof/>
        </w:rPr>
        <w:t>dki techniczne przyjęte zgodnie</w:t>
      </w:r>
      <w:r w:rsidR="00610401" w:rsidRPr="00610401">
        <w:rPr>
          <w:noProof/>
        </w:rPr>
        <w:t xml:space="preserve"> z </w:t>
      </w:r>
      <w:r w:rsidR="00610401" w:rsidRPr="00610401">
        <w:rPr>
          <w:noProof/>
          <w:shd w:val="clear" w:color="auto" w:fill="FFFFFF"/>
        </w:rPr>
        <w:t>roz</w:t>
      </w:r>
      <w:r w:rsidR="43B25F76" w:rsidRPr="00610401">
        <w:rPr>
          <w:noProof/>
          <w:shd w:val="clear" w:color="auto" w:fill="FFFFFF"/>
        </w:rPr>
        <w:t>porządzeniem Parlamentu Europejskiego</w:t>
      </w:r>
      <w:r w:rsidR="00610401" w:rsidRPr="00610401">
        <w:rPr>
          <w:noProof/>
          <w:shd w:val="clear" w:color="auto" w:fill="FFFFFF"/>
        </w:rPr>
        <w:t xml:space="preserve"> i Rad</w:t>
      </w:r>
      <w:r w:rsidR="43B25F76" w:rsidRPr="00610401">
        <w:rPr>
          <w:noProof/>
          <w:shd w:val="clear" w:color="auto" w:fill="FFFFFF"/>
        </w:rPr>
        <w:t>y (UE) 2019/1241</w:t>
      </w:r>
      <w:r w:rsidR="43B25F76" w:rsidRPr="00610401">
        <w:rPr>
          <w:rStyle w:val="FootnoteReference"/>
          <w:noProof/>
          <w:szCs w:val="24"/>
        </w:rPr>
        <w:footnoteReference w:id="84"/>
      </w:r>
      <w:r w:rsidR="43B25F76" w:rsidRPr="00610401">
        <w:rPr>
          <w:noProof/>
          <w:shd w:val="clear" w:color="auto" w:fill="FFFFFF"/>
        </w:rPr>
        <w:t>.</w:t>
      </w:r>
    </w:p>
    <w:p w:rsidR="000E1E02" w:rsidRPr="00610401" w:rsidRDefault="009F5C98" w:rsidP="009F5C98">
      <w:pPr>
        <w:pStyle w:val="ManualConsidrant"/>
        <w:rPr>
          <w:noProof/>
        </w:rPr>
      </w:pPr>
      <w:r w:rsidRPr="009F5C98">
        <w:t>(61)</w:t>
      </w:r>
      <w:r w:rsidRPr="009F5C98">
        <w:tab/>
      </w:r>
      <w:r w:rsidR="0007462E" w:rsidRPr="00610401">
        <w:rPr>
          <w:noProof/>
        </w:rPr>
        <w:t>Aby zapewnić spójność między celami niniejszego rozporządzenia</w:t>
      </w:r>
      <w:r w:rsidR="00610401" w:rsidRPr="00610401">
        <w:rPr>
          <w:noProof/>
        </w:rPr>
        <w:t xml:space="preserve"> a dyr</w:t>
      </w:r>
      <w:r w:rsidR="0007462E" w:rsidRPr="00610401">
        <w:rPr>
          <w:noProof/>
        </w:rPr>
        <w:t>ektywą (UE) 2018/2001</w:t>
      </w:r>
      <w:r w:rsidR="0007462E" w:rsidRPr="00610401">
        <w:rPr>
          <w:rStyle w:val="FootnoteReference"/>
          <w:noProof/>
        </w:rPr>
        <w:footnoteReference w:id="85"/>
      </w:r>
      <w:r w:rsidR="0007462E" w:rsidRPr="00610401">
        <w:rPr>
          <w:noProof/>
        </w:rPr>
        <w:t>, rozporządzeniem (UE) 2018/1999</w:t>
      </w:r>
      <w:r w:rsidR="0007462E" w:rsidRPr="00610401">
        <w:rPr>
          <w:rStyle w:val="FootnoteReference"/>
          <w:noProof/>
        </w:rPr>
        <w:footnoteReference w:id="86"/>
      </w:r>
      <w:r w:rsidR="0007462E" w:rsidRPr="00610401">
        <w:rPr>
          <w:noProof/>
        </w:rPr>
        <w:t xml:space="preserve"> oraz dyrektywą Parlamentu Europejskiego</w:t>
      </w:r>
      <w:r w:rsidR="00610401" w:rsidRPr="00610401">
        <w:rPr>
          <w:noProof/>
        </w:rPr>
        <w:t xml:space="preserve"> i Rad</w:t>
      </w:r>
      <w:r w:rsidR="0007462E" w:rsidRPr="00610401">
        <w:rPr>
          <w:noProof/>
        </w:rPr>
        <w:t>y 98/70/WE</w:t>
      </w:r>
      <w:r w:rsidR="00610401" w:rsidRPr="00610401">
        <w:rPr>
          <w:noProof/>
        </w:rPr>
        <w:t xml:space="preserve"> w zak</w:t>
      </w:r>
      <w:r w:rsidR="0007462E" w:rsidRPr="00610401">
        <w:rPr>
          <w:noProof/>
        </w:rPr>
        <w:t>resie promowania energii ze źródeł odnawialnych</w:t>
      </w:r>
      <w:r w:rsidR="0007462E" w:rsidRPr="00610401">
        <w:rPr>
          <w:rStyle w:val="FootnoteReference"/>
          <w:noProof/>
        </w:rPr>
        <w:footnoteReference w:id="87"/>
      </w:r>
      <w:r w:rsidR="0007462E" w:rsidRPr="00610401">
        <w:rPr>
          <w:noProof/>
        </w:rPr>
        <w:t>,</w:t>
      </w:r>
      <w:r w:rsidR="00610401" w:rsidRPr="00610401">
        <w:rPr>
          <w:noProof/>
        </w:rPr>
        <w:t xml:space="preserve"> w szc</w:t>
      </w:r>
      <w:r w:rsidR="0007462E" w:rsidRPr="00610401">
        <w:rPr>
          <w:noProof/>
        </w:rPr>
        <w:t>zególności podczas przygotowywania krajowych planów odbudowy, państwa członkowskie powinny uwzględnić potencjał projektów dotyczących energii ze źródeł odnawialnych</w:t>
      </w:r>
      <w:r w:rsidR="00610401" w:rsidRPr="00610401">
        <w:rPr>
          <w:noProof/>
        </w:rPr>
        <w:t xml:space="preserve"> w zak</w:t>
      </w:r>
      <w:r w:rsidR="0007462E" w:rsidRPr="00610401">
        <w:rPr>
          <w:noProof/>
        </w:rPr>
        <w:t xml:space="preserve">resie realizacji celów dotyczących odbudowy zasobów przyrodniczych. </w:t>
      </w:r>
    </w:p>
    <w:p w:rsidR="00BF79F9" w:rsidRPr="00610401" w:rsidRDefault="009F5C98" w:rsidP="009F5C98">
      <w:pPr>
        <w:pStyle w:val="ManualConsidrant"/>
        <w:rPr>
          <w:noProof/>
          <w:shd w:val="clear" w:color="auto" w:fill="FFFFFF"/>
        </w:rPr>
      </w:pPr>
      <w:r w:rsidRPr="009F5C98">
        <w:t>(62)</w:t>
      </w:r>
      <w:r w:rsidRPr="009F5C98">
        <w:tab/>
      </w:r>
      <w:r w:rsidR="00FC4763" w:rsidRPr="00610401">
        <w:rPr>
          <w:noProof/>
          <w:shd w:val="clear" w:color="auto" w:fill="FFFFFF"/>
        </w:rPr>
        <w:t>Biorąc pod uwagę znaczenie konsekwentnego mierzenia się</w:t>
      </w:r>
      <w:r w:rsidR="00610401" w:rsidRPr="00610401">
        <w:rPr>
          <w:noProof/>
          <w:shd w:val="clear" w:color="auto" w:fill="FFFFFF"/>
        </w:rPr>
        <w:t xml:space="preserve"> z pod</w:t>
      </w:r>
      <w:r w:rsidR="00FC4763" w:rsidRPr="00610401">
        <w:rPr>
          <w:noProof/>
          <w:shd w:val="clear" w:color="auto" w:fill="FFFFFF"/>
        </w:rPr>
        <w:t>wójnym wyzwaniem, jakim jest utrata różnorodności biologicznej</w:t>
      </w:r>
      <w:r w:rsidR="00610401" w:rsidRPr="00610401">
        <w:rPr>
          <w:noProof/>
          <w:shd w:val="clear" w:color="auto" w:fill="FFFFFF"/>
        </w:rPr>
        <w:t xml:space="preserve"> i zmi</w:t>
      </w:r>
      <w:r w:rsidR="00FC4763" w:rsidRPr="00610401">
        <w:rPr>
          <w:noProof/>
          <w:shd w:val="clear" w:color="auto" w:fill="FFFFFF"/>
        </w:rPr>
        <w:t>ana klimatu,</w:t>
      </w:r>
      <w:r w:rsidR="00610401" w:rsidRPr="00610401">
        <w:rPr>
          <w:noProof/>
          <w:shd w:val="clear" w:color="auto" w:fill="FFFFFF"/>
        </w:rPr>
        <w:t xml:space="preserve"> w pro</w:t>
      </w:r>
      <w:r w:rsidR="00FC4763" w:rsidRPr="00610401">
        <w:rPr>
          <w:noProof/>
          <w:shd w:val="clear" w:color="auto" w:fill="FFFFFF"/>
        </w:rPr>
        <w:t>cesie odbudowy różnorodności biologicznej należy uwzględnić wykorzystanie energii ze źródeł odnawialnych</w:t>
      </w:r>
      <w:r w:rsidR="00610401" w:rsidRPr="00610401">
        <w:rPr>
          <w:noProof/>
          <w:shd w:val="clear" w:color="auto" w:fill="FFFFFF"/>
        </w:rPr>
        <w:t xml:space="preserve"> i odw</w:t>
      </w:r>
      <w:r w:rsidR="00FC4763" w:rsidRPr="00610401">
        <w:rPr>
          <w:noProof/>
          <w:shd w:val="clear" w:color="auto" w:fill="FFFFFF"/>
        </w:rPr>
        <w:t>rotnie</w:t>
      </w:r>
      <w:r w:rsidR="00610401" w:rsidRPr="00610401">
        <w:rPr>
          <w:noProof/>
          <w:shd w:val="clear" w:color="auto" w:fill="FFFFFF"/>
        </w:rPr>
        <w:t>. W kom</w:t>
      </w:r>
      <w:r w:rsidR="00FC4763" w:rsidRPr="00610401">
        <w:rPr>
          <w:noProof/>
          <w:shd w:val="clear" w:color="auto" w:fill="FFFFFF"/>
        </w:rPr>
        <w:t xml:space="preserve">unikacie </w:t>
      </w:r>
      <w:r w:rsidR="00FC4763" w:rsidRPr="00610401">
        <w:rPr>
          <w:noProof/>
          <w:color w:val="242424"/>
          <w:shd w:val="clear" w:color="auto" w:fill="FFFFFF"/>
        </w:rPr>
        <w:t xml:space="preserve">„REPowerEU: </w:t>
      </w:r>
      <w:r w:rsidR="00FC4763" w:rsidRPr="00610401">
        <w:rPr>
          <w:noProof/>
          <w:shd w:val="clear" w:color="auto" w:fill="FFFFFF"/>
        </w:rPr>
        <w:t>We wspólnym europejskim działaniu</w:t>
      </w:r>
      <w:r w:rsidR="00610401" w:rsidRPr="00610401">
        <w:rPr>
          <w:noProof/>
          <w:shd w:val="clear" w:color="auto" w:fill="FFFFFF"/>
        </w:rPr>
        <w:t xml:space="preserve"> w kie</w:t>
      </w:r>
      <w:r w:rsidR="00FC4763" w:rsidRPr="00610401">
        <w:rPr>
          <w:noProof/>
          <w:shd w:val="clear" w:color="auto" w:fill="FFFFFF"/>
        </w:rPr>
        <w:t>runku bezpiecznej</w:t>
      </w:r>
      <w:r w:rsidR="00610401" w:rsidRPr="00610401">
        <w:rPr>
          <w:noProof/>
          <w:shd w:val="clear" w:color="auto" w:fill="FFFFFF"/>
        </w:rPr>
        <w:t xml:space="preserve"> i zró</w:t>
      </w:r>
      <w:r w:rsidR="00FC4763" w:rsidRPr="00610401">
        <w:rPr>
          <w:noProof/>
          <w:shd w:val="clear" w:color="auto" w:fill="FFFFFF"/>
        </w:rPr>
        <w:t>wnoważonej energii po przystępnej cenie</w:t>
      </w:r>
      <w:r w:rsidR="00FC4763" w:rsidRPr="00610401">
        <w:rPr>
          <w:rStyle w:val="FootnoteReference"/>
          <w:noProof/>
          <w:szCs w:val="24"/>
        </w:rPr>
        <w:footnoteReference w:id="88"/>
      </w:r>
      <w:r w:rsidR="00FC4763" w:rsidRPr="00610401">
        <w:rPr>
          <w:noProof/>
          <w:shd w:val="clear" w:color="auto" w:fill="FFFFFF"/>
        </w:rPr>
        <w:t xml:space="preserve"> stwierdzono, że państwa członkowskie powinny szybko tworzyć mapy, przeprowadzać oceny</w:t>
      </w:r>
      <w:r w:rsidR="00610401" w:rsidRPr="00610401">
        <w:rPr>
          <w:noProof/>
          <w:shd w:val="clear" w:color="auto" w:fill="FFFFFF"/>
        </w:rPr>
        <w:t xml:space="preserve"> i zap</w:t>
      </w:r>
      <w:r w:rsidR="00FC4763" w:rsidRPr="00610401">
        <w:rPr>
          <w:noProof/>
          <w:shd w:val="clear" w:color="auto" w:fill="FFFFFF"/>
        </w:rPr>
        <w:t>ewniać dostępność odpowiednich obszarów lądowych</w:t>
      </w:r>
      <w:r w:rsidR="00610401" w:rsidRPr="00610401">
        <w:rPr>
          <w:noProof/>
          <w:shd w:val="clear" w:color="auto" w:fill="FFFFFF"/>
        </w:rPr>
        <w:t xml:space="preserve"> i mor</w:t>
      </w:r>
      <w:r w:rsidR="00FC4763" w:rsidRPr="00610401">
        <w:rPr>
          <w:noProof/>
          <w:shd w:val="clear" w:color="auto" w:fill="FFFFFF"/>
        </w:rPr>
        <w:t>skich na potrzeby projektów dotyczących energii ze źródeł odnawialnych zgodnie ze swoimi krajowymi planami</w:t>
      </w:r>
      <w:r w:rsidR="00610401" w:rsidRPr="00610401">
        <w:rPr>
          <w:noProof/>
          <w:shd w:val="clear" w:color="auto" w:fill="FFFFFF"/>
        </w:rPr>
        <w:t xml:space="preserve"> w dzi</w:t>
      </w:r>
      <w:r w:rsidR="00FC4763" w:rsidRPr="00610401">
        <w:rPr>
          <w:noProof/>
          <w:shd w:val="clear" w:color="auto" w:fill="FFFFFF"/>
        </w:rPr>
        <w:t>edzinie energii</w:t>
      </w:r>
      <w:r w:rsidR="00610401" w:rsidRPr="00610401">
        <w:rPr>
          <w:noProof/>
          <w:shd w:val="clear" w:color="auto" w:fill="FFFFFF"/>
        </w:rPr>
        <w:t xml:space="preserve"> i kli</w:t>
      </w:r>
      <w:r w:rsidR="00FC4763" w:rsidRPr="00610401">
        <w:rPr>
          <w:noProof/>
          <w:shd w:val="clear" w:color="auto" w:fill="FFFFFF"/>
        </w:rPr>
        <w:t>matu, wkładami</w:t>
      </w:r>
      <w:r w:rsidR="00610401" w:rsidRPr="00610401">
        <w:rPr>
          <w:noProof/>
          <w:shd w:val="clear" w:color="auto" w:fill="FFFFFF"/>
        </w:rPr>
        <w:t xml:space="preserve"> w rea</w:t>
      </w:r>
      <w:r w:rsidR="00FC4763" w:rsidRPr="00610401">
        <w:rPr>
          <w:noProof/>
          <w:shd w:val="clear" w:color="auto" w:fill="FFFFFF"/>
        </w:rPr>
        <w:t>lizację zmienionego celu</w:t>
      </w:r>
      <w:r w:rsidR="00610401" w:rsidRPr="00610401">
        <w:rPr>
          <w:noProof/>
          <w:shd w:val="clear" w:color="auto" w:fill="FFFFFF"/>
        </w:rPr>
        <w:t xml:space="preserve"> w zak</w:t>
      </w:r>
      <w:r w:rsidR="00FC4763" w:rsidRPr="00610401">
        <w:rPr>
          <w:noProof/>
          <w:shd w:val="clear" w:color="auto" w:fill="FFFFFF"/>
        </w:rPr>
        <w:t>resie energii odnawialnej na</w:t>
      </w:r>
      <w:r w:rsidR="00610401" w:rsidRPr="00610401">
        <w:rPr>
          <w:noProof/>
          <w:shd w:val="clear" w:color="auto" w:fill="FFFFFF"/>
        </w:rPr>
        <w:t> </w:t>
      </w:r>
      <w:r w:rsidR="00FC4763" w:rsidRPr="00610401">
        <w:rPr>
          <w:noProof/>
          <w:shd w:val="clear" w:color="auto" w:fill="FFFFFF"/>
        </w:rPr>
        <w:t>2030</w:t>
      </w:r>
      <w:r w:rsidR="00610401" w:rsidRPr="00610401">
        <w:rPr>
          <w:noProof/>
          <w:shd w:val="clear" w:color="auto" w:fill="FFFFFF"/>
        </w:rPr>
        <w:t> </w:t>
      </w:r>
      <w:r w:rsidR="00FC4763" w:rsidRPr="00610401">
        <w:rPr>
          <w:noProof/>
          <w:shd w:val="clear" w:color="auto" w:fill="FFFFFF"/>
        </w:rPr>
        <w:t>r. oraz innymi czynnikami, takimi jak dostępność zasobów, infrastruktura sieci oraz cele określone</w:t>
      </w:r>
      <w:r w:rsidR="00610401" w:rsidRPr="00610401">
        <w:rPr>
          <w:noProof/>
          <w:shd w:val="clear" w:color="auto" w:fill="FFFFFF"/>
        </w:rPr>
        <w:t xml:space="preserve"> w uni</w:t>
      </w:r>
      <w:r w:rsidR="00FC4763" w:rsidRPr="00610401">
        <w:rPr>
          <w:noProof/>
          <w:shd w:val="clear" w:color="auto" w:fill="FFFFFF"/>
        </w:rPr>
        <w:t>jnej strategii na rzecz bioróżnorodności. Wniosek Komisji dotyczący dyrektywy Parlamentu Europejskiego</w:t>
      </w:r>
      <w:r w:rsidR="00610401" w:rsidRPr="00610401">
        <w:rPr>
          <w:noProof/>
          <w:shd w:val="clear" w:color="auto" w:fill="FFFFFF"/>
        </w:rPr>
        <w:t xml:space="preserve"> i Rad</w:t>
      </w:r>
      <w:r w:rsidR="00FC4763" w:rsidRPr="00610401">
        <w:rPr>
          <w:noProof/>
          <w:shd w:val="clear" w:color="auto" w:fill="FFFFFF"/>
        </w:rPr>
        <w:t>y zmieniającej dyrektywę (UE) 2018/2001</w:t>
      </w:r>
      <w:r w:rsidR="00610401" w:rsidRPr="00610401">
        <w:rPr>
          <w:noProof/>
          <w:shd w:val="clear" w:color="auto" w:fill="FFFFFF"/>
        </w:rPr>
        <w:t xml:space="preserve"> w spr</w:t>
      </w:r>
      <w:r w:rsidR="00FC4763" w:rsidRPr="00610401">
        <w:rPr>
          <w:noProof/>
          <w:shd w:val="clear" w:color="auto" w:fill="FFFFFF"/>
        </w:rPr>
        <w:t>awie promowania stosowania energii ze źródeł odnawialnych, dyrektywę 2010/31/UE</w:t>
      </w:r>
      <w:r w:rsidR="00610401" w:rsidRPr="00610401">
        <w:rPr>
          <w:noProof/>
          <w:shd w:val="clear" w:color="auto" w:fill="FFFFFF"/>
        </w:rPr>
        <w:t xml:space="preserve"> w spr</w:t>
      </w:r>
      <w:r w:rsidR="00FC4763" w:rsidRPr="00610401">
        <w:rPr>
          <w:noProof/>
          <w:shd w:val="clear" w:color="auto" w:fill="FFFFFF"/>
        </w:rPr>
        <w:t>awie charakterystyki energetycznej budynków</w:t>
      </w:r>
      <w:r w:rsidR="00610401" w:rsidRPr="00610401">
        <w:rPr>
          <w:noProof/>
          <w:shd w:val="clear" w:color="auto" w:fill="FFFFFF"/>
        </w:rPr>
        <w:t xml:space="preserve"> i dyr</w:t>
      </w:r>
      <w:r w:rsidR="00FC4763" w:rsidRPr="00610401">
        <w:rPr>
          <w:noProof/>
          <w:shd w:val="clear" w:color="auto" w:fill="FFFFFF"/>
        </w:rPr>
        <w:t>ektywę 2012/27/UE</w:t>
      </w:r>
      <w:r w:rsidR="00610401" w:rsidRPr="00610401">
        <w:rPr>
          <w:noProof/>
          <w:shd w:val="clear" w:color="auto" w:fill="FFFFFF"/>
        </w:rPr>
        <w:t xml:space="preserve"> w spr</w:t>
      </w:r>
      <w:r w:rsidR="00FC4763" w:rsidRPr="00610401">
        <w:rPr>
          <w:noProof/>
          <w:shd w:val="clear" w:color="auto" w:fill="FFFFFF"/>
        </w:rPr>
        <w:t>awie efektywności energetycznej</w:t>
      </w:r>
      <w:r w:rsidR="00FC4763" w:rsidRPr="00610401">
        <w:rPr>
          <w:rStyle w:val="FootnoteReference"/>
          <w:noProof/>
        </w:rPr>
        <w:footnoteReference w:id="89"/>
      </w:r>
      <w:r w:rsidR="00FC4763" w:rsidRPr="00610401">
        <w:rPr>
          <w:noProof/>
          <w:shd w:val="clear" w:color="auto" w:fill="FFFFFF"/>
        </w:rPr>
        <w:t xml:space="preserve"> oraz zalecenie Komisji</w:t>
      </w:r>
      <w:r w:rsidR="00610401" w:rsidRPr="00610401">
        <w:rPr>
          <w:noProof/>
          <w:shd w:val="clear" w:color="auto" w:fill="FFFFFF"/>
        </w:rPr>
        <w:t xml:space="preserve"> w spr</w:t>
      </w:r>
      <w:r w:rsidR="00FC4763" w:rsidRPr="00610401">
        <w:rPr>
          <w:noProof/>
          <w:shd w:val="clear" w:color="auto" w:fill="FFFFFF"/>
        </w:rPr>
        <w:t>awie przyspieszenia procedur wydawania zezwoleń na projekty dotyczące energii odnawialnej oraz ułatwienia zawierania umów zakupu energii elektrycznej</w:t>
      </w:r>
      <w:r w:rsidR="00FC4763" w:rsidRPr="00610401">
        <w:rPr>
          <w:rStyle w:val="FootnoteReference"/>
          <w:noProof/>
        </w:rPr>
        <w:footnoteReference w:id="90"/>
      </w:r>
      <w:r w:rsidR="00FC4763" w:rsidRPr="00610401">
        <w:rPr>
          <w:noProof/>
          <w:shd w:val="clear" w:color="auto" w:fill="FFFFFF"/>
        </w:rPr>
        <w:t>, które zostały przyjęte 18 maja 2022</w:t>
      </w:r>
      <w:r w:rsidR="00610401" w:rsidRPr="00610401">
        <w:rPr>
          <w:noProof/>
          <w:shd w:val="clear" w:color="auto" w:fill="FFFFFF"/>
        </w:rPr>
        <w:t> </w:t>
      </w:r>
      <w:r w:rsidR="00FC4763" w:rsidRPr="00610401">
        <w:rPr>
          <w:noProof/>
          <w:shd w:val="clear" w:color="auto" w:fill="FFFFFF"/>
        </w:rPr>
        <w:t xml:space="preserve">r., również przewidują identyfikację obszarów docelowych energii odnawialnej. Są to określone miejsca na lądzie lub na morzu, szczególnie odpowiednie do instalacji obiektów służących do produkcji energii ze źródeł odnawialnych innych niż obiekty energetycznego spalania biomasy, gdzie oczekuje się, że zastosowanie określonego rodzaju energii ze źródeł odnawialnych nie będzie miało znaczącego wpływu na środowisko, biorąc pod uwagę specyfikę wybranego terytorium. Państwa członkowskie powinny priorytetowo traktować </w:t>
      </w:r>
      <w:r w:rsidR="00FC4763" w:rsidRPr="00610401">
        <w:rPr>
          <w:noProof/>
        </w:rPr>
        <w:t>powierzchnie sztuczne</w:t>
      </w:r>
      <w:r w:rsidR="00610401" w:rsidRPr="00610401">
        <w:rPr>
          <w:noProof/>
        </w:rPr>
        <w:t xml:space="preserve"> i zab</w:t>
      </w:r>
      <w:r w:rsidR="00FC4763" w:rsidRPr="00610401">
        <w:rPr>
          <w:noProof/>
        </w:rPr>
        <w:t>udowane, takie jak dachy, obszary infrastruktury transportowej, parkingi, składowiska odpadów, tereny przemysłowe, kopalnie, sztuczne zbiorniki wód śródlądowych, sztuczne jeziora lub sztuczne rezerwuary oraz,</w:t>
      </w:r>
      <w:r w:rsidR="00610401" w:rsidRPr="00610401">
        <w:rPr>
          <w:noProof/>
        </w:rPr>
        <w:t xml:space="preserve"> w sto</w:t>
      </w:r>
      <w:r w:rsidR="00FC4763" w:rsidRPr="00610401">
        <w:rPr>
          <w:noProof/>
        </w:rPr>
        <w:t>sownych przypadkach, oczyszczalnie ścieków komunalnych,</w:t>
      </w:r>
      <w:r w:rsidR="00610401" w:rsidRPr="00610401">
        <w:rPr>
          <w:noProof/>
        </w:rPr>
        <w:t xml:space="preserve"> a tak</w:t>
      </w:r>
      <w:r w:rsidR="00FC4763" w:rsidRPr="00610401">
        <w:rPr>
          <w:noProof/>
        </w:rPr>
        <w:t>że tereny zdegradowane nienadające się do wykorzystania</w:t>
      </w:r>
      <w:r w:rsidR="00610401" w:rsidRPr="00610401">
        <w:rPr>
          <w:noProof/>
        </w:rPr>
        <w:t xml:space="preserve"> w rol</w:t>
      </w:r>
      <w:r w:rsidR="00FC4763" w:rsidRPr="00610401">
        <w:rPr>
          <w:noProof/>
        </w:rPr>
        <w:t xml:space="preserve">nictwie. </w:t>
      </w:r>
      <w:r w:rsidR="00FC4763" w:rsidRPr="00610401">
        <w:rPr>
          <w:noProof/>
          <w:shd w:val="clear" w:color="auto" w:fill="FFFFFF"/>
        </w:rPr>
        <w:t>Wyznaczając obszary docelowe energii odnawialnej, państwa członkowskie powinny</w:t>
      </w:r>
      <w:r w:rsidR="00610401" w:rsidRPr="00610401">
        <w:rPr>
          <w:noProof/>
          <w:shd w:val="clear" w:color="auto" w:fill="FFFFFF"/>
        </w:rPr>
        <w:t xml:space="preserve"> w mia</w:t>
      </w:r>
      <w:r w:rsidR="00FC4763" w:rsidRPr="00610401">
        <w:rPr>
          <w:noProof/>
          <w:shd w:val="clear" w:color="auto" w:fill="FFFFFF"/>
        </w:rPr>
        <w:t>rę możliwości unikać obszarów chronionych</w:t>
      </w:r>
      <w:r w:rsidR="00610401" w:rsidRPr="00610401">
        <w:rPr>
          <w:noProof/>
          <w:shd w:val="clear" w:color="auto" w:fill="FFFFFF"/>
        </w:rPr>
        <w:t xml:space="preserve"> i uwz</w:t>
      </w:r>
      <w:r w:rsidR="00FC4763" w:rsidRPr="00610401">
        <w:rPr>
          <w:noProof/>
          <w:shd w:val="clear" w:color="auto" w:fill="FFFFFF"/>
        </w:rPr>
        <w:t>ględnić plany odbudowy zasobów przyrodniczych. Państwa członkowskie powinny koordynować opracowywanie krajowych planów odbudowy</w:t>
      </w:r>
      <w:r w:rsidR="00610401" w:rsidRPr="00610401">
        <w:rPr>
          <w:noProof/>
          <w:shd w:val="clear" w:color="auto" w:fill="FFFFFF"/>
        </w:rPr>
        <w:t xml:space="preserve"> z wyz</w:t>
      </w:r>
      <w:r w:rsidR="00FC4763" w:rsidRPr="00610401">
        <w:rPr>
          <w:noProof/>
          <w:shd w:val="clear" w:color="auto" w:fill="FFFFFF"/>
        </w:rPr>
        <w:t>naczeniem obszarów docelowych energii odnawialnej. Podczas przygotowywania planów odbudowy zasobów przyrodniczych państwa członkowskie zapewniają synergię</w:t>
      </w:r>
      <w:r w:rsidR="00610401" w:rsidRPr="00610401">
        <w:rPr>
          <w:noProof/>
          <w:shd w:val="clear" w:color="auto" w:fill="FFFFFF"/>
        </w:rPr>
        <w:t xml:space="preserve"> z już</w:t>
      </w:r>
      <w:r w:rsidR="00FC4763" w:rsidRPr="00610401">
        <w:rPr>
          <w:noProof/>
          <w:shd w:val="clear" w:color="auto" w:fill="FFFFFF"/>
        </w:rPr>
        <w:t xml:space="preserve"> wyznaczonymi obszarami docelowymi energii odnawialnej oraz dopilnowują, by funkcjonowanie obszarów docelowych energii odnawialnej,</w:t>
      </w:r>
      <w:r w:rsidR="00610401" w:rsidRPr="00610401">
        <w:rPr>
          <w:noProof/>
          <w:shd w:val="clear" w:color="auto" w:fill="FFFFFF"/>
        </w:rPr>
        <w:t xml:space="preserve"> w tym</w:t>
      </w:r>
      <w:r w:rsidR="00FC4763" w:rsidRPr="00610401">
        <w:rPr>
          <w:noProof/>
          <w:shd w:val="clear" w:color="auto" w:fill="FFFFFF"/>
        </w:rPr>
        <w:t xml:space="preserve"> przewidzianych</w:t>
      </w:r>
      <w:r w:rsidR="00610401" w:rsidRPr="00610401">
        <w:rPr>
          <w:noProof/>
          <w:shd w:val="clear" w:color="auto" w:fill="FFFFFF"/>
        </w:rPr>
        <w:t xml:space="preserve"> w dyr</w:t>
      </w:r>
      <w:r w:rsidR="00FC4763" w:rsidRPr="00610401">
        <w:rPr>
          <w:noProof/>
          <w:shd w:val="clear" w:color="auto" w:fill="FFFFFF"/>
        </w:rPr>
        <w:t xml:space="preserve">ektywie (UE) 2018/2001 procedur wydawania zezwoleń mających zastosowanie do obszarów docelowych energii odnawialnej, pozostało niezmienione. </w:t>
      </w:r>
    </w:p>
    <w:p w:rsidR="0047261A" w:rsidRPr="00610401" w:rsidRDefault="009F5C98" w:rsidP="009F5C98">
      <w:pPr>
        <w:pStyle w:val="ManualConsidrant"/>
        <w:rPr>
          <w:noProof/>
        </w:rPr>
      </w:pPr>
      <w:r w:rsidRPr="009F5C98">
        <w:t>(63)</w:t>
      </w:r>
      <w:r w:rsidRPr="009F5C98">
        <w:tab/>
      </w:r>
      <w:r w:rsidR="00C514BE" w:rsidRPr="00610401">
        <w:rPr>
          <w:noProof/>
        </w:rPr>
        <w:t>Aby zapewnić synergię ze środkami odbudowy, które zostały już zaplanowane lub wprowadzone</w:t>
      </w:r>
      <w:r w:rsidR="00610401" w:rsidRPr="00610401">
        <w:rPr>
          <w:noProof/>
        </w:rPr>
        <w:t xml:space="preserve"> w pań</w:t>
      </w:r>
      <w:r w:rsidR="00C514BE" w:rsidRPr="00610401">
        <w:rPr>
          <w:noProof/>
        </w:rPr>
        <w:t>stwach członkowskich,</w:t>
      </w:r>
      <w:r w:rsidR="00610401" w:rsidRPr="00610401">
        <w:rPr>
          <w:noProof/>
        </w:rPr>
        <w:t xml:space="preserve"> w kra</w:t>
      </w:r>
      <w:r w:rsidR="00C514BE" w:rsidRPr="00610401">
        <w:rPr>
          <w:noProof/>
        </w:rPr>
        <w:t>jowych planach odbudowy należy uznać</w:t>
      </w:r>
      <w:r w:rsidR="00610401" w:rsidRPr="00610401">
        <w:rPr>
          <w:noProof/>
        </w:rPr>
        <w:t xml:space="preserve"> i uwz</w:t>
      </w:r>
      <w:r w:rsidR="00C514BE" w:rsidRPr="00610401">
        <w:rPr>
          <w:noProof/>
        </w:rPr>
        <w:t>ględnić te środki odbudowy</w:t>
      </w:r>
      <w:r w:rsidR="00610401" w:rsidRPr="00610401">
        <w:rPr>
          <w:noProof/>
        </w:rPr>
        <w:t>. W świ</w:t>
      </w:r>
      <w:r w:rsidR="00C514BE" w:rsidRPr="00610401">
        <w:rPr>
          <w:noProof/>
        </w:rPr>
        <w:t>etle pilnej potrzeby podjęcia działań na rzecz odbudowy zdegradowanych ekosystemów, zasygnalizowanej</w:t>
      </w:r>
      <w:r w:rsidR="00610401" w:rsidRPr="00610401">
        <w:rPr>
          <w:noProof/>
        </w:rPr>
        <w:t xml:space="preserve"> w spr</w:t>
      </w:r>
      <w:r w:rsidR="00C514BE" w:rsidRPr="00610401">
        <w:rPr>
          <w:noProof/>
        </w:rPr>
        <w:t>awozdaniu IPCC</w:t>
      </w:r>
      <w:r w:rsidR="00610401" w:rsidRPr="00610401">
        <w:rPr>
          <w:noProof/>
        </w:rPr>
        <w:t xml:space="preserve"> z 2</w:t>
      </w:r>
      <w:r w:rsidR="00C514BE" w:rsidRPr="00610401">
        <w:rPr>
          <w:noProof/>
        </w:rPr>
        <w:t>022</w:t>
      </w:r>
      <w:r w:rsidR="00610401" w:rsidRPr="00610401">
        <w:rPr>
          <w:noProof/>
        </w:rPr>
        <w:t> </w:t>
      </w:r>
      <w:r w:rsidR="00C514BE" w:rsidRPr="00610401">
        <w:rPr>
          <w:noProof/>
        </w:rPr>
        <w:t>r., państwa członkowskie powinny wdrażać te środki równolegle</w:t>
      </w:r>
      <w:r w:rsidR="00610401" w:rsidRPr="00610401">
        <w:rPr>
          <w:noProof/>
        </w:rPr>
        <w:t xml:space="preserve"> z prz</w:t>
      </w:r>
      <w:r w:rsidR="00C514BE" w:rsidRPr="00610401">
        <w:rPr>
          <w:noProof/>
        </w:rPr>
        <w:t xml:space="preserve">ygotowywaniem planów odbudowy. </w:t>
      </w:r>
    </w:p>
    <w:p w:rsidR="00C3592D" w:rsidRPr="00610401" w:rsidRDefault="009F5C98" w:rsidP="009F5C98">
      <w:pPr>
        <w:pStyle w:val="ManualConsidrant"/>
        <w:rPr>
          <w:noProof/>
        </w:rPr>
      </w:pPr>
      <w:r w:rsidRPr="009F5C98">
        <w:t>(64)</w:t>
      </w:r>
      <w:r w:rsidRPr="009F5C98">
        <w:tab/>
      </w:r>
      <w:r w:rsidR="00CD774F" w:rsidRPr="00610401">
        <w:rPr>
          <w:noProof/>
        </w:rPr>
        <w:t>W krajowych planach odbudowy należy także uwzględnić wyniki projektów badawczych istotnych</w:t>
      </w:r>
      <w:r w:rsidR="00610401" w:rsidRPr="00610401">
        <w:rPr>
          <w:noProof/>
        </w:rPr>
        <w:t xml:space="preserve"> z pun</w:t>
      </w:r>
      <w:r w:rsidR="00CD774F" w:rsidRPr="00610401">
        <w:rPr>
          <w:noProof/>
        </w:rPr>
        <w:t>ktu widzenia oceny stanu ekosystemów, identyfikowania oraz wdrażania środków odbudowy,</w:t>
      </w:r>
      <w:r w:rsidR="00610401" w:rsidRPr="00610401">
        <w:rPr>
          <w:noProof/>
        </w:rPr>
        <w:t xml:space="preserve"> a tak</w:t>
      </w:r>
      <w:r w:rsidR="00CD774F" w:rsidRPr="00610401">
        <w:rPr>
          <w:noProof/>
        </w:rPr>
        <w:t xml:space="preserve">że celów monitorowania. </w:t>
      </w:r>
    </w:p>
    <w:p w:rsidR="00E454D5" w:rsidRPr="00610401" w:rsidRDefault="009F5C98" w:rsidP="009F5C98">
      <w:pPr>
        <w:pStyle w:val="ManualConsidrant"/>
        <w:rPr>
          <w:noProof/>
        </w:rPr>
      </w:pPr>
      <w:r w:rsidRPr="009F5C98">
        <w:t>(65)</w:t>
      </w:r>
      <w:r w:rsidRPr="009F5C98">
        <w:tab/>
      </w:r>
      <w:r w:rsidR="00EA3233" w:rsidRPr="00610401">
        <w:rPr>
          <w:noProof/>
        </w:rPr>
        <w:t>Należy wziąć pod uwagę szczególną sytuację regionów najbardziej oddalonych</w:t>
      </w:r>
      <w:r w:rsidR="00610401" w:rsidRPr="00610401">
        <w:rPr>
          <w:noProof/>
        </w:rPr>
        <w:t xml:space="preserve"> w Uni</w:t>
      </w:r>
      <w:r w:rsidR="00EA3233" w:rsidRPr="00610401">
        <w:rPr>
          <w:noProof/>
        </w:rPr>
        <w:t>i, wymienionych</w:t>
      </w:r>
      <w:r w:rsidR="00610401" w:rsidRPr="00610401">
        <w:rPr>
          <w:noProof/>
        </w:rPr>
        <w:t xml:space="preserve"> w art</w:t>
      </w:r>
      <w:r w:rsidR="00EA3233" w:rsidRPr="00610401">
        <w:rPr>
          <w:noProof/>
        </w:rPr>
        <w:t>.</w:t>
      </w:r>
      <w:r w:rsidR="00610401" w:rsidRPr="00610401">
        <w:rPr>
          <w:noProof/>
        </w:rPr>
        <w:t> </w:t>
      </w:r>
      <w:r w:rsidR="00EA3233" w:rsidRPr="00610401">
        <w:rPr>
          <w:noProof/>
        </w:rPr>
        <w:t>349 Traktatu</w:t>
      </w:r>
      <w:r w:rsidR="00610401" w:rsidRPr="00610401">
        <w:rPr>
          <w:noProof/>
        </w:rPr>
        <w:t xml:space="preserve"> o fun</w:t>
      </w:r>
      <w:r w:rsidR="00EA3233" w:rsidRPr="00610401">
        <w:rPr>
          <w:noProof/>
        </w:rPr>
        <w:t>kcjonowaniu Unii Europejskiej (TFUE),</w:t>
      </w:r>
      <w:r w:rsidR="00610401" w:rsidRPr="00610401">
        <w:rPr>
          <w:noProof/>
        </w:rPr>
        <w:t xml:space="preserve"> w któ</w:t>
      </w:r>
      <w:r w:rsidR="00EA3233" w:rsidRPr="00610401">
        <w:rPr>
          <w:noProof/>
        </w:rPr>
        <w:t>rym przewidziano szczególne środki mające na celu wsparcie tych regionów. Zgodnie</w:t>
      </w:r>
      <w:r w:rsidR="00610401" w:rsidRPr="00610401">
        <w:rPr>
          <w:noProof/>
        </w:rPr>
        <w:t xml:space="preserve"> z zał</w:t>
      </w:r>
      <w:r w:rsidR="00EA3233" w:rsidRPr="00610401">
        <w:rPr>
          <w:noProof/>
        </w:rPr>
        <w:t>ożeniami unijnej strategii na rzecz bioróżnorodności 2030, szczególny nacisk należy położyć na ochronę</w:t>
      </w:r>
      <w:r w:rsidR="00610401" w:rsidRPr="00610401">
        <w:rPr>
          <w:noProof/>
        </w:rPr>
        <w:t xml:space="preserve"> i odb</w:t>
      </w:r>
      <w:r w:rsidR="00EA3233" w:rsidRPr="00610401">
        <w:rPr>
          <w:noProof/>
        </w:rPr>
        <w:t xml:space="preserve">udowę ekosystemów regionów najbardziej oddalonych ze względu na ich wyjątkową wartość pod względem bogactwa różnorodności biologicznej. </w:t>
      </w:r>
    </w:p>
    <w:p w:rsidR="00382781" w:rsidRPr="00610401" w:rsidRDefault="009F5C98" w:rsidP="009F5C98">
      <w:pPr>
        <w:pStyle w:val="ManualConsidrant"/>
        <w:rPr>
          <w:noProof/>
        </w:rPr>
      </w:pPr>
      <w:r w:rsidRPr="009F5C98">
        <w:t>(66)</w:t>
      </w:r>
      <w:r w:rsidRPr="009F5C98">
        <w:tab/>
      </w:r>
      <w:r w:rsidR="39A78995" w:rsidRPr="00610401">
        <w:rPr>
          <w:noProof/>
        </w:rPr>
        <w:t>Europejska Agencja Środowiska (EEA) powinna wspierać państwa członkowskie</w:t>
      </w:r>
      <w:r w:rsidR="00610401" w:rsidRPr="00610401">
        <w:rPr>
          <w:noProof/>
        </w:rPr>
        <w:t xml:space="preserve"> w prz</w:t>
      </w:r>
      <w:r w:rsidR="39A78995" w:rsidRPr="00610401">
        <w:rPr>
          <w:noProof/>
        </w:rPr>
        <w:t>ygotowywaniu krajowych planów odbudowy,</w:t>
      </w:r>
      <w:r w:rsidR="00610401" w:rsidRPr="00610401">
        <w:rPr>
          <w:noProof/>
        </w:rPr>
        <w:t xml:space="preserve"> a tak</w:t>
      </w:r>
      <w:r w:rsidR="39A78995" w:rsidRPr="00610401">
        <w:rPr>
          <w:noProof/>
        </w:rPr>
        <w:t>że</w:t>
      </w:r>
      <w:r w:rsidR="00610401" w:rsidRPr="00610401">
        <w:rPr>
          <w:noProof/>
        </w:rPr>
        <w:t xml:space="preserve"> w mon</w:t>
      </w:r>
      <w:r w:rsidR="39A78995" w:rsidRPr="00610401">
        <w:rPr>
          <w:noProof/>
        </w:rPr>
        <w:t>itorowaniu postępów</w:t>
      </w:r>
      <w:r w:rsidR="00610401" w:rsidRPr="00610401">
        <w:rPr>
          <w:noProof/>
        </w:rPr>
        <w:t xml:space="preserve"> w rea</w:t>
      </w:r>
      <w:r w:rsidR="39A78995" w:rsidRPr="00610401">
        <w:rPr>
          <w:noProof/>
        </w:rPr>
        <w:t>lizacji celów</w:t>
      </w:r>
      <w:r w:rsidR="00610401" w:rsidRPr="00610401">
        <w:rPr>
          <w:noProof/>
        </w:rPr>
        <w:t xml:space="preserve"> i obo</w:t>
      </w:r>
      <w:r w:rsidR="39A78995" w:rsidRPr="00610401">
        <w:rPr>
          <w:noProof/>
        </w:rPr>
        <w:t>wiązków</w:t>
      </w:r>
      <w:r w:rsidR="00610401" w:rsidRPr="00610401">
        <w:rPr>
          <w:noProof/>
        </w:rPr>
        <w:t xml:space="preserve"> w zak</w:t>
      </w:r>
      <w:r w:rsidR="39A78995" w:rsidRPr="00610401">
        <w:rPr>
          <w:noProof/>
        </w:rPr>
        <w:t>resie odbudowy. Komisja powinna ocenić, czy krajowe plany odbudowy pozwalają na realizację tych celów</w:t>
      </w:r>
      <w:r w:rsidR="00610401" w:rsidRPr="00610401">
        <w:rPr>
          <w:noProof/>
        </w:rPr>
        <w:t xml:space="preserve"> i obo</w:t>
      </w:r>
      <w:r w:rsidR="39A78995" w:rsidRPr="00610401">
        <w:rPr>
          <w:noProof/>
        </w:rPr>
        <w:t xml:space="preserve">wiązków. </w:t>
      </w:r>
    </w:p>
    <w:p w:rsidR="002B07E3" w:rsidRPr="00610401" w:rsidRDefault="009F5C98" w:rsidP="009F5C98">
      <w:pPr>
        <w:pStyle w:val="ManualConsidrant"/>
        <w:rPr>
          <w:noProof/>
        </w:rPr>
      </w:pPr>
      <w:r w:rsidRPr="009F5C98">
        <w:t>(67)</w:t>
      </w:r>
      <w:r w:rsidRPr="009F5C98">
        <w:tab/>
      </w:r>
      <w:r w:rsidR="006B6E7E" w:rsidRPr="00610401">
        <w:rPr>
          <w:noProof/>
        </w:rPr>
        <w:t>Ze sprawozdania Komisji na temat stanu przyrody</w:t>
      </w:r>
      <w:r w:rsidR="00610401" w:rsidRPr="00610401">
        <w:rPr>
          <w:noProof/>
        </w:rPr>
        <w:t xml:space="preserve"> z 2</w:t>
      </w:r>
      <w:r w:rsidR="006B6E7E" w:rsidRPr="00610401">
        <w:rPr>
          <w:noProof/>
        </w:rPr>
        <w:t>020</w:t>
      </w:r>
      <w:r w:rsidR="00610401" w:rsidRPr="00610401">
        <w:rPr>
          <w:noProof/>
        </w:rPr>
        <w:t> </w:t>
      </w:r>
      <w:r w:rsidR="006B6E7E" w:rsidRPr="00610401">
        <w:rPr>
          <w:noProof/>
        </w:rPr>
        <w:t>r. wynika, że znaczna część informacji przekazywanych przez państwa członkowskie zgodnie</w:t>
      </w:r>
      <w:r w:rsidR="00610401" w:rsidRPr="00610401">
        <w:rPr>
          <w:noProof/>
        </w:rPr>
        <w:t xml:space="preserve"> z art</w:t>
      </w:r>
      <w:r w:rsidR="006B6E7E" w:rsidRPr="00610401">
        <w:rPr>
          <w:noProof/>
        </w:rPr>
        <w:t>.</w:t>
      </w:r>
      <w:r w:rsidR="00610401" w:rsidRPr="00610401">
        <w:rPr>
          <w:noProof/>
        </w:rPr>
        <w:t> </w:t>
      </w:r>
      <w:r w:rsidR="006B6E7E" w:rsidRPr="00610401">
        <w:rPr>
          <w:noProof/>
        </w:rPr>
        <w:t>17 dyrektywy Rady 92/43/EWG</w:t>
      </w:r>
      <w:r w:rsidR="006B6E7E" w:rsidRPr="00610401">
        <w:rPr>
          <w:rStyle w:val="FootnoteReference"/>
          <w:noProof/>
          <w:szCs w:val="24"/>
        </w:rPr>
        <w:footnoteReference w:id="91"/>
      </w:r>
      <w:r w:rsidR="00610401" w:rsidRPr="00610401">
        <w:rPr>
          <w:noProof/>
        </w:rPr>
        <w:t xml:space="preserve"> i art</w:t>
      </w:r>
      <w:r w:rsidR="006B6E7E" w:rsidRPr="00610401">
        <w:rPr>
          <w:noProof/>
        </w:rPr>
        <w:t>.</w:t>
      </w:r>
      <w:r w:rsidR="00610401" w:rsidRPr="00610401">
        <w:rPr>
          <w:noProof/>
        </w:rPr>
        <w:t> </w:t>
      </w:r>
      <w:r w:rsidR="006B6E7E" w:rsidRPr="00610401">
        <w:rPr>
          <w:noProof/>
        </w:rPr>
        <w:t>12 dyrektywy 2009/147/WE,</w:t>
      </w:r>
      <w:r w:rsidR="00610401" w:rsidRPr="00610401">
        <w:rPr>
          <w:noProof/>
        </w:rPr>
        <w:t xml:space="preserve"> w szc</w:t>
      </w:r>
      <w:r w:rsidR="006B6E7E" w:rsidRPr="00610401">
        <w:rPr>
          <w:noProof/>
        </w:rPr>
        <w:t>zególności na temat stanu ochrony siedlisk</w:t>
      </w:r>
      <w:r w:rsidR="00610401" w:rsidRPr="00610401">
        <w:rPr>
          <w:noProof/>
        </w:rPr>
        <w:t xml:space="preserve"> i gat</w:t>
      </w:r>
      <w:r w:rsidR="006B6E7E" w:rsidRPr="00610401">
        <w:rPr>
          <w:noProof/>
        </w:rPr>
        <w:t>unków, które akty te obejmują ochroną, oraz tendencji</w:t>
      </w:r>
      <w:r w:rsidR="00610401" w:rsidRPr="00610401">
        <w:rPr>
          <w:noProof/>
        </w:rPr>
        <w:t xml:space="preserve"> w tym</w:t>
      </w:r>
      <w:r w:rsidR="006B6E7E" w:rsidRPr="00610401">
        <w:rPr>
          <w:noProof/>
        </w:rPr>
        <w:t xml:space="preserve"> zakresie, pochodzi</w:t>
      </w:r>
      <w:r w:rsidR="00610401" w:rsidRPr="00610401">
        <w:rPr>
          <w:noProof/>
        </w:rPr>
        <w:t xml:space="preserve"> z czę</w:t>
      </w:r>
      <w:r w:rsidR="006B6E7E" w:rsidRPr="00610401">
        <w:rPr>
          <w:noProof/>
        </w:rPr>
        <w:t>ściowych badań lub opiera się jedynie na ocenie eksperta. Ze sprawozdania wynika również, że stan niektórych typów siedlisk</w:t>
      </w:r>
      <w:r w:rsidR="00610401" w:rsidRPr="00610401">
        <w:rPr>
          <w:noProof/>
        </w:rPr>
        <w:t xml:space="preserve"> i gat</w:t>
      </w:r>
      <w:r w:rsidR="006B6E7E" w:rsidRPr="00610401">
        <w:rPr>
          <w:noProof/>
        </w:rPr>
        <w:t>unków objętych ochroną na mocy dyrektywy 92/43/EWG jest wciąż nieznany. Uzupełnienie tych luk informacyjnych oraz inwestycje</w:t>
      </w:r>
      <w:r w:rsidR="00610401" w:rsidRPr="00610401">
        <w:rPr>
          <w:noProof/>
        </w:rPr>
        <w:t xml:space="preserve"> w mon</w:t>
      </w:r>
      <w:r w:rsidR="006B6E7E" w:rsidRPr="00610401">
        <w:rPr>
          <w:noProof/>
        </w:rPr>
        <w:t>itorowanie</w:t>
      </w:r>
      <w:r w:rsidR="00610401" w:rsidRPr="00610401">
        <w:rPr>
          <w:noProof/>
        </w:rPr>
        <w:t xml:space="preserve"> i nad</w:t>
      </w:r>
      <w:r w:rsidR="006B6E7E" w:rsidRPr="00610401">
        <w:rPr>
          <w:noProof/>
        </w:rPr>
        <w:t>zór są niezbędne do stworzenia solidnych, opartych na podstawach naukowych krajowych planów odbudowy. Aby zapewnić aktualność, większą skuteczność</w:t>
      </w:r>
      <w:r w:rsidR="00610401" w:rsidRPr="00610401">
        <w:rPr>
          <w:noProof/>
        </w:rPr>
        <w:t xml:space="preserve"> i spó</w:t>
      </w:r>
      <w:r w:rsidR="006B6E7E" w:rsidRPr="00610401">
        <w:rPr>
          <w:noProof/>
        </w:rPr>
        <w:t>jność różnych metod monitorowania,</w:t>
      </w:r>
      <w:r w:rsidR="00610401" w:rsidRPr="00610401">
        <w:rPr>
          <w:noProof/>
        </w:rPr>
        <w:t xml:space="preserve"> w ram</w:t>
      </w:r>
      <w:r w:rsidR="006B6E7E" w:rsidRPr="00610401">
        <w:rPr>
          <w:noProof/>
        </w:rPr>
        <w:t>ach monitorowania</w:t>
      </w:r>
      <w:r w:rsidR="00610401" w:rsidRPr="00610401">
        <w:rPr>
          <w:noProof/>
        </w:rPr>
        <w:t xml:space="preserve"> i nad</w:t>
      </w:r>
      <w:r w:rsidR="006B6E7E" w:rsidRPr="00610401">
        <w:rPr>
          <w:noProof/>
        </w:rPr>
        <w:t>zoru należy możliwie jak najlepiej wykorzystywać finansowane przez Unię projekty</w:t>
      </w:r>
      <w:r w:rsidR="00610401" w:rsidRPr="00610401">
        <w:rPr>
          <w:noProof/>
        </w:rPr>
        <w:t xml:space="preserve"> w zak</w:t>
      </w:r>
      <w:r w:rsidR="006B6E7E" w:rsidRPr="00610401">
        <w:rPr>
          <w:noProof/>
        </w:rPr>
        <w:t>resie badań naukowych</w:t>
      </w:r>
      <w:r w:rsidR="00610401" w:rsidRPr="00610401">
        <w:rPr>
          <w:noProof/>
        </w:rPr>
        <w:t xml:space="preserve"> i inn</w:t>
      </w:r>
      <w:r w:rsidR="006B6E7E" w:rsidRPr="00610401">
        <w:rPr>
          <w:noProof/>
        </w:rPr>
        <w:t xml:space="preserve">owacji, nowe technologie, takie jak monitorowanie </w:t>
      </w:r>
      <w:r w:rsidR="006B6E7E" w:rsidRPr="00610401">
        <w:rPr>
          <w:i/>
          <w:iCs/>
          <w:noProof/>
        </w:rPr>
        <w:t>in situ</w:t>
      </w:r>
      <w:r w:rsidR="00610401" w:rsidRPr="00610401">
        <w:rPr>
          <w:noProof/>
        </w:rPr>
        <w:t xml:space="preserve"> i tel</w:t>
      </w:r>
      <w:r w:rsidR="006B6E7E" w:rsidRPr="00610401">
        <w:rPr>
          <w:noProof/>
        </w:rPr>
        <w:t>edetekcję przy użyciu danych satelitarnych oraz usługi świadczone</w:t>
      </w:r>
      <w:r w:rsidR="00610401" w:rsidRPr="00610401">
        <w:rPr>
          <w:noProof/>
        </w:rPr>
        <w:t xml:space="preserve"> w ram</w:t>
      </w:r>
      <w:r w:rsidR="006B6E7E" w:rsidRPr="00610401">
        <w:rPr>
          <w:noProof/>
        </w:rPr>
        <w:t>ach unijnego programu kosmicznego (EGNOS/Galileo</w:t>
      </w:r>
      <w:r w:rsidR="00610401" w:rsidRPr="00610401">
        <w:rPr>
          <w:noProof/>
        </w:rPr>
        <w:t xml:space="preserve"> i Cop</w:t>
      </w:r>
      <w:r w:rsidR="006B6E7E" w:rsidRPr="00610401">
        <w:rPr>
          <w:noProof/>
        </w:rPr>
        <w:t>ernicus). Wdrożenie celów</w:t>
      </w:r>
      <w:r w:rsidR="00610401" w:rsidRPr="00610401">
        <w:rPr>
          <w:noProof/>
        </w:rPr>
        <w:t xml:space="preserve"> w zak</w:t>
      </w:r>
      <w:r w:rsidR="006B6E7E" w:rsidRPr="00610401">
        <w:rPr>
          <w:noProof/>
        </w:rPr>
        <w:t>resie odbudowy będą wspierać unijne misje</w:t>
      </w:r>
      <w:r w:rsidR="00610401" w:rsidRPr="00610401">
        <w:rPr>
          <w:noProof/>
        </w:rPr>
        <w:t xml:space="preserve"> w zak</w:t>
      </w:r>
      <w:r w:rsidR="006B6E7E" w:rsidRPr="00610401">
        <w:rPr>
          <w:noProof/>
        </w:rPr>
        <w:t>resie odbudowy naszych oceanów</w:t>
      </w:r>
      <w:r w:rsidR="00610401" w:rsidRPr="00610401">
        <w:rPr>
          <w:noProof/>
        </w:rPr>
        <w:t xml:space="preserve"> i zas</w:t>
      </w:r>
      <w:r w:rsidR="006B6E7E" w:rsidRPr="00610401">
        <w:rPr>
          <w:noProof/>
        </w:rPr>
        <w:t>obów wodnych, przystosowania się do zmiany klimatu</w:t>
      </w:r>
      <w:r w:rsidR="00610401" w:rsidRPr="00610401">
        <w:rPr>
          <w:noProof/>
        </w:rPr>
        <w:t xml:space="preserve"> i pak</w:t>
      </w:r>
      <w:r w:rsidR="006B6E7E" w:rsidRPr="00610401">
        <w:rPr>
          <w:noProof/>
        </w:rPr>
        <w:t>t na rzecz zdrowych gleb</w:t>
      </w:r>
      <w:r w:rsidR="00610401" w:rsidRPr="00610401">
        <w:rPr>
          <w:noProof/>
        </w:rPr>
        <w:t xml:space="preserve"> w Eur</w:t>
      </w:r>
      <w:r w:rsidR="006B6E7E" w:rsidRPr="00610401">
        <w:rPr>
          <w:noProof/>
        </w:rPr>
        <w:t>opie</w:t>
      </w:r>
      <w:r w:rsidR="006B6E7E" w:rsidRPr="00610401">
        <w:rPr>
          <w:rStyle w:val="FootnoteReference"/>
          <w:noProof/>
        </w:rPr>
        <w:footnoteReference w:id="92"/>
      </w:r>
      <w:r w:rsidR="006B6E7E" w:rsidRPr="00610401">
        <w:rPr>
          <w:noProof/>
        </w:rPr>
        <w:t xml:space="preserve">. </w:t>
      </w:r>
    </w:p>
    <w:p w:rsidR="00AC748E" w:rsidRPr="00610401" w:rsidRDefault="009F5C98" w:rsidP="009F5C98">
      <w:pPr>
        <w:pStyle w:val="ManualConsidrant"/>
        <w:rPr>
          <w:noProof/>
        </w:rPr>
      </w:pPr>
      <w:r w:rsidRPr="009F5C98">
        <w:t>(68)</w:t>
      </w:r>
      <w:r w:rsidRPr="009F5C98">
        <w:tab/>
      </w:r>
      <w:r w:rsidR="006B6E7E" w:rsidRPr="00610401">
        <w:rPr>
          <w:noProof/>
        </w:rPr>
        <w:t>Aby monitorować postępy</w:t>
      </w:r>
      <w:r w:rsidR="00610401" w:rsidRPr="00610401">
        <w:rPr>
          <w:noProof/>
        </w:rPr>
        <w:t xml:space="preserve"> w rea</w:t>
      </w:r>
      <w:r w:rsidR="006B6E7E" w:rsidRPr="00610401">
        <w:rPr>
          <w:noProof/>
        </w:rPr>
        <w:t>lizacji krajowych planów odbudowy, wprowadzone środki odbudowy, obszary objęte środkami odbudowy oraz dane dotyczące wykazu barier dla ciągłości rzek, należy wprowadzić system zobowiązujący państwa członkowskie do tworzenia, aktualizowania</w:t>
      </w:r>
      <w:r w:rsidR="00610401" w:rsidRPr="00610401">
        <w:rPr>
          <w:noProof/>
        </w:rPr>
        <w:t xml:space="preserve"> i udo</w:t>
      </w:r>
      <w:r w:rsidR="006B6E7E" w:rsidRPr="00610401">
        <w:rPr>
          <w:noProof/>
        </w:rPr>
        <w:t>stępniania istotnych danych dotyczących wyników takiego monitorowania. Przekazywanie danych Komisji drogą elektroniczną powinno odbywać się za pośrednictwem systemu ReportNet Europejskiej Agencji Środowiska oraz</w:t>
      </w:r>
      <w:r w:rsidR="00610401" w:rsidRPr="00610401">
        <w:rPr>
          <w:noProof/>
        </w:rPr>
        <w:t xml:space="preserve"> w spo</w:t>
      </w:r>
      <w:r w:rsidR="006B6E7E" w:rsidRPr="00610401">
        <w:rPr>
          <w:noProof/>
        </w:rPr>
        <w:t>sób, który ograniczy do minimum obciążenia administracyjne nakładane na wszystkie podmioty. Aby zapewnić odpowiednią infrastrukturę na potrzeby publicznego dostępu, sprawozdawczości</w:t>
      </w:r>
      <w:r w:rsidR="00610401" w:rsidRPr="00610401">
        <w:rPr>
          <w:noProof/>
        </w:rPr>
        <w:t xml:space="preserve"> i wym</w:t>
      </w:r>
      <w:r w:rsidR="006B6E7E" w:rsidRPr="00610401">
        <w:rPr>
          <w:noProof/>
        </w:rPr>
        <w:t>iany danych między organami publicznymi, państwa członkowskie powinny,</w:t>
      </w:r>
      <w:r w:rsidR="00610401" w:rsidRPr="00610401">
        <w:rPr>
          <w:noProof/>
        </w:rPr>
        <w:t xml:space="preserve"> w sto</w:t>
      </w:r>
      <w:r w:rsidR="006B6E7E" w:rsidRPr="00610401">
        <w:rPr>
          <w:noProof/>
        </w:rPr>
        <w:t>sownych przypadkach, opierać specyfikacje danych na tych,</w:t>
      </w:r>
      <w:r w:rsidR="00610401" w:rsidRPr="00610401">
        <w:rPr>
          <w:noProof/>
        </w:rPr>
        <w:t xml:space="preserve"> o któ</w:t>
      </w:r>
      <w:r w:rsidR="006B6E7E" w:rsidRPr="00610401">
        <w:rPr>
          <w:noProof/>
        </w:rPr>
        <w:t>rych mowa</w:t>
      </w:r>
      <w:r w:rsidR="00610401" w:rsidRPr="00610401">
        <w:rPr>
          <w:noProof/>
        </w:rPr>
        <w:t xml:space="preserve"> w dyr</w:t>
      </w:r>
      <w:r w:rsidR="006B6E7E" w:rsidRPr="00610401">
        <w:rPr>
          <w:noProof/>
        </w:rPr>
        <w:t>ektywie Parlamentu Europejskiego</w:t>
      </w:r>
      <w:r w:rsidR="00610401" w:rsidRPr="00610401">
        <w:rPr>
          <w:noProof/>
        </w:rPr>
        <w:t xml:space="preserve"> i Rad</w:t>
      </w:r>
      <w:r w:rsidR="006B6E7E" w:rsidRPr="00610401">
        <w:rPr>
          <w:noProof/>
        </w:rPr>
        <w:t>y 2003/4/WE</w:t>
      </w:r>
      <w:r w:rsidR="006B6E7E" w:rsidRPr="00610401">
        <w:rPr>
          <w:rStyle w:val="FootnoteReference"/>
          <w:noProof/>
        </w:rPr>
        <w:footnoteReference w:id="93"/>
      </w:r>
      <w:r w:rsidR="006B6E7E" w:rsidRPr="00610401">
        <w:rPr>
          <w:noProof/>
        </w:rPr>
        <w:t>, dyrektywie Parlamentu Europejskiego</w:t>
      </w:r>
      <w:r w:rsidR="00610401" w:rsidRPr="00610401">
        <w:rPr>
          <w:noProof/>
        </w:rPr>
        <w:t xml:space="preserve"> i Rad</w:t>
      </w:r>
      <w:r w:rsidR="006B6E7E" w:rsidRPr="00610401">
        <w:rPr>
          <w:noProof/>
        </w:rPr>
        <w:t>y 2007/2/WE</w:t>
      </w:r>
      <w:r w:rsidR="006B6E7E" w:rsidRPr="00610401">
        <w:rPr>
          <w:rStyle w:val="FootnoteReference"/>
          <w:noProof/>
        </w:rPr>
        <w:footnoteReference w:id="94"/>
      </w:r>
      <w:r w:rsidR="006B6E7E" w:rsidRPr="00610401">
        <w:rPr>
          <w:noProof/>
        </w:rPr>
        <w:t xml:space="preserve"> oraz dyrektywie Parlamentu Europejskiego</w:t>
      </w:r>
      <w:r w:rsidR="00610401" w:rsidRPr="00610401">
        <w:rPr>
          <w:noProof/>
        </w:rPr>
        <w:t xml:space="preserve"> i Rad</w:t>
      </w:r>
      <w:r w:rsidR="006B6E7E" w:rsidRPr="00610401">
        <w:rPr>
          <w:noProof/>
        </w:rPr>
        <w:t>y (UE) 2019/1024</w:t>
      </w:r>
      <w:r w:rsidR="006B6E7E" w:rsidRPr="00610401">
        <w:rPr>
          <w:rStyle w:val="FootnoteReference"/>
          <w:noProof/>
        </w:rPr>
        <w:footnoteReference w:id="95"/>
      </w:r>
      <w:r w:rsidR="006B6E7E" w:rsidRPr="00610401">
        <w:rPr>
          <w:noProof/>
        </w:rPr>
        <w:t xml:space="preserve">. </w:t>
      </w:r>
    </w:p>
    <w:p w:rsidR="00962D20" w:rsidRPr="00610401" w:rsidRDefault="009F5C98" w:rsidP="009F5C98">
      <w:pPr>
        <w:pStyle w:val="ManualConsidrant"/>
        <w:rPr>
          <w:noProof/>
          <w:color w:val="000000" w:themeColor="text1"/>
        </w:rPr>
      </w:pPr>
      <w:r w:rsidRPr="009F5C98">
        <w:t>(69)</w:t>
      </w:r>
      <w:r w:rsidRPr="009F5C98">
        <w:tab/>
      </w:r>
      <w:r w:rsidR="00B82114" w:rsidRPr="00610401">
        <w:rPr>
          <w:noProof/>
        </w:rPr>
        <w:t>Aby zapewnić skuteczne wdrożenie niniejszego rozporządzenia, Komisja powinna oferować państwom członkowskim na ich wniosek wsparcie za pośrednictwem Instrumentu Wsparcia Technicznego</w:t>
      </w:r>
      <w:r w:rsidR="00B82114" w:rsidRPr="00610401">
        <w:rPr>
          <w:rStyle w:val="FootnoteReference"/>
          <w:noProof/>
        </w:rPr>
        <w:footnoteReference w:id="96"/>
      </w:r>
      <w:r w:rsidR="00B82114" w:rsidRPr="00610401">
        <w:rPr>
          <w:noProof/>
        </w:rPr>
        <w:t>, który zapewnia dostosowane do potrzeb wsparcie techniczne</w:t>
      </w:r>
      <w:r w:rsidR="00610401" w:rsidRPr="00610401">
        <w:rPr>
          <w:noProof/>
          <w:color w:val="1F497D"/>
        </w:rPr>
        <w:t xml:space="preserve"> </w:t>
      </w:r>
      <w:r w:rsidR="00B82114" w:rsidRPr="00610401">
        <w:rPr>
          <w:noProof/>
        </w:rPr>
        <w:t>przy opracowywaniu</w:t>
      </w:r>
      <w:r w:rsidR="00610401" w:rsidRPr="00610401">
        <w:rPr>
          <w:noProof/>
        </w:rPr>
        <w:t xml:space="preserve"> i wdr</w:t>
      </w:r>
      <w:r w:rsidR="00B82114" w:rsidRPr="00610401">
        <w:rPr>
          <w:noProof/>
        </w:rPr>
        <w:t>ażaniu reform. Wsparcie techniczne obejmuje przykładowo wzmocnienie zdolności administracyjnych, harmonizację ram legislacyjnych oraz wymianę odpowiednich najlepszych praktyk.</w:t>
      </w:r>
    </w:p>
    <w:p w:rsidR="004673F2" w:rsidRPr="00610401" w:rsidRDefault="009F5C98" w:rsidP="009F5C98">
      <w:pPr>
        <w:pStyle w:val="ManualConsidrant"/>
        <w:rPr>
          <w:noProof/>
        </w:rPr>
      </w:pPr>
      <w:r w:rsidRPr="009F5C98">
        <w:t>(70)</w:t>
      </w:r>
      <w:r w:rsidRPr="009F5C98">
        <w:tab/>
      </w:r>
      <w:r w:rsidR="00CE511E" w:rsidRPr="00610401">
        <w:rPr>
          <w:noProof/>
        </w:rPr>
        <w:t>Komisja powinna składać sprawozdania</w:t>
      </w:r>
      <w:r w:rsidR="00610401" w:rsidRPr="00610401">
        <w:rPr>
          <w:noProof/>
        </w:rPr>
        <w:t xml:space="preserve"> z pos</w:t>
      </w:r>
      <w:r w:rsidR="00CE511E" w:rsidRPr="00610401">
        <w:rPr>
          <w:noProof/>
        </w:rPr>
        <w:t>tępów państw członkowskich</w:t>
      </w:r>
      <w:r w:rsidR="00610401" w:rsidRPr="00610401">
        <w:rPr>
          <w:noProof/>
        </w:rPr>
        <w:t xml:space="preserve"> w rea</w:t>
      </w:r>
      <w:r w:rsidR="00CE511E" w:rsidRPr="00610401">
        <w:rPr>
          <w:noProof/>
        </w:rPr>
        <w:t>lizacji celów</w:t>
      </w:r>
      <w:r w:rsidR="00610401" w:rsidRPr="00610401">
        <w:rPr>
          <w:noProof/>
        </w:rPr>
        <w:t xml:space="preserve"> i obo</w:t>
      </w:r>
      <w:r w:rsidR="00CE511E" w:rsidRPr="00610401">
        <w:rPr>
          <w:noProof/>
        </w:rPr>
        <w:t>wiązków</w:t>
      </w:r>
      <w:r w:rsidR="00610401" w:rsidRPr="00610401">
        <w:rPr>
          <w:noProof/>
        </w:rPr>
        <w:t xml:space="preserve"> w zak</w:t>
      </w:r>
      <w:r w:rsidR="00CE511E" w:rsidRPr="00610401">
        <w:rPr>
          <w:noProof/>
        </w:rPr>
        <w:t>resie odbudowy określonych</w:t>
      </w:r>
      <w:r w:rsidR="00610401" w:rsidRPr="00610401">
        <w:rPr>
          <w:noProof/>
        </w:rPr>
        <w:t xml:space="preserve"> w nin</w:t>
      </w:r>
      <w:r w:rsidR="00CE511E" w:rsidRPr="00610401">
        <w:rPr>
          <w:noProof/>
        </w:rPr>
        <w:t>iejszym rozporządzeniu na podstawie ogólnounijnych sprawozdań</w:t>
      </w:r>
      <w:r w:rsidR="00610401" w:rsidRPr="00610401">
        <w:rPr>
          <w:noProof/>
        </w:rPr>
        <w:t xml:space="preserve"> z pos</w:t>
      </w:r>
      <w:r w:rsidR="00CE511E" w:rsidRPr="00610401">
        <w:rPr>
          <w:noProof/>
        </w:rPr>
        <w:t>tępów sporządzanych przez EEA,</w:t>
      </w:r>
      <w:r w:rsidR="00610401" w:rsidRPr="00610401">
        <w:rPr>
          <w:noProof/>
        </w:rPr>
        <w:t xml:space="preserve"> a tak</w:t>
      </w:r>
      <w:r w:rsidR="00CE511E" w:rsidRPr="00610401">
        <w:rPr>
          <w:noProof/>
        </w:rPr>
        <w:t>że innych udostępnianych przez państwa członkowskie analiz</w:t>
      </w:r>
      <w:r w:rsidR="00610401" w:rsidRPr="00610401">
        <w:rPr>
          <w:noProof/>
        </w:rPr>
        <w:t xml:space="preserve"> i spr</w:t>
      </w:r>
      <w:r w:rsidR="00CE511E" w:rsidRPr="00610401">
        <w:rPr>
          <w:noProof/>
        </w:rPr>
        <w:t>awozdań dotyczących istotnych obszarów polityki, np. polityki</w:t>
      </w:r>
      <w:r w:rsidR="00610401" w:rsidRPr="00610401">
        <w:rPr>
          <w:noProof/>
        </w:rPr>
        <w:t xml:space="preserve"> w dzi</w:t>
      </w:r>
      <w:r w:rsidR="00CE511E" w:rsidRPr="00610401">
        <w:rPr>
          <w:noProof/>
        </w:rPr>
        <w:t>edzinie przyrody, polityki morskiej</w:t>
      </w:r>
      <w:r w:rsidR="00610401" w:rsidRPr="00610401">
        <w:rPr>
          <w:noProof/>
        </w:rPr>
        <w:t xml:space="preserve"> i pol</w:t>
      </w:r>
      <w:r w:rsidR="00CE511E" w:rsidRPr="00610401">
        <w:rPr>
          <w:noProof/>
        </w:rPr>
        <w:t xml:space="preserve">ityki wodnej. </w:t>
      </w:r>
    </w:p>
    <w:p w:rsidR="00772428" w:rsidRPr="00610401" w:rsidRDefault="009F5C98" w:rsidP="009F5C98">
      <w:pPr>
        <w:pStyle w:val="ManualConsidrant"/>
        <w:rPr>
          <w:noProof/>
        </w:rPr>
      </w:pPr>
      <w:r w:rsidRPr="009F5C98">
        <w:t>(71)</w:t>
      </w:r>
      <w:r w:rsidRPr="009F5C98">
        <w:tab/>
      </w:r>
      <w:r w:rsidR="00DE5AB7" w:rsidRPr="00610401">
        <w:rPr>
          <w:noProof/>
        </w:rPr>
        <w:t>Zasadnicze znaczenie dla zapewnienia osiągnięcia celów</w:t>
      </w:r>
      <w:r w:rsidR="00610401" w:rsidRPr="00610401">
        <w:rPr>
          <w:noProof/>
        </w:rPr>
        <w:t xml:space="preserve"> i obo</w:t>
      </w:r>
      <w:r w:rsidR="00DE5AB7" w:rsidRPr="00610401">
        <w:rPr>
          <w:noProof/>
        </w:rPr>
        <w:t>wiązków określonych</w:t>
      </w:r>
      <w:r w:rsidR="00610401" w:rsidRPr="00610401">
        <w:rPr>
          <w:noProof/>
        </w:rPr>
        <w:t xml:space="preserve"> w nin</w:t>
      </w:r>
      <w:r w:rsidR="00DE5AB7" w:rsidRPr="00610401">
        <w:rPr>
          <w:noProof/>
        </w:rPr>
        <w:t>iejszym rozporządzeniu ma poczynienie odpowiednich inwestycji publicznych</w:t>
      </w:r>
      <w:r w:rsidR="00610401" w:rsidRPr="00610401">
        <w:rPr>
          <w:noProof/>
        </w:rPr>
        <w:t xml:space="preserve"> i pry</w:t>
      </w:r>
      <w:r w:rsidR="00DE5AB7" w:rsidRPr="00610401">
        <w:rPr>
          <w:noProof/>
        </w:rPr>
        <w:t>watnych</w:t>
      </w:r>
      <w:r w:rsidR="00610401" w:rsidRPr="00610401">
        <w:rPr>
          <w:noProof/>
        </w:rPr>
        <w:t xml:space="preserve"> w odb</w:t>
      </w:r>
      <w:r w:rsidR="00DE5AB7" w:rsidRPr="00610401">
        <w:rPr>
          <w:noProof/>
        </w:rPr>
        <w:t>udowę, natomiast państwa członkowskie powinny włączyć wydatki na cele związane</w:t>
      </w:r>
      <w:r w:rsidR="00610401" w:rsidRPr="00610401">
        <w:rPr>
          <w:noProof/>
        </w:rPr>
        <w:t xml:space="preserve"> z róż</w:t>
      </w:r>
      <w:r w:rsidR="00DE5AB7" w:rsidRPr="00610401">
        <w:rPr>
          <w:noProof/>
        </w:rPr>
        <w:t>norodnością biologiczną,</w:t>
      </w:r>
      <w:r w:rsidR="00610401" w:rsidRPr="00610401">
        <w:rPr>
          <w:noProof/>
        </w:rPr>
        <w:t xml:space="preserve"> w tym</w:t>
      </w:r>
      <w:r w:rsidR="00DE5AB7" w:rsidRPr="00610401">
        <w:rPr>
          <w:noProof/>
        </w:rPr>
        <w:t xml:space="preserve"> koszty alternatywne</w:t>
      </w:r>
      <w:r w:rsidR="00610401" w:rsidRPr="00610401">
        <w:rPr>
          <w:noProof/>
        </w:rPr>
        <w:t xml:space="preserve"> i prz</w:t>
      </w:r>
      <w:r w:rsidR="00DE5AB7" w:rsidRPr="00610401">
        <w:rPr>
          <w:noProof/>
        </w:rPr>
        <w:t>ejściowe wynikające</w:t>
      </w:r>
      <w:r w:rsidR="00610401" w:rsidRPr="00610401">
        <w:rPr>
          <w:noProof/>
        </w:rPr>
        <w:t xml:space="preserve"> z wdr</w:t>
      </w:r>
      <w:r w:rsidR="00DE5AB7" w:rsidRPr="00610401">
        <w:rPr>
          <w:noProof/>
        </w:rPr>
        <w:t>ożenia krajowych planów odbudowy, do budżetów państwa,</w:t>
      </w:r>
      <w:r w:rsidR="00610401" w:rsidRPr="00610401">
        <w:rPr>
          <w:noProof/>
        </w:rPr>
        <w:t xml:space="preserve"> a tak</w:t>
      </w:r>
      <w:r w:rsidR="00DE5AB7" w:rsidRPr="00610401">
        <w:rPr>
          <w:noProof/>
        </w:rPr>
        <w:t>że odzwierciedlić sposób wykorzystania finansowania unijnego. Jeżeli chodzi</w:t>
      </w:r>
      <w:r w:rsidR="00610401" w:rsidRPr="00610401">
        <w:rPr>
          <w:noProof/>
        </w:rPr>
        <w:t xml:space="preserve"> o fin</w:t>
      </w:r>
      <w:r w:rsidR="00DE5AB7" w:rsidRPr="00610401">
        <w:rPr>
          <w:noProof/>
        </w:rPr>
        <w:t>ansowanie unijne, wydatki</w:t>
      </w:r>
      <w:r w:rsidR="00610401" w:rsidRPr="00610401">
        <w:rPr>
          <w:noProof/>
        </w:rPr>
        <w:t xml:space="preserve"> w ram</w:t>
      </w:r>
      <w:r w:rsidR="00DE5AB7" w:rsidRPr="00610401">
        <w:rPr>
          <w:noProof/>
        </w:rPr>
        <w:t>ach budżetu Unii oraz unijne programy finansowania, takie jak Program działań na rzecz środowiska</w:t>
      </w:r>
      <w:r w:rsidR="00610401" w:rsidRPr="00610401">
        <w:rPr>
          <w:noProof/>
        </w:rPr>
        <w:t xml:space="preserve"> i kli</w:t>
      </w:r>
      <w:r w:rsidR="00DE5AB7" w:rsidRPr="00610401">
        <w:rPr>
          <w:noProof/>
        </w:rPr>
        <w:t>matu (program LIFE)</w:t>
      </w:r>
      <w:r w:rsidR="00DE5AB7" w:rsidRPr="00610401">
        <w:rPr>
          <w:rStyle w:val="FootnoteReference"/>
          <w:noProof/>
        </w:rPr>
        <w:footnoteReference w:id="97"/>
      </w:r>
      <w:r w:rsidR="00DE5AB7" w:rsidRPr="00610401">
        <w:rPr>
          <w:noProof/>
        </w:rPr>
        <w:t xml:space="preserve">, </w:t>
      </w:r>
      <w:hyperlink r:id="rId15">
        <w:r w:rsidR="00DE5AB7" w:rsidRPr="00610401">
          <w:rPr>
            <w:noProof/>
          </w:rPr>
          <w:t>Europejski Fundusz Morski, Rybacki</w:t>
        </w:r>
        <w:r w:rsidR="00610401" w:rsidRPr="00610401">
          <w:rPr>
            <w:noProof/>
          </w:rPr>
          <w:t xml:space="preserve"> i Akw</w:t>
        </w:r>
        <w:r w:rsidR="00DE5AB7" w:rsidRPr="00610401">
          <w:rPr>
            <w:noProof/>
          </w:rPr>
          <w:t>akultury</w:t>
        </w:r>
      </w:hyperlink>
      <w:r w:rsidR="00DE5AB7" w:rsidRPr="00610401">
        <w:rPr>
          <w:noProof/>
        </w:rPr>
        <w:t> (EFMRA)</w:t>
      </w:r>
      <w:r w:rsidR="00DE5AB7" w:rsidRPr="00610401">
        <w:rPr>
          <w:rStyle w:val="FootnoteReference"/>
          <w:noProof/>
        </w:rPr>
        <w:footnoteReference w:id="98"/>
      </w:r>
      <w:r w:rsidR="00DE5AB7" w:rsidRPr="00610401">
        <w:rPr>
          <w:noProof/>
        </w:rPr>
        <w:t xml:space="preserve">, </w:t>
      </w:r>
      <w:hyperlink r:id="rId16">
        <w:r w:rsidR="00DE5AB7" w:rsidRPr="00610401">
          <w:rPr>
            <w:noProof/>
          </w:rPr>
          <w:t>Europejski Fundusz Rolny na rzecz Rozwoju Obszarów Wiejskich</w:t>
        </w:r>
      </w:hyperlink>
      <w:r w:rsidR="00DE5AB7" w:rsidRPr="00610401">
        <w:rPr>
          <w:noProof/>
        </w:rPr>
        <w:t> (EFRROW)</w:t>
      </w:r>
      <w:r w:rsidR="00DE5AB7" w:rsidRPr="00610401">
        <w:rPr>
          <w:rStyle w:val="FootnoteReference"/>
          <w:noProof/>
        </w:rPr>
        <w:footnoteReference w:id="99"/>
      </w:r>
      <w:r w:rsidR="00DE5AB7" w:rsidRPr="00610401">
        <w:rPr>
          <w:noProof/>
        </w:rPr>
        <w:t xml:space="preserve">, </w:t>
      </w:r>
      <w:hyperlink r:id="rId17">
        <w:r w:rsidR="00DE5AB7" w:rsidRPr="00610401">
          <w:rPr>
            <w:noProof/>
          </w:rPr>
          <w:t>Europejski Fundusz Rolniczy Gwarancji</w:t>
        </w:r>
      </w:hyperlink>
      <w:r w:rsidR="00DE5AB7" w:rsidRPr="00610401">
        <w:rPr>
          <w:noProof/>
        </w:rPr>
        <w:t xml:space="preserve"> (ERFG), </w:t>
      </w:r>
      <w:hyperlink r:id="rId18">
        <w:r w:rsidR="00DE5AB7" w:rsidRPr="00610401">
          <w:rPr>
            <w:noProof/>
          </w:rPr>
          <w:t>Europejski Fundusz Rozwoju Regionalnego</w:t>
        </w:r>
      </w:hyperlink>
      <w:r w:rsidR="00DE5AB7" w:rsidRPr="00610401">
        <w:rPr>
          <w:noProof/>
        </w:rPr>
        <w:t xml:space="preserve"> (EFRR), </w:t>
      </w:r>
      <w:hyperlink r:id="rId19">
        <w:r w:rsidR="00DE5AB7" w:rsidRPr="00610401">
          <w:rPr>
            <w:noProof/>
          </w:rPr>
          <w:t>Fundusz Spójności</w:t>
        </w:r>
      </w:hyperlink>
      <w:r w:rsidR="00DE5AB7" w:rsidRPr="00610401">
        <w:rPr>
          <w:rStyle w:val="FootnoteReference"/>
          <w:noProof/>
        </w:rPr>
        <w:footnoteReference w:id="100"/>
      </w:r>
      <w:r w:rsidR="00610401" w:rsidRPr="00610401">
        <w:rPr>
          <w:noProof/>
        </w:rPr>
        <w:t xml:space="preserve"> i Fun</w:t>
      </w:r>
      <w:r w:rsidR="00DE5AB7" w:rsidRPr="00610401">
        <w:rPr>
          <w:noProof/>
        </w:rPr>
        <w:t>dusz na rzecz Sprawiedliwej Transformacji</w:t>
      </w:r>
      <w:r w:rsidR="00DE5AB7" w:rsidRPr="00610401">
        <w:rPr>
          <w:rStyle w:val="FootnoteReference"/>
          <w:noProof/>
        </w:rPr>
        <w:footnoteReference w:id="101"/>
      </w:r>
      <w:r w:rsidR="00DE5AB7" w:rsidRPr="00610401">
        <w:rPr>
          <w:noProof/>
        </w:rPr>
        <w:t>,</w:t>
      </w:r>
      <w:r w:rsidR="00610401" w:rsidRPr="00610401">
        <w:rPr>
          <w:noProof/>
        </w:rPr>
        <w:t xml:space="preserve"> a tak</w:t>
      </w:r>
      <w:r w:rsidR="00DE5AB7" w:rsidRPr="00610401">
        <w:rPr>
          <w:noProof/>
        </w:rPr>
        <w:t xml:space="preserve">że unijny </w:t>
      </w:r>
      <w:r w:rsidR="00DE5AB7" w:rsidRPr="00610401">
        <w:rPr>
          <w:noProof/>
          <w:color w:val="000000" w:themeColor="text1"/>
          <w:shd w:val="clear" w:color="auto" w:fill="FFFFFF"/>
        </w:rPr>
        <w:t>program ramowy</w:t>
      </w:r>
      <w:r w:rsidR="00610401" w:rsidRPr="00610401">
        <w:rPr>
          <w:noProof/>
          <w:color w:val="000000" w:themeColor="text1"/>
          <w:shd w:val="clear" w:color="auto" w:fill="FFFFFF"/>
        </w:rPr>
        <w:t xml:space="preserve"> w zak</w:t>
      </w:r>
      <w:r w:rsidR="00DE5AB7" w:rsidRPr="00610401">
        <w:rPr>
          <w:noProof/>
          <w:color w:val="000000" w:themeColor="text1"/>
          <w:shd w:val="clear" w:color="auto" w:fill="FFFFFF"/>
        </w:rPr>
        <w:t>resie badań naukowych</w:t>
      </w:r>
      <w:r w:rsidR="00610401" w:rsidRPr="00610401">
        <w:rPr>
          <w:noProof/>
          <w:color w:val="000000" w:themeColor="text1"/>
          <w:shd w:val="clear" w:color="auto" w:fill="FFFFFF"/>
        </w:rPr>
        <w:t xml:space="preserve"> i inn</w:t>
      </w:r>
      <w:r w:rsidR="00DE5AB7" w:rsidRPr="00610401">
        <w:rPr>
          <w:noProof/>
          <w:color w:val="000000" w:themeColor="text1"/>
          <w:shd w:val="clear" w:color="auto" w:fill="FFFFFF"/>
        </w:rPr>
        <w:t>owacji „Horyzont Europa”</w:t>
      </w:r>
      <w:r w:rsidR="00DE5AB7" w:rsidRPr="00610401">
        <w:rPr>
          <w:rStyle w:val="FootnoteReference"/>
          <w:noProof/>
          <w:color w:val="000000" w:themeColor="text1"/>
        </w:rPr>
        <w:footnoteReference w:id="102"/>
      </w:r>
      <w:r w:rsidR="00DE5AB7" w:rsidRPr="00610401">
        <w:rPr>
          <w:noProof/>
          <w:color w:val="000000" w:themeColor="text1"/>
        </w:rPr>
        <w:t xml:space="preserve">, </w:t>
      </w:r>
      <w:r w:rsidR="00DE5AB7" w:rsidRPr="00610401">
        <w:rPr>
          <w:noProof/>
        </w:rPr>
        <w:t>przyczyniają się do osiągnięcia celów</w:t>
      </w:r>
      <w:r w:rsidR="00610401" w:rsidRPr="00610401">
        <w:rPr>
          <w:noProof/>
        </w:rPr>
        <w:t xml:space="preserve"> w zak</w:t>
      </w:r>
      <w:r w:rsidR="00DE5AB7" w:rsidRPr="00610401">
        <w:rPr>
          <w:noProof/>
        </w:rPr>
        <w:t>resie różnorodności biologicznej,</w:t>
      </w:r>
      <w:r w:rsidR="00DE5AB7" w:rsidRPr="00610401">
        <w:rPr>
          <w:noProof/>
          <w:color w:val="000000" w:themeColor="text1"/>
          <w:shd w:val="clear" w:color="auto" w:fill="FFFFFF"/>
        </w:rPr>
        <w:t xml:space="preserve"> przy uwzględnieniu celu zakładającego przeznaczenie</w:t>
      </w:r>
      <w:r w:rsidR="00610401" w:rsidRPr="00610401">
        <w:rPr>
          <w:noProof/>
          <w:color w:val="000000" w:themeColor="text1"/>
          <w:shd w:val="clear" w:color="auto" w:fill="FFFFFF"/>
        </w:rPr>
        <w:t xml:space="preserve"> w 2</w:t>
      </w:r>
      <w:r w:rsidR="00DE5AB7" w:rsidRPr="00610401">
        <w:rPr>
          <w:noProof/>
          <w:color w:val="000000" w:themeColor="text1"/>
          <w:shd w:val="clear" w:color="auto" w:fill="FFFFFF"/>
        </w:rPr>
        <w:t>024</w:t>
      </w:r>
      <w:r w:rsidR="00610401" w:rsidRPr="00610401">
        <w:rPr>
          <w:noProof/>
          <w:color w:val="000000" w:themeColor="text1"/>
          <w:shd w:val="clear" w:color="auto" w:fill="FFFFFF"/>
        </w:rPr>
        <w:t> </w:t>
      </w:r>
      <w:r w:rsidR="00DE5AB7" w:rsidRPr="00610401">
        <w:rPr>
          <w:noProof/>
          <w:color w:val="000000" w:themeColor="text1"/>
          <w:shd w:val="clear" w:color="auto" w:fill="FFFFFF"/>
        </w:rPr>
        <w:t>r. 7,5</w:t>
      </w:r>
      <w:r w:rsidR="00610401" w:rsidRPr="00610401">
        <w:rPr>
          <w:noProof/>
          <w:color w:val="000000" w:themeColor="text1"/>
          <w:shd w:val="clear" w:color="auto" w:fill="FFFFFF"/>
        </w:rPr>
        <w:t> </w:t>
      </w:r>
      <w:r w:rsidR="00DE5AB7" w:rsidRPr="00610401">
        <w:rPr>
          <w:noProof/>
          <w:color w:val="000000" w:themeColor="text1"/>
          <w:shd w:val="clear" w:color="auto" w:fill="FFFFFF"/>
        </w:rPr>
        <w:t>%, a</w:t>
      </w:r>
      <w:r w:rsidR="00610401" w:rsidRPr="00610401">
        <w:rPr>
          <w:noProof/>
          <w:color w:val="000000" w:themeColor="text1"/>
          <w:shd w:val="clear" w:color="auto" w:fill="FFFFFF"/>
        </w:rPr>
        <w:t xml:space="preserve"> w 2</w:t>
      </w:r>
      <w:r w:rsidR="00DE5AB7" w:rsidRPr="00610401">
        <w:rPr>
          <w:noProof/>
          <w:color w:val="000000" w:themeColor="text1"/>
          <w:shd w:val="clear" w:color="auto" w:fill="FFFFFF"/>
        </w:rPr>
        <w:t>026</w:t>
      </w:r>
      <w:r w:rsidR="00610401" w:rsidRPr="00610401">
        <w:rPr>
          <w:noProof/>
          <w:color w:val="000000" w:themeColor="text1"/>
          <w:shd w:val="clear" w:color="auto" w:fill="FFFFFF"/>
        </w:rPr>
        <w:t xml:space="preserve"> i 2</w:t>
      </w:r>
      <w:r w:rsidR="00DE5AB7" w:rsidRPr="00610401">
        <w:rPr>
          <w:noProof/>
          <w:color w:val="000000" w:themeColor="text1"/>
          <w:shd w:val="clear" w:color="auto" w:fill="FFFFFF"/>
        </w:rPr>
        <w:t>027</w:t>
      </w:r>
      <w:r w:rsidR="00610401" w:rsidRPr="00610401">
        <w:rPr>
          <w:noProof/>
          <w:color w:val="000000" w:themeColor="text1"/>
          <w:shd w:val="clear" w:color="auto" w:fill="FFFFFF"/>
        </w:rPr>
        <w:t> </w:t>
      </w:r>
      <w:r w:rsidR="00DE5AB7" w:rsidRPr="00610401">
        <w:rPr>
          <w:noProof/>
          <w:color w:val="000000" w:themeColor="text1"/>
          <w:shd w:val="clear" w:color="auto" w:fill="FFFFFF"/>
        </w:rPr>
        <w:t>r. 10</w:t>
      </w:r>
      <w:r w:rsidR="00610401" w:rsidRPr="00610401">
        <w:rPr>
          <w:noProof/>
          <w:color w:val="000000" w:themeColor="text1"/>
          <w:shd w:val="clear" w:color="auto" w:fill="FFFFFF"/>
        </w:rPr>
        <w:t> </w:t>
      </w:r>
      <w:r w:rsidR="00DE5AB7" w:rsidRPr="00610401">
        <w:rPr>
          <w:noProof/>
          <w:color w:val="000000" w:themeColor="text1"/>
          <w:shd w:val="clear" w:color="auto" w:fill="FFFFFF"/>
        </w:rPr>
        <w:t>% rocznych wydatków</w:t>
      </w:r>
      <w:r w:rsidR="00610401" w:rsidRPr="00610401">
        <w:rPr>
          <w:noProof/>
          <w:color w:val="000000" w:themeColor="text1"/>
          <w:shd w:val="clear" w:color="auto" w:fill="FFFFFF"/>
        </w:rPr>
        <w:t xml:space="preserve"> w ram</w:t>
      </w:r>
      <w:r w:rsidR="00DE5AB7" w:rsidRPr="00610401">
        <w:rPr>
          <w:noProof/>
          <w:color w:val="000000" w:themeColor="text1"/>
          <w:shd w:val="clear" w:color="auto" w:fill="FFFFFF"/>
        </w:rPr>
        <w:t>ach wieloletnich ram finansowych na lata 2021–2027</w:t>
      </w:r>
      <w:r w:rsidR="00DE5AB7" w:rsidRPr="00610401">
        <w:rPr>
          <w:rStyle w:val="FootnoteReference"/>
          <w:noProof/>
          <w:color w:val="000000" w:themeColor="text1"/>
        </w:rPr>
        <w:footnoteReference w:id="103"/>
      </w:r>
      <w:r w:rsidR="00DE5AB7" w:rsidRPr="00610401">
        <w:rPr>
          <w:noProof/>
          <w:color w:val="000000" w:themeColor="text1"/>
        </w:rPr>
        <w:t xml:space="preserve"> </w:t>
      </w:r>
      <w:r w:rsidR="00DE5AB7" w:rsidRPr="00610401">
        <w:rPr>
          <w:noProof/>
        </w:rPr>
        <w:t>na cele związane</w:t>
      </w:r>
      <w:r w:rsidR="00610401" w:rsidRPr="00610401">
        <w:rPr>
          <w:noProof/>
        </w:rPr>
        <w:t xml:space="preserve"> z róż</w:t>
      </w:r>
      <w:r w:rsidR="00DE5AB7" w:rsidRPr="00610401">
        <w:rPr>
          <w:noProof/>
        </w:rPr>
        <w:t>norodnością biologiczną. Kolejnym źródłem finansowania ochrony</w:t>
      </w:r>
      <w:r w:rsidR="00610401" w:rsidRPr="00610401">
        <w:rPr>
          <w:noProof/>
        </w:rPr>
        <w:t xml:space="preserve"> i odb</w:t>
      </w:r>
      <w:r w:rsidR="00DE5AB7" w:rsidRPr="00610401">
        <w:rPr>
          <w:noProof/>
        </w:rPr>
        <w:t>udowy różnorodności biologicznej</w:t>
      </w:r>
      <w:r w:rsidR="00610401" w:rsidRPr="00610401">
        <w:rPr>
          <w:noProof/>
        </w:rPr>
        <w:t xml:space="preserve"> i eko</w:t>
      </w:r>
      <w:r w:rsidR="00DE5AB7" w:rsidRPr="00610401">
        <w:rPr>
          <w:noProof/>
        </w:rPr>
        <w:t xml:space="preserve">systemów jest </w:t>
      </w:r>
      <w:hyperlink r:id="rId20">
        <w:r w:rsidR="00DE5AB7" w:rsidRPr="00610401">
          <w:rPr>
            <w:noProof/>
          </w:rPr>
          <w:t>Instrument na rzecz Odbudowy</w:t>
        </w:r>
        <w:r w:rsidR="00610401" w:rsidRPr="00610401">
          <w:rPr>
            <w:noProof/>
          </w:rPr>
          <w:t xml:space="preserve"> i Zwi</w:t>
        </w:r>
        <w:r w:rsidR="00DE5AB7" w:rsidRPr="00610401">
          <w:rPr>
            <w:noProof/>
          </w:rPr>
          <w:t>ększania Odporności</w:t>
        </w:r>
      </w:hyperlink>
      <w:r w:rsidR="00DE5AB7" w:rsidRPr="00610401">
        <w:rPr>
          <w:noProof/>
        </w:rPr>
        <w:t> (RRF)</w:t>
      </w:r>
      <w:r w:rsidR="00DE5AB7" w:rsidRPr="00610401">
        <w:rPr>
          <w:rStyle w:val="FootnoteReference"/>
          <w:noProof/>
        </w:rPr>
        <w:footnoteReference w:id="104"/>
      </w:r>
      <w:r w:rsidR="00DE5AB7" w:rsidRPr="00610401">
        <w:rPr>
          <w:noProof/>
        </w:rPr>
        <w:t>. Jeśli chodzi</w:t>
      </w:r>
      <w:r w:rsidR="00610401" w:rsidRPr="00610401">
        <w:rPr>
          <w:noProof/>
        </w:rPr>
        <w:t xml:space="preserve"> o pro</w:t>
      </w:r>
      <w:r w:rsidR="00DE5AB7" w:rsidRPr="00610401">
        <w:rPr>
          <w:noProof/>
        </w:rPr>
        <w:t>gram LIFE, należy zwrócić szczególną uwagę na właściwe wykorzystanie strategicznych projektów przyrodniczych jako specjalnego narzędzia, które może wspierać wdrożenie niniejszego rozporządzenia przez skuteczne</w:t>
      </w:r>
      <w:r w:rsidR="00610401" w:rsidRPr="00610401">
        <w:rPr>
          <w:noProof/>
        </w:rPr>
        <w:t xml:space="preserve"> i efe</w:t>
      </w:r>
      <w:r w:rsidR="00DE5AB7" w:rsidRPr="00610401">
        <w:rPr>
          <w:noProof/>
        </w:rPr>
        <w:t>ktywne włączanie dostępnych środków finansowych.</w:t>
      </w:r>
    </w:p>
    <w:p w:rsidR="00EB1E48" w:rsidRPr="00610401" w:rsidRDefault="009F5C98" w:rsidP="009F5C98">
      <w:pPr>
        <w:pStyle w:val="ManualConsidrant"/>
        <w:rPr>
          <w:noProof/>
          <w:szCs w:val="24"/>
        </w:rPr>
      </w:pPr>
      <w:r w:rsidRPr="009F5C98">
        <w:t>(72)</w:t>
      </w:r>
      <w:r w:rsidRPr="009F5C98">
        <w:tab/>
      </w:r>
      <w:r w:rsidR="009B055D" w:rsidRPr="00610401">
        <w:rPr>
          <w:noProof/>
        </w:rPr>
        <w:t>Dostępnych jest szereg unijnych, krajowych</w:t>
      </w:r>
      <w:r w:rsidR="00610401" w:rsidRPr="00610401">
        <w:rPr>
          <w:noProof/>
        </w:rPr>
        <w:t xml:space="preserve"> i pry</w:t>
      </w:r>
      <w:r w:rsidR="009B055D" w:rsidRPr="00610401">
        <w:rPr>
          <w:noProof/>
        </w:rPr>
        <w:t>watnych inicjatyw stymulujących finansowanie prywatne, takich jak Program InvestEU</w:t>
      </w:r>
      <w:r w:rsidR="009B055D" w:rsidRPr="00610401">
        <w:rPr>
          <w:rStyle w:val="FootnoteReference"/>
          <w:b/>
          <w:noProof/>
        </w:rPr>
        <w:footnoteReference w:id="105"/>
      </w:r>
      <w:r w:rsidR="009B055D" w:rsidRPr="00610401">
        <w:rPr>
          <w:noProof/>
          <w:color w:val="000000" w:themeColor="text1"/>
        </w:rPr>
        <w:t>,</w:t>
      </w:r>
      <w:r w:rsidR="009B055D" w:rsidRPr="00610401">
        <w:rPr>
          <w:noProof/>
        </w:rPr>
        <w:t xml:space="preserve"> </w:t>
      </w:r>
      <w:r w:rsidR="009B055D" w:rsidRPr="00610401">
        <w:rPr>
          <w:noProof/>
          <w:color w:val="000000" w:themeColor="text1"/>
        </w:rPr>
        <w:t>który oferuje możliwości uruchomienia finansowania publicznego</w:t>
      </w:r>
      <w:r w:rsidR="00610401" w:rsidRPr="00610401">
        <w:rPr>
          <w:noProof/>
          <w:color w:val="000000" w:themeColor="text1"/>
        </w:rPr>
        <w:t xml:space="preserve"> i pry</w:t>
      </w:r>
      <w:r w:rsidR="009B055D" w:rsidRPr="00610401">
        <w:rPr>
          <w:noProof/>
          <w:color w:val="000000" w:themeColor="text1"/>
        </w:rPr>
        <w:t>watnego</w:t>
      </w:r>
      <w:r w:rsidR="00610401" w:rsidRPr="00610401">
        <w:rPr>
          <w:noProof/>
          <w:color w:val="000000" w:themeColor="text1"/>
        </w:rPr>
        <w:t xml:space="preserve"> w cel</w:t>
      </w:r>
      <w:r w:rsidR="009B055D" w:rsidRPr="00610401">
        <w:rPr>
          <w:noProof/>
          <w:color w:val="000000" w:themeColor="text1"/>
        </w:rPr>
        <w:t>u wsparcia m.in. poprawy stanu przyrody</w:t>
      </w:r>
      <w:r w:rsidR="00610401" w:rsidRPr="00610401">
        <w:rPr>
          <w:noProof/>
          <w:color w:val="000000" w:themeColor="text1"/>
        </w:rPr>
        <w:t xml:space="preserve"> i róż</w:t>
      </w:r>
      <w:r w:rsidR="009B055D" w:rsidRPr="00610401">
        <w:rPr>
          <w:noProof/>
          <w:color w:val="000000" w:themeColor="text1"/>
        </w:rPr>
        <w:t>norodności biologicznej za pomocą projektów</w:t>
      </w:r>
      <w:r w:rsidR="00610401" w:rsidRPr="00610401">
        <w:rPr>
          <w:noProof/>
          <w:color w:val="000000" w:themeColor="text1"/>
        </w:rPr>
        <w:t xml:space="preserve"> w zak</w:t>
      </w:r>
      <w:r w:rsidR="009B055D" w:rsidRPr="00610401">
        <w:rPr>
          <w:noProof/>
          <w:color w:val="000000" w:themeColor="text1"/>
        </w:rPr>
        <w:t>resie zielonej</w:t>
      </w:r>
      <w:r w:rsidR="00610401" w:rsidRPr="00610401">
        <w:rPr>
          <w:noProof/>
          <w:color w:val="000000" w:themeColor="text1"/>
        </w:rPr>
        <w:t xml:space="preserve"> i nie</w:t>
      </w:r>
      <w:r w:rsidR="009B055D" w:rsidRPr="00610401">
        <w:rPr>
          <w:noProof/>
          <w:color w:val="000000" w:themeColor="text1"/>
        </w:rPr>
        <w:t xml:space="preserve">bieskiej infrastruktury </w:t>
      </w:r>
      <w:r w:rsidR="009B055D" w:rsidRPr="00610401">
        <w:rPr>
          <w:noProof/>
        </w:rPr>
        <w:t>oraz uprawy sprzyjającej pochłanianiu dwutlenku węgla przez glebę jako ekologicznego modelu biznesowego</w:t>
      </w:r>
      <w:r w:rsidR="009B055D" w:rsidRPr="00610401">
        <w:rPr>
          <w:rStyle w:val="FootnoteReference"/>
          <w:noProof/>
          <w:szCs w:val="24"/>
        </w:rPr>
        <w:footnoteReference w:id="106"/>
      </w:r>
      <w:r w:rsidR="009B055D" w:rsidRPr="00610401">
        <w:rPr>
          <w:noProof/>
        </w:rPr>
        <w:t>.</w:t>
      </w:r>
    </w:p>
    <w:p w:rsidR="009B055D" w:rsidRPr="00610401" w:rsidRDefault="009F5C98" w:rsidP="009F5C98">
      <w:pPr>
        <w:pStyle w:val="ManualConsidrant"/>
        <w:rPr>
          <w:noProof/>
          <w:szCs w:val="24"/>
        </w:rPr>
      </w:pPr>
      <w:r w:rsidRPr="009F5C98">
        <w:t>(73)</w:t>
      </w:r>
      <w:r w:rsidRPr="009F5C98">
        <w:tab/>
      </w:r>
      <w:r w:rsidR="009B055D" w:rsidRPr="00610401">
        <w:rPr>
          <w:rStyle w:val="normaltextrun"/>
          <w:noProof/>
          <w:color w:val="000000" w:themeColor="text1"/>
        </w:rPr>
        <w:t>Państwa członkowskie powinny wspierać</w:t>
      </w:r>
      <w:r w:rsidR="009B055D" w:rsidRPr="00610401">
        <w:rPr>
          <w:rStyle w:val="normaltextrun"/>
          <w:noProof/>
        </w:rPr>
        <w:t xml:space="preserve"> sprawiedliwe</w:t>
      </w:r>
      <w:r w:rsidR="00610401" w:rsidRPr="00610401">
        <w:rPr>
          <w:rStyle w:val="normaltextrun"/>
          <w:noProof/>
        </w:rPr>
        <w:t xml:space="preserve"> i ogó</w:t>
      </w:r>
      <w:r w:rsidR="009B055D" w:rsidRPr="00610401">
        <w:rPr>
          <w:rStyle w:val="normaltextrun"/>
          <w:noProof/>
        </w:rPr>
        <w:t xml:space="preserve">lnospołeczne podejście </w:t>
      </w:r>
      <w:r w:rsidR="009B055D" w:rsidRPr="00610401">
        <w:rPr>
          <w:rStyle w:val="normaltextrun"/>
          <w:noProof/>
          <w:color w:val="000000"/>
          <w:shd w:val="clear" w:color="auto" w:fill="FFFFFF"/>
        </w:rPr>
        <w:t>do przygotowania</w:t>
      </w:r>
      <w:r w:rsidR="00610401" w:rsidRPr="00610401">
        <w:rPr>
          <w:rStyle w:val="normaltextrun"/>
          <w:noProof/>
          <w:color w:val="000000"/>
          <w:shd w:val="clear" w:color="auto" w:fill="FFFFFF"/>
        </w:rPr>
        <w:t xml:space="preserve"> i wdr</w:t>
      </w:r>
      <w:r w:rsidR="009B055D" w:rsidRPr="00610401">
        <w:rPr>
          <w:rStyle w:val="normaltextrun"/>
          <w:noProof/>
          <w:color w:val="000000"/>
          <w:shd w:val="clear" w:color="auto" w:fill="FFFFFF"/>
        </w:rPr>
        <w:t xml:space="preserve">ażania </w:t>
      </w:r>
      <w:r w:rsidR="009B055D" w:rsidRPr="00610401">
        <w:rPr>
          <w:rStyle w:val="normaltextrun"/>
          <w:noProof/>
          <w:color w:val="000000" w:themeColor="text1"/>
        </w:rPr>
        <w:t xml:space="preserve">swoich krajowych planów odbudowy przez włączenie </w:t>
      </w:r>
      <w:r w:rsidR="009B055D" w:rsidRPr="00610401">
        <w:rPr>
          <w:noProof/>
        </w:rPr>
        <w:t>procesów umożliwiających udział społeczeństwa oraz uwzględnienie potrzeb społeczności lokalnych</w:t>
      </w:r>
      <w:r w:rsidR="00610401" w:rsidRPr="00610401">
        <w:rPr>
          <w:noProof/>
        </w:rPr>
        <w:t xml:space="preserve"> i zai</w:t>
      </w:r>
      <w:r w:rsidR="009B055D" w:rsidRPr="00610401">
        <w:rPr>
          <w:noProof/>
        </w:rPr>
        <w:t xml:space="preserve">nteresowanych stron. </w:t>
      </w:r>
    </w:p>
    <w:p w:rsidR="007A2E33" w:rsidRPr="00610401" w:rsidRDefault="009F5C98" w:rsidP="009F5C98">
      <w:pPr>
        <w:pStyle w:val="ManualConsidrant"/>
        <w:rPr>
          <w:noProof/>
        </w:rPr>
      </w:pPr>
      <w:r w:rsidRPr="009F5C98">
        <w:t>(74)</w:t>
      </w:r>
      <w:r w:rsidRPr="009F5C98">
        <w:tab/>
      </w:r>
      <w:r w:rsidR="009242C3" w:rsidRPr="00610401">
        <w:rPr>
          <w:noProof/>
        </w:rPr>
        <w:t>Zgodnie</w:t>
      </w:r>
      <w:r w:rsidR="00610401" w:rsidRPr="00610401">
        <w:rPr>
          <w:noProof/>
        </w:rPr>
        <w:t xml:space="preserve"> z roz</w:t>
      </w:r>
      <w:r w:rsidR="009242C3" w:rsidRPr="00610401">
        <w:rPr>
          <w:noProof/>
        </w:rPr>
        <w:t>porządzeniem Parlamentu Europejskiego</w:t>
      </w:r>
      <w:r w:rsidR="00610401" w:rsidRPr="00610401">
        <w:rPr>
          <w:noProof/>
        </w:rPr>
        <w:t xml:space="preserve"> i Rad</w:t>
      </w:r>
      <w:r w:rsidR="009242C3" w:rsidRPr="00610401">
        <w:rPr>
          <w:noProof/>
        </w:rPr>
        <w:t>y (UE) 2021/2115</w:t>
      </w:r>
      <w:r w:rsidR="009242C3" w:rsidRPr="00610401">
        <w:rPr>
          <w:rStyle w:val="FootnoteReference"/>
          <w:noProof/>
        </w:rPr>
        <w:footnoteReference w:id="107"/>
      </w:r>
      <w:r w:rsidR="009242C3" w:rsidRPr="00610401">
        <w:rPr>
          <w:noProof/>
        </w:rPr>
        <w:t xml:space="preserve"> plany strategiczne WPR mają przyczyniać się do realizacji już ustalonych długoterminowych celów krajowych określonych</w:t>
      </w:r>
      <w:r w:rsidR="00610401" w:rsidRPr="00610401">
        <w:rPr>
          <w:noProof/>
        </w:rPr>
        <w:t xml:space="preserve"> w akt</w:t>
      </w:r>
      <w:r w:rsidR="009242C3" w:rsidRPr="00610401">
        <w:rPr>
          <w:noProof/>
        </w:rPr>
        <w:t>ach prawnych, wymienionych</w:t>
      </w:r>
      <w:r w:rsidR="00610401" w:rsidRPr="00610401">
        <w:rPr>
          <w:noProof/>
        </w:rPr>
        <w:t xml:space="preserve"> w zał</w:t>
      </w:r>
      <w:r w:rsidR="009242C3" w:rsidRPr="00610401">
        <w:rPr>
          <w:noProof/>
        </w:rPr>
        <w:t>ączniku XIII do tego rozporządzenia, lub wynikających</w:t>
      </w:r>
      <w:r w:rsidR="00610401" w:rsidRPr="00610401">
        <w:rPr>
          <w:noProof/>
        </w:rPr>
        <w:t xml:space="preserve"> z nic</w:t>
      </w:r>
      <w:r w:rsidR="009242C3" w:rsidRPr="00610401">
        <w:rPr>
          <w:noProof/>
        </w:rPr>
        <w:t>h, oraz mają być</w:t>
      </w:r>
      <w:r w:rsidR="00610401" w:rsidRPr="00610401">
        <w:rPr>
          <w:noProof/>
        </w:rPr>
        <w:t xml:space="preserve"> z nim</w:t>
      </w:r>
      <w:r w:rsidR="009242C3" w:rsidRPr="00610401">
        <w:rPr>
          <w:noProof/>
        </w:rPr>
        <w:t>i spójne. Komisja powinna uwzględnić niniejsze rozporządzenie</w:t>
      </w:r>
      <w:r w:rsidR="00610401" w:rsidRPr="00610401">
        <w:rPr>
          <w:noProof/>
        </w:rPr>
        <w:t xml:space="preserve"> w spr</w:t>
      </w:r>
      <w:r w:rsidR="009242C3" w:rsidRPr="00610401">
        <w:rPr>
          <w:noProof/>
        </w:rPr>
        <w:t>awie odbudowy zasobów przyrodniczych przy dokonywaniu – zgodnie</w:t>
      </w:r>
      <w:r w:rsidR="00610401" w:rsidRPr="00610401">
        <w:rPr>
          <w:noProof/>
        </w:rPr>
        <w:t xml:space="preserve"> z art</w:t>
      </w:r>
      <w:r w:rsidR="009242C3" w:rsidRPr="00610401">
        <w:rPr>
          <w:noProof/>
        </w:rPr>
        <w:t>.</w:t>
      </w:r>
      <w:r w:rsidR="00610401" w:rsidRPr="00610401">
        <w:rPr>
          <w:noProof/>
        </w:rPr>
        <w:t> </w:t>
      </w:r>
      <w:r w:rsidR="009242C3" w:rsidRPr="00610401">
        <w:rPr>
          <w:noProof/>
        </w:rPr>
        <w:t>159 rozporządzenia (UE) 2021/2115 do dnia 31 grudnia 2025</w:t>
      </w:r>
      <w:r w:rsidR="00610401" w:rsidRPr="00610401">
        <w:rPr>
          <w:noProof/>
        </w:rPr>
        <w:t> </w:t>
      </w:r>
      <w:r w:rsidR="009242C3" w:rsidRPr="00610401">
        <w:rPr>
          <w:noProof/>
        </w:rPr>
        <w:t>r. – przeglądu wykazu zawartego</w:t>
      </w:r>
      <w:r w:rsidR="00610401" w:rsidRPr="00610401">
        <w:rPr>
          <w:noProof/>
        </w:rPr>
        <w:t xml:space="preserve"> w zał</w:t>
      </w:r>
      <w:r w:rsidR="009242C3" w:rsidRPr="00610401">
        <w:rPr>
          <w:noProof/>
        </w:rPr>
        <w:t>ączniku XIII do tego rozporządzenia.</w:t>
      </w:r>
    </w:p>
    <w:p w:rsidR="001A6237" w:rsidRPr="00610401" w:rsidRDefault="009F5C98" w:rsidP="009F5C98">
      <w:pPr>
        <w:pStyle w:val="ManualConsidrant"/>
        <w:rPr>
          <w:noProof/>
        </w:rPr>
      </w:pPr>
      <w:r w:rsidRPr="009F5C98">
        <w:t>(75)</w:t>
      </w:r>
      <w:r w:rsidRPr="009F5C98">
        <w:tab/>
      </w:r>
      <w:r w:rsidR="4DFD7637" w:rsidRPr="00610401">
        <w:rPr>
          <w:noProof/>
        </w:rPr>
        <w:t>Zgodnie</w:t>
      </w:r>
      <w:r w:rsidR="00610401" w:rsidRPr="00610401">
        <w:rPr>
          <w:noProof/>
        </w:rPr>
        <w:t xml:space="preserve"> z zob</w:t>
      </w:r>
      <w:r w:rsidR="4DFD7637" w:rsidRPr="00610401">
        <w:rPr>
          <w:noProof/>
        </w:rPr>
        <w:t>owiązaniem zawartym</w:t>
      </w:r>
      <w:r w:rsidR="00610401" w:rsidRPr="00610401">
        <w:rPr>
          <w:noProof/>
        </w:rPr>
        <w:t xml:space="preserve"> w 8</w:t>
      </w:r>
      <w:r w:rsidR="4DFD7637" w:rsidRPr="00610401">
        <w:rPr>
          <w:noProof/>
        </w:rPr>
        <w:t>. unijnym programie działań</w:t>
      </w:r>
      <w:r w:rsidR="00610401" w:rsidRPr="00610401">
        <w:rPr>
          <w:noProof/>
        </w:rPr>
        <w:t xml:space="preserve"> w zak</w:t>
      </w:r>
      <w:r w:rsidR="4DFD7637" w:rsidRPr="00610401">
        <w:rPr>
          <w:noProof/>
        </w:rPr>
        <w:t>resie</w:t>
      </w:r>
      <w:r w:rsidR="00610401" w:rsidRPr="00610401">
        <w:rPr>
          <w:noProof/>
        </w:rPr>
        <w:t xml:space="preserve"> </w:t>
      </w:r>
      <w:r w:rsidR="4DFD7637" w:rsidRPr="00610401">
        <w:rPr>
          <w:noProof/>
        </w:rPr>
        <w:t>środowiska do</w:t>
      </w:r>
      <w:r w:rsidR="00610401" w:rsidRPr="00610401">
        <w:rPr>
          <w:noProof/>
        </w:rPr>
        <w:t> </w:t>
      </w:r>
      <w:r w:rsidR="4DFD7637" w:rsidRPr="00610401">
        <w:rPr>
          <w:noProof/>
        </w:rPr>
        <w:t>2030 r.</w:t>
      </w:r>
      <w:r w:rsidR="4DFD7637" w:rsidRPr="00610401">
        <w:rPr>
          <w:rStyle w:val="FootnoteReference"/>
          <w:noProof/>
        </w:rPr>
        <w:footnoteReference w:id="108"/>
      </w:r>
      <w:r w:rsidR="4DFD7637" w:rsidRPr="00610401">
        <w:rPr>
          <w:noProof/>
        </w:rPr>
        <w:t xml:space="preserve"> państwa członkowskie powinny wycofać dotacje</w:t>
      </w:r>
      <w:r w:rsidR="00610401" w:rsidRPr="00610401">
        <w:rPr>
          <w:noProof/>
        </w:rPr>
        <w:t xml:space="preserve"> o sku</w:t>
      </w:r>
      <w:r w:rsidR="4DFD7637" w:rsidRPr="00610401">
        <w:rPr>
          <w:noProof/>
        </w:rPr>
        <w:t>tkach szkodliwych dla środowiska na szczeblu krajowym, wykorzystując przy tym jak najlepiej instrumenty rynkowe</w:t>
      </w:r>
      <w:r w:rsidR="00610401" w:rsidRPr="00610401">
        <w:rPr>
          <w:noProof/>
        </w:rPr>
        <w:t xml:space="preserve"> i nar</w:t>
      </w:r>
      <w:r w:rsidR="4DFD7637" w:rsidRPr="00610401">
        <w:rPr>
          <w:noProof/>
        </w:rPr>
        <w:t>zędzia ekologicznego planowania budżetu,</w:t>
      </w:r>
      <w:r w:rsidR="00610401" w:rsidRPr="00610401">
        <w:rPr>
          <w:noProof/>
        </w:rPr>
        <w:t xml:space="preserve"> w tym</w:t>
      </w:r>
      <w:r w:rsidR="4DFD7637" w:rsidRPr="00610401">
        <w:rPr>
          <w:noProof/>
        </w:rPr>
        <w:t xml:space="preserve"> wymagane</w:t>
      </w:r>
      <w:r w:rsidR="00610401" w:rsidRPr="00610401">
        <w:rPr>
          <w:noProof/>
        </w:rPr>
        <w:t xml:space="preserve"> w cel</w:t>
      </w:r>
      <w:r w:rsidR="4DFD7637" w:rsidRPr="00610401">
        <w:rPr>
          <w:noProof/>
        </w:rPr>
        <w:t>u zapewnienia sprawiedliwej społecznie transformacji, oraz wspierając przedsiębiorstwa</w:t>
      </w:r>
      <w:r w:rsidR="00610401" w:rsidRPr="00610401">
        <w:rPr>
          <w:noProof/>
        </w:rPr>
        <w:t xml:space="preserve"> i inn</w:t>
      </w:r>
      <w:r w:rsidR="4DFD7637" w:rsidRPr="00610401">
        <w:rPr>
          <w:noProof/>
        </w:rPr>
        <w:t>e zainteresowane strony</w:t>
      </w:r>
      <w:r w:rsidR="00610401" w:rsidRPr="00610401">
        <w:rPr>
          <w:noProof/>
        </w:rPr>
        <w:t xml:space="preserve"> w pra</w:t>
      </w:r>
      <w:r w:rsidR="4DFD7637" w:rsidRPr="00610401">
        <w:rPr>
          <w:noProof/>
        </w:rPr>
        <w:t>cach nad normalizacją praktyk</w:t>
      </w:r>
      <w:r w:rsidR="00610401" w:rsidRPr="00610401">
        <w:rPr>
          <w:noProof/>
        </w:rPr>
        <w:t xml:space="preserve"> w zak</w:t>
      </w:r>
      <w:r w:rsidR="4DFD7637" w:rsidRPr="00610401">
        <w:rPr>
          <w:noProof/>
        </w:rPr>
        <w:t xml:space="preserve">resie rozliczania kapitału naturalnego. </w:t>
      </w:r>
    </w:p>
    <w:p w:rsidR="00E87995" w:rsidRPr="00610401" w:rsidRDefault="009F5C98" w:rsidP="009F5C98">
      <w:pPr>
        <w:pStyle w:val="ManualConsidrant"/>
        <w:rPr>
          <w:noProof/>
        </w:rPr>
      </w:pPr>
      <w:r w:rsidRPr="009F5C98">
        <w:t>(76)</w:t>
      </w:r>
      <w:r w:rsidRPr="009F5C98">
        <w:tab/>
      </w:r>
      <w:r w:rsidR="724D6AAD" w:rsidRPr="00610401">
        <w:rPr>
          <w:noProof/>
        </w:rPr>
        <w:t>Aby zapewnić niezbędne dostosowanie niniejszego rozporządzenia, należy przekazać Komisji uprawnienia do przyjmowania aktów zgodnie</w:t>
      </w:r>
      <w:r w:rsidR="00610401" w:rsidRPr="00610401">
        <w:rPr>
          <w:noProof/>
        </w:rPr>
        <w:t xml:space="preserve"> z art</w:t>
      </w:r>
      <w:r w:rsidR="724D6AAD" w:rsidRPr="00610401">
        <w:rPr>
          <w:noProof/>
        </w:rPr>
        <w:t>.</w:t>
      </w:r>
      <w:r w:rsidR="00610401" w:rsidRPr="00610401">
        <w:rPr>
          <w:noProof/>
        </w:rPr>
        <w:t> </w:t>
      </w:r>
      <w:r w:rsidR="724D6AAD" w:rsidRPr="00610401">
        <w:rPr>
          <w:noProof/>
        </w:rPr>
        <w:t>290 TFUE</w:t>
      </w:r>
      <w:r w:rsidR="00610401" w:rsidRPr="00610401">
        <w:rPr>
          <w:noProof/>
        </w:rPr>
        <w:t xml:space="preserve"> w odn</w:t>
      </w:r>
      <w:r w:rsidR="724D6AAD" w:rsidRPr="00610401">
        <w:rPr>
          <w:noProof/>
        </w:rPr>
        <w:t>iesieniu do zmiany załączników I–VII celem dostosowania grupy siedlisk, zaktualizowania informacji na temat wskaźnika liczebności pospolitych ptaków krajobrazu rolniczego,</w:t>
      </w:r>
      <w:r w:rsidR="00610401" w:rsidRPr="00610401">
        <w:rPr>
          <w:noProof/>
        </w:rPr>
        <w:t xml:space="preserve"> a tak</w:t>
      </w:r>
      <w:r w:rsidR="724D6AAD" w:rsidRPr="00610401">
        <w:rPr>
          <w:noProof/>
        </w:rPr>
        <w:t>że dostosowania wykazu wskaźników różnorodności biologicznej dotyczących ekosystemów rolniczych, wykazu wskaźników różnorodności biologicznej dotyczących ekosystemów leśnych oraz wykazu gatunków morskich zgodnie</w:t>
      </w:r>
      <w:r w:rsidR="00610401" w:rsidRPr="00610401">
        <w:rPr>
          <w:noProof/>
        </w:rPr>
        <w:t xml:space="preserve"> z naj</w:t>
      </w:r>
      <w:r w:rsidR="724D6AAD" w:rsidRPr="00610401">
        <w:rPr>
          <w:noProof/>
        </w:rPr>
        <w:t>nowszymi dowodami naukowymi</w:t>
      </w:r>
      <w:r w:rsidR="00610401" w:rsidRPr="00610401">
        <w:rPr>
          <w:noProof/>
        </w:rPr>
        <w:t xml:space="preserve"> i prz</w:t>
      </w:r>
      <w:r w:rsidR="724D6AAD" w:rsidRPr="00610401">
        <w:rPr>
          <w:noProof/>
        </w:rPr>
        <w:t>ykładami środków odbudowy. Szczególnie ważne jest, aby</w:t>
      </w:r>
      <w:r w:rsidR="00610401" w:rsidRPr="00610401">
        <w:rPr>
          <w:noProof/>
        </w:rPr>
        <w:t xml:space="preserve"> w cza</w:t>
      </w:r>
      <w:r w:rsidR="724D6AAD" w:rsidRPr="00610401">
        <w:rPr>
          <w:noProof/>
        </w:rPr>
        <w:t>sie prac przygotowawczych Komisja prowadziła stosowne konsultacje,</w:t>
      </w:r>
      <w:r w:rsidR="00610401" w:rsidRPr="00610401">
        <w:rPr>
          <w:noProof/>
        </w:rPr>
        <w:t xml:space="preserve"> w tym</w:t>
      </w:r>
      <w:r w:rsidR="724D6AAD" w:rsidRPr="00610401">
        <w:rPr>
          <w:noProof/>
        </w:rPr>
        <w:t xml:space="preserve"> na poziomie ekspertów, oraz aby konsultacje te prowadzone były zgodnie</w:t>
      </w:r>
      <w:r w:rsidR="00610401" w:rsidRPr="00610401">
        <w:rPr>
          <w:noProof/>
        </w:rPr>
        <w:t xml:space="preserve"> z zas</w:t>
      </w:r>
      <w:r w:rsidR="724D6AAD" w:rsidRPr="00610401">
        <w:rPr>
          <w:noProof/>
        </w:rPr>
        <w:t>adami określonymi</w:t>
      </w:r>
      <w:r w:rsidR="00610401" w:rsidRPr="00610401">
        <w:rPr>
          <w:noProof/>
        </w:rPr>
        <w:t xml:space="preserve"> w Por</w:t>
      </w:r>
      <w:r w:rsidR="724D6AAD" w:rsidRPr="00610401">
        <w:rPr>
          <w:noProof/>
        </w:rPr>
        <w:t>ozumieniu międzyinstytucjonalnym</w:t>
      </w:r>
      <w:r w:rsidR="00610401" w:rsidRPr="00610401">
        <w:rPr>
          <w:noProof/>
        </w:rPr>
        <w:t xml:space="preserve"> z dni</w:t>
      </w:r>
      <w:r w:rsidR="724D6AAD" w:rsidRPr="00610401">
        <w:rPr>
          <w:noProof/>
        </w:rPr>
        <w:t>a 13 kwietnia 2016</w:t>
      </w:r>
      <w:r w:rsidR="00610401" w:rsidRPr="00610401">
        <w:rPr>
          <w:noProof/>
        </w:rPr>
        <w:t> </w:t>
      </w:r>
      <w:r w:rsidR="724D6AAD" w:rsidRPr="00610401">
        <w:rPr>
          <w:noProof/>
        </w:rPr>
        <w:t>r.</w:t>
      </w:r>
      <w:r w:rsidR="00610401" w:rsidRPr="00610401">
        <w:rPr>
          <w:noProof/>
        </w:rPr>
        <w:t xml:space="preserve"> w spr</w:t>
      </w:r>
      <w:r w:rsidR="724D6AAD" w:rsidRPr="00610401">
        <w:rPr>
          <w:noProof/>
        </w:rPr>
        <w:t>awie lepszego stanowienia prawa</w:t>
      </w:r>
      <w:r w:rsidR="724D6AAD" w:rsidRPr="00610401">
        <w:rPr>
          <w:noProof/>
          <w:vertAlign w:val="superscript"/>
        </w:rPr>
        <w:t>52</w:t>
      </w:r>
      <w:r w:rsidR="00610401" w:rsidRPr="00610401">
        <w:rPr>
          <w:noProof/>
        </w:rPr>
        <w:t>. W szc</w:t>
      </w:r>
      <w:r w:rsidR="724D6AAD" w:rsidRPr="00610401">
        <w:rPr>
          <w:noProof/>
        </w:rPr>
        <w:t>zególności, aby zapewnić Parlamentowi Europejskiemu</w:t>
      </w:r>
      <w:r w:rsidR="00610401" w:rsidRPr="00610401">
        <w:rPr>
          <w:noProof/>
        </w:rPr>
        <w:t xml:space="preserve"> i Rad</w:t>
      </w:r>
      <w:r w:rsidR="724D6AAD" w:rsidRPr="00610401">
        <w:rPr>
          <w:noProof/>
        </w:rPr>
        <w:t>zie udział na równych zasadach</w:t>
      </w:r>
      <w:r w:rsidR="00610401" w:rsidRPr="00610401">
        <w:rPr>
          <w:noProof/>
        </w:rPr>
        <w:t xml:space="preserve"> w prz</w:t>
      </w:r>
      <w:r w:rsidR="724D6AAD" w:rsidRPr="00610401">
        <w:rPr>
          <w:noProof/>
        </w:rPr>
        <w:t>ygotowaniu aktów delegowanych, instytucje te otrzymują wszelkie dokumenty</w:t>
      </w:r>
      <w:r w:rsidR="00610401" w:rsidRPr="00610401">
        <w:rPr>
          <w:noProof/>
        </w:rPr>
        <w:t xml:space="preserve"> w tym</w:t>
      </w:r>
      <w:r w:rsidR="724D6AAD" w:rsidRPr="00610401">
        <w:rPr>
          <w:noProof/>
        </w:rPr>
        <w:t xml:space="preserve"> samym czasie co eksperci państw członkowskich,</w:t>
      </w:r>
      <w:r w:rsidR="00610401" w:rsidRPr="00610401">
        <w:rPr>
          <w:noProof/>
        </w:rPr>
        <w:t xml:space="preserve"> a eks</w:t>
      </w:r>
      <w:r w:rsidR="724D6AAD" w:rsidRPr="00610401">
        <w:rPr>
          <w:noProof/>
        </w:rPr>
        <w:t>perci tych instytucji mogą systematycznie brać udział</w:t>
      </w:r>
      <w:r w:rsidR="00610401" w:rsidRPr="00610401">
        <w:rPr>
          <w:noProof/>
        </w:rPr>
        <w:t xml:space="preserve"> w pos</w:t>
      </w:r>
      <w:r w:rsidR="724D6AAD" w:rsidRPr="00610401">
        <w:rPr>
          <w:noProof/>
        </w:rPr>
        <w:t xml:space="preserve">iedzeniach grup ekspertów Komisji zajmujących się przygotowaniem aktów delegowanych. </w:t>
      </w:r>
    </w:p>
    <w:p w:rsidR="00C3592D" w:rsidRPr="00610401" w:rsidRDefault="009F5C98" w:rsidP="009F5C98">
      <w:pPr>
        <w:pStyle w:val="ManualConsidrant"/>
        <w:rPr>
          <w:noProof/>
        </w:rPr>
      </w:pPr>
      <w:r w:rsidRPr="009F5C98">
        <w:t>(77)</w:t>
      </w:r>
      <w:r w:rsidRPr="009F5C98">
        <w:tab/>
      </w:r>
      <w:r w:rsidR="39A78995" w:rsidRPr="00610401">
        <w:rPr>
          <w:noProof/>
        </w:rPr>
        <w:t>Aby zapewnić jednolite warunki wdrażania niniejszego rozporządzenia, należy przekazać Komisji uprawnienia wykonawcze, tak aby mogła ona określić metodę monitorowania owadów zapylających, metody monitorowania wskaźników dotyczących ekosystemów rolniczych wymienionych</w:t>
      </w:r>
      <w:r w:rsidR="00610401" w:rsidRPr="00610401">
        <w:rPr>
          <w:noProof/>
        </w:rPr>
        <w:t xml:space="preserve"> w zał</w:t>
      </w:r>
      <w:r w:rsidR="39A78995" w:rsidRPr="00610401">
        <w:rPr>
          <w:noProof/>
        </w:rPr>
        <w:t>ączniku IV do niniejszego rozporządzenia oraz wskaźników dotyczących ekosystemów leśnych wymienionych</w:t>
      </w:r>
      <w:r w:rsidR="00610401" w:rsidRPr="00610401">
        <w:rPr>
          <w:noProof/>
        </w:rPr>
        <w:t xml:space="preserve"> w zał</w:t>
      </w:r>
      <w:r w:rsidR="39A78995" w:rsidRPr="00610401">
        <w:rPr>
          <w:noProof/>
        </w:rPr>
        <w:t>ączniku VI do niniejszego rozporządzenia, opracować ramy na potrzeby ustalenia zadowalającego poziomu populacji owadów zapylających, wskaźników dotyczących ekosystemów rolniczych wymienionych</w:t>
      </w:r>
      <w:r w:rsidR="00610401" w:rsidRPr="00610401">
        <w:rPr>
          <w:noProof/>
        </w:rPr>
        <w:t xml:space="preserve"> w zał</w:t>
      </w:r>
      <w:r w:rsidR="39A78995" w:rsidRPr="00610401">
        <w:rPr>
          <w:noProof/>
        </w:rPr>
        <w:t>ączniku IV do niniejszego rozporządzenia, wskaźników dotyczących ekosystemów leśnych wymienionych</w:t>
      </w:r>
      <w:r w:rsidR="00610401" w:rsidRPr="00610401">
        <w:rPr>
          <w:noProof/>
        </w:rPr>
        <w:t xml:space="preserve"> w zał</w:t>
      </w:r>
      <w:r w:rsidR="39A78995" w:rsidRPr="00610401">
        <w:rPr>
          <w:noProof/>
        </w:rPr>
        <w:t>ączniku VI do niniejszego rozporządzenia,</w:t>
      </w:r>
      <w:r w:rsidR="00610401" w:rsidRPr="00610401">
        <w:rPr>
          <w:noProof/>
        </w:rPr>
        <w:t xml:space="preserve"> a tak</w:t>
      </w:r>
      <w:r w:rsidR="39A78995" w:rsidRPr="00610401">
        <w:rPr>
          <w:noProof/>
        </w:rPr>
        <w:t>że ustanowić jednolity format krajowych planów odbudowy oraz format, strukturę</w:t>
      </w:r>
      <w:r w:rsidR="00610401" w:rsidRPr="00610401">
        <w:rPr>
          <w:noProof/>
        </w:rPr>
        <w:t xml:space="preserve"> i szc</w:t>
      </w:r>
      <w:r w:rsidR="39A78995" w:rsidRPr="00610401">
        <w:rPr>
          <w:noProof/>
        </w:rPr>
        <w:t>zegółowe ustalenia dotyczące przekazywania Komisji danych</w:t>
      </w:r>
      <w:r w:rsidR="00610401" w:rsidRPr="00610401">
        <w:rPr>
          <w:noProof/>
        </w:rPr>
        <w:t xml:space="preserve"> i inf</w:t>
      </w:r>
      <w:r w:rsidR="39A78995" w:rsidRPr="00610401">
        <w:rPr>
          <w:noProof/>
        </w:rPr>
        <w:t>ormacji drogą elektroniczną. Uprawnienia te powinny być wykonywane zgodnie</w:t>
      </w:r>
      <w:r w:rsidR="00610401" w:rsidRPr="00610401">
        <w:rPr>
          <w:noProof/>
        </w:rPr>
        <w:t xml:space="preserve"> z roz</w:t>
      </w:r>
      <w:r w:rsidR="39A78995" w:rsidRPr="00610401">
        <w:rPr>
          <w:noProof/>
        </w:rPr>
        <w:t>porządzeniem Parlamentu Europejskiego</w:t>
      </w:r>
      <w:r w:rsidR="00610401" w:rsidRPr="00610401">
        <w:rPr>
          <w:noProof/>
        </w:rPr>
        <w:t xml:space="preserve"> i Rad</w:t>
      </w:r>
      <w:r w:rsidR="39A78995" w:rsidRPr="00610401">
        <w:rPr>
          <w:noProof/>
        </w:rPr>
        <w:t>y (UE) nr</w:t>
      </w:r>
      <w:r w:rsidR="00610401" w:rsidRPr="00610401">
        <w:rPr>
          <w:noProof/>
        </w:rPr>
        <w:t> </w:t>
      </w:r>
      <w:r w:rsidR="39A78995" w:rsidRPr="00610401">
        <w:rPr>
          <w:noProof/>
        </w:rPr>
        <w:t>182/2011</w:t>
      </w:r>
      <w:r w:rsidR="39A78995" w:rsidRPr="00610401">
        <w:rPr>
          <w:rStyle w:val="FootnoteReference"/>
          <w:noProof/>
        </w:rPr>
        <w:footnoteReference w:id="109"/>
      </w:r>
      <w:r w:rsidR="39A78995" w:rsidRPr="00610401">
        <w:rPr>
          <w:noProof/>
        </w:rPr>
        <w:t xml:space="preserve">. </w:t>
      </w:r>
    </w:p>
    <w:p w:rsidR="001C0627" w:rsidRPr="00610401" w:rsidRDefault="009F5C98" w:rsidP="009F5C98">
      <w:pPr>
        <w:pStyle w:val="ManualConsidrant"/>
        <w:rPr>
          <w:noProof/>
        </w:rPr>
      </w:pPr>
      <w:r w:rsidRPr="009F5C98">
        <w:t>(78)</w:t>
      </w:r>
      <w:r w:rsidRPr="009F5C98">
        <w:tab/>
      </w:r>
      <w:r w:rsidR="001C0627" w:rsidRPr="00610401">
        <w:rPr>
          <w:noProof/>
        </w:rPr>
        <w:t>Komisja powinna przeprowadzić ocenę niniejszego rozporządzenia. Zgodnie</w:t>
      </w:r>
      <w:r w:rsidR="00610401" w:rsidRPr="00610401">
        <w:rPr>
          <w:noProof/>
        </w:rPr>
        <w:t xml:space="preserve"> z pkt </w:t>
      </w:r>
      <w:r w:rsidR="001C0627" w:rsidRPr="00610401">
        <w:rPr>
          <w:noProof/>
        </w:rPr>
        <w:t>22 Porozumienia międzyinstytucjonalnego</w:t>
      </w:r>
      <w:r w:rsidR="00610401" w:rsidRPr="00610401">
        <w:rPr>
          <w:noProof/>
        </w:rPr>
        <w:t xml:space="preserve"> w spr</w:t>
      </w:r>
      <w:r w:rsidR="001C0627" w:rsidRPr="00610401">
        <w:rPr>
          <w:noProof/>
        </w:rPr>
        <w:t>awie lepszego stanowienia prawa ocena ta powinna opierać się na następujących kryteriach: skuteczności, efektywności, odpowiedniości, spójności</w:t>
      </w:r>
      <w:r w:rsidR="00610401" w:rsidRPr="00610401">
        <w:rPr>
          <w:noProof/>
        </w:rPr>
        <w:t xml:space="preserve"> i uni</w:t>
      </w:r>
      <w:r w:rsidR="001C0627" w:rsidRPr="00610401">
        <w:rPr>
          <w:noProof/>
        </w:rPr>
        <w:t>jnej wartości dodanej oraz powinna służyć jako podstawa oceny skutków ewentualnych dalszych działań. Komisja powinna ponadto ocenić potrzebę ustanowienia dodatkowych celów</w:t>
      </w:r>
      <w:r w:rsidR="00610401" w:rsidRPr="00610401">
        <w:rPr>
          <w:noProof/>
        </w:rPr>
        <w:t xml:space="preserve"> w zak</w:t>
      </w:r>
      <w:r w:rsidR="001C0627" w:rsidRPr="00610401">
        <w:rPr>
          <w:noProof/>
        </w:rPr>
        <w:t>resie odbudowy,</w:t>
      </w:r>
      <w:r w:rsidR="00610401" w:rsidRPr="00610401">
        <w:rPr>
          <w:noProof/>
        </w:rPr>
        <w:t xml:space="preserve"> w opa</w:t>
      </w:r>
      <w:r w:rsidR="001C0627" w:rsidRPr="00610401">
        <w:rPr>
          <w:noProof/>
        </w:rPr>
        <w:t>rciu</w:t>
      </w:r>
      <w:r w:rsidR="00610401" w:rsidRPr="00610401">
        <w:rPr>
          <w:noProof/>
        </w:rPr>
        <w:t xml:space="preserve"> o wsp</w:t>
      </w:r>
      <w:r w:rsidR="001C0627" w:rsidRPr="00610401">
        <w:rPr>
          <w:noProof/>
        </w:rPr>
        <w:t>ólne metody oceny stanu ekosystemów nieobjętych art.</w:t>
      </w:r>
      <w:r w:rsidR="00610401" w:rsidRPr="00610401">
        <w:rPr>
          <w:noProof/>
        </w:rPr>
        <w:t> </w:t>
      </w:r>
      <w:r w:rsidR="001C0627" w:rsidRPr="00610401">
        <w:rPr>
          <w:noProof/>
        </w:rPr>
        <w:t>4</w:t>
      </w:r>
      <w:r w:rsidR="00610401" w:rsidRPr="00610401">
        <w:rPr>
          <w:noProof/>
        </w:rPr>
        <w:t xml:space="preserve"> i 5</w:t>
      </w:r>
      <w:r w:rsidR="001C0627" w:rsidRPr="00610401">
        <w:rPr>
          <w:noProof/>
        </w:rPr>
        <w:t xml:space="preserve"> oraz</w:t>
      </w:r>
      <w:r w:rsidR="00610401" w:rsidRPr="00610401">
        <w:rPr>
          <w:noProof/>
        </w:rPr>
        <w:t xml:space="preserve"> z uwz</w:t>
      </w:r>
      <w:r w:rsidR="001C0627" w:rsidRPr="00610401">
        <w:rPr>
          <w:noProof/>
        </w:rPr>
        <w:t xml:space="preserve">ględnieniem najnowszych dowodów naukowych. </w:t>
      </w:r>
    </w:p>
    <w:p w:rsidR="0073271D" w:rsidRPr="00610401" w:rsidRDefault="009F5C98" w:rsidP="009F5C98">
      <w:pPr>
        <w:pStyle w:val="ManualConsidrant"/>
        <w:rPr>
          <w:noProof/>
        </w:rPr>
      </w:pPr>
      <w:r w:rsidRPr="009F5C98">
        <w:t>(79)</w:t>
      </w:r>
      <w:r w:rsidRPr="009F5C98">
        <w:tab/>
      </w:r>
      <w:r w:rsidR="16491933" w:rsidRPr="00610401">
        <w:rPr>
          <w:noProof/>
        </w:rPr>
        <w:t>Ponieważ cele niniejszego rozporządzenia nie mogą zostać osiągnięte</w:t>
      </w:r>
      <w:r w:rsidR="00610401" w:rsidRPr="00610401">
        <w:rPr>
          <w:noProof/>
        </w:rPr>
        <w:t xml:space="preserve"> w spo</w:t>
      </w:r>
      <w:r w:rsidR="16491933" w:rsidRPr="00610401">
        <w:rPr>
          <w:noProof/>
        </w:rPr>
        <w:t>sób wystarczający przez państwa członkowskie, natomiast ze względu na rozmiary</w:t>
      </w:r>
      <w:r w:rsidR="00610401" w:rsidRPr="00610401">
        <w:rPr>
          <w:noProof/>
        </w:rPr>
        <w:t xml:space="preserve"> i sku</w:t>
      </w:r>
      <w:r w:rsidR="16491933" w:rsidRPr="00610401">
        <w:rPr>
          <w:noProof/>
        </w:rPr>
        <w:t>tki działań możliwe jest ich lepsze osiągnięcie na poziomie Unii, może ona podjąć działania zgodnie</w:t>
      </w:r>
      <w:r w:rsidR="00610401" w:rsidRPr="00610401">
        <w:rPr>
          <w:noProof/>
        </w:rPr>
        <w:t xml:space="preserve"> z zas</w:t>
      </w:r>
      <w:r w:rsidR="16491933" w:rsidRPr="00610401">
        <w:rPr>
          <w:noProof/>
        </w:rPr>
        <w:t>adą pomocniczości określoną</w:t>
      </w:r>
      <w:r w:rsidR="00610401" w:rsidRPr="00610401">
        <w:rPr>
          <w:noProof/>
        </w:rPr>
        <w:t xml:space="preserve"> w art</w:t>
      </w:r>
      <w:r w:rsidR="16491933" w:rsidRPr="00610401">
        <w:rPr>
          <w:noProof/>
        </w:rPr>
        <w:t>.</w:t>
      </w:r>
      <w:r w:rsidR="00610401" w:rsidRPr="00610401">
        <w:rPr>
          <w:noProof/>
        </w:rPr>
        <w:t> </w:t>
      </w:r>
      <w:r w:rsidR="16491933" w:rsidRPr="00610401">
        <w:rPr>
          <w:noProof/>
        </w:rPr>
        <w:t>5 Traktatu</w:t>
      </w:r>
      <w:r w:rsidR="00610401" w:rsidRPr="00610401">
        <w:rPr>
          <w:noProof/>
        </w:rPr>
        <w:t xml:space="preserve"> o Uni</w:t>
      </w:r>
      <w:r w:rsidR="16491933" w:rsidRPr="00610401">
        <w:rPr>
          <w:noProof/>
        </w:rPr>
        <w:t>i Europejskiej. Zgodnie</w:t>
      </w:r>
      <w:r w:rsidR="00610401" w:rsidRPr="00610401">
        <w:rPr>
          <w:noProof/>
        </w:rPr>
        <w:t xml:space="preserve"> z zas</w:t>
      </w:r>
      <w:r w:rsidR="16491933" w:rsidRPr="00610401">
        <w:rPr>
          <w:noProof/>
        </w:rPr>
        <w:t>adą proporcjonalności określoną</w:t>
      </w:r>
      <w:r w:rsidR="00610401" w:rsidRPr="00610401">
        <w:rPr>
          <w:noProof/>
        </w:rPr>
        <w:t xml:space="preserve"> w tym</w:t>
      </w:r>
      <w:r w:rsidR="16491933" w:rsidRPr="00610401">
        <w:rPr>
          <w:noProof/>
        </w:rPr>
        <w:t xml:space="preserve"> artykule niniejsze rozporządzenie nie wykracza poza to, co jest konieczne do osiągnięcia tych celów.</w:t>
      </w:r>
    </w:p>
    <w:p w:rsidR="00186DC5" w:rsidRPr="00610401" w:rsidRDefault="00186DC5" w:rsidP="00C87CD6">
      <w:pPr>
        <w:rPr>
          <w:noProof/>
        </w:rPr>
      </w:pPr>
    </w:p>
    <w:p w:rsidR="00EC044F" w:rsidRPr="00610401" w:rsidRDefault="00EC044F" w:rsidP="00EC044F">
      <w:pPr>
        <w:pStyle w:val="Formuledadoption"/>
        <w:rPr>
          <w:noProof/>
        </w:rPr>
      </w:pPr>
      <w:r w:rsidRPr="00610401">
        <w:rPr>
          <w:noProof/>
        </w:rPr>
        <w:t>PRZYJMUJĄ NINIEJSZE ROZPORZĄDZENIE:</w:t>
      </w:r>
    </w:p>
    <w:p w:rsidR="00AC672F" w:rsidRPr="00610401" w:rsidRDefault="00AC672F" w:rsidP="00E8158B">
      <w:pPr>
        <w:pStyle w:val="Titrearticle"/>
        <w:rPr>
          <w:noProof/>
        </w:rPr>
      </w:pPr>
    </w:p>
    <w:p w:rsidR="00281795" w:rsidRPr="00610401" w:rsidRDefault="00AC672F" w:rsidP="00E8158B">
      <w:pPr>
        <w:pStyle w:val="ChapterTitle"/>
        <w:rPr>
          <w:noProof/>
        </w:rPr>
      </w:pPr>
      <w:r w:rsidRPr="00610401">
        <w:rPr>
          <w:noProof/>
        </w:rPr>
        <w:t>ROZDZIAŁ I</w:t>
      </w:r>
    </w:p>
    <w:p w:rsidR="00281795" w:rsidRPr="00610401" w:rsidRDefault="0091367E" w:rsidP="00E8158B">
      <w:pPr>
        <w:pStyle w:val="ChapterTitle"/>
        <w:rPr>
          <w:noProof/>
        </w:rPr>
      </w:pPr>
      <w:r w:rsidRPr="00610401">
        <w:rPr>
          <w:noProof/>
        </w:rPr>
        <w:t>POSTANOWIENIA OGÓLNE</w:t>
      </w:r>
    </w:p>
    <w:p w:rsidR="00AE0130" w:rsidRPr="00610401" w:rsidRDefault="00EC044F" w:rsidP="00817E6D">
      <w:pPr>
        <w:pStyle w:val="Titrearticle"/>
        <w:rPr>
          <w:noProof/>
        </w:rPr>
      </w:pPr>
      <w:r w:rsidRPr="00610401">
        <w:rPr>
          <w:noProof/>
        </w:rPr>
        <w:t xml:space="preserve">Artykuł 1 </w:t>
      </w:r>
      <w:r w:rsidRPr="00610401">
        <w:rPr>
          <w:noProof/>
        </w:rPr>
        <w:br/>
      </w:r>
      <w:r w:rsidRPr="00610401">
        <w:rPr>
          <w:b/>
          <w:i w:val="0"/>
          <w:noProof/>
        </w:rPr>
        <w:t>Przedmiot</w:t>
      </w:r>
    </w:p>
    <w:p w:rsidR="004A4938" w:rsidRPr="00610401" w:rsidRDefault="009F5C98" w:rsidP="009F5C98">
      <w:pPr>
        <w:pStyle w:val="ManualNumPar1"/>
        <w:rPr>
          <w:noProof/>
        </w:rPr>
      </w:pPr>
      <w:r w:rsidRPr="009F5C98">
        <w:t>1.</w:t>
      </w:r>
      <w:r w:rsidRPr="009F5C98">
        <w:tab/>
      </w:r>
      <w:r w:rsidR="003B7B89" w:rsidRPr="00610401">
        <w:rPr>
          <w:noProof/>
        </w:rPr>
        <w:t xml:space="preserve">Niniejsze rozporządzenie ustanawia przepisy, które mają się przyczynić do: </w:t>
      </w:r>
    </w:p>
    <w:p w:rsidR="004A4938" w:rsidRPr="00610401" w:rsidRDefault="006E313D" w:rsidP="006E313D">
      <w:pPr>
        <w:pStyle w:val="Point1"/>
        <w:rPr>
          <w:noProof/>
        </w:rPr>
      </w:pPr>
      <w:r>
        <w:rPr>
          <w:noProof/>
        </w:rPr>
        <w:t>a)</w:t>
      </w:r>
      <w:r>
        <w:rPr>
          <w:noProof/>
        </w:rPr>
        <w:tab/>
      </w:r>
      <w:r w:rsidR="575A1B00" w:rsidRPr="00610401">
        <w:rPr>
          <w:noProof/>
        </w:rPr>
        <w:t>ciągłej, długoterminowej</w:t>
      </w:r>
      <w:r w:rsidR="00610401" w:rsidRPr="00610401">
        <w:rPr>
          <w:noProof/>
        </w:rPr>
        <w:t xml:space="preserve"> i trw</w:t>
      </w:r>
      <w:r w:rsidR="575A1B00" w:rsidRPr="00610401">
        <w:rPr>
          <w:noProof/>
        </w:rPr>
        <w:t>ałej odbudowy różnorodnej biologicznie</w:t>
      </w:r>
      <w:r w:rsidR="00610401" w:rsidRPr="00610401">
        <w:rPr>
          <w:noProof/>
        </w:rPr>
        <w:t xml:space="preserve"> i odp</w:t>
      </w:r>
      <w:r w:rsidR="575A1B00" w:rsidRPr="00610401">
        <w:rPr>
          <w:noProof/>
        </w:rPr>
        <w:t>ornej przyrody na obszarach lądowych</w:t>
      </w:r>
      <w:r w:rsidR="00610401" w:rsidRPr="00610401">
        <w:rPr>
          <w:noProof/>
        </w:rPr>
        <w:t xml:space="preserve"> i mor</w:t>
      </w:r>
      <w:r w:rsidR="575A1B00" w:rsidRPr="00610401">
        <w:rPr>
          <w:noProof/>
        </w:rPr>
        <w:t>skich Unii poprzez odbudowę ekosystemów;</w:t>
      </w:r>
    </w:p>
    <w:p w:rsidR="004A4938" w:rsidRPr="00610401" w:rsidRDefault="006E313D" w:rsidP="006E313D">
      <w:pPr>
        <w:pStyle w:val="Point1"/>
        <w:rPr>
          <w:noProof/>
        </w:rPr>
      </w:pPr>
      <w:r>
        <w:rPr>
          <w:noProof/>
        </w:rPr>
        <w:t>b)</w:t>
      </w:r>
      <w:r>
        <w:rPr>
          <w:noProof/>
        </w:rPr>
        <w:tab/>
      </w:r>
      <w:r w:rsidR="704A463B" w:rsidRPr="00610401">
        <w:rPr>
          <w:noProof/>
        </w:rPr>
        <w:t>osiągnięcia celów nadrzędnych Unii dotyczących łagodzenia zmiany klimatu</w:t>
      </w:r>
      <w:r w:rsidR="00610401" w:rsidRPr="00610401">
        <w:rPr>
          <w:noProof/>
        </w:rPr>
        <w:t xml:space="preserve"> i prz</w:t>
      </w:r>
      <w:r w:rsidR="704A463B" w:rsidRPr="00610401">
        <w:rPr>
          <w:noProof/>
        </w:rPr>
        <w:t xml:space="preserve">ystosowania się do niej; </w:t>
      </w:r>
    </w:p>
    <w:p w:rsidR="007C65E2" w:rsidRPr="00610401" w:rsidRDefault="006E313D" w:rsidP="006E313D">
      <w:pPr>
        <w:pStyle w:val="Point1"/>
        <w:rPr>
          <w:noProof/>
        </w:rPr>
      </w:pPr>
      <w:r>
        <w:rPr>
          <w:noProof/>
        </w:rPr>
        <w:t>c)</w:t>
      </w:r>
      <w:r>
        <w:rPr>
          <w:noProof/>
        </w:rPr>
        <w:tab/>
      </w:r>
      <w:r w:rsidR="575A1B00" w:rsidRPr="00610401">
        <w:rPr>
          <w:noProof/>
        </w:rPr>
        <w:t xml:space="preserve">wypełniania międzynarodowych zobowiązań Unii. </w:t>
      </w:r>
    </w:p>
    <w:p w:rsidR="003B7B89" w:rsidRPr="00610401" w:rsidRDefault="009F5C98" w:rsidP="009F5C98">
      <w:pPr>
        <w:pStyle w:val="ManualNumPar1"/>
        <w:rPr>
          <w:noProof/>
        </w:rPr>
      </w:pPr>
      <w:r w:rsidRPr="009F5C98">
        <w:t>2.</w:t>
      </w:r>
      <w:r w:rsidRPr="009F5C98">
        <w:tab/>
      </w:r>
      <w:r w:rsidR="007C65E2" w:rsidRPr="00610401">
        <w:rPr>
          <w:noProof/>
        </w:rPr>
        <w:t>Niniejsze rozporządzenie ustanawia ramy,</w:t>
      </w:r>
      <w:r w:rsidR="00610401" w:rsidRPr="00610401">
        <w:rPr>
          <w:noProof/>
        </w:rPr>
        <w:t xml:space="preserve"> w któ</w:t>
      </w:r>
      <w:r w:rsidR="007C65E2" w:rsidRPr="00610401">
        <w:rPr>
          <w:noProof/>
        </w:rPr>
        <w:t>rych państwa członkowskie niezwłocznie wprowadzają skuteczne obszarowe środki odbudowy, które do</w:t>
      </w:r>
      <w:r w:rsidR="00610401" w:rsidRPr="00610401">
        <w:rPr>
          <w:noProof/>
        </w:rPr>
        <w:t> </w:t>
      </w:r>
      <w:r w:rsidR="007C65E2" w:rsidRPr="00610401">
        <w:rPr>
          <w:noProof/>
        </w:rPr>
        <w:t>2030 r. . obejmą łącznie co najmniej 20</w:t>
      </w:r>
      <w:r w:rsidR="00610401" w:rsidRPr="00610401">
        <w:rPr>
          <w:noProof/>
        </w:rPr>
        <w:t> </w:t>
      </w:r>
      <w:r w:rsidR="007C65E2" w:rsidRPr="00610401">
        <w:rPr>
          <w:noProof/>
        </w:rPr>
        <w:t>% obszarów morskich</w:t>
      </w:r>
      <w:r w:rsidR="00610401" w:rsidRPr="00610401">
        <w:rPr>
          <w:noProof/>
        </w:rPr>
        <w:t xml:space="preserve"> i ląd</w:t>
      </w:r>
      <w:r w:rsidR="007C65E2" w:rsidRPr="00610401">
        <w:rPr>
          <w:noProof/>
        </w:rPr>
        <w:t>owych Unii, a do</w:t>
      </w:r>
      <w:r w:rsidR="00610401" w:rsidRPr="00610401">
        <w:rPr>
          <w:noProof/>
        </w:rPr>
        <w:t> </w:t>
      </w:r>
      <w:r w:rsidR="007C65E2" w:rsidRPr="00610401">
        <w:rPr>
          <w:noProof/>
        </w:rPr>
        <w:t>2050</w:t>
      </w:r>
      <w:r w:rsidR="00610401" w:rsidRPr="00610401">
        <w:rPr>
          <w:noProof/>
        </w:rPr>
        <w:t> </w:t>
      </w:r>
      <w:r w:rsidR="007C65E2" w:rsidRPr="00610401">
        <w:rPr>
          <w:noProof/>
        </w:rPr>
        <w:t xml:space="preserve">r. – wszystkie ekosystemy wymagające odbudowy. </w:t>
      </w:r>
    </w:p>
    <w:p w:rsidR="00150F93" w:rsidRPr="00610401" w:rsidRDefault="00150F93" w:rsidP="00E81D73">
      <w:pPr>
        <w:rPr>
          <w:noProof/>
        </w:rPr>
      </w:pPr>
    </w:p>
    <w:p w:rsidR="001F584C" w:rsidRPr="00610401" w:rsidRDefault="00DC2A5E" w:rsidP="00817E6D">
      <w:pPr>
        <w:pStyle w:val="Titrearticle"/>
        <w:rPr>
          <w:noProof/>
        </w:rPr>
      </w:pPr>
      <w:r w:rsidRPr="00610401">
        <w:rPr>
          <w:noProof/>
        </w:rPr>
        <w:t xml:space="preserve">Artykuł 2 </w:t>
      </w:r>
      <w:r w:rsidRPr="00610401">
        <w:rPr>
          <w:noProof/>
        </w:rPr>
        <w:br/>
      </w:r>
      <w:r w:rsidRPr="00610401">
        <w:rPr>
          <w:b/>
          <w:i w:val="0"/>
          <w:noProof/>
        </w:rPr>
        <w:t>Zakres geograficzny</w:t>
      </w:r>
    </w:p>
    <w:p w:rsidR="001F584C" w:rsidRPr="00610401" w:rsidRDefault="117F252E" w:rsidP="00093F47">
      <w:pPr>
        <w:rPr>
          <w:noProof/>
        </w:rPr>
      </w:pPr>
      <w:r w:rsidRPr="00610401">
        <w:rPr>
          <w:noProof/>
        </w:rPr>
        <w:t>Niniejsze rozporządzenie ma zastosowanie do ekosystemów,</w:t>
      </w:r>
      <w:r w:rsidR="00610401" w:rsidRPr="00610401">
        <w:rPr>
          <w:noProof/>
        </w:rPr>
        <w:t xml:space="preserve"> o któ</w:t>
      </w:r>
      <w:r w:rsidRPr="00610401">
        <w:rPr>
          <w:noProof/>
        </w:rPr>
        <w:t>rych mowa</w:t>
      </w:r>
      <w:r w:rsidR="00610401" w:rsidRPr="00610401">
        <w:rPr>
          <w:noProof/>
        </w:rPr>
        <w:t xml:space="preserve"> w art</w:t>
      </w:r>
      <w:r w:rsidRPr="00610401">
        <w:rPr>
          <w:noProof/>
        </w:rPr>
        <w:t>.</w:t>
      </w:r>
      <w:r w:rsidR="00610401" w:rsidRPr="00610401">
        <w:rPr>
          <w:noProof/>
        </w:rPr>
        <w:t> </w:t>
      </w:r>
      <w:r w:rsidRPr="00610401">
        <w:rPr>
          <w:noProof/>
        </w:rPr>
        <w:t>4–10:</w:t>
      </w:r>
    </w:p>
    <w:p w:rsidR="001F584C" w:rsidRPr="00610401" w:rsidRDefault="00940D40" w:rsidP="00940D40">
      <w:pPr>
        <w:pStyle w:val="Point1"/>
        <w:rPr>
          <w:noProof/>
        </w:rPr>
      </w:pPr>
      <w:r w:rsidRPr="00940D40">
        <w:rPr>
          <w:noProof/>
        </w:rPr>
        <w:t>a)</w:t>
      </w:r>
      <w:r w:rsidRPr="00940D40">
        <w:rPr>
          <w:noProof/>
        </w:rPr>
        <w:tab/>
      </w:r>
      <w:r w:rsidR="001F584C" w:rsidRPr="00610401">
        <w:rPr>
          <w:noProof/>
        </w:rPr>
        <w:t>na terytorium państw członkowskich;</w:t>
      </w:r>
    </w:p>
    <w:p w:rsidR="008270D0" w:rsidRPr="00610401" w:rsidRDefault="00940D40" w:rsidP="00940D40">
      <w:pPr>
        <w:pStyle w:val="Point1"/>
        <w:rPr>
          <w:noProof/>
        </w:rPr>
      </w:pPr>
      <w:r w:rsidRPr="00940D40">
        <w:rPr>
          <w:noProof/>
        </w:rPr>
        <w:t>b)</w:t>
      </w:r>
      <w:r w:rsidRPr="00940D40">
        <w:rPr>
          <w:noProof/>
        </w:rPr>
        <w:tab/>
      </w:r>
      <w:r w:rsidR="007A4336" w:rsidRPr="00610401">
        <w:rPr>
          <w:noProof/>
        </w:rPr>
        <w:t>na wodach, dnie morskim</w:t>
      </w:r>
      <w:r w:rsidR="00610401" w:rsidRPr="00610401">
        <w:rPr>
          <w:noProof/>
        </w:rPr>
        <w:t xml:space="preserve"> i ska</w:t>
      </w:r>
      <w:r w:rsidR="007A4336" w:rsidRPr="00610401">
        <w:rPr>
          <w:noProof/>
        </w:rPr>
        <w:t>łach macierzystych znajdujących się od strony morza od linii podstawowej, od której mierzony jest zasięg morza terytorialnego aż do najdalej położonego obszaru wód terytorialnych</w:t>
      </w:r>
      <w:r w:rsidR="00610401" w:rsidRPr="00610401">
        <w:rPr>
          <w:noProof/>
        </w:rPr>
        <w:t xml:space="preserve"> i roz</w:t>
      </w:r>
      <w:r w:rsidR="007A4336" w:rsidRPr="00610401">
        <w:rPr>
          <w:noProof/>
        </w:rPr>
        <w:t>ciągających się aż do najdalej położonego obszaru, na którym państwo członkowskie wykonuje suwerenne prawa, zgodnie</w:t>
      </w:r>
      <w:r w:rsidR="00610401" w:rsidRPr="00610401">
        <w:rPr>
          <w:noProof/>
        </w:rPr>
        <w:t xml:space="preserve"> z Kon</w:t>
      </w:r>
      <w:r w:rsidR="007A4336" w:rsidRPr="00610401">
        <w:rPr>
          <w:noProof/>
        </w:rPr>
        <w:t>wencją Narodów Zjednoczonych</w:t>
      </w:r>
      <w:r w:rsidR="00610401" w:rsidRPr="00610401">
        <w:rPr>
          <w:noProof/>
        </w:rPr>
        <w:t xml:space="preserve"> o pra</w:t>
      </w:r>
      <w:r w:rsidR="007A4336" w:rsidRPr="00610401">
        <w:rPr>
          <w:noProof/>
        </w:rPr>
        <w:t>wie morza</w:t>
      </w:r>
      <w:r w:rsidR="00610401" w:rsidRPr="00610401">
        <w:rPr>
          <w:noProof/>
        </w:rPr>
        <w:t xml:space="preserve"> z 1</w:t>
      </w:r>
      <w:r w:rsidR="007A4336" w:rsidRPr="00610401">
        <w:rPr>
          <w:noProof/>
        </w:rPr>
        <w:t>982</w:t>
      </w:r>
      <w:r w:rsidR="00610401" w:rsidRPr="00610401">
        <w:rPr>
          <w:noProof/>
        </w:rPr>
        <w:t> </w:t>
      </w:r>
      <w:r w:rsidR="007A4336" w:rsidRPr="00610401">
        <w:rPr>
          <w:noProof/>
        </w:rPr>
        <w:t>r.</w:t>
      </w:r>
    </w:p>
    <w:p w:rsidR="001F584C" w:rsidRPr="00610401" w:rsidRDefault="001F584C" w:rsidP="00F86300">
      <w:pPr>
        <w:rPr>
          <w:noProof/>
        </w:rPr>
      </w:pPr>
      <w:r w:rsidRPr="00610401">
        <w:rPr>
          <w:noProof/>
        </w:rPr>
        <w:t xml:space="preserve"> </w:t>
      </w:r>
    </w:p>
    <w:p w:rsidR="00CE704A" w:rsidRPr="00610401" w:rsidRDefault="00CE704A" w:rsidP="00A3635E">
      <w:pPr>
        <w:rPr>
          <w:noProof/>
        </w:rPr>
      </w:pPr>
    </w:p>
    <w:p w:rsidR="006A40E2" w:rsidRPr="00610401" w:rsidRDefault="006A40E2" w:rsidP="00817E6D">
      <w:pPr>
        <w:pStyle w:val="Titrearticle"/>
        <w:rPr>
          <w:noProof/>
        </w:rPr>
      </w:pPr>
      <w:r w:rsidRPr="00610401">
        <w:rPr>
          <w:noProof/>
        </w:rPr>
        <w:t xml:space="preserve">Artykuł 3 </w:t>
      </w:r>
      <w:r w:rsidRPr="00610401">
        <w:rPr>
          <w:noProof/>
        </w:rPr>
        <w:br/>
      </w:r>
      <w:r w:rsidRPr="00610401">
        <w:rPr>
          <w:b/>
          <w:i w:val="0"/>
          <w:noProof/>
        </w:rPr>
        <w:t>Definicje</w:t>
      </w:r>
      <w:r w:rsidRPr="00610401">
        <w:rPr>
          <w:noProof/>
        </w:rPr>
        <w:t xml:space="preserve"> </w:t>
      </w:r>
    </w:p>
    <w:p w:rsidR="00697E32" w:rsidRPr="00610401" w:rsidRDefault="00697E32" w:rsidP="00B323CD">
      <w:pPr>
        <w:rPr>
          <w:noProof/>
        </w:rPr>
      </w:pPr>
      <w:r w:rsidRPr="00610401">
        <w:rPr>
          <w:noProof/>
        </w:rPr>
        <w:t xml:space="preserve">Stosuje się następujące definicje: </w:t>
      </w:r>
    </w:p>
    <w:p w:rsidR="00371418" w:rsidRPr="00610401" w:rsidRDefault="006E313D" w:rsidP="006E313D">
      <w:pPr>
        <w:pStyle w:val="Point0"/>
        <w:rPr>
          <w:noProof/>
        </w:rPr>
      </w:pPr>
      <w:r w:rsidRPr="006E313D">
        <w:rPr>
          <w:noProof/>
        </w:rPr>
        <w:t>1)</w:t>
      </w:r>
      <w:r w:rsidRPr="006E313D">
        <w:rPr>
          <w:noProof/>
        </w:rPr>
        <w:tab/>
      </w:r>
      <w:r w:rsidR="00697E32" w:rsidRPr="00610401">
        <w:rPr>
          <w:noProof/>
        </w:rPr>
        <w:t>„ekosystem” oznacza dynamiczny zespół roślin, zwierząt, mikroorganizmów oraz ich nieożywione środowisko, wspólnie tworzące jednostkę funkcjonalną</w:t>
      </w:r>
      <w:r w:rsidR="00610401" w:rsidRPr="00610401">
        <w:rPr>
          <w:noProof/>
        </w:rPr>
        <w:t xml:space="preserve"> i obe</w:t>
      </w:r>
      <w:r w:rsidR="00697E32" w:rsidRPr="00610401">
        <w:rPr>
          <w:noProof/>
        </w:rPr>
        <w:t>jmuje typy siedlisk, siedliska gatunków</w:t>
      </w:r>
      <w:r w:rsidR="00610401" w:rsidRPr="00610401">
        <w:rPr>
          <w:noProof/>
        </w:rPr>
        <w:t xml:space="preserve"> i pop</w:t>
      </w:r>
      <w:r w:rsidR="00697E32" w:rsidRPr="00610401">
        <w:rPr>
          <w:noProof/>
        </w:rPr>
        <w:t>ulacje gatunków;</w:t>
      </w:r>
    </w:p>
    <w:p w:rsidR="00754721" w:rsidRPr="00610401" w:rsidRDefault="006E313D" w:rsidP="006E313D">
      <w:pPr>
        <w:pStyle w:val="Point0"/>
        <w:rPr>
          <w:noProof/>
        </w:rPr>
      </w:pPr>
      <w:r w:rsidRPr="006E313D">
        <w:rPr>
          <w:noProof/>
        </w:rPr>
        <w:t>2)</w:t>
      </w:r>
      <w:r w:rsidRPr="006E313D">
        <w:rPr>
          <w:noProof/>
        </w:rPr>
        <w:tab/>
      </w:r>
      <w:r w:rsidR="00BE0B3D" w:rsidRPr="00610401">
        <w:rPr>
          <w:noProof/>
        </w:rPr>
        <w:t>„siedlisko gatunku” oznacza środowisko określone przez szczególne czynniki abiotyczne</w:t>
      </w:r>
      <w:r w:rsidR="00610401" w:rsidRPr="00610401">
        <w:rPr>
          <w:noProof/>
        </w:rPr>
        <w:t xml:space="preserve"> i bio</w:t>
      </w:r>
      <w:r w:rsidR="00BE0B3D" w:rsidRPr="00610401">
        <w:rPr>
          <w:noProof/>
        </w:rPr>
        <w:t>tyczne,</w:t>
      </w:r>
      <w:r w:rsidR="00610401" w:rsidRPr="00610401">
        <w:rPr>
          <w:noProof/>
        </w:rPr>
        <w:t xml:space="preserve"> w któ</w:t>
      </w:r>
      <w:r w:rsidR="00BE0B3D" w:rsidRPr="00610401">
        <w:rPr>
          <w:noProof/>
        </w:rPr>
        <w:t>rym gatunek ten żyje</w:t>
      </w:r>
      <w:r w:rsidR="00610401" w:rsidRPr="00610401">
        <w:rPr>
          <w:noProof/>
        </w:rPr>
        <w:t xml:space="preserve"> w dow</w:t>
      </w:r>
      <w:r w:rsidR="00BE0B3D" w:rsidRPr="00610401">
        <w:rPr>
          <w:noProof/>
        </w:rPr>
        <w:t xml:space="preserve">olnym stadium swojego cyklu biologicznego; </w:t>
      </w:r>
    </w:p>
    <w:p w:rsidR="001A6237" w:rsidRPr="00610401" w:rsidRDefault="006E313D" w:rsidP="006E313D">
      <w:pPr>
        <w:pStyle w:val="Point0"/>
        <w:rPr>
          <w:noProof/>
        </w:rPr>
      </w:pPr>
      <w:r w:rsidRPr="006E313D">
        <w:rPr>
          <w:noProof/>
        </w:rPr>
        <w:t>3)</w:t>
      </w:r>
      <w:r w:rsidRPr="006E313D">
        <w:rPr>
          <w:noProof/>
        </w:rPr>
        <w:tab/>
      </w:r>
      <w:r w:rsidR="547992D1" w:rsidRPr="00610401">
        <w:rPr>
          <w:noProof/>
        </w:rPr>
        <w:t>„odbudowa” oznacza proces czynnego lub biernego wspierania przywracania ekosystemu do dobrego stanu, typu siedliska do najlepszego możliwego do osiągnięcia stanu oraz do jego właściwego obszaru odniesienia, siedliska gatunku do wystarczającej jakości lub wielkości,</w:t>
      </w:r>
      <w:r w:rsidR="00610401" w:rsidRPr="00610401">
        <w:rPr>
          <w:noProof/>
        </w:rPr>
        <w:t xml:space="preserve"> a pop</w:t>
      </w:r>
      <w:r w:rsidR="547992D1" w:rsidRPr="00610401">
        <w:rPr>
          <w:noProof/>
        </w:rPr>
        <w:t>ulacji gatunku do zadowalającego poziomu celem zachowania lub zwiększenia różnorodności biologicznej</w:t>
      </w:r>
      <w:r w:rsidR="00610401" w:rsidRPr="00610401">
        <w:rPr>
          <w:noProof/>
        </w:rPr>
        <w:t xml:space="preserve"> i odp</w:t>
      </w:r>
      <w:r w:rsidR="547992D1" w:rsidRPr="00610401">
        <w:rPr>
          <w:noProof/>
        </w:rPr>
        <w:t>orności ekosystemu;</w:t>
      </w:r>
    </w:p>
    <w:p w:rsidR="007113FC" w:rsidRPr="00610401" w:rsidRDefault="006E313D" w:rsidP="006E313D">
      <w:pPr>
        <w:pStyle w:val="Point0"/>
        <w:rPr>
          <w:noProof/>
        </w:rPr>
      </w:pPr>
      <w:r w:rsidRPr="006E313D">
        <w:rPr>
          <w:noProof/>
        </w:rPr>
        <w:t>4)</w:t>
      </w:r>
      <w:r w:rsidRPr="006E313D">
        <w:rPr>
          <w:noProof/>
        </w:rPr>
        <w:tab/>
      </w:r>
      <w:r w:rsidR="50DED17B" w:rsidRPr="00610401">
        <w:rPr>
          <w:noProof/>
        </w:rPr>
        <w:t>„dobry stan” oznacza stan,</w:t>
      </w:r>
      <w:r w:rsidR="00610401" w:rsidRPr="00610401">
        <w:rPr>
          <w:noProof/>
        </w:rPr>
        <w:t xml:space="preserve"> w któ</w:t>
      </w:r>
      <w:r w:rsidR="50DED17B" w:rsidRPr="00610401">
        <w:rPr>
          <w:noProof/>
        </w:rPr>
        <w:t>rym kluczowe cechy ekosystemu, mianowicie jego stan fizyczny</w:t>
      </w:r>
      <w:r w:rsidR="00610401" w:rsidRPr="00610401">
        <w:rPr>
          <w:noProof/>
        </w:rPr>
        <w:t xml:space="preserve"> i che</w:t>
      </w:r>
      <w:r w:rsidR="50DED17B" w:rsidRPr="00610401">
        <w:rPr>
          <w:noProof/>
        </w:rPr>
        <w:t>miczny, skład, struktura</w:t>
      </w:r>
      <w:r w:rsidR="00610401" w:rsidRPr="00610401">
        <w:rPr>
          <w:noProof/>
        </w:rPr>
        <w:t xml:space="preserve"> i fun</w:t>
      </w:r>
      <w:r w:rsidR="50DED17B" w:rsidRPr="00610401">
        <w:rPr>
          <w:noProof/>
        </w:rPr>
        <w:t>kcja,</w:t>
      </w:r>
      <w:r w:rsidR="00610401" w:rsidRPr="00610401">
        <w:rPr>
          <w:noProof/>
        </w:rPr>
        <w:t xml:space="preserve"> a tak</w:t>
      </w:r>
      <w:r w:rsidR="50DED17B" w:rsidRPr="00610401">
        <w:rPr>
          <w:noProof/>
        </w:rPr>
        <w:t>że jego cechy krajobrazu</w:t>
      </w:r>
      <w:r w:rsidR="00610401" w:rsidRPr="00610401">
        <w:rPr>
          <w:noProof/>
        </w:rPr>
        <w:t xml:space="preserve"> i kra</w:t>
      </w:r>
      <w:r w:rsidR="50DED17B" w:rsidRPr="00610401">
        <w:rPr>
          <w:noProof/>
        </w:rPr>
        <w:t>jobrazu morskiego odzwierciedlają wysoki poziom integralności, stabilności</w:t>
      </w:r>
      <w:r w:rsidR="00610401" w:rsidRPr="00610401">
        <w:rPr>
          <w:noProof/>
        </w:rPr>
        <w:t xml:space="preserve"> i odp</w:t>
      </w:r>
      <w:r w:rsidR="50DED17B" w:rsidRPr="00610401">
        <w:rPr>
          <w:noProof/>
        </w:rPr>
        <w:t>orności pod względem ekologicznym niezbędny do zapewnienia jego długoterminowego utrzymania;</w:t>
      </w:r>
    </w:p>
    <w:p w:rsidR="0010563E" w:rsidRPr="00610401" w:rsidRDefault="006E313D" w:rsidP="006E313D">
      <w:pPr>
        <w:pStyle w:val="Point0"/>
        <w:rPr>
          <w:noProof/>
        </w:rPr>
      </w:pPr>
      <w:r w:rsidRPr="006E313D">
        <w:rPr>
          <w:noProof/>
        </w:rPr>
        <w:t>5)</w:t>
      </w:r>
      <w:r w:rsidRPr="006E313D">
        <w:rPr>
          <w:noProof/>
        </w:rPr>
        <w:tab/>
      </w:r>
      <w:r w:rsidR="1978C372" w:rsidRPr="00610401">
        <w:rPr>
          <w:noProof/>
        </w:rPr>
        <w:t>„właściwy obszar odniesienia” oznacza całkowity obszar typu siedliska</w:t>
      </w:r>
      <w:r w:rsidR="00610401" w:rsidRPr="00610401">
        <w:rPr>
          <w:noProof/>
        </w:rPr>
        <w:t xml:space="preserve"> w dan</w:t>
      </w:r>
      <w:r w:rsidR="1978C372" w:rsidRPr="00610401">
        <w:rPr>
          <w:noProof/>
        </w:rPr>
        <w:t>ym regionie biogeograficznym lub regionie morskim na poziomie krajowym, który to obszar uznaje się za minimum niezbędne do zapewnienia długoterminowej żywotności typu siedliska</w:t>
      </w:r>
      <w:r w:rsidR="00610401" w:rsidRPr="00610401">
        <w:rPr>
          <w:noProof/>
        </w:rPr>
        <w:t xml:space="preserve"> i zam</w:t>
      </w:r>
      <w:r w:rsidR="1978C372" w:rsidRPr="00610401">
        <w:rPr>
          <w:noProof/>
        </w:rPr>
        <w:t>ieszkujących je gatunków oraz wszystkich istotnych odmian ekologicznych</w:t>
      </w:r>
      <w:r w:rsidR="00610401" w:rsidRPr="00610401">
        <w:rPr>
          <w:noProof/>
        </w:rPr>
        <w:t xml:space="preserve"> w jeg</w:t>
      </w:r>
      <w:r w:rsidR="1978C372" w:rsidRPr="00610401">
        <w:rPr>
          <w:noProof/>
        </w:rPr>
        <w:t>o naturalnym zasięgu</w:t>
      </w:r>
      <w:r w:rsidR="00610401" w:rsidRPr="00610401">
        <w:rPr>
          <w:noProof/>
        </w:rPr>
        <w:t xml:space="preserve"> i któ</w:t>
      </w:r>
      <w:r w:rsidR="1978C372" w:rsidRPr="00610401">
        <w:rPr>
          <w:noProof/>
        </w:rPr>
        <w:t>ry obejmuje obszar typu siedliska,</w:t>
      </w:r>
      <w:r w:rsidR="00610401" w:rsidRPr="00610401">
        <w:rPr>
          <w:noProof/>
        </w:rPr>
        <w:t xml:space="preserve"> a tak</w:t>
      </w:r>
      <w:r w:rsidR="1978C372" w:rsidRPr="00610401">
        <w:rPr>
          <w:noProof/>
        </w:rPr>
        <w:t>że, jeśli obszar ten nie jest wystarczający, obszar niezbędny do przywrócenia typu siedliska;</w:t>
      </w:r>
    </w:p>
    <w:p w:rsidR="00F06C4C" w:rsidRPr="00610401" w:rsidRDefault="006E313D" w:rsidP="006E313D">
      <w:pPr>
        <w:pStyle w:val="Point0"/>
        <w:rPr>
          <w:noProof/>
        </w:rPr>
      </w:pPr>
      <w:r w:rsidRPr="006E313D">
        <w:rPr>
          <w:noProof/>
        </w:rPr>
        <w:t>6)</w:t>
      </w:r>
      <w:r w:rsidRPr="006E313D">
        <w:rPr>
          <w:noProof/>
        </w:rPr>
        <w:tab/>
      </w:r>
      <w:r w:rsidR="00F06C4C" w:rsidRPr="00610401">
        <w:rPr>
          <w:noProof/>
        </w:rPr>
        <w:t>„wystarczająca jakość siedliska” oznacza jakość siedliska gatunku, która pozwala na spełnienie wymogów ekologicznych gatunku na każdym etapie jego cyklu biologicznego, tak aby gatunek ten sam utrzymywał się</w:t>
      </w:r>
      <w:r w:rsidR="00610401" w:rsidRPr="00610401">
        <w:rPr>
          <w:noProof/>
        </w:rPr>
        <w:t xml:space="preserve"> w ska</w:t>
      </w:r>
      <w:r w:rsidR="00F06C4C" w:rsidRPr="00610401">
        <w:rPr>
          <w:noProof/>
        </w:rPr>
        <w:t>li długoterminowej jako trwały składnik swojego siedliska</w:t>
      </w:r>
      <w:r w:rsidR="00610401" w:rsidRPr="00610401">
        <w:rPr>
          <w:noProof/>
        </w:rPr>
        <w:t xml:space="preserve"> w jeg</w:t>
      </w:r>
      <w:r w:rsidR="00F06C4C" w:rsidRPr="00610401">
        <w:rPr>
          <w:noProof/>
        </w:rPr>
        <w:t xml:space="preserve">o naturalnym zasięgu; </w:t>
      </w:r>
    </w:p>
    <w:p w:rsidR="00F06C4C" w:rsidRPr="00610401" w:rsidRDefault="006E313D" w:rsidP="006E313D">
      <w:pPr>
        <w:pStyle w:val="Point0"/>
        <w:rPr>
          <w:noProof/>
        </w:rPr>
      </w:pPr>
      <w:r w:rsidRPr="006E313D">
        <w:rPr>
          <w:noProof/>
        </w:rPr>
        <w:t>7)</w:t>
      </w:r>
      <w:r w:rsidRPr="006E313D">
        <w:rPr>
          <w:noProof/>
        </w:rPr>
        <w:tab/>
      </w:r>
      <w:r w:rsidR="00F06C4C" w:rsidRPr="00610401">
        <w:rPr>
          <w:noProof/>
        </w:rPr>
        <w:t>„wystarczająca wielkość siedliska” oznacza wielkość siedliska gatunku, która pozwala na spełnienie wymogów ekologicznych gatunku na każdym etapie jego cyklu biologicznego, tak aby gatunek ten sam utrzymywał się</w:t>
      </w:r>
      <w:r w:rsidR="00610401" w:rsidRPr="00610401">
        <w:rPr>
          <w:noProof/>
        </w:rPr>
        <w:t xml:space="preserve"> w ska</w:t>
      </w:r>
      <w:r w:rsidR="00F06C4C" w:rsidRPr="00610401">
        <w:rPr>
          <w:noProof/>
        </w:rPr>
        <w:t>li długoterminowej jako trwały składnik swojego siedliska</w:t>
      </w:r>
      <w:r w:rsidR="00610401" w:rsidRPr="00610401">
        <w:rPr>
          <w:noProof/>
        </w:rPr>
        <w:t xml:space="preserve"> w jeg</w:t>
      </w:r>
      <w:r w:rsidR="00F06C4C" w:rsidRPr="00610401">
        <w:rPr>
          <w:noProof/>
        </w:rPr>
        <w:t xml:space="preserve">o naturalnym zasięgu; </w:t>
      </w:r>
    </w:p>
    <w:p w:rsidR="00E16AA3" w:rsidRPr="00610401" w:rsidRDefault="006E313D" w:rsidP="006E313D">
      <w:pPr>
        <w:pStyle w:val="Point0"/>
        <w:rPr>
          <w:noProof/>
        </w:rPr>
      </w:pPr>
      <w:r w:rsidRPr="006E313D">
        <w:rPr>
          <w:noProof/>
        </w:rPr>
        <w:t>8)</w:t>
      </w:r>
      <w:r w:rsidRPr="006E313D">
        <w:rPr>
          <w:noProof/>
        </w:rPr>
        <w:tab/>
      </w:r>
      <w:r w:rsidR="000F3933" w:rsidRPr="00610401">
        <w:rPr>
          <w:noProof/>
        </w:rPr>
        <w:t xml:space="preserve"> „owad zapylający” oznacza zwierzę dzikie, które przenosi pyłek</w:t>
      </w:r>
      <w:r w:rsidR="00610401" w:rsidRPr="00610401">
        <w:rPr>
          <w:noProof/>
        </w:rPr>
        <w:t xml:space="preserve"> z pyl</w:t>
      </w:r>
      <w:r w:rsidR="000F3933" w:rsidRPr="00610401">
        <w:rPr>
          <w:noProof/>
        </w:rPr>
        <w:t>nika rośliny na znamię rośliny, umożliwiając</w:t>
      </w:r>
      <w:r w:rsidR="00610401" w:rsidRPr="00610401">
        <w:rPr>
          <w:noProof/>
        </w:rPr>
        <w:t xml:space="preserve"> w ten</w:t>
      </w:r>
      <w:r w:rsidR="000F3933" w:rsidRPr="00610401">
        <w:rPr>
          <w:noProof/>
        </w:rPr>
        <w:t xml:space="preserve"> sposób zapłodnienie</w:t>
      </w:r>
      <w:r w:rsidR="00610401" w:rsidRPr="00610401">
        <w:rPr>
          <w:noProof/>
        </w:rPr>
        <w:t xml:space="preserve"> i pro</w:t>
      </w:r>
      <w:r w:rsidR="000F3933" w:rsidRPr="00610401">
        <w:rPr>
          <w:noProof/>
        </w:rPr>
        <w:t>dukcję nasion;</w:t>
      </w:r>
    </w:p>
    <w:p w:rsidR="00D77A41" w:rsidRPr="00610401" w:rsidRDefault="006E313D" w:rsidP="006E313D">
      <w:pPr>
        <w:pStyle w:val="Point0"/>
        <w:rPr>
          <w:noProof/>
          <w:color w:val="000000" w:themeColor="text1"/>
        </w:rPr>
      </w:pPr>
      <w:r w:rsidRPr="006E313D">
        <w:rPr>
          <w:noProof/>
        </w:rPr>
        <w:t>9)</w:t>
      </w:r>
      <w:r w:rsidRPr="006E313D">
        <w:rPr>
          <w:noProof/>
        </w:rPr>
        <w:tab/>
      </w:r>
      <w:r w:rsidR="547992D1" w:rsidRPr="00610401">
        <w:rPr>
          <w:noProof/>
        </w:rPr>
        <w:t xml:space="preserve">„spadek populacji owadów zapylających” oznacza spadek liczebności populacji </w:t>
      </w:r>
      <w:r w:rsidR="547992D1" w:rsidRPr="00610401">
        <w:rPr>
          <w:noProof/>
          <w:color w:val="000000" w:themeColor="text1"/>
        </w:rPr>
        <w:t>owadów zapylających</w:t>
      </w:r>
      <w:r w:rsidR="547992D1" w:rsidRPr="00610401">
        <w:rPr>
          <w:noProof/>
        </w:rPr>
        <w:t xml:space="preserve"> lub spadek stopnia jej zróżnicowania bądź obie te sytuacje;</w:t>
      </w:r>
      <w:r w:rsidR="00610401" w:rsidRPr="00610401">
        <w:rPr>
          <w:noProof/>
          <w:color w:val="000000" w:themeColor="text1"/>
        </w:rPr>
        <w:t xml:space="preserve"> </w:t>
      </w:r>
    </w:p>
    <w:p w:rsidR="000869EC" w:rsidRPr="00610401" w:rsidRDefault="006E313D" w:rsidP="006E313D">
      <w:pPr>
        <w:pStyle w:val="Point0"/>
        <w:rPr>
          <w:noProof/>
        </w:rPr>
      </w:pPr>
      <w:r w:rsidRPr="006E313D">
        <w:rPr>
          <w:noProof/>
        </w:rPr>
        <w:t>10)</w:t>
      </w:r>
      <w:r w:rsidRPr="006E313D">
        <w:rPr>
          <w:noProof/>
        </w:rPr>
        <w:tab/>
      </w:r>
      <w:r w:rsidR="5951C197" w:rsidRPr="00610401">
        <w:rPr>
          <w:noProof/>
        </w:rPr>
        <w:t>„lokalna jednostka administracyjna” oznacza jednostkę administracyjną niskiego szczebla państwa członkowskiego działającą na szczeblu niższym niż okręgowy, regionalny lub krajowy ustanowioną zgodnie</w:t>
      </w:r>
      <w:r w:rsidR="00610401" w:rsidRPr="00610401">
        <w:rPr>
          <w:noProof/>
        </w:rPr>
        <w:t xml:space="preserve"> z art</w:t>
      </w:r>
      <w:r w:rsidR="5951C197" w:rsidRPr="00610401">
        <w:rPr>
          <w:noProof/>
        </w:rPr>
        <w:t>.</w:t>
      </w:r>
      <w:r w:rsidR="00610401" w:rsidRPr="00610401">
        <w:rPr>
          <w:noProof/>
        </w:rPr>
        <w:t> </w:t>
      </w:r>
      <w:r w:rsidR="5951C197" w:rsidRPr="00610401">
        <w:rPr>
          <w:noProof/>
        </w:rPr>
        <w:t xml:space="preserve">4 </w:t>
      </w:r>
      <w:r w:rsidR="5951C197" w:rsidRPr="00610401">
        <w:rPr>
          <w:noProof/>
          <w:color w:val="000000" w:themeColor="text1"/>
        </w:rPr>
        <w:t>rozporządzenia (WE) nr 1059/2003 Parlamentu Europejskiego</w:t>
      </w:r>
      <w:r w:rsidR="00610401" w:rsidRPr="00610401">
        <w:rPr>
          <w:noProof/>
          <w:color w:val="000000" w:themeColor="text1"/>
        </w:rPr>
        <w:t xml:space="preserve"> i Rad</w:t>
      </w:r>
      <w:r w:rsidR="5951C197" w:rsidRPr="00610401">
        <w:rPr>
          <w:noProof/>
          <w:color w:val="000000" w:themeColor="text1"/>
        </w:rPr>
        <w:t>y</w:t>
      </w:r>
      <w:r w:rsidR="5951C197" w:rsidRPr="00610401">
        <w:rPr>
          <w:rStyle w:val="FootnoteReference"/>
          <w:noProof/>
          <w:color w:val="000000"/>
          <w:szCs w:val="24"/>
        </w:rPr>
        <w:footnoteReference w:id="110"/>
      </w:r>
      <w:r w:rsidR="5951C197" w:rsidRPr="00610401">
        <w:rPr>
          <w:noProof/>
        </w:rPr>
        <w:t>;</w:t>
      </w:r>
      <w:r w:rsidR="5951C197" w:rsidRPr="00610401">
        <w:rPr>
          <w:noProof/>
          <w:color w:val="000000" w:themeColor="text1"/>
        </w:rPr>
        <w:t xml:space="preserve"> </w:t>
      </w:r>
    </w:p>
    <w:p w:rsidR="001668B6" w:rsidRPr="00610401" w:rsidRDefault="006E313D" w:rsidP="006E313D">
      <w:pPr>
        <w:pStyle w:val="Point0"/>
        <w:rPr>
          <w:noProof/>
        </w:rPr>
      </w:pPr>
      <w:r w:rsidRPr="006E313D">
        <w:rPr>
          <w:noProof/>
        </w:rPr>
        <w:t>11)</w:t>
      </w:r>
      <w:r w:rsidRPr="006E313D">
        <w:rPr>
          <w:noProof/>
        </w:rPr>
        <w:tab/>
      </w:r>
      <w:r w:rsidR="001668B6" w:rsidRPr="00610401">
        <w:rPr>
          <w:noProof/>
        </w:rPr>
        <w:t>„miasta” oznaczają lokalne jednostki administracyjne,</w:t>
      </w:r>
      <w:r w:rsidR="00610401" w:rsidRPr="00610401">
        <w:rPr>
          <w:noProof/>
        </w:rPr>
        <w:t xml:space="preserve"> w któ</w:t>
      </w:r>
      <w:r w:rsidR="001668B6" w:rsidRPr="00610401">
        <w:rPr>
          <w:noProof/>
        </w:rPr>
        <w:t>rych co najmniej 50</w:t>
      </w:r>
      <w:r w:rsidR="00610401" w:rsidRPr="00610401">
        <w:rPr>
          <w:noProof/>
        </w:rPr>
        <w:t> </w:t>
      </w:r>
      <w:r w:rsidR="001668B6" w:rsidRPr="00610401">
        <w:rPr>
          <w:noProof/>
        </w:rPr>
        <w:t>% ludności mieszka w co najmniej jednym ośrodku miejskim, co mierzy się przy użyciu</w:t>
      </w:r>
      <w:r w:rsidR="001668B6" w:rsidRPr="00610401">
        <w:rPr>
          <w:noProof/>
          <w:color w:val="000000"/>
          <w:shd w:val="clear" w:color="auto" w:fill="FFFFFF"/>
        </w:rPr>
        <w:t xml:space="preserve"> stopnia zurbanizowania ustanowionego zgodnie</w:t>
      </w:r>
      <w:r w:rsidR="00610401" w:rsidRPr="00610401">
        <w:rPr>
          <w:noProof/>
          <w:color w:val="000000"/>
          <w:shd w:val="clear" w:color="auto" w:fill="FFFFFF"/>
        </w:rPr>
        <w:t xml:space="preserve"> z art</w:t>
      </w:r>
      <w:r w:rsidR="001668B6" w:rsidRPr="00610401">
        <w:rPr>
          <w:noProof/>
          <w:color w:val="000000"/>
          <w:shd w:val="clear" w:color="auto" w:fill="FFFFFF"/>
        </w:rPr>
        <w:t>.</w:t>
      </w:r>
      <w:r w:rsidR="00610401" w:rsidRPr="00610401">
        <w:rPr>
          <w:noProof/>
          <w:color w:val="000000"/>
          <w:shd w:val="clear" w:color="auto" w:fill="FFFFFF"/>
        </w:rPr>
        <w:t> </w:t>
      </w:r>
      <w:r w:rsidR="001668B6" w:rsidRPr="00610401">
        <w:rPr>
          <w:noProof/>
          <w:color w:val="000000"/>
          <w:shd w:val="clear" w:color="auto" w:fill="FFFFFF"/>
        </w:rPr>
        <w:t>4b ust.</w:t>
      </w:r>
      <w:r w:rsidR="00610401" w:rsidRPr="00610401">
        <w:rPr>
          <w:noProof/>
          <w:color w:val="000000"/>
          <w:shd w:val="clear" w:color="auto" w:fill="FFFFFF"/>
        </w:rPr>
        <w:t> </w:t>
      </w:r>
      <w:r w:rsidR="001668B6" w:rsidRPr="00610401">
        <w:rPr>
          <w:noProof/>
          <w:color w:val="000000"/>
          <w:shd w:val="clear" w:color="auto" w:fill="FFFFFF"/>
        </w:rPr>
        <w:t>3 lit.</w:t>
      </w:r>
      <w:r w:rsidR="00610401" w:rsidRPr="00610401">
        <w:rPr>
          <w:noProof/>
          <w:color w:val="000000"/>
          <w:shd w:val="clear" w:color="auto" w:fill="FFFFFF"/>
        </w:rPr>
        <w:t> </w:t>
      </w:r>
      <w:r w:rsidR="001668B6" w:rsidRPr="00610401">
        <w:rPr>
          <w:noProof/>
          <w:color w:val="000000"/>
          <w:shd w:val="clear" w:color="auto" w:fill="FFFFFF"/>
        </w:rPr>
        <w:t xml:space="preserve">a) </w:t>
      </w:r>
      <w:r w:rsidR="001668B6" w:rsidRPr="00610401">
        <w:rPr>
          <w:noProof/>
          <w:color w:val="000000" w:themeColor="text1"/>
        </w:rPr>
        <w:t>rozporządzenia (WE) nr</w:t>
      </w:r>
      <w:r w:rsidR="00610401" w:rsidRPr="00610401">
        <w:rPr>
          <w:noProof/>
          <w:color w:val="000000" w:themeColor="text1"/>
        </w:rPr>
        <w:t> </w:t>
      </w:r>
      <w:r w:rsidR="001668B6" w:rsidRPr="00610401">
        <w:rPr>
          <w:noProof/>
          <w:color w:val="000000" w:themeColor="text1"/>
        </w:rPr>
        <w:t>1059/2003</w:t>
      </w:r>
      <w:r w:rsidR="001668B6" w:rsidRPr="00610401">
        <w:rPr>
          <w:noProof/>
        </w:rPr>
        <w:t>;</w:t>
      </w:r>
    </w:p>
    <w:p w:rsidR="00235ED7" w:rsidRPr="00610401" w:rsidRDefault="006E313D" w:rsidP="006E313D">
      <w:pPr>
        <w:pStyle w:val="Point0"/>
        <w:rPr>
          <w:noProof/>
        </w:rPr>
      </w:pPr>
      <w:r w:rsidRPr="006E313D">
        <w:rPr>
          <w:noProof/>
        </w:rPr>
        <w:t>12)</w:t>
      </w:r>
      <w:r w:rsidRPr="006E313D">
        <w:rPr>
          <w:noProof/>
        </w:rPr>
        <w:tab/>
      </w:r>
      <w:r w:rsidR="001668B6" w:rsidRPr="00610401">
        <w:rPr>
          <w:noProof/>
        </w:rPr>
        <w:t>„małe miasta</w:t>
      </w:r>
      <w:r w:rsidR="00610401" w:rsidRPr="00610401">
        <w:rPr>
          <w:noProof/>
        </w:rPr>
        <w:t xml:space="preserve"> i prz</w:t>
      </w:r>
      <w:r w:rsidR="001668B6" w:rsidRPr="00610401">
        <w:rPr>
          <w:noProof/>
        </w:rPr>
        <w:t>edmieścia” oznaczają lokalne jednostki administracyjne,</w:t>
      </w:r>
      <w:r w:rsidR="00610401" w:rsidRPr="00610401">
        <w:rPr>
          <w:noProof/>
        </w:rPr>
        <w:t xml:space="preserve"> w któ</w:t>
      </w:r>
      <w:r w:rsidR="001668B6" w:rsidRPr="00610401">
        <w:rPr>
          <w:noProof/>
        </w:rPr>
        <w:t>rych mniej niż 50</w:t>
      </w:r>
      <w:r w:rsidR="00610401" w:rsidRPr="00610401">
        <w:rPr>
          <w:noProof/>
        </w:rPr>
        <w:t> </w:t>
      </w:r>
      <w:r w:rsidR="001668B6" w:rsidRPr="00610401">
        <w:rPr>
          <w:noProof/>
        </w:rPr>
        <w:t>% ludności mieszka</w:t>
      </w:r>
      <w:r w:rsidR="00610401" w:rsidRPr="00610401">
        <w:rPr>
          <w:noProof/>
        </w:rPr>
        <w:t xml:space="preserve"> w ośr</w:t>
      </w:r>
      <w:r w:rsidR="001668B6" w:rsidRPr="00610401">
        <w:rPr>
          <w:noProof/>
        </w:rPr>
        <w:t>odku miejskim, ale co najmniej 50</w:t>
      </w:r>
      <w:r w:rsidR="00610401" w:rsidRPr="00610401">
        <w:rPr>
          <w:noProof/>
        </w:rPr>
        <w:t> </w:t>
      </w:r>
      <w:r w:rsidR="001668B6" w:rsidRPr="00610401">
        <w:rPr>
          <w:noProof/>
        </w:rPr>
        <w:t>% ludności mieszka</w:t>
      </w:r>
      <w:r w:rsidR="00610401" w:rsidRPr="00610401">
        <w:rPr>
          <w:noProof/>
        </w:rPr>
        <w:t xml:space="preserve"> w kla</w:t>
      </w:r>
      <w:r w:rsidR="001668B6" w:rsidRPr="00610401">
        <w:rPr>
          <w:noProof/>
        </w:rPr>
        <w:t>strach miejskich, co mierzy się przy użyciu</w:t>
      </w:r>
      <w:r w:rsidR="001668B6" w:rsidRPr="00610401">
        <w:rPr>
          <w:noProof/>
          <w:color w:val="000000"/>
          <w:shd w:val="clear" w:color="auto" w:fill="FFFFFF"/>
        </w:rPr>
        <w:t xml:space="preserve"> stopnia zurbanizowania ustanowionego zgodnie</w:t>
      </w:r>
      <w:r w:rsidR="00610401" w:rsidRPr="00610401">
        <w:rPr>
          <w:noProof/>
          <w:color w:val="000000"/>
          <w:shd w:val="clear" w:color="auto" w:fill="FFFFFF"/>
        </w:rPr>
        <w:t xml:space="preserve"> z art</w:t>
      </w:r>
      <w:r w:rsidR="001668B6" w:rsidRPr="00610401">
        <w:rPr>
          <w:noProof/>
          <w:color w:val="000000"/>
          <w:shd w:val="clear" w:color="auto" w:fill="FFFFFF"/>
        </w:rPr>
        <w:t>.</w:t>
      </w:r>
      <w:r w:rsidR="00610401" w:rsidRPr="00610401">
        <w:rPr>
          <w:noProof/>
          <w:color w:val="000000"/>
          <w:shd w:val="clear" w:color="auto" w:fill="FFFFFF"/>
        </w:rPr>
        <w:t> </w:t>
      </w:r>
      <w:r w:rsidR="001668B6" w:rsidRPr="00610401">
        <w:rPr>
          <w:noProof/>
          <w:color w:val="000000"/>
          <w:shd w:val="clear" w:color="auto" w:fill="FFFFFF"/>
        </w:rPr>
        <w:t>4b ust.</w:t>
      </w:r>
      <w:r w:rsidR="00610401" w:rsidRPr="00610401">
        <w:rPr>
          <w:noProof/>
          <w:color w:val="000000"/>
          <w:shd w:val="clear" w:color="auto" w:fill="FFFFFF"/>
        </w:rPr>
        <w:t> </w:t>
      </w:r>
      <w:r w:rsidR="001668B6" w:rsidRPr="00610401">
        <w:rPr>
          <w:noProof/>
          <w:color w:val="000000"/>
          <w:shd w:val="clear" w:color="auto" w:fill="FFFFFF"/>
        </w:rPr>
        <w:t>3 lit.</w:t>
      </w:r>
      <w:r w:rsidR="00610401" w:rsidRPr="00610401">
        <w:rPr>
          <w:noProof/>
          <w:color w:val="000000"/>
          <w:shd w:val="clear" w:color="auto" w:fill="FFFFFF"/>
        </w:rPr>
        <w:t> </w:t>
      </w:r>
      <w:r w:rsidR="001668B6" w:rsidRPr="00610401">
        <w:rPr>
          <w:noProof/>
          <w:color w:val="000000"/>
          <w:shd w:val="clear" w:color="auto" w:fill="FFFFFF"/>
        </w:rPr>
        <w:t xml:space="preserve">a) </w:t>
      </w:r>
      <w:r w:rsidR="001668B6" w:rsidRPr="00610401">
        <w:rPr>
          <w:noProof/>
          <w:color w:val="000000" w:themeColor="text1"/>
        </w:rPr>
        <w:t>rozporządzenia (WE) nr</w:t>
      </w:r>
      <w:r w:rsidR="00610401" w:rsidRPr="00610401">
        <w:rPr>
          <w:noProof/>
          <w:color w:val="000000" w:themeColor="text1"/>
        </w:rPr>
        <w:t> </w:t>
      </w:r>
      <w:r w:rsidR="001668B6" w:rsidRPr="00610401">
        <w:rPr>
          <w:noProof/>
          <w:color w:val="000000" w:themeColor="text1"/>
        </w:rPr>
        <w:t>1059/2003</w:t>
      </w:r>
      <w:r w:rsidR="001668B6" w:rsidRPr="00610401">
        <w:rPr>
          <w:noProof/>
        </w:rPr>
        <w:t>;</w:t>
      </w:r>
    </w:p>
    <w:p w:rsidR="002A6DBF" w:rsidRPr="00610401" w:rsidRDefault="006E313D" w:rsidP="006E313D">
      <w:pPr>
        <w:pStyle w:val="Point0"/>
        <w:rPr>
          <w:noProof/>
        </w:rPr>
      </w:pPr>
      <w:r w:rsidRPr="006E313D">
        <w:rPr>
          <w:noProof/>
        </w:rPr>
        <w:t>13)</w:t>
      </w:r>
      <w:r w:rsidRPr="006E313D">
        <w:rPr>
          <w:noProof/>
        </w:rPr>
        <w:tab/>
      </w:r>
      <w:r w:rsidR="000D71A6" w:rsidRPr="00610401">
        <w:rPr>
          <w:noProof/>
        </w:rPr>
        <w:t>„zielone przestrzenie miejskie” oznaczają wszystkie zielone obszary miejskie; lasy liściaste; lasy iglaste; lasy mieszane; naturalne obszary trawiaste; wrzosowiska; tereny przejściowe porośnięte krzewami</w:t>
      </w:r>
      <w:r w:rsidR="00610401" w:rsidRPr="00610401">
        <w:rPr>
          <w:noProof/>
        </w:rPr>
        <w:t xml:space="preserve"> i poj</w:t>
      </w:r>
      <w:r w:rsidR="000D71A6" w:rsidRPr="00610401">
        <w:rPr>
          <w:noProof/>
        </w:rPr>
        <w:t>edynczymi drzewami oraz obszary słabo porośnięte roślinnością występujące na terenie miast lub małych miast</w:t>
      </w:r>
      <w:r w:rsidR="00610401" w:rsidRPr="00610401">
        <w:rPr>
          <w:noProof/>
        </w:rPr>
        <w:t xml:space="preserve"> i prz</w:t>
      </w:r>
      <w:r w:rsidR="000D71A6" w:rsidRPr="00610401">
        <w:rPr>
          <w:noProof/>
        </w:rPr>
        <w:t>edmieść, obliczone na podstawie danych dostarczonych przez usługę programu Copernicus</w:t>
      </w:r>
      <w:r w:rsidR="00610401" w:rsidRPr="00610401">
        <w:rPr>
          <w:noProof/>
        </w:rPr>
        <w:t xml:space="preserve"> w zak</w:t>
      </w:r>
      <w:r w:rsidR="000D71A6" w:rsidRPr="00610401">
        <w:rPr>
          <w:noProof/>
        </w:rPr>
        <w:t>resie monitorowania obszarów lądowych, zgodnie</w:t>
      </w:r>
      <w:r w:rsidR="00610401" w:rsidRPr="00610401">
        <w:rPr>
          <w:noProof/>
        </w:rPr>
        <w:t xml:space="preserve"> z roz</w:t>
      </w:r>
      <w:r w:rsidR="000D71A6" w:rsidRPr="00610401">
        <w:rPr>
          <w:noProof/>
        </w:rPr>
        <w:t>porządzeniem Parlamentu Europejskiego</w:t>
      </w:r>
      <w:r w:rsidR="00610401" w:rsidRPr="00610401">
        <w:rPr>
          <w:noProof/>
        </w:rPr>
        <w:t xml:space="preserve"> i Rad</w:t>
      </w:r>
      <w:r w:rsidR="000D71A6" w:rsidRPr="00610401">
        <w:rPr>
          <w:noProof/>
        </w:rPr>
        <w:t>y (UE) 2021/696</w:t>
      </w:r>
      <w:r w:rsidR="000D71A6" w:rsidRPr="00610401">
        <w:rPr>
          <w:rStyle w:val="FootnoteReference"/>
          <w:noProof/>
        </w:rPr>
        <w:footnoteReference w:id="111"/>
      </w:r>
      <w:r w:rsidR="000D71A6" w:rsidRPr="00610401">
        <w:rPr>
          <w:noProof/>
        </w:rPr>
        <w:t>;</w:t>
      </w:r>
    </w:p>
    <w:p w:rsidR="001668B6" w:rsidRPr="00610401" w:rsidRDefault="006E313D" w:rsidP="006E313D">
      <w:pPr>
        <w:pStyle w:val="Point0"/>
        <w:rPr>
          <w:noProof/>
        </w:rPr>
      </w:pPr>
      <w:r w:rsidRPr="006E313D">
        <w:rPr>
          <w:noProof/>
        </w:rPr>
        <w:t>14)</w:t>
      </w:r>
      <w:r w:rsidRPr="006E313D">
        <w:rPr>
          <w:noProof/>
        </w:rPr>
        <w:tab/>
      </w:r>
      <w:r w:rsidR="000D71A6" w:rsidRPr="00610401">
        <w:rPr>
          <w:noProof/>
        </w:rPr>
        <w:t>„zwarcie drzewostanu na obszarach miejskich” oznacza całkowitą powierzchnię zadrzewienia na terenie miast, małych miast</w:t>
      </w:r>
      <w:r w:rsidR="00610401" w:rsidRPr="00610401">
        <w:rPr>
          <w:noProof/>
        </w:rPr>
        <w:t xml:space="preserve"> i prz</w:t>
      </w:r>
      <w:r w:rsidR="000D71A6" w:rsidRPr="00610401">
        <w:rPr>
          <w:noProof/>
        </w:rPr>
        <w:t>edmieść, obliczoną na podstawie danych dostarczonych przez usługę programu Copernicus</w:t>
      </w:r>
      <w:r w:rsidR="00610401" w:rsidRPr="00610401">
        <w:rPr>
          <w:noProof/>
        </w:rPr>
        <w:t xml:space="preserve"> w zak</w:t>
      </w:r>
      <w:r w:rsidR="000D71A6" w:rsidRPr="00610401">
        <w:rPr>
          <w:noProof/>
        </w:rPr>
        <w:t>resie monitorowania obszarów lądowych, zgodnie</w:t>
      </w:r>
      <w:r w:rsidR="00610401" w:rsidRPr="00610401">
        <w:rPr>
          <w:noProof/>
        </w:rPr>
        <w:t xml:space="preserve"> z roz</w:t>
      </w:r>
      <w:r w:rsidR="000D71A6" w:rsidRPr="00610401">
        <w:rPr>
          <w:noProof/>
        </w:rPr>
        <w:t>porządzeniem Parlamentu Europejskiego</w:t>
      </w:r>
      <w:r w:rsidR="00610401" w:rsidRPr="00610401">
        <w:rPr>
          <w:noProof/>
        </w:rPr>
        <w:t xml:space="preserve"> i Rad</w:t>
      </w:r>
      <w:r w:rsidR="000D71A6" w:rsidRPr="00610401">
        <w:rPr>
          <w:noProof/>
        </w:rPr>
        <w:t xml:space="preserve">y (UE) 2021/696. </w:t>
      </w:r>
    </w:p>
    <w:p w:rsidR="00E51EFA" w:rsidRPr="00610401" w:rsidRDefault="006E313D" w:rsidP="006E313D">
      <w:pPr>
        <w:pStyle w:val="Point0"/>
        <w:rPr>
          <w:noProof/>
        </w:rPr>
      </w:pPr>
      <w:r w:rsidRPr="006E313D">
        <w:rPr>
          <w:noProof/>
        </w:rPr>
        <w:t>15)</w:t>
      </w:r>
      <w:r w:rsidRPr="006E313D">
        <w:rPr>
          <w:noProof/>
        </w:rPr>
        <w:tab/>
      </w:r>
      <w:r w:rsidR="00E51EFA" w:rsidRPr="00610401">
        <w:rPr>
          <w:noProof/>
        </w:rPr>
        <w:t>„obszar docelowy energii odnawialnej” oznacza obszar docelowy energii odnawialnej zdefiniowany</w:t>
      </w:r>
      <w:r w:rsidR="00610401" w:rsidRPr="00610401">
        <w:rPr>
          <w:noProof/>
        </w:rPr>
        <w:t xml:space="preserve"> w art</w:t>
      </w:r>
      <w:r w:rsidR="00E51EFA" w:rsidRPr="00610401">
        <w:rPr>
          <w:noProof/>
        </w:rPr>
        <w:t>. 2 pkt</w:t>
      </w:r>
      <w:r w:rsidR="00610401" w:rsidRPr="00610401">
        <w:rPr>
          <w:noProof/>
        </w:rPr>
        <w:t> </w:t>
      </w:r>
      <w:r w:rsidR="00E51EFA" w:rsidRPr="00610401">
        <w:rPr>
          <w:noProof/>
        </w:rPr>
        <w:t>9 lit.</w:t>
      </w:r>
      <w:r w:rsidR="00610401" w:rsidRPr="00610401">
        <w:rPr>
          <w:noProof/>
        </w:rPr>
        <w:t> </w:t>
      </w:r>
      <w:r w:rsidR="00E51EFA" w:rsidRPr="00610401">
        <w:rPr>
          <w:noProof/>
        </w:rPr>
        <w:t>a) dyrektywy Parlamentu Europejskiego</w:t>
      </w:r>
      <w:r w:rsidR="00610401" w:rsidRPr="00610401">
        <w:rPr>
          <w:noProof/>
        </w:rPr>
        <w:t xml:space="preserve"> i Rad</w:t>
      </w:r>
      <w:r w:rsidR="00E51EFA" w:rsidRPr="00610401">
        <w:rPr>
          <w:noProof/>
        </w:rPr>
        <w:t>y 2018/2001/UE</w:t>
      </w:r>
      <w:r w:rsidR="00E51EFA" w:rsidRPr="00610401">
        <w:rPr>
          <w:rStyle w:val="FootnoteReference"/>
          <w:noProof/>
        </w:rPr>
        <w:footnoteReference w:id="112"/>
      </w:r>
      <w:r w:rsidR="00E51EFA" w:rsidRPr="00610401">
        <w:rPr>
          <w:noProof/>
        </w:rPr>
        <w:t>.</w:t>
      </w:r>
    </w:p>
    <w:p w:rsidR="00903821" w:rsidRPr="00610401" w:rsidRDefault="00903821" w:rsidP="001F56EA">
      <w:pPr>
        <w:rPr>
          <w:noProof/>
        </w:rPr>
      </w:pPr>
    </w:p>
    <w:p w:rsidR="00AC672F" w:rsidRPr="00610401" w:rsidRDefault="00AC672F" w:rsidP="001E21BF">
      <w:pPr>
        <w:pStyle w:val="ChapterTitle"/>
        <w:rPr>
          <w:noProof/>
        </w:rPr>
      </w:pPr>
      <w:r w:rsidRPr="00610401">
        <w:rPr>
          <w:noProof/>
        </w:rPr>
        <w:t>ROZDZIAŁ II</w:t>
      </w:r>
    </w:p>
    <w:p w:rsidR="00AC672F" w:rsidRPr="00610401" w:rsidRDefault="00AC672F" w:rsidP="001E21BF">
      <w:pPr>
        <w:pStyle w:val="ChapterTitle"/>
        <w:rPr>
          <w:noProof/>
        </w:rPr>
      </w:pPr>
      <w:r w:rsidRPr="00610401">
        <w:rPr>
          <w:noProof/>
        </w:rPr>
        <w:t>CELE I OBOWIĄZKI W ZAKRESIE ODBUDOWY</w:t>
      </w:r>
    </w:p>
    <w:p w:rsidR="00817E6D" w:rsidRPr="00610401" w:rsidRDefault="5906F943" w:rsidP="00A22E53">
      <w:pPr>
        <w:pStyle w:val="Titrearticle"/>
        <w:rPr>
          <w:b/>
          <w:bCs/>
          <w:i w:val="0"/>
          <w:noProof/>
        </w:rPr>
      </w:pPr>
      <w:r w:rsidRPr="00610401">
        <w:rPr>
          <w:noProof/>
        </w:rPr>
        <w:t xml:space="preserve">Artykuł 4 </w:t>
      </w:r>
      <w:r w:rsidRPr="00610401">
        <w:rPr>
          <w:noProof/>
        </w:rPr>
        <w:br/>
      </w:r>
      <w:r w:rsidRPr="00610401">
        <w:rPr>
          <w:b/>
          <w:i w:val="0"/>
          <w:noProof/>
        </w:rPr>
        <w:t>Odbudowa ekosystemów lądowych, przybrzeżnych</w:t>
      </w:r>
      <w:r w:rsidR="00610401" w:rsidRPr="00610401">
        <w:rPr>
          <w:b/>
          <w:i w:val="0"/>
          <w:noProof/>
        </w:rPr>
        <w:t xml:space="preserve"> i sło</w:t>
      </w:r>
      <w:r w:rsidRPr="00610401">
        <w:rPr>
          <w:b/>
          <w:i w:val="0"/>
          <w:noProof/>
        </w:rPr>
        <w:t>dkowodnych</w:t>
      </w:r>
    </w:p>
    <w:p w:rsidR="008E72E8" w:rsidRPr="00610401" w:rsidRDefault="009F5C98" w:rsidP="009F5C98">
      <w:pPr>
        <w:pStyle w:val="ManualNumPar1"/>
        <w:rPr>
          <w:noProof/>
        </w:rPr>
      </w:pPr>
      <w:r w:rsidRPr="009F5C98">
        <w:t>1.</w:t>
      </w:r>
      <w:r w:rsidRPr="009F5C98">
        <w:tab/>
      </w:r>
      <w:r w:rsidR="00182F2F" w:rsidRPr="00610401">
        <w:rPr>
          <w:noProof/>
        </w:rPr>
        <w:t>Państwa członkowskie wprowadzają środki odbudowy konieczne do przywrócenia do dobrego stanu obszarów typów siedlisk wymienionych</w:t>
      </w:r>
      <w:r w:rsidR="00610401" w:rsidRPr="00610401">
        <w:rPr>
          <w:noProof/>
        </w:rPr>
        <w:t xml:space="preserve"> w zał</w:t>
      </w:r>
      <w:r w:rsidR="00182F2F" w:rsidRPr="00610401">
        <w:rPr>
          <w:noProof/>
        </w:rPr>
        <w:t>ączniku I, których stan nie jest dobry. Do 2030</w:t>
      </w:r>
      <w:r w:rsidR="00610401" w:rsidRPr="00610401">
        <w:rPr>
          <w:noProof/>
        </w:rPr>
        <w:t> </w:t>
      </w:r>
      <w:r w:rsidR="00182F2F" w:rsidRPr="00610401">
        <w:rPr>
          <w:noProof/>
        </w:rPr>
        <w:t>r. środki te muszą być wprowadzone</w:t>
      </w:r>
      <w:r w:rsidR="00610401" w:rsidRPr="00610401">
        <w:rPr>
          <w:noProof/>
        </w:rPr>
        <w:t xml:space="preserve"> w odn</w:t>
      </w:r>
      <w:r w:rsidR="00182F2F" w:rsidRPr="00610401">
        <w:rPr>
          <w:noProof/>
        </w:rPr>
        <w:t>iesieniu do co najmniej 30 % obszarów każdej grupy typów siedlisk wymienionych</w:t>
      </w:r>
      <w:r w:rsidR="00610401" w:rsidRPr="00610401">
        <w:rPr>
          <w:noProof/>
        </w:rPr>
        <w:t xml:space="preserve"> w zał</w:t>
      </w:r>
      <w:r w:rsidR="00182F2F" w:rsidRPr="00610401">
        <w:rPr>
          <w:noProof/>
        </w:rPr>
        <w:t>ączniku I, których stan nie jest dobry, jak określono ilościowo</w:t>
      </w:r>
      <w:r w:rsidR="00610401" w:rsidRPr="00610401">
        <w:rPr>
          <w:noProof/>
        </w:rPr>
        <w:t xml:space="preserve"> w kra</w:t>
      </w:r>
      <w:r w:rsidR="00182F2F" w:rsidRPr="00610401">
        <w:rPr>
          <w:noProof/>
        </w:rPr>
        <w:t>jowym planie odbudowy,</w:t>
      </w:r>
      <w:r w:rsidR="00610401" w:rsidRPr="00610401">
        <w:rPr>
          <w:noProof/>
        </w:rPr>
        <w:t xml:space="preserve"> o któ</w:t>
      </w:r>
      <w:r w:rsidR="00182F2F" w:rsidRPr="00610401">
        <w:rPr>
          <w:noProof/>
        </w:rPr>
        <w:t>rym mowa</w:t>
      </w:r>
      <w:r w:rsidR="00610401" w:rsidRPr="00610401">
        <w:rPr>
          <w:noProof/>
        </w:rPr>
        <w:t xml:space="preserve"> w art</w:t>
      </w:r>
      <w:r w:rsidR="00182F2F" w:rsidRPr="00610401">
        <w:rPr>
          <w:noProof/>
        </w:rPr>
        <w:t>.</w:t>
      </w:r>
      <w:r w:rsidR="00610401" w:rsidRPr="00610401">
        <w:rPr>
          <w:noProof/>
        </w:rPr>
        <w:t> </w:t>
      </w:r>
      <w:r w:rsidR="00182F2F" w:rsidRPr="00610401">
        <w:rPr>
          <w:noProof/>
        </w:rPr>
        <w:t>12, do</w:t>
      </w:r>
      <w:r w:rsidR="00610401" w:rsidRPr="00610401">
        <w:rPr>
          <w:noProof/>
        </w:rPr>
        <w:t> </w:t>
      </w:r>
      <w:r w:rsidR="00182F2F" w:rsidRPr="00610401">
        <w:rPr>
          <w:noProof/>
        </w:rPr>
        <w:t>2040</w:t>
      </w:r>
      <w:r w:rsidR="00610401" w:rsidRPr="00610401">
        <w:rPr>
          <w:noProof/>
        </w:rPr>
        <w:t> </w:t>
      </w:r>
      <w:r w:rsidR="00182F2F" w:rsidRPr="00610401">
        <w:rPr>
          <w:noProof/>
        </w:rPr>
        <w:t>r. –</w:t>
      </w:r>
      <w:r w:rsidR="00610401" w:rsidRPr="00610401">
        <w:rPr>
          <w:noProof/>
        </w:rPr>
        <w:t xml:space="preserve"> w odn</w:t>
      </w:r>
      <w:r w:rsidR="00182F2F" w:rsidRPr="00610401">
        <w:rPr>
          <w:noProof/>
        </w:rPr>
        <w:t>iesieniu do co najmniej 60 % tych obszarów, a do</w:t>
      </w:r>
      <w:r w:rsidR="00610401" w:rsidRPr="00610401">
        <w:rPr>
          <w:noProof/>
        </w:rPr>
        <w:t> </w:t>
      </w:r>
      <w:r w:rsidR="00182F2F" w:rsidRPr="00610401">
        <w:rPr>
          <w:noProof/>
        </w:rPr>
        <w:t>2050</w:t>
      </w:r>
      <w:r w:rsidR="00610401" w:rsidRPr="00610401">
        <w:rPr>
          <w:noProof/>
        </w:rPr>
        <w:t> </w:t>
      </w:r>
      <w:r w:rsidR="00182F2F" w:rsidRPr="00610401">
        <w:rPr>
          <w:noProof/>
        </w:rPr>
        <w:t>r. –</w:t>
      </w:r>
      <w:r w:rsidR="00610401" w:rsidRPr="00610401">
        <w:rPr>
          <w:noProof/>
        </w:rPr>
        <w:t xml:space="preserve"> w odn</w:t>
      </w:r>
      <w:r w:rsidR="00182F2F" w:rsidRPr="00610401">
        <w:rPr>
          <w:noProof/>
        </w:rPr>
        <w:t>iesieniu do co najmniej 90 % tych obszarów.</w:t>
      </w:r>
    </w:p>
    <w:p w:rsidR="009B7FCD" w:rsidRPr="00610401" w:rsidRDefault="009F5C98" w:rsidP="009F5C98">
      <w:pPr>
        <w:pStyle w:val="ManualNumPar1"/>
        <w:rPr>
          <w:noProof/>
        </w:rPr>
      </w:pPr>
      <w:r w:rsidRPr="009F5C98">
        <w:t>2.</w:t>
      </w:r>
      <w:r w:rsidRPr="009F5C98">
        <w:tab/>
      </w:r>
      <w:r w:rsidR="00182F2F" w:rsidRPr="00610401">
        <w:rPr>
          <w:noProof/>
        </w:rPr>
        <w:t>Państwa członkowskie wprowadzają środki odbudowy konieczne do przywrócenia typów siedlisk wymienionych</w:t>
      </w:r>
      <w:r w:rsidR="00610401" w:rsidRPr="00610401">
        <w:rPr>
          <w:noProof/>
        </w:rPr>
        <w:t xml:space="preserve"> w zał</w:t>
      </w:r>
      <w:r w:rsidR="00182F2F" w:rsidRPr="00610401">
        <w:rPr>
          <w:noProof/>
        </w:rPr>
        <w:t>ączniku I na obszarach nie obejmujących tych typów siedlisk. Do 2030</w:t>
      </w:r>
      <w:r w:rsidR="00610401" w:rsidRPr="00610401">
        <w:rPr>
          <w:noProof/>
        </w:rPr>
        <w:t> </w:t>
      </w:r>
      <w:r w:rsidR="00182F2F" w:rsidRPr="00610401">
        <w:rPr>
          <w:noProof/>
        </w:rPr>
        <w:t>r. środki te muszą być wprowadzone</w:t>
      </w:r>
      <w:r w:rsidR="00610401" w:rsidRPr="00610401">
        <w:rPr>
          <w:noProof/>
        </w:rPr>
        <w:t xml:space="preserve"> w odn</w:t>
      </w:r>
      <w:r w:rsidR="00182F2F" w:rsidRPr="00610401">
        <w:rPr>
          <w:noProof/>
        </w:rPr>
        <w:t>iesieniu do obszarów odpowiadających co najmniej 30 % dodatkowej powierzchni całkowitej potrzebnej do osiągnięcia całkowitego właściwego obszaru odniesienia dla każdej grupy typów siedlisk wymienionych</w:t>
      </w:r>
      <w:r w:rsidR="00610401" w:rsidRPr="00610401">
        <w:rPr>
          <w:noProof/>
        </w:rPr>
        <w:t xml:space="preserve"> w zał</w:t>
      </w:r>
      <w:r w:rsidR="00182F2F" w:rsidRPr="00610401">
        <w:rPr>
          <w:noProof/>
        </w:rPr>
        <w:t>ączniku I, jak określono ilościowo</w:t>
      </w:r>
      <w:r w:rsidR="00610401" w:rsidRPr="00610401">
        <w:rPr>
          <w:noProof/>
        </w:rPr>
        <w:t xml:space="preserve"> w kra</w:t>
      </w:r>
      <w:r w:rsidR="00182F2F" w:rsidRPr="00610401">
        <w:rPr>
          <w:noProof/>
        </w:rPr>
        <w:t>jowym planie odbudowy,</w:t>
      </w:r>
      <w:r w:rsidR="00610401" w:rsidRPr="00610401">
        <w:rPr>
          <w:noProof/>
        </w:rPr>
        <w:t xml:space="preserve"> o któ</w:t>
      </w:r>
      <w:r w:rsidR="00182F2F" w:rsidRPr="00610401">
        <w:rPr>
          <w:noProof/>
        </w:rPr>
        <w:t>rym mowa</w:t>
      </w:r>
      <w:r w:rsidR="00610401" w:rsidRPr="00610401">
        <w:rPr>
          <w:noProof/>
        </w:rPr>
        <w:t xml:space="preserve"> w art</w:t>
      </w:r>
      <w:r w:rsidR="00182F2F" w:rsidRPr="00610401">
        <w:rPr>
          <w:noProof/>
        </w:rPr>
        <w:t>.</w:t>
      </w:r>
      <w:r w:rsidR="00610401" w:rsidRPr="00610401">
        <w:rPr>
          <w:noProof/>
        </w:rPr>
        <w:t> </w:t>
      </w:r>
      <w:r w:rsidR="00182F2F" w:rsidRPr="00610401">
        <w:rPr>
          <w:noProof/>
        </w:rPr>
        <w:t>12, do</w:t>
      </w:r>
      <w:r w:rsidR="00610401" w:rsidRPr="00610401">
        <w:rPr>
          <w:noProof/>
        </w:rPr>
        <w:t> </w:t>
      </w:r>
      <w:r w:rsidR="00182F2F" w:rsidRPr="00610401">
        <w:rPr>
          <w:noProof/>
        </w:rPr>
        <w:t>2040</w:t>
      </w:r>
      <w:r w:rsidR="00610401" w:rsidRPr="00610401">
        <w:rPr>
          <w:noProof/>
        </w:rPr>
        <w:t> </w:t>
      </w:r>
      <w:r w:rsidR="00182F2F" w:rsidRPr="00610401">
        <w:rPr>
          <w:noProof/>
        </w:rPr>
        <w:t>r. –</w:t>
      </w:r>
      <w:r w:rsidR="00610401" w:rsidRPr="00610401">
        <w:rPr>
          <w:noProof/>
        </w:rPr>
        <w:t xml:space="preserve"> w odn</w:t>
      </w:r>
      <w:r w:rsidR="00182F2F" w:rsidRPr="00610401">
        <w:rPr>
          <w:noProof/>
        </w:rPr>
        <w:t>iesieniu do co najmniej 60</w:t>
      </w:r>
      <w:r w:rsidR="00610401" w:rsidRPr="00610401">
        <w:rPr>
          <w:noProof/>
        </w:rPr>
        <w:t> </w:t>
      </w:r>
      <w:r w:rsidR="00182F2F" w:rsidRPr="00610401">
        <w:rPr>
          <w:noProof/>
        </w:rPr>
        <w:t>% tej powierzchni, a do</w:t>
      </w:r>
      <w:r w:rsidR="00610401" w:rsidRPr="00610401">
        <w:rPr>
          <w:noProof/>
        </w:rPr>
        <w:t> </w:t>
      </w:r>
      <w:r w:rsidR="00182F2F" w:rsidRPr="00610401">
        <w:rPr>
          <w:noProof/>
        </w:rPr>
        <w:t>2050</w:t>
      </w:r>
      <w:r w:rsidR="00610401" w:rsidRPr="00610401">
        <w:rPr>
          <w:noProof/>
        </w:rPr>
        <w:t> </w:t>
      </w:r>
      <w:r w:rsidR="00182F2F" w:rsidRPr="00610401">
        <w:rPr>
          <w:noProof/>
        </w:rPr>
        <w:t>r. –</w:t>
      </w:r>
      <w:r w:rsidR="00610401" w:rsidRPr="00610401">
        <w:rPr>
          <w:noProof/>
        </w:rPr>
        <w:t xml:space="preserve"> w odn</w:t>
      </w:r>
      <w:r w:rsidR="00182F2F" w:rsidRPr="00610401">
        <w:rPr>
          <w:noProof/>
        </w:rPr>
        <w:t>iesieniu do</w:t>
      </w:r>
      <w:r w:rsidR="00610401" w:rsidRPr="00610401">
        <w:rPr>
          <w:noProof/>
        </w:rPr>
        <w:t> </w:t>
      </w:r>
      <w:r w:rsidR="00182F2F" w:rsidRPr="00610401">
        <w:rPr>
          <w:noProof/>
        </w:rPr>
        <w:t>100</w:t>
      </w:r>
      <w:r w:rsidR="00610401" w:rsidRPr="00610401">
        <w:rPr>
          <w:noProof/>
        </w:rPr>
        <w:t> </w:t>
      </w:r>
      <w:r w:rsidR="00182F2F" w:rsidRPr="00610401">
        <w:rPr>
          <w:noProof/>
        </w:rPr>
        <w:t>% tej powierzchni.</w:t>
      </w:r>
    </w:p>
    <w:p w:rsidR="00B323CD" w:rsidRPr="00610401" w:rsidRDefault="009F5C98" w:rsidP="009F5C98">
      <w:pPr>
        <w:pStyle w:val="ManualNumPar1"/>
        <w:rPr>
          <w:noProof/>
        </w:rPr>
      </w:pPr>
      <w:r w:rsidRPr="009F5C98">
        <w:t>3.</w:t>
      </w:r>
      <w:r w:rsidRPr="009F5C98">
        <w:tab/>
      </w:r>
      <w:r w:rsidR="00182F2F" w:rsidRPr="00610401">
        <w:rPr>
          <w:noProof/>
        </w:rPr>
        <w:t>Państwa członkowskie wprowadzają środki odbudowy lądowych, przybrzeżnych</w:t>
      </w:r>
      <w:r w:rsidR="00610401" w:rsidRPr="00610401">
        <w:rPr>
          <w:noProof/>
        </w:rPr>
        <w:t xml:space="preserve"> i sło</w:t>
      </w:r>
      <w:r w:rsidR="00182F2F" w:rsidRPr="00610401">
        <w:rPr>
          <w:noProof/>
        </w:rPr>
        <w:t>dkowodnych siedlisk gatunków wymienionych</w:t>
      </w:r>
      <w:r w:rsidR="00610401" w:rsidRPr="00610401">
        <w:rPr>
          <w:noProof/>
        </w:rPr>
        <w:t xml:space="preserve"> w zał</w:t>
      </w:r>
      <w:r w:rsidR="00182F2F" w:rsidRPr="00610401">
        <w:rPr>
          <w:noProof/>
        </w:rPr>
        <w:t>ącznikach II, IV i V do dyrektywy 92/43/EWG,</w:t>
      </w:r>
      <w:r w:rsidR="00610401" w:rsidRPr="00610401">
        <w:rPr>
          <w:noProof/>
        </w:rPr>
        <w:t xml:space="preserve"> a tak</w:t>
      </w:r>
      <w:r w:rsidR="00182F2F" w:rsidRPr="00610401">
        <w:rPr>
          <w:noProof/>
        </w:rPr>
        <w:t>że lądowych, przybrzeżnych</w:t>
      </w:r>
      <w:r w:rsidR="00610401" w:rsidRPr="00610401">
        <w:rPr>
          <w:noProof/>
        </w:rPr>
        <w:t xml:space="preserve"> i sło</w:t>
      </w:r>
      <w:r w:rsidR="00182F2F" w:rsidRPr="00610401">
        <w:rPr>
          <w:noProof/>
        </w:rPr>
        <w:t>dkowodnych siedlisk dzikiego ptactwa objętych zakresem dyrektywy 2009/147/WE, konieczne do poprawy jakości</w:t>
      </w:r>
      <w:r w:rsidR="00610401" w:rsidRPr="00610401">
        <w:rPr>
          <w:noProof/>
        </w:rPr>
        <w:t xml:space="preserve"> i wie</w:t>
      </w:r>
      <w:r w:rsidR="00182F2F" w:rsidRPr="00610401">
        <w:rPr>
          <w:noProof/>
        </w:rPr>
        <w:t>lkości tych siedlisk, między innymi przez ich przywrócenie,</w:t>
      </w:r>
      <w:r w:rsidR="00610401" w:rsidRPr="00610401">
        <w:rPr>
          <w:noProof/>
        </w:rPr>
        <w:t xml:space="preserve"> a tak</w:t>
      </w:r>
      <w:r w:rsidR="00182F2F" w:rsidRPr="00610401">
        <w:rPr>
          <w:noProof/>
        </w:rPr>
        <w:t>że do poprawy łączności aż do osiągnięcia wystarczającej jakości</w:t>
      </w:r>
      <w:r w:rsidR="00610401" w:rsidRPr="00610401">
        <w:rPr>
          <w:noProof/>
        </w:rPr>
        <w:t xml:space="preserve"> i wie</w:t>
      </w:r>
      <w:r w:rsidR="00182F2F" w:rsidRPr="00610401">
        <w:rPr>
          <w:noProof/>
        </w:rPr>
        <w:t>lkości tych siedlisk.</w:t>
      </w:r>
    </w:p>
    <w:p w:rsidR="00937EB1" w:rsidRPr="00610401" w:rsidRDefault="009F5C98" w:rsidP="009F5C98">
      <w:pPr>
        <w:pStyle w:val="ManualNumPar1"/>
        <w:rPr>
          <w:noProof/>
        </w:rPr>
      </w:pPr>
      <w:r w:rsidRPr="009F5C98">
        <w:t>4.</w:t>
      </w:r>
      <w:r w:rsidRPr="009F5C98">
        <w:tab/>
      </w:r>
      <w:r w:rsidR="187E9004" w:rsidRPr="00610401">
        <w:rPr>
          <w:noProof/>
        </w:rPr>
        <w:t>Obszary najbardziej odpowiednie do objęcia środkami odbudowy zgodnie</w:t>
      </w:r>
      <w:r w:rsidR="00610401" w:rsidRPr="00610401">
        <w:rPr>
          <w:noProof/>
        </w:rPr>
        <w:t xml:space="preserve"> z ust</w:t>
      </w:r>
      <w:r w:rsidR="187E9004" w:rsidRPr="00610401">
        <w:rPr>
          <w:noProof/>
        </w:rPr>
        <w:t>.</w:t>
      </w:r>
      <w:r w:rsidR="00610401" w:rsidRPr="00610401">
        <w:rPr>
          <w:noProof/>
        </w:rPr>
        <w:t> </w:t>
      </w:r>
      <w:r w:rsidR="187E9004" w:rsidRPr="00610401">
        <w:rPr>
          <w:noProof/>
        </w:rPr>
        <w:t>1, 2</w:t>
      </w:r>
      <w:r w:rsidR="00610401" w:rsidRPr="00610401">
        <w:rPr>
          <w:noProof/>
        </w:rPr>
        <w:t xml:space="preserve"> i 3</w:t>
      </w:r>
      <w:r w:rsidR="187E9004" w:rsidRPr="00610401">
        <w:rPr>
          <w:noProof/>
        </w:rPr>
        <w:t xml:space="preserve"> niniejszego artykułu, określa się</w:t>
      </w:r>
      <w:r w:rsidR="00610401" w:rsidRPr="00610401">
        <w:rPr>
          <w:noProof/>
        </w:rPr>
        <w:t xml:space="preserve"> w opa</w:t>
      </w:r>
      <w:r w:rsidR="187E9004" w:rsidRPr="00610401">
        <w:rPr>
          <w:noProof/>
        </w:rPr>
        <w:t>rciu</w:t>
      </w:r>
      <w:r w:rsidR="00610401" w:rsidRPr="00610401">
        <w:rPr>
          <w:noProof/>
        </w:rPr>
        <w:t xml:space="preserve"> o naj</w:t>
      </w:r>
      <w:r w:rsidR="187E9004" w:rsidRPr="00610401">
        <w:rPr>
          <w:noProof/>
        </w:rPr>
        <w:t>lepszą dostępną wiedzę</w:t>
      </w:r>
      <w:r w:rsidR="00610401" w:rsidRPr="00610401">
        <w:rPr>
          <w:noProof/>
        </w:rPr>
        <w:t xml:space="preserve"> i naj</w:t>
      </w:r>
      <w:r w:rsidR="187E9004" w:rsidRPr="00610401">
        <w:rPr>
          <w:noProof/>
        </w:rPr>
        <w:t>nowsze dowody naukowe dotyczące stanu typów siedlisk wymienionych</w:t>
      </w:r>
      <w:r w:rsidR="00610401" w:rsidRPr="00610401">
        <w:rPr>
          <w:noProof/>
        </w:rPr>
        <w:t xml:space="preserve"> w zał</w:t>
      </w:r>
      <w:r w:rsidR="187E9004" w:rsidRPr="00610401">
        <w:rPr>
          <w:noProof/>
        </w:rPr>
        <w:t>ączniku I, oceniane według struktury</w:t>
      </w:r>
      <w:r w:rsidR="00610401" w:rsidRPr="00610401">
        <w:rPr>
          <w:noProof/>
        </w:rPr>
        <w:t xml:space="preserve"> i fun</w:t>
      </w:r>
      <w:r w:rsidR="187E9004" w:rsidRPr="00610401">
        <w:rPr>
          <w:noProof/>
        </w:rPr>
        <w:t>kcji niezbędnych do ich długoterminowego utrzymania,</w:t>
      </w:r>
      <w:r w:rsidR="00610401" w:rsidRPr="00610401">
        <w:rPr>
          <w:noProof/>
        </w:rPr>
        <w:t xml:space="preserve"> w tym</w:t>
      </w:r>
      <w:r w:rsidR="187E9004" w:rsidRPr="00610401">
        <w:rPr>
          <w:noProof/>
        </w:rPr>
        <w:t xml:space="preserve"> typowych dla nich gatunków,</w:t>
      </w:r>
      <w:r w:rsidR="00610401" w:rsidRPr="00610401">
        <w:rPr>
          <w:noProof/>
        </w:rPr>
        <w:t xml:space="preserve"> o któ</w:t>
      </w:r>
      <w:r w:rsidR="187E9004" w:rsidRPr="00610401">
        <w:rPr>
          <w:noProof/>
        </w:rPr>
        <w:t>rych mowa</w:t>
      </w:r>
      <w:r w:rsidR="00610401" w:rsidRPr="00610401">
        <w:rPr>
          <w:noProof/>
        </w:rPr>
        <w:t xml:space="preserve"> w art</w:t>
      </w:r>
      <w:r w:rsidR="187E9004" w:rsidRPr="00610401">
        <w:rPr>
          <w:noProof/>
        </w:rPr>
        <w:t>.</w:t>
      </w:r>
      <w:r w:rsidR="00610401" w:rsidRPr="00610401">
        <w:rPr>
          <w:noProof/>
        </w:rPr>
        <w:t> </w:t>
      </w:r>
      <w:r w:rsidR="187E9004" w:rsidRPr="00610401">
        <w:rPr>
          <w:noProof/>
        </w:rPr>
        <w:t>1 lit.</w:t>
      </w:r>
      <w:r w:rsidR="00610401" w:rsidRPr="00610401">
        <w:rPr>
          <w:noProof/>
        </w:rPr>
        <w:t> </w:t>
      </w:r>
      <w:r w:rsidR="187E9004" w:rsidRPr="00610401">
        <w:rPr>
          <w:noProof/>
        </w:rPr>
        <w:t>e) dyrektywy 92/43/EWG, oraz jakości</w:t>
      </w:r>
      <w:r w:rsidR="00610401" w:rsidRPr="00610401">
        <w:rPr>
          <w:noProof/>
        </w:rPr>
        <w:t xml:space="preserve"> i wie</w:t>
      </w:r>
      <w:r w:rsidR="187E9004" w:rsidRPr="00610401">
        <w:rPr>
          <w:noProof/>
        </w:rPr>
        <w:t>lkości siedlisk gatunków,</w:t>
      </w:r>
      <w:r w:rsidR="00610401" w:rsidRPr="00610401">
        <w:rPr>
          <w:noProof/>
        </w:rPr>
        <w:t xml:space="preserve"> o któ</w:t>
      </w:r>
      <w:r w:rsidR="187E9004" w:rsidRPr="00610401">
        <w:rPr>
          <w:noProof/>
        </w:rPr>
        <w:t>rych mowa</w:t>
      </w:r>
      <w:r w:rsidR="00610401" w:rsidRPr="00610401">
        <w:rPr>
          <w:noProof/>
        </w:rPr>
        <w:t xml:space="preserve"> w ust</w:t>
      </w:r>
      <w:r w:rsidR="187E9004" w:rsidRPr="00610401">
        <w:rPr>
          <w:noProof/>
        </w:rPr>
        <w:t>.</w:t>
      </w:r>
      <w:r w:rsidR="00610401" w:rsidRPr="00610401">
        <w:rPr>
          <w:noProof/>
        </w:rPr>
        <w:t> </w:t>
      </w:r>
      <w:r w:rsidR="187E9004" w:rsidRPr="00610401">
        <w:rPr>
          <w:noProof/>
        </w:rPr>
        <w:t>3 niniejszego artykułu. Jeżeli stan obszarów obejmujących typy siedlisk wymienione</w:t>
      </w:r>
      <w:r w:rsidR="00610401" w:rsidRPr="00610401">
        <w:rPr>
          <w:noProof/>
        </w:rPr>
        <w:t xml:space="preserve"> w zał</w:t>
      </w:r>
      <w:r w:rsidR="187E9004" w:rsidRPr="00610401">
        <w:rPr>
          <w:noProof/>
        </w:rPr>
        <w:t>ączniku I jest nieznany, uważa się że nie jest on dobry.</w:t>
      </w:r>
    </w:p>
    <w:p w:rsidR="001703D8" w:rsidRPr="00610401" w:rsidRDefault="009F5C98" w:rsidP="009F5C98">
      <w:pPr>
        <w:pStyle w:val="ManualNumPar1"/>
        <w:rPr>
          <w:noProof/>
        </w:rPr>
      </w:pPr>
      <w:r w:rsidRPr="009F5C98">
        <w:t>5.</w:t>
      </w:r>
      <w:r w:rsidRPr="009F5C98">
        <w:tab/>
      </w:r>
      <w:r w:rsidR="29055DDB" w:rsidRPr="00610401">
        <w:rPr>
          <w:noProof/>
        </w:rPr>
        <w:t>W odniesieniu do środków odbudowy,</w:t>
      </w:r>
      <w:r w:rsidR="00610401" w:rsidRPr="00610401">
        <w:rPr>
          <w:noProof/>
        </w:rPr>
        <w:t xml:space="preserve"> o któ</w:t>
      </w:r>
      <w:r w:rsidR="29055DDB" w:rsidRPr="00610401">
        <w:rPr>
          <w:noProof/>
        </w:rPr>
        <w:t>rych mowa</w:t>
      </w:r>
      <w:r w:rsidR="00610401" w:rsidRPr="00610401">
        <w:rPr>
          <w:noProof/>
        </w:rPr>
        <w:t xml:space="preserve"> w ust</w:t>
      </w:r>
      <w:r w:rsidR="29055DDB" w:rsidRPr="00610401">
        <w:rPr>
          <w:noProof/>
        </w:rPr>
        <w:t>.</w:t>
      </w:r>
      <w:r w:rsidR="00610401" w:rsidRPr="00610401">
        <w:rPr>
          <w:noProof/>
        </w:rPr>
        <w:t> </w:t>
      </w:r>
      <w:r w:rsidR="29055DDB" w:rsidRPr="00610401">
        <w:rPr>
          <w:noProof/>
        </w:rPr>
        <w:t>1</w:t>
      </w:r>
      <w:r w:rsidR="00610401" w:rsidRPr="00610401">
        <w:rPr>
          <w:noProof/>
        </w:rPr>
        <w:t xml:space="preserve"> i 2</w:t>
      </w:r>
      <w:r w:rsidR="29055DDB" w:rsidRPr="00610401">
        <w:rPr>
          <w:noProof/>
        </w:rPr>
        <w:t>, uwzględnia się potrzebę poprawy łączności pomiędzy typami siedlisk wymienionymi</w:t>
      </w:r>
      <w:r w:rsidR="00610401" w:rsidRPr="00610401">
        <w:rPr>
          <w:noProof/>
        </w:rPr>
        <w:t xml:space="preserve"> w zał</w:t>
      </w:r>
      <w:r w:rsidR="29055DDB" w:rsidRPr="00610401">
        <w:rPr>
          <w:noProof/>
        </w:rPr>
        <w:t>ączniku I oraz wymogi ekologiczne gatunków,</w:t>
      </w:r>
      <w:r w:rsidR="00610401" w:rsidRPr="00610401">
        <w:rPr>
          <w:noProof/>
        </w:rPr>
        <w:t xml:space="preserve"> o któ</w:t>
      </w:r>
      <w:r w:rsidR="29055DDB" w:rsidRPr="00610401">
        <w:rPr>
          <w:noProof/>
        </w:rPr>
        <w:t>rych mowa</w:t>
      </w:r>
      <w:r w:rsidR="00610401" w:rsidRPr="00610401">
        <w:rPr>
          <w:noProof/>
        </w:rPr>
        <w:t xml:space="preserve"> w ust</w:t>
      </w:r>
      <w:r w:rsidR="29055DDB" w:rsidRPr="00610401">
        <w:rPr>
          <w:noProof/>
        </w:rPr>
        <w:t>.</w:t>
      </w:r>
      <w:r w:rsidR="00610401" w:rsidRPr="00610401">
        <w:rPr>
          <w:noProof/>
        </w:rPr>
        <w:t> </w:t>
      </w:r>
      <w:r w:rsidR="29055DDB" w:rsidRPr="00610401">
        <w:rPr>
          <w:noProof/>
        </w:rPr>
        <w:t>3, występujących</w:t>
      </w:r>
      <w:r w:rsidR="00610401" w:rsidRPr="00610401">
        <w:rPr>
          <w:noProof/>
        </w:rPr>
        <w:t xml:space="preserve"> w tyc</w:t>
      </w:r>
      <w:r w:rsidR="29055DDB" w:rsidRPr="00610401">
        <w:rPr>
          <w:noProof/>
        </w:rPr>
        <w:t>h typach siedlisk.</w:t>
      </w:r>
    </w:p>
    <w:p w:rsidR="09F963A5" w:rsidRPr="00610401" w:rsidRDefault="009F5C98" w:rsidP="009F5C98">
      <w:pPr>
        <w:pStyle w:val="ManualNumPar1"/>
        <w:rPr>
          <w:noProof/>
        </w:rPr>
      </w:pPr>
      <w:r w:rsidRPr="009F5C98">
        <w:t>6.</w:t>
      </w:r>
      <w:r w:rsidRPr="009F5C98">
        <w:tab/>
      </w:r>
      <w:r w:rsidR="6610F448" w:rsidRPr="00610401">
        <w:rPr>
          <w:noProof/>
        </w:rPr>
        <w:t>Państwa członkowskie zapewniają, aby obszary objęte środkami odbudowy zgodnie</w:t>
      </w:r>
      <w:r w:rsidR="00610401" w:rsidRPr="00610401">
        <w:rPr>
          <w:noProof/>
        </w:rPr>
        <w:t xml:space="preserve"> z ust</w:t>
      </w:r>
      <w:r w:rsidR="6610F448" w:rsidRPr="00610401">
        <w:rPr>
          <w:noProof/>
        </w:rPr>
        <w:t>.</w:t>
      </w:r>
      <w:r w:rsidR="00610401" w:rsidRPr="00610401">
        <w:rPr>
          <w:noProof/>
        </w:rPr>
        <w:t> </w:t>
      </w:r>
      <w:r w:rsidR="6610F448" w:rsidRPr="00610401">
        <w:rPr>
          <w:noProof/>
        </w:rPr>
        <w:t>1, 2</w:t>
      </w:r>
      <w:r w:rsidR="00610401" w:rsidRPr="00610401">
        <w:rPr>
          <w:noProof/>
        </w:rPr>
        <w:t xml:space="preserve"> i 3</w:t>
      </w:r>
      <w:r w:rsidR="6610F448" w:rsidRPr="00610401">
        <w:rPr>
          <w:noProof/>
        </w:rPr>
        <w:t xml:space="preserve"> wykazywały stałą poprawę stanu typów siedlisk wymienionych</w:t>
      </w:r>
      <w:r w:rsidR="00610401" w:rsidRPr="00610401">
        <w:rPr>
          <w:noProof/>
        </w:rPr>
        <w:t xml:space="preserve"> w zał</w:t>
      </w:r>
      <w:r w:rsidR="6610F448" w:rsidRPr="00610401">
        <w:rPr>
          <w:noProof/>
        </w:rPr>
        <w:t>ączniku I, aż do osiągnięcia przez nie dobrego stanu,</w:t>
      </w:r>
      <w:r w:rsidR="00610401" w:rsidRPr="00610401">
        <w:rPr>
          <w:noProof/>
        </w:rPr>
        <w:t xml:space="preserve"> a tak</w:t>
      </w:r>
      <w:r w:rsidR="6610F448" w:rsidRPr="00610401">
        <w:rPr>
          <w:noProof/>
        </w:rPr>
        <w:t>że stałą poprawę jakości siedlisk gatunków,</w:t>
      </w:r>
      <w:r w:rsidR="00610401" w:rsidRPr="00610401">
        <w:rPr>
          <w:noProof/>
        </w:rPr>
        <w:t xml:space="preserve"> o któ</w:t>
      </w:r>
      <w:r w:rsidR="6610F448" w:rsidRPr="00610401">
        <w:rPr>
          <w:noProof/>
        </w:rPr>
        <w:t>rych mowa</w:t>
      </w:r>
      <w:r w:rsidR="00610401" w:rsidRPr="00610401">
        <w:rPr>
          <w:noProof/>
        </w:rPr>
        <w:t xml:space="preserve"> w ust</w:t>
      </w:r>
      <w:r w:rsidR="6610F448" w:rsidRPr="00610401">
        <w:rPr>
          <w:noProof/>
        </w:rPr>
        <w:t>.</w:t>
      </w:r>
      <w:r w:rsidR="00610401" w:rsidRPr="00610401">
        <w:rPr>
          <w:noProof/>
        </w:rPr>
        <w:t> </w:t>
      </w:r>
      <w:r w:rsidR="6610F448" w:rsidRPr="00610401">
        <w:rPr>
          <w:noProof/>
        </w:rPr>
        <w:t>3, aż do osiągnięcia wystarczającej jakości tych siedlisk. Państwa członkowskie zapewniają, aby stan obszarów, gdzie osiągnięto dobry stan</w:t>
      </w:r>
      <w:r w:rsidR="00610401" w:rsidRPr="00610401">
        <w:rPr>
          <w:noProof/>
        </w:rPr>
        <w:t xml:space="preserve"> i wys</w:t>
      </w:r>
      <w:r w:rsidR="6610F448" w:rsidRPr="00610401">
        <w:rPr>
          <w:noProof/>
        </w:rPr>
        <w:t xml:space="preserve">tarczającą jakość siedlisk gatunków, nie ulegał pogorszeniu. </w:t>
      </w:r>
    </w:p>
    <w:p w:rsidR="00A16739" w:rsidRPr="00610401" w:rsidRDefault="009F5C98" w:rsidP="009F5C98">
      <w:pPr>
        <w:pStyle w:val="ManualNumPar1"/>
        <w:rPr>
          <w:noProof/>
        </w:rPr>
      </w:pPr>
      <w:r w:rsidRPr="009F5C98">
        <w:t>7.</w:t>
      </w:r>
      <w:r w:rsidRPr="009F5C98">
        <w:tab/>
      </w:r>
      <w:r w:rsidR="003522F7" w:rsidRPr="00610401">
        <w:rPr>
          <w:noProof/>
        </w:rPr>
        <w:t>Państwa członkowskie zapewniają, aby stan obszarów, gdzie występują typy siedlisk wymienione</w:t>
      </w:r>
      <w:r w:rsidR="00610401" w:rsidRPr="00610401">
        <w:rPr>
          <w:noProof/>
        </w:rPr>
        <w:t xml:space="preserve"> w zał</w:t>
      </w:r>
      <w:r w:rsidR="003522F7" w:rsidRPr="00610401">
        <w:rPr>
          <w:noProof/>
        </w:rPr>
        <w:t xml:space="preserve">ączniku I, nie ulegał pogorszeniu. </w:t>
      </w:r>
    </w:p>
    <w:p w:rsidR="002400F2" w:rsidRPr="00610401" w:rsidRDefault="009F5C98" w:rsidP="009F5C98">
      <w:pPr>
        <w:pStyle w:val="ManualNumPar1"/>
        <w:rPr>
          <w:noProof/>
        </w:rPr>
      </w:pPr>
      <w:r w:rsidRPr="009F5C98">
        <w:t>8.</w:t>
      </w:r>
      <w:r w:rsidRPr="009F5C98">
        <w:tab/>
      </w:r>
      <w:r w:rsidR="002400F2" w:rsidRPr="00610401">
        <w:rPr>
          <w:noProof/>
        </w:rPr>
        <w:t>Poza obszarami Natura 2000 niewypełnienie obowiązków określonych</w:t>
      </w:r>
      <w:r w:rsidR="00610401" w:rsidRPr="00610401">
        <w:rPr>
          <w:noProof/>
        </w:rPr>
        <w:t xml:space="preserve"> w ust</w:t>
      </w:r>
      <w:r w:rsidR="002400F2" w:rsidRPr="00610401">
        <w:rPr>
          <w:noProof/>
        </w:rPr>
        <w:t>.</w:t>
      </w:r>
      <w:r w:rsidR="00610401" w:rsidRPr="00610401">
        <w:rPr>
          <w:noProof/>
        </w:rPr>
        <w:t> </w:t>
      </w:r>
      <w:r w:rsidR="002400F2" w:rsidRPr="00610401">
        <w:rPr>
          <w:noProof/>
        </w:rPr>
        <w:t>6</w:t>
      </w:r>
      <w:r w:rsidR="00610401" w:rsidRPr="00610401">
        <w:rPr>
          <w:noProof/>
        </w:rPr>
        <w:t xml:space="preserve"> i 7</w:t>
      </w:r>
      <w:r w:rsidR="002400F2" w:rsidRPr="00610401">
        <w:rPr>
          <w:noProof/>
        </w:rPr>
        <w:t xml:space="preserve"> jest uzasadnione, jeżeli zostało spowodowane przez:</w:t>
      </w:r>
    </w:p>
    <w:p w:rsidR="002400F2" w:rsidRPr="00610401" w:rsidRDefault="00610401" w:rsidP="00610401">
      <w:pPr>
        <w:pStyle w:val="Point1"/>
        <w:rPr>
          <w:noProof/>
        </w:rPr>
      </w:pPr>
      <w:r>
        <w:rPr>
          <w:noProof/>
        </w:rPr>
        <w:t>a)</w:t>
      </w:r>
      <w:r>
        <w:rPr>
          <w:noProof/>
        </w:rPr>
        <w:tab/>
      </w:r>
      <w:r w:rsidR="002400F2" w:rsidRPr="00610401">
        <w:rPr>
          <w:noProof/>
        </w:rPr>
        <w:t>siłę wyższą;</w:t>
      </w:r>
    </w:p>
    <w:p w:rsidR="002400F2" w:rsidRPr="00610401" w:rsidRDefault="00610401" w:rsidP="00610401">
      <w:pPr>
        <w:pStyle w:val="Point1"/>
        <w:rPr>
          <w:noProof/>
        </w:rPr>
      </w:pPr>
      <w:r>
        <w:rPr>
          <w:noProof/>
        </w:rPr>
        <w:t>b)</w:t>
      </w:r>
      <w:r>
        <w:rPr>
          <w:noProof/>
        </w:rPr>
        <w:tab/>
      </w:r>
      <w:r w:rsidR="002400F2" w:rsidRPr="00610401">
        <w:rPr>
          <w:noProof/>
        </w:rPr>
        <w:t>nieuniknione przekształcenia siedlisk spowodowane bezpośrednio przez zmianę klimatu lub</w:t>
      </w:r>
    </w:p>
    <w:p w:rsidR="002400F2" w:rsidRPr="00610401" w:rsidRDefault="00610401" w:rsidP="00610401">
      <w:pPr>
        <w:pStyle w:val="Point1"/>
        <w:rPr>
          <w:noProof/>
        </w:rPr>
      </w:pPr>
      <w:r>
        <w:rPr>
          <w:noProof/>
        </w:rPr>
        <w:t>c)</w:t>
      </w:r>
      <w:r>
        <w:rPr>
          <w:noProof/>
        </w:rPr>
        <w:tab/>
      </w:r>
      <w:r w:rsidR="002400F2" w:rsidRPr="00610401">
        <w:rPr>
          <w:noProof/>
        </w:rPr>
        <w:t>przedsięwzięcie realizowane</w:t>
      </w:r>
      <w:r w:rsidRPr="00610401">
        <w:rPr>
          <w:noProof/>
        </w:rPr>
        <w:t xml:space="preserve"> w nad</w:t>
      </w:r>
      <w:r w:rsidR="002400F2" w:rsidRPr="00610401">
        <w:rPr>
          <w:noProof/>
        </w:rPr>
        <w:t>rzędnym interesie publicznym,</w:t>
      </w:r>
      <w:r w:rsidRPr="00610401">
        <w:rPr>
          <w:noProof/>
        </w:rPr>
        <w:t xml:space="preserve"> w prz</w:t>
      </w:r>
      <w:r w:rsidR="002400F2" w:rsidRPr="00610401">
        <w:rPr>
          <w:noProof/>
        </w:rPr>
        <w:t xml:space="preserve">ypadku którego nie są dostępne żadne mniej szkodliwe rozwiązania alternatywne, co ustala się indywidualnie dla każdego przypadku. </w:t>
      </w:r>
    </w:p>
    <w:p w:rsidR="002400F2" w:rsidRPr="00610401" w:rsidRDefault="009F5C98" w:rsidP="009F5C98">
      <w:pPr>
        <w:pStyle w:val="ManualNumPar1"/>
        <w:rPr>
          <w:noProof/>
        </w:rPr>
      </w:pPr>
      <w:r w:rsidRPr="009F5C98">
        <w:t>9.</w:t>
      </w:r>
      <w:r w:rsidRPr="009F5C98">
        <w:tab/>
      </w:r>
      <w:r w:rsidR="002400F2" w:rsidRPr="00610401">
        <w:rPr>
          <w:noProof/>
        </w:rPr>
        <w:t>W przypadku obszarów Natura 2000 niewypełnienie obowiązków określonych</w:t>
      </w:r>
      <w:r w:rsidR="00610401" w:rsidRPr="00610401">
        <w:rPr>
          <w:noProof/>
        </w:rPr>
        <w:t xml:space="preserve"> w ust</w:t>
      </w:r>
      <w:r w:rsidR="002400F2" w:rsidRPr="00610401">
        <w:rPr>
          <w:noProof/>
        </w:rPr>
        <w:t>.</w:t>
      </w:r>
      <w:r w:rsidR="00610401" w:rsidRPr="00610401">
        <w:rPr>
          <w:noProof/>
        </w:rPr>
        <w:t> </w:t>
      </w:r>
      <w:r w:rsidR="002400F2" w:rsidRPr="00610401">
        <w:rPr>
          <w:noProof/>
        </w:rPr>
        <w:t>6</w:t>
      </w:r>
      <w:r w:rsidR="00610401" w:rsidRPr="00610401">
        <w:rPr>
          <w:noProof/>
        </w:rPr>
        <w:t xml:space="preserve"> i 7</w:t>
      </w:r>
      <w:r w:rsidR="002400F2" w:rsidRPr="00610401">
        <w:rPr>
          <w:noProof/>
        </w:rPr>
        <w:t xml:space="preserve"> jest uzasadnione, jeżeli zostało spowodowane przez: </w:t>
      </w:r>
    </w:p>
    <w:p w:rsidR="002400F2" w:rsidRPr="00610401" w:rsidRDefault="00610401" w:rsidP="00610401">
      <w:pPr>
        <w:pStyle w:val="Point1"/>
        <w:rPr>
          <w:noProof/>
        </w:rPr>
      </w:pPr>
      <w:r w:rsidRPr="00610401">
        <w:rPr>
          <w:noProof/>
        </w:rPr>
        <w:t>a)</w:t>
      </w:r>
      <w:r w:rsidRPr="00610401">
        <w:rPr>
          <w:noProof/>
        </w:rPr>
        <w:tab/>
      </w:r>
      <w:r w:rsidR="002400F2" w:rsidRPr="00610401">
        <w:rPr>
          <w:noProof/>
        </w:rPr>
        <w:t>siłę wyższą;</w:t>
      </w:r>
    </w:p>
    <w:p w:rsidR="002400F2" w:rsidRPr="00610401" w:rsidRDefault="00610401" w:rsidP="00610401">
      <w:pPr>
        <w:pStyle w:val="Point1"/>
        <w:rPr>
          <w:noProof/>
        </w:rPr>
      </w:pPr>
      <w:r w:rsidRPr="00610401">
        <w:rPr>
          <w:noProof/>
        </w:rPr>
        <w:t>b)</w:t>
      </w:r>
      <w:r w:rsidRPr="00610401">
        <w:rPr>
          <w:noProof/>
        </w:rPr>
        <w:tab/>
      </w:r>
      <w:r w:rsidR="002400F2" w:rsidRPr="00610401">
        <w:rPr>
          <w:noProof/>
        </w:rPr>
        <w:t>nieuniknione przekształcenia siedlisk spowodowane bezpośrednio przez zmianę klimatu lub</w:t>
      </w:r>
    </w:p>
    <w:p w:rsidR="002400F2" w:rsidRPr="00610401" w:rsidRDefault="00610401" w:rsidP="00610401">
      <w:pPr>
        <w:pStyle w:val="Point1"/>
        <w:rPr>
          <w:noProof/>
        </w:rPr>
      </w:pPr>
      <w:r w:rsidRPr="00610401">
        <w:rPr>
          <w:noProof/>
        </w:rPr>
        <w:t>c)</w:t>
      </w:r>
      <w:r w:rsidRPr="00610401">
        <w:rPr>
          <w:noProof/>
        </w:rPr>
        <w:tab/>
      </w:r>
      <w:r w:rsidR="002400F2" w:rsidRPr="00610401">
        <w:rPr>
          <w:noProof/>
        </w:rPr>
        <w:t>plan lub przedsięwzięcie zatwierdzone zgodnie</w:t>
      </w:r>
      <w:r w:rsidRPr="00610401">
        <w:rPr>
          <w:noProof/>
        </w:rPr>
        <w:t xml:space="preserve"> z art</w:t>
      </w:r>
      <w:r w:rsidR="002400F2" w:rsidRPr="00610401">
        <w:rPr>
          <w:noProof/>
        </w:rPr>
        <w:t>.</w:t>
      </w:r>
      <w:r w:rsidRPr="00610401">
        <w:rPr>
          <w:noProof/>
        </w:rPr>
        <w:t> </w:t>
      </w:r>
      <w:r w:rsidR="002400F2" w:rsidRPr="00610401">
        <w:rPr>
          <w:noProof/>
        </w:rPr>
        <w:t>6 ust.</w:t>
      </w:r>
      <w:r w:rsidRPr="00610401">
        <w:rPr>
          <w:noProof/>
        </w:rPr>
        <w:t> </w:t>
      </w:r>
      <w:r w:rsidR="002400F2" w:rsidRPr="00610401">
        <w:rPr>
          <w:noProof/>
        </w:rPr>
        <w:t>4 dyrektywy 92/43/EWG.</w:t>
      </w:r>
    </w:p>
    <w:p w:rsidR="00FC40BB" w:rsidRPr="00610401" w:rsidRDefault="009F5C98" w:rsidP="009F5C98">
      <w:pPr>
        <w:pStyle w:val="ManualNumPar1"/>
        <w:rPr>
          <w:noProof/>
        </w:rPr>
      </w:pPr>
      <w:r w:rsidRPr="009F5C98">
        <w:t>10.</w:t>
      </w:r>
      <w:r w:rsidRPr="009F5C98">
        <w:tab/>
      </w:r>
      <w:r w:rsidR="00FC40BB" w:rsidRPr="00610401">
        <w:rPr>
          <w:noProof/>
        </w:rPr>
        <w:t xml:space="preserve">Państwa członkowskie zapewniają: </w:t>
      </w:r>
    </w:p>
    <w:p w:rsidR="005C52C2" w:rsidRPr="00610401" w:rsidRDefault="00610401" w:rsidP="00610401">
      <w:pPr>
        <w:pStyle w:val="Point1"/>
        <w:rPr>
          <w:noProof/>
        </w:rPr>
      </w:pPr>
      <w:r w:rsidRPr="00610401">
        <w:rPr>
          <w:noProof/>
        </w:rPr>
        <w:t>a)</w:t>
      </w:r>
      <w:r w:rsidRPr="00610401">
        <w:rPr>
          <w:noProof/>
        </w:rPr>
        <w:tab/>
      </w:r>
      <w:r w:rsidR="00FC40BB" w:rsidRPr="00610401">
        <w:rPr>
          <w:noProof/>
        </w:rPr>
        <w:t>zwiększanie obszaru siedlisk</w:t>
      </w:r>
      <w:r w:rsidRPr="00610401">
        <w:rPr>
          <w:noProof/>
        </w:rPr>
        <w:t xml:space="preserve"> w dob</w:t>
      </w:r>
      <w:r w:rsidR="00FC40BB" w:rsidRPr="00610401">
        <w:rPr>
          <w:noProof/>
        </w:rPr>
        <w:t>rym stanie</w:t>
      </w:r>
      <w:r w:rsidRPr="00610401">
        <w:rPr>
          <w:noProof/>
        </w:rPr>
        <w:t xml:space="preserve"> w odn</w:t>
      </w:r>
      <w:r w:rsidR="00FC40BB" w:rsidRPr="00610401">
        <w:rPr>
          <w:noProof/>
        </w:rPr>
        <w:t>iesieniu do typów siedlisk wymienionych</w:t>
      </w:r>
      <w:r w:rsidRPr="00610401">
        <w:rPr>
          <w:noProof/>
        </w:rPr>
        <w:t xml:space="preserve"> w zał</w:t>
      </w:r>
      <w:r w:rsidR="00FC40BB" w:rsidRPr="00610401">
        <w:rPr>
          <w:noProof/>
        </w:rPr>
        <w:t>ączniku I, do czasu aż co najmniej 90</w:t>
      </w:r>
      <w:r w:rsidRPr="00610401">
        <w:rPr>
          <w:noProof/>
        </w:rPr>
        <w:t> </w:t>
      </w:r>
      <w:r w:rsidR="00FC40BB" w:rsidRPr="00610401">
        <w:rPr>
          <w:noProof/>
        </w:rPr>
        <w:t>% tego obszaru osiągnie dobry stan,</w:t>
      </w:r>
      <w:r w:rsidRPr="00610401">
        <w:rPr>
          <w:noProof/>
        </w:rPr>
        <w:t xml:space="preserve"> a w odn</w:t>
      </w:r>
      <w:r w:rsidR="00FC40BB" w:rsidRPr="00610401">
        <w:rPr>
          <w:noProof/>
        </w:rPr>
        <w:t>iesieniu do każdego typu siedliska</w:t>
      </w:r>
      <w:r w:rsidRPr="00610401">
        <w:rPr>
          <w:noProof/>
        </w:rPr>
        <w:t xml:space="preserve"> w każ</w:t>
      </w:r>
      <w:r w:rsidR="00FC40BB" w:rsidRPr="00610401">
        <w:rPr>
          <w:noProof/>
        </w:rPr>
        <w:t xml:space="preserve">dym regionie biogeograficznym na ich terytorium osiągnięty zostanie właściwy obszar odniesienia; </w:t>
      </w:r>
    </w:p>
    <w:p w:rsidR="00D670D0" w:rsidRPr="00610401" w:rsidRDefault="00610401" w:rsidP="00610401">
      <w:pPr>
        <w:pStyle w:val="Point1"/>
        <w:rPr>
          <w:noProof/>
        </w:rPr>
      </w:pPr>
      <w:r w:rsidRPr="00610401">
        <w:rPr>
          <w:noProof/>
        </w:rPr>
        <w:t>b)</w:t>
      </w:r>
      <w:r w:rsidRPr="00610401">
        <w:rPr>
          <w:noProof/>
        </w:rPr>
        <w:tab/>
      </w:r>
      <w:r w:rsidR="00FC40BB" w:rsidRPr="00610401">
        <w:rPr>
          <w:noProof/>
        </w:rPr>
        <w:t>tendencję wzrostową prowadzącą do zapewnienia wystarczającej jakości</w:t>
      </w:r>
      <w:r w:rsidRPr="00610401">
        <w:rPr>
          <w:noProof/>
        </w:rPr>
        <w:t xml:space="preserve"> i wie</w:t>
      </w:r>
      <w:r w:rsidR="00FC40BB" w:rsidRPr="00610401">
        <w:rPr>
          <w:noProof/>
        </w:rPr>
        <w:t>lkości lądowych, przybrzeżnych</w:t>
      </w:r>
      <w:r w:rsidRPr="00610401">
        <w:rPr>
          <w:noProof/>
        </w:rPr>
        <w:t xml:space="preserve"> i sło</w:t>
      </w:r>
      <w:r w:rsidR="00FC40BB" w:rsidRPr="00610401">
        <w:rPr>
          <w:noProof/>
        </w:rPr>
        <w:t>dkowodnych siedlisk gatunków wymienionych</w:t>
      </w:r>
      <w:r w:rsidRPr="00610401">
        <w:rPr>
          <w:noProof/>
        </w:rPr>
        <w:t xml:space="preserve"> w zał</w:t>
      </w:r>
      <w:r w:rsidR="00FC40BB" w:rsidRPr="00610401">
        <w:rPr>
          <w:noProof/>
        </w:rPr>
        <w:t>ącznikach II, IV i V do dyrektywy 92/43/EWG oraz gatunków objętych dyrektywą 2009/147/WE.</w:t>
      </w:r>
    </w:p>
    <w:p w:rsidR="00205223" w:rsidRPr="00610401" w:rsidRDefault="00CA15F4" w:rsidP="004348F7">
      <w:pPr>
        <w:pStyle w:val="Titrearticle"/>
        <w:rPr>
          <w:noProof/>
        </w:rPr>
      </w:pPr>
      <w:r w:rsidRPr="00610401">
        <w:rPr>
          <w:noProof/>
        </w:rPr>
        <w:t xml:space="preserve">Artykuł 5 </w:t>
      </w:r>
      <w:r w:rsidRPr="00610401">
        <w:rPr>
          <w:noProof/>
        </w:rPr>
        <w:br/>
      </w:r>
      <w:r w:rsidRPr="00610401">
        <w:rPr>
          <w:b/>
          <w:i w:val="0"/>
          <w:noProof/>
        </w:rPr>
        <w:t>Odbudowa ekosystemów morskich</w:t>
      </w:r>
      <w:r w:rsidRPr="00610401">
        <w:rPr>
          <w:noProof/>
        </w:rPr>
        <w:t xml:space="preserve"> </w:t>
      </w:r>
    </w:p>
    <w:p w:rsidR="001A30FD" w:rsidRPr="00610401" w:rsidRDefault="009F5C98" w:rsidP="009F5C98">
      <w:pPr>
        <w:pStyle w:val="ManualNumPar1"/>
        <w:rPr>
          <w:noProof/>
        </w:rPr>
      </w:pPr>
      <w:r w:rsidRPr="009F5C98">
        <w:t>1.</w:t>
      </w:r>
      <w:r w:rsidRPr="009F5C98">
        <w:tab/>
      </w:r>
      <w:r w:rsidR="00C4449B" w:rsidRPr="00610401">
        <w:rPr>
          <w:noProof/>
        </w:rPr>
        <w:t>Państwa członkowskie wprowadzają środki odbudowy konieczne do przywrócenia do dobrego stanu obszarów typów siedlisk wymienionych</w:t>
      </w:r>
      <w:r w:rsidR="00610401" w:rsidRPr="00610401">
        <w:rPr>
          <w:noProof/>
        </w:rPr>
        <w:t xml:space="preserve"> w zał</w:t>
      </w:r>
      <w:r w:rsidR="00C4449B" w:rsidRPr="00610401">
        <w:rPr>
          <w:noProof/>
        </w:rPr>
        <w:t>ączniku II, których stan nie jest dobry. Do 2030</w:t>
      </w:r>
      <w:r w:rsidR="00610401" w:rsidRPr="00610401">
        <w:rPr>
          <w:noProof/>
        </w:rPr>
        <w:t> </w:t>
      </w:r>
      <w:r w:rsidR="00C4449B" w:rsidRPr="00610401">
        <w:rPr>
          <w:noProof/>
        </w:rPr>
        <w:t>r. środki te muszą być wprowadzone</w:t>
      </w:r>
      <w:r w:rsidR="00610401" w:rsidRPr="00610401">
        <w:rPr>
          <w:noProof/>
        </w:rPr>
        <w:t xml:space="preserve"> w odn</w:t>
      </w:r>
      <w:r w:rsidR="00C4449B" w:rsidRPr="00610401">
        <w:rPr>
          <w:noProof/>
        </w:rPr>
        <w:t>iesieniu do co najmniej 30 % obszarów każdej grupy typów siedlisk wymienionych</w:t>
      </w:r>
      <w:r w:rsidR="00610401" w:rsidRPr="00610401">
        <w:rPr>
          <w:noProof/>
        </w:rPr>
        <w:t xml:space="preserve"> w zał</w:t>
      </w:r>
      <w:r w:rsidR="00C4449B" w:rsidRPr="00610401">
        <w:rPr>
          <w:noProof/>
        </w:rPr>
        <w:t>ączniku II, których stan nie jest dobry, jak określono ilościowo</w:t>
      </w:r>
      <w:r w:rsidR="00610401" w:rsidRPr="00610401">
        <w:rPr>
          <w:noProof/>
        </w:rPr>
        <w:t xml:space="preserve"> w kra</w:t>
      </w:r>
      <w:r w:rsidR="00C4449B" w:rsidRPr="00610401">
        <w:rPr>
          <w:noProof/>
        </w:rPr>
        <w:t>jowym planie odbudowy,</w:t>
      </w:r>
      <w:r w:rsidR="00610401" w:rsidRPr="00610401">
        <w:rPr>
          <w:noProof/>
        </w:rPr>
        <w:t xml:space="preserve"> o któ</w:t>
      </w:r>
      <w:r w:rsidR="00C4449B" w:rsidRPr="00610401">
        <w:rPr>
          <w:noProof/>
        </w:rPr>
        <w:t>rym mowa</w:t>
      </w:r>
      <w:r w:rsidR="00610401" w:rsidRPr="00610401">
        <w:rPr>
          <w:noProof/>
        </w:rPr>
        <w:t xml:space="preserve"> w art</w:t>
      </w:r>
      <w:r w:rsidR="00C4449B" w:rsidRPr="00610401">
        <w:rPr>
          <w:noProof/>
        </w:rPr>
        <w:t>.</w:t>
      </w:r>
      <w:r w:rsidR="00610401" w:rsidRPr="00610401">
        <w:rPr>
          <w:noProof/>
        </w:rPr>
        <w:t> </w:t>
      </w:r>
      <w:r w:rsidR="00C4449B" w:rsidRPr="00610401">
        <w:rPr>
          <w:noProof/>
        </w:rPr>
        <w:t>12, do</w:t>
      </w:r>
      <w:r w:rsidR="00610401" w:rsidRPr="00610401">
        <w:rPr>
          <w:noProof/>
        </w:rPr>
        <w:t> </w:t>
      </w:r>
      <w:r w:rsidR="00C4449B" w:rsidRPr="00610401">
        <w:rPr>
          <w:noProof/>
        </w:rPr>
        <w:t>2040</w:t>
      </w:r>
      <w:r w:rsidR="00610401" w:rsidRPr="00610401">
        <w:rPr>
          <w:noProof/>
        </w:rPr>
        <w:t> </w:t>
      </w:r>
      <w:r w:rsidR="00C4449B" w:rsidRPr="00610401">
        <w:rPr>
          <w:noProof/>
        </w:rPr>
        <w:t>r. –</w:t>
      </w:r>
      <w:r w:rsidR="00610401" w:rsidRPr="00610401">
        <w:rPr>
          <w:noProof/>
        </w:rPr>
        <w:t xml:space="preserve"> w odn</w:t>
      </w:r>
      <w:r w:rsidR="00C4449B" w:rsidRPr="00610401">
        <w:rPr>
          <w:noProof/>
        </w:rPr>
        <w:t>iesieniu do co najmniej 60 % tych obszarów, a do</w:t>
      </w:r>
      <w:r w:rsidR="00610401" w:rsidRPr="00610401">
        <w:rPr>
          <w:noProof/>
        </w:rPr>
        <w:t> </w:t>
      </w:r>
      <w:r w:rsidR="00C4449B" w:rsidRPr="00610401">
        <w:rPr>
          <w:noProof/>
        </w:rPr>
        <w:t>2050</w:t>
      </w:r>
      <w:r w:rsidR="00610401" w:rsidRPr="00610401">
        <w:rPr>
          <w:noProof/>
        </w:rPr>
        <w:t> </w:t>
      </w:r>
      <w:r w:rsidR="00C4449B" w:rsidRPr="00610401">
        <w:rPr>
          <w:noProof/>
        </w:rPr>
        <w:t>r. –</w:t>
      </w:r>
      <w:r w:rsidR="00610401" w:rsidRPr="00610401">
        <w:rPr>
          <w:noProof/>
        </w:rPr>
        <w:t xml:space="preserve"> w odn</w:t>
      </w:r>
      <w:r w:rsidR="00C4449B" w:rsidRPr="00610401">
        <w:rPr>
          <w:noProof/>
        </w:rPr>
        <w:t>iesieniu do co najmniej 90 % tych obszarów.</w:t>
      </w:r>
    </w:p>
    <w:p w:rsidR="001A30FD" w:rsidRPr="00610401" w:rsidRDefault="009F5C98" w:rsidP="009F5C98">
      <w:pPr>
        <w:pStyle w:val="ManualNumPar1"/>
        <w:rPr>
          <w:noProof/>
        </w:rPr>
      </w:pPr>
      <w:r w:rsidRPr="009F5C98">
        <w:t>2.</w:t>
      </w:r>
      <w:r w:rsidRPr="009F5C98">
        <w:tab/>
      </w:r>
      <w:r w:rsidR="0045316E" w:rsidRPr="00610401">
        <w:rPr>
          <w:noProof/>
        </w:rPr>
        <w:t>Państwa członkowskie wprowadzają środki odbudowy konieczne do przywrócenia typów siedlisk wymienionych</w:t>
      </w:r>
      <w:r w:rsidR="00610401" w:rsidRPr="00610401">
        <w:rPr>
          <w:noProof/>
        </w:rPr>
        <w:t xml:space="preserve"> w zał</w:t>
      </w:r>
      <w:r w:rsidR="0045316E" w:rsidRPr="00610401">
        <w:rPr>
          <w:noProof/>
        </w:rPr>
        <w:t>ączniku II na obszarach nie obejmujących tych typów siedlisk. Do 2030</w:t>
      </w:r>
      <w:r w:rsidR="00610401" w:rsidRPr="00610401">
        <w:rPr>
          <w:noProof/>
        </w:rPr>
        <w:t> </w:t>
      </w:r>
      <w:r w:rsidR="0045316E" w:rsidRPr="00610401">
        <w:rPr>
          <w:noProof/>
        </w:rPr>
        <w:t>r. środki te muszą być wprowadzone</w:t>
      </w:r>
      <w:r w:rsidR="00610401" w:rsidRPr="00610401">
        <w:rPr>
          <w:noProof/>
        </w:rPr>
        <w:t xml:space="preserve"> w odn</w:t>
      </w:r>
      <w:r w:rsidR="0045316E" w:rsidRPr="00610401">
        <w:rPr>
          <w:noProof/>
        </w:rPr>
        <w:t>iesieniu do obszarów odpowiadających co najmniej 30 % dodatkowej powierzchni całkowitej potrzebnej do osiągnięcia całkowitego właściwego obszaru odniesienia dla każdej grupy typów siedlisk, jak określono ilościowo</w:t>
      </w:r>
      <w:r w:rsidR="00610401" w:rsidRPr="00610401">
        <w:rPr>
          <w:noProof/>
        </w:rPr>
        <w:t xml:space="preserve"> w kra</w:t>
      </w:r>
      <w:r w:rsidR="0045316E" w:rsidRPr="00610401">
        <w:rPr>
          <w:noProof/>
        </w:rPr>
        <w:t>jowym planie odbudowy,</w:t>
      </w:r>
      <w:r w:rsidR="00610401" w:rsidRPr="00610401">
        <w:rPr>
          <w:noProof/>
        </w:rPr>
        <w:t xml:space="preserve"> o któ</w:t>
      </w:r>
      <w:r w:rsidR="0045316E" w:rsidRPr="00610401">
        <w:rPr>
          <w:noProof/>
        </w:rPr>
        <w:t>rym mowa</w:t>
      </w:r>
      <w:r w:rsidR="00610401" w:rsidRPr="00610401">
        <w:rPr>
          <w:noProof/>
        </w:rPr>
        <w:t xml:space="preserve"> w art</w:t>
      </w:r>
      <w:r w:rsidR="0045316E" w:rsidRPr="00610401">
        <w:rPr>
          <w:noProof/>
        </w:rPr>
        <w:t>.</w:t>
      </w:r>
      <w:r w:rsidR="00610401" w:rsidRPr="00610401">
        <w:rPr>
          <w:noProof/>
        </w:rPr>
        <w:t> </w:t>
      </w:r>
      <w:r w:rsidR="0045316E" w:rsidRPr="00610401">
        <w:rPr>
          <w:noProof/>
        </w:rPr>
        <w:t>12, do</w:t>
      </w:r>
      <w:r w:rsidR="00610401" w:rsidRPr="00610401">
        <w:rPr>
          <w:noProof/>
        </w:rPr>
        <w:t> </w:t>
      </w:r>
      <w:r w:rsidR="0045316E" w:rsidRPr="00610401">
        <w:rPr>
          <w:noProof/>
        </w:rPr>
        <w:t>2040</w:t>
      </w:r>
      <w:r w:rsidR="00610401" w:rsidRPr="00610401">
        <w:rPr>
          <w:noProof/>
        </w:rPr>
        <w:t> </w:t>
      </w:r>
      <w:r w:rsidR="0045316E" w:rsidRPr="00610401">
        <w:rPr>
          <w:noProof/>
        </w:rPr>
        <w:t>r. –</w:t>
      </w:r>
      <w:r w:rsidR="00610401" w:rsidRPr="00610401">
        <w:rPr>
          <w:noProof/>
        </w:rPr>
        <w:t xml:space="preserve"> w odn</w:t>
      </w:r>
      <w:r w:rsidR="0045316E" w:rsidRPr="00610401">
        <w:rPr>
          <w:noProof/>
        </w:rPr>
        <w:t>iesieniu do co najmniej 60</w:t>
      </w:r>
      <w:r w:rsidR="00610401" w:rsidRPr="00610401">
        <w:rPr>
          <w:noProof/>
        </w:rPr>
        <w:t> </w:t>
      </w:r>
      <w:r w:rsidR="0045316E" w:rsidRPr="00610401">
        <w:rPr>
          <w:noProof/>
        </w:rPr>
        <w:t>% tej powierzchni, a do</w:t>
      </w:r>
      <w:r w:rsidR="00610401" w:rsidRPr="00610401">
        <w:rPr>
          <w:noProof/>
        </w:rPr>
        <w:t> </w:t>
      </w:r>
      <w:r w:rsidR="0045316E" w:rsidRPr="00610401">
        <w:rPr>
          <w:noProof/>
        </w:rPr>
        <w:t>2050</w:t>
      </w:r>
      <w:r w:rsidR="00610401" w:rsidRPr="00610401">
        <w:rPr>
          <w:noProof/>
        </w:rPr>
        <w:t> </w:t>
      </w:r>
      <w:r w:rsidR="0045316E" w:rsidRPr="00610401">
        <w:rPr>
          <w:noProof/>
        </w:rPr>
        <w:t>r. –</w:t>
      </w:r>
      <w:r w:rsidR="00610401" w:rsidRPr="00610401">
        <w:rPr>
          <w:noProof/>
        </w:rPr>
        <w:t xml:space="preserve"> w odn</w:t>
      </w:r>
      <w:r w:rsidR="0045316E" w:rsidRPr="00610401">
        <w:rPr>
          <w:noProof/>
        </w:rPr>
        <w:t>iesieniu do</w:t>
      </w:r>
      <w:r w:rsidR="00610401" w:rsidRPr="00610401">
        <w:rPr>
          <w:noProof/>
        </w:rPr>
        <w:t> </w:t>
      </w:r>
      <w:r w:rsidR="0045316E" w:rsidRPr="00610401">
        <w:rPr>
          <w:noProof/>
        </w:rPr>
        <w:t>100</w:t>
      </w:r>
      <w:r w:rsidR="00610401" w:rsidRPr="00610401">
        <w:rPr>
          <w:noProof/>
        </w:rPr>
        <w:t> </w:t>
      </w:r>
      <w:r w:rsidR="0045316E" w:rsidRPr="00610401">
        <w:rPr>
          <w:noProof/>
        </w:rPr>
        <w:t>% tej powierzchni.</w:t>
      </w:r>
    </w:p>
    <w:p w:rsidR="001A30FD" w:rsidRPr="00610401" w:rsidRDefault="009F5C98" w:rsidP="009F5C98">
      <w:pPr>
        <w:pStyle w:val="ManualNumPar1"/>
        <w:rPr>
          <w:noProof/>
        </w:rPr>
      </w:pPr>
      <w:r w:rsidRPr="009F5C98">
        <w:t>3.</w:t>
      </w:r>
      <w:r w:rsidRPr="009F5C98">
        <w:tab/>
      </w:r>
      <w:r w:rsidR="0045316E" w:rsidRPr="00610401">
        <w:rPr>
          <w:noProof/>
        </w:rPr>
        <w:t>Państwa członkowskie wprowadzają środki odbudowy morskich siedlisk gatunków wymienionych</w:t>
      </w:r>
      <w:r w:rsidR="00610401" w:rsidRPr="00610401">
        <w:rPr>
          <w:noProof/>
        </w:rPr>
        <w:t xml:space="preserve"> w zał</w:t>
      </w:r>
      <w:r w:rsidR="0045316E" w:rsidRPr="00610401">
        <w:rPr>
          <w:noProof/>
        </w:rPr>
        <w:t>ączniku III oraz załącznikach II, IV i V do dyrektywy 92/43/EWG,</w:t>
      </w:r>
      <w:r w:rsidR="00610401" w:rsidRPr="00610401">
        <w:rPr>
          <w:noProof/>
        </w:rPr>
        <w:t xml:space="preserve"> a tak</w:t>
      </w:r>
      <w:r w:rsidR="0045316E" w:rsidRPr="00610401">
        <w:rPr>
          <w:noProof/>
        </w:rPr>
        <w:t>że morskich siedlisk dzikiego ptactwa objętych zakresem dyrektywy 2009/147/WE, konieczne do poprawy jakości</w:t>
      </w:r>
      <w:r w:rsidR="00610401" w:rsidRPr="00610401">
        <w:rPr>
          <w:noProof/>
        </w:rPr>
        <w:t xml:space="preserve"> i wie</w:t>
      </w:r>
      <w:r w:rsidR="0045316E" w:rsidRPr="00610401">
        <w:rPr>
          <w:noProof/>
        </w:rPr>
        <w:t>lkości tych siedlisk, między innymi przez ich przywrócenie,</w:t>
      </w:r>
      <w:r w:rsidR="00610401" w:rsidRPr="00610401">
        <w:rPr>
          <w:noProof/>
        </w:rPr>
        <w:t xml:space="preserve"> a tak</w:t>
      </w:r>
      <w:r w:rsidR="0045316E" w:rsidRPr="00610401">
        <w:rPr>
          <w:noProof/>
        </w:rPr>
        <w:t>że do poprawy łączności aż do osiągnięcia wystarczającej jakości</w:t>
      </w:r>
      <w:r w:rsidR="00610401" w:rsidRPr="00610401">
        <w:rPr>
          <w:noProof/>
        </w:rPr>
        <w:t xml:space="preserve"> i wie</w:t>
      </w:r>
      <w:r w:rsidR="0045316E" w:rsidRPr="00610401">
        <w:rPr>
          <w:noProof/>
        </w:rPr>
        <w:t>lkości tych siedlisk.</w:t>
      </w:r>
    </w:p>
    <w:p w:rsidR="007A6924" w:rsidRPr="00610401" w:rsidRDefault="009F5C98" w:rsidP="009F5C98">
      <w:pPr>
        <w:pStyle w:val="ManualNumPar1"/>
        <w:rPr>
          <w:noProof/>
        </w:rPr>
      </w:pPr>
      <w:r w:rsidRPr="009F5C98">
        <w:t>4.</w:t>
      </w:r>
      <w:r w:rsidRPr="009F5C98">
        <w:tab/>
      </w:r>
      <w:r w:rsidR="754886E6" w:rsidRPr="00610401">
        <w:rPr>
          <w:noProof/>
        </w:rPr>
        <w:t>Obszary najbardziej odpowiednie do objęcia środkami odbudowy zgodnie</w:t>
      </w:r>
      <w:r w:rsidR="00610401" w:rsidRPr="00610401">
        <w:rPr>
          <w:noProof/>
        </w:rPr>
        <w:t xml:space="preserve"> z ust</w:t>
      </w:r>
      <w:r w:rsidR="754886E6" w:rsidRPr="00610401">
        <w:rPr>
          <w:noProof/>
        </w:rPr>
        <w:t>.</w:t>
      </w:r>
      <w:r w:rsidR="00610401" w:rsidRPr="00610401">
        <w:rPr>
          <w:noProof/>
        </w:rPr>
        <w:t> </w:t>
      </w:r>
      <w:r w:rsidR="754886E6" w:rsidRPr="00610401">
        <w:rPr>
          <w:noProof/>
        </w:rPr>
        <w:t>1, 2</w:t>
      </w:r>
      <w:r w:rsidR="00610401" w:rsidRPr="00610401">
        <w:rPr>
          <w:noProof/>
        </w:rPr>
        <w:t xml:space="preserve"> i 3</w:t>
      </w:r>
      <w:r w:rsidR="754886E6" w:rsidRPr="00610401">
        <w:rPr>
          <w:noProof/>
        </w:rPr>
        <w:t xml:space="preserve"> niniejszego artykułu, określa się</w:t>
      </w:r>
      <w:r w:rsidR="00610401" w:rsidRPr="00610401">
        <w:rPr>
          <w:noProof/>
        </w:rPr>
        <w:t xml:space="preserve"> w opa</w:t>
      </w:r>
      <w:r w:rsidR="754886E6" w:rsidRPr="00610401">
        <w:rPr>
          <w:noProof/>
        </w:rPr>
        <w:t>rciu</w:t>
      </w:r>
      <w:r w:rsidR="00610401" w:rsidRPr="00610401">
        <w:rPr>
          <w:noProof/>
        </w:rPr>
        <w:t xml:space="preserve"> o naj</w:t>
      </w:r>
      <w:r w:rsidR="754886E6" w:rsidRPr="00610401">
        <w:rPr>
          <w:noProof/>
        </w:rPr>
        <w:t>lepszą dostępną wiedzę</w:t>
      </w:r>
      <w:r w:rsidR="00610401" w:rsidRPr="00610401">
        <w:rPr>
          <w:noProof/>
        </w:rPr>
        <w:t xml:space="preserve"> i naj</w:t>
      </w:r>
      <w:r w:rsidR="754886E6" w:rsidRPr="00610401">
        <w:rPr>
          <w:noProof/>
        </w:rPr>
        <w:t>nowsze dowody naukowe dotyczące stanu typów siedlisk wymienionych</w:t>
      </w:r>
      <w:r w:rsidR="00610401" w:rsidRPr="00610401">
        <w:rPr>
          <w:noProof/>
        </w:rPr>
        <w:t xml:space="preserve"> w zał</w:t>
      </w:r>
      <w:r w:rsidR="754886E6" w:rsidRPr="00610401">
        <w:rPr>
          <w:noProof/>
        </w:rPr>
        <w:t>ączniku I, oceniane według struktury</w:t>
      </w:r>
      <w:r w:rsidR="00610401" w:rsidRPr="00610401">
        <w:rPr>
          <w:noProof/>
        </w:rPr>
        <w:t xml:space="preserve"> i fun</w:t>
      </w:r>
      <w:r w:rsidR="754886E6" w:rsidRPr="00610401">
        <w:rPr>
          <w:noProof/>
        </w:rPr>
        <w:t>kcji, niezbędne do ich długoterminowego utrzymania,</w:t>
      </w:r>
      <w:r w:rsidR="00610401" w:rsidRPr="00610401">
        <w:rPr>
          <w:noProof/>
        </w:rPr>
        <w:t xml:space="preserve"> w tym</w:t>
      </w:r>
      <w:r w:rsidR="754886E6" w:rsidRPr="00610401">
        <w:rPr>
          <w:noProof/>
        </w:rPr>
        <w:t xml:space="preserve"> typowych dla nich gatunków,</w:t>
      </w:r>
      <w:r w:rsidR="00610401" w:rsidRPr="00610401">
        <w:rPr>
          <w:noProof/>
        </w:rPr>
        <w:t xml:space="preserve"> o któ</w:t>
      </w:r>
      <w:r w:rsidR="754886E6" w:rsidRPr="00610401">
        <w:rPr>
          <w:noProof/>
        </w:rPr>
        <w:t>rych mowa</w:t>
      </w:r>
      <w:r w:rsidR="00610401" w:rsidRPr="00610401">
        <w:rPr>
          <w:noProof/>
        </w:rPr>
        <w:t xml:space="preserve"> w art</w:t>
      </w:r>
      <w:r w:rsidR="754886E6" w:rsidRPr="00610401">
        <w:rPr>
          <w:noProof/>
        </w:rPr>
        <w:t>.</w:t>
      </w:r>
      <w:r w:rsidR="00610401" w:rsidRPr="00610401">
        <w:rPr>
          <w:noProof/>
        </w:rPr>
        <w:t> </w:t>
      </w:r>
      <w:r w:rsidR="754886E6" w:rsidRPr="00610401">
        <w:rPr>
          <w:noProof/>
        </w:rPr>
        <w:t>1 lit.</w:t>
      </w:r>
      <w:r w:rsidR="00610401" w:rsidRPr="00610401">
        <w:rPr>
          <w:noProof/>
        </w:rPr>
        <w:t> </w:t>
      </w:r>
      <w:r w:rsidR="754886E6" w:rsidRPr="00610401">
        <w:rPr>
          <w:noProof/>
        </w:rPr>
        <w:t>e) dyrektywy 92/43/EWG, oraz jakości</w:t>
      </w:r>
      <w:r w:rsidR="00610401" w:rsidRPr="00610401">
        <w:rPr>
          <w:noProof/>
        </w:rPr>
        <w:t xml:space="preserve"> i wie</w:t>
      </w:r>
      <w:r w:rsidR="754886E6" w:rsidRPr="00610401">
        <w:rPr>
          <w:noProof/>
        </w:rPr>
        <w:t>lkości siedlisk gatunków,</w:t>
      </w:r>
      <w:r w:rsidR="00610401" w:rsidRPr="00610401">
        <w:rPr>
          <w:noProof/>
        </w:rPr>
        <w:t xml:space="preserve"> o któ</w:t>
      </w:r>
      <w:r w:rsidR="754886E6" w:rsidRPr="00610401">
        <w:rPr>
          <w:noProof/>
        </w:rPr>
        <w:t>rych mowa</w:t>
      </w:r>
      <w:r w:rsidR="00610401" w:rsidRPr="00610401">
        <w:rPr>
          <w:noProof/>
        </w:rPr>
        <w:t xml:space="preserve"> w ust</w:t>
      </w:r>
      <w:r w:rsidR="754886E6" w:rsidRPr="00610401">
        <w:rPr>
          <w:noProof/>
        </w:rPr>
        <w:t>.</w:t>
      </w:r>
      <w:r w:rsidR="00610401" w:rsidRPr="00610401">
        <w:rPr>
          <w:noProof/>
        </w:rPr>
        <w:t> </w:t>
      </w:r>
      <w:r w:rsidR="754886E6" w:rsidRPr="00610401">
        <w:rPr>
          <w:noProof/>
        </w:rPr>
        <w:t>3. Jeżeli stan obszarów obejmujących typy siedlisk wymienione</w:t>
      </w:r>
      <w:r w:rsidR="00610401" w:rsidRPr="00610401">
        <w:rPr>
          <w:noProof/>
        </w:rPr>
        <w:t xml:space="preserve"> w zał</w:t>
      </w:r>
      <w:r w:rsidR="754886E6" w:rsidRPr="00610401">
        <w:rPr>
          <w:noProof/>
        </w:rPr>
        <w:t>ączniku I jest nieznany, uważa się że nie jest on dobry.</w:t>
      </w:r>
    </w:p>
    <w:p w:rsidR="007C5A0E" w:rsidRPr="00610401" w:rsidRDefault="009F5C98" w:rsidP="009F5C98">
      <w:pPr>
        <w:pStyle w:val="ManualNumPar1"/>
        <w:rPr>
          <w:noProof/>
        </w:rPr>
      </w:pPr>
      <w:r w:rsidRPr="009F5C98">
        <w:t>5.</w:t>
      </w:r>
      <w:r w:rsidRPr="009F5C98">
        <w:tab/>
      </w:r>
      <w:r w:rsidR="4A94FB56" w:rsidRPr="00610401">
        <w:rPr>
          <w:noProof/>
        </w:rPr>
        <w:t>W odniesieniu do środków odbudowy,</w:t>
      </w:r>
      <w:r w:rsidR="00610401" w:rsidRPr="00610401">
        <w:rPr>
          <w:noProof/>
        </w:rPr>
        <w:t xml:space="preserve"> o któ</w:t>
      </w:r>
      <w:r w:rsidR="4A94FB56" w:rsidRPr="00610401">
        <w:rPr>
          <w:noProof/>
        </w:rPr>
        <w:t>rych mowa</w:t>
      </w:r>
      <w:r w:rsidR="00610401" w:rsidRPr="00610401">
        <w:rPr>
          <w:noProof/>
        </w:rPr>
        <w:t xml:space="preserve"> w ust</w:t>
      </w:r>
      <w:r w:rsidR="4A94FB56" w:rsidRPr="00610401">
        <w:rPr>
          <w:noProof/>
        </w:rPr>
        <w:t>.</w:t>
      </w:r>
      <w:r w:rsidR="00610401" w:rsidRPr="00610401">
        <w:rPr>
          <w:noProof/>
        </w:rPr>
        <w:t> </w:t>
      </w:r>
      <w:r w:rsidR="4A94FB56" w:rsidRPr="00610401">
        <w:rPr>
          <w:noProof/>
        </w:rPr>
        <w:t>1</w:t>
      </w:r>
      <w:r w:rsidR="00610401" w:rsidRPr="00610401">
        <w:rPr>
          <w:noProof/>
        </w:rPr>
        <w:t xml:space="preserve"> i 2</w:t>
      </w:r>
      <w:r w:rsidR="4A94FB56" w:rsidRPr="00610401">
        <w:rPr>
          <w:noProof/>
        </w:rPr>
        <w:t>, uwzględnia się potrzebę poprawy łączności pomiędzy typami siedlisk wymienionymi</w:t>
      </w:r>
      <w:r w:rsidR="00610401" w:rsidRPr="00610401">
        <w:rPr>
          <w:noProof/>
        </w:rPr>
        <w:t xml:space="preserve"> w zał</w:t>
      </w:r>
      <w:r w:rsidR="4A94FB56" w:rsidRPr="00610401">
        <w:rPr>
          <w:noProof/>
        </w:rPr>
        <w:t>ączniku II oraz wymogi ekologiczne gatunków,</w:t>
      </w:r>
      <w:r w:rsidR="00610401" w:rsidRPr="00610401">
        <w:rPr>
          <w:noProof/>
        </w:rPr>
        <w:t xml:space="preserve"> o któ</w:t>
      </w:r>
      <w:r w:rsidR="4A94FB56" w:rsidRPr="00610401">
        <w:rPr>
          <w:noProof/>
        </w:rPr>
        <w:t>rych mowa</w:t>
      </w:r>
      <w:r w:rsidR="00610401" w:rsidRPr="00610401">
        <w:rPr>
          <w:noProof/>
        </w:rPr>
        <w:t xml:space="preserve"> w ust</w:t>
      </w:r>
      <w:r w:rsidR="4A94FB56" w:rsidRPr="00610401">
        <w:rPr>
          <w:noProof/>
        </w:rPr>
        <w:t>.</w:t>
      </w:r>
      <w:r w:rsidR="00610401" w:rsidRPr="00610401">
        <w:rPr>
          <w:noProof/>
        </w:rPr>
        <w:t> </w:t>
      </w:r>
      <w:r w:rsidR="4A94FB56" w:rsidRPr="00610401">
        <w:rPr>
          <w:noProof/>
        </w:rPr>
        <w:t>3, występujących</w:t>
      </w:r>
      <w:r w:rsidR="00610401" w:rsidRPr="00610401">
        <w:rPr>
          <w:noProof/>
        </w:rPr>
        <w:t xml:space="preserve"> w tyc</w:t>
      </w:r>
      <w:r w:rsidR="4A94FB56" w:rsidRPr="00610401">
        <w:rPr>
          <w:noProof/>
        </w:rPr>
        <w:t>h typach siedlisk.</w:t>
      </w:r>
    </w:p>
    <w:p w:rsidR="001A30FD" w:rsidRPr="00610401" w:rsidRDefault="009F5C98" w:rsidP="009F5C98">
      <w:pPr>
        <w:pStyle w:val="ManualNumPar1"/>
        <w:rPr>
          <w:noProof/>
        </w:rPr>
      </w:pPr>
      <w:r w:rsidRPr="009F5C98">
        <w:t>6.</w:t>
      </w:r>
      <w:r w:rsidRPr="009F5C98">
        <w:tab/>
      </w:r>
      <w:r w:rsidR="3AE9AC58" w:rsidRPr="00610401">
        <w:rPr>
          <w:noProof/>
        </w:rPr>
        <w:t>Państwa członkowskie zapewniają, aby obszary objęte środkami odbudowy zgodnie</w:t>
      </w:r>
      <w:r w:rsidR="00610401" w:rsidRPr="00610401">
        <w:rPr>
          <w:noProof/>
        </w:rPr>
        <w:t xml:space="preserve"> z ust</w:t>
      </w:r>
      <w:r w:rsidR="3AE9AC58" w:rsidRPr="00610401">
        <w:rPr>
          <w:noProof/>
        </w:rPr>
        <w:t>.</w:t>
      </w:r>
      <w:r w:rsidR="00610401" w:rsidRPr="00610401">
        <w:rPr>
          <w:noProof/>
        </w:rPr>
        <w:t> </w:t>
      </w:r>
      <w:r w:rsidR="3AE9AC58" w:rsidRPr="00610401">
        <w:rPr>
          <w:noProof/>
        </w:rPr>
        <w:t>1, 2</w:t>
      </w:r>
      <w:r w:rsidR="00610401" w:rsidRPr="00610401">
        <w:rPr>
          <w:noProof/>
        </w:rPr>
        <w:t xml:space="preserve"> i 3</w:t>
      </w:r>
      <w:r w:rsidR="3AE9AC58" w:rsidRPr="00610401">
        <w:rPr>
          <w:noProof/>
        </w:rPr>
        <w:t xml:space="preserve"> wykazywały stałą poprawę stanu typów siedlisk wymienionych</w:t>
      </w:r>
      <w:r w:rsidR="00610401" w:rsidRPr="00610401">
        <w:rPr>
          <w:noProof/>
        </w:rPr>
        <w:t xml:space="preserve"> w zał</w:t>
      </w:r>
      <w:r w:rsidR="3AE9AC58" w:rsidRPr="00610401">
        <w:rPr>
          <w:noProof/>
        </w:rPr>
        <w:t>ączniku II, aż do osiągnięcia przez nie dobrego stanu,</w:t>
      </w:r>
      <w:r w:rsidR="00610401" w:rsidRPr="00610401">
        <w:rPr>
          <w:noProof/>
        </w:rPr>
        <w:t xml:space="preserve"> a tak</w:t>
      </w:r>
      <w:r w:rsidR="3AE9AC58" w:rsidRPr="00610401">
        <w:rPr>
          <w:noProof/>
        </w:rPr>
        <w:t>że stałą poprawę jakości siedlisk gatunków,</w:t>
      </w:r>
      <w:r w:rsidR="00610401" w:rsidRPr="00610401">
        <w:rPr>
          <w:noProof/>
        </w:rPr>
        <w:t xml:space="preserve"> o któ</w:t>
      </w:r>
      <w:r w:rsidR="3AE9AC58" w:rsidRPr="00610401">
        <w:rPr>
          <w:noProof/>
        </w:rPr>
        <w:t>rych mowa</w:t>
      </w:r>
      <w:r w:rsidR="00610401" w:rsidRPr="00610401">
        <w:rPr>
          <w:noProof/>
        </w:rPr>
        <w:t xml:space="preserve"> w ust</w:t>
      </w:r>
      <w:r w:rsidR="3AE9AC58" w:rsidRPr="00610401">
        <w:rPr>
          <w:noProof/>
        </w:rPr>
        <w:t>.</w:t>
      </w:r>
      <w:r w:rsidR="00610401" w:rsidRPr="00610401">
        <w:rPr>
          <w:noProof/>
        </w:rPr>
        <w:t> </w:t>
      </w:r>
      <w:r w:rsidR="3AE9AC58" w:rsidRPr="00610401">
        <w:rPr>
          <w:noProof/>
        </w:rPr>
        <w:t>3, aż do osiągnięcia wystarczającej jakości tych siedlisk. Państwa członkowskie zapewniają, aby stan obszarów, gdzie osiągnięto dobry stan</w:t>
      </w:r>
      <w:r w:rsidR="00610401" w:rsidRPr="00610401">
        <w:rPr>
          <w:noProof/>
        </w:rPr>
        <w:t xml:space="preserve"> i wys</w:t>
      </w:r>
      <w:r w:rsidR="3AE9AC58" w:rsidRPr="00610401">
        <w:rPr>
          <w:noProof/>
        </w:rPr>
        <w:t xml:space="preserve">tarczającą jakość siedlisk gatunków, nie ulegał pogorszeniu. </w:t>
      </w:r>
    </w:p>
    <w:p w:rsidR="000E6287" w:rsidRPr="00610401" w:rsidRDefault="009F5C98" w:rsidP="009F5C98">
      <w:pPr>
        <w:pStyle w:val="ManualNumPar1"/>
        <w:rPr>
          <w:noProof/>
        </w:rPr>
      </w:pPr>
      <w:r w:rsidRPr="009F5C98">
        <w:t>7.</w:t>
      </w:r>
      <w:r w:rsidRPr="009F5C98">
        <w:tab/>
      </w:r>
      <w:r w:rsidR="000E6287" w:rsidRPr="00610401">
        <w:rPr>
          <w:noProof/>
        </w:rPr>
        <w:t>Państwa członkowskie zapewniają, aby stan obszarów, gdzie występują typy siedlisk wymienione</w:t>
      </w:r>
      <w:r w:rsidR="00610401" w:rsidRPr="00610401">
        <w:rPr>
          <w:noProof/>
        </w:rPr>
        <w:t xml:space="preserve"> w zał</w:t>
      </w:r>
      <w:r w:rsidR="000E6287" w:rsidRPr="00610401">
        <w:rPr>
          <w:noProof/>
        </w:rPr>
        <w:t xml:space="preserve">ączniku II, nie ulegał pogorszeniu. </w:t>
      </w:r>
    </w:p>
    <w:p w:rsidR="00393BE9" w:rsidRPr="00610401" w:rsidRDefault="009F5C98" w:rsidP="009F5C98">
      <w:pPr>
        <w:pStyle w:val="ManualNumPar1"/>
        <w:rPr>
          <w:noProof/>
        </w:rPr>
      </w:pPr>
      <w:r w:rsidRPr="009F5C98">
        <w:t>8.</w:t>
      </w:r>
      <w:r w:rsidRPr="009F5C98">
        <w:tab/>
      </w:r>
      <w:r w:rsidR="00393BE9" w:rsidRPr="00610401">
        <w:rPr>
          <w:noProof/>
        </w:rPr>
        <w:t>Poza obszarami Natura 2000 niewypełnienie obowiązków określonych</w:t>
      </w:r>
      <w:r w:rsidR="00610401" w:rsidRPr="00610401">
        <w:rPr>
          <w:noProof/>
        </w:rPr>
        <w:t xml:space="preserve"> w ust</w:t>
      </w:r>
      <w:r w:rsidR="00393BE9" w:rsidRPr="00610401">
        <w:rPr>
          <w:noProof/>
        </w:rPr>
        <w:t>.</w:t>
      </w:r>
      <w:r w:rsidR="00610401" w:rsidRPr="00610401">
        <w:rPr>
          <w:noProof/>
        </w:rPr>
        <w:t> </w:t>
      </w:r>
      <w:r w:rsidR="00393BE9" w:rsidRPr="00610401">
        <w:rPr>
          <w:noProof/>
        </w:rPr>
        <w:t>6</w:t>
      </w:r>
      <w:r w:rsidR="00610401" w:rsidRPr="00610401">
        <w:rPr>
          <w:noProof/>
        </w:rPr>
        <w:t xml:space="preserve"> i 7</w:t>
      </w:r>
      <w:r w:rsidR="00393BE9" w:rsidRPr="00610401">
        <w:rPr>
          <w:noProof/>
        </w:rPr>
        <w:t xml:space="preserve"> jest uzasadnione, jeżeli zostało spowodowane przez:</w:t>
      </w:r>
    </w:p>
    <w:p w:rsidR="00393BE9" w:rsidRPr="00610401" w:rsidRDefault="00610401" w:rsidP="00610401">
      <w:pPr>
        <w:pStyle w:val="Point1"/>
        <w:rPr>
          <w:noProof/>
        </w:rPr>
      </w:pPr>
      <w:r w:rsidRPr="00610401">
        <w:rPr>
          <w:noProof/>
        </w:rPr>
        <w:t>a)</w:t>
      </w:r>
      <w:r w:rsidRPr="00610401">
        <w:rPr>
          <w:noProof/>
        </w:rPr>
        <w:tab/>
      </w:r>
      <w:r w:rsidR="00393BE9" w:rsidRPr="00610401">
        <w:rPr>
          <w:noProof/>
        </w:rPr>
        <w:t>siłę wyższą;</w:t>
      </w:r>
    </w:p>
    <w:p w:rsidR="00393BE9" w:rsidRPr="00610401" w:rsidRDefault="00610401" w:rsidP="00610401">
      <w:pPr>
        <w:pStyle w:val="Point1"/>
        <w:rPr>
          <w:noProof/>
        </w:rPr>
      </w:pPr>
      <w:r w:rsidRPr="00610401">
        <w:rPr>
          <w:noProof/>
        </w:rPr>
        <w:t>b)</w:t>
      </w:r>
      <w:r w:rsidRPr="00610401">
        <w:rPr>
          <w:noProof/>
        </w:rPr>
        <w:tab/>
      </w:r>
      <w:r w:rsidR="00393BE9" w:rsidRPr="00610401">
        <w:rPr>
          <w:noProof/>
        </w:rPr>
        <w:t>nieuniknione przekształcenia siedlisk spowodowane bezpośrednio przez zmianę klimatu lub</w:t>
      </w:r>
    </w:p>
    <w:p w:rsidR="00393BE9" w:rsidRPr="00610401" w:rsidRDefault="00610401" w:rsidP="00610401">
      <w:pPr>
        <w:pStyle w:val="Point1"/>
        <w:rPr>
          <w:noProof/>
        </w:rPr>
      </w:pPr>
      <w:r w:rsidRPr="00610401">
        <w:rPr>
          <w:noProof/>
        </w:rPr>
        <w:t>c)</w:t>
      </w:r>
      <w:r w:rsidRPr="00610401">
        <w:rPr>
          <w:noProof/>
        </w:rPr>
        <w:tab/>
      </w:r>
      <w:r w:rsidR="00393BE9" w:rsidRPr="00610401">
        <w:rPr>
          <w:noProof/>
        </w:rPr>
        <w:t>przedsięwzięcie realizowane</w:t>
      </w:r>
      <w:r w:rsidRPr="00610401">
        <w:rPr>
          <w:noProof/>
        </w:rPr>
        <w:t xml:space="preserve"> w nad</w:t>
      </w:r>
      <w:r w:rsidR="00393BE9" w:rsidRPr="00610401">
        <w:rPr>
          <w:noProof/>
        </w:rPr>
        <w:t>rzędnym interesie publicznym,</w:t>
      </w:r>
      <w:r w:rsidRPr="00610401">
        <w:rPr>
          <w:noProof/>
        </w:rPr>
        <w:t xml:space="preserve"> w prz</w:t>
      </w:r>
      <w:r w:rsidR="00393BE9" w:rsidRPr="00610401">
        <w:rPr>
          <w:noProof/>
        </w:rPr>
        <w:t xml:space="preserve">ypadku którego nie są dostępne żadne mniej szkodliwe rozwiązania alternatywne, co ustala się indywidualnie dla każdego przypadku. </w:t>
      </w:r>
    </w:p>
    <w:p w:rsidR="00393BE9" w:rsidRPr="00610401" w:rsidRDefault="009F5C98" w:rsidP="009F5C98">
      <w:pPr>
        <w:pStyle w:val="ManualNumPar1"/>
        <w:rPr>
          <w:noProof/>
        </w:rPr>
      </w:pPr>
      <w:r w:rsidRPr="009F5C98">
        <w:t>9.</w:t>
      </w:r>
      <w:r w:rsidRPr="009F5C98">
        <w:tab/>
      </w:r>
      <w:r w:rsidR="00393BE9" w:rsidRPr="00610401">
        <w:rPr>
          <w:noProof/>
        </w:rPr>
        <w:t>W przypadku obszarów Natura 2000 niewypełnienie obowiązków określonych</w:t>
      </w:r>
      <w:r w:rsidR="00610401" w:rsidRPr="00610401">
        <w:rPr>
          <w:noProof/>
        </w:rPr>
        <w:t xml:space="preserve"> w ust</w:t>
      </w:r>
      <w:r w:rsidR="00393BE9" w:rsidRPr="00610401">
        <w:rPr>
          <w:noProof/>
        </w:rPr>
        <w:t>.</w:t>
      </w:r>
      <w:r w:rsidR="00610401" w:rsidRPr="00610401">
        <w:rPr>
          <w:noProof/>
        </w:rPr>
        <w:t> </w:t>
      </w:r>
      <w:r w:rsidR="00393BE9" w:rsidRPr="00610401">
        <w:rPr>
          <w:noProof/>
        </w:rPr>
        <w:t>6</w:t>
      </w:r>
      <w:r w:rsidR="00610401" w:rsidRPr="00610401">
        <w:rPr>
          <w:noProof/>
        </w:rPr>
        <w:t xml:space="preserve"> i 7</w:t>
      </w:r>
      <w:r w:rsidR="00393BE9" w:rsidRPr="00610401">
        <w:rPr>
          <w:noProof/>
        </w:rPr>
        <w:t xml:space="preserve"> jest uzasadnione, jeżeli zostało spowodowane przez: </w:t>
      </w:r>
    </w:p>
    <w:p w:rsidR="00393BE9" w:rsidRPr="00610401" w:rsidRDefault="00610401" w:rsidP="00610401">
      <w:pPr>
        <w:pStyle w:val="Point1"/>
        <w:rPr>
          <w:noProof/>
        </w:rPr>
      </w:pPr>
      <w:r w:rsidRPr="00610401">
        <w:rPr>
          <w:noProof/>
        </w:rPr>
        <w:t>a)</w:t>
      </w:r>
      <w:r w:rsidRPr="00610401">
        <w:rPr>
          <w:noProof/>
        </w:rPr>
        <w:tab/>
      </w:r>
      <w:r w:rsidR="00393BE9" w:rsidRPr="00610401">
        <w:rPr>
          <w:noProof/>
        </w:rPr>
        <w:t>siłę wyższą;</w:t>
      </w:r>
    </w:p>
    <w:p w:rsidR="00393BE9" w:rsidRPr="00610401" w:rsidRDefault="00610401" w:rsidP="00610401">
      <w:pPr>
        <w:pStyle w:val="Point1"/>
        <w:rPr>
          <w:noProof/>
        </w:rPr>
      </w:pPr>
      <w:r w:rsidRPr="00610401">
        <w:rPr>
          <w:noProof/>
        </w:rPr>
        <w:t>b)</w:t>
      </w:r>
      <w:r w:rsidRPr="00610401">
        <w:rPr>
          <w:noProof/>
        </w:rPr>
        <w:tab/>
      </w:r>
      <w:r w:rsidR="00393BE9" w:rsidRPr="00610401">
        <w:rPr>
          <w:noProof/>
        </w:rPr>
        <w:t>nieuniknione przekształcenia siedlisk spowodowane bezpośrednio przez zmianę klimatu lub</w:t>
      </w:r>
    </w:p>
    <w:p w:rsidR="000E6287" w:rsidRPr="00610401" w:rsidRDefault="00610401" w:rsidP="00610401">
      <w:pPr>
        <w:pStyle w:val="Point1"/>
        <w:rPr>
          <w:noProof/>
        </w:rPr>
      </w:pPr>
      <w:r w:rsidRPr="00610401">
        <w:rPr>
          <w:noProof/>
        </w:rPr>
        <w:t>c)</w:t>
      </w:r>
      <w:r w:rsidRPr="00610401">
        <w:rPr>
          <w:noProof/>
        </w:rPr>
        <w:tab/>
      </w:r>
      <w:r w:rsidR="00393BE9" w:rsidRPr="00610401">
        <w:rPr>
          <w:noProof/>
        </w:rPr>
        <w:t>plan lub przedsięwzięcie zatwierdzone zgodnie</w:t>
      </w:r>
      <w:r w:rsidRPr="00610401">
        <w:rPr>
          <w:noProof/>
        </w:rPr>
        <w:t xml:space="preserve"> z art</w:t>
      </w:r>
      <w:r w:rsidR="00393BE9" w:rsidRPr="00610401">
        <w:rPr>
          <w:noProof/>
        </w:rPr>
        <w:t>.</w:t>
      </w:r>
      <w:r w:rsidRPr="00610401">
        <w:rPr>
          <w:noProof/>
        </w:rPr>
        <w:t> </w:t>
      </w:r>
      <w:r w:rsidR="00393BE9" w:rsidRPr="00610401">
        <w:rPr>
          <w:noProof/>
        </w:rPr>
        <w:t>6 ust.</w:t>
      </w:r>
      <w:r w:rsidRPr="00610401">
        <w:rPr>
          <w:noProof/>
        </w:rPr>
        <w:t> </w:t>
      </w:r>
      <w:r w:rsidR="00393BE9" w:rsidRPr="00610401">
        <w:rPr>
          <w:noProof/>
        </w:rPr>
        <w:t xml:space="preserve">4 dyrektywy 92/43/EWG. </w:t>
      </w:r>
    </w:p>
    <w:p w:rsidR="001A30FD" w:rsidRPr="00610401" w:rsidRDefault="009F5C98" w:rsidP="009F5C98">
      <w:pPr>
        <w:pStyle w:val="ManualNumPar1"/>
        <w:rPr>
          <w:noProof/>
        </w:rPr>
      </w:pPr>
      <w:r w:rsidRPr="009F5C98">
        <w:t>10.</w:t>
      </w:r>
      <w:r w:rsidRPr="009F5C98">
        <w:tab/>
      </w:r>
      <w:r w:rsidR="3AE9AC58" w:rsidRPr="00610401">
        <w:rPr>
          <w:noProof/>
        </w:rPr>
        <w:t xml:space="preserve">Państwa członkowskie zapewniają: </w:t>
      </w:r>
    </w:p>
    <w:p w:rsidR="001A30FD" w:rsidRPr="00610401" w:rsidRDefault="00610401" w:rsidP="00610401">
      <w:pPr>
        <w:pStyle w:val="Point1"/>
        <w:rPr>
          <w:noProof/>
        </w:rPr>
      </w:pPr>
      <w:r w:rsidRPr="00610401">
        <w:rPr>
          <w:noProof/>
        </w:rPr>
        <w:t>a)</w:t>
      </w:r>
      <w:r w:rsidRPr="00610401">
        <w:rPr>
          <w:noProof/>
        </w:rPr>
        <w:tab/>
      </w:r>
      <w:r w:rsidR="3AE9AC58" w:rsidRPr="00610401">
        <w:rPr>
          <w:noProof/>
        </w:rPr>
        <w:t>zwiększanie obszaru siedlisk</w:t>
      </w:r>
      <w:r w:rsidRPr="00610401">
        <w:rPr>
          <w:noProof/>
        </w:rPr>
        <w:t xml:space="preserve"> w dob</w:t>
      </w:r>
      <w:r w:rsidR="3AE9AC58" w:rsidRPr="00610401">
        <w:rPr>
          <w:noProof/>
        </w:rPr>
        <w:t>rym stanie</w:t>
      </w:r>
      <w:r w:rsidRPr="00610401">
        <w:rPr>
          <w:noProof/>
        </w:rPr>
        <w:t xml:space="preserve"> w odn</w:t>
      </w:r>
      <w:r w:rsidR="3AE9AC58" w:rsidRPr="00610401">
        <w:rPr>
          <w:noProof/>
        </w:rPr>
        <w:t>iesieniu do typów siedlisk wymienionych</w:t>
      </w:r>
      <w:r w:rsidRPr="00610401">
        <w:rPr>
          <w:noProof/>
        </w:rPr>
        <w:t xml:space="preserve"> w zał</w:t>
      </w:r>
      <w:r w:rsidR="3AE9AC58" w:rsidRPr="00610401">
        <w:rPr>
          <w:noProof/>
        </w:rPr>
        <w:t>ączniku II, do czasu aż co najmniej 90</w:t>
      </w:r>
      <w:r w:rsidRPr="00610401">
        <w:rPr>
          <w:noProof/>
        </w:rPr>
        <w:t> </w:t>
      </w:r>
      <w:r w:rsidR="3AE9AC58" w:rsidRPr="00610401">
        <w:rPr>
          <w:noProof/>
        </w:rPr>
        <w:t>% tego obszaru osiągnie dobry stan,</w:t>
      </w:r>
      <w:r w:rsidRPr="00610401">
        <w:rPr>
          <w:noProof/>
        </w:rPr>
        <w:t xml:space="preserve"> a w odn</w:t>
      </w:r>
      <w:r w:rsidR="3AE9AC58" w:rsidRPr="00610401">
        <w:rPr>
          <w:noProof/>
        </w:rPr>
        <w:t>iesieniu do każdego typu siedliska</w:t>
      </w:r>
      <w:r w:rsidRPr="00610401">
        <w:rPr>
          <w:noProof/>
        </w:rPr>
        <w:t xml:space="preserve"> w każ</w:t>
      </w:r>
      <w:r w:rsidR="3AE9AC58" w:rsidRPr="00610401">
        <w:rPr>
          <w:noProof/>
        </w:rPr>
        <w:t xml:space="preserve">dym regionie biogeograficznym na ich terytorium osiągnięty zostanie właściwy obszar odniesienia; </w:t>
      </w:r>
    </w:p>
    <w:p w:rsidR="001A30FD" w:rsidRPr="00610401" w:rsidRDefault="00610401" w:rsidP="00610401">
      <w:pPr>
        <w:pStyle w:val="Point1"/>
        <w:rPr>
          <w:noProof/>
        </w:rPr>
      </w:pPr>
      <w:r w:rsidRPr="00610401">
        <w:rPr>
          <w:noProof/>
        </w:rPr>
        <w:t>b)</w:t>
      </w:r>
      <w:r w:rsidRPr="00610401">
        <w:rPr>
          <w:noProof/>
        </w:rPr>
        <w:tab/>
      </w:r>
      <w:r w:rsidR="001A30FD" w:rsidRPr="00610401">
        <w:rPr>
          <w:noProof/>
        </w:rPr>
        <w:t>pozytywną tendencję prowadzącą do zapewnienia wystarczającej jakości</w:t>
      </w:r>
      <w:r w:rsidRPr="00610401">
        <w:rPr>
          <w:noProof/>
        </w:rPr>
        <w:t xml:space="preserve"> i wie</w:t>
      </w:r>
      <w:r w:rsidR="001A30FD" w:rsidRPr="00610401">
        <w:rPr>
          <w:noProof/>
        </w:rPr>
        <w:t>lkości morskich siedlisk gatunków wymienionych</w:t>
      </w:r>
      <w:r w:rsidRPr="00610401">
        <w:rPr>
          <w:noProof/>
        </w:rPr>
        <w:t xml:space="preserve"> w zał</w:t>
      </w:r>
      <w:r w:rsidR="001A30FD" w:rsidRPr="00610401">
        <w:rPr>
          <w:noProof/>
        </w:rPr>
        <w:t>ączniku III oraz załącznikach II, IV i V do dyrektywy 92/43/EWG,</w:t>
      </w:r>
      <w:r w:rsidRPr="00610401">
        <w:rPr>
          <w:noProof/>
        </w:rPr>
        <w:t xml:space="preserve"> a tak</w:t>
      </w:r>
      <w:r w:rsidR="001A30FD" w:rsidRPr="00610401">
        <w:rPr>
          <w:noProof/>
        </w:rPr>
        <w:t>że gatunków objętych dyrektywą 2009/147/WE.</w:t>
      </w:r>
    </w:p>
    <w:p w:rsidR="000869EC" w:rsidRPr="00610401" w:rsidRDefault="000869EC" w:rsidP="000869EC">
      <w:pPr>
        <w:pStyle w:val="Titrearticle"/>
        <w:rPr>
          <w:b/>
          <w:bCs/>
          <w:i w:val="0"/>
          <w:noProof/>
        </w:rPr>
      </w:pPr>
      <w:r w:rsidRPr="00610401">
        <w:rPr>
          <w:noProof/>
        </w:rPr>
        <w:t xml:space="preserve">Artykuł 6 </w:t>
      </w:r>
      <w:r w:rsidRPr="00610401">
        <w:rPr>
          <w:noProof/>
        </w:rPr>
        <w:br/>
      </w:r>
      <w:r w:rsidRPr="00610401">
        <w:rPr>
          <w:b/>
          <w:i w:val="0"/>
          <w:noProof/>
        </w:rPr>
        <w:t>Odbudowa ekosystemów miejskich</w:t>
      </w:r>
    </w:p>
    <w:p w:rsidR="000869EC" w:rsidRPr="00610401" w:rsidRDefault="009F5C98" w:rsidP="009F5C98">
      <w:pPr>
        <w:pStyle w:val="ManualNumPar1"/>
        <w:rPr>
          <w:noProof/>
        </w:rPr>
      </w:pPr>
      <w:r w:rsidRPr="009F5C98">
        <w:t>1.</w:t>
      </w:r>
      <w:r w:rsidRPr="009F5C98">
        <w:tab/>
      </w:r>
      <w:r w:rsidR="000869EC" w:rsidRPr="00610401">
        <w:rPr>
          <w:noProof/>
        </w:rPr>
        <w:t>Państwa członkowskie zapewniają, aby we wszystkich miastach oraz</w:t>
      </w:r>
      <w:r w:rsidR="00610401" w:rsidRPr="00610401">
        <w:rPr>
          <w:noProof/>
        </w:rPr>
        <w:t xml:space="preserve"> w mał</w:t>
      </w:r>
      <w:r w:rsidR="000869EC" w:rsidRPr="00610401">
        <w:rPr>
          <w:noProof/>
        </w:rPr>
        <w:t>ych miastach i na przedmieściach do</w:t>
      </w:r>
      <w:r w:rsidR="00610401" w:rsidRPr="00610401">
        <w:rPr>
          <w:noProof/>
        </w:rPr>
        <w:t> </w:t>
      </w:r>
      <w:r w:rsidR="000869EC" w:rsidRPr="00610401">
        <w:rPr>
          <w:noProof/>
        </w:rPr>
        <w:t>2030</w:t>
      </w:r>
      <w:r w:rsidR="00610401" w:rsidRPr="00610401">
        <w:rPr>
          <w:noProof/>
        </w:rPr>
        <w:t> </w:t>
      </w:r>
      <w:r w:rsidR="000869EC" w:rsidRPr="00610401">
        <w:rPr>
          <w:noProof/>
        </w:rPr>
        <w:t>r. nie doszło do utraty netto zielonych przestrzeni miejskich oraz zwarcia drzewostanu na obszarach miejskich</w:t>
      </w:r>
      <w:r w:rsidR="00610401" w:rsidRPr="00610401">
        <w:rPr>
          <w:noProof/>
        </w:rPr>
        <w:t xml:space="preserve"> w por</w:t>
      </w:r>
      <w:r w:rsidR="000869EC" w:rsidRPr="00610401">
        <w:rPr>
          <w:noProof/>
        </w:rPr>
        <w:t>ównaniu</w:t>
      </w:r>
      <w:r w:rsidR="00610401" w:rsidRPr="00610401">
        <w:rPr>
          <w:noProof/>
        </w:rPr>
        <w:t xml:space="preserve"> z 2</w:t>
      </w:r>
      <w:r w:rsidR="000869EC" w:rsidRPr="00610401">
        <w:rPr>
          <w:noProof/>
        </w:rPr>
        <w:t>021</w:t>
      </w:r>
      <w:r w:rsidR="00610401" w:rsidRPr="00610401">
        <w:rPr>
          <w:noProof/>
        </w:rPr>
        <w:t> </w:t>
      </w:r>
      <w:r w:rsidR="000869EC" w:rsidRPr="00610401">
        <w:rPr>
          <w:noProof/>
        </w:rPr>
        <w:t>r.</w:t>
      </w:r>
    </w:p>
    <w:p w:rsidR="000869EC" w:rsidRPr="00610401" w:rsidRDefault="009F5C98" w:rsidP="009F5C98">
      <w:pPr>
        <w:pStyle w:val="ManualNumPar1"/>
        <w:rPr>
          <w:noProof/>
        </w:rPr>
      </w:pPr>
      <w:r w:rsidRPr="009F5C98">
        <w:t>2.</w:t>
      </w:r>
      <w:r w:rsidRPr="009F5C98">
        <w:tab/>
      </w:r>
      <w:r w:rsidR="000869EC" w:rsidRPr="00610401">
        <w:rPr>
          <w:noProof/>
        </w:rPr>
        <w:t>Państwa członkowskie zapewniają zwiększenie do</w:t>
      </w:r>
      <w:r w:rsidR="00610401" w:rsidRPr="00610401">
        <w:rPr>
          <w:noProof/>
        </w:rPr>
        <w:t> </w:t>
      </w:r>
      <w:r w:rsidR="000869EC" w:rsidRPr="00610401">
        <w:rPr>
          <w:noProof/>
        </w:rPr>
        <w:t>2040</w:t>
      </w:r>
      <w:r w:rsidR="00610401" w:rsidRPr="00610401">
        <w:rPr>
          <w:noProof/>
        </w:rPr>
        <w:t> </w:t>
      </w:r>
      <w:r w:rsidR="000869EC" w:rsidRPr="00610401">
        <w:rPr>
          <w:noProof/>
        </w:rPr>
        <w:t>r. całkowitej krajowej powierzchni zielonych przestrzeni miejskich</w:t>
      </w:r>
      <w:r w:rsidR="00610401" w:rsidRPr="00610401">
        <w:rPr>
          <w:noProof/>
        </w:rPr>
        <w:t xml:space="preserve"> w mia</w:t>
      </w:r>
      <w:r w:rsidR="000869EC" w:rsidRPr="00610401">
        <w:rPr>
          <w:noProof/>
        </w:rPr>
        <w:t>stach oraz</w:t>
      </w:r>
      <w:r w:rsidR="00610401" w:rsidRPr="00610401">
        <w:rPr>
          <w:noProof/>
        </w:rPr>
        <w:t xml:space="preserve"> w mał</w:t>
      </w:r>
      <w:r w:rsidR="000869EC" w:rsidRPr="00610401">
        <w:rPr>
          <w:noProof/>
        </w:rPr>
        <w:t>ych miastach i na przedmieściach o co najmniej 3</w:t>
      </w:r>
      <w:r w:rsidR="00610401" w:rsidRPr="00610401">
        <w:rPr>
          <w:noProof/>
        </w:rPr>
        <w:t> </w:t>
      </w:r>
      <w:r w:rsidR="000869EC" w:rsidRPr="00610401">
        <w:rPr>
          <w:noProof/>
        </w:rPr>
        <w:t>% całkowitej powierzchni miast, małych miast</w:t>
      </w:r>
      <w:r w:rsidR="00610401" w:rsidRPr="00610401">
        <w:rPr>
          <w:noProof/>
        </w:rPr>
        <w:t xml:space="preserve"> i prz</w:t>
      </w:r>
      <w:r w:rsidR="000869EC" w:rsidRPr="00610401">
        <w:rPr>
          <w:noProof/>
        </w:rPr>
        <w:t>edmieść</w:t>
      </w:r>
      <w:r w:rsidR="00610401" w:rsidRPr="00610401">
        <w:rPr>
          <w:noProof/>
        </w:rPr>
        <w:t xml:space="preserve"> w 2</w:t>
      </w:r>
      <w:r w:rsidR="000869EC" w:rsidRPr="00610401">
        <w:rPr>
          <w:noProof/>
        </w:rPr>
        <w:t>021</w:t>
      </w:r>
      <w:r w:rsidR="00610401" w:rsidRPr="00610401">
        <w:rPr>
          <w:noProof/>
        </w:rPr>
        <w:t> </w:t>
      </w:r>
      <w:r w:rsidR="000869EC" w:rsidRPr="00610401">
        <w:rPr>
          <w:noProof/>
        </w:rPr>
        <w:t>r., a do</w:t>
      </w:r>
      <w:r w:rsidR="00610401" w:rsidRPr="00610401">
        <w:rPr>
          <w:noProof/>
        </w:rPr>
        <w:t> </w:t>
      </w:r>
      <w:r w:rsidR="000869EC" w:rsidRPr="00610401">
        <w:rPr>
          <w:noProof/>
        </w:rPr>
        <w:t>2050</w:t>
      </w:r>
      <w:r w:rsidR="00610401" w:rsidRPr="00610401">
        <w:rPr>
          <w:noProof/>
        </w:rPr>
        <w:t> </w:t>
      </w:r>
      <w:r w:rsidR="000869EC" w:rsidRPr="00610401">
        <w:rPr>
          <w:noProof/>
        </w:rPr>
        <w:t>r. – o co najmniej 5</w:t>
      </w:r>
      <w:r w:rsidR="00610401" w:rsidRPr="00610401">
        <w:rPr>
          <w:noProof/>
        </w:rPr>
        <w:t> </w:t>
      </w:r>
      <w:r w:rsidR="000869EC" w:rsidRPr="00610401">
        <w:rPr>
          <w:noProof/>
        </w:rPr>
        <w:t xml:space="preserve">%. Ponadto państwa członkowskie zapewniają: </w:t>
      </w:r>
    </w:p>
    <w:p w:rsidR="000869EC" w:rsidRPr="00610401" w:rsidRDefault="00610401" w:rsidP="00610401">
      <w:pPr>
        <w:pStyle w:val="Point1"/>
        <w:rPr>
          <w:noProof/>
        </w:rPr>
      </w:pPr>
      <w:r>
        <w:rPr>
          <w:noProof/>
        </w:rPr>
        <w:t>a)</w:t>
      </w:r>
      <w:r>
        <w:rPr>
          <w:noProof/>
        </w:rPr>
        <w:tab/>
      </w:r>
      <w:r w:rsidR="000869EC" w:rsidRPr="00610401">
        <w:rPr>
          <w:noProof/>
        </w:rPr>
        <w:t>co najmniej 10</w:t>
      </w:r>
      <w:r w:rsidRPr="00610401">
        <w:rPr>
          <w:noProof/>
        </w:rPr>
        <w:t> </w:t>
      </w:r>
      <w:r w:rsidR="000869EC" w:rsidRPr="00610401">
        <w:rPr>
          <w:noProof/>
        </w:rPr>
        <w:t>% zwarcia drzewostanu na obszarach miejskich we wszystkich miastach, małych miastach i na przedmieściach do</w:t>
      </w:r>
      <w:r w:rsidRPr="00610401">
        <w:rPr>
          <w:noProof/>
        </w:rPr>
        <w:t> </w:t>
      </w:r>
      <w:r w:rsidR="000869EC" w:rsidRPr="00610401">
        <w:rPr>
          <w:noProof/>
        </w:rPr>
        <w:t>2050</w:t>
      </w:r>
      <w:r w:rsidRPr="00610401">
        <w:rPr>
          <w:noProof/>
        </w:rPr>
        <w:t> </w:t>
      </w:r>
      <w:r w:rsidR="000869EC" w:rsidRPr="00610401">
        <w:rPr>
          <w:noProof/>
        </w:rPr>
        <w:t xml:space="preserve">r. oraz </w:t>
      </w:r>
    </w:p>
    <w:p w:rsidR="000869EC" w:rsidRPr="00610401" w:rsidRDefault="00610401" w:rsidP="00610401">
      <w:pPr>
        <w:pStyle w:val="Point1"/>
        <w:rPr>
          <w:noProof/>
        </w:rPr>
      </w:pPr>
      <w:r>
        <w:rPr>
          <w:noProof/>
        </w:rPr>
        <w:t>b)</w:t>
      </w:r>
      <w:r>
        <w:rPr>
          <w:noProof/>
        </w:rPr>
        <w:tab/>
      </w:r>
      <w:r w:rsidR="00C60459" w:rsidRPr="00610401">
        <w:rPr>
          <w:noProof/>
        </w:rPr>
        <w:t>przyrost netto zielonych przestrzeni miejskich, które będą zintegrowane</w:t>
      </w:r>
      <w:r w:rsidRPr="00610401">
        <w:rPr>
          <w:noProof/>
        </w:rPr>
        <w:t xml:space="preserve"> z ist</w:t>
      </w:r>
      <w:r w:rsidR="00C60459" w:rsidRPr="00610401">
        <w:rPr>
          <w:noProof/>
        </w:rPr>
        <w:t>niejącymi</w:t>
      </w:r>
      <w:r w:rsidRPr="00610401">
        <w:rPr>
          <w:noProof/>
        </w:rPr>
        <w:t xml:space="preserve"> i now</w:t>
      </w:r>
      <w:r w:rsidR="00C60459" w:rsidRPr="00610401">
        <w:rPr>
          <w:noProof/>
        </w:rPr>
        <w:t>ymi budynkami oraz rozwojem infrastruktury, również dzięki renowacjom</w:t>
      </w:r>
      <w:r w:rsidRPr="00610401">
        <w:rPr>
          <w:noProof/>
        </w:rPr>
        <w:t xml:space="preserve"> i rem</w:t>
      </w:r>
      <w:r w:rsidR="00C60459" w:rsidRPr="00610401">
        <w:rPr>
          <w:noProof/>
        </w:rPr>
        <w:t>ontom, we wszystkich miastach, małych miastach i na przedmieściach.</w:t>
      </w:r>
    </w:p>
    <w:p w:rsidR="00EB0C16" w:rsidRPr="00610401" w:rsidRDefault="00EB0C16" w:rsidP="00D670D0">
      <w:pPr>
        <w:rPr>
          <w:noProof/>
        </w:rPr>
      </w:pPr>
    </w:p>
    <w:p w:rsidR="004348F7" w:rsidRPr="00610401" w:rsidRDefault="0020251E" w:rsidP="003655B6">
      <w:pPr>
        <w:pStyle w:val="Titrearticle"/>
        <w:rPr>
          <w:noProof/>
        </w:rPr>
      </w:pPr>
      <w:r w:rsidRPr="00610401">
        <w:rPr>
          <w:noProof/>
        </w:rPr>
        <w:t xml:space="preserve">Artykuł 7 </w:t>
      </w:r>
      <w:r w:rsidRPr="00610401">
        <w:rPr>
          <w:noProof/>
        </w:rPr>
        <w:br/>
      </w:r>
      <w:r w:rsidRPr="00610401">
        <w:rPr>
          <w:b/>
          <w:i w:val="0"/>
          <w:noProof/>
        </w:rPr>
        <w:t>Odbudowa naturalnej łączności rzek oraz naturalnych funkcji powiązanych równin zalewowych</w:t>
      </w:r>
      <w:r w:rsidRPr="00610401">
        <w:rPr>
          <w:noProof/>
        </w:rPr>
        <w:t xml:space="preserve"> </w:t>
      </w:r>
    </w:p>
    <w:p w:rsidR="00E6632B" w:rsidRPr="00610401" w:rsidRDefault="009F5C98" w:rsidP="009F5C98">
      <w:pPr>
        <w:pStyle w:val="ManualNumPar1"/>
        <w:rPr>
          <w:noProof/>
        </w:rPr>
      </w:pPr>
      <w:r w:rsidRPr="009F5C98">
        <w:t>1.</w:t>
      </w:r>
      <w:r w:rsidRPr="009F5C98">
        <w:tab/>
      </w:r>
      <w:r w:rsidR="5C32C346" w:rsidRPr="00610401">
        <w:rPr>
          <w:noProof/>
        </w:rPr>
        <w:t>Państwa członkowskie sporządzają wykaz barier dla łączności podłużnej</w:t>
      </w:r>
      <w:r w:rsidR="00610401" w:rsidRPr="00610401">
        <w:rPr>
          <w:noProof/>
        </w:rPr>
        <w:t xml:space="preserve"> i pop</w:t>
      </w:r>
      <w:r w:rsidR="5C32C346" w:rsidRPr="00610401">
        <w:rPr>
          <w:noProof/>
        </w:rPr>
        <w:t>rzecznej wód powierzchniowych oraz identyfikują te bariery, które należy usunąć, aby przyczynić się do osiągnięcia celów</w:t>
      </w:r>
      <w:r w:rsidR="00610401" w:rsidRPr="00610401">
        <w:rPr>
          <w:noProof/>
        </w:rPr>
        <w:t xml:space="preserve"> w zak</w:t>
      </w:r>
      <w:r w:rsidR="5C32C346" w:rsidRPr="00610401">
        <w:rPr>
          <w:noProof/>
        </w:rPr>
        <w:t>resie odbudowy określonych</w:t>
      </w:r>
      <w:r w:rsidR="00610401" w:rsidRPr="00610401">
        <w:rPr>
          <w:noProof/>
        </w:rPr>
        <w:t xml:space="preserve"> w art</w:t>
      </w:r>
      <w:r w:rsidR="5C32C346" w:rsidRPr="00610401">
        <w:rPr>
          <w:noProof/>
        </w:rPr>
        <w:t>.</w:t>
      </w:r>
      <w:r w:rsidR="00610401" w:rsidRPr="00610401">
        <w:rPr>
          <w:noProof/>
        </w:rPr>
        <w:t> </w:t>
      </w:r>
      <w:r w:rsidR="5C32C346" w:rsidRPr="00610401">
        <w:rPr>
          <w:noProof/>
        </w:rPr>
        <w:t>4 niniejszego rozporządzenia oraz celu, jakim jest przywrócenie co najmniej 25 000 km rzek</w:t>
      </w:r>
      <w:r w:rsidR="00610401" w:rsidRPr="00610401">
        <w:rPr>
          <w:noProof/>
        </w:rPr>
        <w:t xml:space="preserve"> w Uni</w:t>
      </w:r>
      <w:r w:rsidR="5C32C346" w:rsidRPr="00610401">
        <w:rPr>
          <w:noProof/>
        </w:rPr>
        <w:t>i do stanu swobodnego przepływu do</w:t>
      </w:r>
      <w:r w:rsidR="00610401" w:rsidRPr="00610401">
        <w:rPr>
          <w:noProof/>
        </w:rPr>
        <w:t> </w:t>
      </w:r>
      <w:r w:rsidR="5C32C346" w:rsidRPr="00610401">
        <w:rPr>
          <w:noProof/>
        </w:rPr>
        <w:t>2030</w:t>
      </w:r>
      <w:r w:rsidR="00610401" w:rsidRPr="00610401">
        <w:rPr>
          <w:noProof/>
        </w:rPr>
        <w:t> </w:t>
      </w:r>
      <w:r w:rsidR="5C32C346" w:rsidRPr="00610401">
        <w:rPr>
          <w:noProof/>
        </w:rPr>
        <w:t xml:space="preserve">r., </w:t>
      </w:r>
      <w:r w:rsidR="5C32C346" w:rsidRPr="00610401">
        <w:rPr>
          <w:noProof/>
          <w:color w:val="000000" w:themeColor="text1"/>
        </w:rPr>
        <w:t>nie naruszając przepisów dyrektywy 2000/60/WE,</w:t>
      </w:r>
      <w:r w:rsidR="00610401" w:rsidRPr="00610401">
        <w:rPr>
          <w:noProof/>
          <w:color w:val="000000" w:themeColor="text1"/>
        </w:rPr>
        <w:t xml:space="preserve"> w szc</w:t>
      </w:r>
      <w:r w:rsidR="5C32C346" w:rsidRPr="00610401">
        <w:rPr>
          <w:noProof/>
          <w:color w:val="000000" w:themeColor="text1"/>
        </w:rPr>
        <w:t>zególności jej art.</w:t>
      </w:r>
      <w:r w:rsidR="00610401" w:rsidRPr="00610401">
        <w:rPr>
          <w:noProof/>
          <w:color w:val="000000" w:themeColor="text1"/>
        </w:rPr>
        <w:t> </w:t>
      </w:r>
      <w:r w:rsidR="5C32C346" w:rsidRPr="00610401">
        <w:rPr>
          <w:noProof/>
          <w:color w:val="000000" w:themeColor="text1"/>
        </w:rPr>
        <w:t>4 ust.</w:t>
      </w:r>
      <w:r w:rsidR="00610401" w:rsidRPr="00610401">
        <w:rPr>
          <w:noProof/>
          <w:color w:val="000000" w:themeColor="text1"/>
        </w:rPr>
        <w:t> </w:t>
      </w:r>
      <w:r w:rsidR="5C32C346" w:rsidRPr="00610401">
        <w:rPr>
          <w:noProof/>
          <w:color w:val="000000" w:themeColor="text1"/>
        </w:rPr>
        <w:t>3, 5</w:t>
      </w:r>
      <w:r w:rsidR="00610401" w:rsidRPr="00610401">
        <w:rPr>
          <w:noProof/>
          <w:color w:val="000000" w:themeColor="text1"/>
        </w:rPr>
        <w:t xml:space="preserve"> i 7</w:t>
      </w:r>
      <w:r w:rsidR="5C32C346" w:rsidRPr="00610401">
        <w:rPr>
          <w:noProof/>
          <w:color w:val="000000" w:themeColor="text1"/>
        </w:rPr>
        <w:t>,</w:t>
      </w:r>
      <w:r w:rsidR="00610401" w:rsidRPr="00610401">
        <w:rPr>
          <w:noProof/>
          <w:color w:val="000000" w:themeColor="text1"/>
        </w:rPr>
        <w:t xml:space="preserve"> a tak</w:t>
      </w:r>
      <w:r w:rsidR="5C32C346" w:rsidRPr="00610401">
        <w:rPr>
          <w:noProof/>
          <w:color w:val="000000" w:themeColor="text1"/>
        </w:rPr>
        <w:t>że rozporządzenia (UE) nr</w:t>
      </w:r>
      <w:r w:rsidR="00610401" w:rsidRPr="00610401">
        <w:rPr>
          <w:noProof/>
          <w:color w:val="000000" w:themeColor="text1"/>
        </w:rPr>
        <w:t> </w:t>
      </w:r>
      <w:r w:rsidR="5C32C346" w:rsidRPr="00610401">
        <w:rPr>
          <w:noProof/>
          <w:color w:val="000000" w:themeColor="text1"/>
        </w:rPr>
        <w:t>1315/2013,</w:t>
      </w:r>
      <w:r w:rsidR="00610401" w:rsidRPr="00610401">
        <w:rPr>
          <w:noProof/>
          <w:color w:val="000000" w:themeColor="text1"/>
        </w:rPr>
        <w:t xml:space="preserve"> w szc</w:t>
      </w:r>
      <w:r w:rsidR="5C32C346" w:rsidRPr="00610401">
        <w:rPr>
          <w:noProof/>
          <w:color w:val="000000" w:themeColor="text1"/>
        </w:rPr>
        <w:t>zególności jego art.</w:t>
      </w:r>
      <w:r w:rsidR="00610401" w:rsidRPr="00610401">
        <w:rPr>
          <w:noProof/>
          <w:color w:val="000000" w:themeColor="text1"/>
        </w:rPr>
        <w:t> </w:t>
      </w:r>
      <w:r w:rsidR="5C32C346" w:rsidRPr="00610401">
        <w:rPr>
          <w:noProof/>
          <w:color w:val="000000" w:themeColor="text1"/>
        </w:rPr>
        <w:t>15.</w:t>
      </w:r>
    </w:p>
    <w:p w:rsidR="00EA1BE6" w:rsidRPr="00610401" w:rsidRDefault="009F5C98" w:rsidP="009F5C98">
      <w:pPr>
        <w:pStyle w:val="ManualNumPar1"/>
        <w:rPr>
          <w:noProof/>
        </w:rPr>
      </w:pPr>
      <w:r w:rsidRPr="009F5C98">
        <w:t>2.</w:t>
      </w:r>
      <w:r w:rsidRPr="009F5C98">
        <w:tab/>
      </w:r>
      <w:r w:rsidR="66D885FF" w:rsidRPr="00610401">
        <w:rPr>
          <w:noProof/>
        </w:rPr>
        <w:t>Państwa członkowskie usuwają bariery dla łączności podłużnej</w:t>
      </w:r>
      <w:r w:rsidR="00610401" w:rsidRPr="00610401">
        <w:rPr>
          <w:noProof/>
        </w:rPr>
        <w:t xml:space="preserve"> i pop</w:t>
      </w:r>
      <w:r w:rsidR="66D885FF" w:rsidRPr="00610401">
        <w:rPr>
          <w:noProof/>
        </w:rPr>
        <w:t>rzecznej wód powierzchniowych zidentyfikowane na podstawie ust.</w:t>
      </w:r>
      <w:r w:rsidR="00610401" w:rsidRPr="00610401">
        <w:rPr>
          <w:noProof/>
        </w:rPr>
        <w:t> </w:t>
      </w:r>
      <w:r w:rsidR="66D885FF" w:rsidRPr="00610401">
        <w:rPr>
          <w:noProof/>
        </w:rPr>
        <w:t>1 niniejszego artykułu, zgodnie</w:t>
      </w:r>
      <w:r w:rsidR="00610401" w:rsidRPr="00610401">
        <w:rPr>
          <w:noProof/>
        </w:rPr>
        <w:t xml:space="preserve"> z pla</w:t>
      </w:r>
      <w:r w:rsidR="66D885FF" w:rsidRPr="00610401">
        <w:rPr>
          <w:noProof/>
        </w:rPr>
        <w:t>nem ich usunięcia,</w:t>
      </w:r>
      <w:r w:rsidR="00610401" w:rsidRPr="00610401">
        <w:rPr>
          <w:noProof/>
        </w:rPr>
        <w:t xml:space="preserve"> o któ</w:t>
      </w:r>
      <w:r w:rsidR="66D885FF" w:rsidRPr="00610401">
        <w:rPr>
          <w:noProof/>
        </w:rPr>
        <w:t>rym mowa</w:t>
      </w:r>
      <w:r w:rsidR="00610401" w:rsidRPr="00610401">
        <w:rPr>
          <w:noProof/>
        </w:rPr>
        <w:t xml:space="preserve"> w art</w:t>
      </w:r>
      <w:r w:rsidR="66D885FF" w:rsidRPr="00610401">
        <w:rPr>
          <w:noProof/>
        </w:rPr>
        <w:t>.</w:t>
      </w:r>
      <w:r w:rsidR="00610401" w:rsidRPr="00610401">
        <w:rPr>
          <w:noProof/>
        </w:rPr>
        <w:t> </w:t>
      </w:r>
      <w:r w:rsidR="66D885FF" w:rsidRPr="00610401">
        <w:rPr>
          <w:noProof/>
        </w:rPr>
        <w:t>12 ust.</w:t>
      </w:r>
      <w:r w:rsidR="00610401" w:rsidRPr="00610401">
        <w:rPr>
          <w:noProof/>
        </w:rPr>
        <w:t> </w:t>
      </w:r>
      <w:r w:rsidR="66D885FF" w:rsidRPr="00610401">
        <w:rPr>
          <w:noProof/>
        </w:rPr>
        <w:t>2 lit.</w:t>
      </w:r>
      <w:r w:rsidR="00610401" w:rsidRPr="00610401">
        <w:rPr>
          <w:noProof/>
        </w:rPr>
        <w:t> </w:t>
      </w:r>
      <w:r w:rsidR="66D885FF" w:rsidRPr="00610401">
        <w:rPr>
          <w:noProof/>
        </w:rPr>
        <w:t>f). Usuwając bariery, państwa członkowskie zajmują się przede wszystkim przestarzałymi barierami, które nie są już potrzebne do wytwarzania energii ze źródeł odnawialnych, żeglugi śródlądowej, zaopatrzenia</w:t>
      </w:r>
      <w:r w:rsidR="00610401" w:rsidRPr="00610401">
        <w:rPr>
          <w:noProof/>
        </w:rPr>
        <w:t xml:space="preserve"> w wod</w:t>
      </w:r>
      <w:r w:rsidR="66D885FF" w:rsidRPr="00610401">
        <w:rPr>
          <w:noProof/>
        </w:rPr>
        <w:t>ę lub innych zastosowań.</w:t>
      </w:r>
    </w:p>
    <w:p w:rsidR="006C15D3" w:rsidRPr="00610401" w:rsidRDefault="009F5C98" w:rsidP="009F5C98">
      <w:pPr>
        <w:pStyle w:val="ManualNumPar1"/>
        <w:rPr>
          <w:noProof/>
        </w:rPr>
      </w:pPr>
      <w:r w:rsidRPr="009F5C98">
        <w:t>3.</w:t>
      </w:r>
      <w:r w:rsidRPr="009F5C98">
        <w:tab/>
      </w:r>
      <w:r w:rsidR="0771705A" w:rsidRPr="00610401">
        <w:rPr>
          <w:noProof/>
        </w:rPr>
        <w:t>Jako uzupełnienie usuwania barier,</w:t>
      </w:r>
      <w:r w:rsidR="00610401" w:rsidRPr="00610401">
        <w:rPr>
          <w:noProof/>
        </w:rPr>
        <w:t xml:space="preserve"> o któ</w:t>
      </w:r>
      <w:r w:rsidR="0771705A" w:rsidRPr="00610401">
        <w:rPr>
          <w:noProof/>
        </w:rPr>
        <w:t>rym mowa</w:t>
      </w:r>
      <w:r w:rsidR="00610401" w:rsidRPr="00610401">
        <w:rPr>
          <w:noProof/>
        </w:rPr>
        <w:t xml:space="preserve"> w ust</w:t>
      </w:r>
      <w:r w:rsidR="0771705A" w:rsidRPr="00610401">
        <w:rPr>
          <w:noProof/>
        </w:rPr>
        <w:t>.</w:t>
      </w:r>
      <w:r w:rsidR="00610401" w:rsidRPr="00610401">
        <w:rPr>
          <w:noProof/>
        </w:rPr>
        <w:t> </w:t>
      </w:r>
      <w:r w:rsidR="0771705A" w:rsidRPr="00610401">
        <w:rPr>
          <w:noProof/>
        </w:rPr>
        <w:t xml:space="preserve">2, państwa członkowskie wprowadzają środki niezbędne do poprawy naturalnych funkcji powiązanych równin zalewowych. </w:t>
      </w:r>
    </w:p>
    <w:p w:rsidR="00A77AD1" w:rsidRPr="00610401" w:rsidRDefault="00A77AD1" w:rsidP="00E81D73">
      <w:pPr>
        <w:rPr>
          <w:noProof/>
        </w:rPr>
      </w:pPr>
    </w:p>
    <w:p w:rsidR="004348F7" w:rsidRPr="00610401" w:rsidRDefault="0020251E" w:rsidP="003655B6">
      <w:pPr>
        <w:pStyle w:val="Titrearticle"/>
        <w:rPr>
          <w:noProof/>
        </w:rPr>
      </w:pPr>
      <w:r w:rsidRPr="00610401">
        <w:rPr>
          <w:noProof/>
        </w:rPr>
        <w:t xml:space="preserve">Artykuł 8 </w:t>
      </w:r>
      <w:r w:rsidRPr="00610401">
        <w:rPr>
          <w:noProof/>
        </w:rPr>
        <w:br/>
      </w:r>
      <w:r w:rsidRPr="00610401">
        <w:rPr>
          <w:b/>
          <w:i w:val="0"/>
          <w:noProof/>
        </w:rPr>
        <w:t>Odbudowa populacji owadów zapylających</w:t>
      </w:r>
      <w:r w:rsidRPr="00610401">
        <w:rPr>
          <w:noProof/>
        </w:rPr>
        <w:t xml:space="preserve"> </w:t>
      </w:r>
    </w:p>
    <w:p w:rsidR="00DE1BB5" w:rsidRPr="00610401" w:rsidRDefault="009F5C98" w:rsidP="009F5C98">
      <w:pPr>
        <w:pStyle w:val="ManualNumPar1"/>
        <w:rPr>
          <w:noProof/>
        </w:rPr>
      </w:pPr>
      <w:r w:rsidRPr="009F5C98">
        <w:t>1.</w:t>
      </w:r>
      <w:r w:rsidRPr="009F5C98">
        <w:tab/>
      </w:r>
      <w:r w:rsidR="215EA0A6" w:rsidRPr="00610401">
        <w:rPr>
          <w:noProof/>
        </w:rPr>
        <w:t>Państwa członkowskie muszą odwrócić tendencję spadku populacji owadów zapylających do</w:t>
      </w:r>
      <w:r w:rsidR="00610401" w:rsidRPr="00610401">
        <w:rPr>
          <w:noProof/>
        </w:rPr>
        <w:t> </w:t>
      </w:r>
      <w:r w:rsidR="215EA0A6" w:rsidRPr="00610401">
        <w:rPr>
          <w:noProof/>
        </w:rPr>
        <w:t>2030</w:t>
      </w:r>
      <w:r w:rsidR="00610401" w:rsidRPr="00610401">
        <w:rPr>
          <w:noProof/>
        </w:rPr>
        <w:t> </w:t>
      </w:r>
      <w:r w:rsidR="215EA0A6" w:rsidRPr="00610401">
        <w:rPr>
          <w:noProof/>
        </w:rPr>
        <w:t>r.,</w:t>
      </w:r>
      <w:r w:rsidR="00610401" w:rsidRPr="00610401">
        <w:rPr>
          <w:noProof/>
        </w:rPr>
        <w:t xml:space="preserve"> a nas</w:t>
      </w:r>
      <w:r w:rsidR="215EA0A6" w:rsidRPr="00610401">
        <w:rPr>
          <w:noProof/>
        </w:rPr>
        <w:t>tępnie osiągnąć</w:t>
      </w:r>
      <w:r w:rsidR="00610401" w:rsidRPr="00610401">
        <w:rPr>
          <w:noProof/>
        </w:rPr>
        <w:t xml:space="preserve"> i utr</w:t>
      </w:r>
      <w:r w:rsidR="215EA0A6" w:rsidRPr="00610401">
        <w:rPr>
          <w:noProof/>
        </w:rPr>
        <w:t>zymać tendencję wzrostową</w:t>
      </w:r>
      <w:r w:rsidR="00610401" w:rsidRPr="00610401">
        <w:rPr>
          <w:noProof/>
        </w:rPr>
        <w:t xml:space="preserve"> w zak</w:t>
      </w:r>
      <w:r w:rsidR="215EA0A6" w:rsidRPr="00610401">
        <w:rPr>
          <w:noProof/>
        </w:rPr>
        <w:t>resie liczebności tej populacji, mierzoną co trzy lata po</w:t>
      </w:r>
      <w:r w:rsidR="00610401" w:rsidRPr="00610401">
        <w:rPr>
          <w:noProof/>
        </w:rPr>
        <w:t> </w:t>
      </w:r>
      <w:r w:rsidR="215EA0A6" w:rsidRPr="00610401">
        <w:rPr>
          <w:noProof/>
        </w:rPr>
        <w:t>2030</w:t>
      </w:r>
      <w:r w:rsidR="00610401" w:rsidRPr="00610401">
        <w:rPr>
          <w:noProof/>
        </w:rPr>
        <w:t> </w:t>
      </w:r>
      <w:r w:rsidR="215EA0A6" w:rsidRPr="00610401">
        <w:rPr>
          <w:noProof/>
        </w:rPr>
        <w:t>r., aż do osiągnięcia zadowalających poziomów, zgodnie</w:t>
      </w:r>
      <w:r w:rsidR="00610401" w:rsidRPr="00610401">
        <w:rPr>
          <w:noProof/>
        </w:rPr>
        <w:t xml:space="preserve"> z art</w:t>
      </w:r>
      <w:r w:rsidR="215EA0A6" w:rsidRPr="00610401">
        <w:rPr>
          <w:noProof/>
        </w:rPr>
        <w:t>.</w:t>
      </w:r>
      <w:r w:rsidR="00610401" w:rsidRPr="00610401">
        <w:rPr>
          <w:noProof/>
        </w:rPr>
        <w:t> </w:t>
      </w:r>
      <w:r w:rsidR="215EA0A6" w:rsidRPr="00610401">
        <w:rPr>
          <w:noProof/>
        </w:rPr>
        <w:t>11 ust.</w:t>
      </w:r>
      <w:r w:rsidR="00610401" w:rsidRPr="00610401">
        <w:rPr>
          <w:noProof/>
        </w:rPr>
        <w:t> </w:t>
      </w:r>
      <w:r w:rsidR="215EA0A6" w:rsidRPr="00610401">
        <w:rPr>
          <w:noProof/>
        </w:rPr>
        <w:t xml:space="preserve">3. </w:t>
      </w:r>
    </w:p>
    <w:p w:rsidR="00B061D4" w:rsidRPr="00610401" w:rsidRDefault="009F5C98" w:rsidP="009F5C98">
      <w:pPr>
        <w:pStyle w:val="ManualNumPar1"/>
        <w:rPr>
          <w:noProof/>
        </w:rPr>
      </w:pPr>
      <w:r w:rsidRPr="009F5C98">
        <w:t>2.</w:t>
      </w:r>
      <w:r w:rsidRPr="009F5C98">
        <w:tab/>
      </w:r>
      <w:r w:rsidR="00F962B1" w:rsidRPr="00610401">
        <w:rPr>
          <w:noProof/>
        </w:rPr>
        <w:t>Komisja przyjmuje akty wykonawcze</w:t>
      </w:r>
      <w:r w:rsidR="00610401" w:rsidRPr="00610401">
        <w:rPr>
          <w:noProof/>
        </w:rPr>
        <w:t xml:space="preserve"> w cel</w:t>
      </w:r>
      <w:r w:rsidR="00F962B1" w:rsidRPr="00610401">
        <w:rPr>
          <w:noProof/>
        </w:rPr>
        <w:t>u określenia metody monitorowania populacji owadów zapylających. Te akty wykonawcze przyjmowane są zgodnie</w:t>
      </w:r>
      <w:r w:rsidR="00610401" w:rsidRPr="00610401">
        <w:rPr>
          <w:noProof/>
        </w:rPr>
        <w:t xml:space="preserve"> z pro</w:t>
      </w:r>
      <w:r w:rsidR="00F962B1" w:rsidRPr="00610401">
        <w:rPr>
          <w:noProof/>
        </w:rPr>
        <w:t>cedurą sprawdzającą,</w:t>
      </w:r>
      <w:r w:rsidR="00610401" w:rsidRPr="00610401">
        <w:rPr>
          <w:noProof/>
        </w:rPr>
        <w:t xml:space="preserve"> o któ</w:t>
      </w:r>
      <w:r w:rsidR="00F962B1" w:rsidRPr="00610401">
        <w:rPr>
          <w:noProof/>
        </w:rPr>
        <w:t>rej mowa</w:t>
      </w:r>
      <w:r w:rsidR="00610401" w:rsidRPr="00610401">
        <w:rPr>
          <w:noProof/>
        </w:rPr>
        <w:t xml:space="preserve"> w art</w:t>
      </w:r>
      <w:r w:rsidR="00F962B1" w:rsidRPr="00610401">
        <w:rPr>
          <w:noProof/>
        </w:rPr>
        <w:t>. 21 ust.</w:t>
      </w:r>
      <w:r w:rsidR="00610401" w:rsidRPr="00610401">
        <w:rPr>
          <w:noProof/>
        </w:rPr>
        <w:t> </w:t>
      </w:r>
      <w:r w:rsidR="00F962B1" w:rsidRPr="00610401">
        <w:rPr>
          <w:noProof/>
        </w:rPr>
        <w:t xml:space="preserve">2. </w:t>
      </w:r>
    </w:p>
    <w:p w:rsidR="00E9266B" w:rsidRPr="00610401" w:rsidRDefault="009F5C98" w:rsidP="009F5C98">
      <w:pPr>
        <w:pStyle w:val="ManualNumPar1"/>
        <w:rPr>
          <w:noProof/>
        </w:rPr>
      </w:pPr>
      <w:r w:rsidRPr="009F5C98">
        <w:t>3.</w:t>
      </w:r>
      <w:r w:rsidRPr="009F5C98">
        <w:tab/>
      </w:r>
      <w:r w:rsidR="11CF237F" w:rsidRPr="00610401">
        <w:rPr>
          <w:noProof/>
        </w:rPr>
        <w:t>Metoda,</w:t>
      </w:r>
      <w:r w:rsidR="00610401" w:rsidRPr="00610401">
        <w:rPr>
          <w:noProof/>
        </w:rPr>
        <w:t xml:space="preserve"> o któ</w:t>
      </w:r>
      <w:r w:rsidR="11CF237F" w:rsidRPr="00610401">
        <w:rPr>
          <w:noProof/>
        </w:rPr>
        <w:t>rej mowa</w:t>
      </w:r>
      <w:r w:rsidR="00610401" w:rsidRPr="00610401">
        <w:rPr>
          <w:noProof/>
        </w:rPr>
        <w:t xml:space="preserve"> w ust</w:t>
      </w:r>
      <w:r w:rsidR="11CF237F" w:rsidRPr="00610401">
        <w:rPr>
          <w:noProof/>
        </w:rPr>
        <w:t>.</w:t>
      </w:r>
      <w:r w:rsidR="00610401" w:rsidRPr="00610401">
        <w:rPr>
          <w:noProof/>
        </w:rPr>
        <w:t> </w:t>
      </w:r>
      <w:r w:rsidR="11CF237F" w:rsidRPr="00610401">
        <w:rPr>
          <w:noProof/>
        </w:rPr>
        <w:t>2, zapewnia znormalizowane podejście do gromadzenia rocznych danych na temat liczebności</w:t>
      </w:r>
      <w:r w:rsidR="00610401" w:rsidRPr="00610401">
        <w:rPr>
          <w:noProof/>
        </w:rPr>
        <w:t xml:space="preserve"> i róż</w:t>
      </w:r>
      <w:r w:rsidR="11CF237F" w:rsidRPr="00610401">
        <w:rPr>
          <w:noProof/>
        </w:rPr>
        <w:t xml:space="preserve">norodności gatunków owadów zapylających oraz do oceny tendencji dotyczących populacji owadów zapylających. </w:t>
      </w:r>
    </w:p>
    <w:p w:rsidR="004348F7" w:rsidRPr="00610401" w:rsidRDefault="73BBD083" w:rsidP="003655B6">
      <w:pPr>
        <w:pStyle w:val="Titrearticle"/>
        <w:rPr>
          <w:b/>
          <w:bCs/>
          <w:i w:val="0"/>
          <w:noProof/>
        </w:rPr>
      </w:pPr>
      <w:r w:rsidRPr="00610401">
        <w:rPr>
          <w:noProof/>
        </w:rPr>
        <w:t xml:space="preserve">Artykuł 9 </w:t>
      </w:r>
      <w:r w:rsidRPr="00610401">
        <w:rPr>
          <w:noProof/>
        </w:rPr>
        <w:br/>
      </w:r>
      <w:r w:rsidRPr="00610401">
        <w:rPr>
          <w:b/>
          <w:i w:val="0"/>
          <w:noProof/>
        </w:rPr>
        <w:t>Odbudowa ekosystemów rolniczych</w:t>
      </w:r>
    </w:p>
    <w:p w:rsidR="00B95119" w:rsidRPr="00610401" w:rsidRDefault="009F5C98" w:rsidP="009F5C98">
      <w:pPr>
        <w:pStyle w:val="ManualNumPar1"/>
        <w:rPr>
          <w:noProof/>
        </w:rPr>
      </w:pPr>
      <w:r w:rsidRPr="009F5C98">
        <w:t>1.</w:t>
      </w:r>
      <w:r w:rsidRPr="009F5C98">
        <w:tab/>
      </w:r>
      <w:r w:rsidR="5E0944D4" w:rsidRPr="00610401">
        <w:rPr>
          <w:noProof/>
        </w:rPr>
        <w:t>Państwa członkowskie wprowadzają środki odbudowy konieczne do zwiększenia różnorodności biologicznej</w:t>
      </w:r>
      <w:r w:rsidR="00610401" w:rsidRPr="00610401">
        <w:rPr>
          <w:noProof/>
        </w:rPr>
        <w:t xml:space="preserve"> w eko</w:t>
      </w:r>
      <w:r w:rsidR="5E0944D4" w:rsidRPr="00610401">
        <w:rPr>
          <w:noProof/>
        </w:rPr>
        <w:t>systemach rolniczych, oprócz środków odbudowy, którymi obszary te objęte są na mocy art.</w:t>
      </w:r>
      <w:r w:rsidR="00610401" w:rsidRPr="00610401">
        <w:rPr>
          <w:noProof/>
        </w:rPr>
        <w:t> </w:t>
      </w:r>
      <w:r w:rsidR="5E0944D4" w:rsidRPr="00610401">
        <w:rPr>
          <w:noProof/>
        </w:rPr>
        <w:t>4 ust.</w:t>
      </w:r>
      <w:r w:rsidR="00610401" w:rsidRPr="00610401">
        <w:rPr>
          <w:noProof/>
        </w:rPr>
        <w:t> </w:t>
      </w:r>
      <w:r w:rsidR="5E0944D4" w:rsidRPr="00610401">
        <w:rPr>
          <w:noProof/>
        </w:rPr>
        <w:t>1, 2</w:t>
      </w:r>
      <w:r w:rsidR="00610401" w:rsidRPr="00610401">
        <w:rPr>
          <w:noProof/>
        </w:rPr>
        <w:t xml:space="preserve"> i 3</w:t>
      </w:r>
      <w:r w:rsidR="5E0944D4" w:rsidRPr="00610401">
        <w:rPr>
          <w:noProof/>
        </w:rPr>
        <w:t xml:space="preserve">. </w:t>
      </w:r>
    </w:p>
    <w:p w:rsidR="006B4E38" w:rsidRPr="00610401" w:rsidRDefault="009F5C98" w:rsidP="009F5C98">
      <w:pPr>
        <w:pStyle w:val="ManualNumPar1"/>
        <w:rPr>
          <w:noProof/>
        </w:rPr>
      </w:pPr>
      <w:r w:rsidRPr="009F5C98">
        <w:t>2.</w:t>
      </w:r>
      <w:r w:rsidRPr="009F5C98">
        <w:tab/>
      </w:r>
      <w:r w:rsidR="2BD2C60B" w:rsidRPr="00610401">
        <w:rPr>
          <w:noProof/>
        </w:rPr>
        <w:t>Państwa członkowskie muszą osiągnąć tendencję wzrostową na poziomie krajowym każdego</w:t>
      </w:r>
      <w:r w:rsidR="00610401" w:rsidRPr="00610401">
        <w:rPr>
          <w:noProof/>
        </w:rPr>
        <w:t xml:space="preserve"> z wym</w:t>
      </w:r>
      <w:r w:rsidR="2BD2C60B" w:rsidRPr="00610401">
        <w:rPr>
          <w:noProof/>
        </w:rPr>
        <w:t>ienionych poniżej wskaźników</w:t>
      </w:r>
      <w:r w:rsidR="00610401" w:rsidRPr="00610401">
        <w:rPr>
          <w:noProof/>
        </w:rPr>
        <w:t xml:space="preserve"> w eko</w:t>
      </w:r>
      <w:r w:rsidR="2BD2C60B" w:rsidRPr="00610401">
        <w:rPr>
          <w:noProof/>
        </w:rPr>
        <w:t>systemach rolniczych, szczegółowo określonych</w:t>
      </w:r>
      <w:r w:rsidR="00610401" w:rsidRPr="00610401">
        <w:rPr>
          <w:noProof/>
        </w:rPr>
        <w:t xml:space="preserve"> w zał</w:t>
      </w:r>
      <w:r w:rsidR="2BD2C60B" w:rsidRPr="00610401">
        <w:rPr>
          <w:noProof/>
        </w:rPr>
        <w:t>ączniku IV, które to wskaźniki mierzy się</w:t>
      </w:r>
      <w:r w:rsidR="00610401" w:rsidRPr="00610401">
        <w:rPr>
          <w:noProof/>
        </w:rPr>
        <w:t xml:space="preserve"> w okr</w:t>
      </w:r>
      <w:r w:rsidR="2BD2C60B" w:rsidRPr="00610401">
        <w:rPr>
          <w:noProof/>
        </w:rPr>
        <w:t>esie od daty wejścia</w:t>
      </w:r>
      <w:r w:rsidR="00610401" w:rsidRPr="00610401">
        <w:rPr>
          <w:noProof/>
        </w:rPr>
        <w:t xml:space="preserve"> w życ</w:t>
      </w:r>
      <w:r w:rsidR="2BD2C60B" w:rsidRPr="00610401">
        <w:rPr>
          <w:noProof/>
        </w:rPr>
        <w:t>ie niniejszego rozporządzenia do</w:t>
      </w:r>
      <w:r w:rsidR="00610401" w:rsidRPr="00610401">
        <w:rPr>
          <w:noProof/>
        </w:rPr>
        <w:t> </w:t>
      </w:r>
      <w:r w:rsidR="2BD2C60B" w:rsidRPr="00610401">
        <w:rPr>
          <w:noProof/>
        </w:rPr>
        <w:t>31 grudnia 2030</w:t>
      </w:r>
      <w:r w:rsidR="00610401" w:rsidRPr="00610401">
        <w:rPr>
          <w:noProof/>
        </w:rPr>
        <w:t> </w:t>
      </w:r>
      <w:r w:rsidR="2BD2C60B" w:rsidRPr="00610401">
        <w:rPr>
          <w:noProof/>
        </w:rPr>
        <w:t>r.,</w:t>
      </w:r>
      <w:r w:rsidR="00610401" w:rsidRPr="00610401">
        <w:rPr>
          <w:noProof/>
        </w:rPr>
        <w:t xml:space="preserve"> a nas</w:t>
      </w:r>
      <w:r w:rsidR="2BD2C60B" w:rsidRPr="00610401">
        <w:rPr>
          <w:noProof/>
        </w:rPr>
        <w:t>tępnie co trzy lata, aż do osiągnięcia zadowalających poziomów, określonych zgodnie</w:t>
      </w:r>
      <w:r w:rsidR="00610401" w:rsidRPr="00610401">
        <w:rPr>
          <w:noProof/>
        </w:rPr>
        <w:t xml:space="preserve"> z art</w:t>
      </w:r>
      <w:r w:rsidR="2BD2C60B" w:rsidRPr="00610401">
        <w:rPr>
          <w:noProof/>
        </w:rPr>
        <w:t>.</w:t>
      </w:r>
      <w:r w:rsidR="00610401" w:rsidRPr="00610401">
        <w:rPr>
          <w:noProof/>
        </w:rPr>
        <w:t> </w:t>
      </w:r>
      <w:r w:rsidR="2BD2C60B" w:rsidRPr="00610401">
        <w:rPr>
          <w:noProof/>
        </w:rPr>
        <w:t>11 ust.</w:t>
      </w:r>
      <w:r w:rsidR="00610401" w:rsidRPr="00610401">
        <w:rPr>
          <w:noProof/>
        </w:rPr>
        <w:t> </w:t>
      </w:r>
      <w:r w:rsidR="2BD2C60B" w:rsidRPr="00610401">
        <w:rPr>
          <w:noProof/>
        </w:rPr>
        <w:t>3:</w:t>
      </w:r>
    </w:p>
    <w:p w:rsidR="00A537A6" w:rsidRPr="00610401" w:rsidRDefault="00610401" w:rsidP="00610401">
      <w:pPr>
        <w:pStyle w:val="Point1"/>
        <w:rPr>
          <w:rFonts w:eastAsiaTheme="minorEastAsia"/>
          <w:noProof/>
        </w:rPr>
      </w:pPr>
      <w:r>
        <w:rPr>
          <w:noProof/>
        </w:rPr>
        <w:t>a)</w:t>
      </w:r>
      <w:r>
        <w:rPr>
          <w:noProof/>
        </w:rPr>
        <w:tab/>
      </w:r>
      <w:r w:rsidR="0CCEF6C1" w:rsidRPr="00610401">
        <w:rPr>
          <w:noProof/>
        </w:rPr>
        <w:t>wskaźnik liczebności mot</w:t>
      </w:r>
      <w:r w:rsidR="00B3020D" w:rsidRPr="00610401">
        <w:rPr>
          <w:noProof/>
        </w:rPr>
        <w:t>yli na obszarach trawiastych;</w:t>
      </w:r>
    </w:p>
    <w:p w:rsidR="0031173F" w:rsidRPr="00610401" w:rsidRDefault="00610401" w:rsidP="00610401">
      <w:pPr>
        <w:pStyle w:val="Point1"/>
        <w:rPr>
          <w:rFonts w:eastAsiaTheme="minorEastAsia"/>
          <w:noProof/>
        </w:rPr>
      </w:pPr>
      <w:r>
        <w:rPr>
          <w:noProof/>
        </w:rPr>
        <w:t>b)</w:t>
      </w:r>
      <w:r>
        <w:rPr>
          <w:noProof/>
        </w:rPr>
        <w:tab/>
      </w:r>
      <w:r w:rsidR="006654F0" w:rsidRPr="00610401">
        <w:rPr>
          <w:noProof/>
        </w:rPr>
        <w:t>zasoby węgla organicznego</w:t>
      </w:r>
      <w:r w:rsidRPr="00610401">
        <w:rPr>
          <w:noProof/>
        </w:rPr>
        <w:t xml:space="preserve"> w gle</w:t>
      </w:r>
      <w:r w:rsidR="006654F0" w:rsidRPr="00610401">
        <w:rPr>
          <w:noProof/>
        </w:rPr>
        <w:t>bach mineralnych gruntów uprawnych;</w:t>
      </w:r>
    </w:p>
    <w:p w:rsidR="0031173F" w:rsidRPr="00610401" w:rsidRDefault="00610401" w:rsidP="00610401">
      <w:pPr>
        <w:pStyle w:val="Point1"/>
        <w:rPr>
          <w:rFonts w:eastAsiaTheme="minorEastAsia"/>
          <w:noProof/>
        </w:rPr>
      </w:pPr>
      <w:r>
        <w:rPr>
          <w:noProof/>
        </w:rPr>
        <w:t>c)</w:t>
      </w:r>
      <w:r>
        <w:rPr>
          <w:noProof/>
        </w:rPr>
        <w:tab/>
      </w:r>
      <w:r w:rsidR="0031173F" w:rsidRPr="00610401">
        <w:rPr>
          <w:noProof/>
        </w:rPr>
        <w:t>odsetek gruntów rolnych</w:t>
      </w:r>
      <w:r w:rsidRPr="00610401">
        <w:rPr>
          <w:noProof/>
        </w:rPr>
        <w:t xml:space="preserve"> z ele</w:t>
      </w:r>
      <w:r w:rsidR="0031173F" w:rsidRPr="00610401">
        <w:rPr>
          <w:noProof/>
        </w:rPr>
        <w:t>mentami krajobrazu</w:t>
      </w:r>
      <w:r w:rsidRPr="00610401">
        <w:rPr>
          <w:noProof/>
        </w:rPr>
        <w:t xml:space="preserve"> o wys</w:t>
      </w:r>
      <w:r w:rsidR="0031173F" w:rsidRPr="00610401">
        <w:rPr>
          <w:noProof/>
        </w:rPr>
        <w:t xml:space="preserve">okiej różnorodności. </w:t>
      </w:r>
    </w:p>
    <w:p w:rsidR="00FB3EF7" w:rsidRPr="00610401" w:rsidRDefault="009F5C98" w:rsidP="009F5C98">
      <w:pPr>
        <w:pStyle w:val="ManualNumPar1"/>
        <w:rPr>
          <w:noProof/>
        </w:rPr>
      </w:pPr>
      <w:r w:rsidRPr="009F5C98">
        <w:t>3.</w:t>
      </w:r>
      <w:r w:rsidRPr="009F5C98">
        <w:tab/>
      </w:r>
      <w:r w:rsidR="62371288" w:rsidRPr="00610401">
        <w:rPr>
          <w:noProof/>
        </w:rPr>
        <w:t>Państwa członkowskie wprowadzają środki odbudowy, aby wskaźnik liczebności pospolitych ptaków krajobrazu rolniczego na poziomie krajowym, bazujący na gatunkach określonych</w:t>
      </w:r>
      <w:r w:rsidR="00610401" w:rsidRPr="00610401">
        <w:rPr>
          <w:noProof/>
        </w:rPr>
        <w:t xml:space="preserve"> w zał</w:t>
      </w:r>
      <w:r w:rsidR="62371288" w:rsidRPr="00610401">
        <w:rPr>
          <w:noProof/>
        </w:rPr>
        <w:t>ączniku V, indeksowany ...</w:t>
      </w:r>
      <w:r w:rsidR="62371288" w:rsidRPr="00610401">
        <w:rPr>
          <w:i/>
          <w:noProof/>
        </w:rPr>
        <w:t>[Urząd Publikacji: proszę wstawić datę =</w:t>
      </w:r>
      <w:r w:rsidR="00610401" w:rsidRPr="00610401">
        <w:rPr>
          <w:i/>
          <w:noProof/>
        </w:rPr>
        <w:t xml:space="preserve"> </w:t>
      </w:r>
      <w:r w:rsidR="62371288" w:rsidRPr="00610401">
        <w:rPr>
          <w:i/>
          <w:noProof/>
        </w:rPr>
        <w:t>pierwszy dzień miesiąca następującego po</w:t>
      </w:r>
      <w:r w:rsidR="00610401" w:rsidRPr="00610401">
        <w:rPr>
          <w:i/>
          <w:noProof/>
        </w:rPr>
        <w:t> </w:t>
      </w:r>
      <w:r w:rsidR="62371288" w:rsidRPr="00610401">
        <w:rPr>
          <w:i/>
          <w:noProof/>
        </w:rPr>
        <w:t>12 miesiącach od daty wejścia</w:t>
      </w:r>
      <w:r w:rsidR="00610401" w:rsidRPr="00610401">
        <w:rPr>
          <w:i/>
          <w:noProof/>
        </w:rPr>
        <w:t xml:space="preserve"> w życ</w:t>
      </w:r>
      <w:r w:rsidR="62371288" w:rsidRPr="00610401">
        <w:rPr>
          <w:i/>
          <w:noProof/>
        </w:rPr>
        <w:t>ie niniejszego rozporządzenia]</w:t>
      </w:r>
      <w:r w:rsidR="62371288" w:rsidRPr="00610401">
        <w:rPr>
          <w:noProof/>
        </w:rPr>
        <w:t xml:space="preserve"> na poziomie = 100, osiągnął następujące poziomy:</w:t>
      </w:r>
    </w:p>
    <w:p w:rsidR="00A67723" w:rsidRPr="00610401" w:rsidRDefault="00610401" w:rsidP="00610401">
      <w:pPr>
        <w:pStyle w:val="Point1"/>
        <w:rPr>
          <w:noProof/>
        </w:rPr>
      </w:pPr>
      <w:r>
        <w:rPr>
          <w:noProof/>
        </w:rPr>
        <w:t>a)</w:t>
      </w:r>
      <w:r>
        <w:rPr>
          <w:noProof/>
        </w:rPr>
        <w:tab/>
      </w:r>
      <w:r w:rsidR="0125D334" w:rsidRPr="00610401">
        <w:rPr>
          <w:noProof/>
        </w:rPr>
        <w:t>110 do</w:t>
      </w:r>
      <w:r w:rsidRPr="00610401">
        <w:rPr>
          <w:noProof/>
        </w:rPr>
        <w:t> </w:t>
      </w:r>
      <w:r w:rsidR="0125D334" w:rsidRPr="00610401">
        <w:rPr>
          <w:noProof/>
        </w:rPr>
        <w:t>2030</w:t>
      </w:r>
      <w:r w:rsidRPr="00610401">
        <w:rPr>
          <w:noProof/>
        </w:rPr>
        <w:t> </w:t>
      </w:r>
      <w:r w:rsidR="0125D334" w:rsidRPr="00610401">
        <w:rPr>
          <w:noProof/>
        </w:rPr>
        <w:t>r., 120 do</w:t>
      </w:r>
      <w:r w:rsidRPr="00610401">
        <w:rPr>
          <w:noProof/>
        </w:rPr>
        <w:t> </w:t>
      </w:r>
      <w:r w:rsidR="0125D334" w:rsidRPr="00610401">
        <w:rPr>
          <w:noProof/>
        </w:rPr>
        <w:t>2040</w:t>
      </w:r>
      <w:r w:rsidRPr="00610401">
        <w:rPr>
          <w:noProof/>
        </w:rPr>
        <w:t> </w:t>
      </w:r>
      <w:r w:rsidR="0125D334" w:rsidRPr="00610401">
        <w:rPr>
          <w:noProof/>
        </w:rPr>
        <w:t>r.</w:t>
      </w:r>
      <w:r w:rsidRPr="00610401">
        <w:rPr>
          <w:noProof/>
        </w:rPr>
        <w:t xml:space="preserve"> i 1</w:t>
      </w:r>
      <w:r w:rsidR="0125D334" w:rsidRPr="00610401">
        <w:rPr>
          <w:noProof/>
        </w:rPr>
        <w:t>30 do</w:t>
      </w:r>
      <w:r w:rsidRPr="00610401">
        <w:rPr>
          <w:noProof/>
        </w:rPr>
        <w:t> </w:t>
      </w:r>
      <w:r w:rsidR="0125D334" w:rsidRPr="00610401">
        <w:rPr>
          <w:noProof/>
        </w:rPr>
        <w:t>2050</w:t>
      </w:r>
      <w:r w:rsidRPr="00610401">
        <w:rPr>
          <w:noProof/>
        </w:rPr>
        <w:t> </w:t>
      </w:r>
      <w:r w:rsidR="0125D334" w:rsidRPr="00610401">
        <w:rPr>
          <w:noProof/>
        </w:rPr>
        <w:t>r.</w:t>
      </w:r>
      <w:r w:rsidRPr="00610401">
        <w:rPr>
          <w:noProof/>
        </w:rPr>
        <w:t xml:space="preserve"> w prz</w:t>
      </w:r>
      <w:r w:rsidR="0125D334" w:rsidRPr="00610401">
        <w:rPr>
          <w:noProof/>
        </w:rPr>
        <w:t>ypadku państw członkowskich wymienionych</w:t>
      </w:r>
      <w:r w:rsidRPr="00610401">
        <w:rPr>
          <w:noProof/>
        </w:rPr>
        <w:t xml:space="preserve"> w zał</w:t>
      </w:r>
      <w:r w:rsidR="0125D334" w:rsidRPr="00610401">
        <w:rPr>
          <w:noProof/>
        </w:rPr>
        <w:t>ączniku V, których populacje ptaków krajobrazu rolniczego były</w:t>
      </w:r>
      <w:r w:rsidRPr="00610401">
        <w:rPr>
          <w:noProof/>
        </w:rPr>
        <w:t xml:space="preserve"> w prz</w:t>
      </w:r>
      <w:r w:rsidR="0125D334" w:rsidRPr="00610401">
        <w:rPr>
          <w:noProof/>
        </w:rPr>
        <w:t>eszłości bardziej uszczuplone;</w:t>
      </w:r>
    </w:p>
    <w:p w:rsidR="00A67723" w:rsidRPr="00610401" w:rsidRDefault="00610401" w:rsidP="00610401">
      <w:pPr>
        <w:pStyle w:val="Point1"/>
        <w:rPr>
          <w:noProof/>
        </w:rPr>
      </w:pPr>
      <w:r>
        <w:rPr>
          <w:noProof/>
        </w:rPr>
        <w:t>b)</w:t>
      </w:r>
      <w:r>
        <w:rPr>
          <w:noProof/>
        </w:rPr>
        <w:tab/>
      </w:r>
      <w:r w:rsidR="0125D334" w:rsidRPr="00610401">
        <w:rPr>
          <w:noProof/>
        </w:rPr>
        <w:t>105 do</w:t>
      </w:r>
      <w:r w:rsidRPr="00610401">
        <w:rPr>
          <w:noProof/>
        </w:rPr>
        <w:t> </w:t>
      </w:r>
      <w:r w:rsidR="0125D334" w:rsidRPr="00610401">
        <w:rPr>
          <w:noProof/>
        </w:rPr>
        <w:t>2030</w:t>
      </w:r>
      <w:r w:rsidRPr="00610401">
        <w:rPr>
          <w:noProof/>
        </w:rPr>
        <w:t> </w:t>
      </w:r>
      <w:r w:rsidR="0125D334" w:rsidRPr="00610401">
        <w:rPr>
          <w:noProof/>
        </w:rPr>
        <w:t>r., 110 do</w:t>
      </w:r>
      <w:r w:rsidRPr="00610401">
        <w:rPr>
          <w:noProof/>
        </w:rPr>
        <w:t> </w:t>
      </w:r>
      <w:r w:rsidR="0125D334" w:rsidRPr="00610401">
        <w:rPr>
          <w:noProof/>
        </w:rPr>
        <w:t>2040</w:t>
      </w:r>
      <w:r w:rsidRPr="00610401">
        <w:rPr>
          <w:noProof/>
        </w:rPr>
        <w:t> </w:t>
      </w:r>
      <w:r w:rsidR="0125D334" w:rsidRPr="00610401">
        <w:rPr>
          <w:noProof/>
        </w:rPr>
        <w:t>r.</w:t>
      </w:r>
      <w:r w:rsidRPr="00610401">
        <w:rPr>
          <w:noProof/>
        </w:rPr>
        <w:t xml:space="preserve"> i 1</w:t>
      </w:r>
      <w:r w:rsidR="0125D334" w:rsidRPr="00610401">
        <w:rPr>
          <w:noProof/>
        </w:rPr>
        <w:t>15 do</w:t>
      </w:r>
      <w:r w:rsidRPr="00610401">
        <w:rPr>
          <w:noProof/>
        </w:rPr>
        <w:t> </w:t>
      </w:r>
      <w:r w:rsidR="0125D334" w:rsidRPr="00610401">
        <w:rPr>
          <w:noProof/>
        </w:rPr>
        <w:t>2050</w:t>
      </w:r>
      <w:r w:rsidRPr="00610401">
        <w:rPr>
          <w:noProof/>
        </w:rPr>
        <w:t> </w:t>
      </w:r>
      <w:r w:rsidR="0125D334" w:rsidRPr="00610401">
        <w:rPr>
          <w:noProof/>
        </w:rPr>
        <w:t>r.</w:t>
      </w:r>
      <w:r w:rsidRPr="00610401">
        <w:rPr>
          <w:noProof/>
        </w:rPr>
        <w:t xml:space="preserve"> w prz</w:t>
      </w:r>
      <w:r w:rsidR="0125D334" w:rsidRPr="00610401">
        <w:rPr>
          <w:noProof/>
        </w:rPr>
        <w:t>ypadku państw członkowskich wymienionych</w:t>
      </w:r>
      <w:r w:rsidRPr="00610401">
        <w:rPr>
          <w:noProof/>
        </w:rPr>
        <w:t xml:space="preserve"> w zał</w:t>
      </w:r>
      <w:r w:rsidR="0125D334" w:rsidRPr="00610401">
        <w:rPr>
          <w:noProof/>
        </w:rPr>
        <w:t>ączniku IV, których populacje ptaków krajobrazu rolniczego były</w:t>
      </w:r>
      <w:r w:rsidRPr="00610401">
        <w:rPr>
          <w:noProof/>
        </w:rPr>
        <w:t xml:space="preserve"> w prz</w:t>
      </w:r>
      <w:r w:rsidR="0125D334" w:rsidRPr="00610401">
        <w:rPr>
          <w:noProof/>
        </w:rPr>
        <w:t>eszłości mniej uszczuplone.</w:t>
      </w:r>
    </w:p>
    <w:p w:rsidR="08CF412B" w:rsidRPr="00610401" w:rsidRDefault="009F5C98" w:rsidP="009F5C98">
      <w:pPr>
        <w:pStyle w:val="ManualNumPar1"/>
        <w:rPr>
          <w:noProof/>
        </w:rPr>
      </w:pPr>
      <w:r w:rsidRPr="009F5C98">
        <w:t>4.</w:t>
      </w:r>
      <w:r w:rsidRPr="009F5C98">
        <w:tab/>
      </w:r>
      <w:r w:rsidR="5A1F5B59" w:rsidRPr="00610401">
        <w:rPr>
          <w:noProof/>
        </w:rPr>
        <w:t>Państwa członkowskie wprowadzają środki odbudowy gleb organicznych użytkowanych rolniczo, które są osuszonymi torfowiskami. Środki te muszą być wprowadzone</w:t>
      </w:r>
      <w:r w:rsidR="00610401" w:rsidRPr="00610401">
        <w:rPr>
          <w:noProof/>
        </w:rPr>
        <w:t xml:space="preserve"> w odn</w:t>
      </w:r>
      <w:r w:rsidR="5A1F5B59" w:rsidRPr="00610401">
        <w:rPr>
          <w:noProof/>
        </w:rPr>
        <w:t>iesieniu do co najmniej:</w:t>
      </w:r>
    </w:p>
    <w:p w:rsidR="006379EC" w:rsidRPr="00610401" w:rsidRDefault="00610401" w:rsidP="00610401">
      <w:pPr>
        <w:pStyle w:val="Point1"/>
        <w:rPr>
          <w:noProof/>
        </w:rPr>
      </w:pPr>
      <w:r>
        <w:rPr>
          <w:noProof/>
        </w:rPr>
        <w:t>a)</w:t>
      </w:r>
      <w:r>
        <w:rPr>
          <w:noProof/>
        </w:rPr>
        <w:tab/>
      </w:r>
      <w:r w:rsidR="5A1F5B59" w:rsidRPr="00610401">
        <w:rPr>
          <w:noProof/>
        </w:rPr>
        <w:t>30</w:t>
      </w:r>
      <w:r w:rsidRPr="00610401">
        <w:rPr>
          <w:noProof/>
        </w:rPr>
        <w:t> </w:t>
      </w:r>
      <w:r w:rsidR="5A1F5B59" w:rsidRPr="00610401">
        <w:rPr>
          <w:noProof/>
        </w:rPr>
        <w:t>% takich obszarów do</w:t>
      </w:r>
      <w:r w:rsidRPr="00610401">
        <w:rPr>
          <w:noProof/>
        </w:rPr>
        <w:t> </w:t>
      </w:r>
      <w:r w:rsidR="5A1F5B59" w:rsidRPr="00610401">
        <w:rPr>
          <w:noProof/>
        </w:rPr>
        <w:t>2030</w:t>
      </w:r>
      <w:r w:rsidRPr="00610401">
        <w:rPr>
          <w:noProof/>
        </w:rPr>
        <w:t> </w:t>
      </w:r>
      <w:r w:rsidR="5A1F5B59" w:rsidRPr="00610401">
        <w:rPr>
          <w:noProof/>
        </w:rPr>
        <w:t>r.,</w:t>
      </w:r>
      <w:r w:rsidRPr="00610401">
        <w:rPr>
          <w:noProof/>
        </w:rPr>
        <w:t xml:space="preserve"> z cze</w:t>
      </w:r>
      <w:r w:rsidR="5A1F5B59" w:rsidRPr="00610401">
        <w:rPr>
          <w:noProof/>
        </w:rPr>
        <w:t>go co najmniej jedna czwarta musi zostać ponownie nawodniona;</w:t>
      </w:r>
    </w:p>
    <w:p w:rsidR="006379EC" w:rsidRPr="00610401" w:rsidRDefault="00610401" w:rsidP="00610401">
      <w:pPr>
        <w:pStyle w:val="Point1"/>
        <w:rPr>
          <w:noProof/>
        </w:rPr>
      </w:pPr>
      <w:r>
        <w:rPr>
          <w:noProof/>
        </w:rPr>
        <w:t>b)</w:t>
      </w:r>
      <w:r>
        <w:rPr>
          <w:noProof/>
        </w:rPr>
        <w:tab/>
      </w:r>
      <w:r w:rsidR="5A1F5B59" w:rsidRPr="00610401">
        <w:rPr>
          <w:noProof/>
        </w:rPr>
        <w:t>50</w:t>
      </w:r>
      <w:r w:rsidRPr="00610401">
        <w:rPr>
          <w:noProof/>
        </w:rPr>
        <w:t> </w:t>
      </w:r>
      <w:r w:rsidR="5A1F5B59" w:rsidRPr="00610401">
        <w:rPr>
          <w:noProof/>
        </w:rPr>
        <w:t>% takich obszarów do</w:t>
      </w:r>
      <w:r w:rsidRPr="00610401">
        <w:rPr>
          <w:noProof/>
        </w:rPr>
        <w:t> </w:t>
      </w:r>
      <w:r w:rsidR="5A1F5B59" w:rsidRPr="00610401">
        <w:rPr>
          <w:noProof/>
        </w:rPr>
        <w:t>2040</w:t>
      </w:r>
      <w:r w:rsidRPr="00610401">
        <w:rPr>
          <w:noProof/>
        </w:rPr>
        <w:t> </w:t>
      </w:r>
      <w:r w:rsidR="5A1F5B59" w:rsidRPr="00610401">
        <w:rPr>
          <w:noProof/>
        </w:rPr>
        <w:t>r.,</w:t>
      </w:r>
      <w:r w:rsidRPr="00610401">
        <w:rPr>
          <w:noProof/>
        </w:rPr>
        <w:t xml:space="preserve"> z cze</w:t>
      </w:r>
      <w:r w:rsidR="5A1F5B59" w:rsidRPr="00610401">
        <w:rPr>
          <w:noProof/>
        </w:rPr>
        <w:t>go co najmniej połowa musi zostać ponownie nawodniona;</w:t>
      </w:r>
    </w:p>
    <w:p w:rsidR="00E87845" w:rsidRPr="00610401" w:rsidRDefault="00610401" w:rsidP="00610401">
      <w:pPr>
        <w:pStyle w:val="Point1"/>
        <w:rPr>
          <w:noProof/>
        </w:rPr>
      </w:pPr>
      <w:r>
        <w:rPr>
          <w:noProof/>
        </w:rPr>
        <w:t>c)</w:t>
      </w:r>
      <w:r>
        <w:rPr>
          <w:noProof/>
        </w:rPr>
        <w:tab/>
      </w:r>
      <w:r w:rsidR="5A1F5B59" w:rsidRPr="00610401">
        <w:rPr>
          <w:noProof/>
        </w:rPr>
        <w:t>70</w:t>
      </w:r>
      <w:r w:rsidRPr="00610401">
        <w:rPr>
          <w:noProof/>
        </w:rPr>
        <w:t> </w:t>
      </w:r>
      <w:r w:rsidR="5A1F5B59" w:rsidRPr="00610401">
        <w:rPr>
          <w:noProof/>
        </w:rPr>
        <w:t>% takich obszarów do</w:t>
      </w:r>
      <w:r w:rsidRPr="00610401">
        <w:rPr>
          <w:noProof/>
        </w:rPr>
        <w:t> </w:t>
      </w:r>
      <w:r w:rsidR="5A1F5B59" w:rsidRPr="00610401">
        <w:rPr>
          <w:noProof/>
        </w:rPr>
        <w:t>2050</w:t>
      </w:r>
      <w:r w:rsidRPr="00610401">
        <w:rPr>
          <w:noProof/>
        </w:rPr>
        <w:t> </w:t>
      </w:r>
      <w:r w:rsidR="5A1F5B59" w:rsidRPr="00610401">
        <w:rPr>
          <w:noProof/>
        </w:rPr>
        <w:t>r.,</w:t>
      </w:r>
      <w:r w:rsidRPr="00610401">
        <w:rPr>
          <w:noProof/>
        </w:rPr>
        <w:t xml:space="preserve"> z cze</w:t>
      </w:r>
      <w:r w:rsidR="5A1F5B59" w:rsidRPr="00610401">
        <w:rPr>
          <w:noProof/>
        </w:rPr>
        <w:t xml:space="preserve">go co najmniej połowa musi zostać ponownie nawodniona. </w:t>
      </w:r>
    </w:p>
    <w:p w:rsidR="00E87845" w:rsidRPr="00610401" w:rsidRDefault="00E87845" w:rsidP="00940D40">
      <w:pPr>
        <w:pStyle w:val="Point0"/>
        <w:ind w:firstLine="1"/>
        <w:rPr>
          <w:noProof/>
        </w:rPr>
      </w:pPr>
      <w:r w:rsidRPr="00610401">
        <w:rPr>
          <w:noProof/>
        </w:rPr>
        <w:t>Państwa członkowskie mogą wprowadzić środki odbudowy,</w:t>
      </w:r>
      <w:r w:rsidR="00610401" w:rsidRPr="00610401">
        <w:rPr>
          <w:noProof/>
        </w:rPr>
        <w:t xml:space="preserve"> w tym</w:t>
      </w:r>
      <w:r w:rsidRPr="00610401">
        <w:rPr>
          <w:noProof/>
        </w:rPr>
        <w:t xml:space="preserve"> ponowne nawadnianie, na obszarach wydobywania torfu</w:t>
      </w:r>
      <w:r w:rsidR="00610401" w:rsidRPr="00610401">
        <w:rPr>
          <w:noProof/>
        </w:rPr>
        <w:t xml:space="preserve"> i uwz</w:t>
      </w:r>
      <w:r w:rsidRPr="00610401">
        <w:rPr>
          <w:noProof/>
        </w:rPr>
        <w:t>ględnić je obliczając stopień realizacji odpowiednich celów,</w:t>
      </w:r>
      <w:r w:rsidR="00610401" w:rsidRPr="00610401">
        <w:rPr>
          <w:noProof/>
        </w:rPr>
        <w:t xml:space="preserve"> o któ</w:t>
      </w:r>
      <w:r w:rsidRPr="00610401">
        <w:rPr>
          <w:noProof/>
        </w:rPr>
        <w:t>rych mowa</w:t>
      </w:r>
      <w:r w:rsidR="00610401" w:rsidRPr="00610401">
        <w:rPr>
          <w:noProof/>
        </w:rPr>
        <w:t xml:space="preserve"> w aka</w:t>
      </w:r>
      <w:r w:rsidRPr="00610401">
        <w:rPr>
          <w:noProof/>
        </w:rPr>
        <w:t>picie pierwszym lit.</w:t>
      </w:r>
      <w:r w:rsidR="00610401" w:rsidRPr="00610401">
        <w:rPr>
          <w:noProof/>
        </w:rPr>
        <w:t> </w:t>
      </w:r>
      <w:r w:rsidRPr="00610401">
        <w:rPr>
          <w:noProof/>
        </w:rPr>
        <w:t>a), b) i c). </w:t>
      </w:r>
    </w:p>
    <w:p w:rsidR="5A1F5B59" w:rsidRPr="00610401" w:rsidRDefault="005A4F01" w:rsidP="00940D40">
      <w:pPr>
        <w:pStyle w:val="Point0"/>
        <w:ind w:firstLine="1"/>
        <w:rPr>
          <w:noProof/>
        </w:rPr>
      </w:pPr>
      <w:r w:rsidRPr="00610401">
        <w:rPr>
          <w:noProof/>
        </w:rPr>
        <w:t>Ponadto państwa członkowskie mogą wprowadzić środki odbudowy</w:t>
      </w:r>
      <w:r w:rsidR="00610401" w:rsidRPr="00610401">
        <w:rPr>
          <w:noProof/>
        </w:rPr>
        <w:t xml:space="preserve"> w cel</w:t>
      </w:r>
      <w:r w:rsidRPr="00610401">
        <w:rPr>
          <w:noProof/>
        </w:rPr>
        <w:t>u ponownego nawadniania gleb organicznych, które stanowią osuszone torfowiska</w:t>
      </w:r>
      <w:r w:rsidR="00610401" w:rsidRPr="00610401">
        <w:rPr>
          <w:noProof/>
        </w:rPr>
        <w:t xml:space="preserve"> w ram</w:t>
      </w:r>
      <w:r w:rsidRPr="00610401">
        <w:rPr>
          <w:noProof/>
        </w:rPr>
        <w:t>ach użytkowania gruntów innego niż użytkowanie rolnicze</w:t>
      </w:r>
      <w:r w:rsidR="00610401" w:rsidRPr="00610401">
        <w:rPr>
          <w:noProof/>
        </w:rPr>
        <w:t xml:space="preserve"> i wyd</w:t>
      </w:r>
      <w:r w:rsidRPr="00610401">
        <w:rPr>
          <w:noProof/>
        </w:rPr>
        <w:t>obycie torfu, oraz zaliczyć maksymalnie do</w:t>
      </w:r>
      <w:r w:rsidR="00610401" w:rsidRPr="00610401">
        <w:rPr>
          <w:noProof/>
        </w:rPr>
        <w:t> </w:t>
      </w:r>
      <w:r w:rsidRPr="00610401">
        <w:rPr>
          <w:noProof/>
        </w:rPr>
        <w:t>20 % tych obszarów ponownie nawodnionych do obliczania stopnia realizacji celów,</w:t>
      </w:r>
      <w:r w:rsidR="00610401" w:rsidRPr="00610401">
        <w:rPr>
          <w:noProof/>
        </w:rPr>
        <w:t xml:space="preserve"> o któ</w:t>
      </w:r>
      <w:r w:rsidRPr="00610401">
        <w:rPr>
          <w:noProof/>
        </w:rPr>
        <w:t>rych mowa</w:t>
      </w:r>
      <w:r w:rsidR="00610401" w:rsidRPr="00610401">
        <w:rPr>
          <w:noProof/>
        </w:rPr>
        <w:t xml:space="preserve"> w aka</w:t>
      </w:r>
      <w:r w:rsidRPr="00610401">
        <w:rPr>
          <w:noProof/>
        </w:rPr>
        <w:t>picie pierwszym lit.</w:t>
      </w:r>
      <w:r w:rsidR="00610401" w:rsidRPr="00610401">
        <w:rPr>
          <w:noProof/>
        </w:rPr>
        <w:t> </w:t>
      </w:r>
      <w:r w:rsidRPr="00610401">
        <w:rPr>
          <w:noProof/>
        </w:rPr>
        <w:t>a), b) i c).</w:t>
      </w:r>
      <w:r w:rsidRPr="00610401">
        <w:rPr>
          <w:rFonts w:ascii="Segoe UI" w:hAnsi="Segoe UI"/>
          <w:noProof/>
          <w:sz w:val="20"/>
        </w:rPr>
        <w:t xml:space="preserve"> </w:t>
      </w:r>
    </w:p>
    <w:p w:rsidR="00C00DA8" w:rsidRPr="00610401" w:rsidRDefault="00C00DA8" w:rsidP="00533D18">
      <w:pPr>
        <w:rPr>
          <w:noProof/>
        </w:rPr>
      </w:pPr>
    </w:p>
    <w:p w:rsidR="002A5F3A" w:rsidRPr="00610401" w:rsidRDefault="002A5F3A" w:rsidP="002A5F3A">
      <w:pPr>
        <w:jc w:val="center"/>
        <w:rPr>
          <w:rFonts w:eastAsia="Times New Roman"/>
          <w:i/>
          <w:iCs/>
          <w:noProof/>
          <w:szCs w:val="24"/>
        </w:rPr>
      </w:pPr>
    </w:p>
    <w:p w:rsidR="000C14B9" w:rsidRPr="00610401" w:rsidRDefault="002A5F3A" w:rsidP="003655B6">
      <w:pPr>
        <w:pStyle w:val="Titrearticle"/>
        <w:rPr>
          <w:b/>
          <w:i w:val="0"/>
          <w:noProof/>
        </w:rPr>
      </w:pPr>
      <w:r w:rsidRPr="00610401">
        <w:rPr>
          <w:noProof/>
        </w:rPr>
        <w:t xml:space="preserve">Artykuł 10 </w:t>
      </w:r>
      <w:r w:rsidRPr="00610401">
        <w:rPr>
          <w:noProof/>
        </w:rPr>
        <w:br/>
      </w:r>
      <w:r w:rsidRPr="00610401">
        <w:rPr>
          <w:b/>
          <w:i w:val="0"/>
          <w:noProof/>
        </w:rPr>
        <w:t>Odbudowa ekosystemów leśnych</w:t>
      </w:r>
    </w:p>
    <w:p w:rsidR="00E81D73" w:rsidRPr="00610401" w:rsidRDefault="009F5C98" w:rsidP="009F5C98">
      <w:pPr>
        <w:pStyle w:val="ManualNumPar1"/>
        <w:rPr>
          <w:noProof/>
        </w:rPr>
      </w:pPr>
      <w:r w:rsidRPr="009F5C98">
        <w:t>1.</w:t>
      </w:r>
      <w:r w:rsidRPr="009F5C98">
        <w:tab/>
      </w:r>
      <w:r w:rsidR="2C6B4BD0" w:rsidRPr="00610401">
        <w:rPr>
          <w:noProof/>
        </w:rPr>
        <w:t>Oprócz środków odbudowy, którymi objęte są obszary na mocy art.</w:t>
      </w:r>
      <w:r w:rsidR="00610401" w:rsidRPr="00610401">
        <w:rPr>
          <w:noProof/>
        </w:rPr>
        <w:t> </w:t>
      </w:r>
      <w:r w:rsidR="2C6B4BD0" w:rsidRPr="00610401">
        <w:rPr>
          <w:noProof/>
        </w:rPr>
        <w:t>4 ust.</w:t>
      </w:r>
      <w:r w:rsidR="00610401" w:rsidRPr="00610401">
        <w:rPr>
          <w:noProof/>
        </w:rPr>
        <w:t> </w:t>
      </w:r>
      <w:r w:rsidR="2C6B4BD0" w:rsidRPr="00610401">
        <w:rPr>
          <w:noProof/>
        </w:rPr>
        <w:t>1, 2</w:t>
      </w:r>
      <w:r w:rsidR="00610401" w:rsidRPr="00610401">
        <w:rPr>
          <w:noProof/>
        </w:rPr>
        <w:t xml:space="preserve"> i 3</w:t>
      </w:r>
      <w:r w:rsidR="2C6B4BD0" w:rsidRPr="00610401">
        <w:rPr>
          <w:noProof/>
        </w:rPr>
        <w:t>, państwa członkowskie wprowadzają środki odbudowy konieczne do zwiększenia różnorodności biologicznej ekosystemów leśnych.</w:t>
      </w:r>
    </w:p>
    <w:p w:rsidR="002A5F3A" w:rsidRPr="00610401" w:rsidRDefault="009F5C98" w:rsidP="009F5C98">
      <w:pPr>
        <w:pStyle w:val="ManualNumPar1"/>
        <w:rPr>
          <w:rFonts w:eastAsiaTheme="minorEastAsia"/>
          <w:noProof/>
        </w:rPr>
      </w:pPr>
      <w:r w:rsidRPr="009F5C98">
        <w:t>2.</w:t>
      </w:r>
      <w:r w:rsidRPr="009F5C98">
        <w:tab/>
      </w:r>
      <w:r w:rsidR="2C6B4BD0" w:rsidRPr="00610401">
        <w:rPr>
          <w:noProof/>
        </w:rPr>
        <w:t>Państwa członkowskie muszą osiągnąć tendencję wzrostową na poziomie krajowym</w:t>
      </w:r>
      <w:r w:rsidR="00610401" w:rsidRPr="00610401">
        <w:rPr>
          <w:noProof/>
        </w:rPr>
        <w:t xml:space="preserve"> w odn</w:t>
      </w:r>
      <w:r w:rsidR="2C6B4BD0" w:rsidRPr="00610401">
        <w:rPr>
          <w:noProof/>
        </w:rPr>
        <w:t>iesieniu do każdego</w:t>
      </w:r>
      <w:r w:rsidR="00610401" w:rsidRPr="00610401">
        <w:rPr>
          <w:noProof/>
        </w:rPr>
        <w:t xml:space="preserve"> z wym</w:t>
      </w:r>
      <w:r w:rsidR="2C6B4BD0" w:rsidRPr="00610401">
        <w:rPr>
          <w:noProof/>
        </w:rPr>
        <w:t>ienionych poniżej wskaźników</w:t>
      </w:r>
      <w:r w:rsidR="00610401" w:rsidRPr="00610401">
        <w:rPr>
          <w:noProof/>
        </w:rPr>
        <w:t xml:space="preserve"> w eko</w:t>
      </w:r>
      <w:r w:rsidR="2C6B4BD0" w:rsidRPr="00610401">
        <w:rPr>
          <w:noProof/>
        </w:rPr>
        <w:t>systemach leśnych, szczegółowo określonych</w:t>
      </w:r>
      <w:r w:rsidR="00610401" w:rsidRPr="00610401">
        <w:rPr>
          <w:noProof/>
        </w:rPr>
        <w:t xml:space="preserve"> w zał</w:t>
      </w:r>
      <w:r w:rsidR="2C6B4BD0" w:rsidRPr="00610401">
        <w:rPr>
          <w:noProof/>
        </w:rPr>
        <w:t>ączniku VI, mierzonych</w:t>
      </w:r>
      <w:r w:rsidR="00610401" w:rsidRPr="00610401">
        <w:rPr>
          <w:noProof/>
        </w:rPr>
        <w:t xml:space="preserve"> w okr</w:t>
      </w:r>
      <w:r w:rsidR="2C6B4BD0" w:rsidRPr="00610401">
        <w:rPr>
          <w:noProof/>
        </w:rPr>
        <w:t>esie od daty wejścia</w:t>
      </w:r>
      <w:r w:rsidR="00610401" w:rsidRPr="00610401">
        <w:rPr>
          <w:noProof/>
        </w:rPr>
        <w:t xml:space="preserve"> w życ</w:t>
      </w:r>
      <w:r w:rsidR="2C6B4BD0" w:rsidRPr="00610401">
        <w:rPr>
          <w:noProof/>
        </w:rPr>
        <w:t>ie niniejszego rozporządzenia do</w:t>
      </w:r>
      <w:r w:rsidR="00610401" w:rsidRPr="00610401">
        <w:rPr>
          <w:noProof/>
        </w:rPr>
        <w:t> </w:t>
      </w:r>
      <w:r w:rsidR="2C6B4BD0" w:rsidRPr="00610401">
        <w:rPr>
          <w:noProof/>
        </w:rPr>
        <w:t>31 grudnia 2030</w:t>
      </w:r>
      <w:r w:rsidR="00610401" w:rsidRPr="00610401">
        <w:rPr>
          <w:noProof/>
        </w:rPr>
        <w:t> </w:t>
      </w:r>
      <w:r w:rsidR="2C6B4BD0" w:rsidRPr="00610401">
        <w:rPr>
          <w:noProof/>
        </w:rPr>
        <w:t>r.,</w:t>
      </w:r>
      <w:r w:rsidR="00610401" w:rsidRPr="00610401">
        <w:rPr>
          <w:noProof/>
        </w:rPr>
        <w:t xml:space="preserve"> a nas</w:t>
      </w:r>
      <w:r w:rsidR="2C6B4BD0" w:rsidRPr="00610401">
        <w:rPr>
          <w:noProof/>
        </w:rPr>
        <w:t>tępnie co trzy lata, aż do osiągnięcia zadowalających poziomów, określonych zgodnie</w:t>
      </w:r>
      <w:r w:rsidR="00610401" w:rsidRPr="00610401">
        <w:rPr>
          <w:noProof/>
        </w:rPr>
        <w:t xml:space="preserve"> z art</w:t>
      </w:r>
      <w:r w:rsidR="2C6B4BD0" w:rsidRPr="00610401">
        <w:rPr>
          <w:noProof/>
        </w:rPr>
        <w:t>.</w:t>
      </w:r>
      <w:r w:rsidR="00610401" w:rsidRPr="00610401">
        <w:rPr>
          <w:noProof/>
        </w:rPr>
        <w:t> </w:t>
      </w:r>
      <w:r w:rsidR="2C6B4BD0" w:rsidRPr="00610401">
        <w:rPr>
          <w:noProof/>
        </w:rPr>
        <w:t>11 ust.</w:t>
      </w:r>
      <w:r w:rsidR="00610401" w:rsidRPr="00610401">
        <w:rPr>
          <w:noProof/>
        </w:rPr>
        <w:t> </w:t>
      </w:r>
      <w:r w:rsidR="2C6B4BD0" w:rsidRPr="00610401">
        <w:rPr>
          <w:noProof/>
        </w:rPr>
        <w:t>3:</w:t>
      </w:r>
    </w:p>
    <w:p w:rsidR="00A537A6" w:rsidRPr="00610401" w:rsidRDefault="00610401" w:rsidP="00610401">
      <w:pPr>
        <w:pStyle w:val="Point1"/>
        <w:rPr>
          <w:noProof/>
        </w:rPr>
      </w:pPr>
      <w:r w:rsidRPr="00610401">
        <w:rPr>
          <w:noProof/>
        </w:rPr>
        <w:t>a)</w:t>
      </w:r>
      <w:r w:rsidRPr="00610401">
        <w:rPr>
          <w:noProof/>
        </w:rPr>
        <w:tab/>
      </w:r>
      <w:r w:rsidR="00EE186C" w:rsidRPr="00610401">
        <w:rPr>
          <w:noProof/>
        </w:rPr>
        <w:t>stojące drewno posuszowe;</w:t>
      </w:r>
    </w:p>
    <w:p w:rsidR="00EE186C" w:rsidRPr="00610401" w:rsidRDefault="00610401" w:rsidP="00610401">
      <w:pPr>
        <w:pStyle w:val="Point1"/>
        <w:rPr>
          <w:noProof/>
        </w:rPr>
      </w:pPr>
      <w:r w:rsidRPr="00610401">
        <w:rPr>
          <w:noProof/>
        </w:rPr>
        <w:t>b)</w:t>
      </w:r>
      <w:r w:rsidRPr="00610401">
        <w:rPr>
          <w:noProof/>
        </w:rPr>
        <w:tab/>
      </w:r>
      <w:r w:rsidR="00EE186C" w:rsidRPr="00610401">
        <w:rPr>
          <w:noProof/>
        </w:rPr>
        <w:t>leżące drewno posuszowe;</w:t>
      </w:r>
    </w:p>
    <w:p w:rsidR="00A537A6" w:rsidRPr="00610401" w:rsidRDefault="00610401" w:rsidP="00610401">
      <w:pPr>
        <w:pStyle w:val="Point1"/>
        <w:rPr>
          <w:noProof/>
        </w:rPr>
      </w:pPr>
      <w:r w:rsidRPr="00610401">
        <w:rPr>
          <w:noProof/>
        </w:rPr>
        <w:t>c)</w:t>
      </w:r>
      <w:r w:rsidRPr="00610401">
        <w:rPr>
          <w:noProof/>
        </w:rPr>
        <w:tab/>
      </w:r>
      <w:r w:rsidR="0033668D" w:rsidRPr="00610401">
        <w:rPr>
          <w:noProof/>
        </w:rPr>
        <w:t>udział lasów różnowiekowych;</w:t>
      </w:r>
    </w:p>
    <w:p w:rsidR="00A537A6" w:rsidRPr="00610401" w:rsidRDefault="00610401" w:rsidP="00610401">
      <w:pPr>
        <w:pStyle w:val="Point1"/>
        <w:rPr>
          <w:noProof/>
        </w:rPr>
      </w:pPr>
      <w:r w:rsidRPr="00610401">
        <w:rPr>
          <w:noProof/>
        </w:rPr>
        <w:t>d)</w:t>
      </w:r>
      <w:r w:rsidRPr="00610401">
        <w:rPr>
          <w:noProof/>
        </w:rPr>
        <w:tab/>
      </w:r>
      <w:r w:rsidR="398CDD75" w:rsidRPr="00610401">
        <w:rPr>
          <w:noProof/>
        </w:rPr>
        <w:t>łączność leśna;</w:t>
      </w:r>
    </w:p>
    <w:p w:rsidR="009533B4" w:rsidRPr="00610401" w:rsidRDefault="00610401" w:rsidP="00610401">
      <w:pPr>
        <w:pStyle w:val="Point1"/>
        <w:rPr>
          <w:noProof/>
        </w:rPr>
      </w:pPr>
      <w:r w:rsidRPr="00610401">
        <w:rPr>
          <w:noProof/>
        </w:rPr>
        <w:t>e)</w:t>
      </w:r>
      <w:r w:rsidRPr="00610401">
        <w:rPr>
          <w:noProof/>
        </w:rPr>
        <w:tab/>
      </w:r>
      <w:r w:rsidR="007E6321" w:rsidRPr="00610401">
        <w:rPr>
          <w:noProof/>
        </w:rPr>
        <w:t xml:space="preserve">wskaźnik liczebności pospolitych ptaków leśnych; </w:t>
      </w:r>
    </w:p>
    <w:p w:rsidR="0033668D" w:rsidRPr="00610401" w:rsidRDefault="00610401" w:rsidP="00610401">
      <w:pPr>
        <w:pStyle w:val="Point1"/>
        <w:rPr>
          <w:noProof/>
        </w:rPr>
      </w:pPr>
      <w:r w:rsidRPr="00610401">
        <w:rPr>
          <w:noProof/>
        </w:rPr>
        <w:t>f)</w:t>
      </w:r>
      <w:r w:rsidRPr="00610401">
        <w:rPr>
          <w:noProof/>
        </w:rPr>
        <w:tab/>
      </w:r>
      <w:r w:rsidR="1CB32F45" w:rsidRPr="00610401">
        <w:rPr>
          <w:noProof/>
        </w:rPr>
        <w:t>zasoby węgla organicznego.</w:t>
      </w:r>
    </w:p>
    <w:p w:rsidR="000142EF" w:rsidRPr="00610401" w:rsidRDefault="000142EF" w:rsidP="002C3868">
      <w:pPr>
        <w:rPr>
          <w:noProof/>
        </w:rPr>
      </w:pPr>
    </w:p>
    <w:p w:rsidR="00B706A4" w:rsidRPr="00610401" w:rsidRDefault="008C0C11" w:rsidP="003E03D2">
      <w:pPr>
        <w:pStyle w:val="ChapterTitle"/>
        <w:rPr>
          <w:noProof/>
        </w:rPr>
      </w:pPr>
      <w:r w:rsidRPr="00610401">
        <w:rPr>
          <w:noProof/>
        </w:rPr>
        <w:t>ROZDZIAŁ III</w:t>
      </w:r>
    </w:p>
    <w:p w:rsidR="00B706A4" w:rsidRPr="00610401" w:rsidRDefault="00B706A4" w:rsidP="003E03D2">
      <w:pPr>
        <w:pStyle w:val="ChapterTitle"/>
        <w:rPr>
          <w:noProof/>
        </w:rPr>
      </w:pPr>
      <w:r w:rsidRPr="00610401">
        <w:rPr>
          <w:noProof/>
        </w:rPr>
        <w:t>KRAJOWE PLANY ODBUDOWY</w:t>
      </w:r>
    </w:p>
    <w:p w:rsidR="000C14B9" w:rsidRPr="00610401" w:rsidRDefault="00FB2AE2" w:rsidP="001324B9">
      <w:pPr>
        <w:pStyle w:val="Titrearticle"/>
        <w:rPr>
          <w:noProof/>
        </w:rPr>
      </w:pPr>
      <w:r w:rsidRPr="00610401">
        <w:rPr>
          <w:noProof/>
        </w:rPr>
        <w:t xml:space="preserve">Artykuł 11 </w:t>
      </w:r>
      <w:r w:rsidRPr="00610401">
        <w:rPr>
          <w:noProof/>
        </w:rPr>
        <w:br/>
      </w:r>
      <w:r w:rsidRPr="00610401">
        <w:rPr>
          <w:b/>
          <w:i w:val="0"/>
          <w:noProof/>
        </w:rPr>
        <w:t>Przygotowanie krajowych planów odbudowy</w:t>
      </w:r>
      <w:r w:rsidRPr="00610401">
        <w:rPr>
          <w:noProof/>
        </w:rPr>
        <w:t xml:space="preserve"> </w:t>
      </w:r>
    </w:p>
    <w:p w:rsidR="00E81D73" w:rsidRPr="00610401" w:rsidRDefault="009F5C98" w:rsidP="009F5C98">
      <w:pPr>
        <w:pStyle w:val="ManualNumPar1"/>
        <w:rPr>
          <w:noProof/>
        </w:rPr>
      </w:pPr>
      <w:r w:rsidRPr="009F5C98">
        <w:t>1.</w:t>
      </w:r>
      <w:r w:rsidRPr="009F5C98">
        <w:tab/>
      </w:r>
      <w:r w:rsidR="3DB27B85" w:rsidRPr="00610401">
        <w:rPr>
          <w:noProof/>
        </w:rPr>
        <w:t>Państwa członkowskie przygotowują krajowe plany odbudowy oraz przeprowadzają monitorowanie</w:t>
      </w:r>
      <w:r w:rsidR="00610401" w:rsidRPr="00610401">
        <w:rPr>
          <w:noProof/>
        </w:rPr>
        <w:t xml:space="preserve"> i bad</w:t>
      </w:r>
      <w:r w:rsidR="3DB27B85" w:rsidRPr="00610401">
        <w:rPr>
          <w:noProof/>
        </w:rPr>
        <w:t>ania przygotowawcze potrzebne do określenia środków odbudowy koniecznych do realizacji celów</w:t>
      </w:r>
      <w:r w:rsidR="00610401" w:rsidRPr="00610401">
        <w:rPr>
          <w:noProof/>
        </w:rPr>
        <w:t xml:space="preserve"> i obo</w:t>
      </w:r>
      <w:r w:rsidR="3DB27B85" w:rsidRPr="00610401">
        <w:rPr>
          <w:noProof/>
        </w:rPr>
        <w:t>wiązków określonych</w:t>
      </w:r>
      <w:r w:rsidR="00610401" w:rsidRPr="00610401">
        <w:rPr>
          <w:noProof/>
        </w:rPr>
        <w:t xml:space="preserve"> w art</w:t>
      </w:r>
      <w:r w:rsidR="3DB27B85" w:rsidRPr="00610401">
        <w:rPr>
          <w:noProof/>
        </w:rPr>
        <w:t>.</w:t>
      </w:r>
      <w:r w:rsidR="00610401" w:rsidRPr="00610401">
        <w:rPr>
          <w:noProof/>
        </w:rPr>
        <w:t> </w:t>
      </w:r>
      <w:r w:rsidR="3DB27B85" w:rsidRPr="00610401">
        <w:rPr>
          <w:noProof/>
        </w:rPr>
        <w:t>4–10,</w:t>
      </w:r>
      <w:r w:rsidR="00610401" w:rsidRPr="00610401">
        <w:rPr>
          <w:noProof/>
        </w:rPr>
        <w:t xml:space="preserve"> z uwz</w:t>
      </w:r>
      <w:r w:rsidR="3DB27B85" w:rsidRPr="00610401">
        <w:rPr>
          <w:noProof/>
        </w:rPr>
        <w:t xml:space="preserve">ględnieniem najnowszych dowodów naukowych. </w:t>
      </w:r>
    </w:p>
    <w:p w:rsidR="0075060A" w:rsidRPr="00610401" w:rsidRDefault="009F5C98" w:rsidP="009F5C98">
      <w:pPr>
        <w:pStyle w:val="ManualNumPar1"/>
        <w:rPr>
          <w:noProof/>
        </w:rPr>
      </w:pPr>
      <w:r w:rsidRPr="009F5C98">
        <w:t>2.</w:t>
      </w:r>
      <w:r w:rsidRPr="009F5C98">
        <w:tab/>
      </w:r>
      <w:r w:rsidR="00116625" w:rsidRPr="00610401">
        <w:rPr>
          <w:noProof/>
        </w:rPr>
        <w:t>Państwa członkowskie określają ilościowo obszar, który należy odbudować, aby osiągnąć cele</w:t>
      </w:r>
      <w:r w:rsidR="00610401" w:rsidRPr="00610401">
        <w:rPr>
          <w:noProof/>
        </w:rPr>
        <w:t xml:space="preserve"> w zak</w:t>
      </w:r>
      <w:r w:rsidR="00116625" w:rsidRPr="00610401">
        <w:rPr>
          <w:noProof/>
        </w:rPr>
        <w:t>resie odbudowy określone</w:t>
      </w:r>
      <w:r w:rsidR="00610401" w:rsidRPr="00610401">
        <w:rPr>
          <w:noProof/>
        </w:rPr>
        <w:t xml:space="preserve"> w art</w:t>
      </w:r>
      <w:r w:rsidR="00116625" w:rsidRPr="00610401">
        <w:rPr>
          <w:noProof/>
        </w:rPr>
        <w:t>.</w:t>
      </w:r>
      <w:r w:rsidR="00610401" w:rsidRPr="00610401">
        <w:rPr>
          <w:noProof/>
        </w:rPr>
        <w:t> </w:t>
      </w:r>
      <w:r w:rsidR="00116625" w:rsidRPr="00610401">
        <w:rPr>
          <w:noProof/>
        </w:rPr>
        <w:t>4</w:t>
      </w:r>
      <w:r w:rsidR="00610401" w:rsidRPr="00610401">
        <w:rPr>
          <w:noProof/>
        </w:rPr>
        <w:t xml:space="preserve"> i 5</w:t>
      </w:r>
      <w:r w:rsidR="00116625" w:rsidRPr="00610401">
        <w:rPr>
          <w:noProof/>
        </w:rPr>
        <w:t>, uwzględniając stan typów siedlisk,</w:t>
      </w:r>
      <w:r w:rsidR="00610401" w:rsidRPr="00610401">
        <w:rPr>
          <w:noProof/>
        </w:rPr>
        <w:t xml:space="preserve"> o któ</w:t>
      </w:r>
      <w:r w:rsidR="00116625" w:rsidRPr="00610401">
        <w:rPr>
          <w:noProof/>
        </w:rPr>
        <w:t>rych mowa</w:t>
      </w:r>
      <w:r w:rsidR="00610401" w:rsidRPr="00610401">
        <w:rPr>
          <w:noProof/>
        </w:rPr>
        <w:t xml:space="preserve"> w art</w:t>
      </w:r>
      <w:r w:rsidR="00116625" w:rsidRPr="00610401">
        <w:rPr>
          <w:noProof/>
        </w:rPr>
        <w:t>.</w:t>
      </w:r>
      <w:r w:rsidR="00610401" w:rsidRPr="00610401">
        <w:rPr>
          <w:noProof/>
        </w:rPr>
        <w:t> </w:t>
      </w:r>
      <w:r w:rsidR="00116625" w:rsidRPr="00610401">
        <w:rPr>
          <w:noProof/>
        </w:rPr>
        <w:t>4 ust.</w:t>
      </w:r>
      <w:r w:rsidR="00610401" w:rsidRPr="00610401">
        <w:rPr>
          <w:noProof/>
        </w:rPr>
        <w:t> </w:t>
      </w:r>
      <w:r w:rsidR="00116625" w:rsidRPr="00610401">
        <w:rPr>
          <w:noProof/>
        </w:rPr>
        <w:t>1</w:t>
      </w:r>
      <w:r w:rsidR="00610401" w:rsidRPr="00610401">
        <w:rPr>
          <w:noProof/>
        </w:rPr>
        <w:t xml:space="preserve"> i 2</w:t>
      </w:r>
      <w:r w:rsidR="00116625" w:rsidRPr="00610401">
        <w:rPr>
          <w:noProof/>
        </w:rPr>
        <w:t xml:space="preserve"> oraz art.</w:t>
      </w:r>
      <w:r w:rsidR="00610401" w:rsidRPr="00610401">
        <w:rPr>
          <w:noProof/>
        </w:rPr>
        <w:t> </w:t>
      </w:r>
      <w:r w:rsidR="00116625" w:rsidRPr="00610401">
        <w:rPr>
          <w:noProof/>
        </w:rPr>
        <w:t>5 ust.</w:t>
      </w:r>
      <w:r w:rsidR="00610401" w:rsidRPr="00610401">
        <w:rPr>
          <w:noProof/>
        </w:rPr>
        <w:t> </w:t>
      </w:r>
      <w:r w:rsidR="00116625" w:rsidRPr="00610401">
        <w:rPr>
          <w:noProof/>
        </w:rPr>
        <w:t>1</w:t>
      </w:r>
      <w:r w:rsidR="00610401" w:rsidRPr="00610401">
        <w:rPr>
          <w:noProof/>
        </w:rPr>
        <w:t xml:space="preserve"> i 2</w:t>
      </w:r>
      <w:r w:rsidR="00116625" w:rsidRPr="00610401">
        <w:rPr>
          <w:noProof/>
        </w:rPr>
        <w:t>,</w:t>
      </w:r>
      <w:r w:rsidR="00610401" w:rsidRPr="00610401">
        <w:rPr>
          <w:noProof/>
        </w:rPr>
        <w:t xml:space="preserve"> a tak</w:t>
      </w:r>
      <w:r w:rsidR="00116625" w:rsidRPr="00610401">
        <w:rPr>
          <w:noProof/>
        </w:rPr>
        <w:t>że jakości</w:t>
      </w:r>
      <w:r w:rsidR="00610401" w:rsidRPr="00610401">
        <w:rPr>
          <w:noProof/>
        </w:rPr>
        <w:t xml:space="preserve"> i wie</w:t>
      </w:r>
      <w:r w:rsidR="00116625" w:rsidRPr="00610401">
        <w:rPr>
          <w:noProof/>
        </w:rPr>
        <w:t>lkości siedlisk gatunków,</w:t>
      </w:r>
      <w:r w:rsidR="00610401" w:rsidRPr="00610401">
        <w:rPr>
          <w:noProof/>
        </w:rPr>
        <w:t xml:space="preserve"> o któ</w:t>
      </w:r>
      <w:r w:rsidR="00116625" w:rsidRPr="00610401">
        <w:rPr>
          <w:noProof/>
        </w:rPr>
        <w:t>rych mowa</w:t>
      </w:r>
      <w:r w:rsidR="00610401" w:rsidRPr="00610401">
        <w:rPr>
          <w:noProof/>
        </w:rPr>
        <w:t xml:space="preserve"> w art</w:t>
      </w:r>
      <w:r w:rsidR="00116625" w:rsidRPr="00610401">
        <w:rPr>
          <w:noProof/>
        </w:rPr>
        <w:t>.</w:t>
      </w:r>
      <w:r w:rsidR="00610401" w:rsidRPr="00610401">
        <w:rPr>
          <w:noProof/>
        </w:rPr>
        <w:t> </w:t>
      </w:r>
      <w:r w:rsidR="00116625" w:rsidRPr="00610401">
        <w:rPr>
          <w:noProof/>
        </w:rPr>
        <w:t>4 ust.</w:t>
      </w:r>
      <w:r w:rsidR="00610401" w:rsidRPr="00610401">
        <w:rPr>
          <w:noProof/>
        </w:rPr>
        <w:t> </w:t>
      </w:r>
      <w:r w:rsidR="00116625" w:rsidRPr="00610401">
        <w:rPr>
          <w:noProof/>
        </w:rPr>
        <w:t>3</w:t>
      </w:r>
      <w:r w:rsidR="00610401" w:rsidRPr="00610401">
        <w:rPr>
          <w:noProof/>
        </w:rPr>
        <w:t xml:space="preserve"> i art</w:t>
      </w:r>
      <w:r w:rsidR="00116625" w:rsidRPr="00610401">
        <w:rPr>
          <w:noProof/>
        </w:rPr>
        <w:t>.</w:t>
      </w:r>
      <w:r w:rsidR="00610401" w:rsidRPr="00610401">
        <w:rPr>
          <w:noProof/>
        </w:rPr>
        <w:t> </w:t>
      </w:r>
      <w:r w:rsidR="00116625" w:rsidRPr="00610401">
        <w:rPr>
          <w:noProof/>
        </w:rPr>
        <w:t>5 ust.</w:t>
      </w:r>
      <w:r w:rsidR="00610401" w:rsidRPr="00610401">
        <w:rPr>
          <w:noProof/>
        </w:rPr>
        <w:t> </w:t>
      </w:r>
      <w:r w:rsidR="00116625" w:rsidRPr="00610401">
        <w:rPr>
          <w:noProof/>
        </w:rPr>
        <w:t xml:space="preserve">3, występujących na ich terytorium. Określenie ilościowe opiera się między innymi na następujących informacjach: </w:t>
      </w:r>
    </w:p>
    <w:p w:rsidR="0075060A" w:rsidRPr="00610401" w:rsidRDefault="00610401" w:rsidP="00610401">
      <w:pPr>
        <w:pStyle w:val="Point1"/>
        <w:rPr>
          <w:noProof/>
        </w:rPr>
      </w:pPr>
      <w:r>
        <w:rPr>
          <w:noProof/>
        </w:rPr>
        <w:t>a)</w:t>
      </w:r>
      <w:r>
        <w:rPr>
          <w:noProof/>
        </w:rPr>
        <w:tab/>
      </w:r>
      <w:r w:rsidR="00D12347" w:rsidRPr="00610401">
        <w:rPr>
          <w:noProof/>
        </w:rPr>
        <w:t>w odniesieniu do każdego typu siedliska:</w:t>
      </w:r>
    </w:p>
    <w:p w:rsidR="00C759A9" w:rsidRPr="00610401" w:rsidRDefault="00577F48" w:rsidP="00032C27">
      <w:pPr>
        <w:pStyle w:val="Point2"/>
        <w:rPr>
          <w:noProof/>
        </w:rPr>
      </w:pPr>
      <w:r w:rsidRPr="00610401">
        <w:rPr>
          <w:noProof/>
        </w:rPr>
        <w:t>(i) całkowity obszar siedliska</w:t>
      </w:r>
      <w:r w:rsidR="00610401" w:rsidRPr="00610401">
        <w:rPr>
          <w:noProof/>
        </w:rPr>
        <w:t xml:space="preserve"> i map</w:t>
      </w:r>
      <w:r w:rsidRPr="00610401">
        <w:rPr>
          <w:noProof/>
        </w:rPr>
        <w:t>a jego obecnego rozmieszczenia;</w:t>
      </w:r>
    </w:p>
    <w:p w:rsidR="0075060A" w:rsidRPr="00610401" w:rsidRDefault="00577F48" w:rsidP="00032C27">
      <w:pPr>
        <w:pStyle w:val="Point2"/>
        <w:rPr>
          <w:noProof/>
        </w:rPr>
      </w:pPr>
      <w:r w:rsidRPr="00610401">
        <w:rPr>
          <w:noProof/>
        </w:rPr>
        <w:t>(ii) obszar siedliska, którego stan nie jest dobry;</w:t>
      </w:r>
    </w:p>
    <w:p w:rsidR="44D080C6" w:rsidRPr="00610401" w:rsidRDefault="00577F48" w:rsidP="30989DA8">
      <w:pPr>
        <w:pStyle w:val="Point2"/>
        <w:rPr>
          <w:rFonts w:eastAsia="Calibri"/>
          <w:noProof/>
          <w:szCs w:val="24"/>
        </w:rPr>
      </w:pPr>
      <w:r w:rsidRPr="00610401">
        <w:rPr>
          <w:noProof/>
        </w:rPr>
        <w:t>(iii) właściwy obszar odniesienia,</w:t>
      </w:r>
      <w:r w:rsidR="00610401" w:rsidRPr="00610401">
        <w:rPr>
          <w:noProof/>
        </w:rPr>
        <w:t xml:space="preserve"> z uwz</w:t>
      </w:r>
      <w:r w:rsidRPr="00610401">
        <w:rPr>
          <w:noProof/>
        </w:rPr>
        <w:t>ględnieniem udokumentowanej utraty, do której doszło od co najmniej ostatnich 70 lat, oraz prognozowane zmiany warunków środowiskowych wynikające ze zmiany klimatu;</w:t>
      </w:r>
    </w:p>
    <w:p w:rsidR="44D080C6" w:rsidRPr="00610401" w:rsidRDefault="00577F48" w:rsidP="71D9331E">
      <w:pPr>
        <w:pStyle w:val="Point2"/>
        <w:rPr>
          <w:rFonts w:eastAsia="Calibri"/>
          <w:noProof/>
          <w:szCs w:val="24"/>
        </w:rPr>
      </w:pPr>
      <w:r w:rsidRPr="00610401">
        <w:rPr>
          <w:noProof/>
        </w:rPr>
        <w:t>(iv) obszary najbardziej odpowiednie do przywrócenia na nich typów siedlisk, mając na uwadze zachodzące</w:t>
      </w:r>
      <w:r w:rsidR="00610401" w:rsidRPr="00610401">
        <w:rPr>
          <w:noProof/>
        </w:rPr>
        <w:t xml:space="preserve"> i pro</w:t>
      </w:r>
      <w:r w:rsidRPr="00610401">
        <w:rPr>
          <w:noProof/>
        </w:rPr>
        <w:t>gnozowane zmiany warunków środowiskowych wynikające ze zmiany klimatu;</w:t>
      </w:r>
    </w:p>
    <w:p w:rsidR="0075060A" w:rsidRPr="00610401" w:rsidRDefault="00610401" w:rsidP="00610401">
      <w:pPr>
        <w:pStyle w:val="Point1"/>
        <w:rPr>
          <w:noProof/>
        </w:rPr>
      </w:pPr>
      <w:r>
        <w:rPr>
          <w:noProof/>
        </w:rPr>
        <w:t>b)</w:t>
      </w:r>
      <w:r>
        <w:rPr>
          <w:noProof/>
        </w:rPr>
        <w:tab/>
      </w:r>
      <w:r w:rsidR="19C55A58" w:rsidRPr="00610401">
        <w:rPr>
          <w:noProof/>
        </w:rPr>
        <w:t>wystarczająca jakość</w:t>
      </w:r>
      <w:r w:rsidRPr="00610401">
        <w:rPr>
          <w:noProof/>
        </w:rPr>
        <w:t xml:space="preserve"> i wie</w:t>
      </w:r>
      <w:r w:rsidR="19C55A58" w:rsidRPr="00610401">
        <w:rPr>
          <w:noProof/>
        </w:rPr>
        <w:t>lkość siedlisk gatunków wymagane do osiągnięcia właściwego stanu ochrony tych siedlisk gatunków,</w:t>
      </w:r>
      <w:r w:rsidRPr="00610401">
        <w:rPr>
          <w:noProof/>
        </w:rPr>
        <w:t xml:space="preserve"> z uwz</w:t>
      </w:r>
      <w:r w:rsidR="19C55A58" w:rsidRPr="00610401">
        <w:rPr>
          <w:noProof/>
        </w:rPr>
        <w:t>ględnieniem obszarów najbardziej odpowiednich do przywrócenia na nich tych siedlisk, oraz niezbędnej łączności pomiędzy siedliskami, aby populacje tych gatunków mogły się rozwijać, jak również zachodzących</w:t>
      </w:r>
      <w:r w:rsidRPr="00610401">
        <w:rPr>
          <w:noProof/>
        </w:rPr>
        <w:t xml:space="preserve"> i pro</w:t>
      </w:r>
      <w:r w:rsidR="19C55A58" w:rsidRPr="00610401">
        <w:rPr>
          <w:noProof/>
        </w:rPr>
        <w:t>gnozowanych zmian warunków środowiskowych wynikających ze zmiany klimatu.</w:t>
      </w:r>
    </w:p>
    <w:p w:rsidR="00BC31EC" w:rsidRPr="00610401" w:rsidRDefault="009F5C98" w:rsidP="009F5C98">
      <w:pPr>
        <w:pStyle w:val="ManualNumPar1"/>
        <w:rPr>
          <w:noProof/>
          <w:color w:val="000000" w:themeColor="text1"/>
        </w:rPr>
      </w:pPr>
      <w:r w:rsidRPr="009F5C98">
        <w:t>3.</w:t>
      </w:r>
      <w:r w:rsidRPr="009F5C98">
        <w:tab/>
      </w:r>
      <w:r w:rsidR="00BC31EC" w:rsidRPr="00610401">
        <w:rPr>
          <w:noProof/>
        </w:rPr>
        <w:t>Państwa członkowskie najpóźniej do</w:t>
      </w:r>
      <w:r w:rsidR="00610401" w:rsidRPr="00610401">
        <w:rPr>
          <w:noProof/>
        </w:rPr>
        <w:t> </w:t>
      </w:r>
      <w:r w:rsidR="00BC31EC" w:rsidRPr="00610401">
        <w:rPr>
          <w:noProof/>
        </w:rPr>
        <w:t>2030</w:t>
      </w:r>
      <w:r w:rsidR="00610401" w:rsidRPr="00610401">
        <w:rPr>
          <w:noProof/>
        </w:rPr>
        <w:t> </w:t>
      </w:r>
      <w:r w:rsidR="00BC31EC" w:rsidRPr="00610401">
        <w:rPr>
          <w:noProof/>
        </w:rPr>
        <w:t>r. określają zadowalające poziomy poszczególnych wskaźników,</w:t>
      </w:r>
      <w:r w:rsidR="00610401" w:rsidRPr="00610401">
        <w:rPr>
          <w:noProof/>
        </w:rPr>
        <w:t xml:space="preserve"> o któ</w:t>
      </w:r>
      <w:r w:rsidR="00BC31EC" w:rsidRPr="00610401">
        <w:rPr>
          <w:noProof/>
        </w:rPr>
        <w:t>rych mowa</w:t>
      </w:r>
      <w:r w:rsidR="00610401" w:rsidRPr="00610401">
        <w:rPr>
          <w:noProof/>
        </w:rPr>
        <w:t xml:space="preserve"> w art</w:t>
      </w:r>
      <w:r w:rsidR="00BC31EC" w:rsidRPr="00610401">
        <w:rPr>
          <w:noProof/>
        </w:rPr>
        <w:t>.</w:t>
      </w:r>
      <w:r w:rsidR="00610401" w:rsidRPr="00610401">
        <w:rPr>
          <w:noProof/>
        </w:rPr>
        <w:t> </w:t>
      </w:r>
      <w:r w:rsidR="00BC31EC" w:rsidRPr="00610401">
        <w:rPr>
          <w:noProof/>
        </w:rPr>
        <w:t>8 ust.</w:t>
      </w:r>
      <w:r w:rsidR="00610401" w:rsidRPr="00610401">
        <w:rPr>
          <w:noProof/>
        </w:rPr>
        <w:t> </w:t>
      </w:r>
      <w:r w:rsidR="00BC31EC" w:rsidRPr="00610401">
        <w:rPr>
          <w:noProof/>
        </w:rPr>
        <w:t>1, art.</w:t>
      </w:r>
      <w:r w:rsidR="00610401" w:rsidRPr="00610401">
        <w:rPr>
          <w:noProof/>
        </w:rPr>
        <w:t> </w:t>
      </w:r>
      <w:r w:rsidR="00BC31EC" w:rsidRPr="00610401">
        <w:rPr>
          <w:noProof/>
        </w:rPr>
        <w:t>9 ust.</w:t>
      </w:r>
      <w:r w:rsidR="00610401" w:rsidRPr="00610401">
        <w:rPr>
          <w:noProof/>
        </w:rPr>
        <w:t> </w:t>
      </w:r>
      <w:r w:rsidR="00BC31EC" w:rsidRPr="00610401">
        <w:rPr>
          <w:noProof/>
        </w:rPr>
        <w:t>2</w:t>
      </w:r>
      <w:r w:rsidR="00610401" w:rsidRPr="00610401">
        <w:rPr>
          <w:noProof/>
        </w:rPr>
        <w:t xml:space="preserve"> i art</w:t>
      </w:r>
      <w:r w:rsidR="00BC31EC" w:rsidRPr="00610401">
        <w:rPr>
          <w:noProof/>
        </w:rPr>
        <w:t>.</w:t>
      </w:r>
      <w:r w:rsidR="00610401" w:rsidRPr="00610401">
        <w:rPr>
          <w:noProof/>
        </w:rPr>
        <w:t> </w:t>
      </w:r>
      <w:r w:rsidR="00BC31EC" w:rsidRPr="00610401">
        <w:rPr>
          <w:noProof/>
        </w:rPr>
        <w:t>10 ust.</w:t>
      </w:r>
      <w:r w:rsidR="00610401" w:rsidRPr="00610401">
        <w:rPr>
          <w:noProof/>
        </w:rPr>
        <w:t> </w:t>
      </w:r>
      <w:r w:rsidR="00BC31EC" w:rsidRPr="00610401">
        <w:rPr>
          <w:noProof/>
        </w:rPr>
        <w:t>2,</w:t>
      </w:r>
      <w:r w:rsidR="00610401" w:rsidRPr="00610401">
        <w:rPr>
          <w:noProof/>
        </w:rPr>
        <w:t xml:space="preserve"> w dro</w:t>
      </w:r>
      <w:r w:rsidR="00BC31EC" w:rsidRPr="00610401">
        <w:rPr>
          <w:noProof/>
        </w:rPr>
        <w:t xml:space="preserve">dze </w:t>
      </w:r>
      <w:r w:rsidR="00BC31EC" w:rsidRPr="00610401">
        <w:rPr>
          <w:noProof/>
          <w:color w:val="000000" w:themeColor="text1"/>
        </w:rPr>
        <w:t>otwartej</w:t>
      </w:r>
      <w:r w:rsidR="00610401" w:rsidRPr="00610401">
        <w:rPr>
          <w:noProof/>
          <w:color w:val="000000" w:themeColor="text1"/>
        </w:rPr>
        <w:t xml:space="preserve"> i sku</w:t>
      </w:r>
      <w:r w:rsidR="00BC31EC" w:rsidRPr="00610401">
        <w:rPr>
          <w:noProof/>
          <w:color w:val="000000" w:themeColor="text1"/>
        </w:rPr>
        <w:t>tecznej procedury</w:t>
      </w:r>
      <w:r w:rsidR="00610401" w:rsidRPr="00610401">
        <w:rPr>
          <w:noProof/>
          <w:color w:val="000000" w:themeColor="text1"/>
        </w:rPr>
        <w:t xml:space="preserve"> i oce</w:t>
      </w:r>
      <w:r w:rsidR="00BC31EC" w:rsidRPr="00610401">
        <w:rPr>
          <w:noProof/>
          <w:color w:val="000000" w:themeColor="text1"/>
        </w:rPr>
        <w:t>ny,</w:t>
      </w:r>
      <w:r w:rsidR="00610401" w:rsidRPr="00610401">
        <w:rPr>
          <w:noProof/>
          <w:color w:val="000000" w:themeColor="text1"/>
        </w:rPr>
        <w:t xml:space="preserve"> w opa</w:t>
      </w:r>
      <w:r w:rsidR="00BC31EC" w:rsidRPr="00610401">
        <w:rPr>
          <w:noProof/>
          <w:color w:val="000000" w:themeColor="text1"/>
        </w:rPr>
        <w:t>rciu</w:t>
      </w:r>
      <w:r w:rsidR="00610401" w:rsidRPr="00610401">
        <w:rPr>
          <w:noProof/>
          <w:color w:val="000000" w:themeColor="text1"/>
        </w:rPr>
        <w:t xml:space="preserve"> o naj</w:t>
      </w:r>
      <w:r w:rsidR="00BC31EC" w:rsidRPr="00610401">
        <w:rPr>
          <w:noProof/>
          <w:color w:val="000000" w:themeColor="text1"/>
        </w:rPr>
        <w:t>nowsze dowody naukowe oraz – jeśli istnieją</w:t>
      </w:r>
      <w:r w:rsidR="00BC31EC" w:rsidRPr="00610401">
        <w:rPr>
          <w:noProof/>
        </w:rPr>
        <w:t xml:space="preserve"> – ramy,</w:t>
      </w:r>
      <w:r w:rsidR="00610401" w:rsidRPr="00610401">
        <w:rPr>
          <w:noProof/>
        </w:rPr>
        <w:t xml:space="preserve"> o któ</w:t>
      </w:r>
      <w:r w:rsidR="00BC31EC" w:rsidRPr="00610401">
        <w:rPr>
          <w:noProof/>
        </w:rPr>
        <w:t>rych mowa</w:t>
      </w:r>
      <w:r w:rsidR="00610401" w:rsidRPr="00610401">
        <w:rPr>
          <w:noProof/>
        </w:rPr>
        <w:t xml:space="preserve"> w art</w:t>
      </w:r>
      <w:r w:rsidR="00BC31EC" w:rsidRPr="00610401">
        <w:rPr>
          <w:noProof/>
        </w:rPr>
        <w:t>.</w:t>
      </w:r>
      <w:r w:rsidR="00610401" w:rsidRPr="00610401">
        <w:rPr>
          <w:noProof/>
        </w:rPr>
        <w:t> </w:t>
      </w:r>
      <w:r w:rsidR="00BC31EC" w:rsidRPr="00610401">
        <w:rPr>
          <w:noProof/>
        </w:rPr>
        <w:t>17 ust.</w:t>
      </w:r>
      <w:r w:rsidR="00610401" w:rsidRPr="00610401">
        <w:rPr>
          <w:noProof/>
        </w:rPr>
        <w:t> </w:t>
      </w:r>
      <w:r w:rsidR="00BC31EC" w:rsidRPr="00610401">
        <w:rPr>
          <w:noProof/>
        </w:rPr>
        <w:t>9</w:t>
      </w:r>
      <w:r w:rsidR="00BC31EC" w:rsidRPr="00610401">
        <w:rPr>
          <w:noProof/>
          <w:color w:val="000000" w:themeColor="text1"/>
        </w:rPr>
        <w:t>.</w:t>
      </w:r>
    </w:p>
    <w:p w:rsidR="00D8335A" w:rsidRPr="00610401" w:rsidRDefault="009F5C98" w:rsidP="009F5C98">
      <w:pPr>
        <w:pStyle w:val="ManualNumPar1"/>
        <w:rPr>
          <w:noProof/>
          <w:color w:val="000000" w:themeColor="text1"/>
        </w:rPr>
      </w:pPr>
      <w:r w:rsidRPr="009F5C98">
        <w:t>4.</w:t>
      </w:r>
      <w:r w:rsidRPr="009F5C98">
        <w:tab/>
      </w:r>
      <w:r w:rsidR="00D8335A" w:rsidRPr="00610401">
        <w:rPr>
          <w:noProof/>
        </w:rPr>
        <w:t>Państwa członkowskie identyfikują</w:t>
      </w:r>
      <w:r w:rsidR="00610401" w:rsidRPr="00610401">
        <w:rPr>
          <w:noProof/>
        </w:rPr>
        <w:t xml:space="preserve"> i map</w:t>
      </w:r>
      <w:r w:rsidR="00D8335A" w:rsidRPr="00610401">
        <w:rPr>
          <w:noProof/>
        </w:rPr>
        <w:t>ują użytki rolne</w:t>
      </w:r>
      <w:r w:rsidR="00610401" w:rsidRPr="00610401">
        <w:rPr>
          <w:noProof/>
        </w:rPr>
        <w:t xml:space="preserve"> i obs</w:t>
      </w:r>
      <w:r w:rsidR="00D8335A" w:rsidRPr="00610401">
        <w:rPr>
          <w:noProof/>
        </w:rPr>
        <w:t>zary leśne wymagające odbudowy,</w:t>
      </w:r>
      <w:r w:rsidR="00610401" w:rsidRPr="00610401">
        <w:rPr>
          <w:noProof/>
        </w:rPr>
        <w:t xml:space="preserve"> w szc</w:t>
      </w:r>
      <w:r w:rsidR="00D8335A" w:rsidRPr="00610401">
        <w:rPr>
          <w:noProof/>
        </w:rPr>
        <w:t>zególności obszary, które</w:t>
      </w:r>
      <w:r w:rsidR="00610401" w:rsidRPr="00610401">
        <w:rPr>
          <w:noProof/>
        </w:rPr>
        <w:t xml:space="preserve"> z pow</w:t>
      </w:r>
      <w:r w:rsidR="00D8335A" w:rsidRPr="00610401">
        <w:rPr>
          <w:noProof/>
        </w:rPr>
        <w:t>odu intensyfikacji lub innych czynników wynikających</w:t>
      </w:r>
      <w:r w:rsidR="00610401" w:rsidRPr="00610401">
        <w:rPr>
          <w:noProof/>
        </w:rPr>
        <w:t xml:space="preserve"> z gos</w:t>
      </w:r>
      <w:r w:rsidR="00D8335A" w:rsidRPr="00610401">
        <w:rPr>
          <w:noProof/>
        </w:rPr>
        <w:t>podarowania wymagają lepszej łączności</w:t>
      </w:r>
      <w:r w:rsidR="00610401" w:rsidRPr="00610401">
        <w:rPr>
          <w:noProof/>
        </w:rPr>
        <w:t xml:space="preserve"> i wię</w:t>
      </w:r>
      <w:r w:rsidR="00D8335A" w:rsidRPr="00610401">
        <w:rPr>
          <w:noProof/>
        </w:rPr>
        <w:t>kszej różnorodności krajobrazu.</w:t>
      </w:r>
    </w:p>
    <w:p w:rsidR="00FA2B2E" w:rsidRPr="00610401" w:rsidRDefault="009F5C98" w:rsidP="009F5C98">
      <w:pPr>
        <w:pStyle w:val="ManualNumPar1"/>
        <w:rPr>
          <w:noProof/>
        </w:rPr>
      </w:pPr>
      <w:r w:rsidRPr="009F5C98">
        <w:t>5.</w:t>
      </w:r>
      <w:r w:rsidRPr="009F5C98">
        <w:tab/>
      </w:r>
      <w:r w:rsidR="49C6BE9A" w:rsidRPr="00610401">
        <w:rPr>
          <w:noProof/>
        </w:rPr>
        <w:t>Państwa członkowskie identyfikują synergie</w:t>
      </w:r>
      <w:r w:rsidR="00610401" w:rsidRPr="00610401">
        <w:rPr>
          <w:noProof/>
        </w:rPr>
        <w:t xml:space="preserve"> z dzi</w:t>
      </w:r>
      <w:r w:rsidR="49C6BE9A" w:rsidRPr="00610401">
        <w:rPr>
          <w:noProof/>
        </w:rPr>
        <w:t>ałaniami na rzecz łagodzenia zmiany klimatu, przystosowania się do zmiany klimatu</w:t>
      </w:r>
      <w:r w:rsidR="00610401" w:rsidRPr="00610401">
        <w:rPr>
          <w:noProof/>
        </w:rPr>
        <w:t xml:space="preserve"> i zap</w:t>
      </w:r>
      <w:r w:rsidR="49C6BE9A" w:rsidRPr="00610401">
        <w:rPr>
          <w:noProof/>
        </w:rPr>
        <w:t>obiegania klęskom żywiołowym oraz nadają odpowiedni priorytet środkom odbudowy. Państwa członkowskie uwzględniają również:</w:t>
      </w:r>
    </w:p>
    <w:p w:rsidR="00FA2B2E" w:rsidRPr="00610401" w:rsidRDefault="00610401" w:rsidP="00610401">
      <w:pPr>
        <w:pStyle w:val="Point1"/>
        <w:rPr>
          <w:noProof/>
        </w:rPr>
      </w:pPr>
      <w:r w:rsidRPr="00610401">
        <w:rPr>
          <w:noProof/>
        </w:rPr>
        <w:t>a)</w:t>
      </w:r>
      <w:r w:rsidRPr="00610401">
        <w:rPr>
          <w:noProof/>
        </w:rPr>
        <w:tab/>
      </w:r>
      <w:r w:rsidR="001D019E" w:rsidRPr="00610401">
        <w:rPr>
          <w:noProof/>
        </w:rPr>
        <w:t>swoje zintegrowane krajowe plany</w:t>
      </w:r>
      <w:r w:rsidRPr="00610401">
        <w:rPr>
          <w:noProof/>
        </w:rPr>
        <w:t xml:space="preserve"> w dzi</w:t>
      </w:r>
      <w:r w:rsidR="001D019E" w:rsidRPr="00610401">
        <w:rPr>
          <w:noProof/>
        </w:rPr>
        <w:t>edzinie energii</w:t>
      </w:r>
      <w:r w:rsidRPr="00610401">
        <w:rPr>
          <w:noProof/>
        </w:rPr>
        <w:t xml:space="preserve"> i kli</w:t>
      </w:r>
      <w:r w:rsidR="001D019E" w:rsidRPr="00610401">
        <w:rPr>
          <w:noProof/>
        </w:rPr>
        <w:t>matu,</w:t>
      </w:r>
      <w:r w:rsidRPr="00610401">
        <w:rPr>
          <w:noProof/>
        </w:rPr>
        <w:t xml:space="preserve"> o któ</w:t>
      </w:r>
      <w:r w:rsidR="001D019E" w:rsidRPr="00610401">
        <w:rPr>
          <w:noProof/>
        </w:rPr>
        <w:t>rych mowa</w:t>
      </w:r>
      <w:r w:rsidRPr="00610401">
        <w:rPr>
          <w:noProof/>
        </w:rPr>
        <w:t xml:space="preserve"> w art</w:t>
      </w:r>
      <w:r w:rsidR="001D019E" w:rsidRPr="00610401">
        <w:rPr>
          <w:noProof/>
        </w:rPr>
        <w:t>.</w:t>
      </w:r>
      <w:r w:rsidRPr="00610401">
        <w:rPr>
          <w:noProof/>
        </w:rPr>
        <w:t> </w:t>
      </w:r>
      <w:r w:rsidR="001D019E" w:rsidRPr="00610401">
        <w:rPr>
          <w:noProof/>
        </w:rPr>
        <w:t>3 rozporządzenia (UE) 2018/1999;</w:t>
      </w:r>
    </w:p>
    <w:p w:rsidR="00FA2B2E" w:rsidRPr="00610401" w:rsidRDefault="00610401" w:rsidP="00610401">
      <w:pPr>
        <w:pStyle w:val="Point1"/>
        <w:rPr>
          <w:noProof/>
        </w:rPr>
      </w:pPr>
      <w:r w:rsidRPr="00610401">
        <w:rPr>
          <w:noProof/>
        </w:rPr>
        <w:t>b)</w:t>
      </w:r>
      <w:r w:rsidRPr="00610401">
        <w:rPr>
          <w:noProof/>
        </w:rPr>
        <w:tab/>
      </w:r>
      <w:r w:rsidR="004E5B27" w:rsidRPr="00610401">
        <w:rPr>
          <w:noProof/>
        </w:rPr>
        <w:t>swoje strategie długoterminowe,</w:t>
      </w:r>
      <w:r w:rsidRPr="00610401">
        <w:rPr>
          <w:noProof/>
        </w:rPr>
        <w:t xml:space="preserve"> o któ</w:t>
      </w:r>
      <w:r w:rsidR="004E5B27" w:rsidRPr="00610401">
        <w:rPr>
          <w:noProof/>
        </w:rPr>
        <w:t>rych mowa</w:t>
      </w:r>
      <w:r w:rsidRPr="00610401">
        <w:rPr>
          <w:noProof/>
        </w:rPr>
        <w:t xml:space="preserve"> w art</w:t>
      </w:r>
      <w:r w:rsidR="004E5B27" w:rsidRPr="00610401">
        <w:rPr>
          <w:noProof/>
        </w:rPr>
        <w:t>.</w:t>
      </w:r>
      <w:r w:rsidRPr="00610401">
        <w:rPr>
          <w:noProof/>
        </w:rPr>
        <w:t> </w:t>
      </w:r>
      <w:r w:rsidR="004E5B27" w:rsidRPr="00610401">
        <w:rPr>
          <w:noProof/>
        </w:rPr>
        <w:t>15 rozporządzenia (UE) 2018/1999;</w:t>
      </w:r>
      <w:r w:rsidR="004E5B27" w:rsidRPr="00610401">
        <w:rPr>
          <w:noProof/>
          <w:sz w:val="16"/>
        </w:rPr>
        <w:t xml:space="preserve"> </w:t>
      </w:r>
    </w:p>
    <w:p w:rsidR="00FA2B2E" w:rsidRPr="00610401" w:rsidRDefault="00610401" w:rsidP="00610401">
      <w:pPr>
        <w:pStyle w:val="Point1"/>
        <w:rPr>
          <w:noProof/>
        </w:rPr>
      </w:pPr>
      <w:r w:rsidRPr="00610401">
        <w:rPr>
          <w:noProof/>
        </w:rPr>
        <w:t>c)</w:t>
      </w:r>
      <w:r w:rsidRPr="00610401">
        <w:rPr>
          <w:noProof/>
        </w:rPr>
        <w:tab/>
      </w:r>
      <w:r w:rsidR="002731CA" w:rsidRPr="00610401">
        <w:rPr>
          <w:noProof/>
        </w:rPr>
        <w:t>wiążący ogólny cel unijny na</w:t>
      </w:r>
      <w:r w:rsidRPr="00610401">
        <w:rPr>
          <w:noProof/>
        </w:rPr>
        <w:t> </w:t>
      </w:r>
      <w:r w:rsidR="002731CA" w:rsidRPr="00610401">
        <w:rPr>
          <w:noProof/>
        </w:rPr>
        <w:t>2030</w:t>
      </w:r>
      <w:r w:rsidRPr="00610401">
        <w:rPr>
          <w:noProof/>
        </w:rPr>
        <w:t> </w:t>
      </w:r>
      <w:r w:rsidR="002731CA" w:rsidRPr="00610401">
        <w:rPr>
          <w:noProof/>
        </w:rPr>
        <w:t>r. określony</w:t>
      </w:r>
      <w:r w:rsidRPr="00610401">
        <w:rPr>
          <w:noProof/>
        </w:rPr>
        <w:t xml:space="preserve"> w art</w:t>
      </w:r>
      <w:r w:rsidR="002731CA" w:rsidRPr="00610401">
        <w:rPr>
          <w:noProof/>
        </w:rPr>
        <w:t>.</w:t>
      </w:r>
      <w:r w:rsidRPr="00610401">
        <w:rPr>
          <w:noProof/>
        </w:rPr>
        <w:t> </w:t>
      </w:r>
      <w:r w:rsidR="002731CA" w:rsidRPr="00610401">
        <w:rPr>
          <w:noProof/>
        </w:rPr>
        <w:t>3 dyrektywy Parlamentu Europejskiego</w:t>
      </w:r>
      <w:r w:rsidRPr="00610401">
        <w:rPr>
          <w:noProof/>
        </w:rPr>
        <w:t xml:space="preserve"> i Rad</w:t>
      </w:r>
      <w:r w:rsidR="002731CA" w:rsidRPr="00610401">
        <w:rPr>
          <w:noProof/>
        </w:rPr>
        <w:t xml:space="preserve">y (UE) 2018/2001. </w:t>
      </w:r>
    </w:p>
    <w:p w:rsidR="004E5B27" w:rsidRPr="00610401" w:rsidRDefault="009F5C98" w:rsidP="009F5C98">
      <w:pPr>
        <w:pStyle w:val="ManualNumPar1"/>
        <w:rPr>
          <w:noProof/>
          <w:color w:val="000000" w:themeColor="text1"/>
          <w:u w:val="single"/>
        </w:rPr>
      </w:pPr>
      <w:r w:rsidRPr="009F5C98">
        <w:t>6.</w:t>
      </w:r>
      <w:r w:rsidRPr="009F5C98">
        <w:tab/>
      </w:r>
      <w:r w:rsidR="00804537" w:rsidRPr="00610401">
        <w:rPr>
          <w:noProof/>
          <w:shd w:val="clear" w:color="auto" w:fill="FFFFFF"/>
        </w:rPr>
        <w:t>Państwa członkowskie koordynują opracowywanie krajowych planów odbudowy</w:t>
      </w:r>
      <w:r w:rsidR="00610401" w:rsidRPr="00610401">
        <w:rPr>
          <w:noProof/>
          <w:shd w:val="clear" w:color="auto" w:fill="FFFFFF"/>
        </w:rPr>
        <w:t xml:space="preserve"> z wyz</w:t>
      </w:r>
      <w:r w:rsidR="00804537" w:rsidRPr="00610401">
        <w:rPr>
          <w:noProof/>
          <w:shd w:val="clear" w:color="auto" w:fill="FFFFFF"/>
        </w:rPr>
        <w:t>naczaniem obszarów docelowych energii odnawialnej. Podczas przygotowywania planów odbudowy zasobów przyrodniczych państwa członkowskie zapewniają synergię</w:t>
      </w:r>
      <w:r w:rsidR="00610401" w:rsidRPr="00610401">
        <w:rPr>
          <w:noProof/>
          <w:shd w:val="clear" w:color="auto" w:fill="FFFFFF"/>
        </w:rPr>
        <w:t xml:space="preserve"> z już</w:t>
      </w:r>
      <w:r w:rsidR="00804537" w:rsidRPr="00610401">
        <w:rPr>
          <w:noProof/>
          <w:shd w:val="clear" w:color="auto" w:fill="FFFFFF"/>
        </w:rPr>
        <w:t xml:space="preserve"> wyznaczonymi obszarami docelowymi energii odnawialnej oraz dopilnowują, by funkcjonowanie obszarów docelowych energii odnawialnej,</w:t>
      </w:r>
      <w:r w:rsidR="00610401" w:rsidRPr="00610401">
        <w:rPr>
          <w:noProof/>
          <w:shd w:val="clear" w:color="auto" w:fill="FFFFFF"/>
        </w:rPr>
        <w:t xml:space="preserve"> w tym</w:t>
      </w:r>
      <w:r w:rsidR="00804537" w:rsidRPr="00610401">
        <w:rPr>
          <w:noProof/>
          <w:shd w:val="clear" w:color="auto" w:fill="FFFFFF"/>
        </w:rPr>
        <w:t xml:space="preserve"> przewidzianych</w:t>
      </w:r>
      <w:r w:rsidR="00610401" w:rsidRPr="00610401">
        <w:rPr>
          <w:noProof/>
          <w:shd w:val="clear" w:color="auto" w:fill="FFFFFF"/>
        </w:rPr>
        <w:t xml:space="preserve"> w dyr</w:t>
      </w:r>
      <w:r w:rsidR="00804537" w:rsidRPr="00610401">
        <w:rPr>
          <w:noProof/>
          <w:shd w:val="clear" w:color="auto" w:fill="FFFFFF"/>
        </w:rPr>
        <w:t>ektywie (UE) 2018/2001 procedur wydawania zezwoleń mających zastosowanie do obszarów docelowych energii odnawialnej, pozostało niezmienione.</w:t>
      </w:r>
    </w:p>
    <w:p w:rsidR="00BF3117" w:rsidRPr="00610401" w:rsidRDefault="009F5C98" w:rsidP="009F5C98">
      <w:pPr>
        <w:pStyle w:val="ManualNumPar1"/>
        <w:rPr>
          <w:noProof/>
        </w:rPr>
      </w:pPr>
      <w:r w:rsidRPr="009F5C98">
        <w:t>7.</w:t>
      </w:r>
      <w:r w:rsidRPr="009F5C98">
        <w:tab/>
      </w:r>
      <w:r w:rsidR="00BF3117" w:rsidRPr="00610401">
        <w:rPr>
          <w:noProof/>
        </w:rPr>
        <w:t>Przygotowując krajowe plany odbudowy, państwa członkowskie uwzględniają:</w:t>
      </w:r>
    </w:p>
    <w:p w:rsidR="00BF3117" w:rsidRPr="00610401" w:rsidRDefault="00610401" w:rsidP="00610401">
      <w:pPr>
        <w:pStyle w:val="Point1"/>
        <w:ind w:left="850" w:firstLine="0"/>
        <w:rPr>
          <w:noProof/>
        </w:rPr>
      </w:pPr>
      <w:r w:rsidRPr="00610401">
        <w:rPr>
          <w:noProof/>
        </w:rPr>
        <w:t>a)</w:t>
      </w:r>
      <w:r w:rsidRPr="00610401">
        <w:rPr>
          <w:noProof/>
        </w:rPr>
        <w:tab/>
      </w:r>
      <w:r w:rsidR="003F2735" w:rsidRPr="00610401">
        <w:rPr>
          <w:noProof/>
        </w:rPr>
        <w:t>środki ochronne ustanowione na potrzeby obszarów Natura 2000 zgodnie</w:t>
      </w:r>
      <w:r w:rsidRPr="00610401">
        <w:rPr>
          <w:noProof/>
        </w:rPr>
        <w:t xml:space="preserve"> z dyr</w:t>
      </w:r>
      <w:r w:rsidR="003F2735" w:rsidRPr="00610401">
        <w:rPr>
          <w:noProof/>
        </w:rPr>
        <w:t>ektywą 92/43/EWG;</w:t>
      </w:r>
    </w:p>
    <w:p w:rsidR="00BF3117" w:rsidRPr="00610401" w:rsidRDefault="00610401" w:rsidP="00610401">
      <w:pPr>
        <w:pStyle w:val="Point1"/>
        <w:rPr>
          <w:noProof/>
        </w:rPr>
      </w:pPr>
      <w:r>
        <w:rPr>
          <w:noProof/>
        </w:rPr>
        <w:t>b</w:t>
      </w:r>
      <w:r w:rsidRPr="00610401">
        <w:rPr>
          <w:noProof/>
        </w:rPr>
        <w:t>)</w:t>
      </w:r>
      <w:r w:rsidRPr="00610401">
        <w:rPr>
          <w:noProof/>
        </w:rPr>
        <w:tab/>
      </w:r>
      <w:r w:rsidR="003F2735" w:rsidRPr="00610401">
        <w:rPr>
          <w:noProof/>
        </w:rPr>
        <w:t>priorytetowe ramy działań przygotowane zgodnie</w:t>
      </w:r>
      <w:r w:rsidRPr="00610401">
        <w:rPr>
          <w:noProof/>
        </w:rPr>
        <w:t xml:space="preserve"> z dyr</w:t>
      </w:r>
      <w:r w:rsidR="003F2735" w:rsidRPr="00610401">
        <w:rPr>
          <w:noProof/>
        </w:rPr>
        <w:t>ektywą 92/43/EWG;</w:t>
      </w:r>
    </w:p>
    <w:p w:rsidR="00BF3117" w:rsidRPr="00610401" w:rsidRDefault="00610401" w:rsidP="00610401">
      <w:pPr>
        <w:pStyle w:val="Point1"/>
        <w:rPr>
          <w:noProof/>
        </w:rPr>
      </w:pPr>
      <w:r>
        <w:rPr>
          <w:noProof/>
        </w:rPr>
        <w:t>c</w:t>
      </w:r>
      <w:r w:rsidRPr="00610401">
        <w:rPr>
          <w:noProof/>
        </w:rPr>
        <w:t>)</w:t>
      </w:r>
      <w:r w:rsidRPr="00610401">
        <w:rPr>
          <w:noProof/>
        </w:rPr>
        <w:tab/>
      </w:r>
      <w:r w:rsidR="003F2735" w:rsidRPr="00610401">
        <w:rPr>
          <w:noProof/>
        </w:rPr>
        <w:t>środki mające na celu osiągnięcie dobrego stanu ekologicznego</w:t>
      </w:r>
      <w:r w:rsidRPr="00610401">
        <w:rPr>
          <w:noProof/>
        </w:rPr>
        <w:t xml:space="preserve"> i che</w:t>
      </w:r>
      <w:r w:rsidR="003F2735" w:rsidRPr="00610401">
        <w:rPr>
          <w:noProof/>
        </w:rPr>
        <w:t>micznego jednolitych części wód uwzględnionych</w:t>
      </w:r>
      <w:r w:rsidRPr="00610401">
        <w:rPr>
          <w:noProof/>
        </w:rPr>
        <w:t xml:space="preserve"> w pla</w:t>
      </w:r>
      <w:r w:rsidR="003F2735" w:rsidRPr="00610401">
        <w:rPr>
          <w:noProof/>
        </w:rPr>
        <w:t>nach gospodarowania wodami</w:t>
      </w:r>
      <w:r w:rsidRPr="00610401">
        <w:rPr>
          <w:noProof/>
        </w:rPr>
        <w:t xml:space="preserve"> w dor</w:t>
      </w:r>
      <w:r w:rsidR="003F2735" w:rsidRPr="00610401">
        <w:rPr>
          <w:noProof/>
        </w:rPr>
        <w:t>zeczu przygotowanymi zgodnie</w:t>
      </w:r>
      <w:r w:rsidRPr="00610401">
        <w:rPr>
          <w:noProof/>
        </w:rPr>
        <w:t xml:space="preserve"> z dyr</w:t>
      </w:r>
      <w:r w:rsidR="003F2735" w:rsidRPr="00610401">
        <w:rPr>
          <w:noProof/>
        </w:rPr>
        <w:t>ektywą 2000/60/WE;</w:t>
      </w:r>
    </w:p>
    <w:p w:rsidR="00BF3117" w:rsidRPr="00610401" w:rsidRDefault="00610401" w:rsidP="00610401">
      <w:pPr>
        <w:pStyle w:val="Point1"/>
        <w:rPr>
          <w:noProof/>
        </w:rPr>
      </w:pPr>
      <w:r>
        <w:rPr>
          <w:noProof/>
        </w:rPr>
        <w:t>d</w:t>
      </w:r>
      <w:r w:rsidRPr="00610401">
        <w:rPr>
          <w:noProof/>
        </w:rPr>
        <w:t>)</w:t>
      </w:r>
      <w:r w:rsidRPr="00610401">
        <w:rPr>
          <w:noProof/>
        </w:rPr>
        <w:tab/>
      </w:r>
      <w:r w:rsidR="003F2735" w:rsidRPr="00610401">
        <w:rPr>
          <w:noProof/>
        </w:rPr>
        <w:t>strategie morskie mające na celu osiągnięcie dobrego stanu środowiska we wszystkich unijnych regionach morskich przygotowane zgodnie</w:t>
      </w:r>
      <w:r w:rsidRPr="00610401">
        <w:rPr>
          <w:noProof/>
        </w:rPr>
        <w:t xml:space="preserve"> z dyr</w:t>
      </w:r>
      <w:r w:rsidR="003F2735" w:rsidRPr="00610401">
        <w:rPr>
          <w:noProof/>
        </w:rPr>
        <w:t>ektywą 2008/56/WE;</w:t>
      </w:r>
    </w:p>
    <w:p w:rsidR="00BF3117" w:rsidRPr="00610401" w:rsidRDefault="00610401" w:rsidP="00610401">
      <w:pPr>
        <w:pStyle w:val="Point1"/>
        <w:rPr>
          <w:noProof/>
        </w:rPr>
      </w:pPr>
      <w:r>
        <w:rPr>
          <w:noProof/>
        </w:rPr>
        <w:t>e</w:t>
      </w:r>
      <w:r w:rsidRPr="00610401">
        <w:rPr>
          <w:noProof/>
        </w:rPr>
        <w:t>)</w:t>
      </w:r>
      <w:r w:rsidRPr="00610401">
        <w:rPr>
          <w:noProof/>
        </w:rPr>
        <w:tab/>
      </w:r>
      <w:r w:rsidR="00C759A9" w:rsidRPr="00610401">
        <w:rPr>
          <w:noProof/>
        </w:rPr>
        <w:t>krajowe programy ograniczania zanieczyszczenia powietrza przygotowane na mocy dyrektywy (UE) 2016/2284;</w:t>
      </w:r>
    </w:p>
    <w:p w:rsidR="003F2735" w:rsidRPr="00610401" w:rsidRDefault="00610401" w:rsidP="00610401">
      <w:pPr>
        <w:pStyle w:val="Point1"/>
        <w:rPr>
          <w:noProof/>
        </w:rPr>
      </w:pPr>
      <w:r>
        <w:rPr>
          <w:noProof/>
        </w:rPr>
        <w:t>f</w:t>
      </w:r>
      <w:r w:rsidRPr="00610401">
        <w:rPr>
          <w:noProof/>
        </w:rPr>
        <w:t>)</w:t>
      </w:r>
      <w:r w:rsidRPr="00610401">
        <w:rPr>
          <w:noProof/>
        </w:rPr>
        <w:tab/>
      </w:r>
      <w:r w:rsidR="003F2735" w:rsidRPr="00610401">
        <w:rPr>
          <w:noProof/>
        </w:rPr>
        <w:t>krajowe strategie na rzecz bioróżnorodności</w:t>
      </w:r>
      <w:r w:rsidRPr="00610401">
        <w:rPr>
          <w:noProof/>
        </w:rPr>
        <w:t xml:space="preserve"> i pla</w:t>
      </w:r>
      <w:r w:rsidR="003F2735" w:rsidRPr="00610401">
        <w:rPr>
          <w:noProof/>
        </w:rPr>
        <w:t>ny działania opracowane zgodnie</w:t>
      </w:r>
      <w:r w:rsidRPr="00610401">
        <w:rPr>
          <w:noProof/>
        </w:rPr>
        <w:t xml:space="preserve"> z art</w:t>
      </w:r>
      <w:r w:rsidR="003F2735" w:rsidRPr="00610401">
        <w:rPr>
          <w:noProof/>
        </w:rPr>
        <w:t>.</w:t>
      </w:r>
      <w:r w:rsidRPr="00610401">
        <w:rPr>
          <w:noProof/>
        </w:rPr>
        <w:t> </w:t>
      </w:r>
      <w:r w:rsidR="003F2735" w:rsidRPr="00610401">
        <w:rPr>
          <w:noProof/>
        </w:rPr>
        <w:t>6 Konwencji</w:t>
      </w:r>
      <w:r w:rsidRPr="00610401">
        <w:rPr>
          <w:noProof/>
        </w:rPr>
        <w:t xml:space="preserve"> o róż</w:t>
      </w:r>
      <w:r w:rsidR="003F2735" w:rsidRPr="00610401">
        <w:rPr>
          <w:noProof/>
        </w:rPr>
        <w:t>norodności biologicznej;</w:t>
      </w:r>
    </w:p>
    <w:p w:rsidR="004E5B27" w:rsidRPr="00610401" w:rsidRDefault="00610401" w:rsidP="00610401">
      <w:pPr>
        <w:pStyle w:val="Point1"/>
        <w:rPr>
          <w:noProof/>
        </w:rPr>
      </w:pPr>
      <w:r w:rsidRPr="00610401">
        <w:rPr>
          <w:noProof/>
        </w:rPr>
        <w:t>g)</w:t>
      </w:r>
      <w:r w:rsidRPr="00610401">
        <w:rPr>
          <w:noProof/>
        </w:rPr>
        <w:tab/>
      </w:r>
      <w:r w:rsidR="004E5B27" w:rsidRPr="00610401">
        <w:rPr>
          <w:noProof/>
        </w:rPr>
        <w:t>środki ochronne przyjęte</w:t>
      </w:r>
      <w:r w:rsidRPr="00610401">
        <w:rPr>
          <w:noProof/>
        </w:rPr>
        <w:t xml:space="preserve"> w ram</w:t>
      </w:r>
      <w:r w:rsidR="004E5B27" w:rsidRPr="00610401">
        <w:rPr>
          <w:noProof/>
        </w:rPr>
        <w:t>ach wspólnej polityki rybołówstwa;</w:t>
      </w:r>
    </w:p>
    <w:p w:rsidR="00667721" w:rsidRPr="00610401" w:rsidRDefault="009F5C98" w:rsidP="009F5C98">
      <w:pPr>
        <w:pStyle w:val="ManualNumPar1"/>
        <w:rPr>
          <w:noProof/>
        </w:rPr>
      </w:pPr>
      <w:r w:rsidRPr="009F5C98">
        <w:t>8.</w:t>
      </w:r>
      <w:r w:rsidRPr="009F5C98">
        <w:tab/>
      </w:r>
      <w:r w:rsidR="312C57F2" w:rsidRPr="00610401">
        <w:rPr>
          <w:noProof/>
        </w:rPr>
        <w:t>Przygotowując krajowe plany odbudowy, państwa członkowskie wykorzystują poszczególne przykłady środków odbudowy wymienione</w:t>
      </w:r>
      <w:r w:rsidR="00610401" w:rsidRPr="00610401">
        <w:rPr>
          <w:noProof/>
        </w:rPr>
        <w:t xml:space="preserve"> w zał</w:t>
      </w:r>
      <w:r w:rsidR="312C57F2" w:rsidRPr="00610401">
        <w:rPr>
          <w:noProof/>
        </w:rPr>
        <w:t>ączniku VII,</w:t>
      </w:r>
      <w:r w:rsidR="00610401" w:rsidRPr="00610401">
        <w:rPr>
          <w:noProof/>
        </w:rPr>
        <w:t xml:space="preserve"> w zal</w:t>
      </w:r>
      <w:r w:rsidR="312C57F2" w:rsidRPr="00610401">
        <w:rPr>
          <w:noProof/>
        </w:rPr>
        <w:t>eżności od szczególnych warunków krajowych</w:t>
      </w:r>
      <w:r w:rsidR="00610401" w:rsidRPr="00610401">
        <w:rPr>
          <w:noProof/>
        </w:rPr>
        <w:t xml:space="preserve"> i lok</w:t>
      </w:r>
      <w:r w:rsidR="312C57F2" w:rsidRPr="00610401">
        <w:rPr>
          <w:noProof/>
        </w:rPr>
        <w:t>alnych oraz najnowszych dowodów naukowych.</w:t>
      </w:r>
    </w:p>
    <w:p w:rsidR="00667721" w:rsidRPr="00610401" w:rsidRDefault="009F5C98" w:rsidP="009F5C98">
      <w:pPr>
        <w:pStyle w:val="ManualNumPar1"/>
        <w:rPr>
          <w:noProof/>
        </w:rPr>
      </w:pPr>
      <w:r w:rsidRPr="009F5C98">
        <w:t>9.</w:t>
      </w:r>
      <w:r w:rsidRPr="009F5C98">
        <w:tab/>
      </w:r>
      <w:r w:rsidR="00667721" w:rsidRPr="00610401">
        <w:rPr>
          <w:noProof/>
        </w:rPr>
        <w:t>Przygotowując krajowe plany odbudowy, państwa członkowskie dążą do optymalizacji ekologicznych, gospodarczych</w:t>
      </w:r>
      <w:r w:rsidR="00610401" w:rsidRPr="00610401">
        <w:rPr>
          <w:noProof/>
        </w:rPr>
        <w:t xml:space="preserve"> i spo</w:t>
      </w:r>
      <w:r w:rsidR="00667721" w:rsidRPr="00610401">
        <w:rPr>
          <w:noProof/>
        </w:rPr>
        <w:t>łecznych funkcji ekosystemów,</w:t>
      </w:r>
      <w:r w:rsidR="00610401" w:rsidRPr="00610401">
        <w:rPr>
          <w:noProof/>
        </w:rPr>
        <w:t xml:space="preserve"> a tak</w:t>
      </w:r>
      <w:r w:rsidR="00667721" w:rsidRPr="00610401">
        <w:rPr>
          <w:noProof/>
        </w:rPr>
        <w:t>że ich wkładu</w:t>
      </w:r>
      <w:r w:rsidR="00610401" w:rsidRPr="00610401">
        <w:rPr>
          <w:noProof/>
        </w:rPr>
        <w:t xml:space="preserve"> w zró</w:t>
      </w:r>
      <w:r w:rsidR="00667721" w:rsidRPr="00610401">
        <w:rPr>
          <w:noProof/>
        </w:rPr>
        <w:t>wnoważony rozwój odpowiednich regionów</w:t>
      </w:r>
      <w:r w:rsidR="00610401" w:rsidRPr="00610401">
        <w:rPr>
          <w:noProof/>
        </w:rPr>
        <w:t xml:space="preserve"> i spo</w:t>
      </w:r>
      <w:r w:rsidR="00667721" w:rsidRPr="00610401">
        <w:rPr>
          <w:noProof/>
        </w:rPr>
        <w:t>łeczności.</w:t>
      </w:r>
    </w:p>
    <w:p w:rsidR="009026B1" w:rsidRPr="00610401" w:rsidRDefault="009F5C98" w:rsidP="009F5C98">
      <w:pPr>
        <w:pStyle w:val="ManualNumPar1"/>
        <w:rPr>
          <w:noProof/>
        </w:rPr>
      </w:pPr>
      <w:r w:rsidRPr="009F5C98">
        <w:t>10.</w:t>
      </w:r>
      <w:r w:rsidRPr="009F5C98">
        <w:tab/>
      </w:r>
      <w:r w:rsidR="19C55A58" w:rsidRPr="00610401">
        <w:rPr>
          <w:noProof/>
        </w:rPr>
        <w:t>Państwa członkowskie zwiększają,</w:t>
      </w:r>
      <w:r w:rsidR="00610401" w:rsidRPr="00610401">
        <w:rPr>
          <w:noProof/>
        </w:rPr>
        <w:t xml:space="preserve"> w mia</w:t>
      </w:r>
      <w:r w:rsidR="19C55A58" w:rsidRPr="00610401">
        <w:rPr>
          <w:noProof/>
        </w:rPr>
        <w:t>rę możliwości, synergie</w:t>
      </w:r>
      <w:r w:rsidR="00610401" w:rsidRPr="00610401">
        <w:rPr>
          <w:noProof/>
        </w:rPr>
        <w:t xml:space="preserve"> z kra</w:t>
      </w:r>
      <w:r w:rsidR="19C55A58" w:rsidRPr="00610401">
        <w:rPr>
          <w:noProof/>
        </w:rPr>
        <w:t>jowymi planami odbudowy innych państw członkowskich,</w:t>
      </w:r>
      <w:r w:rsidR="00610401" w:rsidRPr="00610401">
        <w:rPr>
          <w:noProof/>
        </w:rPr>
        <w:t xml:space="preserve"> w szc</w:t>
      </w:r>
      <w:r w:rsidR="19C55A58" w:rsidRPr="00610401">
        <w:rPr>
          <w:noProof/>
        </w:rPr>
        <w:t>zególności</w:t>
      </w:r>
      <w:r w:rsidR="00610401" w:rsidRPr="00610401">
        <w:rPr>
          <w:noProof/>
        </w:rPr>
        <w:t xml:space="preserve"> w odn</w:t>
      </w:r>
      <w:r w:rsidR="19C55A58" w:rsidRPr="00610401">
        <w:rPr>
          <w:noProof/>
        </w:rPr>
        <w:t>iesieniu do ekosystemów, które wykraczają poza granice.</w:t>
      </w:r>
    </w:p>
    <w:p w:rsidR="00835DB6" w:rsidRPr="00610401" w:rsidRDefault="009F5C98" w:rsidP="009F5C98">
      <w:pPr>
        <w:pStyle w:val="ManualNumPar1"/>
        <w:rPr>
          <w:noProof/>
        </w:rPr>
      </w:pPr>
      <w:r w:rsidRPr="009F5C98">
        <w:t>11.</w:t>
      </w:r>
      <w:r w:rsidRPr="009F5C98">
        <w:tab/>
      </w:r>
      <w:r w:rsidR="35157F2E" w:rsidRPr="00610401">
        <w:rPr>
          <w:noProof/>
        </w:rPr>
        <w:t>Państwa członkowskie zapewniają otwarte, włączające</w:t>
      </w:r>
      <w:r w:rsidR="00610401" w:rsidRPr="00610401">
        <w:rPr>
          <w:noProof/>
        </w:rPr>
        <w:t xml:space="preserve"> i sku</w:t>
      </w:r>
      <w:r w:rsidR="35157F2E" w:rsidRPr="00610401">
        <w:rPr>
          <w:noProof/>
        </w:rPr>
        <w:t>teczne przygotowywanie planu odbudowy oraz zapewniają zainteresowanej społeczności możliwość wczesnego</w:t>
      </w:r>
      <w:r w:rsidR="00610401" w:rsidRPr="00610401">
        <w:rPr>
          <w:noProof/>
        </w:rPr>
        <w:t xml:space="preserve"> i sku</w:t>
      </w:r>
      <w:r w:rsidR="35157F2E" w:rsidRPr="00610401">
        <w:rPr>
          <w:noProof/>
        </w:rPr>
        <w:t>tecznego udziału</w:t>
      </w:r>
      <w:r w:rsidR="00610401" w:rsidRPr="00610401">
        <w:rPr>
          <w:noProof/>
        </w:rPr>
        <w:t xml:space="preserve"> w jeg</w:t>
      </w:r>
      <w:r w:rsidR="35157F2E" w:rsidRPr="00610401">
        <w:rPr>
          <w:noProof/>
        </w:rPr>
        <w:t>o opracowaniu. Konsultacje są zgodne</w:t>
      </w:r>
      <w:r w:rsidR="00610401" w:rsidRPr="00610401">
        <w:rPr>
          <w:noProof/>
        </w:rPr>
        <w:t xml:space="preserve"> z wym</w:t>
      </w:r>
      <w:r w:rsidR="35157F2E" w:rsidRPr="00610401">
        <w:rPr>
          <w:noProof/>
        </w:rPr>
        <w:t>ogami określonymi</w:t>
      </w:r>
      <w:r w:rsidR="00610401" w:rsidRPr="00610401">
        <w:rPr>
          <w:noProof/>
        </w:rPr>
        <w:t xml:space="preserve"> w art</w:t>
      </w:r>
      <w:r w:rsidR="35157F2E" w:rsidRPr="00610401">
        <w:rPr>
          <w:noProof/>
        </w:rPr>
        <w:t>.</w:t>
      </w:r>
      <w:r w:rsidR="00610401" w:rsidRPr="00610401">
        <w:rPr>
          <w:noProof/>
        </w:rPr>
        <w:t> </w:t>
      </w:r>
      <w:r w:rsidR="35157F2E" w:rsidRPr="00610401">
        <w:rPr>
          <w:noProof/>
        </w:rPr>
        <w:t xml:space="preserve">4–10 dyrektywy 2001/42/WE. </w:t>
      </w:r>
    </w:p>
    <w:p w:rsidR="00451D83" w:rsidRPr="00610401" w:rsidRDefault="00451D83" w:rsidP="00E81D73">
      <w:pPr>
        <w:rPr>
          <w:noProof/>
        </w:rPr>
      </w:pPr>
    </w:p>
    <w:p w:rsidR="000C14B9" w:rsidRPr="00610401" w:rsidRDefault="003B2B14" w:rsidP="001324B9">
      <w:pPr>
        <w:pStyle w:val="Titrearticle"/>
        <w:rPr>
          <w:noProof/>
        </w:rPr>
      </w:pPr>
      <w:r w:rsidRPr="00610401">
        <w:rPr>
          <w:noProof/>
        </w:rPr>
        <w:t xml:space="preserve">Artykuł 12 </w:t>
      </w:r>
      <w:r w:rsidRPr="00610401">
        <w:rPr>
          <w:noProof/>
        </w:rPr>
        <w:br/>
      </w:r>
      <w:r w:rsidRPr="00610401">
        <w:rPr>
          <w:b/>
          <w:i w:val="0"/>
          <w:noProof/>
        </w:rPr>
        <w:t>Treść krajowych planów odbudowy</w:t>
      </w:r>
      <w:r w:rsidRPr="00610401">
        <w:rPr>
          <w:noProof/>
        </w:rPr>
        <w:t xml:space="preserve"> </w:t>
      </w:r>
    </w:p>
    <w:p w:rsidR="0051551E" w:rsidRPr="00610401" w:rsidRDefault="009F5C98" w:rsidP="009F5C98">
      <w:pPr>
        <w:pStyle w:val="ManualNumPar1"/>
        <w:rPr>
          <w:noProof/>
        </w:rPr>
      </w:pPr>
      <w:r w:rsidRPr="009F5C98">
        <w:t>1.</w:t>
      </w:r>
      <w:r w:rsidRPr="009F5C98">
        <w:tab/>
      </w:r>
      <w:r w:rsidR="6189887C" w:rsidRPr="00610401">
        <w:rPr>
          <w:noProof/>
        </w:rPr>
        <w:t>Krajowy plan odbudowy obejmuje okres do</w:t>
      </w:r>
      <w:r w:rsidR="00610401" w:rsidRPr="00610401">
        <w:rPr>
          <w:noProof/>
        </w:rPr>
        <w:t> </w:t>
      </w:r>
      <w:r w:rsidR="6189887C" w:rsidRPr="00610401">
        <w:rPr>
          <w:noProof/>
        </w:rPr>
        <w:t>2050</w:t>
      </w:r>
      <w:r w:rsidR="00610401" w:rsidRPr="00610401">
        <w:rPr>
          <w:noProof/>
        </w:rPr>
        <w:t> </w:t>
      </w:r>
      <w:r w:rsidR="6189887C" w:rsidRPr="00610401">
        <w:rPr>
          <w:noProof/>
        </w:rPr>
        <w:t>r. wraz</w:t>
      </w:r>
      <w:r w:rsidR="00610401" w:rsidRPr="00610401">
        <w:rPr>
          <w:noProof/>
        </w:rPr>
        <w:t xml:space="preserve"> z ter</w:t>
      </w:r>
      <w:r w:rsidR="6189887C" w:rsidRPr="00610401">
        <w:rPr>
          <w:noProof/>
        </w:rPr>
        <w:t>minami pośrednimi dotyczącymi celów</w:t>
      </w:r>
      <w:r w:rsidR="00610401" w:rsidRPr="00610401">
        <w:rPr>
          <w:noProof/>
        </w:rPr>
        <w:t xml:space="preserve"> i obo</w:t>
      </w:r>
      <w:r w:rsidR="6189887C" w:rsidRPr="00610401">
        <w:rPr>
          <w:noProof/>
        </w:rPr>
        <w:t>wiązków określonych</w:t>
      </w:r>
      <w:r w:rsidR="00610401" w:rsidRPr="00610401">
        <w:rPr>
          <w:noProof/>
        </w:rPr>
        <w:t xml:space="preserve"> w art</w:t>
      </w:r>
      <w:r w:rsidR="6189887C" w:rsidRPr="00610401">
        <w:rPr>
          <w:noProof/>
        </w:rPr>
        <w:t>.</w:t>
      </w:r>
      <w:r w:rsidR="00610401" w:rsidRPr="00610401">
        <w:rPr>
          <w:noProof/>
        </w:rPr>
        <w:t> </w:t>
      </w:r>
      <w:r w:rsidR="6189887C" w:rsidRPr="00610401">
        <w:rPr>
          <w:noProof/>
        </w:rPr>
        <w:t>4–10.</w:t>
      </w:r>
    </w:p>
    <w:p w:rsidR="003B2B14" w:rsidRPr="00610401" w:rsidRDefault="009F5C98" w:rsidP="009F5C98">
      <w:pPr>
        <w:pStyle w:val="ManualNumPar1"/>
        <w:rPr>
          <w:noProof/>
        </w:rPr>
      </w:pPr>
      <w:r w:rsidRPr="009F5C98">
        <w:t>2.</w:t>
      </w:r>
      <w:r w:rsidRPr="009F5C98">
        <w:tab/>
      </w:r>
      <w:r w:rsidR="5CC05D8A" w:rsidRPr="00610401">
        <w:rPr>
          <w:noProof/>
        </w:rPr>
        <w:t>Państwa członkowskie uwzględniają następujące elementy</w:t>
      </w:r>
      <w:r w:rsidR="00610401" w:rsidRPr="00610401">
        <w:rPr>
          <w:noProof/>
        </w:rPr>
        <w:t xml:space="preserve"> w swo</w:t>
      </w:r>
      <w:r w:rsidR="5CC05D8A" w:rsidRPr="00610401">
        <w:rPr>
          <w:noProof/>
        </w:rPr>
        <w:t>ich krajowych planach odbudowy, stosując jednolity format ustanowiony zgodnie</w:t>
      </w:r>
      <w:r w:rsidR="00610401" w:rsidRPr="00610401">
        <w:rPr>
          <w:noProof/>
        </w:rPr>
        <w:t xml:space="preserve"> z ust</w:t>
      </w:r>
      <w:r w:rsidR="5CC05D8A" w:rsidRPr="00610401">
        <w:rPr>
          <w:noProof/>
        </w:rPr>
        <w:t>.</w:t>
      </w:r>
      <w:r w:rsidR="00610401" w:rsidRPr="00610401">
        <w:rPr>
          <w:noProof/>
        </w:rPr>
        <w:t> </w:t>
      </w:r>
      <w:r w:rsidR="5CC05D8A" w:rsidRPr="00610401">
        <w:rPr>
          <w:noProof/>
        </w:rPr>
        <w:t>4 niniejszego artykułu:</w:t>
      </w:r>
    </w:p>
    <w:p w:rsidR="00DB7D1D" w:rsidRPr="00610401" w:rsidRDefault="00610401" w:rsidP="00610401">
      <w:pPr>
        <w:pStyle w:val="Point1"/>
        <w:rPr>
          <w:noProof/>
        </w:rPr>
      </w:pPr>
      <w:r>
        <w:rPr>
          <w:noProof/>
        </w:rPr>
        <w:t>a)</w:t>
      </w:r>
      <w:r>
        <w:rPr>
          <w:noProof/>
        </w:rPr>
        <w:tab/>
      </w:r>
      <w:r w:rsidR="19F09264" w:rsidRPr="00610401">
        <w:rPr>
          <w:noProof/>
        </w:rPr>
        <w:t>kwantyfikację obszarów, które mają zostać odbudowane, aby osiągnąć cele</w:t>
      </w:r>
      <w:r w:rsidRPr="00610401">
        <w:rPr>
          <w:noProof/>
        </w:rPr>
        <w:t xml:space="preserve"> w zak</w:t>
      </w:r>
      <w:r w:rsidR="19F09264" w:rsidRPr="00610401">
        <w:rPr>
          <w:noProof/>
        </w:rPr>
        <w:t>resie odbudowy określone</w:t>
      </w:r>
      <w:r w:rsidRPr="00610401">
        <w:rPr>
          <w:noProof/>
        </w:rPr>
        <w:t xml:space="preserve"> w art</w:t>
      </w:r>
      <w:r w:rsidR="19F09264" w:rsidRPr="00610401">
        <w:rPr>
          <w:noProof/>
        </w:rPr>
        <w:t>.</w:t>
      </w:r>
      <w:r w:rsidRPr="00610401">
        <w:rPr>
          <w:noProof/>
        </w:rPr>
        <w:t> </w:t>
      </w:r>
      <w:r w:rsidR="19F09264" w:rsidRPr="00610401">
        <w:rPr>
          <w:noProof/>
        </w:rPr>
        <w:t>4–10, na podstawie prac przygotowawczych przeprowadzonych zgodnie</w:t>
      </w:r>
      <w:r w:rsidRPr="00610401">
        <w:rPr>
          <w:noProof/>
        </w:rPr>
        <w:t xml:space="preserve"> z art</w:t>
      </w:r>
      <w:r w:rsidR="19F09264" w:rsidRPr="00610401">
        <w:rPr>
          <w:noProof/>
        </w:rPr>
        <w:t>.</w:t>
      </w:r>
      <w:r w:rsidRPr="00610401">
        <w:rPr>
          <w:noProof/>
        </w:rPr>
        <w:t> </w:t>
      </w:r>
      <w:r w:rsidR="19F09264" w:rsidRPr="00610401">
        <w:rPr>
          <w:noProof/>
        </w:rPr>
        <w:t>11</w:t>
      </w:r>
      <w:r w:rsidRPr="00610401">
        <w:rPr>
          <w:noProof/>
        </w:rPr>
        <w:t xml:space="preserve"> i map</w:t>
      </w:r>
      <w:r w:rsidR="19F09264" w:rsidRPr="00610401">
        <w:rPr>
          <w:noProof/>
        </w:rPr>
        <w:t xml:space="preserve"> tych obszarów</w:t>
      </w:r>
      <w:r w:rsidRPr="00610401">
        <w:rPr>
          <w:noProof/>
        </w:rPr>
        <w:t xml:space="preserve"> z odn</w:t>
      </w:r>
      <w:r w:rsidR="19F09264" w:rsidRPr="00610401">
        <w:rPr>
          <w:noProof/>
        </w:rPr>
        <w:t>iesieniami geograficznymi;</w:t>
      </w:r>
    </w:p>
    <w:p w:rsidR="00DB7D1D" w:rsidRPr="00610401" w:rsidRDefault="00610401" w:rsidP="00610401">
      <w:pPr>
        <w:pStyle w:val="Point1"/>
        <w:rPr>
          <w:noProof/>
        </w:rPr>
      </w:pPr>
      <w:r>
        <w:rPr>
          <w:noProof/>
        </w:rPr>
        <w:t>b)</w:t>
      </w:r>
      <w:r>
        <w:rPr>
          <w:noProof/>
        </w:rPr>
        <w:tab/>
      </w:r>
      <w:r w:rsidR="00DB7D1D" w:rsidRPr="00610401">
        <w:rPr>
          <w:noProof/>
        </w:rPr>
        <w:t>opis planowanych lub wprowadzonych środków odbudowy służących realizacji celów</w:t>
      </w:r>
      <w:r w:rsidRPr="00610401">
        <w:rPr>
          <w:noProof/>
        </w:rPr>
        <w:t xml:space="preserve"> i obo</w:t>
      </w:r>
      <w:r w:rsidR="00DB7D1D" w:rsidRPr="00610401">
        <w:rPr>
          <w:noProof/>
        </w:rPr>
        <w:t>wiązków określonych</w:t>
      </w:r>
      <w:r w:rsidRPr="00610401">
        <w:rPr>
          <w:noProof/>
        </w:rPr>
        <w:t xml:space="preserve"> w art</w:t>
      </w:r>
      <w:r w:rsidR="00DB7D1D" w:rsidRPr="00610401">
        <w:rPr>
          <w:noProof/>
        </w:rPr>
        <w:t>.</w:t>
      </w:r>
      <w:r w:rsidRPr="00610401">
        <w:rPr>
          <w:noProof/>
        </w:rPr>
        <w:t> </w:t>
      </w:r>
      <w:r w:rsidR="00DB7D1D" w:rsidRPr="00610401">
        <w:rPr>
          <w:noProof/>
        </w:rPr>
        <w:t>4–10 oraz doprecyzowanie, które</w:t>
      </w:r>
      <w:r w:rsidRPr="00610401">
        <w:rPr>
          <w:noProof/>
        </w:rPr>
        <w:t xml:space="preserve"> z tyc</w:t>
      </w:r>
      <w:r w:rsidR="00DB7D1D" w:rsidRPr="00610401">
        <w:rPr>
          <w:noProof/>
        </w:rPr>
        <w:t>h środków odbudowy zaplanowano lub wdrożono</w:t>
      </w:r>
      <w:r w:rsidRPr="00610401">
        <w:rPr>
          <w:noProof/>
        </w:rPr>
        <w:t xml:space="preserve"> w ram</w:t>
      </w:r>
      <w:r w:rsidR="00DB7D1D" w:rsidRPr="00610401">
        <w:rPr>
          <w:noProof/>
        </w:rPr>
        <w:t>ach sieci Natura 2000 ustanowionej zgodnie</w:t>
      </w:r>
      <w:r w:rsidRPr="00610401">
        <w:rPr>
          <w:noProof/>
        </w:rPr>
        <w:t xml:space="preserve"> z dyr</w:t>
      </w:r>
      <w:r w:rsidR="00DB7D1D" w:rsidRPr="00610401">
        <w:rPr>
          <w:noProof/>
        </w:rPr>
        <w:t>ektywą 92/43/EWG;</w:t>
      </w:r>
    </w:p>
    <w:p w:rsidR="00DE595E" w:rsidRPr="00610401" w:rsidRDefault="00610401" w:rsidP="00610401">
      <w:pPr>
        <w:pStyle w:val="Point1"/>
        <w:rPr>
          <w:noProof/>
        </w:rPr>
      </w:pPr>
      <w:r>
        <w:rPr>
          <w:noProof/>
        </w:rPr>
        <w:t>c)</w:t>
      </w:r>
      <w:r>
        <w:rPr>
          <w:noProof/>
        </w:rPr>
        <w:tab/>
      </w:r>
      <w:r w:rsidR="00DE595E" w:rsidRPr="00610401">
        <w:rPr>
          <w:noProof/>
        </w:rPr>
        <w:t>środki służące zapewnieniu, aby stan obszarów występowania typów siedlisk wymienionych</w:t>
      </w:r>
      <w:r w:rsidRPr="00610401">
        <w:rPr>
          <w:noProof/>
        </w:rPr>
        <w:t xml:space="preserve"> w zał</w:t>
      </w:r>
      <w:r w:rsidR="00DE595E" w:rsidRPr="00610401">
        <w:rPr>
          <w:noProof/>
        </w:rPr>
        <w:t>ącznikach I i II nie uległ pogorszeniu tam, gdzie osiągnięto dobry stan, jak również aby stan siedlisk gatunków,</w:t>
      </w:r>
      <w:r w:rsidRPr="00610401">
        <w:rPr>
          <w:noProof/>
        </w:rPr>
        <w:t xml:space="preserve"> o któ</w:t>
      </w:r>
      <w:r w:rsidR="00DE595E" w:rsidRPr="00610401">
        <w:rPr>
          <w:noProof/>
        </w:rPr>
        <w:t>rych mowa</w:t>
      </w:r>
      <w:r w:rsidRPr="00610401">
        <w:rPr>
          <w:noProof/>
        </w:rPr>
        <w:t xml:space="preserve"> w art</w:t>
      </w:r>
      <w:r w:rsidR="00DE595E" w:rsidRPr="00610401">
        <w:rPr>
          <w:noProof/>
        </w:rPr>
        <w:t>.</w:t>
      </w:r>
      <w:r w:rsidRPr="00610401">
        <w:rPr>
          <w:noProof/>
        </w:rPr>
        <w:t> </w:t>
      </w:r>
      <w:r w:rsidR="00DE595E" w:rsidRPr="00610401">
        <w:rPr>
          <w:noProof/>
        </w:rPr>
        <w:t>4 ust.</w:t>
      </w:r>
      <w:r w:rsidRPr="00610401">
        <w:rPr>
          <w:noProof/>
        </w:rPr>
        <w:t> </w:t>
      </w:r>
      <w:r w:rsidR="00DE595E" w:rsidRPr="00610401">
        <w:rPr>
          <w:noProof/>
        </w:rPr>
        <w:t>3</w:t>
      </w:r>
      <w:r w:rsidRPr="00610401">
        <w:rPr>
          <w:noProof/>
        </w:rPr>
        <w:t xml:space="preserve"> i art</w:t>
      </w:r>
      <w:r w:rsidR="00DE595E" w:rsidRPr="00610401">
        <w:rPr>
          <w:noProof/>
        </w:rPr>
        <w:t>.</w:t>
      </w:r>
      <w:r w:rsidRPr="00610401">
        <w:rPr>
          <w:noProof/>
        </w:rPr>
        <w:t> </w:t>
      </w:r>
      <w:r w:rsidR="00DE595E" w:rsidRPr="00610401">
        <w:rPr>
          <w:noProof/>
        </w:rPr>
        <w:t>5 ust.</w:t>
      </w:r>
      <w:r w:rsidRPr="00610401">
        <w:rPr>
          <w:noProof/>
        </w:rPr>
        <w:t> </w:t>
      </w:r>
      <w:r w:rsidR="00DE595E" w:rsidRPr="00610401">
        <w:rPr>
          <w:noProof/>
        </w:rPr>
        <w:t>3, nie uległ pogorszeniu na obszarach, gdzie osiągnięto wystarczającą jakość siedlisk gatunków, zgodnie</w:t>
      </w:r>
      <w:r w:rsidRPr="00610401">
        <w:rPr>
          <w:noProof/>
        </w:rPr>
        <w:t xml:space="preserve"> z art</w:t>
      </w:r>
      <w:r w:rsidR="00DE595E" w:rsidRPr="00610401">
        <w:rPr>
          <w:noProof/>
        </w:rPr>
        <w:t>.</w:t>
      </w:r>
      <w:r w:rsidRPr="00610401">
        <w:rPr>
          <w:noProof/>
        </w:rPr>
        <w:t> </w:t>
      </w:r>
      <w:r w:rsidR="00DE595E" w:rsidRPr="00610401">
        <w:rPr>
          <w:noProof/>
        </w:rPr>
        <w:t>4 ust.</w:t>
      </w:r>
      <w:r w:rsidRPr="00610401">
        <w:rPr>
          <w:noProof/>
        </w:rPr>
        <w:t> </w:t>
      </w:r>
      <w:r w:rsidR="00DE595E" w:rsidRPr="00610401">
        <w:rPr>
          <w:noProof/>
        </w:rPr>
        <w:t>6</w:t>
      </w:r>
      <w:r w:rsidRPr="00610401">
        <w:rPr>
          <w:noProof/>
        </w:rPr>
        <w:t xml:space="preserve"> i art</w:t>
      </w:r>
      <w:r w:rsidR="00DE595E" w:rsidRPr="00610401">
        <w:rPr>
          <w:noProof/>
        </w:rPr>
        <w:t>.</w:t>
      </w:r>
      <w:r w:rsidRPr="00610401">
        <w:rPr>
          <w:noProof/>
        </w:rPr>
        <w:t> </w:t>
      </w:r>
      <w:r w:rsidR="00DE595E" w:rsidRPr="00610401">
        <w:rPr>
          <w:noProof/>
        </w:rPr>
        <w:t>5 ust.</w:t>
      </w:r>
      <w:r w:rsidRPr="00610401">
        <w:rPr>
          <w:noProof/>
        </w:rPr>
        <w:t> </w:t>
      </w:r>
      <w:r w:rsidR="00DE595E" w:rsidRPr="00610401">
        <w:rPr>
          <w:noProof/>
        </w:rPr>
        <w:t>6;</w:t>
      </w:r>
    </w:p>
    <w:p w:rsidR="00DE595E" w:rsidRPr="00610401" w:rsidRDefault="00610401" w:rsidP="00610401">
      <w:pPr>
        <w:pStyle w:val="Point1"/>
        <w:rPr>
          <w:noProof/>
        </w:rPr>
      </w:pPr>
      <w:r>
        <w:rPr>
          <w:noProof/>
        </w:rPr>
        <w:t>d)</w:t>
      </w:r>
      <w:r>
        <w:rPr>
          <w:noProof/>
        </w:rPr>
        <w:tab/>
      </w:r>
      <w:r w:rsidR="00DE595E" w:rsidRPr="00610401">
        <w:rPr>
          <w:noProof/>
        </w:rPr>
        <w:t>środki służące zapewnieniu, aby nie ulegał pogorszeniu stan obszarów, gdzie występują typy siedlisk wymienione</w:t>
      </w:r>
      <w:r w:rsidRPr="00610401">
        <w:rPr>
          <w:noProof/>
        </w:rPr>
        <w:t xml:space="preserve"> w zał</w:t>
      </w:r>
      <w:r w:rsidR="00DE595E" w:rsidRPr="00610401">
        <w:rPr>
          <w:noProof/>
        </w:rPr>
        <w:t>ącznikach I i II, zgodnie</w:t>
      </w:r>
      <w:r w:rsidRPr="00610401">
        <w:rPr>
          <w:noProof/>
        </w:rPr>
        <w:t xml:space="preserve"> z art</w:t>
      </w:r>
      <w:r w:rsidR="00DE595E" w:rsidRPr="00610401">
        <w:rPr>
          <w:noProof/>
        </w:rPr>
        <w:t>.</w:t>
      </w:r>
      <w:r w:rsidRPr="00610401">
        <w:rPr>
          <w:noProof/>
        </w:rPr>
        <w:t> </w:t>
      </w:r>
      <w:r w:rsidR="00DE595E" w:rsidRPr="00610401">
        <w:rPr>
          <w:noProof/>
        </w:rPr>
        <w:t>4 ust.</w:t>
      </w:r>
      <w:r w:rsidRPr="00610401">
        <w:rPr>
          <w:noProof/>
        </w:rPr>
        <w:t> </w:t>
      </w:r>
      <w:r w:rsidR="00DE595E" w:rsidRPr="00610401">
        <w:rPr>
          <w:noProof/>
        </w:rPr>
        <w:t>7</w:t>
      </w:r>
      <w:r w:rsidRPr="00610401">
        <w:rPr>
          <w:noProof/>
        </w:rPr>
        <w:t xml:space="preserve"> i art</w:t>
      </w:r>
      <w:r w:rsidR="00DE595E" w:rsidRPr="00610401">
        <w:rPr>
          <w:noProof/>
        </w:rPr>
        <w:t>.</w:t>
      </w:r>
      <w:r w:rsidRPr="00610401">
        <w:rPr>
          <w:noProof/>
        </w:rPr>
        <w:t> </w:t>
      </w:r>
      <w:r w:rsidR="00DE595E" w:rsidRPr="00610401">
        <w:rPr>
          <w:noProof/>
        </w:rPr>
        <w:t>5 ust.</w:t>
      </w:r>
      <w:r w:rsidRPr="00610401">
        <w:rPr>
          <w:noProof/>
        </w:rPr>
        <w:t> </w:t>
      </w:r>
      <w:r w:rsidR="00DE595E" w:rsidRPr="00610401">
        <w:rPr>
          <w:noProof/>
        </w:rPr>
        <w:t>7;</w:t>
      </w:r>
    </w:p>
    <w:p w:rsidR="003A2DE8" w:rsidRPr="00610401" w:rsidRDefault="00610401" w:rsidP="00610401">
      <w:pPr>
        <w:pStyle w:val="Point1"/>
        <w:rPr>
          <w:noProof/>
        </w:rPr>
      </w:pPr>
      <w:r>
        <w:rPr>
          <w:noProof/>
        </w:rPr>
        <w:t>e)</w:t>
      </w:r>
      <w:r>
        <w:rPr>
          <w:noProof/>
        </w:rPr>
        <w:tab/>
      </w:r>
      <w:r w:rsidR="005D3B43" w:rsidRPr="00610401">
        <w:rPr>
          <w:noProof/>
        </w:rPr>
        <w:t>wykaz barier oraz barier wyznaczonych do usunięcia zgodnie</w:t>
      </w:r>
      <w:r w:rsidRPr="00610401">
        <w:rPr>
          <w:noProof/>
        </w:rPr>
        <w:t xml:space="preserve"> z art</w:t>
      </w:r>
      <w:r w:rsidR="005D3B43" w:rsidRPr="00610401">
        <w:rPr>
          <w:noProof/>
        </w:rPr>
        <w:t>.</w:t>
      </w:r>
      <w:r w:rsidRPr="00610401">
        <w:rPr>
          <w:noProof/>
        </w:rPr>
        <w:t> </w:t>
      </w:r>
      <w:r w:rsidR="005D3B43" w:rsidRPr="00610401">
        <w:rPr>
          <w:noProof/>
        </w:rPr>
        <w:t>7 ust.</w:t>
      </w:r>
      <w:r w:rsidRPr="00610401">
        <w:rPr>
          <w:noProof/>
        </w:rPr>
        <w:t> </w:t>
      </w:r>
      <w:r w:rsidR="005D3B43" w:rsidRPr="00610401">
        <w:rPr>
          <w:noProof/>
        </w:rPr>
        <w:t>1, plan ich usunięcia zgodnie</w:t>
      </w:r>
      <w:r w:rsidRPr="00610401">
        <w:rPr>
          <w:noProof/>
        </w:rPr>
        <w:t xml:space="preserve"> z art</w:t>
      </w:r>
      <w:r w:rsidR="005D3B43" w:rsidRPr="00610401">
        <w:rPr>
          <w:noProof/>
        </w:rPr>
        <w:t>.</w:t>
      </w:r>
      <w:r w:rsidRPr="00610401">
        <w:rPr>
          <w:noProof/>
        </w:rPr>
        <w:t> </w:t>
      </w:r>
      <w:r w:rsidR="005D3B43" w:rsidRPr="00610401">
        <w:rPr>
          <w:noProof/>
        </w:rPr>
        <w:t>7 ust.</w:t>
      </w:r>
      <w:r w:rsidRPr="00610401">
        <w:rPr>
          <w:noProof/>
        </w:rPr>
        <w:t> </w:t>
      </w:r>
      <w:r w:rsidR="005D3B43" w:rsidRPr="00610401">
        <w:rPr>
          <w:noProof/>
        </w:rPr>
        <w:t>2 oraz szacowaną długość rzek, gdzie dzięki usunięciu tych barier do</w:t>
      </w:r>
      <w:r w:rsidRPr="00610401">
        <w:rPr>
          <w:noProof/>
        </w:rPr>
        <w:t> </w:t>
      </w:r>
      <w:r w:rsidR="005D3B43" w:rsidRPr="00610401">
        <w:rPr>
          <w:noProof/>
        </w:rPr>
        <w:t>2030</w:t>
      </w:r>
      <w:r w:rsidRPr="00610401">
        <w:rPr>
          <w:noProof/>
        </w:rPr>
        <w:t xml:space="preserve"> i 2</w:t>
      </w:r>
      <w:r w:rsidR="005D3B43" w:rsidRPr="00610401">
        <w:rPr>
          <w:noProof/>
        </w:rPr>
        <w:t>050</w:t>
      </w:r>
      <w:r w:rsidRPr="00610401">
        <w:rPr>
          <w:noProof/>
        </w:rPr>
        <w:t> </w:t>
      </w:r>
      <w:r w:rsidR="005D3B43" w:rsidRPr="00610401">
        <w:rPr>
          <w:noProof/>
        </w:rPr>
        <w:t>r. ma zostać osiągnięty swobodny przepływ, jak również wszelkie inne środki służące przywróceniu naturalnych funkcji równin zalewowych zgodnie</w:t>
      </w:r>
      <w:r w:rsidRPr="00610401">
        <w:rPr>
          <w:noProof/>
        </w:rPr>
        <w:t xml:space="preserve"> z art</w:t>
      </w:r>
      <w:r w:rsidR="005D3B43" w:rsidRPr="00610401">
        <w:rPr>
          <w:noProof/>
        </w:rPr>
        <w:t>.</w:t>
      </w:r>
      <w:r w:rsidRPr="00610401">
        <w:rPr>
          <w:noProof/>
        </w:rPr>
        <w:t> </w:t>
      </w:r>
      <w:r w:rsidR="005D3B43" w:rsidRPr="00610401">
        <w:rPr>
          <w:noProof/>
        </w:rPr>
        <w:t>7 ust.</w:t>
      </w:r>
      <w:r w:rsidRPr="00610401">
        <w:rPr>
          <w:noProof/>
        </w:rPr>
        <w:t> </w:t>
      </w:r>
      <w:r w:rsidR="005D3B43" w:rsidRPr="00610401">
        <w:rPr>
          <w:noProof/>
        </w:rPr>
        <w:t>3;</w:t>
      </w:r>
    </w:p>
    <w:p w:rsidR="005F1256" w:rsidRPr="00610401" w:rsidRDefault="00610401" w:rsidP="00610401">
      <w:pPr>
        <w:pStyle w:val="Point1"/>
        <w:rPr>
          <w:noProof/>
        </w:rPr>
      </w:pPr>
      <w:r>
        <w:rPr>
          <w:noProof/>
        </w:rPr>
        <w:t>f)</w:t>
      </w:r>
      <w:r>
        <w:rPr>
          <w:noProof/>
        </w:rPr>
        <w:tab/>
      </w:r>
      <w:r w:rsidR="6B09F7AB" w:rsidRPr="00610401">
        <w:rPr>
          <w:noProof/>
        </w:rPr>
        <w:t>termin wdrożenia środków odbudowy zgodnie</w:t>
      </w:r>
      <w:r w:rsidRPr="00610401">
        <w:rPr>
          <w:noProof/>
        </w:rPr>
        <w:t xml:space="preserve"> z art</w:t>
      </w:r>
      <w:r w:rsidR="6B09F7AB" w:rsidRPr="00610401">
        <w:rPr>
          <w:noProof/>
        </w:rPr>
        <w:t>.</w:t>
      </w:r>
      <w:r w:rsidRPr="00610401">
        <w:rPr>
          <w:noProof/>
        </w:rPr>
        <w:t> </w:t>
      </w:r>
      <w:r w:rsidR="6B09F7AB" w:rsidRPr="00610401">
        <w:rPr>
          <w:noProof/>
        </w:rPr>
        <w:t>4–10;</w:t>
      </w:r>
    </w:p>
    <w:p w:rsidR="00D646D8" w:rsidRPr="00610401" w:rsidRDefault="00610401" w:rsidP="00610401">
      <w:pPr>
        <w:pStyle w:val="Point1"/>
        <w:rPr>
          <w:noProof/>
        </w:rPr>
      </w:pPr>
      <w:r>
        <w:rPr>
          <w:noProof/>
        </w:rPr>
        <w:t>g)</w:t>
      </w:r>
      <w:r>
        <w:rPr>
          <w:noProof/>
        </w:rPr>
        <w:tab/>
      </w:r>
      <w:r w:rsidR="4922D007" w:rsidRPr="00610401">
        <w:rPr>
          <w:noProof/>
        </w:rPr>
        <w:t>specjalną sekcję określającą dostosowane do potrzeb środki odbudowy</w:t>
      </w:r>
      <w:r w:rsidRPr="00610401">
        <w:rPr>
          <w:noProof/>
        </w:rPr>
        <w:t xml:space="preserve"> w naj</w:t>
      </w:r>
      <w:r w:rsidR="4922D007" w:rsidRPr="00610401">
        <w:rPr>
          <w:noProof/>
        </w:rPr>
        <w:t>bardziej oddalonych regionach państw członkowskich,</w:t>
      </w:r>
      <w:r w:rsidRPr="00610401">
        <w:rPr>
          <w:noProof/>
        </w:rPr>
        <w:t xml:space="preserve"> w zal</w:t>
      </w:r>
      <w:r w:rsidR="4922D007" w:rsidRPr="00610401">
        <w:rPr>
          <w:noProof/>
        </w:rPr>
        <w:t xml:space="preserve">eżności od przypadku; </w:t>
      </w:r>
    </w:p>
    <w:p w:rsidR="005F1256" w:rsidRPr="00610401" w:rsidRDefault="00610401" w:rsidP="00610401">
      <w:pPr>
        <w:pStyle w:val="Point1"/>
        <w:rPr>
          <w:noProof/>
        </w:rPr>
      </w:pPr>
      <w:r>
        <w:rPr>
          <w:noProof/>
        </w:rPr>
        <w:t>h)</w:t>
      </w:r>
      <w:r>
        <w:rPr>
          <w:noProof/>
        </w:rPr>
        <w:tab/>
      </w:r>
      <w:r w:rsidR="4922D007" w:rsidRPr="00610401">
        <w:rPr>
          <w:noProof/>
        </w:rPr>
        <w:t>monitorowanie odbudowywanych obszarów zgodnie</w:t>
      </w:r>
      <w:r w:rsidRPr="00610401">
        <w:rPr>
          <w:noProof/>
        </w:rPr>
        <w:t xml:space="preserve"> z art</w:t>
      </w:r>
      <w:r w:rsidR="4922D007" w:rsidRPr="00610401">
        <w:rPr>
          <w:noProof/>
        </w:rPr>
        <w:t>.</w:t>
      </w:r>
      <w:r w:rsidRPr="00610401">
        <w:rPr>
          <w:noProof/>
        </w:rPr>
        <w:t> </w:t>
      </w:r>
      <w:r w:rsidR="4922D007" w:rsidRPr="00610401">
        <w:rPr>
          <w:noProof/>
        </w:rPr>
        <w:t>4</w:t>
      </w:r>
      <w:r w:rsidRPr="00610401">
        <w:rPr>
          <w:noProof/>
        </w:rPr>
        <w:t xml:space="preserve"> i 5</w:t>
      </w:r>
      <w:r w:rsidR="4922D007" w:rsidRPr="00610401">
        <w:rPr>
          <w:noProof/>
        </w:rPr>
        <w:t>, proces oceny skuteczności środków odbudowy wprowadzonych zgodnie</w:t>
      </w:r>
      <w:r w:rsidRPr="00610401">
        <w:rPr>
          <w:noProof/>
        </w:rPr>
        <w:t xml:space="preserve"> z art</w:t>
      </w:r>
      <w:r w:rsidR="4922D007" w:rsidRPr="00610401">
        <w:rPr>
          <w:noProof/>
        </w:rPr>
        <w:t>.</w:t>
      </w:r>
      <w:r w:rsidRPr="00610401">
        <w:rPr>
          <w:noProof/>
        </w:rPr>
        <w:t> </w:t>
      </w:r>
      <w:r w:rsidR="4922D007" w:rsidRPr="00610401">
        <w:rPr>
          <w:noProof/>
        </w:rPr>
        <w:t>4–10 oraz zmiany tych środków</w:t>
      </w:r>
      <w:r w:rsidRPr="00610401">
        <w:rPr>
          <w:noProof/>
        </w:rPr>
        <w:t xml:space="preserve"> w sto</w:t>
      </w:r>
      <w:r w:rsidR="4922D007" w:rsidRPr="00610401">
        <w:rPr>
          <w:noProof/>
        </w:rPr>
        <w:t>sownych przypadkach, aby zapewnić realizację celów</w:t>
      </w:r>
      <w:r w:rsidRPr="00610401">
        <w:rPr>
          <w:noProof/>
        </w:rPr>
        <w:t xml:space="preserve"> i obo</w:t>
      </w:r>
      <w:r w:rsidR="4922D007" w:rsidRPr="00610401">
        <w:rPr>
          <w:noProof/>
        </w:rPr>
        <w:t>wiązków określonych</w:t>
      </w:r>
      <w:r w:rsidRPr="00610401">
        <w:rPr>
          <w:noProof/>
        </w:rPr>
        <w:t xml:space="preserve"> w art</w:t>
      </w:r>
      <w:r w:rsidR="4922D007" w:rsidRPr="00610401">
        <w:rPr>
          <w:noProof/>
        </w:rPr>
        <w:t>.</w:t>
      </w:r>
      <w:r w:rsidRPr="00610401">
        <w:rPr>
          <w:noProof/>
        </w:rPr>
        <w:t> </w:t>
      </w:r>
      <w:r w:rsidR="4922D007" w:rsidRPr="00610401">
        <w:rPr>
          <w:noProof/>
        </w:rPr>
        <w:t xml:space="preserve">4–10; </w:t>
      </w:r>
    </w:p>
    <w:p w:rsidR="007E3E24" w:rsidRPr="00610401" w:rsidRDefault="00610401" w:rsidP="00610401">
      <w:pPr>
        <w:pStyle w:val="Point1"/>
        <w:rPr>
          <w:noProof/>
        </w:rPr>
      </w:pPr>
      <w:r>
        <w:rPr>
          <w:noProof/>
        </w:rPr>
        <w:t>i)</w:t>
      </w:r>
      <w:r>
        <w:rPr>
          <w:noProof/>
        </w:rPr>
        <w:tab/>
      </w:r>
      <w:r w:rsidR="005819CD" w:rsidRPr="00610401">
        <w:rPr>
          <w:noProof/>
        </w:rPr>
        <w:t>odniesienie do przepisów służących zapewnieniu, aby środki odbudowy,</w:t>
      </w:r>
      <w:r w:rsidRPr="00610401">
        <w:rPr>
          <w:noProof/>
        </w:rPr>
        <w:t xml:space="preserve"> o któ</w:t>
      </w:r>
      <w:r w:rsidR="005819CD" w:rsidRPr="00610401">
        <w:rPr>
          <w:noProof/>
        </w:rPr>
        <w:t>rych mowa</w:t>
      </w:r>
      <w:r w:rsidRPr="00610401">
        <w:rPr>
          <w:noProof/>
        </w:rPr>
        <w:t xml:space="preserve"> w art</w:t>
      </w:r>
      <w:r w:rsidR="005819CD" w:rsidRPr="00610401">
        <w:rPr>
          <w:noProof/>
        </w:rPr>
        <w:t>.</w:t>
      </w:r>
      <w:r w:rsidRPr="00610401">
        <w:rPr>
          <w:noProof/>
        </w:rPr>
        <w:t> </w:t>
      </w:r>
      <w:r w:rsidR="005819CD" w:rsidRPr="00610401">
        <w:rPr>
          <w:noProof/>
        </w:rPr>
        <w:t>4–10, wywarły trwałe, długoterminowe</w:t>
      </w:r>
      <w:r w:rsidRPr="00610401">
        <w:rPr>
          <w:noProof/>
        </w:rPr>
        <w:t xml:space="preserve"> i zró</w:t>
      </w:r>
      <w:r w:rsidR="005819CD" w:rsidRPr="00610401">
        <w:rPr>
          <w:noProof/>
        </w:rPr>
        <w:t>wnoważone skutki</w:t>
      </w:r>
      <w:r w:rsidR="00B3020D" w:rsidRPr="00610401">
        <w:rPr>
          <w:noProof/>
        </w:rPr>
        <w:t>;</w:t>
      </w:r>
    </w:p>
    <w:p w:rsidR="00F105F3" w:rsidRPr="00610401" w:rsidRDefault="00610401" w:rsidP="00610401">
      <w:pPr>
        <w:pStyle w:val="Point1"/>
        <w:rPr>
          <w:noProof/>
        </w:rPr>
      </w:pPr>
      <w:r>
        <w:rPr>
          <w:noProof/>
        </w:rPr>
        <w:t>j)</w:t>
      </w:r>
      <w:r>
        <w:rPr>
          <w:noProof/>
        </w:rPr>
        <w:tab/>
      </w:r>
      <w:r w:rsidR="6B09F7AB" w:rsidRPr="00610401">
        <w:rPr>
          <w:noProof/>
        </w:rPr>
        <w:t>szacowane dodatkowe korzyści</w:t>
      </w:r>
      <w:r w:rsidRPr="00610401">
        <w:rPr>
          <w:noProof/>
        </w:rPr>
        <w:t xml:space="preserve"> w zak</w:t>
      </w:r>
      <w:r w:rsidR="6B09F7AB" w:rsidRPr="00610401">
        <w:rPr>
          <w:noProof/>
        </w:rPr>
        <w:t>resie łagodzenia zmiany klimatu powiązane ze środkami odbudowy na przestrzeni czasu, jak również szersze korzyści społeczno-gospodarcze wynikające</w:t>
      </w:r>
      <w:r w:rsidRPr="00610401">
        <w:rPr>
          <w:noProof/>
        </w:rPr>
        <w:t xml:space="preserve"> z tyc</w:t>
      </w:r>
      <w:r w:rsidR="6B09F7AB" w:rsidRPr="00610401">
        <w:rPr>
          <w:noProof/>
        </w:rPr>
        <w:t>h środków;</w:t>
      </w:r>
    </w:p>
    <w:p w:rsidR="001A5DA5" w:rsidRPr="00610401" w:rsidRDefault="00610401" w:rsidP="00610401">
      <w:pPr>
        <w:pStyle w:val="Point1"/>
        <w:rPr>
          <w:noProof/>
        </w:rPr>
      </w:pPr>
      <w:r>
        <w:rPr>
          <w:noProof/>
        </w:rPr>
        <w:t>k)</w:t>
      </w:r>
      <w:r>
        <w:rPr>
          <w:noProof/>
        </w:rPr>
        <w:tab/>
      </w:r>
      <w:r w:rsidR="490FDC09" w:rsidRPr="00610401">
        <w:rPr>
          <w:noProof/>
        </w:rPr>
        <w:t>specjalną sekcję dotyczącą sposobu,</w:t>
      </w:r>
      <w:r w:rsidRPr="00610401">
        <w:rPr>
          <w:noProof/>
        </w:rPr>
        <w:t xml:space="preserve"> w jak</w:t>
      </w:r>
      <w:r w:rsidR="490FDC09" w:rsidRPr="00610401">
        <w:rPr>
          <w:noProof/>
        </w:rPr>
        <w:t>i</w:t>
      </w:r>
      <w:r w:rsidRPr="00610401">
        <w:rPr>
          <w:noProof/>
        </w:rPr>
        <w:t xml:space="preserve"> w kra</w:t>
      </w:r>
      <w:r w:rsidR="490FDC09" w:rsidRPr="00610401">
        <w:rPr>
          <w:noProof/>
        </w:rPr>
        <w:t xml:space="preserve">jowym planie odbudowy uwzględniono: </w:t>
      </w:r>
    </w:p>
    <w:p w:rsidR="001A5DA5" w:rsidRPr="00610401" w:rsidRDefault="490FDC09" w:rsidP="00A22E53">
      <w:pPr>
        <w:pStyle w:val="Point2"/>
        <w:rPr>
          <w:noProof/>
        </w:rPr>
      </w:pPr>
      <w:r w:rsidRPr="00610401">
        <w:rPr>
          <w:noProof/>
        </w:rPr>
        <w:t>(i) znaczenie scenariuszy zmiany klimatu dla planowania rodzaju</w:t>
      </w:r>
      <w:r w:rsidR="00610401" w:rsidRPr="00610401">
        <w:rPr>
          <w:noProof/>
        </w:rPr>
        <w:t xml:space="preserve"> i lok</w:t>
      </w:r>
      <w:r w:rsidRPr="00610401">
        <w:rPr>
          <w:noProof/>
        </w:rPr>
        <w:t xml:space="preserve">alizacji środków odbudowy; </w:t>
      </w:r>
    </w:p>
    <w:p w:rsidR="001A5DA5" w:rsidRPr="00610401" w:rsidRDefault="490FDC09" w:rsidP="00A22E53">
      <w:pPr>
        <w:pStyle w:val="Point2"/>
        <w:rPr>
          <w:noProof/>
        </w:rPr>
      </w:pPr>
      <w:r w:rsidRPr="00610401">
        <w:rPr>
          <w:noProof/>
        </w:rPr>
        <w:t>(ii) potencjał środków odbudowy</w:t>
      </w:r>
      <w:r w:rsidR="00610401" w:rsidRPr="00610401">
        <w:rPr>
          <w:noProof/>
        </w:rPr>
        <w:t xml:space="preserve"> w zak</w:t>
      </w:r>
      <w:r w:rsidRPr="00610401">
        <w:rPr>
          <w:noProof/>
        </w:rPr>
        <w:t>resie minimalizowania wpływu zmiany klimatu na przyrodę, zapobiegania klęskom żywiołowym</w:t>
      </w:r>
      <w:r w:rsidR="00610401" w:rsidRPr="00610401">
        <w:rPr>
          <w:noProof/>
        </w:rPr>
        <w:t xml:space="preserve"> i wsp</w:t>
      </w:r>
      <w:r w:rsidRPr="00610401">
        <w:rPr>
          <w:noProof/>
        </w:rPr>
        <w:t xml:space="preserve">ierania przystosowania się; </w:t>
      </w:r>
    </w:p>
    <w:p w:rsidR="00F105F3" w:rsidRPr="00610401" w:rsidRDefault="490FDC09" w:rsidP="00B16B21">
      <w:pPr>
        <w:pStyle w:val="Point2"/>
        <w:rPr>
          <w:noProof/>
        </w:rPr>
      </w:pPr>
      <w:r w:rsidRPr="00610401">
        <w:rPr>
          <w:noProof/>
        </w:rPr>
        <w:t>(iii) synergie</w:t>
      </w:r>
      <w:r w:rsidR="00610401" w:rsidRPr="00610401">
        <w:rPr>
          <w:noProof/>
        </w:rPr>
        <w:t xml:space="preserve"> z kra</w:t>
      </w:r>
      <w:r w:rsidRPr="00610401">
        <w:rPr>
          <w:noProof/>
        </w:rPr>
        <w:t>jowymi strategiami lub planami przystosowawczymi oraz krajowymi sprawozdaniami oceniającymi ryzyko związane</w:t>
      </w:r>
      <w:r w:rsidR="00610401" w:rsidRPr="00610401">
        <w:rPr>
          <w:noProof/>
        </w:rPr>
        <w:t xml:space="preserve"> z klę</w:t>
      </w:r>
      <w:r w:rsidRPr="00610401">
        <w:rPr>
          <w:noProof/>
        </w:rPr>
        <w:t xml:space="preserve">skami żywiołowymi; </w:t>
      </w:r>
    </w:p>
    <w:p w:rsidR="002D7773" w:rsidRPr="00610401" w:rsidRDefault="006F166C" w:rsidP="00A22E53">
      <w:pPr>
        <w:pStyle w:val="Point2"/>
        <w:rPr>
          <w:noProof/>
        </w:rPr>
      </w:pPr>
      <w:r w:rsidRPr="00610401">
        <w:rPr>
          <w:noProof/>
        </w:rPr>
        <w:t>(iv) zarys wzajemnych powiązań między środkami uwzględnionymi</w:t>
      </w:r>
      <w:r w:rsidR="00610401" w:rsidRPr="00610401">
        <w:rPr>
          <w:noProof/>
        </w:rPr>
        <w:t xml:space="preserve"> w kra</w:t>
      </w:r>
      <w:r w:rsidRPr="00610401">
        <w:rPr>
          <w:noProof/>
        </w:rPr>
        <w:t>jowym planie odbudowy</w:t>
      </w:r>
      <w:r w:rsidR="00610401" w:rsidRPr="00610401">
        <w:rPr>
          <w:noProof/>
        </w:rPr>
        <w:t xml:space="preserve"> a śro</w:t>
      </w:r>
      <w:r w:rsidRPr="00610401">
        <w:rPr>
          <w:noProof/>
        </w:rPr>
        <w:t>dkami uwzględnionymi</w:t>
      </w:r>
      <w:r w:rsidR="00610401" w:rsidRPr="00610401">
        <w:rPr>
          <w:noProof/>
        </w:rPr>
        <w:t xml:space="preserve"> w kra</w:t>
      </w:r>
      <w:r w:rsidRPr="00610401">
        <w:rPr>
          <w:noProof/>
        </w:rPr>
        <w:t>jowym planie</w:t>
      </w:r>
      <w:r w:rsidR="00610401" w:rsidRPr="00610401">
        <w:rPr>
          <w:noProof/>
        </w:rPr>
        <w:t xml:space="preserve"> w dzi</w:t>
      </w:r>
      <w:r w:rsidRPr="00610401">
        <w:rPr>
          <w:noProof/>
        </w:rPr>
        <w:t>edzinie energii</w:t>
      </w:r>
      <w:r w:rsidR="00610401" w:rsidRPr="00610401">
        <w:rPr>
          <w:noProof/>
        </w:rPr>
        <w:t xml:space="preserve"> i kli</w:t>
      </w:r>
      <w:r w:rsidRPr="00610401">
        <w:rPr>
          <w:noProof/>
        </w:rPr>
        <w:t>matu;</w:t>
      </w:r>
    </w:p>
    <w:p w:rsidR="00F105F3" w:rsidRPr="00610401" w:rsidRDefault="00610401" w:rsidP="00610401">
      <w:pPr>
        <w:pStyle w:val="Point1"/>
        <w:rPr>
          <w:noProof/>
        </w:rPr>
      </w:pPr>
      <w:r>
        <w:rPr>
          <w:noProof/>
        </w:rPr>
        <w:t>l)</w:t>
      </w:r>
      <w:r>
        <w:rPr>
          <w:noProof/>
        </w:rPr>
        <w:tab/>
      </w:r>
      <w:r w:rsidR="7F6AE66D" w:rsidRPr="00610401">
        <w:rPr>
          <w:noProof/>
        </w:rPr>
        <w:t>przewidywane potrzeby</w:t>
      </w:r>
      <w:r w:rsidRPr="00610401">
        <w:rPr>
          <w:noProof/>
        </w:rPr>
        <w:t xml:space="preserve"> w zak</w:t>
      </w:r>
      <w:r w:rsidR="7F6AE66D" w:rsidRPr="00610401">
        <w:rPr>
          <w:noProof/>
        </w:rPr>
        <w:t>resie finansowania wdrożenia środków odbudowy,</w:t>
      </w:r>
      <w:r w:rsidRPr="00610401">
        <w:rPr>
          <w:noProof/>
        </w:rPr>
        <w:t xml:space="preserve"> w tym</w:t>
      </w:r>
      <w:r w:rsidR="7F6AE66D" w:rsidRPr="00610401">
        <w:rPr>
          <w:noProof/>
        </w:rPr>
        <w:t xml:space="preserve"> opis wsparcia zainteresowanych stron, na które mają wpływ środki odbudowy lub inne nowe obowiązki wynikające</w:t>
      </w:r>
      <w:r w:rsidRPr="00610401">
        <w:rPr>
          <w:noProof/>
        </w:rPr>
        <w:t xml:space="preserve"> z nin</w:t>
      </w:r>
      <w:r w:rsidR="7F6AE66D" w:rsidRPr="00610401">
        <w:rPr>
          <w:noProof/>
        </w:rPr>
        <w:t>iejszego rozporządzenia, oraz środki planowanego finansowania publicznego lub prywatnego,</w:t>
      </w:r>
      <w:r w:rsidRPr="00610401">
        <w:rPr>
          <w:noProof/>
        </w:rPr>
        <w:t xml:space="preserve"> w tym</w:t>
      </w:r>
      <w:r w:rsidR="7F6AE66D" w:rsidRPr="00610401">
        <w:rPr>
          <w:noProof/>
        </w:rPr>
        <w:t xml:space="preserve"> (współ)finansowanie za pomocą unijnych instrumentów finansowania;</w:t>
      </w:r>
      <w:r w:rsidRPr="00610401">
        <w:rPr>
          <w:noProof/>
        </w:rPr>
        <w:t xml:space="preserve"> </w:t>
      </w:r>
    </w:p>
    <w:p w:rsidR="00E32900" w:rsidRPr="00610401" w:rsidRDefault="00610401" w:rsidP="00610401">
      <w:pPr>
        <w:pStyle w:val="Point1"/>
        <w:rPr>
          <w:noProof/>
        </w:rPr>
      </w:pPr>
      <w:r>
        <w:rPr>
          <w:noProof/>
        </w:rPr>
        <w:t>m)</w:t>
      </w:r>
      <w:r>
        <w:rPr>
          <w:noProof/>
        </w:rPr>
        <w:tab/>
      </w:r>
      <w:r w:rsidR="001A5DA5" w:rsidRPr="00610401">
        <w:rPr>
          <w:noProof/>
        </w:rPr>
        <w:t>wskazanie, które dotacje mają negatywny wpływ na osiągnięcie celów</w:t>
      </w:r>
      <w:r w:rsidRPr="00610401">
        <w:rPr>
          <w:noProof/>
        </w:rPr>
        <w:t xml:space="preserve"> i wyp</w:t>
      </w:r>
      <w:r w:rsidR="001A5DA5" w:rsidRPr="00610401">
        <w:rPr>
          <w:noProof/>
        </w:rPr>
        <w:t>ełnienie obowiązków określonych</w:t>
      </w:r>
      <w:r w:rsidRPr="00610401">
        <w:rPr>
          <w:noProof/>
        </w:rPr>
        <w:t xml:space="preserve"> w nin</w:t>
      </w:r>
      <w:r w:rsidR="001A5DA5" w:rsidRPr="00610401">
        <w:rPr>
          <w:noProof/>
        </w:rPr>
        <w:t>iejszym rozporządzeniu;</w:t>
      </w:r>
    </w:p>
    <w:p w:rsidR="0076394B" w:rsidRPr="00610401" w:rsidRDefault="00610401" w:rsidP="00610401">
      <w:pPr>
        <w:pStyle w:val="Point1"/>
        <w:rPr>
          <w:noProof/>
        </w:rPr>
      </w:pPr>
      <w:r>
        <w:rPr>
          <w:noProof/>
        </w:rPr>
        <w:t>n)</w:t>
      </w:r>
      <w:r>
        <w:rPr>
          <w:noProof/>
        </w:rPr>
        <w:tab/>
      </w:r>
      <w:r w:rsidR="7F6AE66D" w:rsidRPr="00610401">
        <w:rPr>
          <w:noProof/>
        </w:rPr>
        <w:t>podsumowanie procesu przygotowywania</w:t>
      </w:r>
      <w:r w:rsidRPr="00610401">
        <w:rPr>
          <w:noProof/>
        </w:rPr>
        <w:t xml:space="preserve"> i ust</w:t>
      </w:r>
      <w:r w:rsidR="7F6AE66D" w:rsidRPr="00610401">
        <w:rPr>
          <w:noProof/>
        </w:rPr>
        <w:t>anawiania krajowego planu odbudowy,</w:t>
      </w:r>
      <w:r w:rsidRPr="00610401">
        <w:rPr>
          <w:noProof/>
        </w:rPr>
        <w:t xml:space="preserve"> w tym</w:t>
      </w:r>
      <w:r w:rsidR="7F6AE66D" w:rsidRPr="00610401">
        <w:rPr>
          <w:noProof/>
        </w:rPr>
        <w:t xml:space="preserve"> informacje na temat udziału społeczeństwa oraz sposobu uwzględnienia potrzeb społeczności lokalnych</w:t>
      </w:r>
      <w:r w:rsidRPr="00610401">
        <w:rPr>
          <w:noProof/>
        </w:rPr>
        <w:t xml:space="preserve"> i zai</w:t>
      </w:r>
      <w:r w:rsidR="7F6AE66D" w:rsidRPr="00610401">
        <w:rPr>
          <w:noProof/>
        </w:rPr>
        <w:t>nteresowanych stron;</w:t>
      </w:r>
    </w:p>
    <w:p w:rsidR="00052C4D" w:rsidRPr="00610401" w:rsidRDefault="00610401" w:rsidP="00610401">
      <w:pPr>
        <w:pStyle w:val="Point1"/>
        <w:rPr>
          <w:noProof/>
        </w:rPr>
      </w:pPr>
      <w:r>
        <w:rPr>
          <w:noProof/>
        </w:rPr>
        <w:t>o)</w:t>
      </w:r>
      <w:r>
        <w:rPr>
          <w:noProof/>
        </w:rPr>
        <w:tab/>
      </w:r>
      <w:r w:rsidR="00D541E3" w:rsidRPr="00610401">
        <w:rPr>
          <w:noProof/>
        </w:rPr>
        <w:t>specjalną sekcję wskazującą sposób,</w:t>
      </w:r>
      <w:r w:rsidRPr="00610401">
        <w:rPr>
          <w:noProof/>
        </w:rPr>
        <w:t xml:space="preserve"> w jak</w:t>
      </w:r>
      <w:r w:rsidR="00D541E3" w:rsidRPr="00610401">
        <w:rPr>
          <w:noProof/>
        </w:rPr>
        <w:t>i uwagi Komisji dotyczące projektu krajowego planu odbudowy,</w:t>
      </w:r>
      <w:r w:rsidRPr="00610401">
        <w:rPr>
          <w:noProof/>
        </w:rPr>
        <w:t xml:space="preserve"> o któ</w:t>
      </w:r>
      <w:r w:rsidR="00D541E3" w:rsidRPr="00610401">
        <w:rPr>
          <w:noProof/>
        </w:rPr>
        <w:t>rych mowa</w:t>
      </w:r>
      <w:r w:rsidRPr="00610401">
        <w:rPr>
          <w:noProof/>
        </w:rPr>
        <w:t xml:space="preserve"> w art</w:t>
      </w:r>
      <w:r w:rsidR="00D541E3" w:rsidRPr="00610401">
        <w:rPr>
          <w:noProof/>
        </w:rPr>
        <w:t>.</w:t>
      </w:r>
      <w:r w:rsidRPr="00610401">
        <w:rPr>
          <w:noProof/>
        </w:rPr>
        <w:t> </w:t>
      </w:r>
      <w:r w:rsidR="00D541E3" w:rsidRPr="00610401">
        <w:rPr>
          <w:noProof/>
        </w:rPr>
        <w:t>14 ust.</w:t>
      </w:r>
      <w:r w:rsidRPr="00610401">
        <w:rPr>
          <w:noProof/>
        </w:rPr>
        <w:t> </w:t>
      </w:r>
      <w:r w:rsidR="00D541E3" w:rsidRPr="00610401">
        <w:rPr>
          <w:noProof/>
        </w:rPr>
        <w:t>4, zostały uwzględnione zgodnie</w:t>
      </w:r>
      <w:r w:rsidRPr="00610401">
        <w:rPr>
          <w:noProof/>
        </w:rPr>
        <w:t xml:space="preserve"> z art</w:t>
      </w:r>
      <w:r w:rsidR="00D541E3" w:rsidRPr="00610401">
        <w:rPr>
          <w:noProof/>
        </w:rPr>
        <w:t>.</w:t>
      </w:r>
      <w:r w:rsidRPr="00610401">
        <w:rPr>
          <w:noProof/>
        </w:rPr>
        <w:t> </w:t>
      </w:r>
      <w:r w:rsidR="00D541E3" w:rsidRPr="00610401">
        <w:rPr>
          <w:noProof/>
        </w:rPr>
        <w:t>14 ust.</w:t>
      </w:r>
      <w:r w:rsidRPr="00610401">
        <w:rPr>
          <w:noProof/>
        </w:rPr>
        <w:t> </w:t>
      </w:r>
      <w:r w:rsidR="00D541E3" w:rsidRPr="00610401">
        <w:rPr>
          <w:noProof/>
        </w:rPr>
        <w:t>5.</w:t>
      </w:r>
      <w:r w:rsidRPr="00610401">
        <w:rPr>
          <w:noProof/>
        </w:rPr>
        <w:t xml:space="preserve"> </w:t>
      </w:r>
      <w:r w:rsidR="00D541E3" w:rsidRPr="00610401">
        <w:rPr>
          <w:noProof/>
        </w:rPr>
        <w:t>Jeżeli dane państwo członkowskie nie uwzględnia danej uwagi Komisji</w:t>
      </w:r>
      <w:r w:rsidRPr="00610401">
        <w:rPr>
          <w:noProof/>
        </w:rPr>
        <w:t xml:space="preserve"> w cał</w:t>
      </w:r>
      <w:r w:rsidR="00D541E3" w:rsidRPr="00610401">
        <w:rPr>
          <w:noProof/>
        </w:rPr>
        <w:t>ości lub</w:t>
      </w:r>
      <w:r w:rsidRPr="00610401">
        <w:rPr>
          <w:noProof/>
        </w:rPr>
        <w:t xml:space="preserve"> w zna</w:t>
      </w:r>
      <w:r w:rsidR="00D541E3" w:rsidRPr="00610401">
        <w:rPr>
          <w:noProof/>
        </w:rPr>
        <w:t>cznej mierze, przedstawia uzasadnienie tego faktu.</w:t>
      </w:r>
    </w:p>
    <w:p w:rsidR="43BAFDB9" w:rsidRPr="00610401" w:rsidRDefault="009F5C98" w:rsidP="009F5C98">
      <w:pPr>
        <w:pStyle w:val="ManualNumPar1"/>
        <w:rPr>
          <w:noProof/>
        </w:rPr>
      </w:pPr>
      <w:r w:rsidRPr="009F5C98">
        <w:t>3.</w:t>
      </w:r>
      <w:r w:rsidRPr="009F5C98">
        <w:tab/>
      </w:r>
      <w:r w:rsidR="30055143" w:rsidRPr="00610401">
        <w:rPr>
          <w:noProof/>
        </w:rPr>
        <w:t>Krajowe plany odbudowy</w:t>
      </w:r>
      <w:r w:rsidR="00610401" w:rsidRPr="00610401">
        <w:rPr>
          <w:noProof/>
        </w:rPr>
        <w:t xml:space="preserve"> w sto</w:t>
      </w:r>
      <w:r w:rsidR="30055143" w:rsidRPr="00610401">
        <w:rPr>
          <w:noProof/>
        </w:rPr>
        <w:t>sownych przypadkach obejmują środki ochronne, które państwo członkowskie zamierza wprowadzić</w:t>
      </w:r>
      <w:r w:rsidR="00610401" w:rsidRPr="00610401">
        <w:rPr>
          <w:noProof/>
        </w:rPr>
        <w:t xml:space="preserve"> w ram</w:t>
      </w:r>
      <w:r w:rsidR="30055143" w:rsidRPr="00610401">
        <w:rPr>
          <w:noProof/>
        </w:rPr>
        <w:t>ach wspólnej polityki rybołówstwa,</w:t>
      </w:r>
      <w:r w:rsidR="00610401" w:rsidRPr="00610401">
        <w:rPr>
          <w:noProof/>
        </w:rPr>
        <w:t xml:space="preserve"> w tym</w:t>
      </w:r>
      <w:r w:rsidR="30055143" w:rsidRPr="00610401">
        <w:rPr>
          <w:noProof/>
        </w:rPr>
        <w:t xml:space="preserve"> środki ochronne określone we wspólnych rekomendacjach, które państwo członkowskie zamierza zainicjować zgodnie</w:t>
      </w:r>
      <w:r w:rsidR="00610401" w:rsidRPr="00610401">
        <w:rPr>
          <w:noProof/>
        </w:rPr>
        <w:t xml:space="preserve"> z pro</w:t>
      </w:r>
      <w:r w:rsidR="30055143" w:rsidRPr="00610401">
        <w:rPr>
          <w:noProof/>
        </w:rPr>
        <w:t>cedurą określoną</w:t>
      </w:r>
      <w:r w:rsidR="00610401" w:rsidRPr="00610401">
        <w:rPr>
          <w:noProof/>
        </w:rPr>
        <w:t xml:space="preserve"> w roz</w:t>
      </w:r>
      <w:r w:rsidR="30055143" w:rsidRPr="00610401">
        <w:rPr>
          <w:noProof/>
        </w:rPr>
        <w:t>porządzeniu (UE) nr</w:t>
      </w:r>
      <w:r w:rsidR="00610401" w:rsidRPr="00610401">
        <w:rPr>
          <w:noProof/>
        </w:rPr>
        <w:t> </w:t>
      </w:r>
      <w:r w:rsidR="30055143" w:rsidRPr="00610401">
        <w:rPr>
          <w:noProof/>
        </w:rPr>
        <w:t>1380/2013, jak również wszelkie istotne informacje na temat tych środków.</w:t>
      </w:r>
    </w:p>
    <w:p w:rsidR="000C14B9" w:rsidRPr="00610401" w:rsidRDefault="009F5C98" w:rsidP="009F5C98">
      <w:pPr>
        <w:pStyle w:val="ManualNumPar1"/>
        <w:rPr>
          <w:noProof/>
        </w:rPr>
      </w:pPr>
      <w:r w:rsidRPr="009F5C98">
        <w:t>4.</w:t>
      </w:r>
      <w:r w:rsidRPr="009F5C98">
        <w:tab/>
      </w:r>
      <w:r w:rsidR="5AACE175" w:rsidRPr="00610401">
        <w:rPr>
          <w:noProof/>
        </w:rPr>
        <w:t>Komisja przyjmuje akty wykonawcze</w:t>
      </w:r>
      <w:r w:rsidR="00610401" w:rsidRPr="00610401">
        <w:rPr>
          <w:noProof/>
        </w:rPr>
        <w:t xml:space="preserve"> w cel</w:t>
      </w:r>
      <w:r w:rsidR="5AACE175" w:rsidRPr="00610401">
        <w:rPr>
          <w:noProof/>
        </w:rPr>
        <w:t>u ustanowienia jednolitego formatu krajowych planów odbudowy. Te akty wykonawcze przyjmowane są zgodnie</w:t>
      </w:r>
      <w:r w:rsidR="00610401" w:rsidRPr="00610401">
        <w:rPr>
          <w:noProof/>
        </w:rPr>
        <w:t xml:space="preserve"> z pro</w:t>
      </w:r>
      <w:r w:rsidR="5AACE175" w:rsidRPr="00610401">
        <w:rPr>
          <w:noProof/>
        </w:rPr>
        <w:t>cedurą sprawdzającą,</w:t>
      </w:r>
      <w:r w:rsidR="00610401" w:rsidRPr="00610401">
        <w:rPr>
          <w:noProof/>
        </w:rPr>
        <w:t xml:space="preserve"> o któ</w:t>
      </w:r>
      <w:r w:rsidR="5AACE175" w:rsidRPr="00610401">
        <w:rPr>
          <w:noProof/>
        </w:rPr>
        <w:t>rej mowa</w:t>
      </w:r>
      <w:r w:rsidR="00610401" w:rsidRPr="00610401">
        <w:rPr>
          <w:noProof/>
        </w:rPr>
        <w:t xml:space="preserve"> w art</w:t>
      </w:r>
      <w:r w:rsidR="5AACE175" w:rsidRPr="00610401">
        <w:rPr>
          <w:noProof/>
        </w:rPr>
        <w:t>. 21 ust.</w:t>
      </w:r>
      <w:r w:rsidR="00610401" w:rsidRPr="00610401">
        <w:rPr>
          <w:noProof/>
        </w:rPr>
        <w:t> </w:t>
      </w:r>
      <w:r w:rsidR="5AACE175" w:rsidRPr="00610401">
        <w:rPr>
          <w:noProof/>
        </w:rPr>
        <w:t xml:space="preserve">2. Przy opracowywaniu jednolitego formatu Komisja korzysta ze wsparcia Europejskiej Agencji Środowiska. </w:t>
      </w:r>
    </w:p>
    <w:p w:rsidR="00EC4B41" w:rsidRPr="00610401" w:rsidRDefault="00EC4B41" w:rsidP="00052C4D">
      <w:pPr>
        <w:pStyle w:val="Titrearticle"/>
        <w:rPr>
          <w:noProof/>
        </w:rPr>
      </w:pPr>
      <w:r w:rsidRPr="00610401">
        <w:rPr>
          <w:noProof/>
        </w:rPr>
        <w:t xml:space="preserve">Artykuł 13 </w:t>
      </w:r>
      <w:r w:rsidRPr="00610401">
        <w:rPr>
          <w:noProof/>
        </w:rPr>
        <w:br/>
      </w:r>
      <w:r w:rsidRPr="00610401">
        <w:rPr>
          <w:b/>
          <w:i w:val="0"/>
          <w:noProof/>
        </w:rPr>
        <w:t>Przedłożenie projektu krajowego planu odbudowy</w:t>
      </w:r>
    </w:p>
    <w:p w:rsidR="00EC4B41" w:rsidRPr="00610401" w:rsidRDefault="00EC4B41" w:rsidP="000C14B9">
      <w:pPr>
        <w:rPr>
          <w:i/>
          <w:iCs/>
          <w:noProof/>
        </w:rPr>
      </w:pPr>
      <w:r w:rsidRPr="00610401">
        <w:rPr>
          <w:noProof/>
        </w:rPr>
        <w:t>Państwa członkowskie przedkładają Komisji projekt krajowego planu odbudowy,</w:t>
      </w:r>
      <w:r w:rsidR="00610401" w:rsidRPr="00610401">
        <w:rPr>
          <w:noProof/>
        </w:rPr>
        <w:t xml:space="preserve"> o któ</w:t>
      </w:r>
      <w:r w:rsidRPr="00610401">
        <w:rPr>
          <w:noProof/>
        </w:rPr>
        <w:t>rym mowa</w:t>
      </w:r>
      <w:r w:rsidR="00610401" w:rsidRPr="00610401">
        <w:rPr>
          <w:noProof/>
        </w:rPr>
        <w:t xml:space="preserve"> w art</w:t>
      </w:r>
      <w:r w:rsidRPr="00610401">
        <w:rPr>
          <w:noProof/>
        </w:rPr>
        <w:t>.</w:t>
      </w:r>
      <w:r w:rsidR="00610401" w:rsidRPr="00610401">
        <w:rPr>
          <w:noProof/>
        </w:rPr>
        <w:t> </w:t>
      </w:r>
      <w:r w:rsidRPr="00610401">
        <w:rPr>
          <w:noProof/>
        </w:rPr>
        <w:t>11</w:t>
      </w:r>
      <w:r w:rsidR="00610401" w:rsidRPr="00610401">
        <w:rPr>
          <w:noProof/>
        </w:rPr>
        <w:t xml:space="preserve"> i 1</w:t>
      </w:r>
      <w:r w:rsidRPr="00610401">
        <w:rPr>
          <w:noProof/>
        </w:rPr>
        <w:t xml:space="preserve">2, do dnia </w:t>
      </w:r>
      <w:r w:rsidRPr="00610401">
        <w:rPr>
          <w:i/>
          <w:noProof/>
        </w:rPr>
        <w:t>[Urząd Publikacji: proszę wstawić datę = pierwszy dzień miesiąca następującego po</w:t>
      </w:r>
      <w:r w:rsidR="00610401" w:rsidRPr="00610401">
        <w:rPr>
          <w:i/>
          <w:noProof/>
        </w:rPr>
        <w:t> </w:t>
      </w:r>
      <w:r w:rsidRPr="00610401">
        <w:rPr>
          <w:i/>
          <w:noProof/>
        </w:rPr>
        <w:t>24 miesiącach od daty wejścia</w:t>
      </w:r>
      <w:r w:rsidR="00610401" w:rsidRPr="00610401">
        <w:rPr>
          <w:i/>
          <w:noProof/>
        </w:rPr>
        <w:t xml:space="preserve"> w życ</w:t>
      </w:r>
      <w:r w:rsidRPr="00610401">
        <w:rPr>
          <w:i/>
          <w:noProof/>
        </w:rPr>
        <w:t xml:space="preserve">ie niniejszego rozporządzenia] r. </w:t>
      </w:r>
    </w:p>
    <w:p w:rsidR="006540B4" w:rsidRPr="00610401" w:rsidRDefault="006540B4" w:rsidP="000C14B9">
      <w:pPr>
        <w:rPr>
          <w:noProof/>
        </w:rPr>
      </w:pPr>
    </w:p>
    <w:p w:rsidR="000C14B9" w:rsidRPr="00610401" w:rsidRDefault="00B7078E" w:rsidP="001324B9">
      <w:pPr>
        <w:pStyle w:val="Titrearticle"/>
        <w:rPr>
          <w:noProof/>
        </w:rPr>
      </w:pPr>
      <w:r w:rsidRPr="00610401">
        <w:rPr>
          <w:noProof/>
        </w:rPr>
        <w:t xml:space="preserve">Artykuł 14 </w:t>
      </w:r>
      <w:r w:rsidRPr="00610401">
        <w:rPr>
          <w:noProof/>
        </w:rPr>
        <w:br/>
      </w:r>
      <w:r w:rsidRPr="00610401">
        <w:rPr>
          <w:b/>
          <w:i w:val="0"/>
          <w:noProof/>
        </w:rPr>
        <w:t>Ocena krajowych planów odbudowy</w:t>
      </w:r>
      <w:r w:rsidRPr="00610401">
        <w:rPr>
          <w:noProof/>
        </w:rPr>
        <w:t xml:space="preserve"> </w:t>
      </w:r>
    </w:p>
    <w:p w:rsidR="00B7078E" w:rsidRPr="00610401" w:rsidRDefault="009F5C98" w:rsidP="009F5C98">
      <w:pPr>
        <w:pStyle w:val="ManualNumPar1"/>
        <w:rPr>
          <w:noProof/>
        </w:rPr>
      </w:pPr>
      <w:r w:rsidRPr="009F5C98">
        <w:t>1.</w:t>
      </w:r>
      <w:r w:rsidRPr="009F5C98">
        <w:tab/>
      </w:r>
      <w:r w:rsidR="061F93AE" w:rsidRPr="00610401">
        <w:rPr>
          <w:noProof/>
        </w:rPr>
        <w:t>Komisja przeprowadza ocenę projektów krajowych planów odbudowy</w:t>
      </w:r>
      <w:r w:rsidR="00610401" w:rsidRPr="00610401">
        <w:rPr>
          <w:noProof/>
        </w:rPr>
        <w:t xml:space="preserve"> w ter</w:t>
      </w:r>
      <w:r w:rsidR="061F93AE" w:rsidRPr="00610401">
        <w:rPr>
          <w:noProof/>
        </w:rPr>
        <w:t>minie sześciu miesięcy od daty ich otrzymania. Przeprowadzając tę ocenę, Komisja działa</w:t>
      </w:r>
      <w:r w:rsidR="00610401" w:rsidRPr="00610401">
        <w:rPr>
          <w:noProof/>
        </w:rPr>
        <w:t xml:space="preserve"> w ści</w:t>
      </w:r>
      <w:r w:rsidR="061F93AE" w:rsidRPr="00610401">
        <w:rPr>
          <w:noProof/>
        </w:rPr>
        <w:t>słej współpracy</w:t>
      </w:r>
      <w:r w:rsidR="00610401" w:rsidRPr="00610401">
        <w:rPr>
          <w:noProof/>
        </w:rPr>
        <w:t xml:space="preserve"> z dan</w:t>
      </w:r>
      <w:r w:rsidR="061F93AE" w:rsidRPr="00610401">
        <w:rPr>
          <w:noProof/>
        </w:rPr>
        <w:t xml:space="preserve">ym państwem członkowskim. </w:t>
      </w:r>
    </w:p>
    <w:p w:rsidR="00053DED" w:rsidRPr="00610401" w:rsidRDefault="009F5C98" w:rsidP="009F5C98">
      <w:pPr>
        <w:pStyle w:val="ManualNumPar1"/>
        <w:rPr>
          <w:noProof/>
        </w:rPr>
      </w:pPr>
      <w:r w:rsidRPr="009F5C98">
        <w:t>2.</w:t>
      </w:r>
      <w:r w:rsidRPr="009F5C98">
        <w:tab/>
      </w:r>
      <w:r w:rsidR="60AC98F8" w:rsidRPr="00610401">
        <w:rPr>
          <w:noProof/>
        </w:rPr>
        <w:t>Oceniając projekt krajowego planu odbudowy, Komisja bierze pod uwagę jego zgodność</w:t>
      </w:r>
      <w:r w:rsidR="00610401" w:rsidRPr="00610401">
        <w:rPr>
          <w:noProof/>
        </w:rPr>
        <w:t xml:space="preserve"> z art</w:t>
      </w:r>
      <w:r w:rsidR="60AC98F8" w:rsidRPr="00610401">
        <w:rPr>
          <w:noProof/>
        </w:rPr>
        <w:t>.</w:t>
      </w:r>
      <w:r w:rsidR="00610401" w:rsidRPr="00610401">
        <w:rPr>
          <w:noProof/>
        </w:rPr>
        <w:t> </w:t>
      </w:r>
      <w:r w:rsidR="60AC98F8" w:rsidRPr="00610401">
        <w:rPr>
          <w:noProof/>
        </w:rPr>
        <w:t>12,</w:t>
      </w:r>
      <w:r w:rsidR="00610401" w:rsidRPr="00610401">
        <w:rPr>
          <w:noProof/>
        </w:rPr>
        <w:t xml:space="preserve"> a tak</w:t>
      </w:r>
      <w:r w:rsidR="60AC98F8" w:rsidRPr="00610401">
        <w:rPr>
          <w:noProof/>
        </w:rPr>
        <w:t>że jego adekwatność do osiągnięcia celów</w:t>
      </w:r>
      <w:r w:rsidR="00610401" w:rsidRPr="00610401">
        <w:rPr>
          <w:noProof/>
        </w:rPr>
        <w:t xml:space="preserve"> i wyp</w:t>
      </w:r>
      <w:r w:rsidR="60AC98F8" w:rsidRPr="00610401">
        <w:rPr>
          <w:noProof/>
        </w:rPr>
        <w:t>ełnienia obowiązków określonych</w:t>
      </w:r>
      <w:r w:rsidR="00610401" w:rsidRPr="00610401">
        <w:rPr>
          <w:noProof/>
        </w:rPr>
        <w:t xml:space="preserve"> w art</w:t>
      </w:r>
      <w:r w:rsidR="60AC98F8" w:rsidRPr="00610401">
        <w:rPr>
          <w:noProof/>
        </w:rPr>
        <w:t>.</w:t>
      </w:r>
      <w:r w:rsidR="00610401" w:rsidRPr="00610401">
        <w:rPr>
          <w:noProof/>
        </w:rPr>
        <w:t> </w:t>
      </w:r>
      <w:r w:rsidR="60AC98F8" w:rsidRPr="00610401">
        <w:rPr>
          <w:noProof/>
        </w:rPr>
        <w:t>4–10,</w:t>
      </w:r>
      <w:r w:rsidR="00610401" w:rsidRPr="00610401">
        <w:rPr>
          <w:noProof/>
        </w:rPr>
        <w:t xml:space="preserve"> a tak</w:t>
      </w:r>
      <w:r w:rsidR="60AC98F8" w:rsidRPr="00610401">
        <w:rPr>
          <w:noProof/>
        </w:rPr>
        <w:t>że do osiągnięcia nadrzędnych celów Unii,</w:t>
      </w:r>
      <w:r w:rsidR="00610401" w:rsidRPr="00610401">
        <w:rPr>
          <w:noProof/>
        </w:rPr>
        <w:t xml:space="preserve"> o któ</w:t>
      </w:r>
      <w:r w:rsidR="60AC98F8" w:rsidRPr="00610401">
        <w:rPr>
          <w:noProof/>
        </w:rPr>
        <w:t>rych mowa</w:t>
      </w:r>
      <w:r w:rsidR="00610401" w:rsidRPr="00610401">
        <w:rPr>
          <w:noProof/>
        </w:rPr>
        <w:t xml:space="preserve"> w art</w:t>
      </w:r>
      <w:r w:rsidR="60AC98F8" w:rsidRPr="00610401">
        <w:rPr>
          <w:noProof/>
        </w:rPr>
        <w:t>.</w:t>
      </w:r>
      <w:r w:rsidR="00610401" w:rsidRPr="00610401">
        <w:rPr>
          <w:noProof/>
        </w:rPr>
        <w:t> </w:t>
      </w:r>
      <w:r w:rsidR="60AC98F8" w:rsidRPr="00610401">
        <w:rPr>
          <w:noProof/>
        </w:rPr>
        <w:t>1, celów szczegółowych,</w:t>
      </w:r>
      <w:r w:rsidR="00610401" w:rsidRPr="00610401">
        <w:rPr>
          <w:noProof/>
        </w:rPr>
        <w:t xml:space="preserve"> o któ</w:t>
      </w:r>
      <w:r w:rsidR="60AC98F8" w:rsidRPr="00610401">
        <w:rPr>
          <w:noProof/>
        </w:rPr>
        <w:t>rych mowa</w:t>
      </w:r>
      <w:r w:rsidR="00610401" w:rsidRPr="00610401">
        <w:rPr>
          <w:noProof/>
        </w:rPr>
        <w:t xml:space="preserve"> w art</w:t>
      </w:r>
      <w:r w:rsidR="60AC98F8" w:rsidRPr="00610401">
        <w:rPr>
          <w:noProof/>
        </w:rPr>
        <w:t>.</w:t>
      </w:r>
      <w:r w:rsidR="00610401" w:rsidRPr="00610401">
        <w:rPr>
          <w:noProof/>
        </w:rPr>
        <w:t> </w:t>
      </w:r>
      <w:r w:rsidR="60AC98F8" w:rsidRPr="00610401">
        <w:rPr>
          <w:noProof/>
        </w:rPr>
        <w:t>7 ust.</w:t>
      </w:r>
      <w:r w:rsidR="00610401" w:rsidRPr="00610401">
        <w:rPr>
          <w:noProof/>
        </w:rPr>
        <w:t> </w:t>
      </w:r>
      <w:r w:rsidR="60AC98F8" w:rsidRPr="00610401">
        <w:rPr>
          <w:noProof/>
        </w:rPr>
        <w:t xml:space="preserve">1, dotyczących </w:t>
      </w:r>
      <w:r w:rsidR="60AC98F8" w:rsidRPr="00610401">
        <w:rPr>
          <w:noProof/>
          <w:color w:val="000000" w:themeColor="text1"/>
          <w:shd w:val="clear" w:color="auto" w:fill="FFFFFF"/>
        </w:rPr>
        <w:t>przywrócenia co najmniej 25 000 km rzek</w:t>
      </w:r>
      <w:r w:rsidR="00610401" w:rsidRPr="00610401">
        <w:rPr>
          <w:noProof/>
          <w:color w:val="000000" w:themeColor="text1"/>
          <w:shd w:val="clear" w:color="auto" w:fill="FFFFFF"/>
        </w:rPr>
        <w:t xml:space="preserve"> w Uni</w:t>
      </w:r>
      <w:r w:rsidR="60AC98F8" w:rsidRPr="00610401">
        <w:rPr>
          <w:noProof/>
          <w:color w:val="000000" w:themeColor="text1"/>
          <w:shd w:val="clear" w:color="auto" w:fill="FFFFFF"/>
        </w:rPr>
        <w:t>i do stanu swobodnego przepływu do</w:t>
      </w:r>
      <w:r w:rsidR="00610401" w:rsidRPr="00610401">
        <w:rPr>
          <w:noProof/>
          <w:color w:val="000000" w:themeColor="text1"/>
          <w:shd w:val="clear" w:color="auto" w:fill="FFFFFF"/>
        </w:rPr>
        <w:t> </w:t>
      </w:r>
      <w:r w:rsidR="60AC98F8" w:rsidRPr="00610401">
        <w:rPr>
          <w:noProof/>
          <w:color w:val="000000" w:themeColor="text1"/>
          <w:shd w:val="clear" w:color="auto" w:fill="FFFFFF"/>
        </w:rPr>
        <w:t>2030</w:t>
      </w:r>
      <w:r w:rsidR="00610401" w:rsidRPr="00610401">
        <w:rPr>
          <w:noProof/>
          <w:color w:val="000000" w:themeColor="text1"/>
          <w:shd w:val="clear" w:color="auto" w:fill="FFFFFF"/>
        </w:rPr>
        <w:t> </w:t>
      </w:r>
      <w:r w:rsidR="60AC98F8" w:rsidRPr="00610401">
        <w:rPr>
          <w:noProof/>
          <w:color w:val="000000" w:themeColor="text1"/>
          <w:shd w:val="clear" w:color="auto" w:fill="FFFFFF"/>
        </w:rPr>
        <w:t>r.</w:t>
      </w:r>
      <w:r w:rsidR="60AC98F8" w:rsidRPr="00610401">
        <w:rPr>
          <w:noProof/>
        </w:rPr>
        <w:t xml:space="preserve"> oraz </w:t>
      </w:r>
      <w:r w:rsidR="60AC98F8" w:rsidRPr="00610401">
        <w:rPr>
          <w:noProof/>
          <w:color w:val="000000" w:themeColor="text1"/>
        </w:rPr>
        <w:t>celu na</w:t>
      </w:r>
      <w:r w:rsidR="00610401" w:rsidRPr="00610401">
        <w:rPr>
          <w:noProof/>
          <w:color w:val="000000" w:themeColor="text1"/>
        </w:rPr>
        <w:t> </w:t>
      </w:r>
      <w:r w:rsidR="60AC98F8" w:rsidRPr="00610401">
        <w:rPr>
          <w:noProof/>
          <w:color w:val="000000" w:themeColor="text1"/>
        </w:rPr>
        <w:t>2030</w:t>
      </w:r>
      <w:r w:rsidR="00610401" w:rsidRPr="00610401">
        <w:rPr>
          <w:noProof/>
          <w:color w:val="000000" w:themeColor="text1"/>
        </w:rPr>
        <w:t> </w:t>
      </w:r>
      <w:r w:rsidR="60AC98F8" w:rsidRPr="00610401">
        <w:rPr>
          <w:noProof/>
          <w:color w:val="000000" w:themeColor="text1"/>
        </w:rPr>
        <w:t xml:space="preserve">r., jakim jest </w:t>
      </w:r>
      <w:r w:rsidR="60AC98F8" w:rsidRPr="00610401">
        <w:rPr>
          <w:noProof/>
          <w:color w:val="000000" w:themeColor="text1"/>
          <w:shd w:val="clear" w:color="auto" w:fill="FFFFFF"/>
        </w:rPr>
        <w:t>zapewnienie obecności elementów krajobrazu</w:t>
      </w:r>
      <w:r w:rsidR="00610401" w:rsidRPr="00610401">
        <w:rPr>
          <w:noProof/>
          <w:color w:val="000000" w:themeColor="text1"/>
          <w:shd w:val="clear" w:color="auto" w:fill="FFFFFF"/>
        </w:rPr>
        <w:t xml:space="preserve"> o wys</w:t>
      </w:r>
      <w:r w:rsidR="60AC98F8" w:rsidRPr="00610401">
        <w:rPr>
          <w:noProof/>
          <w:color w:val="000000" w:themeColor="text1"/>
          <w:shd w:val="clear" w:color="auto" w:fill="FFFFFF"/>
        </w:rPr>
        <w:t>okiej różnorodności na co najmniej 10</w:t>
      </w:r>
      <w:r w:rsidR="00610401" w:rsidRPr="00610401">
        <w:rPr>
          <w:noProof/>
          <w:color w:val="000000" w:themeColor="text1"/>
          <w:shd w:val="clear" w:color="auto" w:fill="FFFFFF"/>
        </w:rPr>
        <w:t> </w:t>
      </w:r>
      <w:r w:rsidR="60AC98F8" w:rsidRPr="00610401">
        <w:rPr>
          <w:noProof/>
          <w:color w:val="000000" w:themeColor="text1"/>
          <w:shd w:val="clear" w:color="auto" w:fill="FFFFFF"/>
        </w:rPr>
        <w:t>% użytków rolnych do</w:t>
      </w:r>
      <w:r w:rsidR="00610401" w:rsidRPr="00610401">
        <w:rPr>
          <w:noProof/>
          <w:color w:val="000000" w:themeColor="text1"/>
          <w:shd w:val="clear" w:color="auto" w:fill="FFFFFF"/>
        </w:rPr>
        <w:t> </w:t>
      </w:r>
      <w:r w:rsidR="60AC98F8" w:rsidRPr="00610401">
        <w:rPr>
          <w:noProof/>
          <w:color w:val="000000" w:themeColor="text1"/>
          <w:shd w:val="clear" w:color="auto" w:fill="FFFFFF"/>
        </w:rPr>
        <w:t>2030</w:t>
      </w:r>
      <w:r w:rsidR="00610401" w:rsidRPr="00610401">
        <w:rPr>
          <w:noProof/>
          <w:color w:val="000000" w:themeColor="text1"/>
          <w:shd w:val="clear" w:color="auto" w:fill="FFFFFF"/>
        </w:rPr>
        <w:t> </w:t>
      </w:r>
      <w:r w:rsidR="60AC98F8" w:rsidRPr="00610401">
        <w:rPr>
          <w:noProof/>
          <w:color w:val="000000" w:themeColor="text1"/>
          <w:shd w:val="clear" w:color="auto" w:fill="FFFFFF"/>
        </w:rPr>
        <w:t>r.</w:t>
      </w:r>
      <w:r w:rsidR="60AC98F8" w:rsidRPr="00610401">
        <w:rPr>
          <w:noProof/>
          <w:color w:val="000000" w:themeColor="text1"/>
        </w:rPr>
        <w:t xml:space="preserve"> </w:t>
      </w:r>
    </w:p>
    <w:p w:rsidR="00B7078E" w:rsidRPr="00610401" w:rsidRDefault="009F5C98" w:rsidP="009F5C98">
      <w:pPr>
        <w:pStyle w:val="ManualNumPar1"/>
        <w:rPr>
          <w:noProof/>
        </w:rPr>
      </w:pPr>
      <w:r w:rsidRPr="009F5C98">
        <w:t>3.</w:t>
      </w:r>
      <w:r w:rsidRPr="009F5C98">
        <w:tab/>
      </w:r>
      <w:r w:rsidR="60AC98F8" w:rsidRPr="00610401">
        <w:rPr>
          <w:noProof/>
        </w:rPr>
        <w:t>Na potrzeby oceny projektów krajowych planów odbudowy Komisja korzysta ze wsparcia ekspertów lub EEA.</w:t>
      </w:r>
    </w:p>
    <w:p w:rsidR="00B7078E" w:rsidRPr="00610401" w:rsidRDefault="009F5C98" w:rsidP="009F5C98">
      <w:pPr>
        <w:pStyle w:val="ManualNumPar1"/>
        <w:rPr>
          <w:noProof/>
        </w:rPr>
      </w:pPr>
      <w:r w:rsidRPr="009F5C98">
        <w:t>4.</w:t>
      </w:r>
      <w:r w:rsidRPr="009F5C98">
        <w:tab/>
      </w:r>
      <w:r w:rsidR="4E9AC97A" w:rsidRPr="00610401">
        <w:rPr>
          <w:noProof/>
        </w:rPr>
        <w:t>Komisja może skierować do państw członkowskich uwagi</w:t>
      </w:r>
      <w:r w:rsidR="00610401" w:rsidRPr="00610401">
        <w:rPr>
          <w:noProof/>
        </w:rPr>
        <w:t xml:space="preserve"> w ter</w:t>
      </w:r>
      <w:r w:rsidR="4E9AC97A" w:rsidRPr="00610401">
        <w:rPr>
          <w:noProof/>
        </w:rPr>
        <w:t>minie sześciu miesięcy od daty otrzymania projektu krajowego planu odbudowy.</w:t>
      </w:r>
    </w:p>
    <w:p w:rsidR="669FF730" w:rsidRPr="00610401" w:rsidRDefault="009F5C98" w:rsidP="009F5C98">
      <w:pPr>
        <w:pStyle w:val="ManualNumPar1"/>
        <w:rPr>
          <w:noProof/>
        </w:rPr>
      </w:pPr>
      <w:r w:rsidRPr="009F5C98">
        <w:t>5.</w:t>
      </w:r>
      <w:r w:rsidRPr="009F5C98">
        <w:tab/>
      </w:r>
      <w:r w:rsidR="3DB0AB44" w:rsidRPr="00610401">
        <w:rPr>
          <w:noProof/>
        </w:rPr>
        <w:t>Państwa członkowskie</w:t>
      </w:r>
      <w:r w:rsidR="00610401" w:rsidRPr="00610401">
        <w:rPr>
          <w:noProof/>
        </w:rPr>
        <w:t xml:space="preserve"> w nal</w:t>
      </w:r>
      <w:r w:rsidR="3DB0AB44" w:rsidRPr="00610401">
        <w:rPr>
          <w:noProof/>
        </w:rPr>
        <w:t>eżyty sposób uwzględniają wszelkie uwagi Komisji</w:t>
      </w:r>
      <w:r w:rsidR="00610401" w:rsidRPr="00610401">
        <w:rPr>
          <w:noProof/>
        </w:rPr>
        <w:t xml:space="preserve"> w swo</w:t>
      </w:r>
      <w:r w:rsidR="3DB0AB44" w:rsidRPr="00610401">
        <w:rPr>
          <w:noProof/>
        </w:rPr>
        <w:t>ich ostatecznych</w:t>
      </w:r>
      <w:r w:rsidR="3DB0AB44" w:rsidRPr="00610401">
        <w:rPr>
          <w:i/>
          <w:noProof/>
        </w:rPr>
        <w:t xml:space="preserve"> </w:t>
      </w:r>
      <w:r w:rsidR="3DB0AB44" w:rsidRPr="00610401">
        <w:rPr>
          <w:noProof/>
        </w:rPr>
        <w:t>krajowych planach odbudowy.</w:t>
      </w:r>
    </w:p>
    <w:p w:rsidR="22EBAE0D" w:rsidRPr="00610401" w:rsidRDefault="009F5C98" w:rsidP="009F5C98">
      <w:pPr>
        <w:pStyle w:val="ManualNumPar1"/>
        <w:rPr>
          <w:noProof/>
        </w:rPr>
      </w:pPr>
      <w:r w:rsidRPr="009F5C98">
        <w:t>6.</w:t>
      </w:r>
      <w:r w:rsidRPr="009F5C98">
        <w:tab/>
      </w:r>
      <w:r w:rsidR="60AC98F8" w:rsidRPr="00610401">
        <w:rPr>
          <w:noProof/>
        </w:rPr>
        <w:t>Państwa członkowskie opracowują, publikują</w:t>
      </w:r>
      <w:r w:rsidR="00610401" w:rsidRPr="00610401">
        <w:rPr>
          <w:noProof/>
        </w:rPr>
        <w:t xml:space="preserve"> i prz</w:t>
      </w:r>
      <w:r w:rsidR="60AC98F8" w:rsidRPr="00610401">
        <w:rPr>
          <w:noProof/>
        </w:rPr>
        <w:t>edkładają Komisji krajowy plan odbudowy</w:t>
      </w:r>
      <w:r w:rsidR="00610401" w:rsidRPr="00610401">
        <w:rPr>
          <w:noProof/>
        </w:rPr>
        <w:t xml:space="preserve"> w ter</w:t>
      </w:r>
      <w:r w:rsidR="60AC98F8" w:rsidRPr="00610401">
        <w:rPr>
          <w:noProof/>
        </w:rPr>
        <w:t>minie sześciu miesięcy od daty otrzymania uwag od Komisji.</w:t>
      </w:r>
    </w:p>
    <w:p w:rsidR="00FA30D7" w:rsidRPr="00610401" w:rsidRDefault="00FA30D7" w:rsidP="00E81D73">
      <w:pPr>
        <w:rPr>
          <w:noProof/>
        </w:rPr>
      </w:pPr>
    </w:p>
    <w:p w:rsidR="000C14B9" w:rsidRPr="00610401" w:rsidRDefault="00FA30D7" w:rsidP="00052C4D">
      <w:pPr>
        <w:pStyle w:val="Titrearticle"/>
        <w:rPr>
          <w:noProof/>
        </w:rPr>
      </w:pPr>
      <w:r w:rsidRPr="00610401">
        <w:rPr>
          <w:noProof/>
        </w:rPr>
        <w:t xml:space="preserve">Artykuł 15 </w:t>
      </w:r>
      <w:r w:rsidRPr="00610401">
        <w:rPr>
          <w:noProof/>
        </w:rPr>
        <w:br/>
      </w:r>
      <w:r w:rsidRPr="00610401">
        <w:rPr>
          <w:b/>
          <w:i w:val="0"/>
          <w:noProof/>
        </w:rPr>
        <w:t>Przegląd krajowych planów odbudowy</w:t>
      </w:r>
      <w:r w:rsidRPr="00610401">
        <w:rPr>
          <w:noProof/>
        </w:rPr>
        <w:t xml:space="preserve"> </w:t>
      </w:r>
    </w:p>
    <w:p w:rsidR="00E419CE" w:rsidRPr="00610401" w:rsidRDefault="009F5C98" w:rsidP="009F5C98">
      <w:pPr>
        <w:pStyle w:val="ManualNumPar1"/>
        <w:rPr>
          <w:noProof/>
        </w:rPr>
      </w:pPr>
      <w:r w:rsidRPr="009F5C98">
        <w:t>1.</w:t>
      </w:r>
      <w:r w:rsidRPr="009F5C98">
        <w:tab/>
      </w:r>
      <w:r w:rsidR="061F93AE" w:rsidRPr="00610401">
        <w:rPr>
          <w:noProof/>
        </w:rPr>
        <w:t>Państwa członkowskie przeprowadzają przegląd swoich krajowych planów odbudowy co najmniej raz na</w:t>
      </w:r>
      <w:r w:rsidR="00610401" w:rsidRPr="00610401">
        <w:rPr>
          <w:noProof/>
        </w:rPr>
        <w:t> </w:t>
      </w:r>
      <w:r w:rsidR="061F93AE" w:rsidRPr="00610401">
        <w:rPr>
          <w:noProof/>
        </w:rPr>
        <w:t>10 lat, zgodnie</w:t>
      </w:r>
      <w:r w:rsidR="00610401" w:rsidRPr="00610401">
        <w:rPr>
          <w:noProof/>
        </w:rPr>
        <w:t xml:space="preserve"> z art</w:t>
      </w:r>
      <w:r w:rsidR="061F93AE" w:rsidRPr="00610401">
        <w:rPr>
          <w:noProof/>
        </w:rPr>
        <w:t>.</w:t>
      </w:r>
      <w:r w:rsidR="00610401" w:rsidRPr="00610401">
        <w:rPr>
          <w:noProof/>
        </w:rPr>
        <w:t> </w:t>
      </w:r>
      <w:r w:rsidR="061F93AE" w:rsidRPr="00610401">
        <w:rPr>
          <w:noProof/>
        </w:rPr>
        <w:t>11</w:t>
      </w:r>
      <w:r w:rsidR="00610401" w:rsidRPr="00610401">
        <w:rPr>
          <w:noProof/>
        </w:rPr>
        <w:t xml:space="preserve"> i 1</w:t>
      </w:r>
      <w:r w:rsidR="061F93AE" w:rsidRPr="00610401">
        <w:rPr>
          <w:noProof/>
        </w:rPr>
        <w:t>2, uwzględniając postępy</w:t>
      </w:r>
      <w:r w:rsidR="00610401" w:rsidRPr="00610401">
        <w:rPr>
          <w:noProof/>
        </w:rPr>
        <w:t xml:space="preserve"> w ich</w:t>
      </w:r>
      <w:r w:rsidR="061F93AE" w:rsidRPr="00610401">
        <w:rPr>
          <w:noProof/>
        </w:rPr>
        <w:t xml:space="preserve"> realizacji, najlepsze dostępne dowody naukowe oraz dostępną wiedzę na temat zaistniałych lub spodziewanych zmian warunków środowiskowych spowodowanych zmianą klimatu.</w:t>
      </w:r>
    </w:p>
    <w:p w:rsidR="00E419CE" w:rsidRPr="00610401" w:rsidRDefault="009F5C98" w:rsidP="009F5C98">
      <w:pPr>
        <w:pStyle w:val="ManualNumPar1"/>
        <w:rPr>
          <w:noProof/>
        </w:rPr>
      </w:pPr>
      <w:r w:rsidRPr="009F5C98">
        <w:t>2.</w:t>
      </w:r>
      <w:r w:rsidRPr="009F5C98">
        <w:tab/>
      </w:r>
      <w:r w:rsidR="6CB10A76" w:rsidRPr="00610401">
        <w:rPr>
          <w:noProof/>
        </w:rPr>
        <w:t>Gdy na podstawie monitorowania zgodnie</w:t>
      </w:r>
      <w:r w:rsidR="00610401" w:rsidRPr="00610401">
        <w:rPr>
          <w:noProof/>
        </w:rPr>
        <w:t xml:space="preserve"> z art</w:t>
      </w:r>
      <w:r w:rsidR="6CB10A76" w:rsidRPr="00610401">
        <w:rPr>
          <w:noProof/>
        </w:rPr>
        <w:t>.</w:t>
      </w:r>
      <w:r w:rsidR="00610401" w:rsidRPr="00610401">
        <w:rPr>
          <w:noProof/>
        </w:rPr>
        <w:t> </w:t>
      </w:r>
      <w:r w:rsidR="6CB10A76" w:rsidRPr="00610401">
        <w:rPr>
          <w:noProof/>
        </w:rPr>
        <w:t>17 okaże się, że środki określone</w:t>
      </w:r>
      <w:r w:rsidR="00610401" w:rsidRPr="00610401">
        <w:rPr>
          <w:noProof/>
        </w:rPr>
        <w:t xml:space="preserve"> w kra</w:t>
      </w:r>
      <w:r w:rsidR="6CB10A76" w:rsidRPr="00610401">
        <w:rPr>
          <w:noProof/>
        </w:rPr>
        <w:t>jowym planie odbudowy nie będą wystarczające do realizacji celów</w:t>
      </w:r>
      <w:r w:rsidR="00610401" w:rsidRPr="00610401">
        <w:rPr>
          <w:noProof/>
        </w:rPr>
        <w:t xml:space="preserve"> i obo</w:t>
      </w:r>
      <w:r w:rsidR="6CB10A76" w:rsidRPr="00610401">
        <w:rPr>
          <w:noProof/>
        </w:rPr>
        <w:t>wiązków określonych</w:t>
      </w:r>
      <w:r w:rsidR="00610401" w:rsidRPr="00610401">
        <w:rPr>
          <w:noProof/>
        </w:rPr>
        <w:t xml:space="preserve"> w art</w:t>
      </w:r>
      <w:r w:rsidR="6CB10A76" w:rsidRPr="00610401">
        <w:rPr>
          <w:noProof/>
        </w:rPr>
        <w:t>.</w:t>
      </w:r>
      <w:r w:rsidR="00610401" w:rsidRPr="00610401">
        <w:rPr>
          <w:noProof/>
        </w:rPr>
        <w:t> </w:t>
      </w:r>
      <w:r w:rsidR="6CB10A76" w:rsidRPr="00610401">
        <w:rPr>
          <w:noProof/>
        </w:rPr>
        <w:t>4–10, państwa członkowskie dokonują zmiany krajowego planu odbudowy</w:t>
      </w:r>
      <w:r w:rsidR="00610401" w:rsidRPr="00610401">
        <w:rPr>
          <w:noProof/>
        </w:rPr>
        <w:t xml:space="preserve"> i dod</w:t>
      </w:r>
      <w:r w:rsidR="6CB10A76" w:rsidRPr="00610401">
        <w:rPr>
          <w:noProof/>
        </w:rPr>
        <w:t>ają środki uzupełniające.</w:t>
      </w:r>
    </w:p>
    <w:p w:rsidR="000C0B84" w:rsidRPr="00610401" w:rsidRDefault="009F5C98" w:rsidP="009F5C98">
      <w:pPr>
        <w:pStyle w:val="ManualNumPar1"/>
        <w:rPr>
          <w:noProof/>
        </w:rPr>
      </w:pPr>
      <w:r w:rsidRPr="009F5C98">
        <w:t>3.</w:t>
      </w:r>
      <w:r w:rsidRPr="009F5C98">
        <w:tab/>
      </w:r>
      <w:r w:rsidR="3A78BDDC" w:rsidRPr="00610401">
        <w:rPr>
          <w:noProof/>
        </w:rPr>
        <w:t>Jeżeli Komisja uzna, opierając się na informacjach,</w:t>
      </w:r>
      <w:r w:rsidR="00610401" w:rsidRPr="00610401">
        <w:rPr>
          <w:noProof/>
        </w:rPr>
        <w:t xml:space="preserve"> o któ</w:t>
      </w:r>
      <w:r w:rsidR="3A78BDDC" w:rsidRPr="00610401">
        <w:rPr>
          <w:noProof/>
        </w:rPr>
        <w:t>rych mowa</w:t>
      </w:r>
      <w:r w:rsidR="00610401" w:rsidRPr="00610401">
        <w:rPr>
          <w:noProof/>
        </w:rPr>
        <w:t xml:space="preserve"> w art</w:t>
      </w:r>
      <w:r w:rsidR="3A78BDDC" w:rsidRPr="00610401">
        <w:rPr>
          <w:noProof/>
        </w:rPr>
        <w:t>.</w:t>
      </w:r>
      <w:r w:rsidR="00610401" w:rsidRPr="00610401">
        <w:rPr>
          <w:noProof/>
        </w:rPr>
        <w:t> </w:t>
      </w:r>
      <w:r w:rsidR="3A78BDDC" w:rsidRPr="00610401">
        <w:rPr>
          <w:noProof/>
        </w:rPr>
        <w:t>18 ust.</w:t>
      </w:r>
      <w:r w:rsidR="00610401" w:rsidRPr="00610401">
        <w:rPr>
          <w:noProof/>
        </w:rPr>
        <w:t> </w:t>
      </w:r>
      <w:r w:rsidR="3A78BDDC" w:rsidRPr="00610401">
        <w:rPr>
          <w:noProof/>
        </w:rPr>
        <w:t>1</w:t>
      </w:r>
      <w:r w:rsidR="00610401" w:rsidRPr="00610401">
        <w:rPr>
          <w:noProof/>
        </w:rPr>
        <w:t xml:space="preserve"> i 2</w:t>
      </w:r>
      <w:r w:rsidR="3A78BDDC" w:rsidRPr="00610401">
        <w:rPr>
          <w:noProof/>
        </w:rPr>
        <w:t>, oraz ocenie,</w:t>
      </w:r>
      <w:r w:rsidR="00610401" w:rsidRPr="00610401">
        <w:rPr>
          <w:noProof/>
        </w:rPr>
        <w:t xml:space="preserve"> o któ</w:t>
      </w:r>
      <w:r w:rsidR="3A78BDDC" w:rsidRPr="00610401">
        <w:rPr>
          <w:noProof/>
        </w:rPr>
        <w:t>rej mowa</w:t>
      </w:r>
      <w:r w:rsidR="00610401" w:rsidRPr="00610401">
        <w:rPr>
          <w:noProof/>
        </w:rPr>
        <w:t xml:space="preserve"> w art</w:t>
      </w:r>
      <w:r w:rsidR="3A78BDDC" w:rsidRPr="00610401">
        <w:rPr>
          <w:noProof/>
        </w:rPr>
        <w:t>.</w:t>
      </w:r>
      <w:r w:rsidR="00610401" w:rsidRPr="00610401">
        <w:rPr>
          <w:noProof/>
        </w:rPr>
        <w:t> </w:t>
      </w:r>
      <w:r w:rsidR="3A78BDDC" w:rsidRPr="00610401">
        <w:rPr>
          <w:noProof/>
        </w:rPr>
        <w:t>18 ust.</w:t>
      </w:r>
      <w:r w:rsidR="00610401" w:rsidRPr="00610401">
        <w:rPr>
          <w:noProof/>
        </w:rPr>
        <w:t> </w:t>
      </w:r>
      <w:r w:rsidR="3A78BDDC" w:rsidRPr="00610401">
        <w:rPr>
          <w:noProof/>
        </w:rPr>
        <w:t>4</w:t>
      </w:r>
      <w:r w:rsidR="00610401" w:rsidRPr="00610401">
        <w:rPr>
          <w:noProof/>
        </w:rPr>
        <w:t xml:space="preserve"> i 5</w:t>
      </w:r>
      <w:r w:rsidR="3A78BDDC" w:rsidRPr="00610401">
        <w:rPr>
          <w:noProof/>
        </w:rPr>
        <w:t>, że postępy poczynione przez państwo członkowskie są niewystarczające do realizacji celów</w:t>
      </w:r>
      <w:r w:rsidR="00610401" w:rsidRPr="00610401">
        <w:rPr>
          <w:noProof/>
        </w:rPr>
        <w:t xml:space="preserve"> i obo</w:t>
      </w:r>
      <w:r w:rsidR="3A78BDDC" w:rsidRPr="00610401">
        <w:rPr>
          <w:noProof/>
        </w:rPr>
        <w:t>wiązków określonych</w:t>
      </w:r>
      <w:r w:rsidR="00610401" w:rsidRPr="00610401">
        <w:rPr>
          <w:noProof/>
        </w:rPr>
        <w:t xml:space="preserve"> w art</w:t>
      </w:r>
      <w:r w:rsidR="3A78BDDC" w:rsidRPr="00610401">
        <w:rPr>
          <w:noProof/>
        </w:rPr>
        <w:t>.</w:t>
      </w:r>
      <w:r w:rsidR="00610401" w:rsidRPr="00610401">
        <w:rPr>
          <w:noProof/>
        </w:rPr>
        <w:t> </w:t>
      </w:r>
      <w:r w:rsidR="3A78BDDC" w:rsidRPr="00610401">
        <w:rPr>
          <w:noProof/>
        </w:rPr>
        <w:t>4–10, może zwrócić się do danego państwa członkowskiego</w:t>
      </w:r>
      <w:r w:rsidR="00610401" w:rsidRPr="00610401">
        <w:rPr>
          <w:noProof/>
        </w:rPr>
        <w:t xml:space="preserve"> o prz</w:t>
      </w:r>
      <w:r w:rsidR="3A78BDDC" w:rsidRPr="00610401">
        <w:rPr>
          <w:noProof/>
        </w:rPr>
        <w:t>edstawienie zaktualizowanego projektu krajowego planu odbudowy zawierającego środki uzupełniające. Zaktualizowany projekt krajowego planu odbudowy ze środkami uzupełniającymi jest publikowany</w:t>
      </w:r>
      <w:r w:rsidR="00610401" w:rsidRPr="00610401">
        <w:rPr>
          <w:noProof/>
        </w:rPr>
        <w:t xml:space="preserve"> i prz</w:t>
      </w:r>
      <w:r w:rsidR="3A78BDDC" w:rsidRPr="00610401">
        <w:rPr>
          <w:noProof/>
        </w:rPr>
        <w:t>edkładany</w:t>
      </w:r>
      <w:r w:rsidR="00610401" w:rsidRPr="00610401">
        <w:rPr>
          <w:noProof/>
        </w:rPr>
        <w:t xml:space="preserve"> w ter</w:t>
      </w:r>
      <w:r w:rsidR="3A78BDDC" w:rsidRPr="00610401">
        <w:rPr>
          <w:noProof/>
        </w:rPr>
        <w:t xml:space="preserve">minie sześciu miesięcy od daty otrzymania żądania od Komisji. </w:t>
      </w:r>
    </w:p>
    <w:p w:rsidR="003929F2" w:rsidRPr="00610401" w:rsidRDefault="003929F2" w:rsidP="003929F2">
      <w:pPr>
        <w:pStyle w:val="Titrearticle"/>
        <w:rPr>
          <w:noProof/>
        </w:rPr>
      </w:pPr>
      <w:r w:rsidRPr="00610401">
        <w:rPr>
          <w:noProof/>
        </w:rPr>
        <w:t xml:space="preserve">Artykuł 16 </w:t>
      </w:r>
      <w:r w:rsidRPr="00610401">
        <w:rPr>
          <w:noProof/>
        </w:rPr>
        <w:br/>
      </w:r>
      <w:r w:rsidRPr="00610401">
        <w:rPr>
          <w:b/>
          <w:i w:val="0"/>
          <w:noProof/>
        </w:rPr>
        <w:t>Dostęp do sprawiedliwości</w:t>
      </w:r>
    </w:p>
    <w:p w:rsidR="003929F2" w:rsidRPr="00610401" w:rsidRDefault="009F5C98" w:rsidP="009F5C98">
      <w:pPr>
        <w:pStyle w:val="ManualNumPar1"/>
        <w:rPr>
          <w:noProof/>
        </w:rPr>
      </w:pPr>
      <w:r w:rsidRPr="009F5C98">
        <w:t>1.</w:t>
      </w:r>
      <w:r w:rsidRPr="009F5C98">
        <w:tab/>
      </w:r>
      <w:r w:rsidR="003929F2" w:rsidRPr="00610401">
        <w:rPr>
          <w:noProof/>
        </w:rPr>
        <w:t>Państwa członkowskie zapewniają, aby zgodnie</w:t>
      </w:r>
      <w:r w:rsidR="00610401" w:rsidRPr="00610401">
        <w:rPr>
          <w:noProof/>
        </w:rPr>
        <w:t xml:space="preserve"> z pra</w:t>
      </w:r>
      <w:r w:rsidR="003929F2" w:rsidRPr="00610401">
        <w:rPr>
          <w:noProof/>
        </w:rPr>
        <w:t>wem krajowym członkowie społeczeństwa, którzy mają wystarczający interes lub powołują się na naruszenie prawa, mieli dostęp do procedury odwoławczej przed sądem lub innym niezależnym</w:t>
      </w:r>
      <w:r w:rsidR="00610401" w:rsidRPr="00610401">
        <w:rPr>
          <w:noProof/>
        </w:rPr>
        <w:t xml:space="preserve"> i bez</w:t>
      </w:r>
      <w:r w:rsidR="003929F2" w:rsidRPr="00610401">
        <w:rPr>
          <w:noProof/>
        </w:rPr>
        <w:t>stronnym organem ustanowionym przez prawo,</w:t>
      </w:r>
      <w:r w:rsidR="00610401" w:rsidRPr="00610401">
        <w:rPr>
          <w:noProof/>
        </w:rPr>
        <w:t xml:space="preserve"> w cel</w:t>
      </w:r>
      <w:r w:rsidR="003929F2" w:rsidRPr="00610401">
        <w:rPr>
          <w:noProof/>
        </w:rPr>
        <w:t>u zakwestionowania materialnej lub proceduralnej legalności krajowych planów odbudowy</w:t>
      </w:r>
      <w:r w:rsidR="00610401" w:rsidRPr="00610401">
        <w:rPr>
          <w:noProof/>
        </w:rPr>
        <w:t xml:space="preserve"> </w:t>
      </w:r>
      <w:r w:rsidR="00610401" w:rsidRPr="00610401">
        <w:rPr>
          <w:noProof/>
          <w:color w:val="000000" w:themeColor="text1"/>
        </w:rPr>
        <w:t>i</w:t>
      </w:r>
      <w:r w:rsidR="00610401" w:rsidRPr="00610401">
        <w:rPr>
          <w:noProof/>
        </w:rPr>
        <w:t> </w:t>
      </w:r>
      <w:r w:rsidR="00610401" w:rsidRPr="00610401">
        <w:rPr>
          <w:noProof/>
          <w:color w:val="000000" w:themeColor="text1"/>
        </w:rPr>
        <w:t>wsz</w:t>
      </w:r>
      <w:r w:rsidR="003929F2" w:rsidRPr="00610401">
        <w:rPr>
          <w:noProof/>
          <w:color w:val="000000" w:themeColor="text1"/>
        </w:rPr>
        <w:t>elkiego zaniechania działania ze strony właściwych organów, niezależnie od roli, jaką członkowie społeczeństwa odegrali</w:t>
      </w:r>
      <w:r w:rsidR="00610401" w:rsidRPr="00610401">
        <w:rPr>
          <w:noProof/>
          <w:color w:val="000000" w:themeColor="text1"/>
        </w:rPr>
        <w:t xml:space="preserve"> w </w:t>
      </w:r>
      <w:r w:rsidR="00610401" w:rsidRPr="00610401">
        <w:rPr>
          <w:noProof/>
        </w:rPr>
        <w:t>pro</w:t>
      </w:r>
      <w:r w:rsidR="003929F2" w:rsidRPr="00610401">
        <w:rPr>
          <w:noProof/>
        </w:rPr>
        <w:t>cesie przygotowywania</w:t>
      </w:r>
      <w:r w:rsidR="00610401" w:rsidRPr="00610401">
        <w:rPr>
          <w:noProof/>
        </w:rPr>
        <w:t xml:space="preserve"> i ust</w:t>
      </w:r>
      <w:r w:rsidR="003929F2" w:rsidRPr="00610401">
        <w:rPr>
          <w:noProof/>
        </w:rPr>
        <w:t xml:space="preserve">anawiania krajowego planu odbudowy. </w:t>
      </w:r>
    </w:p>
    <w:p w:rsidR="003929F2" w:rsidRPr="00610401" w:rsidRDefault="009F5C98" w:rsidP="009F5C98">
      <w:pPr>
        <w:pStyle w:val="ManualNumPar1"/>
        <w:rPr>
          <w:noProof/>
        </w:rPr>
      </w:pPr>
      <w:r w:rsidRPr="009F5C98">
        <w:t>2.</w:t>
      </w:r>
      <w:r w:rsidRPr="009F5C98">
        <w:tab/>
      </w:r>
      <w:r w:rsidR="003929F2" w:rsidRPr="00610401">
        <w:rPr>
          <w:noProof/>
        </w:rPr>
        <w:t>Państwa członkowskie określają, co stanowi wystarczający interes</w:t>
      </w:r>
      <w:r w:rsidR="00610401" w:rsidRPr="00610401">
        <w:rPr>
          <w:noProof/>
        </w:rPr>
        <w:t xml:space="preserve"> i nar</w:t>
      </w:r>
      <w:r w:rsidR="003929F2" w:rsidRPr="00610401">
        <w:rPr>
          <w:noProof/>
        </w:rPr>
        <w:t>uszenie prawa, zgodnie</w:t>
      </w:r>
      <w:r w:rsidR="00610401" w:rsidRPr="00610401">
        <w:rPr>
          <w:noProof/>
        </w:rPr>
        <w:t xml:space="preserve"> z cel</w:t>
      </w:r>
      <w:r w:rsidR="003929F2" w:rsidRPr="00610401">
        <w:rPr>
          <w:noProof/>
        </w:rPr>
        <w:t>em, jakim jest zapewnienie społeczeństwu szerokiego dostępu do wymiaru sprawiedliwości. Do celów ust.</w:t>
      </w:r>
      <w:r w:rsidR="00610401" w:rsidRPr="00610401">
        <w:rPr>
          <w:noProof/>
        </w:rPr>
        <w:t> </w:t>
      </w:r>
      <w:r w:rsidR="003929F2" w:rsidRPr="00610401">
        <w:rPr>
          <w:noProof/>
        </w:rPr>
        <w:t>1 wszelkie organizacje pozarządowe promujące ochronę środowiska</w:t>
      </w:r>
      <w:r w:rsidR="00610401" w:rsidRPr="00610401">
        <w:rPr>
          <w:noProof/>
        </w:rPr>
        <w:t xml:space="preserve"> i spe</w:t>
      </w:r>
      <w:r w:rsidR="003929F2" w:rsidRPr="00610401">
        <w:rPr>
          <w:noProof/>
        </w:rPr>
        <w:t>łniające wszelkie kryteria prawa krajowego uznaje się za mające prawa, które mogą zostać naruszone,</w:t>
      </w:r>
      <w:r w:rsidR="00610401" w:rsidRPr="00610401">
        <w:rPr>
          <w:noProof/>
        </w:rPr>
        <w:t xml:space="preserve"> a ich</w:t>
      </w:r>
      <w:r w:rsidR="003929F2" w:rsidRPr="00610401">
        <w:rPr>
          <w:noProof/>
        </w:rPr>
        <w:t xml:space="preserve"> interes uznaje się za wystarczający.</w:t>
      </w:r>
    </w:p>
    <w:p w:rsidR="003929F2" w:rsidRPr="00610401" w:rsidRDefault="009F5C98" w:rsidP="009F5C98">
      <w:pPr>
        <w:pStyle w:val="ManualNumPar1"/>
        <w:rPr>
          <w:noProof/>
        </w:rPr>
      </w:pPr>
      <w:r w:rsidRPr="009F5C98">
        <w:t>3.</w:t>
      </w:r>
      <w:r w:rsidRPr="009F5C98">
        <w:tab/>
      </w:r>
      <w:r w:rsidR="003929F2" w:rsidRPr="00610401">
        <w:rPr>
          <w:noProof/>
        </w:rPr>
        <w:t>Procedury odwoławcze,</w:t>
      </w:r>
      <w:r w:rsidR="00610401" w:rsidRPr="00610401">
        <w:rPr>
          <w:noProof/>
        </w:rPr>
        <w:t xml:space="preserve"> o któ</w:t>
      </w:r>
      <w:r w:rsidR="003929F2" w:rsidRPr="00610401">
        <w:rPr>
          <w:noProof/>
        </w:rPr>
        <w:t>rych mowa</w:t>
      </w:r>
      <w:r w:rsidR="00610401" w:rsidRPr="00610401">
        <w:rPr>
          <w:noProof/>
        </w:rPr>
        <w:t xml:space="preserve"> w ust</w:t>
      </w:r>
      <w:r w:rsidR="003929F2" w:rsidRPr="00610401">
        <w:rPr>
          <w:noProof/>
        </w:rPr>
        <w:t>.</w:t>
      </w:r>
      <w:r w:rsidR="00610401" w:rsidRPr="00610401">
        <w:rPr>
          <w:noProof/>
        </w:rPr>
        <w:t> </w:t>
      </w:r>
      <w:r w:rsidR="003929F2" w:rsidRPr="00610401">
        <w:rPr>
          <w:noProof/>
        </w:rPr>
        <w:t>1, są bezstronne, oparte na zasadzie równości, terminowe</w:t>
      </w:r>
      <w:r w:rsidR="00610401" w:rsidRPr="00610401">
        <w:rPr>
          <w:noProof/>
        </w:rPr>
        <w:t xml:space="preserve"> i bez</w:t>
      </w:r>
      <w:r w:rsidR="003929F2" w:rsidRPr="00610401">
        <w:rPr>
          <w:noProof/>
        </w:rPr>
        <w:t>płatne lub niedyskryminacyjne ze względu na koszty oraz przewidują odpowiednie</w:t>
      </w:r>
      <w:r w:rsidR="00610401" w:rsidRPr="00610401">
        <w:rPr>
          <w:noProof/>
        </w:rPr>
        <w:t xml:space="preserve"> i sku</w:t>
      </w:r>
      <w:r w:rsidR="003929F2" w:rsidRPr="00610401">
        <w:rPr>
          <w:noProof/>
        </w:rPr>
        <w:t>teczne środki odwoławcze,</w:t>
      </w:r>
      <w:r w:rsidR="00610401" w:rsidRPr="00610401">
        <w:rPr>
          <w:noProof/>
        </w:rPr>
        <w:t xml:space="preserve"> w tym w sto</w:t>
      </w:r>
      <w:r w:rsidR="003929F2" w:rsidRPr="00610401">
        <w:rPr>
          <w:noProof/>
        </w:rPr>
        <w:t>sownych przypadkach nakazy sądowe.</w:t>
      </w:r>
    </w:p>
    <w:p w:rsidR="003929F2" w:rsidRPr="00610401" w:rsidRDefault="009F5C98" w:rsidP="009F5C98">
      <w:pPr>
        <w:pStyle w:val="ManualNumPar1"/>
        <w:rPr>
          <w:noProof/>
        </w:rPr>
      </w:pPr>
      <w:r w:rsidRPr="009F5C98">
        <w:t>4.</w:t>
      </w:r>
      <w:r w:rsidRPr="009F5C98">
        <w:tab/>
      </w:r>
      <w:r w:rsidR="003929F2" w:rsidRPr="00610401">
        <w:rPr>
          <w:noProof/>
        </w:rPr>
        <w:t>Państwa członkowskie zapewniają społeczeństwu dostęp do praktycznych informacji na temat dostępu do procedur administracyjnych</w:t>
      </w:r>
      <w:r w:rsidR="00610401" w:rsidRPr="00610401">
        <w:rPr>
          <w:noProof/>
        </w:rPr>
        <w:t xml:space="preserve"> i pro</w:t>
      </w:r>
      <w:r w:rsidR="003929F2" w:rsidRPr="00610401">
        <w:rPr>
          <w:noProof/>
        </w:rPr>
        <w:t>cedur kontroli sądowej,</w:t>
      </w:r>
      <w:r w:rsidR="00610401" w:rsidRPr="00610401">
        <w:rPr>
          <w:noProof/>
        </w:rPr>
        <w:t xml:space="preserve"> o któ</w:t>
      </w:r>
      <w:r w:rsidR="003929F2" w:rsidRPr="00610401">
        <w:rPr>
          <w:noProof/>
        </w:rPr>
        <w:t>rych mowa</w:t>
      </w:r>
      <w:r w:rsidR="00610401" w:rsidRPr="00610401">
        <w:rPr>
          <w:noProof/>
        </w:rPr>
        <w:t xml:space="preserve"> w nin</w:t>
      </w:r>
      <w:r w:rsidR="003929F2" w:rsidRPr="00610401">
        <w:rPr>
          <w:noProof/>
        </w:rPr>
        <w:t>iejszym artykule.</w:t>
      </w:r>
    </w:p>
    <w:p w:rsidR="003929F2" w:rsidRPr="00610401" w:rsidRDefault="003929F2" w:rsidP="000C14B9">
      <w:pPr>
        <w:ind w:left="600"/>
        <w:rPr>
          <w:b/>
          <w:noProof/>
        </w:rPr>
      </w:pPr>
    </w:p>
    <w:p w:rsidR="00FB2AE2" w:rsidRPr="00610401" w:rsidRDefault="008C0C11" w:rsidP="00900221">
      <w:pPr>
        <w:pStyle w:val="ChapterTitle"/>
        <w:rPr>
          <w:noProof/>
        </w:rPr>
      </w:pPr>
      <w:r w:rsidRPr="00610401">
        <w:rPr>
          <w:noProof/>
        </w:rPr>
        <w:t>ROZDZIAŁ IV</w:t>
      </w:r>
    </w:p>
    <w:p w:rsidR="008414FA" w:rsidRPr="00610401" w:rsidRDefault="008414FA" w:rsidP="00900221">
      <w:pPr>
        <w:pStyle w:val="ChapterTitle"/>
        <w:rPr>
          <w:noProof/>
        </w:rPr>
      </w:pPr>
      <w:r w:rsidRPr="00610401">
        <w:rPr>
          <w:noProof/>
        </w:rPr>
        <w:t>MONITOROWANIE I SPRAWOZDAWCZOŚĆ</w:t>
      </w:r>
    </w:p>
    <w:p w:rsidR="00FA5692" w:rsidRPr="00610401" w:rsidRDefault="5044094F" w:rsidP="00A22E53">
      <w:pPr>
        <w:pStyle w:val="Titrearticle"/>
        <w:rPr>
          <w:b/>
          <w:i w:val="0"/>
          <w:noProof/>
        </w:rPr>
      </w:pPr>
      <w:r w:rsidRPr="00610401">
        <w:rPr>
          <w:noProof/>
        </w:rPr>
        <w:t xml:space="preserve">Artykuł 17 </w:t>
      </w:r>
      <w:r w:rsidRPr="00610401">
        <w:rPr>
          <w:noProof/>
        </w:rPr>
        <w:br/>
      </w:r>
      <w:r w:rsidRPr="00610401">
        <w:rPr>
          <w:b/>
          <w:i w:val="0"/>
          <w:noProof/>
        </w:rPr>
        <w:t>Monitorowanie</w:t>
      </w:r>
    </w:p>
    <w:p w:rsidR="00FA5692" w:rsidRPr="00610401" w:rsidRDefault="009F5C98" w:rsidP="009F5C98">
      <w:pPr>
        <w:pStyle w:val="ManualNumPar1"/>
        <w:rPr>
          <w:noProof/>
        </w:rPr>
      </w:pPr>
      <w:r w:rsidRPr="009F5C98">
        <w:t>1.</w:t>
      </w:r>
      <w:r w:rsidRPr="009F5C98">
        <w:tab/>
      </w:r>
      <w:r w:rsidR="00FA5692" w:rsidRPr="00610401">
        <w:rPr>
          <w:noProof/>
        </w:rPr>
        <w:t>Państwa członkowskie monitorują:</w:t>
      </w:r>
    </w:p>
    <w:p w:rsidR="00FA5692" w:rsidRPr="00610401" w:rsidRDefault="00610401" w:rsidP="00610401">
      <w:pPr>
        <w:pStyle w:val="Point1"/>
        <w:rPr>
          <w:rFonts w:eastAsiaTheme="minorEastAsia"/>
          <w:noProof/>
        </w:rPr>
      </w:pPr>
      <w:r w:rsidRPr="00610401">
        <w:rPr>
          <w:noProof/>
        </w:rPr>
        <w:t>a)</w:t>
      </w:r>
      <w:r w:rsidRPr="00610401">
        <w:rPr>
          <w:noProof/>
        </w:rPr>
        <w:tab/>
      </w:r>
      <w:r w:rsidR="00FA5692" w:rsidRPr="00610401">
        <w:rPr>
          <w:noProof/>
        </w:rPr>
        <w:t>stan</w:t>
      </w:r>
      <w:r w:rsidRPr="00610401">
        <w:rPr>
          <w:noProof/>
        </w:rPr>
        <w:t xml:space="preserve"> i ten</w:t>
      </w:r>
      <w:r w:rsidR="00FA5692" w:rsidRPr="00610401">
        <w:rPr>
          <w:noProof/>
        </w:rPr>
        <w:t>dencje dotyczące stanu typów siedlisk oraz jakość</w:t>
      </w:r>
      <w:r w:rsidRPr="00610401">
        <w:rPr>
          <w:noProof/>
        </w:rPr>
        <w:t xml:space="preserve"> i ten</w:t>
      </w:r>
      <w:r w:rsidR="00FA5692" w:rsidRPr="00610401">
        <w:rPr>
          <w:noProof/>
        </w:rPr>
        <w:t>dencje dotyczące jakości siedlisk gatunków,</w:t>
      </w:r>
      <w:r w:rsidRPr="00610401">
        <w:rPr>
          <w:noProof/>
        </w:rPr>
        <w:t xml:space="preserve"> o któ</w:t>
      </w:r>
      <w:r w:rsidR="00FA5692" w:rsidRPr="00610401">
        <w:rPr>
          <w:noProof/>
        </w:rPr>
        <w:t>rych mowa</w:t>
      </w:r>
      <w:r w:rsidRPr="00610401">
        <w:rPr>
          <w:noProof/>
        </w:rPr>
        <w:t xml:space="preserve"> w art</w:t>
      </w:r>
      <w:r w:rsidR="00FA5692" w:rsidRPr="00610401">
        <w:rPr>
          <w:noProof/>
        </w:rPr>
        <w:t>.</w:t>
      </w:r>
      <w:r w:rsidRPr="00610401">
        <w:rPr>
          <w:noProof/>
        </w:rPr>
        <w:t> </w:t>
      </w:r>
      <w:r w:rsidR="00FA5692" w:rsidRPr="00610401">
        <w:rPr>
          <w:noProof/>
        </w:rPr>
        <w:t>4</w:t>
      </w:r>
      <w:r w:rsidRPr="00610401">
        <w:rPr>
          <w:noProof/>
        </w:rPr>
        <w:t xml:space="preserve"> i 5</w:t>
      </w:r>
      <w:r w:rsidR="00FA5692" w:rsidRPr="00610401">
        <w:rPr>
          <w:noProof/>
        </w:rPr>
        <w:t>, na obszarach objętych środkami odbudowy, na podstawie monitorowania,</w:t>
      </w:r>
      <w:r w:rsidRPr="00610401">
        <w:rPr>
          <w:noProof/>
        </w:rPr>
        <w:t xml:space="preserve"> o któ</w:t>
      </w:r>
      <w:r w:rsidR="00FA5692" w:rsidRPr="00610401">
        <w:rPr>
          <w:noProof/>
        </w:rPr>
        <w:t>rym mowa</w:t>
      </w:r>
      <w:r w:rsidRPr="00610401">
        <w:rPr>
          <w:noProof/>
        </w:rPr>
        <w:t xml:space="preserve"> w art</w:t>
      </w:r>
      <w:r w:rsidR="00FA5692" w:rsidRPr="00610401">
        <w:rPr>
          <w:noProof/>
        </w:rPr>
        <w:t>.</w:t>
      </w:r>
      <w:r w:rsidRPr="00610401">
        <w:rPr>
          <w:noProof/>
        </w:rPr>
        <w:t> </w:t>
      </w:r>
      <w:r w:rsidR="00FA5692" w:rsidRPr="00610401">
        <w:rPr>
          <w:noProof/>
        </w:rPr>
        <w:t>12 ust.</w:t>
      </w:r>
      <w:r w:rsidRPr="00610401">
        <w:rPr>
          <w:noProof/>
        </w:rPr>
        <w:t> </w:t>
      </w:r>
      <w:r w:rsidR="00FA5692" w:rsidRPr="00610401">
        <w:rPr>
          <w:noProof/>
        </w:rPr>
        <w:t>2 lit.</w:t>
      </w:r>
      <w:r w:rsidRPr="00610401">
        <w:rPr>
          <w:noProof/>
        </w:rPr>
        <w:t> </w:t>
      </w:r>
      <w:r w:rsidR="00FA5692" w:rsidRPr="00610401">
        <w:rPr>
          <w:noProof/>
        </w:rPr>
        <w:t>h);</w:t>
      </w:r>
    </w:p>
    <w:p w:rsidR="00504D66" w:rsidRPr="00610401" w:rsidRDefault="00610401" w:rsidP="00610401">
      <w:pPr>
        <w:pStyle w:val="Point1"/>
        <w:rPr>
          <w:rFonts w:eastAsiaTheme="minorEastAsia"/>
          <w:noProof/>
        </w:rPr>
      </w:pPr>
      <w:r w:rsidRPr="00610401">
        <w:rPr>
          <w:noProof/>
        </w:rPr>
        <w:t>b)</w:t>
      </w:r>
      <w:r w:rsidRPr="00610401">
        <w:rPr>
          <w:noProof/>
        </w:rPr>
        <w:tab/>
      </w:r>
      <w:r w:rsidR="00FA5692" w:rsidRPr="00610401">
        <w:rPr>
          <w:noProof/>
        </w:rPr>
        <w:t>powierzchnię zielonych przestrzeni miejskich</w:t>
      </w:r>
      <w:r w:rsidRPr="00610401">
        <w:rPr>
          <w:noProof/>
        </w:rPr>
        <w:t xml:space="preserve"> i zwa</w:t>
      </w:r>
      <w:r w:rsidR="00FA5692" w:rsidRPr="00610401">
        <w:rPr>
          <w:noProof/>
        </w:rPr>
        <w:t>rcia drzewostanu</w:t>
      </w:r>
      <w:r w:rsidRPr="00610401">
        <w:rPr>
          <w:noProof/>
        </w:rPr>
        <w:t xml:space="preserve"> </w:t>
      </w:r>
      <w:r w:rsidRPr="00610401">
        <w:rPr>
          <w:noProof/>
          <w:color w:val="000000" w:themeColor="text1"/>
        </w:rPr>
        <w:t>w</w:t>
      </w:r>
      <w:r w:rsidRPr="00610401">
        <w:rPr>
          <w:noProof/>
        </w:rPr>
        <w:t> </w:t>
      </w:r>
      <w:r w:rsidRPr="00610401">
        <w:rPr>
          <w:noProof/>
          <w:color w:val="000000" w:themeColor="text1"/>
        </w:rPr>
        <w:t>mia</w:t>
      </w:r>
      <w:r w:rsidR="00FA5692" w:rsidRPr="00610401">
        <w:rPr>
          <w:noProof/>
          <w:color w:val="000000" w:themeColor="text1"/>
        </w:rPr>
        <w:t>stach, małych miastach i na przedmieściach,</w:t>
      </w:r>
      <w:r w:rsidRPr="00610401">
        <w:rPr>
          <w:noProof/>
        </w:rPr>
        <w:t xml:space="preserve"> o któ</w:t>
      </w:r>
      <w:r w:rsidR="00FA5692" w:rsidRPr="00610401">
        <w:rPr>
          <w:noProof/>
        </w:rPr>
        <w:t>rych mowa</w:t>
      </w:r>
      <w:r w:rsidRPr="00610401">
        <w:rPr>
          <w:noProof/>
        </w:rPr>
        <w:t xml:space="preserve"> w art</w:t>
      </w:r>
      <w:r w:rsidR="00FA5692" w:rsidRPr="00610401">
        <w:rPr>
          <w:noProof/>
        </w:rPr>
        <w:t>.</w:t>
      </w:r>
      <w:r w:rsidRPr="00610401">
        <w:rPr>
          <w:noProof/>
        </w:rPr>
        <w:t> </w:t>
      </w:r>
      <w:r w:rsidR="00FA5692" w:rsidRPr="00610401">
        <w:rPr>
          <w:noProof/>
        </w:rPr>
        <w:t xml:space="preserve">6; </w:t>
      </w:r>
    </w:p>
    <w:p w:rsidR="00FA5692" w:rsidRPr="00610401" w:rsidRDefault="00610401" w:rsidP="00610401">
      <w:pPr>
        <w:pStyle w:val="Point1"/>
        <w:rPr>
          <w:rFonts w:eastAsiaTheme="minorEastAsia"/>
          <w:noProof/>
        </w:rPr>
      </w:pPr>
      <w:r w:rsidRPr="00610401">
        <w:rPr>
          <w:noProof/>
        </w:rPr>
        <w:t>c)</w:t>
      </w:r>
      <w:r w:rsidRPr="00610401">
        <w:rPr>
          <w:noProof/>
        </w:rPr>
        <w:tab/>
      </w:r>
      <w:r w:rsidR="00FA5692" w:rsidRPr="00610401">
        <w:rPr>
          <w:noProof/>
        </w:rPr>
        <w:t>wskaźniki różnorodności biologicznej</w:t>
      </w:r>
      <w:r w:rsidRPr="00610401">
        <w:rPr>
          <w:noProof/>
        </w:rPr>
        <w:t xml:space="preserve"> w eko</w:t>
      </w:r>
      <w:r w:rsidR="00FA5692" w:rsidRPr="00610401">
        <w:rPr>
          <w:noProof/>
        </w:rPr>
        <w:t>systemach rolniczych wymienionych</w:t>
      </w:r>
      <w:r w:rsidRPr="00610401">
        <w:rPr>
          <w:noProof/>
        </w:rPr>
        <w:t xml:space="preserve"> w zał</w:t>
      </w:r>
      <w:r w:rsidR="00FA5692" w:rsidRPr="00610401">
        <w:rPr>
          <w:noProof/>
        </w:rPr>
        <w:t>ączniku IV;</w:t>
      </w:r>
    </w:p>
    <w:p w:rsidR="00DB4A12" w:rsidRPr="00610401" w:rsidRDefault="00610401" w:rsidP="00610401">
      <w:pPr>
        <w:pStyle w:val="Point1"/>
        <w:rPr>
          <w:rFonts w:eastAsiaTheme="minorEastAsia"/>
          <w:noProof/>
        </w:rPr>
      </w:pPr>
      <w:r w:rsidRPr="00610401">
        <w:rPr>
          <w:noProof/>
        </w:rPr>
        <w:t>d)</w:t>
      </w:r>
      <w:r w:rsidRPr="00610401">
        <w:rPr>
          <w:noProof/>
        </w:rPr>
        <w:tab/>
      </w:r>
      <w:r w:rsidR="00FA5692" w:rsidRPr="00610401">
        <w:rPr>
          <w:noProof/>
        </w:rPr>
        <w:t>populacje pospolitych gatunków ptaków krajobrazu rolniczego wymienionych</w:t>
      </w:r>
      <w:r w:rsidRPr="00610401">
        <w:rPr>
          <w:noProof/>
        </w:rPr>
        <w:t xml:space="preserve"> w zał</w:t>
      </w:r>
      <w:r w:rsidR="00FA5692" w:rsidRPr="00610401">
        <w:rPr>
          <w:noProof/>
        </w:rPr>
        <w:t xml:space="preserve">ączniku V; </w:t>
      </w:r>
    </w:p>
    <w:p w:rsidR="00DB4A12" w:rsidRPr="00610401" w:rsidRDefault="00610401" w:rsidP="00610401">
      <w:pPr>
        <w:pStyle w:val="Point1"/>
        <w:rPr>
          <w:rFonts w:eastAsiaTheme="minorEastAsia"/>
          <w:noProof/>
        </w:rPr>
      </w:pPr>
      <w:r w:rsidRPr="00610401">
        <w:rPr>
          <w:noProof/>
        </w:rPr>
        <w:t>e)</w:t>
      </w:r>
      <w:r w:rsidRPr="00610401">
        <w:rPr>
          <w:noProof/>
        </w:rPr>
        <w:tab/>
      </w:r>
      <w:r w:rsidR="00FA5692" w:rsidRPr="00610401">
        <w:rPr>
          <w:noProof/>
        </w:rPr>
        <w:t>wskaźniki różnorodności biologicznej</w:t>
      </w:r>
      <w:r w:rsidRPr="00610401">
        <w:rPr>
          <w:noProof/>
        </w:rPr>
        <w:t xml:space="preserve"> w eko</w:t>
      </w:r>
      <w:r w:rsidR="00FA5692" w:rsidRPr="00610401">
        <w:rPr>
          <w:noProof/>
        </w:rPr>
        <w:t>systemach leśnych wymienionych</w:t>
      </w:r>
      <w:r w:rsidRPr="00610401">
        <w:rPr>
          <w:noProof/>
        </w:rPr>
        <w:t xml:space="preserve"> w zał</w:t>
      </w:r>
      <w:r w:rsidR="00FA5692" w:rsidRPr="00610401">
        <w:rPr>
          <w:noProof/>
        </w:rPr>
        <w:t>ączniku VI;</w:t>
      </w:r>
    </w:p>
    <w:p w:rsidR="00DB4A12" w:rsidRPr="00610401" w:rsidRDefault="00610401" w:rsidP="00610401">
      <w:pPr>
        <w:pStyle w:val="Point1"/>
        <w:rPr>
          <w:rFonts w:eastAsiaTheme="minorEastAsia"/>
          <w:noProof/>
        </w:rPr>
      </w:pPr>
      <w:r w:rsidRPr="00610401">
        <w:rPr>
          <w:noProof/>
        </w:rPr>
        <w:t>f)</w:t>
      </w:r>
      <w:r w:rsidRPr="00610401">
        <w:rPr>
          <w:noProof/>
        </w:rPr>
        <w:tab/>
      </w:r>
      <w:r w:rsidR="00FA5692" w:rsidRPr="00610401">
        <w:rPr>
          <w:noProof/>
        </w:rPr>
        <w:t>liczebność</w:t>
      </w:r>
      <w:r w:rsidRPr="00610401">
        <w:rPr>
          <w:noProof/>
        </w:rPr>
        <w:t xml:space="preserve"> i róż</w:t>
      </w:r>
      <w:r w:rsidR="00FA5692" w:rsidRPr="00610401">
        <w:rPr>
          <w:noProof/>
        </w:rPr>
        <w:t>norodność gatunków owadów zapylających, według metody ustanowionej zgodnie</w:t>
      </w:r>
      <w:r w:rsidRPr="00610401">
        <w:rPr>
          <w:noProof/>
        </w:rPr>
        <w:t xml:space="preserve"> z art</w:t>
      </w:r>
      <w:r w:rsidR="00FA5692" w:rsidRPr="00610401">
        <w:rPr>
          <w:noProof/>
        </w:rPr>
        <w:t>.</w:t>
      </w:r>
      <w:r w:rsidRPr="00610401">
        <w:rPr>
          <w:noProof/>
        </w:rPr>
        <w:t> </w:t>
      </w:r>
      <w:r w:rsidR="00FA5692" w:rsidRPr="00610401">
        <w:rPr>
          <w:noProof/>
        </w:rPr>
        <w:t>8 ust.</w:t>
      </w:r>
      <w:r w:rsidRPr="00610401">
        <w:rPr>
          <w:noProof/>
        </w:rPr>
        <w:t> </w:t>
      </w:r>
      <w:r w:rsidR="00FA5692" w:rsidRPr="00610401">
        <w:rPr>
          <w:noProof/>
        </w:rPr>
        <w:t>2;</w:t>
      </w:r>
    </w:p>
    <w:p w:rsidR="005819CD" w:rsidRPr="00610401" w:rsidRDefault="00610401" w:rsidP="00610401">
      <w:pPr>
        <w:pStyle w:val="Point1"/>
        <w:rPr>
          <w:rFonts w:eastAsiaTheme="minorEastAsia"/>
          <w:noProof/>
        </w:rPr>
      </w:pPr>
      <w:r w:rsidRPr="00610401">
        <w:rPr>
          <w:noProof/>
        </w:rPr>
        <w:t>g)</w:t>
      </w:r>
      <w:r w:rsidRPr="00610401">
        <w:rPr>
          <w:noProof/>
        </w:rPr>
        <w:tab/>
      </w:r>
      <w:r w:rsidR="005819CD" w:rsidRPr="00610401">
        <w:rPr>
          <w:noProof/>
        </w:rPr>
        <w:t>powierzchnię</w:t>
      </w:r>
      <w:r w:rsidRPr="00610401">
        <w:rPr>
          <w:noProof/>
        </w:rPr>
        <w:t xml:space="preserve"> i sta</w:t>
      </w:r>
      <w:r w:rsidR="005819CD" w:rsidRPr="00610401">
        <w:rPr>
          <w:noProof/>
        </w:rPr>
        <w:t>n obszarów obejmujących typy siedlisk wymienionych</w:t>
      </w:r>
      <w:r w:rsidRPr="00610401">
        <w:rPr>
          <w:noProof/>
        </w:rPr>
        <w:t xml:space="preserve"> w zał</w:t>
      </w:r>
      <w:r w:rsidR="005819CD" w:rsidRPr="00610401">
        <w:rPr>
          <w:noProof/>
        </w:rPr>
        <w:t>ącznikach I i II na całym ich terytorium;</w:t>
      </w:r>
    </w:p>
    <w:p w:rsidR="00FA5692" w:rsidRPr="00610401" w:rsidRDefault="00610401" w:rsidP="00610401">
      <w:pPr>
        <w:pStyle w:val="Point1"/>
        <w:rPr>
          <w:rFonts w:eastAsiaTheme="minorEastAsia"/>
          <w:noProof/>
        </w:rPr>
      </w:pPr>
      <w:r w:rsidRPr="00610401">
        <w:rPr>
          <w:noProof/>
        </w:rPr>
        <w:t>h)</w:t>
      </w:r>
      <w:r w:rsidRPr="00610401">
        <w:rPr>
          <w:noProof/>
        </w:rPr>
        <w:tab/>
      </w:r>
      <w:r w:rsidR="00FA5692" w:rsidRPr="00610401">
        <w:rPr>
          <w:noProof/>
        </w:rPr>
        <w:t>powierzchnię</w:t>
      </w:r>
      <w:r w:rsidRPr="00610401">
        <w:rPr>
          <w:noProof/>
        </w:rPr>
        <w:t xml:space="preserve"> i jak</w:t>
      </w:r>
      <w:r w:rsidR="00FA5692" w:rsidRPr="00610401">
        <w:rPr>
          <w:noProof/>
        </w:rPr>
        <w:t>ość siedlisk gatunków,</w:t>
      </w:r>
      <w:r w:rsidRPr="00610401">
        <w:rPr>
          <w:noProof/>
        </w:rPr>
        <w:t xml:space="preserve"> o któ</w:t>
      </w:r>
      <w:r w:rsidR="00FA5692" w:rsidRPr="00610401">
        <w:rPr>
          <w:noProof/>
        </w:rPr>
        <w:t>rych mowa</w:t>
      </w:r>
      <w:r w:rsidRPr="00610401">
        <w:rPr>
          <w:noProof/>
        </w:rPr>
        <w:t xml:space="preserve"> w art</w:t>
      </w:r>
      <w:r w:rsidR="00FA5692" w:rsidRPr="00610401">
        <w:rPr>
          <w:noProof/>
        </w:rPr>
        <w:t>.</w:t>
      </w:r>
      <w:r w:rsidRPr="00610401">
        <w:rPr>
          <w:noProof/>
        </w:rPr>
        <w:t> </w:t>
      </w:r>
      <w:r w:rsidR="00FA5692" w:rsidRPr="00610401">
        <w:rPr>
          <w:noProof/>
        </w:rPr>
        <w:t>4 ust.</w:t>
      </w:r>
      <w:r w:rsidRPr="00610401">
        <w:rPr>
          <w:noProof/>
        </w:rPr>
        <w:t> </w:t>
      </w:r>
      <w:r w:rsidR="00FA5692" w:rsidRPr="00610401">
        <w:rPr>
          <w:noProof/>
        </w:rPr>
        <w:t>3</w:t>
      </w:r>
      <w:r w:rsidRPr="00610401">
        <w:rPr>
          <w:noProof/>
        </w:rPr>
        <w:t xml:space="preserve"> i art</w:t>
      </w:r>
      <w:r w:rsidR="00FA5692" w:rsidRPr="00610401">
        <w:rPr>
          <w:noProof/>
        </w:rPr>
        <w:t>.</w:t>
      </w:r>
      <w:r w:rsidRPr="00610401">
        <w:rPr>
          <w:noProof/>
        </w:rPr>
        <w:t> </w:t>
      </w:r>
      <w:r w:rsidR="00FA5692" w:rsidRPr="00610401">
        <w:rPr>
          <w:noProof/>
        </w:rPr>
        <w:t>5 ust.</w:t>
      </w:r>
      <w:r w:rsidRPr="00610401">
        <w:rPr>
          <w:noProof/>
        </w:rPr>
        <w:t> </w:t>
      </w:r>
      <w:r w:rsidR="00FA5692" w:rsidRPr="00610401">
        <w:rPr>
          <w:noProof/>
        </w:rPr>
        <w:t>3, na całym ich terytorium.</w:t>
      </w:r>
    </w:p>
    <w:p w:rsidR="00FA5692" w:rsidRPr="00610401" w:rsidRDefault="009F5C98" w:rsidP="009F5C98">
      <w:pPr>
        <w:pStyle w:val="ManualNumPar1"/>
        <w:rPr>
          <w:noProof/>
        </w:rPr>
      </w:pPr>
      <w:r w:rsidRPr="009F5C98">
        <w:t>2.</w:t>
      </w:r>
      <w:r w:rsidRPr="009F5C98">
        <w:tab/>
      </w:r>
      <w:r w:rsidR="00FA5692" w:rsidRPr="00610401">
        <w:rPr>
          <w:noProof/>
        </w:rPr>
        <w:t>Monitorowanie zgodnie</w:t>
      </w:r>
      <w:r w:rsidR="00610401" w:rsidRPr="00610401">
        <w:rPr>
          <w:noProof/>
        </w:rPr>
        <w:t xml:space="preserve"> z ust</w:t>
      </w:r>
      <w:r w:rsidR="00FA5692" w:rsidRPr="00610401">
        <w:rPr>
          <w:noProof/>
        </w:rPr>
        <w:t>.</w:t>
      </w:r>
      <w:r w:rsidR="00610401" w:rsidRPr="00610401">
        <w:rPr>
          <w:noProof/>
        </w:rPr>
        <w:t> </w:t>
      </w:r>
      <w:r w:rsidR="00FA5692" w:rsidRPr="00610401">
        <w:rPr>
          <w:noProof/>
        </w:rPr>
        <w:t>1 lit.</w:t>
      </w:r>
      <w:r w:rsidR="00610401" w:rsidRPr="00610401">
        <w:rPr>
          <w:noProof/>
        </w:rPr>
        <w:t> </w:t>
      </w:r>
      <w:r w:rsidR="00FA5692" w:rsidRPr="00610401">
        <w:rPr>
          <w:noProof/>
        </w:rPr>
        <w:t>a) rozpoczyna się natychmiast po wprowadzeniu środków odbudowy.</w:t>
      </w:r>
    </w:p>
    <w:p w:rsidR="00286468" w:rsidRPr="00610401" w:rsidRDefault="009F5C98" w:rsidP="009F5C98">
      <w:pPr>
        <w:pStyle w:val="ManualNumPar1"/>
        <w:rPr>
          <w:noProof/>
        </w:rPr>
      </w:pPr>
      <w:r w:rsidRPr="009F5C98">
        <w:t>3.</w:t>
      </w:r>
      <w:r w:rsidRPr="009F5C98">
        <w:tab/>
      </w:r>
      <w:r w:rsidR="00FA5692" w:rsidRPr="00610401">
        <w:rPr>
          <w:noProof/>
        </w:rPr>
        <w:t>Monitorowanie zgodnie</w:t>
      </w:r>
      <w:r w:rsidR="00610401" w:rsidRPr="00610401">
        <w:rPr>
          <w:noProof/>
        </w:rPr>
        <w:t xml:space="preserve"> z ust</w:t>
      </w:r>
      <w:r w:rsidR="00FA5692" w:rsidRPr="00610401">
        <w:rPr>
          <w:noProof/>
        </w:rPr>
        <w:t>.</w:t>
      </w:r>
      <w:r w:rsidR="00610401" w:rsidRPr="00610401">
        <w:rPr>
          <w:noProof/>
        </w:rPr>
        <w:t> </w:t>
      </w:r>
      <w:r w:rsidR="00FA5692" w:rsidRPr="00610401">
        <w:rPr>
          <w:noProof/>
        </w:rPr>
        <w:t>1 lit.</w:t>
      </w:r>
      <w:r w:rsidR="00610401" w:rsidRPr="00610401">
        <w:rPr>
          <w:noProof/>
        </w:rPr>
        <w:t> </w:t>
      </w:r>
      <w:r w:rsidR="00FA5692" w:rsidRPr="00610401">
        <w:rPr>
          <w:noProof/>
        </w:rPr>
        <w:t>b), c), d) i e) rozpoczyna się [Urząd Publikacji: proszę wprowadzić datę wejścia</w:t>
      </w:r>
      <w:r w:rsidR="00610401" w:rsidRPr="00610401">
        <w:rPr>
          <w:noProof/>
        </w:rPr>
        <w:t xml:space="preserve"> w życ</w:t>
      </w:r>
      <w:r w:rsidR="00FA5692" w:rsidRPr="00610401">
        <w:rPr>
          <w:noProof/>
        </w:rPr>
        <w:t>ie niniejszego rozporządzenia].</w:t>
      </w:r>
    </w:p>
    <w:p w:rsidR="00504D66" w:rsidRPr="00610401" w:rsidRDefault="009F5C98" w:rsidP="009F5C98">
      <w:pPr>
        <w:pStyle w:val="ManualNumPar1"/>
        <w:rPr>
          <w:noProof/>
        </w:rPr>
      </w:pPr>
      <w:r w:rsidRPr="009F5C98">
        <w:t>4.</w:t>
      </w:r>
      <w:r w:rsidRPr="009F5C98">
        <w:tab/>
      </w:r>
      <w:r w:rsidR="00FA5692" w:rsidRPr="00610401">
        <w:rPr>
          <w:noProof/>
        </w:rPr>
        <w:t>Monitorowanie zgodnie</w:t>
      </w:r>
      <w:r w:rsidR="00610401" w:rsidRPr="00610401">
        <w:rPr>
          <w:noProof/>
        </w:rPr>
        <w:t xml:space="preserve"> z ust</w:t>
      </w:r>
      <w:r w:rsidR="00FA5692" w:rsidRPr="00610401">
        <w:rPr>
          <w:noProof/>
        </w:rPr>
        <w:t>.</w:t>
      </w:r>
      <w:r w:rsidR="00610401" w:rsidRPr="00610401">
        <w:rPr>
          <w:noProof/>
        </w:rPr>
        <w:t> </w:t>
      </w:r>
      <w:r w:rsidR="00FA5692" w:rsidRPr="00610401">
        <w:rPr>
          <w:noProof/>
        </w:rPr>
        <w:t>1 lit.</w:t>
      </w:r>
      <w:r w:rsidR="00610401" w:rsidRPr="00610401">
        <w:rPr>
          <w:noProof/>
        </w:rPr>
        <w:t> </w:t>
      </w:r>
      <w:r w:rsidR="00FA5692" w:rsidRPr="00610401">
        <w:rPr>
          <w:noProof/>
        </w:rPr>
        <w:t>f) niniejszego artykułu rozpoczyna się rok po wejściu</w:t>
      </w:r>
      <w:r w:rsidR="00610401" w:rsidRPr="00610401">
        <w:rPr>
          <w:noProof/>
        </w:rPr>
        <w:t xml:space="preserve"> w życ</w:t>
      </w:r>
      <w:r w:rsidR="00FA5692" w:rsidRPr="00610401">
        <w:rPr>
          <w:noProof/>
        </w:rPr>
        <w:t>ie aktu wykonawczego,</w:t>
      </w:r>
      <w:r w:rsidR="00610401" w:rsidRPr="00610401">
        <w:rPr>
          <w:noProof/>
        </w:rPr>
        <w:t xml:space="preserve"> o któ</w:t>
      </w:r>
      <w:r w:rsidR="00FA5692" w:rsidRPr="00610401">
        <w:rPr>
          <w:noProof/>
        </w:rPr>
        <w:t>rym mowa</w:t>
      </w:r>
      <w:r w:rsidR="00610401" w:rsidRPr="00610401">
        <w:rPr>
          <w:noProof/>
        </w:rPr>
        <w:t xml:space="preserve"> w art</w:t>
      </w:r>
      <w:r w:rsidR="00FA5692" w:rsidRPr="00610401">
        <w:rPr>
          <w:noProof/>
        </w:rPr>
        <w:t>.</w:t>
      </w:r>
      <w:r w:rsidR="00610401" w:rsidRPr="00610401">
        <w:rPr>
          <w:noProof/>
        </w:rPr>
        <w:t> </w:t>
      </w:r>
      <w:r w:rsidR="00FA5692" w:rsidRPr="00610401">
        <w:rPr>
          <w:noProof/>
        </w:rPr>
        <w:t>8 ust.</w:t>
      </w:r>
      <w:r w:rsidR="00610401" w:rsidRPr="00610401">
        <w:rPr>
          <w:noProof/>
        </w:rPr>
        <w:t> </w:t>
      </w:r>
      <w:r w:rsidR="00FA5692" w:rsidRPr="00610401">
        <w:rPr>
          <w:noProof/>
        </w:rPr>
        <w:t>2.</w:t>
      </w:r>
    </w:p>
    <w:p w:rsidR="00FA5692" w:rsidRPr="00610401" w:rsidRDefault="009F5C98" w:rsidP="009F5C98">
      <w:pPr>
        <w:pStyle w:val="ManualNumPar1"/>
        <w:rPr>
          <w:noProof/>
        </w:rPr>
      </w:pPr>
      <w:r w:rsidRPr="009F5C98">
        <w:t>5.</w:t>
      </w:r>
      <w:r w:rsidRPr="009F5C98">
        <w:tab/>
      </w:r>
      <w:r w:rsidR="00FA5692" w:rsidRPr="00610401">
        <w:rPr>
          <w:noProof/>
        </w:rPr>
        <w:t>Monitorowanie zgodnie</w:t>
      </w:r>
      <w:r w:rsidR="00610401" w:rsidRPr="00610401">
        <w:rPr>
          <w:noProof/>
        </w:rPr>
        <w:t xml:space="preserve"> z ust</w:t>
      </w:r>
      <w:r w:rsidR="00FA5692" w:rsidRPr="00610401">
        <w:rPr>
          <w:noProof/>
        </w:rPr>
        <w:t>.</w:t>
      </w:r>
      <w:r w:rsidR="00610401" w:rsidRPr="00610401">
        <w:rPr>
          <w:noProof/>
        </w:rPr>
        <w:t> </w:t>
      </w:r>
      <w:r w:rsidR="00FA5692" w:rsidRPr="00610401">
        <w:rPr>
          <w:noProof/>
        </w:rPr>
        <w:t>1 lit.</w:t>
      </w:r>
      <w:r w:rsidR="00610401" w:rsidRPr="00610401">
        <w:rPr>
          <w:noProof/>
        </w:rPr>
        <w:t> </w:t>
      </w:r>
      <w:r w:rsidR="00FA5692" w:rsidRPr="00610401">
        <w:rPr>
          <w:noProof/>
        </w:rPr>
        <w:t>a), b) i c) niniejszego artykułu, dotyczące zasobów węgla organicznego</w:t>
      </w:r>
      <w:r w:rsidR="00610401" w:rsidRPr="00610401">
        <w:rPr>
          <w:noProof/>
        </w:rPr>
        <w:t xml:space="preserve"> w gle</w:t>
      </w:r>
      <w:r w:rsidR="00FA5692" w:rsidRPr="00610401">
        <w:rPr>
          <w:noProof/>
        </w:rPr>
        <w:t>bach mineralnych na gruntach uprawnych</w:t>
      </w:r>
      <w:r w:rsidR="00610401" w:rsidRPr="00610401">
        <w:rPr>
          <w:noProof/>
        </w:rPr>
        <w:t xml:space="preserve"> i udz</w:t>
      </w:r>
      <w:r w:rsidR="00FA5692" w:rsidRPr="00610401">
        <w:rPr>
          <w:noProof/>
        </w:rPr>
        <w:t>iału elementów krajobrazu</w:t>
      </w:r>
      <w:r w:rsidR="00610401" w:rsidRPr="00610401">
        <w:rPr>
          <w:noProof/>
        </w:rPr>
        <w:t xml:space="preserve"> o wys</w:t>
      </w:r>
      <w:r w:rsidR="00FA5692" w:rsidRPr="00610401">
        <w:rPr>
          <w:noProof/>
        </w:rPr>
        <w:t>okiej różnorodności na gruntach rolnych,</w:t>
      </w:r>
      <w:r w:rsidR="00610401" w:rsidRPr="00610401">
        <w:rPr>
          <w:noProof/>
        </w:rPr>
        <w:t xml:space="preserve"> a tak</w:t>
      </w:r>
      <w:r w:rsidR="00FA5692" w:rsidRPr="00610401">
        <w:rPr>
          <w:noProof/>
        </w:rPr>
        <w:t>że, zgodnie</w:t>
      </w:r>
      <w:r w:rsidR="00610401" w:rsidRPr="00610401">
        <w:rPr>
          <w:noProof/>
        </w:rPr>
        <w:t xml:space="preserve"> z ust</w:t>
      </w:r>
      <w:r w:rsidR="00FA5692" w:rsidRPr="00610401">
        <w:rPr>
          <w:noProof/>
        </w:rPr>
        <w:t>.</w:t>
      </w:r>
      <w:r w:rsidR="00610401" w:rsidRPr="00610401">
        <w:rPr>
          <w:noProof/>
        </w:rPr>
        <w:t> </w:t>
      </w:r>
      <w:r w:rsidR="00FA5692" w:rsidRPr="00610401">
        <w:rPr>
          <w:noProof/>
        </w:rPr>
        <w:t>1 lit.</w:t>
      </w:r>
      <w:r w:rsidR="00610401" w:rsidRPr="00610401">
        <w:rPr>
          <w:noProof/>
        </w:rPr>
        <w:t> </w:t>
      </w:r>
      <w:r w:rsidR="00FA5692" w:rsidRPr="00610401">
        <w:rPr>
          <w:noProof/>
        </w:rPr>
        <w:t>e) niniejszego artykułu, dotyczące stojącego</w:t>
      </w:r>
      <w:r w:rsidR="00610401" w:rsidRPr="00610401">
        <w:rPr>
          <w:noProof/>
        </w:rPr>
        <w:t xml:space="preserve"> i leż</w:t>
      </w:r>
      <w:r w:rsidR="00FA5692" w:rsidRPr="00610401">
        <w:rPr>
          <w:noProof/>
        </w:rPr>
        <w:t>ącego drewna posuszowego, udziału lasów różnowiekowych, łączności leśnej oraz zasobów węgla organicznego, przeprowadzane jest co najmniej raz na trzy lata,</w:t>
      </w:r>
      <w:r w:rsidR="00610401" w:rsidRPr="00610401">
        <w:rPr>
          <w:noProof/>
        </w:rPr>
        <w:t xml:space="preserve"> a jeś</w:t>
      </w:r>
      <w:r w:rsidR="00FA5692" w:rsidRPr="00610401">
        <w:rPr>
          <w:noProof/>
        </w:rPr>
        <w:t>li to możliwe – co roku. Monitorowanie zgodnie</w:t>
      </w:r>
      <w:r w:rsidR="00610401" w:rsidRPr="00610401">
        <w:rPr>
          <w:noProof/>
        </w:rPr>
        <w:t xml:space="preserve"> z ust</w:t>
      </w:r>
      <w:r w:rsidR="00FA5692" w:rsidRPr="00610401">
        <w:rPr>
          <w:noProof/>
        </w:rPr>
        <w:t>.</w:t>
      </w:r>
      <w:r w:rsidR="00610401" w:rsidRPr="00610401">
        <w:rPr>
          <w:noProof/>
        </w:rPr>
        <w:t> </w:t>
      </w:r>
      <w:r w:rsidR="00FA5692" w:rsidRPr="00610401">
        <w:rPr>
          <w:noProof/>
        </w:rPr>
        <w:t>1 lit.</w:t>
      </w:r>
      <w:r w:rsidR="00610401" w:rsidRPr="00610401">
        <w:rPr>
          <w:noProof/>
        </w:rPr>
        <w:t> </w:t>
      </w:r>
      <w:r w:rsidR="00FA5692" w:rsidRPr="00610401">
        <w:rPr>
          <w:noProof/>
        </w:rPr>
        <w:t>c), dotyczące wskaźnika liczebności motyli występujących na obszarach trawiastych, zgodnie</w:t>
      </w:r>
      <w:r w:rsidR="00610401" w:rsidRPr="00610401">
        <w:rPr>
          <w:noProof/>
        </w:rPr>
        <w:t xml:space="preserve"> z ust</w:t>
      </w:r>
      <w:r w:rsidR="00FA5692" w:rsidRPr="00610401">
        <w:rPr>
          <w:noProof/>
        </w:rPr>
        <w:t>.</w:t>
      </w:r>
      <w:r w:rsidR="00610401" w:rsidRPr="00610401">
        <w:rPr>
          <w:noProof/>
        </w:rPr>
        <w:t> </w:t>
      </w:r>
      <w:r w:rsidR="00FA5692" w:rsidRPr="00610401">
        <w:rPr>
          <w:noProof/>
        </w:rPr>
        <w:t>1 lit.</w:t>
      </w:r>
      <w:r w:rsidR="00610401" w:rsidRPr="00610401">
        <w:rPr>
          <w:noProof/>
        </w:rPr>
        <w:t> </w:t>
      </w:r>
      <w:r w:rsidR="00FA5692" w:rsidRPr="00610401">
        <w:rPr>
          <w:noProof/>
        </w:rPr>
        <w:t>d) i e), dotyczące wskaźnika liczebności pospolitych ptaków leśnych, oraz zgodnie</w:t>
      </w:r>
      <w:r w:rsidR="00610401" w:rsidRPr="00610401">
        <w:rPr>
          <w:noProof/>
        </w:rPr>
        <w:t xml:space="preserve"> z ust</w:t>
      </w:r>
      <w:r w:rsidR="00FA5692" w:rsidRPr="00610401">
        <w:rPr>
          <w:noProof/>
        </w:rPr>
        <w:t>.</w:t>
      </w:r>
      <w:r w:rsidR="00610401" w:rsidRPr="00610401">
        <w:rPr>
          <w:noProof/>
        </w:rPr>
        <w:t> </w:t>
      </w:r>
      <w:r w:rsidR="00FA5692" w:rsidRPr="00610401">
        <w:rPr>
          <w:noProof/>
        </w:rPr>
        <w:t>1 lit.</w:t>
      </w:r>
      <w:r w:rsidR="00610401" w:rsidRPr="00610401">
        <w:rPr>
          <w:noProof/>
        </w:rPr>
        <w:t> </w:t>
      </w:r>
      <w:r w:rsidR="00FA5692" w:rsidRPr="00610401">
        <w:rPr>
          <w:noProof/>
        </w:rPr>
        <w:t>f), dotyczące gatunków owadów zapylających, przeprowadzane jest co roku. Monitorowanie zgodnie</w:t>
      </w:r>
      <w:r w:rsidR="00610401" w:rsidRPr="00610401">
        <w:rPr>
          <w:noProof/>
        </w:rPr>
        <w:t xml:space="preserve"> z ust</w:t>
      </w:r>
      <w:r w:rsidR="00FA5692" w:rsidRPr="00610401">
        <w:rPr>
          <w:noProof/>
        </w:rPr>
        <w:t>.</w:t>
      </w:r>
      <w:r w:rsidR="00610401" w:rsidRPr="00610401">
        <w:rPr>
          <w:noProof/>
        </w:rPr>
        <w:t> </w:t>
      </w:r>
      <w:r w:rsidR="00FA5692" w:rsidRPr="00610401">
        <w:rPr>
          <w:noProof/>
        </w:rPr>
        <w:t>1 lit.</w:t>
      </w:r>
      <w:r w:rsidR="00610401" w:rsidRPr="00610401">
        <w:rPr>
          <w:noProof/>
        </w:rPr>
        <w:t> </w:t>
      </w:r>
      <w:r w:rsidR="00FA5692" w:rsidRPr="00610401">
        <w:rPr>
          <w:noProof/>
        </w:rPr>
        <w:t>g) i h) przeprowadzane jest co najmniej raz na sześć lat oraz jest skoordynowane</w:t>
      </w:r>
      <w:r w:rsidR="00610401" w:rsidRPr="00610401">
        <w:rPr>
          <w:noProof/>
        </w:rPr>
        <w:t xml:space="preserve"> z cyk</w:t>
      </w:r>
      <w:r w:rsidR="00FA5692" w:rsidRPr="00610401">
        <w:rPr>
          <w:noProof/>
        </w:rPr>
        <w:t>lem sprawozdawczym,</w:t>
      </w:r>
      <w:r w:rsidR="00610401" w:rsidRPr="00610401">
        <w:rPr>
          <w:noProof/>
        </w:rPr>
        <w:t xml:space="preserve"> o któ</w:t>
      </w:r>
      <w:r w:rsidR="00FA5692" w:rsidRPr="00610401">
        <w:rPr>
          <w:noProof/>
        </w:rPr>
        <w:t>rym mowa</w:t>
      </w:r>
      <w:r w:rsidR="00610401" w:rsidRPr="00610401">
        <w:rPr>
          <w:noProof/>
        </w:rPr>
        <w:t xml:space="preserve"> w art</w:t>
      </w:r>
      <w:r w:rsidR="00FA5692" w:rsidRPr="00610401">
        <w:rPr>
          <w:noProof/>
        </w:rPr>
        <w:t>.</w:t>
      </w:r>
      <w:r w:rsidR="00610401" w:rsidRPr="00610401">
        <w:rPr>
          <w:noProof/>
        </w:rPr>
        <w:t> </w:t>
      </w:r>
      <w:r w:rsidR="00FA5692" w:rsidRPr="00610401">
        <w:rPr>
          <w:noProof/>
        </w:rPr>
        <w:t>17 dyrektywy 92/43/EWG.</w:t>
      </w:r>
    </w:p>
    <w:p w:rsidR="00FA5692" w:rsidRPr="00610401" w:rsidRDefault="009F5C98" w:rsidP="009F5C98">
      <w:pPr>
        <w:pStyle w:val="ManualNumPar1"/>
        <w:rPr>
          <w:noProof/>
        </w:rPr>
      </w:pPr>
      <w:r w:rsidRPr="009F5C98">
        <w:t>6.</w:t>
      </w:r>
      <w:r w:rsidRPr="009F5C98">
        <w:tab/>
      </w:r>
      <w:r w:rsidR="00FA5692" w:rsidRPr="00610401">
        <w:rPr>
          <w:noProof/>
        </w:rPr>
        <w:t>Państwa członkowskie zapewniają, aby wskaźniki dotyczące ekosystemów rolniczych,</w:t>
      </w:r>
      <w:r w:rsidR="00610401" w:rsidRPr="00610401">
        <w:rPr>
          <w:noProof/>
        </w:rPr>
        <w:t xml:space="preserve"> o któ</w:t>
      </w:r>
      <w:r w:rsidR="00FA5692" w:rsidRPr="00610401">
        <w:rPr>
          <w:noProof/>
        </w:rPr>
        <w:t>rych mowa</w:t>
      </w:r>
      <w:r w:rsidR="00610401" w:rsidRPr="00610401">
        <w:rPr>
          <w:noProof/>
        </w:rPr>
        <w:t xml:space="preserve"> w art</w:t>
      </w:r>
      <w:r w:rsidR="00FA5692" w:rsidRPr="00610401">
        <w:rPr>
          <w:noProof/>
        </w:rPr>
        <w:t>.</w:t>
      </w:r>
      <w:r w:rsidR="00610401" w:rsidRPr="00610401">
        <w:rPr>
          <w:noProof/>
        </w:rPr>
        <w:t> </w:t>
      </w:r>
      <w:r w:rsidR="00FA5692" w:rsidRPr="00610401">
        <w:rPr>
          <w:noProof/>
        </w:rPr>
        <w:t>9 ust.</w:t>
      </w:r>
      <w:r w:rsidR="00610401" w:rsidRPr="00610401">
        <w:rPr>
          <w:noProof/>
        </w:rPr>
        <w:t> </w:t>
      </w:r>
      <w:r w:rsidR="00FA5692" w:rsidRPr="00610401">
        <w:rPr>
          <w:noProof/>
        </w:rPr>
        <w:t>2 lit.</w:t>
      </w:r>
      <w:r w:rsidR="00610401" w:rsidRPr="00610401">
        <w:rPr>
          <w:noProof/>
        </w:rPr>
        <w:t> </w:t>
      </w:r>
      <w:r w:rsidR="00FA5692" w:rsidRPr="00610401">
        <w:rPr>
          <w:noProof/>
        </w:rPr>
        <w:t>b), oraz wskaźniki dotyczące ekosystemów leśnych,</w:t>
      </w:r>
      <w:r w:rsidR="00610401" w:rsidRPr="00610401">
        <w:rPr>
          <w:noProof/>
        </w:rPr>
        <w:t xml:space="preserve"> o któ</w:t>
      </w:r>
      <w:r w:rsidR="00FA5692" w:rsidRPr="00610401">
        <w:rPr>
          <w:noProof/>
        </w:rPr>
        <w:t>rych mowa</w:t>
      </w:r>
      <w:r w:rsidR="00610401" w:rsidRPr="00610401">
        <w:rPr>
          <w:noProof/>
        </w:rPr>
        <w:t xml:space="preserve"> w art</w:t>
      </w:r>
      <w:r w:rsidR="00FA5692" w:rsidRPr="00610401">
        <w:rPr>
          <w:noProof/>
        </w:rPr>
        <w:t>.</w:t>
      </w:r>
      <w:r w:rsidR="00610401" w:rsidRPr="00610401">
        <w:rPr>
          <w:noProof/>
        </w:rPr>
        <w:t> </w:t>
      </w:r>
      <w:r w:rsidR="00FA5692" w:rsidRPr="00610401">
        <w:rPr>
          <w:noProof/>
        </w:rPr>
        <w:t>10 ust.</w:t>
      </w:r>
      <w:r w:rsidR="00610401" w:rsidRPr="00610401">
        <w:rPr>
          <w:noProof/>
        </w:rPr>
        <w:t> </w:t>
      </w:r>
      <w:r w:rsidR="00FA5692" w:rsidRPr="00610401">
        <w:rPr>
          <w:noProof/>
        </w:rPr>
        <w:t>2 lit.</w:t>
      </w:r>
      <w:r w:rsidR="00610401" w:rsidRPr="00610401">
        <w:rPr>
          <w:noProof/>
        </w:rPr>
        <w:t> </w:t>
      </w:r>
      <w:r w:rsidR="00FA5692" w:rsidRPr="00610401">
        <w:rPr>
          <w:noProof/>
        </w:rPr>
        <w:t>a), b) i f) niniejszego rozporządzenia, były monitorowane</w:t>
      </w:r>
      <w:r w:rsidR="00610401" w:rsidRPr="00610401">
        <w:rPr>
          <w:noProof/>
        </w:rPr>
        <w:t xml:space="preserve"> w spo</w:t>
      </w:r>
      <w:r w:rsidR="00FA5692" w:rsidRPr="00610401">
        <w:rPr>
          <w:noProof/>
        </w:rPr>
        <w:t>sób spójny</w:t>
      </w:r>
      <w:r w:rsidR="00610401" w:rsidRPr="00610401">
        <w:rPr>
          <w:noProof/>
        </w:rPr>
        <w:t xml:space="preserve"> z mon</w:t>
      </w:r>
      <w:r w:rsidR="00FA5692" w:rsidRPr="00610401">
        <w:rPr>
          <w:noProof/>
        </w:rPr>
        <w:t xml:space="preserve">itorowaniem wymaganym na podstawie rozporządzeń (UE) 2018/841 i (UE) 2018/1999. </w:t>
      </w:r>
    </w:p>
    <w:p w:rsidR="00FA5692" w:rsidRPr="00610401" w:rsidRDefault="009F5C98" w:rsidP="009F5C98">
      <w:pPr>
        <w:pStyle w:val="ManualNumPar1"/>
        <w:rPr>
          <w:noProof/>
          <w:szCs w:val="24"/>
        </w:rPr>
      </w:pPr>
      <w:r w:rsidRPr="009F5C98">
        <w:t>7.</w:t>
      </w:r>
      <w:r w:rsidRPr="009F5C98">
        <w:tab/>
      </w:r>
      <w:r w:rsidR="00FA5692" w:rsidRPr="00610401">
        <w:rPr>
          <w:noProof/>
        </w:rPr>
        <w:t>Państwa członkowskie udostępniają publicznie dane uzyskane</w:t>
      </w:r>
      <w:r w:rsidR="00610401" w:rsidRPr="00610401">
        <w:rPr>
          <w:noProof/>
        </w:rPr>
        <w:t xml:space="preserve"> w wyn</w:t>
      </w:r>
      <w:r w:rsidR="00FA5692" w:rsidRPr="00610401">
        <w:rPr>
          <w:noProof/>
        </w:rPr>
        <w:t>iku monitorowania prowadzonego na podstawie niniejszego artykułu, zgodnie</w:t>
      </w:r>
      <w:r w:rsidR="00610401" w:rsidRPr="00610401">
        <w:rPr>
          <w:noProof/>
        </w:rPr>
        <w:t xml:space="preserve"> z dyr</w:t>
      </w:r>
      <w:r w:rsidR="00FA5692" w:rsidRPr="00610401">
        <w:rPr>
          <w:noProof/>
        </w:rPr>
        <w:t>ektywą 2007/2/WE Parlamentu Europejskiego</w:t>
      </w:r>
      <w:r w:rsidR="00610401" w:rsidRPr="00610401">
        <w:rPr>
          <w:noProof/>
        </w:rPr>
        <w:t xml:space="preserve"> i Rad</w:t>
      </w:r>
      <w:r w:rsidR="00FA5692" w:rsidRPr="00610401">
        <w:rPr>
          <w:noProof/>
        </w:rPr>
        <w:t>y</w:t>
      </w:r>
      <w:r w:rsidR="00FA5692" w:rsidRPr="00610401">
        <w:rPr>
          <w:rStyle w:val="FootnoteReference"/>
          <w:noProof/>
        </w:rPr>
        <w:footnoteReference w:id="113"/>
      </w:r>
      <w:r w:rsidR="00FA5692" w:rsidRPr="00610401">
        <w:rPr>
          <w:noProof/>
        </w:rPr>
        <w:t xml:space="preserve"> oraz zgodnie</w:t>
      </w:r>
      <w:r w:rsidR="00610401" w:rsidRPr="00610401">
        <w:rPr>
          <w:noProof/>
        </w:rPr>
        <w:t xml:space="preserve"> z czę</w:t>
      </w:r>
      <w:r w:rsidR="00FA5692" w:rsidRPr="00610401">
        <w:rPr>
          <w:noProof/>
        </w:rPr>
        <w:t>stotliwością monitorowania określoną</w:t>
      </w:r>
      <w:r w:rsidR="00610401" w:rsidRPr="00610401">
        <w:rPr>
          <w:noProof/>
        </w:rPr>
        <w:t xml:space="preserve"> w ust</w:t>
      </w:r>
      <w:r w:rsidR="00FA5692" w:rsidRPr="00610401">
        <w:rPr>
          <w:noProof/>
        </w:rPr>
        <w:t>.</w:t>
      </w:r>
      <w:r w:rsidR="00610401" w:rsidRPr="00610401">
        <w:rPr>
          <w:noProof/>
        </w:rPr>
        <w:t> </w:t>
      </w:r>
      <w:r w:rsidR="00FA5692" w:rsidRPr="00610401">
        <w:rPr>
          <w:noProof/>
        </w:rPr>
        <w:t xml:space="preserve">5. </w:t>
      </w:r>
    </w:p>
    <w:p w:rsidR="00FA5692" w:rsidRPr="00610401" w:rsidRDefault="009F5C98" w:rsidP="009F5C98">
      <w:pPr>
        <w:pStyle w:val="ManualNumPar1"/>
        <w:rPr>
          <w:noProof/>
        </w:rPr>
      </w:pPr>
      <w:r w:rsidRPr="009F5C98">
        <w:t>8.</w:t>
      </w:r>
      <w:r w:rsidRPr="009F5C98">
        <w:tab/>
      </w:r>
      <w:r w:rsidR="00FA5692" w:rsidRPr="00610401">
        <w:rPr>
          <w:noProof/>
        </w:rPr>
        <w:t>Systemy monitorowania państw członkowskich działają na podstawie elektronicznych baz danych oraz systemów informacji geograficznej; maksymalizuje się dzięki nim dostęp do danych</w:t>
      </w:r>
      <w:r w:rsidR="00610401" w:rsidRPr="00610401">
        <w:rPr>
          <w:noProof/>
        </w:rPr>
        <w:t xml:space="preserve"> i usł</w:t>
      </w:r>
      <w:r w:rsidR="00FA5692" w:rsidRPr="00610401">
        <w:rPr>
          <w:noProof/>
        </w:rPr>
        <w:t>ug pochodzących</w:t>
      </w:r>
      <w:r w:rsidR="00610401" w:rsidRPr="00610401">
        <w:rPr>
          <w:noProof/>
        </w:rPr>
        <w:t xml:space="preserve"> z tec</w:t>
      </w:r>
      <w:r w:rsidR="00FA5692" w:rsidRPr="00610401">
        <w:rPr>
          <w:noProof/>
        </w:rPr>
        <w:t>hnologii teledetekcji, obserwacji Ziemi (usługi programu Copernicus), czujników</w:t>
      </w:r>
      <w:r w:rsidR="00610401" w:rsidRPr="00610401">
        <w:rPr>
          <w:noProof/>
        </w:rPr>
        <w:t xml:space="preserve"> i urz</w:t>
      </w:r>
      <w:r w:rsidR="00FA5692" w:rsidRPr="00610401">
        <w:rPr>
          <w:noProof/>
        </w:rPr>
        <w:t>ądzeń in-situ lub danych uzyskanych dzięki badaniom metodą obywatelską oraz ich wykorzystanie, korzystając</w:t>
      </w:r>
      <w:r w:rsidR="00610401" w:rsidRPr="00610401">
        <w:rPr>
          <w:noProof/>
        </w:rPr>
        <w:t xml:space="preserve"> z moż</w:t>
      </w:r>
      <w:r w:rsidR="00FA5692" w:rsidRPr="00610401">
        <w:rPr>
          <w:noProof/>
        </w:rPr>
        <w:t>liwości oferowanych przez sztuczną inteligencję oraz zaawansowaną analizę</w:t>
      </w:r>
      <w:r w:rsidR="00610401" w:rsidRPr="00610401">
        <w:rPr>
          <w:noProof/>
        </w:rPr>
        <w:t xml:space="preserve"> i prz</w:t>
      </w:r>
      <w:r w:rsidR="00FA5692" w:rsidRPr="00610401">
        <w:rPr>
          <w:noProof/>
        </w:rPr>
        <w:t>etwarzanie danych.</w:t>
      </w:r>
      <w:r w:rsidR="00610401" w:rsidRPr="00610401">
        <w:rPr>
          <w:noProof/>
        </w:rPr>
        <w:t xml:space="preserve"> </w:t>
      </w:r>
    </w:p>
    <w:p w:rsidR="00504D66" w:rsidRPr="00610401" w:rsidRDefault="009F5C98" w:rsidP="009F5C98">
      <w:pPr>
        <w:pStyle w:val="ManualNumPar1"/>
        <w:rPr>
          <w:noProof/>
        </w:rPr>
      </w:pPr>
      <w:r w:rsidRPr="009F5C98">
        <w:t>9.</w:t>
      </w:r>
      <w:r w:rsidRPr="009F5C98">
        <w:tab/>
      </w:r>
      <w:r w:rsidR="00FA5692" w:rsidRPr="00610401">
        <w:rPr>
          <w:noProof/>
        </w:rPr>
        <w:t>Komisja może przyjmować akty wykonawcze</w:t>
      </w:r>
      <w:r w:rsidR="00610401" w:rsidRPr="00610401">
        <w:rPr>
          <w:noProof/>
        </w:rPr>
        <w:t xml:space="preserve"> w cel</w:t>
      </w:r>
      <w:r w:rsidR="00FA5692" w:rsidRPr="00610401">
        <w:rPr>
          <w:noProof/>
        </w:rPr>
        <w:t>u:</w:t>
      </w:r>
    </w:p>
    <w:p w:rsidR="00504D66" w:rsidRPr="00610401" w:rsidRDefault="00610401" w:rsidP="00610401">
      <w:pPr>
        <w:pStyle w:val="Point1"/>
        <w:rPr>
          <w:noProof/>
        </w:rPr>
      </w:pPr>
      <w:r w:rsidRPr="00610401">
        <w:rPr>
          <w:noProof/>
        </w:rPr>
        <w:t>a)</w:t>
      </w:r>
      <w:r w:rsidRPr="00610401">
        <w:rPr>
          <w:noProof/>
        </w:rPr>
        <w:tab/>
      </w:r>
      <w:r w:rsidR="00FA5692" w:rsidRPr="00610401">
        <w:rPr>
          <w:noProof/>
        </w:rPr>
        <w:t>określenia metod monitorowania wskaźników dotyczących ekosystemów rolniczych wymienionych załączniku IV;</w:t>
      </w:r>
    </w:p>
    <w:p w:rsidR="00504D66" w:rsidRPr="00610401" w:rsidRDefault="00610401" w:rsidP="00610401">
      <w:pPr>
        <w:pStyle w:val="Point1"/>
        <w:rPr>
          <w:noProof/>
        </w:rPr>
      </w:pPr>
      <w:r w:rsidRPr="00610401">
        <w:rPr>
          <w:noProof/>
        </w:rPr>
        <w:t>b)</w:t>
      </w:r>
      <w:r w:rsidRPr="00610401">
        <w:rPr>
          <w:noProof/>
        </w:rPr>
        <w:tab/>
      </w:r>
      <w:r w:rsidR="00504D66" w:rsidRPr="00610401">
        <w:rPr>
          <w:noProof/>
        </w:rPr>
        <w:t>określenia metod monitorowania wskaźników dotyczących ekosystemów leśnych wymienionych załączniku VI;</w:t>
      </w:r>
    </w:p>
    <w:p w:rsidR="00504D66" w:rsidRPr="00610401" w:rsidRDefault="00610401" w:rsidP="00610401">
      <w:pPr>
        <w:pStyle w:val="Point1"/>
        <w:rPr>
          <w:noProof/>
        </w:rPr>
      </w:pPr>
      <w:r w:rsidRPr="00610401">
        <w:rPr>
          <w:noProof/>
        </w:rPr>
        <w:t>c)</w:t>
      </w:r>
      <w:r w:rsidRPr="00610401">
        <w:rPr>
          <w:noProof/>
        </w:rPr>
        <w:tab/>
      </w:r>
      <w:r w:rsidR="00B2196B" w:rsidRPr="00610401">
        <w:rPr>
          <w:noProof/>
        </w:rPr>
        <w:t>opracowania ram ustalania zadowalających poziomów,</w:t>
      </w:r>
      <w:r w:rsidRPr="00610401">
        <w:rPr>
          <w:noProof/>
        </w:rPr>
        <w:t xml:space="preserve"> o któ</w:t>
      </w:r>
      <w:r w:rsidR="00B2196B" w:rsidRPr="00610401">
        <w:rPr>
          <w:noProof/>
        </w:rPr>
        <w:t>rych mowa</w:t>
      </w:r>
      <w:r w:rsidRPr="00610401">
        <w:rPr>
          <w:noProof/>
        </w:rPr>
        <w:t xml:space="preserve"> w art</w:t>
      </w:r>
      <w:r w:rsidR="00B2196B" w:rsidRPr="00610401">
        <w:rPr>
          <w:noProof/>
        </w:rPr>
        <w:t>.</w:t>
      </w:r>
      <w:r w:rsidRPr="00610401">
        <w:rPr>
          <w:noProof/>
        </w:rPr>
        <w:t> </w:t>
      </w:r>
      <w:r w:rsidR="00B2196B" w:rsidRPr="00610401">
        <w:rPr>
          <w:noProof/>
        </w:rPr>
        <w:t>11 ust.</w:t>
      </w:r>
      <w:r w:rsidRPr="00610401">
        <w:rPr>
          <w:noProof/>
        </w:rPr>
        <w:t> </w:t>
      </w:r>
      <w:r w:rsidR="00B2196B" w:rsidRPr="00610401">
        <w:rPr>
          <w:noProof/>
        </w:rPr>
        <w:t xml:space="preserve">3. </w:t>
      </w:r>
    </w:p>
    <w:p w:rsidR="4737C2DB" w:rsidRPr="00610401" w:rsidRDefault="003929F2" w:rsidP="00A22E53">
      <w:pPr>
        <w:pStyle w:val="Text1"/>
        <w:rPr>
          <w:noProof/>
        </w:rPr>
      </w:pPr>
      <w:r w:rsidRPr="00610401">
        <w:rPr>
          <w:noProof/>
        </w:rPr>
        <w:t>Takie akty wykonawcze przyjmowane są zgodnie</w:t>
      </w:r>
      <w:r w:rsidR="00610401" w:rsidRPr="00610401">
        <w:rPr>
          <w:noProof/>
        </w:rPr>
        <w:t xml:space="preserve"> z pro</w:t>
      </w:r>
      <w:r w:rsidRPr="00610401">
        <w:rPr>
          <w:noProof/>
        </w:rPr>
        <w:t>cedurą sprawdzającą,</w:t>
      </w:r>
      <w:r w:rsidR="00610401" w:rsidRPr="00610401">
        <w:rPr>
          <w:noProof/>
        </w:rPr>
        <w:t xml:space="preserve"> o któ</w:t>
      </w:r>
      <w:r w:rsidRPr="00610401">
        <w:rPr>
          <w:noProof/>
        </w:rPr>
        <w:t>rej mowa</w:t>
      </w:r>
      <w:r w:rsidR="00610401" w:rsidRPr="00610401">
        <w:rPr>
          <w:noProof/>
        </w:rPr>
        <w:t xml:space="preserve"> w art</w:t>
      </w:r>
      <w:r w:rsidRPr="00610401">
        <w:rPr>
          <w:noProof/>
        </w:rPr>
        <w:t>. 21 ust.</w:t>
      </w:r>
      <w:r w:rsidR="00610401" w:rsidRPr="00610401">
        <w:rPr>
          <w:noProof/>
        </w:rPr>
        <w:t> </w:t>
      </w:r>
      <w:r w:rsidRPr="00610401">
        <w:rPr>
          <w:noProof/>
        </w:rPr>
        <w:t>2.</w:t>
      </w:r>
    </w:p>
    <w:p w:rsidR="00D670D0" w:rsidRPr="00610401" w:rsidRDefault="1D6E92BD" w:rsidP="003F67E3">
      <w:pPr>
        <w:pStyle w:val="Titrearticle"/>
        <w:rPr>
          <w:noProof/>
        </w:rPr>
      </w:pPr>
      <w:r w:rsidRPr="00610401">
        <w:rPr>
          <w:noProof/>
        </w:rPr>
        <w:t xml:space="preserve">Artykuł 18 </w:t>
      </w:r>
      <w:r w:rsidRPr="00610401">
        <w:rPr>
          <w:noProof/>
        </w:rPr>
        <w:br/>
      </w:r>
      <w:r w:rsidRPr="00610401">
        <w:rPr>
          <w:b/>
          <w:i w:val="0"/>
          <w:noProof/>
        </w:rPr>
        <w:t>Sprawozdawczość</w:t>
      </w:r>
      <w:r w:rsidRPr="00610401">
        <w:rPr>
          <w:noProof/>
        </w:rPr>
        <w:t xml:space="preserve"> </w:t>
      </w:r>
    </w:p>
    <w:p w:rsidR="007C5389" w:rsidRPr="00610401" w:rsidRDefault="009F5C98" w:rsidP="009F5C98">
      <w:pPr>
        <w:pStyle w:val="ManualNumPar1"/>
        <w:rPr>
          <w:noProof/>
        </w:rPr>
      </w:pPr>
      <w:r w:rsidRPr="009F5C98">
        <w:t>1.</w:t>
      </w:r>
      <w:r w:rsidRPr="009F5C98">
        <w:tab/>
      </w:r>
      <w:r w:rsidR="007C5389" w:rsidRPr="00610401">
        <w:rPr>
          <w:noProof/>
        </w:rPr>
        <w:t>Państwa członkowskie raz do roku przekazują Komisji drogą elektroniczną informacje</w:t>
      </w:r>
      <w:r w:rsidR="00610401" w:rsidRPr="00610401">
        <w:rPr>
          <w:noProof/>
        </w:rPr>
        <w:t xml:space="preserve"> o obs</w:t>
      </w:r>
      <w:r w:rsidR="007C5389" w:rsidRPr="00610401">
        <w:rPr>
          <w:noProof/>
        </w:rPr>
        <w:t>zarze objętym środkami odbudowy,</w:t>
      </w:r>
      <w:r w:rsidR="00610401" w:rsidRPr="00610401">
        <w:rPr>
          <w:noProof/>
        </w:rPr>
        <w:t xml:space="preserve"> o któ</w:t>
      </w:r>
      <w:r w:rsidR="007C5389" w:rsidRPr="00610401">
        <w:rPr>
          <w:noProof/>
        </w:rPr>
        <w:t>rych mowa</w:t>
      </w:r>
      <w:r w:rsidR="00610401" w:rsidRPr="00610401">
        <w:rPr>
          <w:noProof/>
        </w:rPr>
        <w:t xml:space="preserve"> w art</w:t>
      </w:r>
      <w:r w:rsidR="007C5389" w:rsidRPr="00610401">
        <w:rPr>
          <w:noProof/>
        </w:rPr>
        <w:t>.</w:t>
      </w:r>
      <w:r w:rsidR="00610401" w:rsidRPr="00610401">
        <w:rPr>
          <w:noProof/>
        </w:rPr>
        <w:t> </w:t>
      </w:r>
      <w:r w:rsidR="007C5389" w:rsidRPr="00610401">
        <w:rPr>
          <w:noProof/>
        </w:rPr>
        <w:t>4–10, oraz usuniętych barierach,</w:t>
      </w:r>
      <w:r w:rsidR="00610401" w:rsidRPr="00610401">
        <w:rPr>
          <w:noProof/>
        </w:rPr>
        <w:t xml:space="preserve"> o któ</w:t>
      </w:r>
      <w:r w:rsidR="007C5389" w:rsidRPr="00610401">
        <w:rPr>
          <w:noProof/>
        </w:rPr>
        <w:t>rych mowa</w:t>
      </w:r>
      <w:r w:rsidR="00610401" w:rsidRPr="00610401">
        <w:rPr>
          <w:noProof/>
        </w:rPr>
        <w:t xml:space="preserve"> w art</w:t>
      </w:r>
      <w:r w:rsidR="007C5389" w:rsidRPr="00610401">
        <w:rPr>
          <w:noProof/>
        </w:rPr>
        <w:t>.</w:t>
      </w:r>
      <w:r w:rsidR="00610401" w:rsidRPr="00610401">
        <w:rPr>
          <w:noProof/>
        </w:rPr>
        <w:t> </w:t>
      </w:r>
      <w:r w:rsidR="007C5389" w:rsidRPr="00610401">
        <w:rPr>
          <w:noProof/>
        </w:rPr>
        <w:t>7, począwszy od</w:t>
      </w:r>
      <w:r w:rsidR="007C5389" w:rsidRPr="00610401">
        <w:rPr>
          <w:i/>
          <w:noProof/>
        </w:rPr>
        <w:t xml:space="preserve"> [Urząd Publikacji: proszę wstawić datę = data wejścia</w:t>
      </w:r>
      <w:r w:rsidR="00610401" w:rsidRPr="00610401">
        <w:rPr>
          <w:i/>
          <w:noProof/>
        </w:rPr>
        <w:t xml:space="preserve"> w życ</w:t>
      </w:r>
      <w:r w:rsidR="007C5389" w:rsidRPr="00610401">
        <w:rPr>
          <w:i/>
          <w:noProof/>
        </w:rPr>
        <w:t>ie niniejszego rozporządzenia].</w:t>
      </w:r>
    </w:p>
    <w:p w:rsidR="001B0264" w:rsidRPr="00610401" w:rsidRDefault="009F5C98" w:rsidP="009F5C98">
      <w:pPr>
        <w:pStyle w:val="ManualNumPar1"/>
        <w:rPr>
          <w:noProof/>
        </w:rPr>
      </w:pPr>
      <w:r w:rsidRPr="009F5C98">
        <w:t>2.</w:t>
      </w:r>
      <w:r w:rsidRPr="009F5C98">
        <w:tab/>
      </w:r>
      <w:r w:rsidR="1487C651" w:rsidRPr="00610401">
        <w:rPr>
          <w:noProof/>
        </w:rPr>
        <w:t>Państwa członkowskie przekazują drogą elektroniczną Komisji, która korzysta ze wsparcia EEA, następujące dane</w:t>
      </w:r>
      <w:r w:rsidR="00610401" w:rsidRPr="00610401">
        <w:rPr>
          <w:noProof/>
        </w:rPr>
        <w:t xml:space="preserve"> i inf</w:t>
      </w:r>
      <w:r w:rsidR="1487C651" w:rsidRPr="00610401">
        <w:rPr>
          <w:noProof/>
        </w:rPr>
        <w:t xml:space="preserve">ormacje co najmniej raz na trzy lata: </w:t>
      </w:r>
    </w:p>
    <w:p w:rsidR="00DF62FF" w:rsidRPr="00610401" w:rsidRDefault="00610401" w:rsidP="00610401">
      <w:pPr>
        <w:pStyle w:val="Point1"/>
        <w:rPr>
          <w:noProof/>
        </w:rPr>
      </w:pPr>
      <w:r w:rsidRPr="00610401">
        <w:rPr>
          <w:noProof/>
        </w:rPr>
        <w:t>a)</w:t>
      </w:r>
      <w:r w:rsidRPr="00610401">
        <w:rPr>
          <w:noProof/>
        </w:rPr>
        <w:tab/>
      </w:r>
      <w:r w:rsidR="5310AE0E" w:rsidRPr="00610401">
        <w:rPr>
          <w:noProof/>
        </w:rPr>
        <w:t>postępy</w:t>
      </w:r>
      <w:r w:rsidRPr="00610401">
        <w:rPr>
          <w:noProof/>
        </w:rPr>
        <w:t xml:space="preserve"> w rea</w:t>
      </w:r>
      <w:r w:rsidR="5310AE0E" w:rsidRPr="00610401">
        <w:rPr>
          <w:noProof/>
        </w:rPr>
        <w:t>lizacji krajowego planu odbudowy, we wdrażaniu środków odbudowy oraz</w:t>
      </w:r>
      <w:r w:rsidRPr="00610401">
        <w:rPr>
          <w:noProof/>
        </w:rPr>
        <w:t xml:space="preserve"> w rea</w:t>
      </w:r>
      <w:r w:rsidR="5310AE0E" w:rsidRPr="00610401">
        <w:rPr>
          <w:noProof/>
        </w:rPr>
        <w:t>lizacji celów</w:t>
      </w:r>
      <w:r w:rsidRPr="00610401">
        <w:rPr>
          <w:noProof/>
        </w:rPr>
        <w:t xml:space="preserve"> i obo</w:t>
      </w:r>
      <w:r w:rsidR="5310AE0E" w:rsidRPr="00610401">
        <w:rPr>
          <w:noProof/>
        </w:rPr>
        <w:t>wiązków określonych zgodnie</w:t>
      </w:r>
      <w:r w:rsidRPr="00610401">
        <w:rPr>
          <w:noProof/>
        </w:rPr>
        <w:t xml:space="preserve"> z art</w:t>
      </w:r>
      <w:r w:rsidR="5310AE0E" w:rsidRPr="00610401">
        <w:rPr>
          <w:noProof/>
        </w:rPr>
        <w:t>.</w:t>
      </w:r>
      <w:r w:rsidRPr="00610401">
        <w:rPr>
          <w:noProof/>
        </w:rPr>
        <w:t> </w:t>
      </w:r>
      <w:r w:rsidR="5310AE0E" w:rsidRPr="00610401">
        <w:rPr>
          <w:noProof/>
        </w:rPr>
        <w:t xml:space="preserve">4–10; </w:t>
      </w:r>
    </w:p>
    <w:p w:rsidR="00DF62FF" w:rsidRPr="00610401" w:rsidRDefault="00610401" w:rsidP="00610401">
      <w:pPr>
        <w:pStyle w:val="Point1"/>
        <w:rPr>
          <w:noProof/>
        </w:rPr>
      </w:pPr>
      <w:r w:rsidRPr="00610401">
        <w:rPr>
          <w:noProof/>
        </w:rPr>
        <w:t>b)</w:t>
      </w:r>
      <w:r w:rsidRPr="00610401">
        <w:rPr>
          <w:noProof/>
        </w:rPr>
        <w:tab/>
      </w:r>
      <w:r w:rsidR="5A07BB2A" w:rsidRPr="00610401">
        <w:rPr>
          <w:noProof/>
        </w:rPr>
        <w:t>wyniki monitorowania przeprowadzonego zgodnie</w:t>
      </w:r>
      <w:r w:rsidRPr="00610401">
        <w:rPr>
          <w:noProof/>
        </w:rPr>
        <w:t xml:space="preserve"> z art</w:t>
      </w:r>
      <w:r w:rsidR="5A07BB2A" w:rsidRPr="00610401">
        <w:rPr>
          <w:noProof/>
        </w:rPr>
        <w:t>.</w:t>
      </w:r>
      <w:r w:rsidRPr="00610401">
        <w:rPr>
          <w:noProof/>
        </w:rPr>
        <w:t> </w:t>
      </w:r>
      <w:r w:rsidR="5A07BB2A" w:rsidRPr="00610401">
        <w:rPr>
          <w:noProof/>
        </w:rPr>
        <w:t>17; sprawozdania dotyczące wyników monitorowania przeprowadzonego zgodnie</w:t>
      </w:r>
      <w:r w:rsidRPr="00610401">
        <w:rPr>
          <w:noProof/>
        </w:rPr>
        <w:t xml:space="preserve"> z art</w:t>
      </w:r>
      <w:r w:rsidR="5A07BB2A" w:rsidRPr="00610401">
        <w:rPr>
          <w:noProof/>
        </w:rPr>
        <w:t>.</w:t>
      </w:r>
      <w:r w:rsidRPr="00610401">
        <w:rPr>
          <w:noProof/>
        </w:rPr>
        <w:t> </w:t>
      </w:r>
      <w:r w:rsidR="5A07BB2A" w:rsidRPr="00610401">
        <w:rPr>
          <w:noProof/>
        </w:rPr>
        <w:t>17 ust.</w:t>
      </w:r>
      <w:r w:rsidRPr="00610401">
        <w:rPr>
          <w:noProof/>
        </w:rPr>
        <w:t> </w:t>
      </w:r>
      <w:r w:rsidR="5A07BB2A" w:rsidRPr="00610401">
        <w:rPr>
          <w:noProof/>
        </w:rPr>
        <w:t>1 lit.</w:t>
      </w:r>
      <w:r w:rsidRPr="00610401">
        <w:rPr>
          <w:noProof/>
        </w:rPr>
        <w:t> </w:t>
      </w:r>
      <w:r w:rsidR="5A07BB2A" w:rsidRPr="00610401">
        <w:rPr>
          <w:noProof/>
        </w:rPr>
        <w:t>g) i h) należy składać również</w:t>
      </w:r>
      <w:r w:rsidRPr="00610401">
        <w:rPr>
          <w:noProof/>
        </w:rPr>
        <w:t xml:space="preserve"> w for</w:t>
      </w:r>
      <w:r w:rsidR="5A07BB2A" w:rsidRPr="00610401">
        <w:rPr>
          <w:noProof/>
        </w:rPr>
        <w:t>mie map</w:t>
      </w:r>
      <w:r w:rsidRPr="00610401">
        <w:rPr>
          <w:noProof/>
        </w:rPr>
        <w:t xml:space="preserve"> z odn</w:t>
      </w:r>
      <w:r w:rsidR="5A07BB2A" w:rsidRPr="00610401">
        <w:rPr>
          <w:noProof/>
        </w:rPr>
        <w:t>iesieniami geograficznymi;</w:t>
      </w:r>
    </w:p>
    <w:p w:rsidR="00DF62FF" w:rsidRPr="00610401" w:rsidRDefault="00610401" w:rsidP="00610401">
      <w:pPr>
        <w:pStyle w:val="Point1"/>
        <w:rPr>
          <w:noProof/>
        </w:rPr>
      </w:pPr>
      <w:r w:rsidRPr="00610401">
        <w:rPr>
          <w:noProof/>
        </w:rPr>
        <w:t>c)</w:t>
      </w:r>
      <w:r w:rsidRPr="00610401">
        <w:rPr>
          <w:noProof/>
        </w:rPr>
        <w:tab/>
      </w:r>
      <w:r w:rsidR="4BE769ED" w:rsidRPr="00610401">
        <w:rPr>
          <w:noProof/>
        </w:rPr>
        <w:t>położenie</w:t>
      </w:r>
      <w:r w:rsidRPr="00610401">
        <w:rPr>
          <w:noProof/>
        </w:rPr>
        <w:t xml:space="preserve"> i zas</w:t>
      </w:r>
      <w:r w:rsidR="4BE769ED" w:rsidRPr="00610401">
        <w:rPr>
          <w:noProof/>
        </w:rPr>
        <w:t>ięg obszarów objętych środkami odbudowy,</w:t>
      </w:r>
      <w:r w:rsidRPr="00610401">
        <w:rPr>
          <w:noProof/>
        </w:rPr>
        <w:t xml:space="preserve"> o któ</w:t>
      </w:r>
      <w:r w:rsidR="4BE769ED" w:rsidRPr="00610401">
        <w:rPr>
          <w:noProof/>
        </w:rPr>
        <w:t>rych mowa</w:t>
      </w:r>
      <w:r w:rsidRPr="00610401">
        <w:rPr>
          <w:noProof/>
        </w:rPr>
        <w:t xml:space="preserve"> w art</w:t>
      </w:r>
      <w:r w:rsidR="4BE769ED" w:rsidRPr="00610401">
        <w:rPr>
          <w:noProof/>
        </w:rPr>
        <w:t>.</w:t>
      </w:r>
      <w:r w:rsidRPr="00610401">
        <w:rPr>
          <w:noProof/>
        </w:rPr>
        <w:t> </w:t>
      </w:r>
      <w:r w:rsidR="4BE769ED" w:rsidRPr="00610401">
        <w:rPr>
          <w:noProof/>
        </w:rPr>
        <w:t>4</w:t>
      </w:r>
      <w:r w:rsidRPr="00610401">
        <w:rPr>
          <w:noProof/>
        </w:rPr>
        <w:t xml:space="preserve"> i 5</w:t>
      </w:r>
      <w:r w:rsidR="4BE769ED" w:rsidRPr="00610401">
        <w:rPr>
          <w:noProof/>
        </w:rPr>
        <w:t xml:space="preserve"> oraz art.</w:t>
      </w:r>
      <w:r w:rsidRPr="00610401">
        <w:rPr>
          <w:noProof/>
        </w:rPr>
        <w:t> </w:t>
      </w:r>
      <w:r w:rsidR="4BE769ED" w:rsidRPr="00610401">
        <w:rPr>
          <w:noProof/>
        </w:rPr>
        <w:t>9 ust.</w:t>
      </w:r>
      <w:r w:rsidRPr="00610401">
        <w:rPr>
          <w:noProof/>
        </w:rPr>
        <w:t> </w:t>
      </w:r>
      <w:r w:rsidR="4BE769ED" w:rsidRPr="00610401">
        <w:rPr>
          <w:noProof/>
        </w:rPr>
        <w:t>4, wraz</w:t>
      </w:r>
      <w:r w:rsidRPr="00610401">
        <w:rPr>
          <w:noProof/>
        </w:rPr>
        <w:t xml:space="preserve"> z map</w:t>
      </w:r>
      <w:r w:rsidR="4BE769ED" w:rsidRPr="00610401">
        <w:rPr>
          <w:noProof/>
        </w:rPr>
        <w:t>ą tych obszarów</w:t>
      </w:r>
      <w:r w:rsidRPr="00610401">
        <w:rPr>
          <w:noProof/>
        </w:rPr>
        <w:t xml:space="preserve"> z odn</w:t>
      </w:r>
      <w:r w:rsidR="4BE769ED" w:rsidRPr="00610401">
        <w:rPr>
          <w:noProof/>
        </w:rPr>
        <w:t xml:space="preserve">iesieniami geograficznymi; </w:t>
      </w:r>
    </w:p>
    <w:p w:rsidR="00DF62FF" w:rsidRPr="00610401" w:rsidRDefault="00610401" w:rsidP="00610401">
      <w:pPr>
        <w:pStyle w:val="Point1"/>
        <w:rPr>
          <w:noProof/>
        </w:rPr>
      </w:pPr>
      <w:r w:rsidRPr="00610401">
        <w:rPr>
          <w:noProof/>
        </w:rPr>
        <w:t>d)</w:t>
      </w:r>
      <w:r w:rsidRPr="00610401">
        <w:rPr>
          <w:noProof/>
        </w:rPr>
        <w:tab/>
      </w:r>
      <w:r w:rsidR="00672DA6" w:rsidRPr="00610401">
        <w:rPr>
          <w:noProof/>
        </w:rPr>
        <w:t>zaktualizowany wykaz barier,</w:t>
      </w:r>
      <w:r w:rsidRPr="00610401">
        <w:rPr>
          <w:noProof/>
        </w:rPr>
        <w:t xml:space="preserve"> o któ</w:t>
      </w:r>
      <w:r w:rsidR="00672DA6" w:rsidRPr="00610401">
        <w:rPr>
          <w:noProof/>
        </w:rPr>
        <w:t>rych mowa</w:t>
      </w:r>
      <w:r w:rsidRPr="00610401">
        <w:rPr>
          <w:noProof/>
        </w:rPr>
        <w:t xml:space="preserve"> w art</w:t>
      </w:r>
      <w:r w:rsidR="00672DA6" w:rsidRPr="00610401">
        <w:rPr>
          <w:noProof/>
        </w:rPr>
        <w:t>.</w:t>
      </w:r>
      <w:r w:rsidRPr="00610401">
        <w:rPr>
          <w:noProof/>
        </w:rPr>
        <w:t> </w:t>
      </w:r>
      <w:r w:rsidR="00672DA6" w:rsidRPr="00610401">
        <w:rPr>
          <w:noProof/>
        </w:rPr>
        <w:t>7 ust.</w:t>
      </w:r>
      <w:r w:rsidRPr="00610401">
        <w:rPr>
          <w:noProof/>
        </w:rPr>
        <w:t> </w:t>
      </w:r>
      <w:r w:rsidR="00672DA6" w:rsidRPr="00610401">
        <w:rPr>
          <w:noProof/>
        </w:rPr>
        <w:t>1;</w:t>
      </w:r>
    </w:p>
    <w:p w:rsidR="001B0264" w:rsidRPr="00610401" w:rsidRDefault="00610401" w:rsidP="00610401">
      <w:pPr>
        <w:pStyle w:val="Point1"/>
        <w:rPr>
          <w:noProof/>
        </w:rPr>
      </w:pPr>
      <w:r w:rsidRPr="00610401">
        <w:rPr>
          <w:noProof/>
        </w:rPr>
        <w:t>e)</w:t>
      </w:r>
      <w:r w:rsidRPr="00610401">
        <w:rPr>
          <w:noProof/>
        </w:rPr>
        <w:tab/>
      </w:r>
      <w:r w:rsidR="00842DC3" w:rsidRPr="00610401">
        <w:rPr>
          <w:noProof/>
        </w:rPr>
        <w:t>informacje</w:t>
      </w:r>
      <w:r w:rsidRPr="00610401">
        <w:rPr>
          <w:noProof/>
        </w:rPr>
        <w:t xml:space="preserve"> o pos</w:t>
      </w:r>
      <w:r w:rsidR="00842DC3" w:rsidRPr="00610401">
        <w:rPr>
          <w:noProof/>
        </w:rPr>
        <w:t>tępach</w:t>
      </w:r>
      <w:r w:rsidRPr="00610401">
        <w:rPr>
          <w:noProof/>
        </w:rPr>
        <w:t xml:space="preserve"> w zas</w:t>
      </w:r>
      <w:r w:rsidR="00842DC3" w:rsidRPr="00610401">
        <w:rPr>
          <w:noProof/>
        </w:rPr>
        <w:t>pokajaniu potrzeb</w:t>
      </w:r>
      <w:r w:rsidRPr="00610401">
        <w:rPr>
          <w:noProof/>
        </w:rPr>
        <w:t xml:space="preserve"> w zak</w:t>
      </w:r>
      <w:r w:rsidR="00842DC3" w:rsidRPr="00610401">
        <w:rPr>
          <w:noProof/>
        </w:rPr>
        <w:t>resie finansowania, zgodnie</w:t>
      </w:r>
      <w:r w:rsidRPr="00610401">
        <w:rPr>
          <w:noProof/>
        </w:rPr>
        <w:t xml:space="preserve"> z art</w:t>
      </w:r>
      <w:r w:rsidR="00842DC3" w:rsidRPr="00610401">
        <w:rPr>
          <w:noProof/>
        </w:rPr>
        <w:t>.</w:t>
      </w:r>
      <w:r w:rsidRPr="00610401">
        <w:rPr>
          <w:noProof/>
        </w:rPr>
        <w:t> </w:t>
      </w:r>
      <w:r w:rsidR="00842DC3" w:rsidRPr="00610401">
        <w:rPr>
          <w:noProof/>
        </w:rPr>
        <w:t>12 ust.</w:t>
      </w:r>
      <w:r w:rsidRPr="00610401">
        <w:rPr>
          <w:noProof/>
        </w:rPr>
        <w:t> </w:t>
      </w:r>
      <w:r w:rsidR="00842DC3" w:rsidRPr="00610401">
        <w:rPr>
          <w:noProof/>
        </w:rPr>
        <w:t>2 lit.</w:t>
      </w:r>
      <w:r w:rsidRPr="00610401">
        <w:rPr>
          <w:noProof/>
        </w:rPr>
        <w:t> </w:t>
      </w:r>
      <w:r w:rsidR="00842DC3" w:rsidRPr="00610401">
        <w:rPr>
          <w:noProof/>
        </w:rPr>
        <w:t>l), obejmujące przegląd rzeczywistych inwestycji</w:t>
      </w:r>
      <w:r w:rsidRPr="00610401">
        <w:rPr>
          <w:noProof/>
        </w:rPr>
        <w:t xml:space="preserve"> w por</w:t>
      </w:r>
      <w:r w:rsidR="00842DC3" w:rsidRPr="00610401">
        <w:rPr>
          <w:noProof/>
        </w:rPr>
        <w:t>ównaniu</w:t>
      </w:r>
      <w:r w:rsidRPr="00610401">
        <w:rPr>
          <w:noProof/>
        </w:rPr>
        <w:t xml:space="preserve"> z poc</w:t>
      </w:r>
      <w:r w:rsidR="00842DC3" w:rsidRPr="00610401">
        <w:rPr>
          <w:noProof/>
        </w:rPr>
        <w:t>zątkowymi założeniami inwestycyjnymi.</w:t>
      </w:r>
    </w:p>
    <w:p w:rsidR="003929F2" w:rsidRPr="00610401" w:rsidRDefault="003929F2" w:rsidP="00DA5B0C">
      <w:pPr>
        <w:rPr>
          <w:noProof/>
        </w:rPr>
      </w:pPr>
      <w:r w:rsidRPr="00610401">
        <w:rPr>
          <w:noProof/>
        </w:rPr>
        <w:t>Pierwsze sprawozdania zostaną przedstawione</w:t>
      </w:r>
      <w:r w:rsidR="00610401" w:rsidRPr="00610401">
        <w:rPr>
          <w:noProof/>
        </w:rPr>
        <w:t xml:space="preserve"> w cze</w:t>
      </w:r>
      <w:r w:rsidRPr="00610401">
        <w:rPr>
          <w:noProof/>
        </w:rPr>
        <w:t>rwcu 2031</w:t>
      </w:r>
      <w:r w:rsidR="00610401" w:rsidRPr="00610401">
        <w:rPr>
          <w:noProof/>
        </w:rPr>
        <w:t> </w:t>
      </w:r>
      <w:r w:rsidRPr="00610401">
        <w:rPr>
          <w:noProof/>
        </w:rPr>
        <w:t>r.</w:t>
      </w:r>
      <w:r w:rsidR="00610401" w:rsidRPr="00610401">
        <w:rPr>
          <w:noProof/>
        </w:rPr>
        <w:t xml:space="preserve"> i obe</w:t>
      </w:r>
      <w:r w:rsidRPr="00610401">
        <w:rPr>
          <w:noProof/>
        </w:rPr>
        <w:t>jmą okres do</w:t>
      </w:r>
      <w:r w:rsidR="00610401" w:rsidRPr="00610401">
        <w:rPr>
          <w:noProof/>
        </w:rPr>
        <w:t> </w:t>
      </w:r>
      <w:r w:rsidRPr="00610401">
        <w:rPr>
          <w:noProof/>
        </w:rPr>
        <w:t>2030</w:t>
      </w:r>
      <w:r w:rsidR="00610401" w:rsidRPr="00610401">
        <w:rPr>
          <w:noProof/>
        </w:rPr>
        <w:t> </w:t>
      </w:r>
      <w:r w:rsidRPr="00610401">
        <w:rPr>
          <w:noProof/>
        </w:rPr>
        <w:t>r.</w:t>
      </w:r>
    </w:p>
    <w:p w:rsidR="001B0264" w:rsidRPr="00610401" w:rsidRDefault="009F5C98" w:rsidP="009F5C98">
      <w:pPr>
        <w:pStyle w:val="ManualNumPar1"/>
        <w:rPr>
          <w:noProof/>
        </w:rPr>
      </w:pPr>
      <w:r w:rsidRPr="009F5C98">
        <w:t>3.</w:t>
      </w:r>
      <w:r w:rsidRPr="009F5C98">
        <w:tab/>
      </w:r>
      <w:r w:rsidR="21521476" w:rsidRPr="00610401">
        <w:rPr>
          <w:noProof/>
        </w:rPr>
        <w:t>Komisja przyjmuje akty wykonawcze</w:t>
      </w:r>
      <w:r w:rsidR="00610401" w:rsidRPr="00610401">
        <w:rPr>
          <w:noProof/>
        </w:rPr>
        <w:t xml:space="preserve"> w cel</w:t>
      </w:r>
      <w:r w:rsidR="21521476" w:rsidRPr="00610401">
        <w:rPr>
          <w:noProof/>
        </w:rPr>
        <w:t>u określenia formatu, struktury</w:t>
      </w:r>
      <w:r w:rsidR="00610401" w:rsidRPr="00610401">
        <w:rPr>
          <w:noProof/>
        </w:rPr>
        <w:t xml:space="preserve"> i szc</w:t>
      </w:r>
      <w:r w:rsidR="21521476" w:rsidRPr="00610401">
        <w:rPr>
          <w:noProof/>
        </w:rPr>
        <w:t>zegółowych ustaleń dotyczących przedstawiania informacji,</w:t>
      </w:r>
      <w:r w:rsidR="00610401" w:rsidRPr="00610401">
        <w:rPr>
          <w:noProof/>
        </w:rPr>
        <w:t xml:space="preserve"> o któ</w:t>
      </w:r>
      <w:r w:rsidR="21521476" w:rsidRPr="00610401">
        <w:rPr>
          <w:noProof/>
        </w:rPr>
        <w:t>rych mowa</w:t>
      </w:r>
      <w:r w:rsidR="00610401" w:rsidRPr="00610401">
        <w:rPr>
          <w:noProof/>
        </w:rPr>
        <w:t xml:space="preserve"> w ust</w:t>
      </w:r>
      <w:r w:rsidR="21521476" w:rsidRPr="00610401">
        <w:rPr>
          <w:noProof/>
        </w:rPr>
        <w:t>.</w:t>
      </w:r>
      <w:r w:rsidR="00610401" w:rsidRPr="00610401">
        <w:rPr>
          <w:noProof/>
        </w:rPr>
        <w:t> </w:t>
      </w:r>
      <w:r w:rsidR="21521476" w:rsidRPr="00610401">
        <w:rPr>
          <w:noProof/>
        </w:rPr>
        <w:t>1</w:t>
      </w:r>
      <w:r w:rsidR="00610401" w:rsidRPr="00610401">
        <w:rPr>
          <w:noProof/>
        </w:rPr>
        <w:t xml:space="preserve"> i 2</w:t>
      </w:r>
      <w:r w:rsidR="21521476" w:rsidRPr="00610401">
        <w:rPr>
          <w:noProof/>
        </w:rPr>
        <w:t xml:space="preserve"> niniejszego artykułu. Te akty wykonawcze przyjmowane są zgodnie</w:t>
      </w:r>
      <w:r w:rsidR="00610401" w:rsidRPr="00610401">
        <w:rPr>
          <w:noProof/>
        </w:rPr>
        <w:t xml:space="preserve"> z pro</w:t>
      </w:r>
      <w:r w:rsidR="21521476" w:rsidRPr="00610401">
        <w:rPr>
          <w:noProof/>
        </w:rPr>
        <w:t>cedurą sprawdzającą,</w:t>
      </w:r>
      <w:r w:rsidR="00610401" w:rsidRPr="00610401">
        <w:rPr>
          <w:noProof/>
        </w:rPr>
        <w:t xml:space="preserve"> o któ</w:t>
      </w:r>
      <w:r w:rsidR="21521476" w:rsidRPr="00610401">
        <w:rPr>
          <w:noProof/>
        </w:rPr>
        <w:t>rej mowa</w:t>
      </w:r>
      <w:r w:rsidR="00610401" w:rsidRPr="00610401">
        <w:rPr>
          <w:noProof/>
        </w:rPr>
        <w:t xml:space="preserve"> w art</w:t>
      </w:r>
      <w:r w:rsidR="21521476" w:rsidRPr="00610401">
        <w:rPr>
          <w:noProof/>
        </w:rPr>
        <w:t>. 21 ust.</w:t>
      </w:r>
      <w:r w:rsidR="00610401" w:rsidRPr="00610401">
        <w:rPr>
          <w:noProof/>
        </w:rPr>
        <w:t> </w:t>
      </w:r>
      <w:r w:rsidR="21521476" w:rsidRPr="00610401">
        <w:rPr>
          <w:noProof/>
        </w:rPr>
        <w:t>2. Komisja korzysta</w:t>
      </w:r>
      <w:r w:rsidR="00610401" w:rsidRPr="00610401">
        <w:rPr>
          <w:noProof/>
        </w:rPr>
        <w:t xml:space="preserve"> z pom</w:t>
      </w:r>
      <w:r w:rsidR="21521476" w:rsidRPr="00610401">
        <w:rPr>
          <w:noProof/>
        </w:rPr>
        <w:t>ocy EEA przy opracowywaniu formatu, struktury</w:t>
      </w:r>
      <w:r w:rsidR="00610401" w:rsidRPr="00610401">
        <w:rPr>
          <w:noProof/>
        </w:rPr>
        <w:t xml:space="preserve"> i szc</w:t>
      </w:r>
      <w:r w:rsidR="21521476" w:rsidRPr="00610401">
        <w:rPr>
          <w:noProof/>
        </w:rPr>
        <w:t>zegółowych ustaleń dotyczących sprawozdawczości elektronicznej.</w:t>
      </w:r>
    </w:p>
    <w:p w:rsidR="00C713DD" w:rsidRPr="00610401" w:rsidRDefault="009F5C98" w:rsidP="009F5C98">
      <w:pPr>
        <w:pStyle w:val="ManualNumPar1"/>
        <w:rPr>
          <w:noProof/>
        </w:rPr>
      </w:pPr>
      <w:r w:rsidRPr="009F5C98">
        <w:t>4.</w:t>
      </w:r>
      <w:r w:rsidRPr="009F5C98">
        <w:tab/>
      </w:r>
      <w:r w:rsidR="00C713DD" w:rsidRPr="00610401">
        <w:rPr>
          <w:noProof/>
        </w:rPr>
        <w:t>EEA przedstawia Komisji coroczny przegląd techniczny postępów</w:t>
      </w:r>
      <w:r w:rsidR="00610401" w:rsidRPr="00610401">
        <w:rPr>
          <w:noProof/>
        </w:rPr>
        <w:t xml:space="preserve"> w rea</w:t>
      </w:r>
      <w:r w:rsidR="00C713DD" w:rsidRPr="00610401">
        <w:rPr>
          <w:noProof/>
        </w:rPr>
        <w:t>lizacji celów</w:t>
      </w:r>
      <w:r w:rsidR="00610401" w:rsidRPr="00610401">
        <w:rPr>
          <w:noProof/>
        </w:rPr>
        <w:t xml:space="preserve"> i obo</w:t>
      </w:r>
      <w:r w:rsidR="00C713DD" w:rsidRPr="00610401">
        <w:rPr>
          <w:noProof/>
        </w:rPr>
        <w:t>wiązków określonych</w:t>
      </w:r>
      <w:r w:rsidR="00610401" w:rsidRPr="00610401">
        <w:rPr>
          <w:noProof/>
        </w:rPr>
        <w:t xml:space="preserve"> w nin</w:t>
      </w:r>
      <w:r w:rsidR="00C713DD" w:rsidRPr="00610401">
        <w:rPr>
          <w:noProof/>
        </w:rPr>
        <w:t>iejszym rozporządzeniu, na podstawie danych udostępnionych przez państwa członkowskie zgodnie</w:t>
      </w:r>
      <w:r w:rsidR="00610401" w:rsidRPr="00610401">
        <w:rPr>
          <w:noProof/>
        </w:rPr>
        <w:t xml:space="preserve"> z ust</w:t>
      </w:r>
      <w:r w:rsidR="00C713DD" w:rsidRPr="00610401">
        <w:rPr>
          <w:noProof/>
        </w:rPr>
        <w:t>.</w:t>
      </w:r>
      <w:r w:rsidR="00610401" w:rsidRPr="00610401">
        <w:rPr>
          <w:noProof/>
        </w:rPr>
        <w:t> </w:t>
      </w:r>
      <w:r w:rsidR="00C713DD" w:rsidRPr="00610401">
        <w:rPr>
          <w:noProof/>
        </w:rPr>
        <w:t>1 niniejszego artykułu</w:t>
      </w:r>
      <w:r w:rsidR="00610401" w:rsidRPr="00610401">
        <w:rPr>
          <w:noProof/>
        </w:rPr>
        <w:t xml:space="preserve"> i art</w:t>
      </w:r>
      <w:r w:rsidR="00C713DD" w:rsidRPr="00610401">
        <w:rPr>
          <w:noProof/>
        </w:rPr>
        <w:t>.</w:t>
      </w:r>
      <w:r w:rsidR="00610401" w:rsidRPr="00610401">
        <w:rPr>
          <w:noProof/>
        </w:rPr>
        <w:t> </w:t>
      </w:r>
      <w:r w:rsidR="00C713DD" w:rsidRPr="00610401">
        <w:rPr>
          <w:noProof/>
        </w:rPr>
        <w:t>17 ust.</w:t>
      </w:r>
      <w:r w:rsidR="00610401" w:rsidRPr="00610401">
        <w:rPr>
          <w:noProof/>
        </w:rPr>
        <w:t> </w:t>
      </w:r>
      <w:r w:rsidR="00C713DD" w:rsidRPr="00610401">
        <w:rPr>
          <w:noProof/>
        </w:rPr>
        <w:t xml:space="preserve">7. </w:t>
      </w:r>
    </w:p>
    <w:p w:rsidR="001B0264" w:rsidRPr="00610401" w:rsidRDefault="009F5C98" w:rsidP="009F5C98">
      <w:pPr>
        <w:pStyle w:val="ManualNumPar1"/>
        <w:rPr>
          <w:noProof/>
        </w:rPr>
      </w:pPr>
      <w:r w:rsidRPr="009F5C98">
        <w:t>5.</w:t>
      </w:r>
      <w:r w:rsidRPr="009F5C98">
        <w:tab/>
      </w:r>
      <w:r w:rsidR="1487C651" w:rsidRPr="00610401">
        <w:rPr>
          <w:noProof/>
        </w:rPr>
        <w:t>EEA przedstawia Komisji ogólnounijne sprawozdanie techniczne</w:t>
      </w:r>
      <w:r w:rsidR="00610401" w:rsidRPr="00610401">
        <w:rPr>
          <w:noProof/>
        </w:rPr>
        <w:t xml:space="preserve"> z pos</w:t>
      </w:r>
      <w:r w:rsidR="1487C651" w:rsidRPr="00610401">
        <w:rPr>
          <w:noProof/>
        </w:rPr>
        <w:t>tępów</w:t>
      </w:r>
      <w:r w:rsidR="00610401" w:rsidRPr="00610401">
        <w:rPr>
          <w:noProof/>
        </w:rPr>
        <w:t xml:space="preserve"> w rea</w:t>
      </w:r>
      <w:r w:rsidR="1487C651" w:rsidRPr="00610401">
        <w:rPr>
          <w:noProof/>
        </w:rPr>
        <w:t>lizacji celów</w:t>
      </w:r>
      <w:r w:rsidR="00610401" w:rsidRPr="00610401">
        <w:rPr>
          <w:noProof/>
        </w:rPr>
        <w:t xml:space="preserve"> i obo</w:t>
      </w:r>
      <w:r w:rsidR="1487C651" w:rsidRPr="00610401">
        <w:rPr>
          <w:noProof/>
        </w:rPr>
        <w:t>wiązków określonych</w:t>
      </w:r>
      <w:r w:rsidR="00610401" w:rsidRPr="00610401">
        <w:rPr>
          <w:noProof/>
        </w:rPr>
        <w:t xml:space="preserve"> w nin</w:t>
      </w:r>
      <w:r w:rsidR="1487C651" w:rsidRPr="00610401">
        <w:rPr>
          <w:noProof/>
        </w:rPr>
        <w:t>iejszym rozporządzeniu, na podstawie danych udostępnionych przez państwa członkowskie zgodnie</w:t>
      </w:r>
      <w:r w:rsidR="00610401" w:rsidRPr="00610401">
        <w:rPr>
          <w:noProof/>
        </w:rPr>
        <w:t xml:space="preserve"> z ust</w:t>
      </w:r>
      <w:r w:rsidR="1487C651" w:rsidRPr="00610401">
        <w:rPr>
          <w:noProof/>
        </w:rPr>
        <w:t>.</w:t>
      </w:r>
      <w:r w:rsidR="00610401" w:rsidRPr="00610401">
        <w:rPr>
          <w:noProof/>
        </w:rPr>
        <w:t> </w:t>
      </w:r>
      <w:r w:rsidR="1487C651" w:rsidRPr="00610401">
        <w:rPr>
          <w:noProof/>
        </w:rPr>
        <w:t>1, 2</w:t>
      </w:r>
      <w:r w:rsidR="00610401" w:rsidRPr="00610401">
        <w:rPr>
          <w:noProof/>
        </w:rPr>
        <w:t xml:space="preserve"> i 3</w:t>
      </w:r>
      <w:r w:rsidR="1487C651" w:rsidRPr="00610401">
        <w:rPr>
          <w:noProof/>
        </w:rPr>
        <w:t xml:space="preserve"> niniejszego artykułu. Może ona również wykorzystywać informacje przekazane na podstawie art.</w:t>
      </w:r>
      <w:r w:rsidR="00610401" w:rsidRPr="00610401">
        <w:rPr>
          <w:noProof/>
        </w:rPr>
        <w:t> </w:t>
      </w:r>
      <w:r w:rsidR="1487C651" w:rsidRPr="00610401">
        <w:rPr>
          <w:noProof/>
        </w:rPr>
        <w:t>17 dyrektywy 92/43/EWG, art.</w:t>
      </w:r>
      <w:r w:rsidR="00610401" w:rsidRPr="00610401">
        <w:rPr>
          <w:noProof/>
        </w:rPr>
        <w:t> </w:t>
      </w:r>
      <w:r w:rsidR="1487C651" w:rsidRPr="00610401">
        <w:rPr>
          <w:noProof/>
        </w:rPr>
        <w:t>15 dyrektywy 2000/60/WE, art.</w:t>
      </w:r>
      <w:r w:rsidR="00610401" w:rsidRPr="00610401">
        <w:rPr>
          <w:noProof/>
        </w:rPr>
        <w:t> </w:t>
      </w:r>
      <w:r w:rsidR="1487C651" w:rsidRPr="00610401">
        <w:rPr>
          <w:noProof/>
        </w:rPr>
        <w:t>12 dyrektywy 2009/147/WE oraz art.</w:t>
      </w:r>
      <w:r w:rsidR="00610401" w:rsidRPr="00610401">
        <w:rPr>
          <w:noProof/>
        </w:rPr>
        <w:t> </w:t>
      </w:r>
      <w:r w:rsidR="1487C651" w:rsidRPr="00610401">
        <w:rPr>
          <w:noProof/>
        </w:rPr>
        <w:t>18 dyrektywy 2008/56/WE. Sprawozdanie należy przedłożyć do czerwca 2032</w:t>
      </w:r>
      <w:r w:rsidR="00610401" w:rsidRPr="00610401">
        <w:rPr>
          <w:noProof/>
        </w:rPr>
        <w:t> </w:t>
      </w:r>
      <w:r w:rsidR="1487C651" w:rsidRPr="00610401">
        <w:rPr>
          <w:noProof/>
        </w:rPr>
        <w:t>r.,</w:t>
      </w:r>
      <w:r w:rsidR="00610401" w:rsidRPr="00610401">
        <w:rPr>
          <w:noProof/>
        </w:rPr>
        <w:t xml:space="preserve"> a kol</w:t>
      </w:r>
      <w:r w:rsidR="1487C651" w:rsidRPr="00610401">
        <w:rPr>
          <w:noProof/>
        </w:rPr>
        <w:t>ejne sprawozdania należy przedkładać co trzy lata.</w:t>
      </w:r>
    </w:p>
    <w:p w:rsidR="004A117A" w:rsidRPr="00610401" w:rsidRDefault="009F5C98" w:rsidP="009F5C98">
      <w:pPr>
        <w:pStyle w:val="ManualNumPar1"/>
        <w:rPr>
          <w:noProof/>
        </w:rPr>
      </w:pPr>
      <w:r w:rsidRPr="009F5C98">
        <w:t>6.</w:t>
      </w:r>
      <w:r w:rsidRPr="009F5C98">
        <w:tab/>
      </w:r>
      <w:r w:rsidR="007B0CCB" w:rsidRPr="00610401">
        <w:rPr>
          <w:noProof/>
        </w:rPr>
        <w:t>Począwszy od roku 2029, co trzy lata Komisja będzie składać Parlamentowi Europejskiemu</w:t>
      </w:r>
      <w:r w:rsidR="00610401" w:rsidRPr="00610401">
        <w:rPr>
          <w:noProof/>
        </w:rPr>
        <w:t xml:space="preserve"> i Rad</w:t>
      </w:r>
      <w:r w:rsidR="007B0CCB" w:rsidRPr="00610401">
        <w:rPr>
          <w:noProof/>
        </w:rPr>
        <w:t>zie sprawozdanie</w:t>
      </w:r>
      <w:r w:rsidR="00610401" w:rsidRPr="00610401">
        <w:rPr>
          <w:noProof/>
        </w:rPr>
        <w:t xml:space="preserve"> z wyk</w:t>
      </w:r>
      <w:r w:rsidR="007B0CCB" w:rsidRPr="00610401">
        <w:rPr>
          <w:noProof/>
        </w:rPr>
        <w:t>onania niniejszego rozporządzenia.</w:t>
      </w:r>
    </w:p>
    <w:p w:rsidR="00CF1C48" w:rsidRPr="00610401" w:rsidRDefault="009F5C98" w:rsidP="009F5C98">
      <w:pPr>
        <w:pStyle w:val="ManualNumPar1"/>
        <w:rPr>
          <w:i/>
          <w:noProof/>
        </w:rPr>
      </w:pPr>
      <w:r w:rsidRPr="009F5C98">
        <w:t>7.</w:t>
      </w:r>
      <w:r w:rsidRPr="009F5C98">
        <w:tab/>
      </w:r>
      <w:r w:rsidR="10C4A80D" w:rsidRPr="00610401">
        <w:rPr>
          <w:noProof/>
        </w:rPr>
        <w:t>Państwa członkowskie zapewniają adekwatność</w:t>
      </w:r>
      <w:r w:rsidR="00610401" w:rsidRPr="00610401">
        <w:rPr>
          <w:noProof/>
        </w:rPr>
        <w:t xml:space="preserve"> i akt</w:t>
      </w:r>
      <w:r w:rsidR="10C4A80D" w:rsidRPr="00610401">
        <w:rPr>
          <w:noProof/>
        </w:rPr>
        <w:t>ualność informacji,</w:t>
      </w:r>
      <w:r w:rsidR="00610401" w:rsidRPr="00610401">
        <w:rPr>
          <w:noProof/>
        </w:rPr>
        <w:t xml:space="preserve"> o któ</w:t>
      </w:r>
      <w:r w:rsidR="10C4A80D" w:rsidRPr="00610401">
        <w:rPr>
          <w:noProof/>
        </w:rPr>
        <w:t>rych mowa</w:t>
      </w:r>
      <w:r w:rsidR="00610401" w:rsidRPr="00610401">
        <w:rPr>
          <w:noProof/>
        </w:rPr>
        <w:t xml:space="preserve"> w ust</w:t>
      </w:r>
      <w:r w:rsidR="10C4A80D" w:rsidRPr="00610401">
        <w:rPr>
          <w:noProof/>
        </w:rPr>
        <w:t>.</w:t>
      </w:r>
      <w:r w:rsidR="00610401" w:rsidRPr="00610401">
        <w:rPr>
          <w:noProof/>
        </w:rPr>
        <w:t> </w:t>
      </w:r>
      <w:r w:rsidR="10C4A80D" w:rsidRPr="00610401">
        <w:rPr>
          <w:noProof/>
        </w:rPr>
        <w:t>1</w:t>
      </w:r>
      <w:r w:rsidR="00610401" w:rsidRPr="00610401">
        <w:rPr>
          <w:noProof/>
        </w:rPr>
        <w:t xml:space="preserve"> i 2</w:t>
      </w:r>
      <w:r w:rsidR="10C4A80D" w:rsidRPr="00610401">
        <w:rPr>
          <w:noProof/>
        </w:rPr>
        <w:t>, oraz ich udostępnianie społeczeństwu zgodnie</w:t>
      </w:r>
      <w:r w:rsidR="00610401" w:rsidRPr="00610401">
        <w:rPr>
          <w:noProof/>
        </w:rPr>
        <w:t xml:space="preserve"> z dyr</w:t>
      </w:r>
      <w:r w:rsidR="10C4A80D" w:rsidRPr="00610401">
        <w:rPr>
          <w:noProof/>
        </w:rPr>
        <w:t>ektywą 2003/4/WE Parlamentu Europejskiego</w:t>
      </w:r>
      <w:r w:rsidR="00610401" w:rsidRPr="00610401">
        <w:rPr>
          <w:noProof/>
        </w:rPr>
        <w:t xml:space="preserve"> i Rad</w:t>
      </w:r>
      <w:r w:rsidR="10C4A80D" w:rsidRPr="00610401">
        <w:rPr>
          <w:noProof/>
        </w:rPr>
        <w:t>y, dyrektywą 2007/2/WE Parlamentu Europejskiego</w:t>
      </w:r>
      <w:r w:rsidR="00610401" w:rsidRPr="00610401">
        <w:rPr>
          <w:noProof/>
        </w:rPr>
        <w:t xml:space="preserve"> i Rad</w:t>
      </w:r>
      <w:r w:rsidR="10C4A80D" w:rsidRPr="00610401">
        <w:rPr>
          <w:noProof/>
        </w:rPr>
        <w:t>y oraz dyrektywą Parlamentu Europejskiego</w:t>
      </w:r>
      <w:r w:rsidR="00610401" w:rsidRPr="00610401">
        <w:rPr>
          <w:noProof/>
        </w:rPr>
        <w:t xml:space="preserve"> i Rad</w:t>
      </w:r>
      <w:r w:rsidR="10C4A80D" w:rsidRPr="00610401">
        <w:rPr>
          <w:noProof/>
        </w:rPr>
        <w:t xml:space="preserve">y (UE) 2019/1024. </w:t>
      </w:r>
    </w:p>
    <w:p w:rsidR="00AB48D1" w:rsidRPr="00610401" w:rsidRDefault="00AB48D1" w:rsidP="0049161B">
      <w:pPr>
        <w:rPr>
          <w:noProof/>
        </w:rPr>
      </w:pPr>
    </w:p>
    <w:p w:rsidR="00B706A4" w:rsidRPr="00610401" w:rsidRDefault="00B706A4" w:rsidP="00641D95">
      <w:pPr>
        <w:pStyle w:val="ChapterTitle"/>
        <w:rPr>
          <w:noProof/>
        </w:rPr>
      </w:pPr>
      <w:r w:rsidRPr="00610401">
        <w:rPr>
          <w:noProof/>
        </w:rPr>
        <w:t>ROZDZIAŁ V</w:t>
      </w:r>
    </w:p>
    <w:p w:rsidR="00DF62FF" w:rsidRPr="00610401" w:rsidRDefault="0091367E" w:rsidP="00D670D0">
      <w:pPr>
        <w:pStyle w:val="ChapterTitle"/>
        <w:rPr>
          <w:noProof/>
        </w:rPr>
      </w:pPr>
      <w:r w:rsidRPr="00610401">
        <w:rPr>
          <w:noProof/>
        </w:rPr>
        <w:t xml:space="preserve">PRZEKAZANE UPRAWNIENIA I PROCEDURA KOMITETOWA </w:t>
      </w:r>
    </w:p>
    <w:p w:rsidR="00D670D0" w:rsidRPr="00610401" w:rsidRDefault="00966808" w:rsidP="00E01AEC">
      <w:pPr>
        <w:pStyle w:val="Titrearticle"/>
        <w:rPr>
          <w:b/>
          <w:bCs/>
          <w:i w:val="0"/>
          <w:noProof/>
        </w:rPr>
      </w:pPr>
      <w:r w:rsidRPr="00610401">
        <w:rPr>
          <w:noProof/>
        </w:rPr>
        <w:t xml:space="preserve">Artykuł 19 </w:t>
      </w:r>
      <w:r w:rsidRPr="00610401">
        <w:rPr>
          <w:noProof/>
        </w:rPr>
        <w:br/>
      </w:r>
      <w:r w:rsidRPr="00610401">
        <w:rPr>
          <w:b/>
          <w:i w:val="0"/>
          <w:noProof/>
        </w:rPr>
        <w:t>Zmiana załączników</w:t>
      </w:r>
    </w:p>
    <w:p w:rsidR="001324B9" w:rsidRPr="00610401" w:rsidRDefault="009F5C98" w:rsidP="009F5C98">
      <w:pPr>
        <w:pStyle w:val="ManualNumPar1"/>
        <w:rPr>
          <w:noProof/>
        </w:rPr>
      </w:pPr>
      <w:r w:rsidRPr="009F5C98">
        <w:t>1.</w:t>
      </w:r>
      <w:r w:rsidRPr="009F5C98">
        <w:tab/>
      </w:r>
      <w:r w:rsidR="33546B50" w:rsidRPr="00610401">
        <w:rPr>
          <w:noProof/>
        </w:rPr>
        <w:t>Komisja jest uprawniona do przyjęcia aktów delegowanych zgodnie</w:t>
      </w:r>
      <w:r w:rsidR="00610401" w:rsidRPr="00610401">
        <w:rPr>
          <w:noProof/>
        </w:rPr>
        <w:t xml:space="preserve"> z art</w:t>
      </w:r>
      <w:r w:rsidR="33546B50" w:rsidRPr="00610401">
        <w:rPr>
          <w:noProof/>
        </w:rPr>
        <w:t>.</w:t>
      </w:r>
      <w:r w:rsidR="00610401" w:rsidRPr="00610401">
        <w:rPr>
          <w:noProof/>
        </w:rPr>
        <w:t> </w:t>
      </w:r>
      <w:r w:rsidR="33546B50" w:rsidRPr="00610401">
        <w:rPr>
          <w:noProof/>
        </w:rPr>
        <w:t>20</w:t>
      </w:r>
      <w:r w:rsidR="00610401" w:rsidRPr="00610401">
        <w:rPr>
          <w:noProof/>
        </w:rPr>
        <w:t xml:space="preserve"> w cel</w:t>
      </w:r>
      <w:r w:rsidR="33546B50" w:rsidRPr="00610401">
        <w:rPr>
          <w:noProof/>
        </w:rPr>
        <w:t xml:space="preserve">u zmiany załącznika I, aby dostosować grupy typów siedlisk. </w:t>
      </w:r>
    </w:p>
    <w:p w:rsidR="005B16EA" w:rsidRPr="00610401" w:rsidRDefault="009F5C98" w:rsidP="009F5C98">
      <w:pPr>
        <w:pStyle w:val="ManualNumPar1"/>
        <w:rPr>
          <w:noProof/>
        </w:rPr>
      </w:pPr>
      <w:r w:rsidRPr="009F5C98">
        <w:t>2.</w:t>
      </w:r>
      <w:r w:rsidRPr="009F5C98">
        <w:tab/>
      </w:r>
      <w:r w:rsidR="005B16EA" w:rsidRPr="00610401">
        <w:rPr>
          <w:noProof/>
        </w:rPr>
        <w:t>Komisja jest uprawniona do przyjęcia aktów delegowanych zgodnie</w:t>
      </w:r>
      <w:r w:rsidR="00610401" w:rsidRPr="00610401">
        <w:rPr>
          <w:noProof/>
        </w:rPr>
        <w:t xml:space="preserve"> z art</w:t>
      </w:r>
      <w:r w:rsidR="005B16EA" w:rsidRPr="00610401">
        <w:rPr>
          <w:noProof/>
        </w:rPr>
        <w:t>.</w:t>
      </w:r>
      <w:r w:rsidR="00610401" w:rsidRPr="00610401">
        <w:rPr>
          <w:noProof/>
        </w:rPr>
        <w:t> </w:t>
      </w:r>
      <w:r w:rsidR="005B16EA" w:rsidRPr="00610401">
        <w:rPr>
          <w:noProof/>
        </w:rPr>
        <w:t>20</w:t>
      </w:r>
      <w:r w:rsidR="00610401" w:rsidRPr="00610401">
        <w:rPr>
          <w:noProof/>
        </w:rPr>
        <w:t xml:space="preserve"> w cel</w:t>
      </w:r>
      <w:r w:rsidR="005B16EA" w:rsidRPr="00610401">
        <w:rPr>
          <w:noProof/>
        </w:rPr>
        <w:t xml:space="preserve">u zmiany załącznika II, aby dostosować wykaz typów siedlisk oraz grupy typów siedlisk. </w:t>
      </w:r>
    </w:p>
    <w:p w:rsidR="00D10D79" w:rsidRPr="00610401" w:rsidRDefault="009F5C98" w:rsidP="009F5C98">
      <w:pPr>
        <w:pStyle w:val="ManualNumPar1"/>
        <w:rPr>
          <w:noProof/>
        </w:rPr>
      </w:pPr>
      <w:r w:rsidRPr="009F5C98">
        <w:t>3.</w:t>
      </w:r>
      <w:r w:rsidRPr="009F5C98">
        <w:tab/>
      </w:r>
      <w:r w:rsidR="00D10D79" w:rsidRPr="00610401">
        <w:rPr>
          <w:noProof/>
        </w:rPr>
        <w:t>Komisja jest uprawniona do przyjęcia aktów delegowanych zgodnie</w:t>
      </w:r>
      <w:r w:rsidR="00610401" w:rsidRPr="00610401">
        <w:rPr>
          <w:noProof/>
        </w:rPr>
        <w:t xml:space="preserve"> z art</w:t>
      </w:r>
      <w:r w:rsidR="00D10D79" w:rsidRPr="00610401">
        <w:rPr>
          <w:noProof/>
        </w:rPr>
        <w:t>.</w:t>
      </w:r>
      <w:r w:rsidR="00610401" w:rsidRPr="00610401">
        <w:rPr>
          <w:noProof/>
        </w:rPr>
        <w:t> </w:t>
      </w:r>
      <w:r w:rsidR="00D10D79" w:rsidRPr="00610401">
        <w:rPr>
          <w:noProof/>
        </w:rPr>
        <w:t>20</w:t>
      </w:r>
      <w:r w:rsidR="00610401" w:rsidRPr="00610401">
        <w:rPr>
          <w:noProof/>
        </w:rPr>
        <w:t xml:space="preserve"> w cel</w:t>
      </w:r>
      <w:r w:rsidR="00D10D79" w:rsidRPr="00610401">
        <w:rPr>
          <w:noProof/>
        </w:rPr>
        <w:t>u zmiany załącznika III, aby dostosować wykaz gatunków morskich,</w:t>
      </w:r>
      <w:r w:rsidR="00610401" w:rsidRPr="00610401">
        <w:rPr>
          <w:noProof/>
        </w:rPr>
        <w:t xml:space="preserve"> o któ</w:t>
      </w:r>
      <w:r w:rsidR="00D10D79" w:rsidRPr="00610401">
        <w:rPr>
          <w:noProof/>
        </w:rPr>
        <w:t>rych mowa</w:t>
      </w:r>
      <w:r w:rsidR="00610401" w:rsidRPr="00610401">
        <w:rPr>
          <w:noProof/>
        </w:rPr>
        <w:t xml:space="preserve"> w art</w:t>
      </w:r>
      <w:r w:rsidR="00D10D79" w:rsidRPr="00610401">
        <w:rPr>
          <w:noProof/>
        </w:rPr>
        <w:t>.</w:t>
      </w:r>
      <w:r w:rsidR="00610401" w:rsidRPr="00610401">
        <w:rPr>
          <w:noProof/>
        </w:rPr>
        <w:t> </w:t>
      </w:r>
      <w:r w:rsidR="00D10D79" w:rsidRPr="00610401">
        <w:rPr>
          <w:noProof/>
        </w:rPr>
        <w:t xml:space="preserve">5, na podstawie najnowszych dowodów naukowych. </w:t>
      </w:r>
    </w:p>
    <w:p w:rsidR="001324B9" w:rsidRPr="00610401" w:rsidRDefault="009F5C98" w:rsidP="009F5C98">
      <w:pPr>
        <w:pStyle w:val="ManualNumPar1"/>
        <w:rPr>
          <w:noProof/>
        </w:rPr>
      </w:pPr>
      <w:r w:rsidRPr="009F5C98">
        <w:t>4.</w:t>
      </w:r>
      <w:r w:rsidRPr="009F5C98">
        <w:tab/>
      </w:r>
      <w:r w:rsidR="1A2684D1" w:rsidRPr="00610401">
        <w:rPr>
          <w:noProof/>
        </w:rPr>
        <w:t>Komisja jest uprawniona do przyjęcia aktów delegowanych zgodnie</w:t>
      </w:r>
      <w:r w:rsidR="00610401" w:rsidRPr="00610401">
        <w:rPr>
          <w:noProof/>
        </w:rPr>
        <w:t xml:space="preserve"> z art</w:t>
      </w:r>
      <w:r w:rsidR="1A2684D1" w:rsidRPr="00610401">
        <w:rPr>
          <w:noProof/>
        </w:rPr>
        <w:t>.</w:t>
      </w:r>
      <w:r w:rsidR="00610401" w:rsidRPr="00610401">
        <w:rPr>
          <w:noProof/>
        </w:rPr>
        <w:t> </w:t>
      </w:r>
      <w:r w:rsidR="1A2684D1" w:rsidRPr="00610401">
        <w:rPr>
          <w:noProof/>
        </w:rPr>
        <w:t>20</w:t>
      </w:r>
      <w:r w:rsidR="00610401" w:rsidRPr="00610401">
        <w:rPr>
          <w:noProof/>
        </w:rPr>
        <w:t xml:space="preserve"> w cel</w:t>
      </w:r>
      <w:r w:rsidR="1A2684D1" w:rsidRPr="00610401">
        <w:rPr>
          <w:noProof/>
        </w:rPr>
        <w:t>u zmiany załącznika IV, aby dostosować opis, jednostkę</w:t>
      </w:r>
      <w:r w:rsidR="00610401" w:rsidRPr="00610401">
        <w:rPr>
          <w:noProof/>
        </w:rPr>
        <w:t xml:space="preserve"> i met</w:t>
      </w:r>
      <w:r w:rsidR="1A2684D1" w:rsidRPr="00610401">
        <w:rPr>
          <w:noProof/>
        </w:rPr>
        <w:t>odykę wskaźników dotyczących ekosystemów rolniczych zgodnie</w:t>
      </w:r>
      <w:r w:rsidR="00610401" w:rsidRPr="00610401">
        <w:rPr>
          <w:noProof/>
        </w:rPr>
        <w:t xml:space="preserve"> z naj</w:t>
      </w:r>
      <w:r w:rsidR="1A2684D1" w:rsidRPr="00610401">
        <w:rPr>
          <w:noProof/>
        </w:rPr>
        <w:t>nowszymi dowodami naukowymi.</w:t>
      </w:r>
    </w:p>
    <w:p w:rsidR="001324B9" w:rsidRPr="00610401" w:rsidRDefault="009F5C98" w:rsidP="009F5C98">
      <w:pPr>
        <w:pStyle w:val="ManualNumPar1"/>
        <w:rPr>
          <w:i/>
          <w:noProof/>
        </w:rPr>
      </w:pPr>
      <w:r w:rsidRPr="009F5C98">
        <w:t>5.</w:t>
      </w:r>
      <w:r w:rsidRPr="009F5C98">
        <w:tab/>
      </w:r>
      <w:r w:rsidR="1A2684D1" w:rsidRPr="00610401">
        <w:rPr>
          <w:noProof/>
        </w:rPr>
        <w:t>Komisja jest uprawniona do przyjęcia aktów delegowanych zgodnie</w:t>
      </w:r>
      <w:r w:rsidR="00610401" w:rsidRPr="00610401">
        <w:rPr>
          <w:noProof/>
        </w:rPr>
        <w:t xml:space="preserve"> z art</w:t>
      </w:r>
      <w:r w:rsidR="1A2684D1" w:rsidRPr="00610401">
        <w:rPr>
          <w:noProof/>
        </w:rPr>
        <w:t>.</w:t>
      </w:r>
      <w:r w:rsidR="00610401" w:rsidRPr="00610401">
        <w:rPr>
          <w:noProof/>
        </w:rPr>
        <w:t> </w:t>
      </w:r>
      <w:r w:rsidR="1A2684D1" w:rsidRPr="00610401">
        <w:rPr>
          <w:noProof/>
        </w:rPr>
        <w:t>20</w:t>
      </w:r>
      <w:r w:rsidR="00610401" w:rsidRPr="00610401">
        <w:rPr>
          <w:noProof/>
        </w:rPr>
        <w:t xml:space="preserve"> w cel</w:t>
      </w:r>
      <w:r w:rsidR="1A2684D1" w:rsidRPr="00610401">
        <w:rPr>
          <w:noProof/>
        </w:rPr>
        <w:t>u zmiany załącznika V, aby zaktualizować wykaz gatunków wykorzystywanych na potrzeby określenia wskaźnika liczebności pospolitych ptaków krajobrazu rolniczego</w:t>
      </w:r>
      <w:r w:rsidR="00610401" w:rsidRPr="00610401">
        <w:rPr>
          <w:noProof/>
        </w:rPr>
        <w:t xml:space="preserve"> w pań</w:t>
      </w:r>
      <w:r w:rsidR="1A2684D1" w:rsidRPr="00610401">
        <w:rPr>
          <w:noProof/>
        </w:rPr>
        <w:t xml:space="preserve">stwach członkowskich. </w:t>
      </w:r>
    </w:p>
    <w:p w:rsidR="001324B9" w:rsidRPr="00610401" w:rsidRDefault="009F5C98" w:rsidP="009F5C98">
      <w:pPr>
        <w:pStyle w:val="ManualNumPar1"/>
        <w:rPr>
          <w:noProof/>
        </w:rPr>
      </w:pPr>
      <w:r w:rsidRPr="009F5C98">
        <w:t>6.</w:t>
      </w:r>
      <w:r w:rsidRPr="009F5C98">
        <w:tab/>
      </w:r>
      <w:r w:rsidR="1A2684D1" w:rsidRPr="00610401">
        <w:rPr>
          <w:noProof/>
        </w:rPr>
        <w:t>Komisja jest uprawniona do przyjęcia aktów delegowanych zgodnie</w:t>
      </w:r>
      <w:r w:rsidR="00610401" w:rsidRPr="00610401">
        <w:rPr>
          <w:noProof/>
        </w:rPr>
        <w:t xml:space="preserve"> z art</w:t>
      </w:r>
      <w:r w:rsidR="1A2684D1" w:rsidRPr="00610401">
        <w:rPr>
          <w:noProof/>
        </w:rPr>
        <w:t>.</w:t>
      </w:r>
      <w:r w:rsidR="00610401" w:rsidRPr="00610401">
        <w:rPr>
          <w:noProof/>
        </w:rPr>
        <w:t> </w:t>
      </w:r>
      <w:r w:rsidR="1A2684D1" w:rsidRPr="00610401">
        <w:rPr>
          <w:noProof/>
        </w:rPr>
        <w:t>20</w:t>
      </w:r>
      <w:r w:rsidR="00610401" w:rsidRPr="00610401">
        <w:rPr>
          <w:noProof/>
        </w:rPr>
        <w:t xml:space="preserve"> w cel</w:t>
      </w:r>
      <w:r w:rsidR="1A2684D1" w:rsidRPr="00610401">
        <w:rPr>
          <w:noProof/>
        </w:rPr>
        <w:t>u zmiany załącznika VI, aby dostosować opis, jednostkę</w:t>
      </w:r>
      <w:r w:rsidR="00610401" w:rsidRPr="00610401">
        <w:rPr>
          <w:noProof/>
        </w:rPr>
        <w:t xml:space="preserve"> i met</w:t>
      </w:r>
      <w:r w:rsidR="1A2684D1" w:rsidRPr="00610401">
        <w:rPr>
          <w:noProof/>
        </w:rPr>
        <w:t>odykę wskaźników dla ekosystemów leśnych na podstawie najnowszych dowodów naukowych.</w:t>
      </w:r>
    </w:p>
    <w:p w:rsidR="00412C96" w:rsidRPr="00610401" w:rsidRDefault="009F5C98" w:rsidP="009F5C98">
      <w:pPr>
        <w:pStyle w:val="ManualNumPar1"/>
        <w:rPr>
          <w:noProof/>
        </w:rPr>
      </w:pPr>
      <w:r w:rsidRPr="009F5C98">
        <w:t>7.</w:t>
      </w:r>
      <w:r w:rsidRPr="009F5C98">
        <w:tab/>
      </w:r>
      <w:r w:rsidR="00412C96" w:rsidRPr="00610401">
        <w:rPr>
          <w:noProof/>
        </w:rPr>
        <w:t>Komisja jest uprawniona do przyjęcia aktów delegowanych zgodnie</w:t>
      </w:r>
      <w:r w:rsidR="00610401" w:rsidRPr="00610401">
        <w:rPr>
          <w:noProof/>
        </w:rPr>
        <w:t xml:space="preserve"> z art</w:t>
      </w:r>
      <w:r w:rsidR="00412C96" w:rsidRPr="00610401">
        <w:rPr>
          <w:noProof/>
        </w:rPr>
        <w:t>.</w:t>
      </w:r>
      <w:r w:rsidR="00610401" w:rsidRPr="00610401">
        <w:rPr>
          <w:noProof/>
        </w:rPr>
        <w:t> </w:t>
      </w:r>
      <w:r w:rsidR="00412C96" w:rsidRPr="00610401">
        <w:rPr>
          <w:noProof/>
        </w:rPr>
        <w:t>20</w:t>
      </w:r>
      <w:r w:rsidR="00610401" w:rsidRPr="00610401">
        <w:rPr>
          <w:noProof/>
        </w:rPr>
        <w:t xml:space="preserve"> w cel</w:t>
      </w:r>
      <w:r w:rsidR="00412C96" w:rsidRPr="00610401">
        <w:rPr>
          <w:noProof/>
        </w:rPr>
        <w:t>u zmiany załącznika VII, aby dostosować wykaz przykładów środków odbudowy.</w:t>
      </w:r>
    </w:p>
    <w:p w:rsidR="001324B9" w:rsidRPr="00610401" w:rsidRDefault="001324B9" w:rsidP="001324B9">
      <w:pPr>
        <w:rPr>
          <w:noProof/>
        </w:rPr>
      </w:pPr>
    </w:p>
    <w:p w:rsidR="00D670D0" w:rsidRPr="00610401" w:rsidRDefault="00843D36" w:rsidP="001324B9">
      <w:pPr>
        <w:pStyle w:val="Titrearticle"/>
        <w:rPr>
          <w:b/>
          <w:i w:val="0"/>
          <w:noProof/>
        </w:rPr>
      </w:pPr>
      <w:r w:rsidRPr="00610401">
        <w:rPr>
          <w:noProof/>
        </w:rPr>
        <w:t xml:space="preserve">Artykuł 20 </w:t>
      </w:r>
      <w:r w:rsidRPr="00610401">
        <w:rPr>
          <w:noProof/>
        </w:rPr>
        <w:br/>
      </w:r>
      <w:r w:rsidRPr="00610401">
        <w:rPr>
          <w:b/>
          <w:i w:val="0"/>
          <w:noProof/>
        </w:rPr>
        <w:t>Wykonywanie przekazanych uprawnień</w:t>
      </w:r>
    </w:p>
    <w:p w:rsidR="006B7526" w:rsidRPr="00610401" w:rsidRDefault="009F5C98" w:rsidP="009F5C98">
      <w:pPr>
        <w:pStyle w:val="ManualNumPar1"/>
        <w:rPr>
          <w:noProof/>
        </w:rPr>
      </w:pPr>
      <w:r w:rsidRPr="009F5C98">
        <w:t>1.</w:t>
      </w:r>
      <w:r w:rsidRPr="009F5C98">
        <w:tab/>
      </w:r>
      <w:r w:rsidR="113B5BAD" w:rsidRPr="00610401">
        <w:rPr>
          <w:noProof/>
        </w:rPr>
        <w:t>Powierzenie Komisji uprawnień do przyjmowania aktów delegowanych podlega warunkom określonym</w:t>
      </w:r>
      <w:r w:rsidR="00610401" w:rsidRPr="00610401">
        <w:rPr>
          <w:noProof/>
        </w:rPr>
        <w:t xml:space="preserve"> w nin</w:t>
      </w:r>
      <w:r w:rsidR="113B5BAD" w:rsidRPr="00610401">
        <w:rPr>
          <w:noProof/>
        </w:rPr>
        <w:t xml:space="preserve">iejszym artykule. </w:t>
      </w:r>
    </w:p>
    <w:p w:rsidR="006B7526" w:rsidRPr="00610401" w:rsidRDefault="009F5C98" w:rsidP="009F5C98">
      <w:pPr>
        <w:pStyle w:val="ManualNumPar1"/>
        <w:rPr>
          <w:noProof/>
        </w:rPr>
      </w:pPr>
      <w:r w:rsidRPr="009F5C98">
        <w:t>2.</w:t>
      </w:r>
      <w:r w:rsidRPr="009F5C98">
        <w:tab/>
      </w:r>
      <w:r w:rsidR="113B5BAD" w:rsidRPr="00610401">
        <w:rPr>
          <w:noProof/>
        </w:rPr>
        <w:t>Uprawnienia do przyjmowania aktów delegowanych,</w:t>
      </w:r>
      <w:r w:rsidR="00610401" w:rsidRPr="00610401">
        <w:rPr>
          <w:noProof/>
        </w:rPr>
        <w:t xml:space="preserve"> o któ</w:t>
      </w:r>
      <w:r w:rsidR="113B5BAD" w:rsidRPr="00610401">
        <w:rPr>
          <w:noProof/>
        </w:rPr>
        <w:t>rych mowa</w:t>
      </w:r>
      <w:r w:rsidR="00610401" w:rsidRPr="00610401">
        <w:rPr>
          <w:noProof/>
        </w:rPr>
        <w:t xml:space="preserve"> w art</w:t>
      </w:r>
      <w:r w:rsidR="113B5BAD" w:rsidRPr="00610401">
        <w:rPr>
          <w:noProof/>
        </w:rPr>
        <w:t>.</w:t>
      </w:r>
      <w:r w:rsidR="00610401" w:rsidRPr="00610401">
        <w:rPr>
          <w:noProof/>
        </w:rPr>
        <w:t> </w:t>
      </w:r>
      <w:r w:rsidR="113B5BAD" w:rsidRPr="00610401">
        <w:rPr>
          <w:noProof/>
        </w:rPr>
        <w:t xml:space="preserve">19, powierza się Komisji na okres 5 lat od dnia </w:t>
      </w:r>
      <w:r w:rsidR="113B5BAD" w:rsidRPr="00610401">
        <w:rPr>
          <w:i/>
          <w:noProof/>
        </w:rPr>
        <w:t>[Urząd Publikacji: proszę wstawić datę wejścia</w:t>
      </w:r>
      <w:r w:rsidR="00610401" w:rsidRPr="00610401">
        <w:rPr>
          <w:i/>
          <w:noProof/>
        </w:rPr>
        <w:t xml:space="preserve"> w życ</w:t>
      </w:r>
      <w:r w:rsidR="113B5BAD" w:rsidRPr="00610401">
        <w:rPr>
          <w:i/>
          <w:noProof/>
        </w:rPr>
        <w:t>ie niniejszego rozporządzenia]r.</w:t>
      </w:r>
      <w:r w:rsidR="113B5BAD" w:rsidRPr="00610401">
        <w:rPr>
          <w:noProof/>
        </w:rPr>
        <w:t xml:space="preserve">. Komisja sporządza sprawozdanie dotyczące przekazania uprawnień nie później niż dziewięć miesięcy przed końcem okresu pięciu lat. Przekazanie uprawnień zostaje automatycznie przedłużone na takie same okresy, chyba że Parlament Europejski lub Rada sprzeciwią się takiemu przedłużeniu nie później niż trzy miesiące przed końcem każdego okresu. </w:t>
      </w:r>
    </w:p>
    <w:p w:rsidR="006B7526" w:rsidRPr="00610401" w:rsidRDefault="009F5C98" w:rsidP="009F5C98">
      <w:pPr>
        <w:pStyle w:val="ManualNumPar1"/>
        <w:rPr>
          <w:noProof/>
        </w:rPr>
      </w:pPr>
      <w:r w:rsidRPr="009F5C98">
        <w:t>3.</w:t>
      </w:r>
      <w:r w:rsidRPr="009F5C98">
        <w:tab/>
      </w:r>
      <w:r w:rsidR="113B5BAD" w:rsidRPr="00610401">
        <w:rPr>
          <w:noProof/>
        </w:rPr>
        <w:t>Przekazanie uprawnień,</w:t>
      </w:r>
      <w:r w:rsidR="00610401" w:rsidRPr="00610401">
        <w:rPr>
          <w:noProof/>
        </w:rPr>
        <w:t xml:space="preserve"> o któ</w:t>
      </w:r>
      <w:r w:rsidR="113B5BAD" w:rsidRPr="00610401">
        <w:rPr>
          <w:noProof/>
        </w:rPr>
        <w:t>rym mowa</w:t>
      </w:r>
      <w:r w:rsidR="00610401" w:rsidRPr="00610401">
        <w:rPr>
          <w:noProof/>
        </w:rPr>
        <w:t xml:space="preserve"> w art</w:t>
      </w:r>
      <w:r w:rsidR="113B5BAD" w:rsidRPr="00610401">
        <w:rPr>
          <w:noProof/>
        </w:rPr>
        <w:t>.</w:t>
      </w:r>
      <w:r w:rsidR="00610401" w:rsidRPr="00610401">
        <w:rPr>
          <w:noProof/>
        </w:rPr>
        <w:t> </w:t>
      </w:r>
      <w:r w:rsidR="113B5BAD" w:rsidRPr="00610401">
        <w:rPr>
          <w:noProof/>
        </w:rPr>
        <w:t>19, może zostać</w:t>
      </w:r>
      <w:r w:rsidR="00610401" w:rsidRPr="00610401">
        <w:rPr>
          <w:noProof/>
        </w:rPr>
        <w:t xml:space="preserve"> w dow</w:t>
      </w:r>
      <w:r w:rsidR="113B5BAD" w:rsidRPr="00610401">
        <w:rPr>
          <w:noProof/>
        </w:rPr>
        <w:t>olnym momencie odwołane przez Parlament Europejski lub przez Radę. Decyzja</w:t>
      </w:r>
      <w:r w:rsidR="00610401" w:rsidRPr="00610401">
        <w:rPr>
          <w:noProof/>
        </w:rPr>
        <w:t xml:space="preserve"> o odw</w:t>
      </w:r>
      <w:r w:rsidR="113B5BAD" w:rsidRPr="00610401">
        <w:rPr>
          <w:noProof/>
        </w:rPr>
        <w:t>ołaniu kończy przekazanie określonych</w:t>
      </w:r>
      <w:r w:rsidR="00610401" w:rsidRPr="00610401">
        <w:rPr>
          <w:noProof/>
        </w:rPr>
        <w:t xml:space="preserve"> w nie</w:t>
      </w:r>
      <w:r w:rsidR="113B5BAD" w:rsidRPr="00610401">
        <w:rPr>
          <w:noProof/>
        </w:rPr>
        <w:t>j uprawnień. Decyzja</w:t>
      </w:r>
      <w:r w:rsidR="00610401" w:rsidRPr="00610401">
        <w:rPr>
          <w:noProof/>
        </w:rPr>
        <w:t xml:space="preserve"> o odw</w:t>
      </w:r>
      <w:r w:rsidR="113B5BAD" w:rsidRPr="00610401">
        <w:rPr>
          <w:noProof/>
        </w:rPr>
        <w:t>ołaniu staje się skuteczna następnego dnia po jej opublikowaniu</w:t>
      </w:r>
      <w:r w:rsidR="00610401" w:rsidRPr="00610401">
        <w:rPr>
          <w:noProof/>
        </w:rPr>
        <w:t xml:space="preserve"> w Dzi</w:t>
      </w:r>
      <w:r w:rsidR="113B5BAD" w:rsidRPr="00610401">
        <w:rPr>
          <w:noProof/>
        </w:rPr>
        <w:t>enniku Urzędowym Unii Europejskiej lub</w:t>
      </w:r>
      <w:r w:rsidR="00610401" w:rsidRPr="00610401">
        <w:rPr>
          <w:noProof/>
        </w:rPr>
        <w:t xml:space="preserve"> w póź</w:t>
      </w:r>
      <w:r w:rsidR="113B5BAD" w:rsidRPr="00610401">
        <w:rPr>
          <w:noProof/>
        </w:rPr>
        <w:t>niejszym terminie określonym</w:t>
      </w:r>
      <w:r w:rsidR="00610401" w:rsidRPr="00610401">
        <w:rPr>
          <w:noProof/>
        </w:rPr>
        <w:t xml:space="preserve"> w tej</w:t>
      </w:r>
      <w:r w:rsidR="113B5BAD" w:rsidRPr="00610401">
        <w:rPr>
          <w:noProof/>
        </w:rPr>
        <w:t xml:space="preserve"> decyzji. Nie wpływa ona na ważność już obowiązujących aktów delegowanych. </w:t>
      </w:r>
    </w:p>
    <w:p w:rsidR="006B7526" w:rsidRPr="00610401" w:rsidRDefault="009F5C98" w:rsidP="009F5C98">
      <w:pPr>
        <w:pStyle w:val="ManualNumPar1"/>
        <w:rPr>
          <w:noProof/>
        </w:rPr>
      </w:pPr>
      <w:r w:rsidRPr="009F5C98">
        <w:t>4.</w:t>
      </w:r>
      <w:r w:rsidRPr="009F5C98">
        <w:tab/>
      </w:r>
      <w:r w:rsidR="113B5BAD" w:rsidRPr="00610401">
        <w:rPr>
          <w:noProof/>
        </w:rPr>
        <w:t>Przed przyjęciem aktu delegowanego Komisja konsultuje się</w:t>
      </w:r>
      <w:r w:rsidR="00610401" w:rsidRPr="00610401">
        <w:rPr>
          <w:noProof/>
        </w:rPr>
        <w:t xml:space="preserve"> z eks</w:t>
      </w:r>
      <w:r w:rsidR="113B5BAD" w:rsidRPr="00610401">
        <w:rPr>
          <w:noProof/>
        </w:rPr>
        <w:t>pertami wyznaczonymi przez każde państwo członkowskie zgodnie</w:t>
      </w:r>
      <w:r w:rsidR="00610401" w:rsidRPr="00610401">
        <w:rPr>
          <w:noProof/>
        </w:rPr>
        <w:t xml:space="preserve"> z zas</w:t>
      </w:r>
      <w:r w:rsidR="113B5BAD" w:rsidRPr="00610401">
        <w:rPr>
          <w:noProof/>
        </w:rPr>
        <w:t>adami określonymi</w:t>
      </w:r>
      <w:r w:rsidR="00610401" w:rsidRPr="00610401">
        <w:rPr>
          <w:noProof/>
        </w:rPr>
        <w:t xml:space="preserve"> w Por</w:t>
      </w:r>
      <w:r w:rsidR="113B5BAD" w:rsidRPr="00610401">
        <w:rPr>
          <w:noProof/>
        </w:rPr>
        <w:t>ozumieniu międzyinstytucjonalnym</w:t>
      </w:r>
      <w:r w:rsidR="00610401" w:rsidRPr="00610401">
        <w:rPr>
          <w:noProof/>
        </w:rPr>
        <w:t xml:space="preserve"> z dni</w:t>
      </w:r>
      <w:r w:rsidR="113B5BAD" w:rsidRPr="00610401">
        <w:rPr>
          <w:noProof/>
        </w:rPr>
        <w:t>a 13 kwietnia 2016</w:t>
      </w:r>
      <w:r w:rsidR="00610401" w:rsidRPr="00610401">
        <w:rPr>
          <w:noProof/>
        </w:rPr>
        <w:t> </w:t>
      </w:r>
      <w:r w:rsidR="113B5BAD" w:rsidRPr="00610401">
        <w:rPr>
          <w:noProof/>
        </w:rPr>
        <w:t>r.</w:t>
      </w:r>
      <w:r w:rsidR="00610401" w:rsidRPr="00610401">
        <w:rPr>
          <w:noProof/>
        </w:rPr>
        <w:t xml:space="preserve"> w spr</w:t>
      </w:r>
      <w:r w:rsidR="113B5BAD" w:rsidRPr="00610401">
        <w:rPr>
          <w:noProof/>
        </w:rPr>
        <w:t>awie lepszego stanowienia prawa</w:t>
      </w:r>
      <w:r w:rsidR="113B5BAD" w:rsidRPr="00610401">
        <w:rPr>
          <w:rStyle w:val="FootnoteReference"/>
          <w:noProof/>
        </w:rPr>
        <w:footnoteReference w:id="114"/>
      </w:r>
      <w:r w:rsidR="113B5BAD" w:rsidRPr="00610401">
        <w:rPr>
          <w:noProof/>
        </w:rPr>
        <w:t xml:space="preserve">. </w:t>
      </w:r>
    </w:p>
    <w:p w:rsidR="006B7526" w:rsidRPr="00610401" w:rsidRDefault="009F5C98" w:rsidP="009F5C98">
      <w:pPr>
        <w:pStyle w:val="ManualNumPar1"/>
        <w:rPr>
          <w:noProof/>
        </w:rPr>
      </w:pPr>
      <w:r w:rsidRPr="009F5C98">
        <w:t>5.</w:t>
      </w:r>
      <w:r w:rsidRPr="009F5C98">
        <w:tab/>
      </w:r>
      <w:r w:rsidR="113B5BAD" w:rsidRPr="00610401">
        <w:rPr>
          <w:noProof/>
        </w:rPr>
        <w:t>Niezwłocznie po przyjęciu aktu delegowanego Komisja przekazuje go równocześnie Parlamentowi Europejskiemu</w:t>
      </w:r>
      <w:r w:rsidR="00610401" w:rsidRPr="00610401">
        <w:rPr>
          <w:noProof/>
        </w:rPr>
        <w:t xml:space="preserve"> i Rad</w:t>
      </w:r>
      <w:r w:rsidR="113B5BAD" w:rsidRPr="00610401">
        <w:rPr>
          <w:noProof/>
        </w:rPr>
        <w:t xml:space="preserve">zie. </w:t>
      </w:r>
    </w:p>
    <w:p w:rsidR="00843D36" w:rsidRPr="00610401" w:rsidRDefault="009F5C98" w:rsidP="009F5C98">
      <w:pPr>
        <w:pStyle w:val="ManualNumPar1"/>
        <w:rPr>
          <w:noProof/>
        </w:rPr>
      </w:pPr>
      <w:r w:rsidRPr="009F5C98">
        <w:t>6.</w:t>
      </w:r>
      <w:r w:rsidRPr="009F5C98">
        <w:tab/>
      </w:r>
      <w:r w:rsidR="113B5BAD" w:rsidRPr="00610401">
        <w:rPr>
          <w:noProof/>
        </w:rPr>
        <w:t>Akt delegowany przyjęty na podstawie art. 19 wchodzi</w:t>
      </w:r>
      <w:r w:rsidR="00610401" w:rsidRPr="00610401">
        <w:rPr>
          <w:noProof/>
        </w:rPr>
        <w:t xml:space="preserve"> w życ</w:t>
      </w:r>
      <w:r w:rsidR="113B5BAD" w:rsidRPr="00610401">
        <w:rPr>
          <w:noProof/>
        </w:rPr>
        <w:t>ie tylko wówczas, gdy ani Parlament Europejski, ani Rada nie wyraziły sprzeciwu</w:t>
      </w:r>
      <w:r w:rsidR="00610401" w:rsidRPr="00610401">
        <w:rPr>
          <w:noProof/>
        </w:rPr>
        <w:t xml:space="preserve"> w ter</w:t>
      </w:r>
      <w:r w:rsidR="113B5BAD" w:rsidRPr="00610401">
        <w:rPr>
          <w:noProof/>
        </w:rPr>
        <w:t>minie 2 miesięcy od przekazania tego aktu Parlamentowi Europejskiemu</w:t>
      </w:r>
      <w:r w:rsidR="00610401" w:rsidRPr="00610401">
        <w:rPr>
          <w:noProof/>
        </w:rPr>
        <w:t xml:space="preserve"> i Rad</w:t>
      </w:r>
      <w:r w:rsidR="113B5BAD" w:rsidRPr="00610401">
        <w:rPr>
          <w:noProof/>
        </w:rPr>
        <w:t>zie, lub gdy, przed upływem tego terminu, zarówno Parlament Europejski, jak</w:t>
      </w:r>
      <w:r w:rsidR="00610401" w:rsidRPr="00610401">
        <w:rPr>
          <w:noProof/>
        </w:rPr>
        <w:t xml:space="preserve"> i Rad</w:t>
      </w:r>
      <w:r w:rsidR="113B5BAD" w:rsidRPr="00610401">
        <w:rPr>
          <w:noProof/>
        </w:rPr>
        <w:t>a poinformowały Komisję, że nie wniosą sprzeciwu. Termin ten przedłuża się</w:t>
      </w:r>
      <w:r w:rsidR="00610401" w:rsidRPr="00610401">
        <w:rPr>
          <w:noProof/>
        </w:rPr>
        <w:t xml:space="preserve"> o dwa</w:t>
      </w:r>
      <w:r w:rsidR="113B5BAD" w:rsidRPr="00610401">
        <w:rPr>
          <w:noProof/>
        </w:rPr>
        <w:t xml:space="preserve"> miesiące</w:t>
      </w:r>
      <w:r w:rsidR="00610401" w:rsidRPr="00610401">
        <w:rPr>
          <w:noProof/>
        </w:rPr>
        <w:t xml:space="preserve"> z ini</w:t>
      </w:r>
      <w:r w:rsidR="113B5BAD" w:rsidRPr="00610401">
        <w:rPr>
          <w:noProof/>
        </w:rPr>
        <w:t>cjatywy Parlamentu Europejskiego lub Rady.</w:t>
      </w:r>
    </w:p>
    <w:p w:rsidR="0051551E" w:rsidRPr="00610401" w:rsidRDefault="0051551E" w:rsidP="00D670D0">
      <w:pPr>
        <w:rPr>
          <w:noProof/>
        </w:rPr>
      </w:pPr>
    </w:p>
    <w:p w:rsidR="00D670D0" w:rsidRPr="00610401" w:rsidRDefault="00FB2AE2" w:rsidP="001324B9">
      <w:pPr>
        <w:pStyle w:val="Titrearticle"/>
        <w:rPr>
          <w:noProof/>
        </w:rPr>
      </w:pPr>
      <w:r w:rsidRPr="00610401">
        <w:rPr>
          <w:noProof/>
        </w:rPr>
        <w:t xml:space="preserve">Artykuł 21 </w:t>
      </w:r>
      <w:r w:rsidRPr="00610401">
        <w:rPr>
          <w:noProof/>
        </w:rPr>
        <w:br/>
      </w:r>
      <w:r w:rsidRPr="00610401">
        <w:rPr>
          <w:b/>
          <w:i w:val="0"/>
          <w:noProof/>
        </w:rPr>
        <w:t>Procedura komitetowa</w:t>
      </w:r>
      <w:r w:rsidRPr="00610401">
        <w:rPr>
          <w:noProof/>
        </w:rPr>
        <w:t xml:space="preserve"> </w:t>
      </w:r>
    </w:p>
    <w:p w:rsidR="00E81D73" w:rsidRPr="00610401" w:rsidRDefault="009F5C98" w:rsidP="009F5C98">
      <w:pPr>
        <w:pStyle w:val="ManualNumPar1"/>
        <w:rPr>
          <w:noProof/>
        </w:rPr>
      </w:pPr>
      <w:r w:rsidRPr="009F5C98">
        <w:t>1.</w:t>
      </w:r>
      <w:r w:rsidRPr="009F5C98">
        <w:tab/>
      </w:r>
      <w:r w:rsidR="00FB2AE2" w:rsidRPr="00610401">
        <w:rPr>
          <w:noProof/>
        </w:rPr>
        <w:t>Komisję wspomaga komitet. Komitet ten jest komitetem</w:t>
      </w:r>
      <w:r w:rsidR="00610401" w:rsidRPr="00610401">
        <w:rPr>
          <w:noProof/>
        </w:rPr>
        <w:t xml:space="preserve"> w roz</w:t>
      </w:r>
      <w:r w:rsidR="00FB2AE2" w:rsidRPr="00610401">
        <w:rPr>
          <w:noProof/>
        </w:rPr>
        <w:t>umieniu rozporządzenia (UE) nr</w:t>
      </w:r>
      <w:r w:rsidR="00610401" w:rsidRPr="00610401">
        <w:rPr>
          <w:noProof/>
        </w:rPr>
        <w:t> </w:t>
      </w:r>
      <w:r w:rsidR="00FB2AE2" w:rsidRPr="00610401">
        <w:rPr>
          <w:noProof/>
        </w:rPr>
        <w:t xml:space="preserve">182/2011. </w:t>
      </w:r>
    </w:p>
    <w:p w:rsidR="00FB2AE2" w:rsidRPr="00610401" w:rsidRDefault="009F5C98" w:rsidP="009F5C98">
      <w:pPr>
        <w:pStyle w:val="ManualNumPar1"/>
        <w:rPr>
          <w:noProof/>
        </w:rPr>
      </w:pPr>
      <w:r w:rsidRPr="009F5C98">
        <w:t>2.</w:t>
      </w:r>
      <w:r w:rsidRPr="009F5C98">
        <w:tab/>
      </w:r>
      <w:r w:rsidR="00FB2AE2" w:rsidRPr="00610401">
        <w:rPr>
          <w:noProof/>
        </w:rPr>
        <w:t>W przypadku odesłania do niniejszego ustępu stosuje się art.</w:t>
      </w:r>
      <w:r w:rsidR="00610401" w:rsidRPr="00610401">
        <w:rPr>
          <w:noProof/>
        </w:rPr>
        <w:t> </w:t>
      </w:r>
      <w:r w:rsidR="00FB2AE2" w:rsidRPr="00610401">
        <w:rPr>
          <w:noProof/>
        </w:rPr>
        <w:t>5 rozporządzenia (UE) nr</w:t>
      </w:r>
      <w:r w:rsidR="00610401" w:rsidRPr="00610401">
        <w:rPr>
          <w:noProof/>
        </w:rPr>
        <w:t> </w:t>
      </w:r>
      <w:r w:rsidR="00FB2AE2" w:rsidRPr="00610401">
        <w:rPr>
          <w:noProof/>
        </w:rPr>
        <w:t>182/2011.</w:t>
      </w:r>
    </w:p>
    <w:p w:rsidR="004F7C4E" w:rsidRPr="00610401" w:rsidRDefault="004F7C4E" w:rsidP="00B16B21">
      <w:pPr>
        <w:pStyle w:val="ChapterTitle"/>
        <w:rPr>
          <w:noProof/>
        </w:rPr>
      </w:pPr>
    </w:p>
    <w:p w:rsidR="0091367E" w:rsidRPr="00610401" w:rsidRDefault="0091367E" w:rsidP="0091367E">
      <w:pPr>
        <w:pStyle w:val="ChapterTitle"/>
        <w:rPr>
          <w:noProof/>
        </w:rPr>
      </w:pPr>
      <w:r w:rsidRPr="00610401">
        <w:rPr>
          <w:noProof/>
        </w:rPr>
        <w:t>ROZDZIAŁ VI</w:t>
      </w:r>
    </w:p>
    <w:p w:rsidR="0091367E" w:rsidRPr="00610401" w:rsidRDefault="00382163" w:rsidP="003019B3">
      <w:pPr>
        <w:pStyle w:val="ChapterTitle"/>
        <w:rPr>
          <w:noProof/>
        </w:rPr>
      </w:pPr>
      <w:r w:rsidRPr="00610401">
        <w:rPr>
          <w:noProof/>
        </w:rPr>
        <w:t>POSTANOWIENIA KOŃCOWE</w:t>
      </w:r>
    </w:p>
    <w:p w:rsidR="00034605" w:rsidRPr="00610401" w:rsidRDefault="0091367E" w:rsidP="00A22E53">
      <w:pPr>
        <w:pStyle w:val="Titrearticle"/>
        <w:tabs>
          <w:tab w:val="left" w:pos="3640"/>
          <w:tab w:val="center" w:pos="4536"/>
        </w:tabs>
        <w:rPr>
          <w:noProof/>
        </w:rPr>
      </w:pPr>
      <w:r w:rsidRPr="00610401">
        <w:rPr>
          <w:noProof/>
        </w:rPr>
        <w:t xml:space="preserve">Artykuł 22 </w:t>
      </w:r>
      <w:r w:rsidRPr="00610401">
        <w:rPr>
          <w:noProof/>
        </w:rPr>
        <w:br/>
      </w:r>
      <w:r w:rsidRPr="00610401">
        <w:rPr>
          <w:b/>
          <w:i w:val="0"/>
          <w:noProof/>
        </w:rPr>
        <w:t>Przegląd</w:t>
      </w:r>
    </w:p>
    <w:p w:rsidR="00570347" w:rsidRPr="00610401" w:rsidRDefault="009F5C98" w:rsidP="009F5C98">
      <w:pPr>
        <w:pStyle w:val="ManualNumPar1"/>
        <w:rPr>
          <w:noProof/>
        </w:rPr>
      </w:pPr>
      <w:r w:rsidRPr="009F5C98">
        <w:t>1.</w:t>
      </w:r>
      <w:r w:rsidRPr="009F5C98">
        <w:tab/>
      </w:r>
      <w:r w:rsidR="00570347" w:rsidRPr="00610401">
        <w:rPr>
          <w:noProof/>
        </w:rPr>
        <w:t>Komisja oceni stosowanie niniejszego rozporządzenia do dnia 31 grudnia 2035</w:t>
      </w:r>
      <w:r w:rsidR="00610401" w:rsidRPr="00610401">
        <w:rPr>
          <w:noProof/>
        </w:rPr>
        <w:t> </w:t>
      </w:r>
      <w:r w:rsidR="00570347" w:rsidRPr="00610401">
        <w:rPr>
          <w:noProof/>
        </w:rPr>
        <w:t xml:space="preserve">r. </w:t>
      </w:r>
    </w:p>
    <w:p w:rsidR="00570347" w:rsidRPr="00610401" w:rsidRDefault="009F5C98" w:rsidP="009F5C98">
      <w:pPr>
        <w:pStyle w:val="ManualNumPar1"/>
        <w:rPr>
          <w:noProof/>
        </w:rPr>
      </w:pPr>
      <w:r w:rsidRPr="009F5C98">
        <w:t>2.</w:t>
      </w:r>
      <w:r w:rsidRPr="009F5C98">
        <w:tab/>
      </w:r>
      <w:r w:rsidR="00570347" w:rsidRPr="00610401">
        <w:rPr>
          <w:noProof/>
        </w:rPr>
        <w:t>Komisja przedstawi sprawozdanie</w:t>
      </w:r>
      <w:r w:rsidR="00610401" w:rsidRPr="00610401">
        <w:rPr>
          <w:noProof/>
        </w:rPr>
        <w:t xml:space="preserve"> z głó</w:t>
      </w:r>
      <w:r w:rsidR="00570347" w:rsidRPr="00610401">
        <w:rPr>
          <w:noProof/>
        </w:rPr>
        <w:t>wnych ustaleń dotyczących oceny Parlamentowi Europejskiemu, Radzie, Europejskiemu Komitetowi Ekonomiczno-Społecznemu</w:t>
      </w:r>
      <w:r w:rsidR="00610401" w:rsidRPr="00610401">
        <w:rPr>
          <w:noProof/>
        </w:rPr>
        <w:t xml:space="preserve"> i Kom</w:t>
      </w:r>
      <w:r w:rsidR="00570347" w:rsidRPr="00610401">
        <w:rPr>
          <w:noProof/>
        </w:rPr>
        <w:t>itetowi Regionów. Jeżeli Komisja uzna to za stosowne, do sprawozdania dołączy wniosek ustawodawczy dotyczący zmiany odpowiednich przepisów niniejszego rozporządzenia, uwzględniający potrzebę ustanowienia dodatkowych celów</w:t>
      </w:r>
      <w:r w:rsidR="00610401" w:rsidRPr="00610401">
        <w:rPr>
          <w:noProof/>
        </w:rPr>
        <w:t xml:space="preserve"> w zak</w:t>
      </w:r>
      <w:r w:rsidR="00570347" w:rsidRPr="00610401">
        <w:rPr>
          <w:noProof/>
        </w:rPr>
        <w:t>resie odbudowy, na podstawie wspólnych metod oceny stanu ekosystemów nieobjętych art.</w:t>
      </w:r>
      <w:r w:rsidR="00610401" w:rsidRPr="00610401">
        <w:rPr>
          <w:noProof/>
        </w:rPr>
        <w:t> </w:t>
      </w:r>
      <w:r w:rsidR="00570347" w:rsidRPr="00610401">
        <w:rPr>
          <w:noProof/>
        </w:rPr>
        <w:t>4</w:t>
      </w:r>
      <w:r w:rsidR="00610401" w:rsidRPr="00610401">
        <w:rPr>
          <w:noProof/>
        </w:rPr>
        <w:t xml:space="preserve"> i 5</w:t>
      </w:r>
      <w:r w:rsidR="00570347" w:rsidRPr="00610401">
        <w:rPr>
          <w:noProof/>
        </w:rPr>
        <w:t xml:space="preserve"> oraz najnowszych dowodów naukowych.</w:t>
      </w:r>
    </w:p>
    <w:p w:rsidR="00FB2AE2" w:rsidRPr="00610401" w:rsidRDefault="00FB2AE2" w:rsidP="00D670D0">
      <w:pPr>
        <w:pStyle w:val="Titrearticle"/>
        <w:rPr>
          <w:noProof/>
        </w:rPr>
      </w:pPr>
      <w:r w:rsidRPr="00610401">
        <w:rPr>
          <w:noProof/>
        </w:rPr>
        <w:t xml:space="preserve">Artykuł 23 </w:t>
      </w:r>
      <w:r w:rsidRPr="00610401">
        <w:rPr>
          <w:noProof/>
        </w:rPr>
        <w:br/>
      </w:r>
      <w:r w:rsidRPr="00610401">
        <w:rPr>
          <w:b/>
          <w:noProof/>
        </w:rPr>
        <w:t>Wejście</w:t>
      </w:r>
      <w:r w:rsidR="00610401" w:rsidRPr="00610401">
        <w:rPr>
          <w:b/>
          <w:noProof/>
        </w:rPr>
        <w:t xml:space="preserve"> w życ</w:t>
      </w:r>
      <w:r w:rsidRPr="00610401">
        <w:rPr>
          <w:b/>
          <w:noProof/>
        </w:rPr>
        <w:t>ie</w:t>
      </w:r>
    </w:p>
    <w:p w:rsidR="00FB2AE2" w:rsidRPr="00610401" w:rsidRDefault="00FB2AE2" w:rsidP="00FB2AE2">
      <w:pPr>
        <w:rPr>
          <w:noProof/>
          <w:szCs w:val="24"/>
        </w:rPr>
      </w:pPr>
      <w:r w:rsidRPr="00610401">
        <w:rPr>
          <w:noProof/>
        </w:rPr>
        <w:t>Niniejsze rozporządzenie wchodzi</w:t>
      </w:r>
      <w:r w:rsidR="00610401" w:rsidRPr="00610401">
        <w:rPr>
          <w:noProof/>
        </w:rPr>
        <w:t xml:space="preserve"> w życ</w:t>
      </w:r>
      <w:r w:rsidRPr="00610401">
        <w:rPr>
          <w:noProof/>
        </w:rPr>
        <w:t>ie dwudziestego dnia po jego opublikowaniu</w:t>
      </w:r>
      <w:r w:rsidR="00610401" w:rsidRPr="00610401">
        <w:rPr>
          <w:noProof/>
        </w:rPr>
        <w:t xml:space="preserve"> w Dzi</w:t>
      </w:r>
      <w:r w:rsidRPr="00610401">
        <w:rPr>
          <w:noProof/>
        </w:rPr>
        <w:t>enniku Urzędowym Unii Europejskiej.</w:t>
      </w:r>
    </w:p>
    <w:p w:rsidR="00FB2AE2" w:rsidRPr="00610401" w:rsidRDefault="00FB2AE2" w:rsidP="00FB2AE2">
      <w:pPr>
        <w:pStyle w:val="Applicationdirecte"/>
        <w:rPr>
          <w:noProof/>
        </w:rPr>
      </w:pPr>
      <w:r w:rsidRPr="00610401">
        <w:rPr>
          <w:noProof/>
        </w:rPr>
        <w:t>Niniejsze rozporządzenie wiąże</w:t>
      </w:r>
      <w:r w:rsidR="00610401" w:rsidRPr="00610401">
        <w:rPr>
          <w:noProof/>
        </w:rPr>
        <w:t xml:space="preserve"> w cał</w:t>
      </w:r>
      <w:r w:rsidRPr="00610401">
        <w:rPr>
          <w:noProof/>
        </w:rPr>
        <w:t>ości</w:t>
      </w:r>
      <w:r w:rsidR="00610401" w:rsidRPr="00610401">
        <w:rPr>
          <w:noProof/>
        </w:rPr>
        <w:t xml:space="preserve"> i jes</w:t>
      </w:r>
      <w:r w:rsidRPr="00610401">
        <w:rPr>
          <w:noProof/>
        </w:rPr>
        <w:t>t bezpośrednio stosowane we wszystkich państwach członkowskich.</w:t>
      </w:r>
    </w:p>
    <w:p w:rsidR="00FB2AE2" w:rsidRPr="00610401" w:rsidRDefault="00FB2AE2" w:rsidP="00FB2AE2">
      <w:pPr>
        <w:rPr>
          <w:noProof/>
          <w:szCs w:val="24"/>
        </w:rPr>
      </w:pPr>
    </w:p>
    <w:p w:rsidR="00FB2AE2" w:rsidRPr="00610401" w:rsidRDefault="00FB2AE2" w:rsidP="00B16B21">
      <w:pPr>
        <w:rPr>
          <w:noProof/>
        </w:rPr>
      </w:pPr>
    </w:p>
    <w:p w:rsidR="00EC044F" w:rsidRPr="00610401" w:rsidRDefault="000A73AB" w:rsidP="00641931">
      <w:pPr>
        <w:pStyle w:val="Fait"/>
        <w:rPr>
          <w:noProof/>
        </w:rPr>
      </w:pPr>
      <w:r w:rsidRPr="000A73AB">
        <w:t xml:space="preserve">Sporządzono w Brukseli dnia </w:t>
      </w:r>
      <w:r w:rsidRPr="000A73AB">
        <w:rPr>
          <w:rStyle w:val="Marker"/>
        </w:rPr>
        <w:t>[…]</w:t>
      </w:r>
      <w:r w:rsidRPr="000A73AB">
        <w:t xml:space="preserve"> r.</w:t>
      </w:r>
    </w:p>
    <w:p w:rsidR="00EC044F" w:rsidRPr="00610401" w:rsidRDefault="00EC044F" w:rsidP="00641931">
      <w:pPr>
        <w:pStyle w:val="Institutionquisigne"/>
        <w:rPr>
          <w:noProof/>
        </w:rPr>
      </w:pPr>
      <w:r w:rsidRPr="00610401">
        <w:rPr>
          <w:noProof/>
        </w:rPr>
        <w:t>W imieniu Parlamentu Europejskiego</w:t>
      </w:r>
      <w:r w:rsidRPr="00610401">
        <w:rPr>
          <w:noProof/>
        </w:rPr>
        <w:tab/>
        <w:t>W imieniu Rady</w:t>
      </w:r>
    </w:p>
    <w:p w:rsidR="002E61AD" w:rsidRPr="00610401" w:rsidRDefault="00EC044F" w:rsidP="00C7500B">
      <w:pPr>
        <w:pStyle w:val="Personnequisigne"/>
        <w:rPr>
          <w:noProof/>
        </w:rPr>
        <w:sectPr w:rsidR="002E61AD" w:rsidRPr="00610401" w:rsidSect="003C0B66">
          <w:pgSz w:w="11907" w:h="16840" w:code="9"/>
          <w:pgMar w:top="1134" w:right="1418" w:bottom="1134" w:left="1418" w:header="709" w:footer="709" w:gutter="0"/>
          <w:cols w:space="708"/>
          <w:docGrid w:linePitch="360"/>
        </w:sectPr>
      </w:pPr>
      <w:r w:rsidRPr="00610401">
        <w:rPr>
          <w:noProof/>
        </w:rPr>
        <w:t>Przewodnicząca</w:t>
      </w:r>
      <w:r w:rsidRPr="00610401">
        <w:rPr>
          <w:noProof/>
        </w:rPr>
        <w:tab/>
        <w:t>Przewodniczący</w:t>
      </w:r>
    </w:p>
    <w:p w:rsidR="00BE0A2F" w:rsidRPr="00610401" w:rsidRDefault="00BE0A2F" w:rsidP="00B0251E">
      <w:pPr>
        <w:pStyle w:val="Fichefinanciretitre"/>
        <w:rPr>
          <w:noProof/>
        </w:rPr>
      </w:pPr>
      <w:r w:rsidRPr="00610401">
        <w:rPr>
          <w:noProof/>
        </w:rPr>
        <w:t>OCENA SKUTKÓW FINANSOWYCH REGULACJI</w:t>
      </w:r>
    </w:p>
    <w:p w:rsidR="00BE0A2F" w:rsidRPr="00610401" w:rsidRDefault="009F5C98" w:rsidP="009F5C98">
      <w:pPr>
        <w:pStyle w:val="ManualHeading1"/>
        <w:rPr>
          <w:noProof/>
        </w:rPr>
      </w:pPr>
      <w:bookmarkStart w:id="1" w:name="_Toc514938007"/>
      <w:bookmarkStart w:id="2" w:name="_Toc520485025"/>
      <w:r w:rsidRPr="009F5C98">
        <w:t>1.</w:t>
      </w:r>
      <w:r w:rsidRPr="009F5C98">
        <w:tab/>
      </w:r>
      <w:r w:rsidR="00BE0A2F" w:rsidRPr="00610401">
        <w:rPr>
          <w:noProof/>
        </w:rPr>
        <w:t>STRUKTURA WNIOSKU/INICJATYWY</w:t>
      </w:r>
      <w:bookmarkEnd w:id="1"/>
      <w:bookmarkEnd w:id="2"/>
      <w:r w:rsidR="00BE0A2F" w:rsidRPr="00610401">
        <w:rPr>
          <w:noProof/>
        </w:rPr>
        <w:t xml:space="preserve"> </w:t>
      </w:r>
    </w:p>
    <w:p w:rsidR="00BE0A2F" w:rsidRPr="00610401" w:rsidRDefault="009F5C98" w:rsidP="009F5C98">
      <w:pPr>
        <w:pStyle w:val="ManualHeading2"/>
        <w:rPr>
          <w:noProof/>
        </w:rPr>
      </w:pPr>
      <w:bookmarkStart w:id="3" w:name="_Toc514938008"/>
      <w:bookmarkStart w:id="4" w:name="_Toc520485026"/>
      <w:r w:rsidRPr="009F5C98">
        <w:t>1.1.</w:t>
      </w:r>
      <w:r w:rsidRPr="009F5C98">
        <w:tab/>
      </w:r>
      <w:r w:rsidR="00BE0A2F" w:rsidRPr="00610401">
        <w:rPr>
          <w:noProof/>
        </w:rPr>
        <w:t>Tytuł wniosku/inicjatywy</w:t>
      </w:r>
      <w:bookmarkEnd w:id="3"/>
      <w:bookmarkEnd w:id="4"/>
    </w:p>
    <w:p w:rsidR="00B31369" w:rsidRPr="00610401" w:rsidRDefault="00B31369" w:rsidP="00B31369">
      <w:pPr>
        <w:pStyle w:val="Text1"/>
        <w:pBdr>
          <w:top w:val="single" w:sz="4" w:space="1" w:color="auto"/>
          <w:left w:val="single" w:sz="4" w:space="4" w:color="auto"/>
          <w:bottom w:val="single" w:sz="4" w:space="1" w:color="auto"/>
          <w:right w:val="single" w:sz="4" w:space="4" w:color="auto"/>
        </w:pBdr>
        <w:rPr>
          <w:noProof/>
        </w:rPr>
      </w:pPr>
      <w:r w:rsidRPr="00610401">
        <w:rPr>
          <w:noProof/>
        </w:rPr>
        <w:t>Wniosek dotyczący rozporządzenia Parlamentu Europejskiego</w:t>
      </w:r>
      <w:r w:rsidR="00610401" w:rsidRPr="00610401">
        <w:rPr>
          <w:noProof/>
        </w:rPr>
        <w:t xml:space="preserve"> i Rad</w:t>
      </w:r>
      <w:r w:rsidRPr="00610401">
        <w:rPr>
          <w:noProof/>
        </w:rPr>
        <w:t>y</w:t>
      </w:r>
      <w:r w:rsidR="00610401" w:rsidRPr="00610401">
        <w:rPr>
          <w:noProof/>
        </w:rPr>
        <w:t xml:space="preserve"> w spr</w:t>
      </w:r>
      <w:r w:rsidRPr="00610401">
        <w:rPr>
          <w:noProof/>
        </w:rPr>
        <w:t xml:space="preserve">awie odbudowy zasobów przyrodniczych. </w:t>
      </w:r>
    </w:p>
    <w:p w:rsidR="00BE0A2F" w:rsidRPr="00610401" w:rsidRDefault="009F5C98" w:rsidP="009F5C98">
      <w:pPr>
        <w:pStyle w:val="ManualHeading2"/>
        <w:rPr>
          <w:i/>
          <w:noProof/>
        </w:rPr>
      </w:pPr>
      <w:bookmarkStart w:id="5" w:name="_Toc514938011"/>
      <w:bookmarkStart w:id="6" w:name="_Toc520485027"/>
      <w:r w:rsidRPr="009F5C98">
        <w:t>1.2.</w:t>
      </w:r>
      <w:r w:rsidRPr="009F5C98">
        <w:tab/>
      </w:r>
      <w:r w:rsidR="00BE0A2F" w:rsidRPr="00610401">
        <w:rPr>
          <w:noProof/>
        </w:rPr>
        <w:t>Obszary polityki, których dotyczy wniosek/inicjatywa</w:t>
      </w:r>
      <w:bookmarkEnd w:id="5"/>
      <w:bookmarkEnd w:id="6"/>
      <w:r w:rsidR="00BE0A2F" w:rsidRPr="00610401">
        <w:rPr>
          <w:noProof/>
        </w:rPr>
        <w:t xml:space="preserve"> </w:t>
      </w:r>
    </w:p>
    <w:p w:rsidR="00B31369" w:rsidRPr="00610401" w:rsidRDefault="00B31369" w:rsidP="00B31369">
      <w:pPr>
        <w:pStyle w:val="Text1"/>
        <w:pBdr>
          <w:top w:val="single" w:sz="4" w:space="1" w:color="auto"/>
          <w:left w:val="single" w:sz="4" w:space="4" w:color="auto"/>
          <w:bottom w:val="single" w:sz="4" w:space="1" w:color="auto"/>
          <w:right w:val="single" w:sz="4" w:space="4" w:color="auto"/>
        </w:pBdr>
        <w:rPr>
          <w:noProof/>
        </w:rPr>
      </w:pPr>
      <w:r w:rsidRPr="00610401">
        <w:rPr>
          <w:noProof/>
        </w:rPr>
        <w:t>Dziedzina polityki: 09 Środowisko</w:t>
      </w:r>
      <w:r w:rsidR="00610401" w:rsidRPr="00610401">
        <w:rPr>
          <w:noProof/>
        </w:rPr>
        <w:t xml:space="preserve"> i dzi</w:t>
      </w:r>
      <w:r w:rsidRPr="00610401">
        <w:rPr>
          <w:noProof/>
        </w:rPr>
        <w:t>ałania</w:t>
      </w:r>
      <w:r w:rsidR="00610401" w:rsidRPr="00610401">
        <w:rPr>
          <w:noProof/>
        </w:rPr>
        <w:t xml:space="preserve"> w dzi</w:t>
      </w:r>
      <w:r w:rsidRPr="00610401">
        <w:rPr>
          <w:noProof/>
        </w:rPr>
        <w:t xml:space="preserve">edzinie klimatu </w:t>
      </w:r>
    </w:p>
    <w:p w:rsidR="00B31369" w:rsidRPr="00610401" w:rsidRDefault="00B31369" w:rsidP="00B31369">
      <w:pPr>
        <w:pStyle w:val="Text1"/>
        <w:pBdr>
          <w:top w:val="single" w:sz="4" w:space="1" w:color="auto"/>
          <w:left w:val="single" w:sz="4" w:space="4" w:color="auto"/>
          <w:bottom w:val="single" w:sz="4" w:space="1" w:color="auto"/>
          <w:right w:val="single" w:sz="4" w:space="4" w:color="auto"/>
        </w:pBdr>
        <w:rPr>
          <w:noProof/>
        </w:rPr>
      </w:pPr>
      <w:r w:rsidRPr="00610401">
        <w:rPr>
          <w:noProof/>
        </w:rPr>
        <w:t xml:space="preserve">Działania: </w:t>
      </w:r>
    </w:p>
    <w:p w:rsidR="00B31369" w:rsidRPr="00610401" w:rsidRDefault="00B31369" w:rsidP="00B31369">
      <w:pPr>
        <w:pStyle w:val="Text1"/>
        <w:pBdr>
          <w:top w:val="single" w:sz="4" w:space="1" w:color="auto"/>
          <w:left w:val="single" w:sz="4" w:space="4" w:color="auto"/>
          <w:bottom w:val="single" w:sz="4" w:space="1" w:color="auto"/>
          <w:right w:val="single" w:sz="4" w:space="4" w:color="auto"/>
        </w:pBdr>
        <w:rPr>
          <w:noProof/>
        </w:rPr>
      </w:pPr>
      <w:r w:rsidRPr="00610401">
        <w:rPr>
          <w:noProof/>
        </w:rPr>
        <w:t>09 02 – Program działań na rzecz środowiska</w:t>
      </w:r>
      <w:r w:rsidR="00610401" w:rsidRPr="00610401">
        <w:rPr>
          <w:noProof/>
        </w:rPr>
        <w:t xml:space="preserve"> i kli</w:t>
      </w:r>
      <w:r w:rsidRPr="00610401">
        <w:rPr>
          <w:noProof/>
        </w:rPr>
        <w:t xml:space="preserve">matu (LIFE) </w:t>
      </w:r>
    </w:p>
    <w:p w:rsidR="00B31369" w:rsidRPr="00610401" w:rsidRDefault="00B31369" w:rsidP="00B31369">
      <w:pPr>
        <w:pStyle w:val="Text1"/>
        <w:pBdr>
          <w:top w:val="single" w:sz="4" w:space="1" w:color="auto"/>
          <w:left w:val="single" w:sz="4" w:space="4" w:color="auto"/>
          <w:bottom w:val="single" w:sz="4" w:space="1" w:color="auto"/>
          <w:right w:val="single" w:sz="4" w:space="4" w:color="auto"/>
        </w:pBdr>
        <w:rPr>
          <w:noProof/>
          <w:color w:val="000000" w:themeColor="text1"/>
        </w:rPr>
      </w:pPr>
      <w:r w:rsidRPr="00610401">
        <w:rPr>
          <w:noProof/>
        </w:rPr>
        <w:t>09 10 - Europejska Agencja Środowiska (EEA)</w:t>
      </w:r>
    </w:p>
    <w:p w:rsidR="00BE0A2F" w:rsidRPr="00610401" w:rsidRDefault="009F5C98" w:rsidP="009F5C98">
      <w:pPr>
        <w:pStyle w:val="ManualHeading2"/>
        <w:rPr>
          <w:noProof/>
          <w:szCs w:val="24"/>
        </w:rPr>
      </w:pPr>
      <w:bookmarkStart w:id="7" w:name="_Toc514938014"/>
      <w:bookmarkStart w:id="8" w:name="_Toc520485028"/>
      <w:r w:rsidRPr="009F5C98">
        <w:t>1.3.</w:t>
      </w:r>
      <w:r w:rsidRPr="009F5C98">
        <w:tab/>
      </w:r>
      <w:r w:rsidR="00BE0A2F" w:rsidRPr="00610401">
        <w:rPr>
          <w:noProof/>
        </w:rPr>
        <w:t>Wniosek/inicjatywa dotyczy:</w:t>
      </w:r>
      <w:bookmarkEnd w:id="7"/>
      <w:bookmarkEnd w:id="8"/>
      <w:r w:rsidR="00BE0A2F" w:rsidRPr="00610401">
        <w:rPr>
          <w:noProof/>
        </w:rPr>
        <w:t xml:space="preserve"> </w:t>
      </w:r>
    </w:p>
    <w:p w:rsidR="00BE0A2F" w:rsidRPr="00610401" w:rsidRDefault="00BE0A2F" w:rsidP="002E61AD">
      <w:pPr>
        <w:pStyle w:val="Text1"/>
        <w:rPr>
          <w:noProof/>
          <w:sz w:val="22"/>
        </w:rPr>
      </w:pPr>
      <w:r w:rsidRPr="00610401">
        <w:rPr>
          <w:noProof/>
          <w:color w:val="000000" w:themeColor="text1"/>
        </w:rPr>
        <w:sym w:font="Wingdings" w:char="F0FE"/>
      </w:r>
      <w:r w:rsidRPr="00610401">
        <w:rPr>
          <w:noProof/>
        </w:rPr>
        <w:t xml:space="preserve"> nowego działania</w:t>
      </w:r>
    </w:p>
    <w:p w:rsidR="00BE0A2F" w:rsidRPr="00610401" w:rsidRDefault="00BE0A2F" w:rsidP="002E61AD">
      <w:pPr>
        <w:pStyle w:val="Text1"/>
        <w:rPr>
          <w:noProof/>
          <w:sz w:val="22"/>
        </w:rPr>
      </w:pPr>
      <w:r w:rsidRPr="00610401">
        <w:rPr>
          <w:noProof/>
          <w:sz w:val="22"/>
        </w:rPr>
        <w:sym w:font="Wingdings" w:char="F0A8"/>
      </w:r>
      <w:r w:rsidRPr="00610401">
        <w:rPr>
          <w:i/>
          <w:noProof/>
          <w:sz w:val="22"/>
        </w:rPr>
        <w:t xml:space="preserve"> </w:t>
      </w:r>
      <w:r w:rsidRPr="00610401">
        <w:rPr>
          <w:noProof/>
        </w:rPr>
        <w:t>nowego działania, będącego następstwem projektu pilotażowego/działania przygotowawczego</w:t>
      </w:r>
      <w:r w:rsidRPr="00610401">
        <w:rPr>
          <w:rStyle w:val="FootnoteReference"/>
          <w:noProof/>
        </w:rPr>
        <w:footnoteReference w:id="115"/>
      </w:r>
      <w:r w:rsidRPr="00610401">
        <w:rPr>
          <w:noProof/>
          <w:sz w:val="22"/>
        </w:rPr>
        <w:t xml:space="preserve"> </w:t>
      </w:r>
    </w:p>
    <w:p w:rsidR="00BE0A2F" w:rsidRPr="00610401" w:rsidRDefault="00BE0A2F" w:rsidP="002E61AD">
      <w:pPr>
        <w:pStyle w:val="Text1"/>
        <w:rPr>
          <w:noProof/>
          <w:sz w:val="22"/>
        </w:rPr>
      </w:pPr>
      <w:r w:rsidRPr="00610401">
        <w:rPr>
          <w:noProof/>
          <w:sz w:val="22"/>
        </w:rPr>
        <w:sym w:font="Wingdings" w:char="F0A8"/>
      </w:r>
      <w:r w:rsidRPr="00610401">
        <w:rPr>
          <w:i/>
          <w:noProof/>
          <w:sz w:val="22"/>
        </w:rPr>
        <w:t xml:space="preserve"> </w:t>
      </w:r>
      <w:r w:rsidRPr="00610401">
        <w:rPr>
          <w:noProof/>
        </w:rPr>
        <w:t>przedłużenia bieżącego działania</w:t>
      </w:r>
      <w:r w:rsidRPr="00610401">
        <w:rPr>
          <w:noProof/>
          <w:sz w:val="22"/>
        </w:rPr>
        <w:t xml:space="preserve"> </w:t>
      </w:r>
    </w:p>
    <w:p w:rsidR="00BE0A2F" w:rsidRPr="00610401" w:rsidRDefault="00BE0A2F" w:rsidP="002E61AD">
      <w:pPr>
        <w:pStyle w:val="Text1"/>
        <w:rPr>
          <w:noProof/>
        </w:rPr>
      </w:pPr>
      <w:r w:rsidRPr="00610401">
        <w:rPr>
          <w:noProof/>
          <w:sz w:val="22"/>
        </w:rPr>
        <w:sym w:font="Wingdings" w:char="F0A8"/>
      </w:r>
      <w:r w:rsidRPr="00610401">
        <w:rPr>
          <w:i/>
          <w:noProof/>
          <w:sz w:val="22"/>
        </w:rPr>
        <w:t xml:space="preserve"> </w:t>
      </w:r>
      <w:r w:rsidRPr="00610401">
        <w:rPr>
          <w:noProof/>
        </w:rPr>
        <w:t xml:space="preserve">połączenia lub przekształcenia co najmniej jednego działania pod kątem innego/nowego działania </w:t>
      </w:r>
    </w:p>
    <w:p w:rsidR="00BE0A2F" w:rsidRPr="00610401" w:rsidRDefault="009F5C98" w:rsidP="009F5C98">
      <w:pPr>
        <w:pStyle w:val="ManualHeading2"/>
        <w:rPr>
          <w:noProof/>
          <w:szCs w:val="24"/>
        </w:rPr>
      </w:pPr>
      <w:bookmarkStart w:id="9" w:name="_Toc514938015"/>
      <w:bookmarkStart w:id="10" w:name="_Toc520485029"/>
      <w:r w:rsidRPr="009F5C98">
        <w:t>1.4.</w:t>
      </w:r>
      <w:r w:rsidRPr="009F5C98">
        <w:tab/>
      </w:r>
      <w:r w:rsidR="00BE0A2F" w:rsidRPr="00610401">
        <w:rPr>
          <w:noProof/>
        </w:rPr>
        <w:t>Cel(e)</w:t>
      </w:r>
      <w:bookmarkEnd w:id="9"/>
      <w:bookmarkEnd w:id="10"/>
    </w:p>
    <w:p w:rsidR="00BE0A2F" w:rsidRPr="00610401" w:rsidRDefault="009F5C98" w:rsidP="009F5C98">
      <w:pPr>
        <w:pStyle w:val="ManualHeading3"/>
        <w:rPr>
          <w:noProof/>
        </w:rPr>
      </w:pPr>
      <w:bookmarkStart w:id="11" w:name="_Toc514938016"/>
      <w:bookmarkStart w:id="12" w:name="_Toc520485030"/>
      <w:r w:rsidRPr="009F5C98">
        <w:t>1.4.1.</w:t>
      </w:r>
      <w:r w:rsidRPr="009F5C98">
        <w:tab/>
      </w:r>
      <w:r w:rsidR="00BE0A2F" w:rsidRPr="00610401">
        <w:rPr>
          <w:noProof/>
        </w:rPr>
        <w:t>Cel(e) ogólny(e)</w:t>
      </w:r>
      <w:bookmarkEnd w:id="11"/>
      <w:bookmarkEnd w:id="12"/>
    </w:p>
    <w:p w:rsidR="00B31369" w:rsidRPr="00610401" w:rsidRDefault="00B31369" w:rsidP="00B31369">
      <w:pPr>
        <w:pStyle w:val="Text1"/>
        <w:pBdr>
          <w:top w:val="single" w:sz="4" w:space="1" w:color="auto"/>
          <w:left w:val="single" w:sz="4" w:space="4" w:color="auto"/>
          <w:bottom w:val="single" w:sz="4" w:space="1" w:color="auto"/>
          <w:right w:val="single" w:sz="4" w:space="4" w:color="auto"/>
        </w:pBdr>
        <w:rPr>
          <w:noProof/>
        </w:rPr>
      </w:pPr>
      <w:bookmarkStart w:id="13" w:name="_Toc514938018"/>
      <w:bookmarkStart w:id="14" w:name="_Toc520485031"/>
      <w:r w:rsidRPr="00610401">
        <w:rPr>
          <w:noProof/>
        </w:rPr>
        <w:t>Celem proponowanego rozporządzenia jest przyczynianie się do ciągłej, długoterminowej</w:t>
      </w:r>
      <w:r w:rsidR="00610401" w:rsidRPr="00610401">
        <w:rPr>
          <w:noProof/>
        </w:rPr>
        <w:t xml:space="preserve"> i trw</w:t>
      </w:r>
      <w:r w:rsidRPr="00610401">
        <w:rPr>
          <w:noProof/>
        </w:rPr>
        <w:t>ałej odbudowy różnorodnej biologicznie</w:t>
      </w:r>
      <w:r w:rsidR="00610401" w:rsidRPr="00610401">
        <w:rPr>
          <w:noProof/>
        </w:rPr>
        <w:t xml:space="preserve"> i odp</w:t>
      </w:r>
      <w:r w:rsidRPr="00610401">
        <w:rPr>
          <w:noProof/>
        </w:rPr>
        <w:t>ornej przyrody na obszarach lądowych</w:t>
      </w:r>
      <w:r w:rsidR="00610401" w:rsidRPr="00610401">
        <w:rPr>
          <w:noProof/>
        </w:rPr>
        <w:t xml:space="preserve"> i mor</w:t>
      </w:r>
      <w:r w:rsidRPr="00610401">
        <w:rPr>
          <w:noProof/>
        </w:rPr>
        <w:t>skich Unii poprzez odbudowę ekosystemów, siedlisk</w:t>
      </w:r>
      <w:r w:rsidR="00610401" w:rsidRPr="00610401">
        <w:rPr>
          <w:noProof/>
        </w:rPr>
        <w:t xml:space="preserve"> i gat</w:t>
      </w:r>
      <w:r w:rsidRPr="00610401">
        <w:rPr>
          <w:noProof/>
        </w:rPr>
        <w:t>unków, jak również przyczynianie się do realizacji celów Unii</w:t>
      </w:r>
      <w:r w:rsidR="00610401" w:rsidRPr="00610401">
        <w:rPr>
          <w:noProof/>
        </w:rPr>
        <w:t xml:space="preserve"> w zak</w:t>
      </w:r>
      <w:r w:rsidRPr="00610401">
        <w:rPr>
          <w:noProof/>
        </w:rPr>
        <w:t>resie łagodzenia zmiany klimatu</w:t>
      </w:r>
      <w:r w:rsidR="00610401" w:rsidRPr="00610401">
        <w:rPr>
          <w:noProof/>
        </w:rPr>
        <w:t xml:space="preserve"> i prz</w:t>
      </w:r>
      <w:r w:rsidRPr="00610401">
        <w:rPr>
          <w:noProof/>
        </w:rPr>
        <w:t>ystosowania się do zmiany klimatu oraz wypełnienia międzynarodowych zobowiązań UE.</w:t>
      </w:r>
    </w:p>
    <w:bookmarkEnd w:id="13"/>
    <w:bookmarkEnd w:id="14"/>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Celem szczegółowym niniejszego proponowanego rozporządzenia, wynikającym</w:t>
      </w:r>
      <w:r w:rsidR="00610401" w:rsidRPr="00610401">
        <w:rPr>
          <w:noProof/>
        </w:rPr>
        <w:t xml:space="preserve"> z cel</w:t>
      </w:r>
      <w:r w:rsidRPr="00610401">
        <w:rPr>
          <w:noProof/>
        </w:rPr>
        <w:t>u ogólnego jest:</w:t>
      </w:r>
    </w:p>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przywrócenie zdegradowanych ekosystemów</w:t>
      </w:r>
      <w:r w:rsidR="00610401" w:rsidRPr="00610401">
        <w:rPr>
          <w:noProof/>
        </w:rPr>
        <w:t xml:space="preserve"> w cał</w:t>
      </w:r>
      <w:r w:rsidRPr="00610401">
        <w:rPr>
          <w:noProof/>
        </w:rPr>
        <w:t>ej UE do dobrego stanu do</w:t>
      </w:r>
      <w:r w:rsidR="00610401" w:rsidRPr="00610401">
        <w:rPr>
          <w:noProof/>
        </w:rPr>
        <w:t> </w:t>
      </w:r>
      <w:r w:rsidRPr="00610401">
        <w:rPr>
          <w:noProof/>
        </w:rPr>
        <w:t>2050</w:t>
      </w:r>
      <w:r w:rsidR="00610401" w:rsidRPr="00610401">
        <w:rPr>
          <w:noProof/>
        </w:rPr>
        <w:t> </w:t>
      </w:r>
      <w:r w:rsidRPr="00610401">
        <w:rPr>
          <w:noProof/>
        </w:rPr>
        <w:t>r., a do</w:t>
      </w:r>
      <w:r w:rsidR="00610401" w:rsidRPr="00610401">
        <w:rPr>
          <w:noProof/>
        </w:rPr>
        <w:t> </w:t>
      </w:r>
      <w:r w:rsidRPr="00610401">
        <w:rPr>
          <w:noProof/>
        </w:rPr>
        <w:t>2030</w:t>
      </w:r>
      <w:r w:rsidR="00610401" w:rsidRPr="00610401">
        <w:rPr>
          <w:noProof/>
        </w:rPr>
        <w:t> </w:t>
      </w:r>
      <w:r w:rsidRPr="00610401">
        <w:rPr>
          <w:noProof/>
        </w:rPr>
        <w:t>r. wprowadzenie ich na ścieżkę regeneracji. Po odbudowie ekosystemy należy utrzymywać</w:t>
      </w:r>
      <w:r w:rsidR="00610401" w:rsidRPr="00610401">
        <w:rPr>
          <w:noProof/>
        </w:rPr>
        <w:t xml:space="preserve"> w dob</w:t>
      </w:r>
      <w:r w:rsidRPr="00610401">
        <w:rPr>
          <w:noProof/>
        </w:rPr>
        <w:t>rym stanie.</w:t>
      </w:r>
    </w:p>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Do celów operacyjnych, wynikających</w:t>
      </w:r>
      <w:r w:rsidR="00610401" w:rsidRPr="00610401">
        <w:rPr>
          <w:noProof/>
        </w:rPr>
        <w:t xml:space="preserve"> z cel</w:t>
      </w:r>
      <w:r w:rsidRPr="00610401">
        <w:rPr>
          <w:noProof/>
        </w:rPr>
        <w:t>u ogólnego, należą:</w:t>
      </w:r>
    </w:p>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ustanowienie prawnie wiążących celów</w:t>
      </w:r>
      <w:r w:rsidR="00610401" w:rsidRPr="00610401">
        <w:rPr>
          <w:noProof/>
        </w:rPr>
        <w:t xml:space="preserve"> w zak</w:t>
      </w:r>
      <w:r w:rsidRPr="00610401">
        <w:rPr>
          <w:noProof/>
        </w:rPr>
        <w:t>resie odbudowy ekosystemów</w:t>
      </w:r>
      <w:r w:rsidR="00610401" w:rsidRPr="00610401">
        <w:rPr>
          <w:noProof/>
        </w:rPr>
        <w:t xml:space="preserve"> i prz</w:t>
      </w:r>
      <w:r w:rsidRPr="00610401">
        <w:rPr>
          <w:noProof/>
        </w:rPr>
        <w:t>ywrócenia ich do dobrego stanu;</w:t>
      </w:r>
    </w:p>
    <w:p w:rsidR="00BE0A2F" w:rsidRPr="00610401"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610401">
        <w:rPr>
          <w:noProof/>
        </w:rPr>
        <w:t>- ustanowienie skutecznych ram</w:t>
      </w:r>
      <w:r w:rsidR="00610401" w:rsidRPr="00610401">
        <w:rPr>
          <w:noProof/>
        </w:rPr>
        <w:t xml:space="preserve"> w cel</w:t>
      </w:r>
      <w:r w:rsidRPr="00610401">
        <w:rPr>
          <w:noProof/>
        </w:rPr>
        <w:t>u zapewnienia wdrożenia,</w:t>
      </w:r>
      <w:r w:rsidR="00610401" w:rsidRPr="00610401">
        <w:rPr>
          <w:noProof/>
        </w:rPr>
        <w:t xml:space="preserve"> w szc</w:t>
      </w:r>
      <w:r w:rsidRPr="00610401">
        <w:rPr>
          <w:noProof/>
        </w:rPr>
        <w:t>zególności poprzez nałożenie na państwa członkowskie obowiązku oceny ekosystemów</w:t>
      </w:r>
      <w:r w:rsidR="00610401" w:rsidRPr="00610401">
        <w:rPr>
          <w:noProof/>
        </w:rPr>
        <w:t xml:space="preserve"> i opr</w:t>
      </w:r>
      <w:r w:rsidRPr="00610401">
        <w:rPr>
          <w:noProof/>
        </w:rPr>
        <w:t>acowania krajowego planu odbudowy,</w:t>
      </w:r>
      <w:r w:rsidR="00610401" w:rsidRPr="00610401">
        <w:rPr>
          <w:noProof/>
        </w:rPr>
        <w:t xml:space="preserve"> a tak</w:t>
      </w:r>
      <w:r w:rsidRPr="00610401">
        <w:rPr>
          <w:noProof/>
        </w:rPr>
        <w:t>że obowiązku składania sprawozdań</w:t>
      </w:r>
      <w:r w:rsidR="00610401" w:rsidRPr="00610401">
        <w:rPr>
          <w:noProof/>
        </w:rPr>
        <w:t xml:space="preserve"> i prz</w:t>
      </w:r>
      <w:r w:rsidRPr="00610401">
        <w:rPr>
          <w:noProof/>
        </w:rPr>
        <w:t>eprowadzania przeglądów.</w:t>
      </w:r>
    </w:p>
    <w:p w:rsidR="00BE0A2F" w:rsidRPr="00610401" w:rsidRDefault="009F5C98" w:rsidP="009F5C98">
      <w:pPr>
        <w:pStyle w:val="ManualHeading3"/>
        <w:rPr>
          <w:noProof/>
        </w:rPr>
      </w:pPr>
      <w:r w:rsidRPr="009F5C98">
        <w:t>1.4.2.</w:t>
      </w:r>
      <w:r w:rsidRPr="009F5C98">
        <w:tab/>
      </w:r>
      <w:r w:rsidR="00BE0A2F" w:rsidRPr="00610401">
        <w:rPr>
          <w:noProof/>
        </w:rPr>
        <w:t>Oczekiwane wyniki</w:t>
      </w:r>
      <w:r w:rsidR="00610401" w:rsidRPr="00610401">
        <w:rPr>
          <w:noProof/>
        </w:rPr>
        <w:t xml:space="preserve"> i wpł</w:t>
      </w:r>
      <w:r w:rsidR="00BE0A2F" w:rsidRPr="00610401">
        <w:rPr>
          <w:noProof/>
        </w:rPr>
        <w:t>yw</w:t>
      </w:r>
    </w:p>
    <w:p w:rsidR="00B31369" w:rsidRPr="00610401" w:rsidRDefault="00BE0A2F" w:rsidP="00B0251E">
      <w:pPr>
        <w:ind w:left="850"/>
        <w:rPr>
          <w:i/>
          <w:noProof/>
          <w:sz w:val="20"/>
        </w:rPr>
      </w:pPr>
      <w:r w:rsidRPr="00610401">
        <w:rPr>
          <w:i/>
          <w:noProof/>
          <w:sz w:val="20"/>
        </w:rPr>
        <w:t>Należy wskazać, jakie efekty przyniesie wniosek/inicjatywa beneficjentom/grupie docelowej.</w:t>
      </w:r>
    </w:p>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Społeczeństwo jako całość odnosi korzyści</w:t>
      </w:r>
      <w:r w:rsidR="00610401" w:rsidRPr="00610401">
        <w:rPr>
          <w:noProof/>
        </w:rPr>
        <w:t xml:space="preserve"> z odb</w:t>
      </w:r>
      <w:r w:rsidRPr="00610401">
        <w:rPr>
          <w:noProof/>
        </w:rPr>
        <w:t>udowy zasobów przyrodniczych dzięki skuteczniejszemu łagodzeniu zmiany klimatu</w:t>
      </w:r>
      <w:r w:rsidR="00610401" w:rsidRPr="00610401">
        <w:rPr>
          <w:noProof/>
        </w:rPr>
        <w:t xml:space="preserve"> i prz</w:t>
      </w:r>
      <w:r w:rsidRPr="00610401">
        <w:rPr>
          <w:noProof/>
        </w:rPr>
        <w:t>ystosowaniu się do niej oraz zarządzaniu ryzykiem związanym</w:t>
      </w:r>
      <w:r w:rsidR="00610401" w:rsidRPr="00610401">
        <w:rPr>
          <w:noProof/>
        </w:rPr>
        <w:t xml:space="preserve"> z klę</w:t>
      </w:r>
      <w:r w:rsidRPr="00610401">
        <w:rPr>
          <w:noProof/>
        </w:rPr>
        <w:t>skami żywiołowymi. Odbudowa zasobów przyrodniczych stwarza ponadto możliwości zatrudnienia</w:t>
      </w:r>
      <w:r w:rsidR="00610401" w:rsidRPr="00610401">
        <w:rPr>
          <w:noProof/>
        </w:rPr>
        <w:t xml:space="preserve"> i uzy</w:t>
      </w:r>
      <w:r w:rsidRPr="00610401">
        <w:rPr>
          <w:noProof/>
        </w:rPr>
        <w:t>skania dochodu oraz ma pozytywny wpływ na zdrowie obywateli, wzmacnia dziedzictwo naturalne</w:t>
      </w:r>
      <w:r w:rsidR="00610401" w:rsidRPr="00610401">
        <w:rPr>
          <w:noProof/>
        </w:rPr>
        <w:t xml:space="preserve"> i kul</w:t>
      </w:r>
      <w:r w:rsidRPr="00610401">
        <w:rPr>
          <w:noProof/>
        </w:rPr>
        <w:t>turowe oraz tożsamość kulturową,</w:t>
      </w:r>
      <w:r w:rsidR="00610401" w:rsidRPr="00610401">
        <w:rPr>
          <w:noProof/>
        </w:rPr>
        <w:t xml:space="preserve"> a tak</w:t>
      </w:r>
      <w:r w:rsidRPr="00610401">
        <w:rPr>
          <w:noProof/>
        </w:rPr>
        <w:t>że poprawia jakość</w:t>
      </w:r>
      <w:r w:rsidR="00610401" w:rsidRPr="00610401">
        <w:rPr>
          <w:noProof/>
        </w:rPr>
        <w:t xml:space="preserve"> i bez</w:t>
      </w:r>
      <w:r w:rsidRPr="00610401">
        <w:rPr>
          <w:noProof/>
        </w:rPr>
        <w:t>pieczeństwo żywności</w:t>
      </w:r>
      <w:r w:rsidR="00610401" w:rsidRPr="00610401">
        <w:rPr>
          <w:noProof/>
        </w:rPr>
        <w:t xml:space="preserve"> i wod</w:t>
      </w:r>
      <w:r w:rsidRPr="00610401">
        <w:rPr>
          <w:noProof/>
        </w:rPr>
        <w:t>y. Odbudowa zasobów przyrodniczych przyniesie również korzyści wielu sektorom gospodarki, zwłaszcza tym, które są</w:t>
      </w:r>
      <w:r w:rsidR="00610401" w:rsidRPr="00610401">
        <w:rPr>
          <w:noProof/>
        </w:rPr>
        <w:t xml:space="preserve"> w duż</w:t>
      </w:r>
      <w:r w:rsidRPr="00610401">
        <w:rPr>
          <w:noProof/>
        </w:rPr>
        <w:t>ym stopniu uzależnione od usług ekosystemowych, takim jak sektor rolno-spożywczy, rybołówstwo, leśnictwo, przedsiębiorstwa wodne, turystyka,</w:t>
      </w:r>
      <w:r w:rsidR="00610401" w:rsidRPr="00610401">
        <w:rPr>
          <w:noProof/>
        </w:rPr>
        <w:t xml:space="preserve"> a tak</w:t>
      </w:r>
      <w:r w:rsidRPr="00610401">
        <w:rPr>
          <w:noProof/>
        </w:rPr>
        <w:t xml:space="preserve">że sektor finansowy. </w:t>
      </w:r>
    </w:p>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Wykazano, że odbudowa ekosystemów jest opłacalna (korzyści znacznie przewyższają koszty), ale wymaga inwestycji, które pociągają za sobą koszty finansowe</w:t>
      </w:r>
      <w:r w:rsidR="00610401" w:rsidRPr="00610401">
        <w:rPr>
          <w:noProof/>
        </w:rPr>
        <w:t xml:space="preserve"> i kos</w:t>
      </w:r>
      <w:r w:rsidRPr="00610401">
        <w:rPr>
          <w:noProof/>
        </w:rPr>
        <w:t>zty alternatywne dla podmiotów zarządzających gruntami</w:t>
      </w:r>
      <w:r w:rsidR="00610401" w:rsidRPr="00610401">
        <w:rPr>
          <w:noProof/>
        </w:rPr>
        <w:t xml:space="preserve"> i zas</w:t>
      </w:r>
      <w:r w:rsidRPr="00610401">
        <w:rPr>
          <w:noProof/>
        </w:rPr>
        <w:t>obami naturalnymi, które mogą być zrekompensowane poprzez zachęty ze strony rządów</w:t>
      </w:r>
      <w:r w:rsidR="00610401" w:rsidRPr="00610401">
        <w:rPr>
          <w:noProof/>
        </w:rPr>
        <w:t xml:space="preserve"> i nab</w:t>
      </w:r>
      <w:r w:rsidRPr="00610401">
        <w:rPr>
          <w:noProof/>
        </w:rPr>
        <w:t>ywców usług ekosystemowych. Metoda</w:t>
      </w:r>
      <w:r w:rsidR="00610401" w:rsidRPr="00610401">
        <w:rPr>
          <w:noProof/>
        </w:rPr>
        <w:t xml:space="preserve"> i zak</w:t>
      </w:r>
      <w:r w:rsidRPr="00610401">
        <w:rPr>
          <w:noProof/>
        </w:rPr>
        <w:t>res środków odbudowy, utrzymania</w:t>
      </w:r>
      <w:r w:rsidR="00610401" w:rsidRPr="00610401">
        <w:rPr>
          <w:noProof/>
        </w:rPr>
        <w:t xml:space="preserve"> i kom</w:t>
      </w:r>
      <w:r w:rsidRPr="00610401">
        <w:rPr>
          <w:noProof/>
        </w:rPr>
        <w:t>pensacyjne wybranych przez państwa członkowskie</w:t>
      </w:r>
      <w:r w:rsidR="00610401" w:rsidRPr="00610401">
        <w:rPr>
          <w:noProof/>
        </w:rPr>
        <w:t xml:space="preserve"> w cel</w:t>
      </w:r>
      <w:r w:rsidRPr="00610401">
        <w:rPr>
          <w:noProof/>
        </w:rPr>
        <w:t>u wdrożenia rozporządzenia pozwolą dokładniej określić, które,</w:t>
      </w:r>
      <w:r w:rsidR="00610401" w:rsidRPr="00610401">
        <w:rPr>
          <w:noProof/>
        </w:rPr>
        <w:t xml:space="preserve"> w jak</w:t>
      </w:r>
      <w:r w:rsidRPr="00610401">
        <w:rPr>
          <w:noProof/>
        </w:rPr>
        <w:t>i sposób</w:t>
      </w:r>
      <w:r w:rsidR="00610401" w:rsidRPr="00610401">
        <w:rPr>
          <w:noProof/>
        </w:rPr>
        <w:t xml:space="preserve"> i kie</w:t>
      </w:r>
      <w:r w:rsidRPr="00610401">
        <w:rPr>
          <w:noProof/>
        </w:rPr>
        <w:t>dy zainteresowane strony zostaną dotknięte skutkami jego stosowania. Ewentualne krótkoterminowe koszty związane</w:t>
      </w:r>
      <w:r w:rsidR="00610401" w:rsidRPr="00610401">
        <w:rPr>
          <w:noProof/>
        </w:rPr>
        <w:t xml:space="preserve"> z utr</w:t>
      </w:r>
      <w:r w:rsidRPr="00610401">
        <w:rPr>
          <w:noProof/>
        </w:rPr>
        <w:t>atą dochodów, jakie mogą ponieść niektóre grupy społeczne, takie jak rolnicy, właściciele lasów lub rybacy,</w:t>
      </w:r>
      <w:r w:rsidR="00610401" w:rsidRPr="00610401">
        <w:rPr>
          <w:noProof/>
        </w:rPr>
        <w:t xml:space="preserve"> w okr</w:t>
      </w:r>
      <w:r w:rsidRPr="00610401">
        <w:rPr>
          <w:noProof/>
        </w:rPr>
        <w:t>esie przechodzenia na bardziej zrównoważone praktyki, można częściowo lub całkowicie pokryć</w:t>
      </w:r>
      <w:r w:rsidR="00610401" w:rsidRPr="00610401">
        <w:rPr>
          <w:noProof/>
        </w:rPr>
        <w:t xml:space="preserve"> z fun</w:t>
      </w:r>
      <w:r w:rsidRPr="00610401">
        <w:rPr>
          <w:noProof/>
        </w:rPr>
        <w:t>duszy UE</w:t>
      </w:r>
      <w:r w:rsidR="00610401" w:rsidRPr="00610401">
        <w:rPr>
          <w:noProof/>
        </w:rPr>
        <w:t xml:space="preserve"> i inn</w:t>
      </w:r>
      <w:r w:rsidRPr="00610401">
        <w:rPr>
          <w:noProof/>
        </w:rPr>
        <w:t>ych źródeł.</w:t>
      </w:r>
    </w:p>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Proponowane rozporządzenie ma również wpływ na władze na szczeblu krajowym, regionalnym</w:t>
      </w:r>
      <w:r w:rsidR="00610401" w:rsidRPr="00610401">
        <w:rPr>
          <w:noProof/>
        </w:rPr>
        <w:t xml:space="preserve"> i lok</w:t>
      </w:r>
      <w:r w:rsidRPr="00610401">
        <w:rPr>
          <w:noProof/>
        </w:rPr>
        <w:t>alnym, ponieważ będą one odgrywać rolę</w:t>
      </w:r>
      <w:r w:rsidR="00610401" w:rsidRPr="00610401">
        <w:rPr>
          <w:noProof/>
        </w:rPr>
        <w:t xml:space="preserve"> w spo</w:t>
      </w:r>
      <w:r w:rsidRPr="00610401">
        <w:rPr>
          <w:noProof/>
        </w:rPr>
        <w:t>rządzaniu map</w:t>
      </w:r>
      <w:r w:rsidR="00610401" w:rsidRPr="00610401">
        <w:rPr>
          <w:noProof/>
        </w:rPr>
        <w:t xml:space="preserve"> i oce</w:t>
      </w:r>
      <w:r w:rsidRPr="00610401">
        <w:rPr>
          <w:noProof/>
        </w:rPr>
        <w:t>nie ekosystemów oraz usług ekosystemowych,</w:t>
      </w:r>
      <w:r w:rsidR="00610401" w:rsidRPr="00610401">
        <w:rPr>
          <w:noProof/>
        </w:rPr>
        <w:t xml:space="preserve"> a tak</w:t>
      </w:r>
      <w:r w:rsidRPr="00610401">
        <w:rPr>
          <w:noProof/>
        </w:rPr>
        <w:t>że</w:t>
      </w:r>
      <w:r w:rsidR="00610401" w:rsidRPr="00610401">
        <w:rPr>
          <w:noProof/>
        </w:rPr>
        <w:t xml:space="preserve"> w pla</w:t>
      </w:r>
      <w:r w:rsidRPr="00610401">
        <w:rPr>
          <w:noProof/>
        </w:rPr>
        <w:t>nowaniu, finansowaniu, wdrażaniu</w:t>
      </w:r>
      <w:r w:rsidR="00610401" w:rsidRPr="00610401">
        <w:rPr>
          <w:noProof/>
        </w:rPr>
        <w:t xml:space="preserve"> i mon</w:t>
      </w:r>
      <w:r w:rsidRPr="00610401">
        <w:rPr>
          <w:noProof/>
        </w:rPr>
        <w:t>itorowaniu programów odbudowy.</w:t>
      </w:r>
      <w:r w:rsidR="00B3020D" w:rsidRPr="00610401">
        <w:rPr>
          <w:noProof/>
        </w:rPr>
        <w:t xml:space="preserve"> </w:t>
      </w:r>
      <w:r w:rsidRPr="00610401">
        <w:rPr>
          <w:noProof/>
        </w:rPr>
        <w:t>Obciążenia administracyjne mają być zminimalizowane dzięki wykorzystaniu mechanizmów monitorowania</w:t>
      </w:r>
      <w:r w:rsidR="00610401" w:rsidRPr="00610401">
        <w:rPr>
          <w:noProof/>
        </w:rPr>
        <w:t xml:space="preserve"> i spr</w:t>
      </w:r>
      <w:r w:rsidRPr="00610401">
        <w:rPr>
          <w:noProof/>
        </w:rPr>
        <w:t>awozdawczości przewidzianych</w:t>
      </w:r>
      <w:r w:rsidR="00610401" w:rsidRPr="00610401">
        <w:rPr>
          <w:noProof/>
        </w:rPr>
        <w:t xml:space="preserve"> w obo</w:t>
      </w:r>
      <w:r w:rsidRPr="00610401">
        <w:rPr>
          <w:noProof/>
        </w:rPr>
        <w:t>wiązującym prawodawstwie</w:t>
      </w:r>
      <w:r w:rsidR="00610401" w:rsidRPr="00610401">
        <w:rPr>
          <w:noProof/>
        </w:rPr>
        <w:t xml:space="preserve"> w odn</w:t>
      </w:r>
      <w:r w:rsidRPr="00610401">
        <w:rPr>
          <w:noProof/>
        </w:rPr>
        <w:t>iesieniu do celów określonych na etapie 1 (w szczególności</w:t>
      </w:r>
      <w:r w:rsidR="00610401" w:rsidRPr="00610401">
        <w:rPr>
          <w:noProof/>
        </w:rPr>
        <w:t xml:space="preserve"> w dyr</w:t>
      </w:r>
      <w:r w:rsidRPr="00610401">
        <w:rPr>
          <w:noProof/>
        </w:rPr>
        <w:t>ektywie ptasiej</w:t>
      </w:r>
      <w:r w:rsidR="00610401" w:rsidRPr="00610401">
        <w:rPr>
          <w:noProof/>
        </w:rPr>
        <w:t xml:space="preserve"> i sie</w:t>
      </w:r>
      <w:r w:rsidRPr="00610401">
        <w:rPr>
          <w:noProof/>
        </w:rPr>
        <w:t>dliskowej, ramowej dyrektywie wodnej, dyrektywie ramowej</w:t>
      </w:r>
      <w:r w:rsidR="00610401" w:rsidRPr="00610401">
        <w:rPr>
          <w:noProof/>
        </w:rPr>
        <w:t xml:space="preserve"> w spr</w:t>
      </w:r>
      <w:r w:rsidRPr="00610401">
        <w:rPr>
          <w:noProof/>
        </w:rPr>
        <w:t>awie strategii morskiej oraz rozporządzeniu LULUCF), jak również</w:t>
      </w:r>
      <w:r w:rsidR="00610401" w:rsidRPr="00610401">
        <w:rPr>
          <w:noProof/>
        </w:rPr>
        <w:t xml:space="preserve"> w odn</w:t>
      </w:r>
      <w:r w:rsidRPr="00610401">
        <w:rPr>
          <w:noProof/>
        </w:rPr>
        <w:t>iesieniu do danych już zebranych bezpośrednio przez Europejską Agencję Środowiska</w:t>
      </w:r>
      <w:r w:rsidR="00610401" w:rsidRPr="00610401">
        <w:rPr>
          <w:noProof/>
        </w:rPr>
        <w:t xml:space="preserve"> i Wsp</w:t>
      </w:r>
      <w:r w:rsidRPr="00610401">
        <w:rPr>
          <w:noProof/>
        </w:rPr>
        <w:t>ólne Centrum Badawcze, np. poprzez program Copernicus. Na etapie 2 zostaną wyznaczone dodatkowe cele</w:t>
      </w:r>
      <w:r w:rsidR="00610401" w:rsidRPr="00610401">
        <w:rPr>
          <w:noProof/>
        </w:rPr>
        <w:t xml:space="preserve"> i poz</w:t>
      </w:r>
      <w:r w:rsidRPr="00610401">
        <w:rPr>
          <w:noProof/>
        </w:rPr>
        <w:t>iomy bazowe</w:t>
      </w:r>
      <w:r w:rsidR="00610401" w:rsidRPr="00610401">
        <w:rPr>
          <w:noProof/>
        </w:rPr>
        <w:t xml:space="preserve"> w zak</w:t>
      </w:r>
      <w:r w:rsidRPr="00610401">
        <w:rPr>
          <w:noProof/>
        </w:rPr>
        <w:t>resie ekosystemów, dla których nie opracowano jeszcze</w:t>
      </w:r>
      <w:r w:rsidR="00610401" w:rsidRPr="00610401">
        <w:rPr>
          <w:noProof/>
        </w:rPr>
        <w:t xml:space="preserve"> w peł</w:t>
      </w:r>
      <w:r w:rsidRPr="00610401">
        <w:rPr>
          <w:noProof/>
        </w:rPr>
        <w:t>ni danych</w:t>
      </w:r>
      <w:r w:rsidR="00610401" w:rsidRPr="00610401">
        <w:rPr>
          <w:noProof/>
        </w:rPr>
        <w:t xml:space="preserve"> i mec</w:t>
      </w:r>
      <w:r w:rsidRPr="00610401">
        <w:rPr>
          <w:noProof/>
        </w:rPr>
        <w:t>hanizmów monitorowania. Uzupełnieniem istniejących mechanizmów będzie zatem opracowanie metody oceny stanu wszystkich ekosystemów.</w:t>
      </w:r>
    </w:p>
    <w:p w:rsidR="00BE0A2F" w:rsidRPr="00610401" w:rsidRDefault="00BE0A2F" w:rsidP="00B0251E">
      <w:pPr>
        <w:pStyle w:val="Text1"/>
        <w:ind w:left="0"/>
        <w:rPr>
          <w:noProof/>
        </w:rPr>
      </w:pPr>
    </w:p>
    <w:p w:rsidR="00BE0A2F" w:rsidRPr="00610401" w:rsidRDefault="009F5C98" w:rsidP="009F5C98">
      <w:pPr>
        <w:pStyle w:val="ManualHeading3"/>
        <w:rPr>
          <w:noProof/>
          <w:szCs w:val="24"/>
        </w:rPr>
      </w:pPr>
      <w:bookmarkStart w:id="15" w:name="_Toc514938023"/>
      <w:bookmarkStart w:id="16" w:name="_Toc520485033"/>
      <w:r w:rsidRPr="009F5C98">
        <w:t>1.4.3.</w:t>
      </w:r>
      <w:r w:rsidRPr="009F5C98">
        <w:tab/>
      </w:r>
      <w:r w:rsidR="00BE0A2F" w:rsidRPr="00610401">
        <w:rPr>
          <w:noProof/>
        </w:rPr>
        <w:t>Wskaźniki dotyczące realizacji celów</w:t>
      </w:r>
      <w:bookmarkEnd w:id="15"/>
      <w:bookmarkEnd w:id="16"/>
    </w:p>
    <w:p w:rsidR="00B31369" w:rsidRPr="00610401" w:rsidRDefault="00BE0A2F" w:rsidP="00B0251E">
      <w:pPr>
        <w:ind w:left="850"/>
        <w:jc w:val="left"/>
        <w:rPr>
          <w:noProof/>
        </w:rPr>
      </w:pPr>
      <w:r w:rsidRPr="00610401">
        <w:rPr>
          <w:i/>
          <w:noProof/>
          <w:color w:val="000000" w:themeColor="text1"/>
          <w:sz w:val="20"/>
        </w:rPr>
        <w:t>Należy określić wskaźniki stosowane do monitorowania postępów</w:t>
      </w:r>
      <w:r w:rsidR="00610401" w:rsidRPr="00610401">
        <w:rPr>
          <w:i/>
          <w:noProof/>
          <w:color w:val="000000" w:themeColor="text1"/>
          <w:sz w:val="20"/>
        </w:rPr>
        <w:t xml:space="preserve"> i osi</w:t>
      </w:r>
      <w:r w:rsidRPr="00610401">
        <w:rPr>
          <w:i/>
          <w:noProof/>
          <w:color w:val="000000" w:themeColor="text1"/>
          <w:sz w:val="20"/>
        </w:rPr>
        <w:t>ągnięć.</w:t>
      </w:r>
    </w:p>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610401">
        <w:rPr>
          <w:noProof/>
          <w:color w:val="000000" w:themeColor="text1"/>
        </w:rPr>
        <w:t>Wdrożenie proponowanego rozporządzenia powinno zapewnić wejście ekosystemów</w:t>
      </w:r>
      <w:r w:rsidR="00610401" w:rsidRPr="00610401">
        <w:rPr>
          <w:noProof/>
          <w:color w:val="000000" w:themeColor="text1"/>
        </w:rPr>
        <w:t xml:space="preserve"> w cał</w:t>
      </w:r>
      <w:r w:rsidRPr="00610401">
        <w:rPr>
          <w:noProof/>
          <w:color w:val="000000" w:themeColor="text1"/>
        </w:rPr>
        <w:t>ej UE na ścieżkę regeneracji do</w:t>
      </w:r>
      <w:r w:rsidR="00610401" w:rsidRPr="00610401">
        <w:rPr>
          <w:noProof/>
          <w:color w:val="000000" w:themeColor="text1"/>
        </w:rPr>
        <w:t> </w:t>
      </w:r>
      <w:r w:rsidRPr="00610401">
        <w:rPr>
          <w:noProof/>
          <w:color w:val="000000" w:themeColor="text1"/>
        </w:rPr>
        <w:t>2030</w:t>
      </w:r>
      <w:r w:rsidR="00610401" w:rsidRPr="00610401">
        <w:rPr>
          <w:noProof/>
          <w:color w:val="000000" w:themeColor="text1"/>
        </w:rPr>
        <w:t> </w:t>
      </w:r>
      <w:r w:rsidRPr="00610401">
        <w:rPr>
          <w:noProof/>
          <w:color w:val="000000" w:themeColor="text1"/>
        </w:rPr>
        <w:t>r.</w:t>
      </w:r>
      <w:r w:rsidR="00610401" w:rsidRPr="00610401">
        <w:rPr>
          <w:noProof/>
          <w:color w:val="000000" w:themeColor="text1"/>
        </w:rPr>
        <w:t xml:space="preserve"> i prz</w:t>
      </w:r>
      <w:r w:rsidRPr="00610401">
        <w:rPr>
          <w:noProof/>
          <w:color w:val="000000" w:themeColor="text1"/>
        </w:rPr>
        <w:t>ywrócenie ich do dobrego stanu do</w:t>
      </w:r>
      <w:r w:rsidR="00610401" w:rsidRPr="00610401">
        <w:rPr>
          <w:noProof/>
          <w:color w:val="000000" w:themeColor="text1"/>
        </w:rPr>
        <w:t> </w:t>
      </w:r>
      <w:r w:rsidRPr="00610401">
        <w:rPr>
          <w:noProof/>
          <w:color w:val="000000" w:themeColor="text1"/>
        </w:rPr>
        <w:t>2050</w:t>
      </w:r>
      <w:r w:rsidR="00610401" w:rsidRPr="00610401">
        <w:rPr>
          <w:noProof/>
          <w:color w:val="000000" w:themeColor="text1"/>
        </w:rPr>
        <w:t> </w:t>
      </w:r>
      <w:r w:rsidRPr="00610401">
        <w:rPr>
          <w:noProof/>
          <w:color w:val="000000" w:themeColor="text1"/>
        </w:rPr>
        <w:t xml:space="preserve">r. </w:t>
      </w:r>
    </w:p>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610401">
        <w:rPr>
          <w:noProof/>
          <w:color w:val="000000" w:themeColor="text1"/>
        </w:rPr>
        <w:t>Przewiduje się dwa główne wskaźniki służące do monitorowania wdrażania:</w:t>
      </w:r>
    </w:p>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610401">
        <w:rPr>
          <w:noProof/>
          <w:color w:val="000000" w:themeColor="text1"/>
        </w:rPr>
        <w:t>– środki odbudowy/działania</w:t>
      </w:r>
      <w:r w:rsidR="00610401" w:rsidRPr="00610401">
        <w:rPr>
          <w:noProof/>
          <w:color w:val="000000" w:themeColor="text1"/>
        </w:rPr>
        <w:t xml:space="preserve"> w zak</w:t>
      </w:r>
      <w:r w:rsidRPr="00610401">
        <w:rPr>
          <w:noProof/>
          <w:color w:val="000000" w:themeColor="text1"/>
        </w:rPr>
        <w:t>resie odbudowy</w:t>
      </w:r>
      <w:r w:rsidR="00610401" w:rsidRPr="00610401">
        <w:rPr>
          <w:noProof/>
          <w:color w:val="000000" w:themeColor="text1"/>
        </w:rPr>
        <w:t xml:space="preserve"> i śro</w:t>
      </w:r>
      <w:r w:rsidRPr="00610401">
        <w:rPr>
          <w:noProof/>
          <w:color w:val="000000" w:themeColor="text1"/>
        </w:rPr>
        <w:t>dki/działania służące przywracaniu ekosystemów, wprowadzone przez państwa członkowskie</w:t>
      </w:r>
      <w:r w:rsidR="00610401" w:rsidRPr="00610401">
        <w:rPr>
          <w:noProof/>
          <w:color w:val="000000" w:themeColor="text1"/>
        </w:rPr>
        <w:t xml:space="preserve"> w cel</w:t>
      </w:r>
      <w:r w:rsidRPr="00610401">
        <w:rPr>
          <w:noProof/>
          <w:color w:val="000000" w:themeColor="text1"/>
        </w:rPr>
        <w:t>u zapewnienia odbudowy ekosystemów;</w:t>
      </w:r>
    </w:p>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610401">
        <w:rPr>
          <w:noProof/>
          <w:color w:val="000000" w:themeColor="text1"/>
        </w:rPr>
        <w:t>– stan ekosystemów</w:t>
      </w:r>
      <w:r w:rsidR="00610401" w:rsidRPr="00610401">
        <w:rPr>
          <w:noProof/>
          <w:color w:val="000000" w:themeColor="text1"/>
        </w:rPr>
        <w:t xml:space="preserve"> i sta</w:t>
      </w:r>
      <w:r w:rsidRPr="00610401">
        <w:rPr>
          <w:noProof/>
          <w:color w:val="000000" w:themeColor="text1"/>
        </w:rPr>
        <w:t>n ochrony ekosystemów na poziomie krajowym lub regionalnym poziomie (biogeograficznym) oraz czy wykazują one pozytywne tendencje</w:t>
      </w:r>
      <w:r w:rsidR="00610401" w:rsidRPr="00610401">
        <w:rPr>
          <w:noProof/>
          <w:color w:val="000000" w:themeColor="text1"/>
        </w:rPr>
        <w:t xml:space="preserve"> w sto</w:t>
      </w:r>
      <w:r w:rsidRPr="00610401">
        <w:rPr>
          <w:noProof/>
          <w:color w:val="000000" w:themeColor="text1"/>
        </w:rPr>
        <w:t>sunku do odpowiedniego poziomu bazowego</w:t>
      </w:r>
      <w:r w:rsidR="00610401" w:rsidRPr="00610401">
        <w:rPr>
          <w:noProof/>
          <w:color w:val="000000" w:themeColor="text1"/>
        </w:rPr>
        <w:t xml:space="preserve"> w zak</w:t>
      </w:r>
      <w:r w:rsidRPr="00610401">
        <w:rPr>
          <w:noProof/>
          <w:color w:val="000000" w:themeColor="text1"/>
        </w:rPr>
        <w:t>resie danego ekosystemu.</w:t>
      </w:r>
    </w:p>
    <w:p w:rsidR="00B31369" w:rsidRPr="00610401"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610401">
        <w:rPr>
          <w:noProof/>
          <w:color w:val="000000" w:themeColor="text1"/>
        </w:rPr>
        <w:t>Definicja dobrego stanu ekosystemu oraz odpowiednie działania</w:t>
      </w:r>
      <w:r w:rsidR="00610401" w:rsidRPr="00610401">
        <w:rPr>
          <w:noProof/>
          <w:color w:val="000000" w:themeColor="text1"/>
        </w:rPr>
        <w:t xml:space="preserve"> w zak</w:t>
      </w:r>
      <w:r w:rsidRPr="00610401">
        <w:rPr>
          <w:noProof/>
          <w:color w:val="000000" w:themeColor="text1"/>
        </w:rPr>
        <w:t>resie odbudowy</w:t>
      </w:r>
      <w:r w:rsidR="00610401" w:rsidRPr="00610401">
        <w:rPr>
          <w:noProof/>
          <w:color w:val="000000" w:themeColor="text1"/>
        </w:rPr>
        <w:t xml:space="preserve"> i odt</w:t>
      </w:r>
      <w:r w:rsidRPr="00610401">
        <w:rPr>
          <w:noProof/>
          <w:color w:val="000000" w:themeColor="text1"/>
        </w:rPr>
        <w:t>worzenia różnią się</w:t>
      </w:r>
      <w:r w:rsidR="00610401" w:rsidRPr="00610401">
        <w:rPr>
          <w:noProof/>
          <w:color w:val="000000" w:themeColor="text1"/>
        </w:rPr>
        <w:t xml:space="preserve"> w zal</w:t>
      </w:r>
      <w:r w:rsidRPr="00610401">
        <w:rPr>
          <w:noProof/>
          <w:color w:val="000000" w:themeColor="text1"/>
        </w:rPr>
        <w:t>eżności od ekosystemu</w:t>
      </w:r>
      <w:r w:rsidR="00610401" w:rsidRPr="00610401">
        <w:rPr>
          <w:noProof/>
          <w:color w:val="000000" w:themeColor="text1"/>
        </w:rPr>
        <w:t>. W odn</w:t>
      </w:r>
      <w:r w:rsidRPr="00610401">
        <w:rPr>
          <w:noProof/>
          <w:color w:val="000000" w:themeColor="text1"/>
        </w:rPr>
        <w:t>iesieniu do siedlisk wymienionych</w:t>
      </w:r>
      <w:r w:rsidR="00610401" w:rsidRPr="00610401">
        <w:rPr>
          <w:noProof/>
          <w:color w:val="000000" w:themeColor="text1"/>
        </w:rPr>
        <w:t xml:space="preserve"> w zał</w:t>
      </w:r>
      <w:r w:rsidRPr="00610401">
        <w:rPr>
          <w:noProof/>
          <w:color w:val="000000" w:themeColor="text1"/>
        </w:rPr>
        <w:t>ączniku I do dyrektywy siedliskowej dostępne są definicje, poziomy bazowe, cele</w:t>
      </w:r>
      <w:r w:rsidR="00610401" w:rsidRPr="00610401">
        <w:rPr>
          <w:noProof/>
          <w:color w:val="000000" w:themeColor="text1"/>
        </w:rPr>
        <w:t xml:space="preserve"> i mon</w:t>
      </w:r>
      <w:r w:rsidRPr="00610401">
        <w:rPr>
          <w:noProof/>
          <w:color w:val="000000" w:themeColor="text1"/>
        </w:rPr>
        <w:t>itorowanie</w:t>
      </w:r>
      <w:r w:rsidR="00610401" w:rsidRPr="00610401">
        <w:rPr>
          <w:noProof/>
          <w:color w:val="000000" w:themeColor="text1"/>
        </w:rPr>
        <w:t>. W prz</w:t>
      </w:r>
      <w:r w:rsidRPr="00610401">
        <w:rPr>
          <w:noProof/>
          <w:color w:val="000000" w:themeColor="text1"/>
        </w:rPr>
        <w:t>ypadku pozostałych ekosystemów, dla których nie opracowano jeszcze</w:t>
      </w:r>
      <w:r w:rsidR="00610401" w:rsidRPr="00610401">
        <w:rPr>
          <w:noProof/>
          <w:color w:val="000000" w:themeColor="text1"/>
        </w:rPr>
        <w:t xml:space="preserve"> w peł</w:t>
      </w:r>
      <w:r w:rsidRPr="00610401">
        <w:rPr>
          <w:noProof/>
          <w:color w:val="000000" w:themeColor="text1"/>
        </w:rPr>
        <w:t>ni danych</w:t>
      </w:r>
      <w:r w:rsidR="00610401" w:rsidRPr="00610401">
        <w:rPr>
          <w:noProof/>
          <w:color w:val="000000" w:themeColor="text1"/>
        </w:rPr>
        <w:t xml:space="preserve"> i mec</w:t>
      </w:r>
      <w:r w:rsidRPr="00610401">
        <w:rPr>
          <w:noProof/>
          <w:color w:val="000000" w:themeColor="text1"/>
        </w:rPr>
        <w:t>hanizmów monitorowania,</w:t>
      </w:r>
      <w:r w:rsidR="00610401" w:rsidRPr="00610401">
        <w:rPr>
          <w:noProof/>
          <w:color w:val="000000" w:themeColor="text1"/>
        </w:rPr>
        <w:t xml:space="preserve"> w nin</w:t>
      </w:r>
      <w:r w:rsidRPr="00610401">
        <w:rPr>
          <w:noProof/>
          <w:color w:val="000000" w:themeColor="text1"/>
        </w:rPr>
        <w:t>iejszym wniosku ustanowiono proces opracowywania ogólnounijnej metodyki oceny stanu tych ekosystemów,</w:t>
      </w:r>
      <w:r w:rsidR="00610401" w:rsidRPr="00610401">
        <w:rPr>
          <w:noProof/>
          <w:color w:val="000000" w:themeColor="text1"/>
        </w:rPr>
        <w:t xml:space="preserve"> w ram</w:t>
      </w:r>
      <w:r w:rsidRPr="00610401">
        <w:rPr>
          <w:noProof/>
          <w:color w:val="000000" w:themeColor="text1"/>
        </w:rPr>
        <w:t>ach którego możliwe będzie późniejsze ustalenie dodatkowych szczegółowych celów</w:t>
      </w:r>
      <w:r w:rsidR="00610401" w:rsidRPr="00610401">
        <w:rPr>
          <w:noProof/>
          <w:color w:val="000000" w:themeColor="text1"/>
        </w:rPr>
        <w:t xml:space="preserve"> i poz</w:t>
      </w:r>
      <w:r w:rsidRPr="00610401">
        <w:rPr>
          <w:noProof/>
          <w:color w:val="000000" w:themeColor="text1"/>
        </w:rPr>
        <w:t>iomów bazowych</w:t>
      </w:r>
      <w:r w:rsidR="00610401" w:rsidRPr="00610401">
        <w:rPr>
          <w:noProof/>
          <w:color w:val="000000" w:themeColor="text1"/>
        </w:rPr>
        <w:t>. W prz</w:t>
      </w:r>
      <w:r w:rsidRPr="00610401">
        <w:rPr>
          <w:noProof/>
          <w:color w:val="000000" w:themeColor="text1"/>
        </w:rPr>
        <w:t>ypadku kilku</w:t>
      </w:r>
      <w:r w:rsidR="00610401" w:rsidRPr="00610401">
        <w:rPr>
          <w:noProof/>
          <w:color w:val="000000" w:themeColor="text1"/>
        </w:rPr>
        <w:t xml:space="preserve"> z tyc</w:t>
      </w:r>
      <w:r w:rsidRPr="00610401">
        <w:rPr>
          <w:noProof/>
          <w:color w:val="000000" w:themeColor="text1"/>
        </w:rPr>
        <w:t>h ekosystemów, takich jak tereny miejskie, rolnicze</w:t>
      </w:r>
      <w:r w:rsidR="00610401" w:rsidRPr="00610401">
        <w:rPr>
          <w:noProof/>
          <w:color w:val="000000" w:themeColor="text1"/>
        </w:rPr>
        <w:t xml:space="preserve"> i leś</w:t>
      </w:r>
      <w:r w:rsidRPr="00610401">
        <w:rPr>
          <w:noProof/>
          <w:color w:val="000000" w:themeColor="text1"/>
        </w:rPr>
        <w:t>ne, informacje na temat kilku wskaźników związanych ze stanem ekosystemów są już jednak dostępne</w:t>
      </w:r>
      <w:r w:rsidR="00610401" w:rsidRPr="00610401">
        <w:rPr>
          <w:noProof/>
          <w:color w:val="000000" w:themeColor="text1"/>
        </w:rPr>
        <w:t xml:space="preserve"> w ram</w:t>
      </w:r>
      <w:r w:rsidRPr="00610401">
        <w:rPr>
          <w:noProof/>
          <w:color w:val="000000" w:themeColor="text1"/>
        </w:rPr>
        <w:t>ach ogólnoeuropejskich programów monitorowania (np.</w:t>
      </w:r>
      <w:r w:rsidR="00610401" w:rsidRPr="00610401">
        <w:rPr>
          <w:noProof/>
          <w:color w:val="000000" w:themeColor="text1"/>
        </w:rPr>
        <w:t xml:space="preserve"> w ram</w:t>
      </w:r>
      <w:r w:rsidRPr="00610401">
        <w:rPr>
          <w:noProof/>
          <w:color w:val="000000" w:themeColor="text1"/>
        </w:rPr>
        <w:t>ach Forest Europe) lub są już bezpośrednio gromadzone przez Europejską Agencję Środowiska lub Komisję Europejską, np.</w:t>
      </w:r>
      <w:r w:rsidR="00610401" w:rsidRPr="00610401">
        <w:rPr>
          <w:noProof/>
          <w:color w:val="000000" w:themeColor="text1"/>
        </w:rPr>
        <w:t xml:space="preserve"> w ram</w:t>
      </w:r>
      <w:r w:rsidRPr="00610401">
        <w:rPr>
          <w:noProof/>
          <w:color w:val="000000" w:themeColor="text1"/>
        </w:rPr>
        <w:t>ach programu Copernicus.</w:t>
      </w:r>
      <w:r w:rsidR="00610401" w:rsidRPr="00610401">
        <w:rPr>
          <w:noProof/>
          <w:color w:val="000000" w:themeColor="text1"/>
        </w:rPr>
        <w:t xml:space="preserve"> </w:t>
      </w:r>
      <w:r w:rsidRPr="00610401">
        <w:rPr>
          <w:noProof/>
          <w:color w:val="000000" w:themeColor="text1"/>
        </w:rPr>
        <w:t>Wskaźniki powinny być adekwatne, akceptowane, wiarygodne, proste</w:t>
      </w:r>
      <w:r w:rsidR="00610401" w:rsidRPr="00610401">
        <w:rPr>
          <w:noProof/>
          <w:color w:val="000000" w:themeColor="text1"/>
        </w:rPr>
        <w:t xml:space="preserve"> i rze</w:t>
      </w:r>
      <w:r w:rsidRPr="00610401">
        <w:rPr>
          <w:noProof/>
          <w:color w:val="000000" w:themeColor="text1"/>
        </w:rPr>
        <w:t>telne.</w:t>
      </w:r>
    </w:p>
    <w:p w:rsidR="00BE0A2F" w:rsidRPr="00610401" w:rsidRDefault="00BE0A2F" w:rsidP="00DD69EC">
      <w:pPr>
        <w:pStyle w:val="Text1"/>
        <w:rPr>
          <w:noProof/>
        </w:rPr>
      </w:pPr>
    </w:p>
    <w:p w:rsidR="00BE0A2F" w:rsidRPr="00610401" w:rsidRDefault="009F5C98" w:rsidP="009F5C98">
      <w:pPr>
        <w:pStyle w:val="ManualHeading2"/>
        <w:rPr>
          <w:noProof/>
          <w:szCs w:val="24"/>
        </w:rPr>
      </w:pPr>
      <w:bookmarkStart w:id="17" w:name="_Toc514938025"/>
      <w:bookmarkStart w:id="18" w:name="_Toc520485034"/>
      <w:r w:rsidRPr="009F5C98">
        <w:t>1.5.</w:t>
      </w:r>
      <w:r w:rsidRPr="009F5C98">
        <w:tab/>
      </w:r>
      <w:r w:rsidR="00BE0A2F" w:rsidRPr="00610401">
        <w:rPr>
          <w:noProof/>
        </w:rPr>
        <w:t>Uzasadnienie wniosku/inicjatywy</w:t>
      </w:r>
      <w:bookmarkEnd w:id="17"/>
      <w:bookmarkEnd w:id="18"/>
      <w:r w:rsidR="00BE0A2F" w:rsidRPr="00610401">
        <w:rPr>
          <w:noProof/>
        </w:rPr>
        <w:t xml:space="preserve"> </w:t>
      </w:r>
    </w:p>
    <w:p w:rsidR="00BE0A2F" w:rsidRPr="00610401" w:rsidRDefault="009F5C98" w:rsidP="009F5C98">
      <w:pPr>
        <w:pStyle w:val="ManualHeading3"/>
        <w:rPr>
          <w:noProof/>
        </w:rPr>
      </w:pPr>
      <w:bookmarkStart w:id="19" w:name="_Toc514938026"/>
      <w:bookmarkStart w:id="20" w:name="_Toc520485035"/>
      <w:r w:rsidRPr="009F5C98">
        <w:t>1.5.1.</w:t>
      </w:r>
      <w:r w:rsidRPr="009F5C98">
        <w:tab/>
      </w:r>
      <w:r w:rsidR="00BE0A2F" w:rsidRPr="00610401">
        <w:rPr>
          <w:noProof/>
        </w:rPr>
        <w:t>Potrzeby, które należy zaspokoić</w:t>
      </w:r>
      <w:r w:rsidR="00610401" w:rsidRPr="00610401">
        <w:rPr>
          <w:noProof/>
        </w:rPr>
        <w:t xml:space="preserve"> w per</w:t>
      </w:r>
      <w:r w:rsidR="00BE0A2F" w:rsidRPr="00610401">
        <w:rPr>
          <w:noProof/>
        </w:rPr>
        <w:t>spektywie krótko- lub długoterminowej,</w:t>
      </w:r>
      <w:r w:rsidR="00610401" w:rsidRPr="00610401">
        <w:rPr>
          <w:noProof/>
        </w:rPr>
        <w:t xml:space="preserve"> w tym</w:t>
      </w:r>
      <w:r w:rsidR="00BE0A2F" w:rsidRPr="00610401">
        <w:rPr>
          <w:noProof/>
        </w:rPr>
        <w:t xml:space="preserve"> szczegółowy terminarz przebiegu realizacji inicjatywy</w:t>
      </w:r>
      <w:bookmarkEnd w:id="19"/>
      <w:bookmarkEnd w:id="20"/>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W ramach Europejskiego Zielonego Ładu podkreśla się znaczenie lepszej ochrony</w:t>
      </w:r>
      <w:r w:rsidR="00610401" w:rsidRPr="00610401">
        <w:rPr>
          <w:noProof/>
        </w:rPr>
        <w:t xml:space="preserve"> i odb</w:t>
      </w:r>
      <w:r w:rsidRPr="00610401">
        <w:rPr>
          <w:noProof/>
        </w:rPr>
        <w:t>udowy zasobów przyrodniczych</w:t>
      </w:r>
      <w:r w:rsidR="00610401" w:rsidRPr="00610401">
        <w:rPr>
          <w:noProof/>
        </w:rPr>
        <w:t>. W uni</w:t>
      </w:r>
      <w:r w:rsidRPr="00610401">
        <w:rPr>
          <w:noProof/>
        </w:rPr>
        <w:t>jnej strategii na rzecz bioróżnorodności 2030 określono ogólny cel, jakim jest odwrócenie tendencji utraty różnorodności biologicznej, tak aby do</w:t>
      </w:r>
      <w:r w:rsidR="00610401" w:rsidRPr="00610401">
        <w:rPr>
          <w:noProof/>
        </w:rPr>
        <w:t> </w:t>
      </w:r>
      <w:r w:rsidRPr="00610401">
        <w:rPr>
          <w:noProof/>
        </w:rPr>
        <w:t>2030</w:t>
      </w:r>
      <w:r w:rsidR="00610401" w:rsidRPr="00610401">
        <w:rPr>
          <w:noProof/>
        </w:rPr>
        <w:t> </w:t>
      </w:r>
      <w:r w:rsidRPr="00610401">
        <w:rPr>
          <w:noProof/>
        </w:rPr>
        <w:t>r. różnorodność biologiczna</w:t>
      </w:r>
      <w:r w:rsidR="00610401" w:rsidRPr="00610401">
        <w:rPr>
          <w:noProof/>
        </w:rPr>
        <w:t xml:space="preserve"> w Eur</w:t>
      </w:r>
      <w:r w:rsidRPr="00610401">
        <w:rPr>
          <w:noProof/>
        </w:rPr>
        <w:t>opie weszła na ścieżkę regeneracji, a do</w:t>
      </w:r>
      <w:r w:rsidR="00610401" w:rsidRPr="00610401">
        <w:rPr>
          <w:noProof/>
        </w:rPr>
        <w:t> </w:t>
      </w:r>
      <w:r w:rsidRPr="00610401">
        <w:rPr>
          <w:noProof/>
        </w:rPr>
        <w:t>2050</w:t>
      </w:r>
      <w:r w:rsidR="00610401" w:rsidRPr="00610401">
        <w:rPr>
          <w:noProof/>
        </w:rPr>
        <w:t> </w:t>
      </w:r>
      <w:r w:rsidRPr="00610401">
        <w:rPr>
          <w:noProof/>
        </w:rPr>
        <w:t>r. wszystkie ekosystemy w UE zostały odbudowane, były odporne</w:t>
      </w:r>
      <w:r w:rsidR="00610401" w:rsidRPr="00610401">
        <w:rPr>
          <w:noProof/>
        </w:rPr>
        <w:t xml:space="preserve"> i odp</w:t>
      </w:r>
      <w:r w:rsidRPr="00610401">
        <w:rPr>
          <w:noProof/>
        </w:rPr>
        <w:t>owiednio chronione. Zarówno Parlament Europejski, jak</w:t>
      </w:r>
      <w:r w:rsidR="00610401" w:rsidRPr="00610401">
        <w:rPr>
          <w:noProof/>
        </w:rPr>
        <w:t xml:space="preserve"> i Rad</w:t>
      </w:r>
      <w:r w:rsidRPr="00610401">
        <w:rPr>
          <w:noProof/>
        </w:rPr>
        <w:t xml:space="preserve">a Europejska nalegały na wzmożenie wysiłków na rzecz odbudowy ekosystemów.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Proponowane rozporządzenie będzie bezpośrednio stosowane od dnia jego wejścia</w:t>
      </w:r>
      <w:r w:rsidR="00610401" w:rsidRPr="00610401">
        <w:rPr>
          <w:noProof/>
        </w:rPr>
        <w:t xml:space="preserve"> w życ</w:t>
      </w:r>
      <w:r w:rsidRPr="00610401">
        <w:rPr>
          <w:noProof/>
        </w:rPr>
        <w:t>ie.</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Konieczne będzie jednak jak najszybsze rozdzielenie szeregu zadań administracyjnych, przy czym realizacja części</w:t>
      </w:r>
      <w:r w:rsidR="00610401" w:rsidRPr="00610401">
        <w:rPr>
          <w:noProof/>
        </w:rPr>
        <w:t xml:space="preserve"> z nic</w:t>
      </w:r>
      <w:r w:rsidRPr="00610401">
        <w:rPr>
          <w:noProof/>
        </w:rPr>
        <w:t>h rozpocznie się już</w:t>
      </w:r>
      <w:r w:rsidR="00610401" w:rsidRPr="00610401">
        <w:rPr>
          <w:noProof/>
        </w:rPr>
        <w:t xml:space="preserve"> w 2</w:t>
      </w:r>
      <w:r w:rsidRPr="00610401">
        <w:rPr>
          <w:noProof/>
        </w:rPr>
        <w:t>022</w:t>
      </w:r>
      <w:r w:rsidR="00610401" w:rsidRPr="00610401">
        <w:rPr>
          <w:noProof/>
        </w:rPr>
        <w:t> </w:t>
      </w:r>
      <w:r w:rsidRPr="00610401">
        <w:rPr>
          <w:noProof/>
        </w:rPr>
        <w:t>r., tj.</w:t>
      </w:r>
      <w:r w:rsidR="00610401" w:rsidRPr="00610401">
        <w:rPr>
          <w:noProof/>
        </w:rPr>
        <w:t xml:space="preserve"> w ram</w:t>
      </w:r>
      <w:r w:rsidRPr="00610401">
        <w:rPr>
          <w:noProof/>
        </w:rPr>
        <w:t>ach przygotowań do wejścia</w:t>
      </w:r>
      <w:r w:rsidR="00610401" w:rsidRPr="00610401">
        <w:rPr>
          <w:noProof/>
        </w:rPr>
        <w:t xml:space="preserve"> w życ</w:t>
      </w:r>
      <w:r w:rsidRPr="00610401">
        <w:rPr>
          <w:noProof/>
        </w:rPr>
        <w:t>ie rozporządzenia, przed zatwierdzeniem przez Parlament Europejski</w:t>
      </w:r>
      <w:r w:rsidR="00610401" w:rsidRPr="00610401">
        <w:rPr>
          <w:noProof/>
        </w:rPr>
        <w:t xml:space="preserve"> i Rad</w:t>
      </w:r>
      <w:r w:rsidRPr="00610401">
        <w:rPr>
          <w:noProof/>
        </w:rPr>
        <w:t>ę,</w:t>
      </w:r>
      <w:r w:rsidR="00610401" w:rsidRPr="00610401">
        <w:rPr>
          <w:noProof/>
        </w:rPr>
        <w:t xml:space="preserve"> a czę</w:t>
      </w:r>
      <w:r w:rsidRPr="00610401">
        <w:rPr>
          <w:noProof/>
        </w:rPr>
        <w:t>ść po jego wejściu</w:t>
      </w:r>
      <w:r w:rsidR="00610401" w:rsidRPr="00610401">
        <w:rPr>
          <w:noProof/>
        </w:rPr>
        <w:t xml:space="preserve"> w życ</w:t>
      </w:r>
      <w:r w:rsidRPr="00610401">
        <w:rPr>
          <w:noProof/>
        </w:rPr>
        <w:t>ie.</w:t>
      </w:r>
      <w:r w:rsidR="00610401" w:rsidRPr="00610401">
        <w:rPr>
          <w:noProof/>
        </w:rPr>
        <w:t xml:space="preserve"> </w:t>
      </w:r>
      <w:r w:rsidRPr="00610401">
        <w:rPr>
          <w:noProof/>
        </w:rPr>
        <w:t>Niektóre zadania będą miały charakter jednorazowy (tworzenie infrastruktury informatycznej), inne natomiast będą powtarzać się przez cały okres obowiązywania rozporządzenia</w:t>
      </w:r>
      <w:r w:rsidR="00610401" w:rsidRPr="00610401">
        <w:rPr>
          <w:noProof/>
        </w:rPr>
        <w:t>. W szc</w:t>
      </w:r>
      <w:r w:rsidRPr="00610401">
        <w:rPr>
          <w:noProof/>
        </w:rPr>
        <w:t xml:space="preserve">zególności: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Począwszy od okresu przed wejściem</w:t>
      </w:r>
      <w:r w:rsidR="00610401" w:rsidRPr="00610401">
        <w:rPr>
          <w:noProof/>
        </w:rPr>
        <w:t xml:space="preserve"> w życ</w:t>
      </w:r>
      <w:r w:rsidRPr="00610401">
        <w:rPr>
          <w:noProof/>
        </w:rPr>
        <w:t xml:space="preserve">ie rozporządzenia: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a) lata 2022–2023: Komisja (DG ds. Środowiska i JRC) we współpracy z EEA</w:t>
      </w:r>
      <w:r w:rsidR="00610401" w:rsidRPr="00610401">
        <w:rPr>
          <w:noProof/>
        </w:rPr>
        <w:t xml:space="preserve"> i pań</w:t>
      </w:r>
      <w:r w:rsidRPr="00610401">
        <w:rPr>
          <w:noProof/>
        </w:rPr>
        <w:t>stwami członkowskimi opracuje metodykę oceny stanu ekosystemów, dla których monitoring</w:t>
      </w:r>
      <w:r w:rsidR="00610401" w:rsidRPr="00610401">
        <w:rPr>
          <w:noProof/>
        </w:rPr>
        <w:t xml:space="preserve"> i poz</w:t>
      </w:r>
      <w:r w:rsidRPr="00610401">
        <w:rPr>
          <w:noProof/>
        </w:rPr>
        <w:t>iomy bazowe nie są jeszcze dostępne, tak aby można było ustalić dodatkowe cele</w:t>
      </w:r>
      <w:r w:rsidR="00610401" w:rsidRPr="00610401">
        <w:rPr>
          <w:noProof/>
        </w:rPr>
        <w:t xml:space="preserve"> w zak</w:t>
      </w:r>
      <w:r w:rsidRPr="00610401">
        <w:rPr>
          <w:noProof/>
        </w:rPr>
        <w:t>resie odbudowy poprzez zmianę rozporządzenia. JRC będzie wspierać DG ds. Środowiska, poprzez porozumienie administracyjne,</w:t>
      </w:r>
      <w:r w:rsidR="00610401" w:rsidRPr="00610401">
        <w:rPr>
          <w:noProof/>
        </w:rPr>
        <w:t xml:space="preserve"> w opr</w:t>
      </w:r>
      <w:r w:rsidRPr="00610401">
        <w:rPr>
          <w:noProof/>
        </w:rPr>
        <w:t>acowaniu odpowiedniej metodyki</w:t>
      </w:r>
      <w:r w:rsidR="00610401" w:rsidRPr="00610401">
        <w:rPr>
          <w:noProof/>
        </w:rPr>
        <w:t xml:space="preserve"> i poz</w:t>
      </w:r>
      <w:r w:rsidRPr="00610401">
        <w:rPr>
          <w:noProof/>
        </w:rPr>
        <w:t>iomów bazowych.</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b) lata 2022–2024: Komisja opracuje wytyczne dotyczące środków odbudowy</w:t>
      </w:r>
      <w:r w:rsidR="00610401" w:rsidRPr="00610401">
        <w:rPr>
          <w:noProof/>
        </w:rPr>
        <w:t xml:space="preserve"> i pra</w:t>
      </w:r>
      <w:r w:rsidRPr="00610401">
        <w:rPr>
          <w:noProof/>
        </w:rPr>
        <w:t>ktyk zarządzania odbudową, aby zachęcić państwa członkowskie</w:t>
      </w:r>
      <w:r w:rsidR="00610401" w:rsidRPr="00610401">
        <w:rPr>
          <w:noProof/>
        </w:rPr>
        <w:t xml:space="preserve"> i umo</w:t>
      </w:r>
      <w:r w:rsidRPr="00610401">
        <w:rPr>
          <w:noProof/>
        </w:rPr>
        <w:t>żliwić im wczesne rozpoczęcie działań na rzecz odbudowy,</w:t>
      </w:r>
      <w:r w:rsidR="00610401" w:rsidRPr="00610401">
        <w:rPr>
          <w:noProof/>
        </w:rPr>
        <w:t xml:space="preserve"> w tym w odn</w:t>
      </w:r>
      <w:r w:rsidRPr="00610401">
        <w:rPr>
          <w:noProof/>
        </w:rPr>
        <w:t>iesieniu do ekosystemów, dla których nie wyznaczono jeszcze celów.</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Po wejściu</w:t>
      </w:r>
      <w:r w:rsidR="00610401" w:rsidRPr="00610401">
        <w:rPr>
          <w:noProof/>
        </w:rPr>
        <w:t xml:space="preserve"> w życ</w:t>
      </w:r>
      <w:r w:rsidRPr="00610401">
        <w:rPr>
          <w:noProof/>
        </w:rPr>
        <w:t>ie rozporządzenia:</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c) 2024</w:t>
      </w:r>
      <w:r w:rsidR="00610401" w:rsidRPr="00610401">
        <w:rPr>
          <w:noProof/>
        </w:rPr>
        <w:t> </w:t>
      </w:r>
      <w:r w:rsidRPr="00610401">
        <w:rPr>
          <w:noProof/>
        </w:rPr>
        <w:t>r.: Komisja przyjmie</w:t>
      </w:r>
      <w:r w:rsidR="00610401" w:rsidRPr="00610401">
        <w:rPr>
          <w:noProof/>
        </w:rPr>
        <w:t xml:space="preserve"> w ram</w:t>
      </w:r>
      <w:r w:rsidRPr="00610401">
        <w:rPr>
          <w:noProof/>
        </w:rPr>
        <w:t>ach procedury komitetowej jednolity format krajowych planów odbudowy (w tym np. elektroniczne formaty raportowania</w:t>
      </w:r>
      <w:r w:rsidR="00610401" w:rsidRPr="00610401">
        <w:rPr>
          <w:noProof/>
        </w:rPr>
        <w:t xml:space="preserve"> w prz</w:t>
      </w:r>
      <w:r w:rsidRPr="00610401">
        <w:rPr>
          <w:noProof/>
        </w:rPr>
        <w:t>ypadku wykazu barier rzecznych) oraz format sprawozdawczości.</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d) lata 2024</w:t>
      </w:r>
      <w:r w:rsidR="00610401" w:rsidRPr="00610401">
        <w:rPr>
          <w:noProof/>
        </w:rPr>
        <w:t xml:space="preserve"> i 2</w:t>
      </w:r>
      <w:r w:rsidRPr="00610401">
        <w:rPr>
          <w:noProof/>
        </w:rPr>
        <w:t>025: Komisja przyjmie wytyczne dotyczące interpretacji typów siedlisk wymienionych</w:t>
      </w:r>
      <w:r w:rsidR="00610401" w:rsidRPr="00610401">
        <w:rPr>
          <w:noProof/>
        </w:rPr>
        <w:t xml:space="preserve"> w zał</w:t>
      </w:r>
      <w:r w:rsidRPr="00610401">
        <w:rPr>
          <w:noProof/>
        </w:rPr>
        <w:t>ączniku II oraz nowej metodyki/ nowych metodyk oceny stanu ekosystemów (np. ekosystemów regionów najbardziej oddalonych nieobjętych dyrektywą siedliskową),</w:t>
      </w:r>
      <w:r w:rsidR="00610401" w:rsidRPr="00610401">
        <w:rPr>
          <w:noProof/>
        </w:rPr>
        <w:t xml:space="preserve"> a tak</w:t>
      </w:r>
      <w:r w:rsidRPr="00610401">
        <w:rPr>
          <w:noProof/>
        </w:rPr>
        <w:t>że akty wykonawcze dotyczące metody monitorowania owadów zapylających (metoda ta zapewni znormalizowane podejście do zbierania rocznych danych na temat liczebności</w:t>
      </w:r>
      <w:r w:rsidR="00610401" w:rsidRPr="00610401">
        <w:rPr>
          <w:noProof/>
        </w:rPr>
        <w:t xml:space="preserve"> i róż</w:t>
      </w:r>
      <w:r w:rsidRPr="00610401">
        <w:rPr>
          <w:noProof/>
        </w:rPr>
        <w:t>norodności gatunków owadów zapylających oraz do oceny trendów populacji owadów zapylających) oraz metod monitorowania wskaźników</w:t>
      </w:r>
      <w:r w:rsidR="00610401" w:rsidRPr="00610401">
        <w:rPr>
          <w:noProof/>
        </w:rPr>
        <w:t xml:space="preserve"> w eko</w:t>
      </w:r>
      <w:r w:rsidRPr="00610401">
        <w:rPr>
          <w:noProof/>
        </w:rPr>
        <w:t>systemach rolnych</w:t>
      </w:r>
      <w:r w:rsidR="00610401" w:rsidRPr="00610401">
        <w:rPr>
          <w:noProof/>
        </w:rPr>
        <w:t xml:space="preserve"> i leś</w:t>
      </w:r>
      <w:r w:rsidRPr="00610401">
        <w:rPr>
          <w:noProof/>
        </w:rPr>
        <w:t>nych.</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Natychmiast po wejściu</w:t>
      </w:r>
      <w:r w:rsidR="00610401" w:rsidRPr="00610401">
        <w:rPr>
          <w:noProof/>
        </w:rPr>
        <w:t xml:space="preserve"> w życ</w:t>
      </w:r>
      <w:r w:rsidRPr="00610401">
        <w:rPr>
          <w:noProof/>
        </w:rPr>
        <w:t>ie rozporządzenia państwa członkowskie rozpoczną ocenę ekosystemów, uwzględniając obszary ekosystemu</w:t>
      </w:r>
      <w:r w:rsidR="00610401" w:rsidRPr="00610401">
        <w:rPr>
          <w:noProof/>
        </w:rPr>
        <w:t xml:space="preserve"> w dob</w:t>
      </w:r>
      <w:r w:rsidRPr="00610401">
        <w:rPr>
          <w:noProof/>
        </w:rPr>
        <w:t>rym stanie,</w:t>
      </w:r>
      <w:r w:rsidR="00610401" w:rsidRPr="00610401">
        <w:rPr>
          <w:noProof/>
        </w:rPr>
        <w:t xml:space="preserve"> w sta</w:t>
      </w:r>
      <w:r w:rsidRPr="00610401">
        <w:rPr>
          <w:noProof/>
        </w:rPr>
        <w:t>nie zdegradowanym, utracone</w:t>
      </w:r>
      <w:r w:rsidR="00610401" w:rsidRPr="00610401">
        <w:rPr>
          <w:noProof/>
        </w:rPr>
        <w:t xml:space="preserve"> w cią</w:t>
      </w:r>
      <w:r w:rsidRPr="00610401">
        <w:rPr>
          <w:noProof/>
        </w:rPr>
        <w:t xml:space="preserve">gu ostatnich 70 lat oraz obszary, które byłyby najbardziej odpowiednie do przywrócenia ekosystemu.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e) lata 2026–2027: Komisja otrzyma od państw członkowskich ich krajowe plany odbudowy, które państwa członkowskie powinny przedłożyć</w:t>
      </w:r>
      <w:r w:rsidR="00610401" w:rsidRPr="00610401">
        <w:rPr>
          <w:noProof/>
        </w:rPr>
        <w:t xml:space="preserve"> w cią</w:t>
      </w:r>
      <w:r w:rsidRPr="00610401">
        <w:rPr>
          <w:noProof/>
        </w:rPr>
        <w:t>gu dwóch lat od wejścia</w:t>
      </w:r>
      <w:r w:rsidR="00610401" w:rsidRPr="00610401">
        <w:rPr>
          <w:noProof/>
        </w:rPr>
        <w:t xml:space="preserve"> w życ</w:t>
      </w:r>
      <w:r w:rsidRPr="00610401">
        <w:rPr>
          <w:noProof/>
        </w:rPr>
        <w:t>ie rozporządzenia. Krajowe plany odbudowy będą obejmować np. wyniki oceny ekosystemów, określone ilościowo</w:t>
      </w:r>
      <w:r w:rsidR="00610401" w:rsidRPr="00610401">
        <w:rPr>
          <w:noProof/>
        </w:rPr>
        <w:t xml:space="preserve"> i prz</w:t>
      </w:r>
      <w:r w:rsidRPr="00610401">
        <w:rPr>
          <w:noProof/>
        </w:rPr>
        <w:t>estrzennie potrzeby</w:t>
      </w:r>
      <w:r w:rsidR="00610401" w:rsidRPr="00610401">
        <w:rPr>
          <w:noProof/>
        </w:rPr>
        <w:t xml:space="preserve"> i śro</w:t>
      </w:r>
      <w:r w:rsidRPr="00610401">
        <w:rPr>
          <w:noProof/>
        </w:rPr>
        <w:t>dki</w:t>
      </w:r>
      <w:r w:rsidR="00610401" w:rsidRPr="00610401">
        <w:rPr>
          <w:noProof/>
        </w:rPr>
        <w:t xml:space="preserve"> w zak</w:t>
      </w:r>
      <w:r w:rsidRPr="00610401">
        <w:rPr>
          <w:noProof/>
        </w:rPr>
        <w:t>resie odbudowy oparte na mapach</w:t>
      </w:r>
      <w:r w:rsidR="00610401" w:rsidRPr="00610401">
        <w:rPr>
          <w:noProof/>
        </w:rPr>
        <w:t xml:space="preserve"> i wyk</w:t>
      </w:r>
      <w:r w:rsidRPr="00610401">
        <w:rPr>
          <w:noProof/>
        </w:rPr>
        <w:t>azach, aspekty transgraniczne, harmonogram wdrażania środków odbudowy, koszty wdrażania</w:t>
      </w:r>
      <w:r w:rsidR="00610401" w:rsidRPr="00610401">
        <w:rPr>
          <w:noProof/>
        </w:rPr>
        <w:t xml:space="preserve"> i mon</w:t>
      </w:r>
      <w:r w:rsidRPr="00610401">
        <w:rPr>
          <w:noProof/>
        </w:rPr>
        <w:t xml:space="preserve">itorowania planowanego po zakończeniu odbudowy oraz mechanizm przeglądu.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f) lata 2026–2027 (pierwsza runda, możliwe kolejne aktualizacje przez państwa członkowskie): DG ds. Środowiska, przy wsparciu ekspertów zewnętrznych (umowa) i EEA, przeprowadzi ocenę krajowych planów odbudowy przedstawionych przez państwa członkowskie.</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g) lata 2026–2027: Zamówienie (zamówienie publiczne na usługi) na ocenę skutków (lub kilka takich ocen) lub porozumienie administracyjne z JRC</w:t>
      </w:r>
      <w:r w:rsidR="00610401" w:rsidRPr="00610401">
        <w:rPr>
          <w:noProof/>
        </w:rPr>
        <w:t xml:space="preserve"> w cel</w:t>
      </w:r>
      <w:r w:rsidRPr="00610401">
        <w:rPr>
          <w:noProof/>
        </w:rPr>
        <w:t>u ustanowienia nowych celów</w:t>
      </w:r>
      <w:r w:rsidR="00610401" w:rsidRPr="00610401">
        <w:rPr>
          <w:noProof/>
        </w:rPr>
        <w:t xml:space="preserve"> i odp</w:t>
      </w:r>
      <w:r w:rsidRPr="00610401">
        <w:rPr>
          <w:noProof/>
        </w:rPr>
        <w:t xml:space="preserve">owiednich poziomów bazowych.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Państwa członkowskie będą musiały co najmniej raz na trzy lata (po raz pierwszy po pięciu latach od daty wejścia</w:t>
      </w:r>
      <w:r w:rsidR="00610401" w:rsidRPr="00610401">
        <w:rPr>
          <w:noProof/>
        </w:rPr>
        <w:t xml:space="preserve"> w życ</w:t>
      </w:r>
      <w:r w:rsidRPr="00610401">
        <w:rPr>
          <w:noProof/>
        </w:rPr>
        <w:t xml:space="preserve">ie rozporządzenia) składać sprawozdanie na temat wprowadzonych środków odbudowy oraz wyników ich monitorowania.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h) od</w:t>
      </w:r>
      <w:r w:rsidR="00610401" w:rsidRPr="00610401">
        <w:rPr>
          <w:noProof/>
        </w:rPr>
        <w:t> </w:t>
      </w:r>
      <w:r w:rsidRPr="00610401">
        <w:rPr>
          <w:noProof/>
        </w:rPr>
        <w:t>2030, powtarzane co trzy lata: EEA przygotowuje ogólnounijne sprawozdanie</w:t>
      </w:r>
      <w:r w:rsidR="00610401" w:rsidRPr="00610401">
        <w:rPr>
          <w:noProof/>
        </w:rPr>
        <w:t xml:space="preserve"> z pos</w:t>
      </w:r>
      <w:r w:rsidRPr="00610401">
        <w:rPr>
          <w:noProof/>
        </w:rPr>
        <w:t>tępu prac oparte na postępach państw członkowskich</w:t>
      </w:r>
      <w:r w:rsidR="00610401" w:rsidRPr="00610401">
        <w:rPr>
          <w:noProof/>
        </w:rPr>
        <w:t xml:space="preserve"> w rea</w:t>
      </w:r>
      <w:r w:rsidRPr="00610401">
        <w:rPr>
          <w:noProof/>
        </w:rPr>
        <w:t>lizacji celów, na podstawie środków odbudowy</w:t>
      </w:r>
      <w:r w:rsidR="00610401" w:rsidRPr="00610401">
        <w:rPr>
          <w:noProof/>
        </w:rPr>
        <w:t xml:space="preserve"> i ten</w:t>
      </w:r>
      <w:r w:rsidRPr="00610401">
        <w:rPr>
          <w:noProof/>
        </w:rPr>
        <w:t>dencji</w:t>
      </w:r>
      <w:r w:rsidR="00610401" w:rsidRPr="00610401">
        <w:rPr>
          <w:noProof/>
        </w:rPr>
        <w:t xml:space="preserve"> w zak</w:t>
      </w:r>
      <w:r w:rsidRPr="00610401">
        <w:rPr>
          <w:noProof/>
        </w:rPr>
        <w:t>resie stanu zgłoszonych przez państwa członkowskie</w:t>
      </w:r>
      <w:r w:rsidR="00610401" w:rsidRPr="00610401">
        <w:rPr>
          <w:noProof/>
        </w:rPr>
        <w:t xml:space="preserve"> w ram</w:t>
      </w:r>
      <w:r w:rsidRPr="00610401">
        <w:rPr>
          <w:noProof/>
        </w:rPr>
        <w:t>ach ich obowiązków sprawozdawczych,</w:t>
      </w:r>
      <w:r w:rsidR="00610401" w:rsidRPr="00610401">
        <w:rPr>
          <w:noProof/>
        </w:rPr>
        <w:t xml:space="preserve"> a tak</w:t>
      </w:r>
      <w:r w:rsidRPr="00610401">
        <w:rPr>
          <w:noProof/>
        </w:rPr>
        <w:t>że na podstawie wyników tendencji</w:t>
      </w:r>
      <w:r w:rsidR="00610401" w:rsidRPr="00610401">
        <w:rPr>
          <w:noProof/>
        </w:rPr>
        <w:t xml:space="preserve"> w zak</w:t>
      </w:r>
      <w:r w:rsidRPr="00610401">
        <w:rPr>
          <w:noProof/>
        </w:rPr>
        <w:t>resie stanu ochrony siedlisk</w:t>
      </w:r>
      <w:r w:rsidR="00610401" w:rsidRPr="00610401">
        <w:rPr>
          <w:noProof/>
        </w:rPr>
        <w:t xml:space="preserve"> i gat</w:t>
      </w:r>
      <w:r w:rsidRPr="00610401">
        <w:rPr>
          <w:noProof/>
        </w:rPr>
        <w:t>unków,</w:t>
      </w:r>
      <w:r w:rsidR="00610401" w:rsidRPr="00610401">
        <w:rPr>
          <w:noProof/>
        </w:rPr>
        <w:t xml:space="preserve"> z uwz</w:t>
      </w:r>
      <w:r w:rsidRPr="00610401">
        <w:rPr>
          <w:noProof/>
        </w:rPr>
        <w:t>ględnieniem danych</w:t>
      </w:r>
      <w:r w:rsidR="00610401" w:rsidRPr="00610401">
        <w:rPr>
          <w:noProof/>
        </w:rPr>
        <w:t xml:space="preserve"> z mon</w:t>
      </w:r>
      <w:r w:rsidRPr="00610401">
        <w:rPr>
          <w:noProof/>
        </w:rPr>
        <w:t>itorowania zgłoszonych przez państwa członkowskie na podstawie art.</w:t>
      </w:r>
      <w:r w:rsidR="00610401" w:rsidRPr="00610401">
        <w:rPr>
          <w:noProof/>
        </w:rPr>
        <w:t> </w:t>
      </w:r>
      <w:r w:rsidRPr="00610401">
        <w:rPr>
          <w:noProof/>
        </w:rPr>
        <w:t>17 dyrektywy siedliskowej</w:t>
      </w:r>
      <w:r w:rsidR="00610401" w:rsidRPr="00610401">
        <w:rPr>
          <w:noProof/>
        </w:rPr>
        <w:t xml:space="preserve"> i art</w:t>
      </w:r>
      <w:r w:rsidRPr="00610401">
        <w:rPr>
          <w:noProof/>
        </w:rPr>
        <w:t>.</w:t>
      </w:r>
      <w:r w:rsidR="00610401" w:rsidRPr="00610401">
        <w:rPr>
          <w:noProof/>
        </w:rPr>
        <w:t> </w:t>
      </w:r>
      <w:r w:rsidRPr="00610401">
        <w:rPr>
          <w:noProof/>
        </w:rPr>
        <w:t>12 dyrektywy ptasiej oraz informacji zgłaszanych na podstawie art.</w:t>
      </w:r>
      <w:r w:rsidR="00610401" w:rsidRPr="00610401">
        <w:rPr>
          <w:noProof/>
        </w:rPr>
        <w:t> </w:t>
      </w:r>
      <w:r w:rsidRPr="00610401">
        <w:rPr>
          <w:noProof/>
        </w:rPr>
        <w:t>15 dyrektywy 2000/60/WE, art.</w:t>
      </w:r>
      <w:r w:rsidR="00610401" w:rsidRPr="00610401">
        <w:rPr>
          <w:noProof/>
        </w:rPr>
        <w:t> </w:t>
      </w:r>
      <w:r w:rsidRPr="00610401">
        <w:rPr>
          <w:noProof/>
        </w:rPr>
        <w:t>12 dyrektywy 2009/147/WE oraz art.</w:t>
      </w:r>
      <w:r w:rsidR="00610401" w:rsidRPr="00610401">
        <w:rPr>
          <w:noProof/>
        </w:rPr>
        <w:t> </w:t>
      </w:r>
      <w:r w:rsidRPr="00610401">
        <w:rPr>
          <w:noProof/>
        </w:rPr>
        <w:t>18 dyrektywy 2008/56/WE. Opierając się na ogólnounijnym sprawozdaniu</w:t>
      </w:r>
      <w:r w:rsidR="00610401" w:rsidRPr="00610401">
        <w:rPr>
          <w:noProof/>
        </w:rPr>
        <w:t xml:space="preserve"> z pos</w:t>
      </w:r>
      <w:r w:rsidRPr="00610401">
        <w:rPr>
          <w:noProof/>
        </w:rPr>
        <w:t>tępów prac, co trzy lata Komisja będzie składać Radzie</w:t>
      </w:r>
      <w:r w:rsidR="00610401" w:rsidRPr="00610401">
        <w:rPr>
          <w:noProof/>
        </w:rPr>
        <w:t xml:space="preserve"> i Par</w:t>
      </w:r>
      <w:r w:rsidRPr="00610401">
        <w:rPr>
          <w:noProof/>
        </w:rPr>
        <w:t>lamentowi Europejskiemu sprawozdanie</w:t>
      </w:r>
      <w:r w:rsidR="00610401" w:rsidRPr="00610401">
        <w:rPr>
          <w:noProof/>
        </w:rPr>
        <w:t xml:space="preserve"> z wdr</w:t>
      </w:r>
      <w:r w:rsidRPr="00610401">
        <w:rPr>
          <w:noProof/>
        </w:rPr>
        <w:t>ażania niniejszego rozporządzenia.</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i) 2027</w:t>
      </w:r>
      <w:r w:rsidR="00610401" w:rsidRPr="00610401">
        <w:rPr>
          <w:noProof/>
        </w:rPr>
        <w:t> </w:t>
      </w:r>
      <w:r w:rsidRPr="00610401">
        <w:rPr>
          <w:noProof/>
        </w:rPr>
        <w:t>r. lub później: Opierając się na wynikach oceny (ocen) skutków, Komisja zaproponuje zmianę/przegląd rozporządzenia na potrzeby uwzględnienia</w:t>
      </w:r>
      <w:r w:rsidR="00610401" w:rsidRPr="00610401">
        <w:rPr>
          <w:noProof/>
        </w:rPr>
        <w:t xml:space="preserve"> w nim</w:t>
      </w:r>
      <w:r w:rsidRPr="00610401">
        <w:rPr>
          <w:noProof/>
        </w:rPr>
        <w:t xml:space="preserve"> nowego celu (nowych celów).</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Po przyjęciu nowych celów</w:t>
      </w:r>
      <w:r w:rsidR="00610401" w:rsidRPr="00610401">
        <w:rPr>
          <w:noProof/>
        </w:rPr>
        <w:t xml:space="preserve"> w zak</w:t>
      </w:r>
      <w:r w:rsidRPr="00610401">
        <w:rPr>
          <w:noProof/>
        </w:rPr>
        <w:t>resie odbudowy państwa członkowskie będą musiały dokonać przeglądu swoich krajowych planów odbudowy</w:t>
      </w:r>
      <w:r w:rsidR="00610401" w:rsidRPr="00610401">
        <w:rPr>
          <w:noProof/>
        </w:rPr>
        <w:t xml:space="preserve"> i odp</w:t>
      </w:r>
      <w:r w:rsidRPr="00610401">
        <w:rPr>
          <w:noProof/>
        </w:rPr>
        <w:t xml:space="preserve">owiednio je dostosować.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j) lata 2033–2034: DG ds. Środowiska, przy wsparciu EEA, przeprowadzi ocenę zmienionych krajowych planów odbudowy.</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k) lata 2030–2050 (w sposób ciągły): DG ds. Środowiska, przy wsparciu JRC i EEA, będzie monitorować wdrażanie rozporządzenia</w:t>
      </w:r>
      <w:r w:rsidR="00610401" w:rsidRPr="00610401">
        <w:rPr>
          <w:noProof/>
        </w:rPr>
        <w:t xml:space="preserve"> w pań</w:t>
      </w:r>
      <w:r w:rsidRPr="00610401">
        <w:rPr>
          <w:noProof/>
        </w:rPr>
        <w:t>stwach członkowskich UE, aby zapewnić osiągnięcie zamierzonych celów</w:t>
      </w:r>
      <w:r w:rsidR="00610401" w:rsidRPr="00610401">
        <w:rPr>
          <w:noProof/>
        </w:rPr>
        <w:t xml:space="preserve"> i wdr</w:t>
      </w:r>
      <w:r w:rsidRPr="00610401">
        <w:rPr>
          <w:noProof/>
        </w:rPr>
        <w:t xml:space="preserve">ożenie przepisów UE przez wszystkie państwa członkowskie.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l) Do 31 grudnia 2035</w:t>
      </w:r>
      <w:r w:rsidR="00610401" w:rsidRPr="00610401">
        <w:rPr>
          <w:noProof/>
        </w:rPr>
        <w:t> </w:t>
      </w:r>
      <w:r w:rsidRPr="00610401">
        <w:rPr>
          <w:noProof/>
        </w:rPr>
        <w:t>r. Komisja dokona przeglądu wdrożenia rozporządzenia</w:t>
      </w:r>
      <w:r w:rsidR="00610401" w:rsidRPr="00610401">
        <w:rPr>
          <w:noProof/>
        </w:rPr>
        <w:t xml:space="preserve"> i prz</w:t>
      </w:r>
      <w:r w:rsidRPr="00610401">
        <w:rPr>
          <w:noProof/>
        </w:rPr>
        <w:t>edłoży sprawozdanie</w:t>
      </w:r>
      <w:r w:rsidR="00610401" w:rsidRPr="00610401">
        <w:rPr>
          <w:noProof/>
        </w:rPr>
        <w:t xml:space="preserve"> z teg</w:t>
      </w:r>
      <w:r w:rsidRPr="00610401">
        <w:rPr>
          <w:noProof/>
        </w:rPr>
        <w:t>o przeglądu Parlamentowi Europejskiemu</w:t>
      </w:r>
      <w:r w:rsidR="00610401" w:rsidRPr="00610401">
        <w:rPr>
          <w:noProof/>
        </w:rPr>
        <w:t xml:space="preserve"> i Rad</w:t>
      </w:r>
      <w:r w:rsidRPr="00610401">
        <w:rPr>
          <w:noProof/>
        </w:rPr>
        <w:t>zie.s________________________________________</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Europejska Agencja Środowiska (EEA) zapewni wsparcie poprzez realizację następujących zadań:</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Przed wejściem</w:t>
      </w:r>
      <w:r w:rsidR="00610401" w:rsidRPr="00610401">
        <w:rPr>
          <w:noProof/>
        </w:rPr>
        <w:t xml:space="preserve"> w życ</w:t>
      </w:r>
      <w:r w:rsidRPr="00610401">
        <w:rPr>
          <w:noProof/>
        </w:rPr>
        <w:t>ie rozporządzenia (lata 2022–2023):</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W zależności od postępów dyskusji między współprawodawcami EEA rozpocznie następujące działania:</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opracuje format</w:t>
      </w:r>
      <w:r w:rsidR="00610401" w:rsidRPr="00610401">
        <w:rPr>
          <w:noProof/>
        </w:rPr>
        <w:t xml:space="preserve"> i sys</w:t>
      </w:r>
      <w:r w:rsidRPr="00610401">
        <w:rPr>
          <w:noProof/>
        </w:rPr>
        <w:t xml:space="preserve">tem informacyjny na potrzeby krajowych planów odbudowy (w tym planów usuwania barier rzecznych);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opracuje format</w:t>
      </w:r>
      <w:r w:rsidR="00610401" w:rsidRPr="00610401">
        <w:rPr>
          <w:noProof/>
        </w:rPr>
        <w:t xml:space="preserve"> i sys</w:t>
      </w:r>
      <w:r w:rsidRPr="00610401">
        <w:rPr>
          <w:noProof/>
        </w:rPr>
        <w:t>tem informacyjny sprawozdań okresowych na temat wdrożonych środków oraz obszarów odbudowanych</w:t>
      </w:r>
      <w:r w:rsidR="00610401" w:rsidRPr="00610401">
        <w:rPr>
          <w:noProof/>
        </w:rPr>
        <w:t xml:space="preserve"> i prz</w:t>
      </w:r>
      <w:r w:rsidRPr="00610401">
        <w:rPr>
          <w:noProof/>
        </w:rPr>
        <w:t>ywróconych,</w:t>
      </w:r>
      <w:r w:rsidR="00610401" w:rsidRPr="00610401">
        <w:rPr>
          <w:noProof/>
        </w:rPr>
        <w:t xml:space="preserve"> a tak</w:t>
      </w:r>
      <w:r w:rsidRPr="00610401">
        <w:rPr>
          <w:noProof/>
        </w:rPr>
        <w:t>że na temat stanu ekosystemów</w:t>
      </w:r>
      <w:r w:rsidR="00610401" w:rsidRPr="00610401">
        <w:rPr>
          <w:noProof/>
        </w:rPr>
        <w:t xml:space="preserve"> i pop</w:t>
      </w:r>
      <w:r w:rsidRPr="00610401">
        <w:rPr>
          <w:noProof/>
        </w:rPr>
        <w:t>ulacji gatunków;</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opracuje podręcznik interpretacji typów siedlisk przyrodniczych wymienionych</w:t>
      </w:r>
      <w:r w:rsidR="00610401" w:rsidRPr="00610401">
        <w:rPr>
          <w:noProof/>
        </w:rPr>
        <w:t xml:space="preserve"> w zał</w:t>
      </w:r>
      <w:r w:rsidRPr="00610401">
        <w:rPr>
          <w:noProof/>
        </w:rPr>
        <w:t>ączniku II;</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zapewni wsparcie przy tworzeniu metodyki monitorowania, wskaźników</w:t>
      </w:r>
      <w:r w:rsidR="00610401" w:rsidRPr="00610401">
        <w:rPr>
          <w:noProof/>
        </w:rPr>
        <w:t xml:space="preserve"> i oce</w:t>
      </w:r>
      <w:r w:rsidRPr="00610401">
        <w:rPr>
          <w:noProof/>
        </w:rPr>
        <w:t>ny dobrego stanu tych ekosystemów/siedlisk/gatunków, dla których nie są one jeszcze dostępne, jako podstawy do wyznaczenia celów na etapie 2 (np. niektóre ekosystemy regionów najbardziej oddalonych): zadanie to zostanie zrealizowane we współpracy z JRC i DG ds. Środowiska.</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Po wejściu</w:t>
      </w:r>
      <w:r w:rsidR="00610401" w:rsidRPr="00610401">
        <w:rPr>
          <w:noProof/>
        </w:rPr>
        <w:t xml:space="preserve"> w życ</w:t>
      </w:r>
      <w:r w:rsidRPr="00610401">
        <w:rPr>
          <w:noProof/>
        </w:rPr>
        <w:t>ie (zgodnie</w:t>
      </w:r>
      <w:r w:rsidR="00610401" w:rsidRPr="00610401">
        <w:rPr>
          <w:noProof/>
        </w:rPr>
        <w:t xml:space="preserve"> z ocz</w:t>
      </w:r>
      <w:r w:rsidRPr="00610401">
        <w:rPr>
          <w:noProof/>
        </w:rPr>
        <w:t>ekiwaniami od</w:t>
      </w:r>
      <w:r w:rsidR="00610401" w:rsidRPr="00610401">
        <w:rPr>
          <w:noProof/>
        </w:rPr>
        <w:t> </w:t>
      </w:r>
      <w:r w:rsidRPr="00610401">
        <w:rPr>
          <w:noProof/>
        </w:rPr>
        <w:t>2024</w:t>
      </w:r>
      <w:r w:rsidR="00610401" w:rsidRPr="00610401">
        <w:rPr>
          <w:noProof/>
        </w:rPr>
        <w:t> </w:t>
      </w:r>
      <w:r w:rsidRPr="00610401">
        <w:rPr>
          <w:noProof/>
        </w:rPr>
        <w:t>r.):</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lata 2024–2026: Wsparcie przy określaniu celów związanych</w:t>
      </w:r>
      <w:r w:rsidR="00610401" w:rsidRPr="00610401">
        <w:rPr>
          <w:noProof/>
        </w:rPr>
        <w:t xml:space="preserve"> z obs</w:t>
      </w:r>
      <w:r w:rsidRPr="00610401">
        <w:rPr>
          <w:noProof/>
        </w:rPr>
        <w:t>zarami przeznaczonymi do przywrócenia:</w:t>
      </w:r>
      <w:r w:rsidR="00610401" w:rsidRPr="00610401">
        <w:rPr>
          <w:noProof/>
        </w:rPr>
        <w:t xml:space="preserve"> w cel</w:t>
      </w:r>
      <w:r w:rsidRPr="00610401">
        <w:rPr>
          <w:noProof/>
        </w:rPr>
        <w:t>u wsparcia państw członkowskich przy szacowaniu powierzchni, którą należy przywrócić, aby osiągnąć właściwy stan ochrony (przygotowania można rozpocząć jeszcze przed wejściem</w:t>
      </w:r>
      <w:r w:rsidR="00610401" w:rsidRPr="00610401">
        <w:rPr>
          <w:noProof/>
        </w:rPr>
        <w:t xml:space="preserve"> w życ</w:t>
      </w:r>
      <w:r w:rsidRPr="00610401">
        <w:rPr>
          <w:noProof/>
        </w:rPr>
        <w:t xml:space="preserve">ie);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lata 2024–2050: Wyszukiwanie/przetwarzanie/kontrola jakości danych oraz zarządzanie systemami elektronicznej rejestracji</w:t>
      </w:r>
      <w:r w:rsidR="00610401" w:rsidRPr="00610401">
        <w:rPr>
          <w:noProof/>
        </w:rPr>
        <w:t xml:space="preserve"> i ele</w:t>
      </w:r>
      <w:r w:rsidRPr="00610401">
        <w:rPr>
          <w:noProof/>
        </w:rPr>
        <w:t>ktronicznego raportowania/wymaganiami. Obejmuje to publikację</w:t>
      </w:r>
      <w:r w:rsidR="00610401" w:rsidRPr="00610401">
        <w:rPr>
          <w:noProof/>
        </w:rPr>
        <w:t xml:space="preserve"> i zap</w:t>
      </w:r>
      <w:r w:rsidRPr="00610401">
        <w:rPr>
          <w:noProof/>
        </w:rPr>
        <w:t>ewnienie dostępu do danych (np. interaktywnych map, tablic wskaźników, sprawozdań).</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Od 2024</w:t>
      </w:r>
      <w:r w:rsidR="00610401" w:rsidRPr="00610401">
        <w:rPr>
          <w:noProof/>
        </w:rPr>
        <w:t> </w:t>
      </w:r>
      <w:r w:rsidRPr="00610401">
        <w:rPr>
          <w:noProof/>
        </w:rPr>
        <w:t>r.: Monitorowanie niektórych celów, np.</w:t>
      </w:r>
      <w:r w:rsidR="00610401" w:rsidRPr="00610401">
        <w:rPr>
          <w:noProof/>
        </w:rPr>
        <w:t xml:space="preserve"> w opa</w:t>
      </w:r>
      <w:r w:rsidRPr="00610401">
        <w:rPr>
          <w:noProof/>
        </w:rPr>
        <w:t>rciu</w:t>
      </w:r>
      <w:r w:rsidR="00610401" w:rsidRPr="00610401">
        <w:rPr>
          <w:noProof/>
        </w:rPr>
        <w:t xml:space="preserve"> o pro</w:t>
      </w:r>
      <w:r w:rsidRPr="00610401">
        <w:rPr>
          <w:noProof/>
        </w:rPr>
        <w:t>gram Copernicus, takich jak cele miejskie dotyczące zielonych przestrzeni miejskich</w:t>
      </w:r>
      <w:r w:rsidR="00610401" w:rsidRPr="00610401">
        <w:rPr>
          <w:noProof/>
        </w:rPr>
        <w:t xml:space="preserve"> i zwa</w:t>
      </w:r>
      <w:r w:rsidRPr="00610401">
        <w:rPr>
          <w:noProof/>
        </w:rPr>
        <w:t xml:space="preserve">rcia drzewostanu;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lata 2024–2050 (w sposób ciągły): Publikacja, wizualizacja</w:t>
      </w:r>
      <w:r w:rsidR="00610401" w:rsidRPr="00610401">
        <w:rPr>
          <w:noProof/>
        </w:rPr>
        <w:t xml:space="preserve"> i dos</w:t>
      </w:r>
      <w:r w:rsidRPr="00610401">
        <w:rPr>
          <w:noProof/>
        </w:rPr>
        <w:t>tęp do danych (sprawozdania, tablice wskaźników, mapy)</w:t>
      </w:r>
      <w:r w:rsidR="00610401" w:rsidRPr="00610401">
        <w:rPr>
          <w:noProof/>
        </w:rPr>
        <w:t xml:space="preserve"> z wyk</w:t>
      </w:r>
      <w:r w:rsidRPr="00610401">
        <w:rPr>
          <w:noProof/>
        </w:rPr>
        <w:t>orzystaniem, tam gdzie to możliwe, istniejących systemów informacyjnych (system informacji</w:t>
      </w:r>
      <w:r w:rsidR="00610401" w:rsidRPr="00610401">
        <w:rPr>
          <w:noProof/>
        </w:rPr>
        <w:t xml:space="preserve"> o róż</w:t>
      </w:r>
      <w:r w:rsidRPr="00610401">
        <w:rPr>
          <w:noProof/>
        </w:rPr>
        <w:t>norodności biologicznej</w:t>
      </w:r>
      <w:r w:rsidR="00610401" w:rsidRPr="00610401">
        <w:rPr>
          <w:noProof/>
        </w:rPr>
        <w:t xml:space="preserve"> w Eur</w:t>
      </w:r>
      <w:r w:rsidRPr="00610401">
        <w:rPr>
          <w:noProof/>
        </w:rPr>
        <w:t>opie, centrum wiedzy</w:t>
      </w:r>
      <w:r w:rsidR="00610401" w:rsidRPr="00610401">
        <w:rPr>
          <w:noProof/>
        </w:rPr>
        <w:t xml:space="preserve"> o róż</w:t>
      </w:r>
      <w:r w:rsidRPr="00610401">
        <w:rPr>
          <w:noProof/>
        </w:rPr>
        <w:t>norodności biologicznej, Europejski System Informacji Wodnej, System Informacji</w:t>
      </w:r>
      <w:r w:rsidR="00610401" w:rsidRPr="00610401">
        <w:rPr>
          <w:noProof/>
        </w:rPr>
        <w:t xml:space="preserve"> o Las</w:t>
      </w:r>
      <w:r w:rsidRPr="00610401">
        <w:rPr>
          <w:noProof/>
        </w:rPr>
        <w:t>ach</w:t>
      </w:r>
      <w:r w:rsidR="00610401" w:rsidRPr="00610401">
        <w:rPr>
          <w:noProof/>
        </w:rPr>
        <w:t xml:space="preserve"> w Eur</w:t>
      </w:r>
      <w:r w:rsidRPr="00610401">
        <w:rPr>
          <w:noProof/>
        </w:rPr>
        <w:t>opie itp.);</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lata ~2026–2027 (pierwsza runda): wsparcie</w:t>
      </w:r>
      <w:r w:rsidR="00610401" w:rsidRPr="00610401">
        <w:rPr>
          <w:noProof/>
        </w:rPr>
        <w:t xml:space="preserve"> w oce</w:t>
      </w:r>
      <w:r w:rsidRPr="00610401">
        <w:rPr>
          <w:noProof/>
        </w:rPr>
        <w:t>nie krajowych planów odbudowy przedstawionych przez państwa członkowskie (wraz</w:t>
      </w:r>
      <w:r w:rsidR="00610401" w:rsidRPr="00610401">
        <w:rPr>
          <w:noProof/>
        </w:rPr>
        <w:t xml:space="preserve"> z Kom</w:t>
      </w:r>
      <w:r w:rsidRPr="00610401">
        <w:rPr>
          <w:noProof/>
        </w:rPr>
        <w:t>isją</w:t>
      </w:r>
      <w:r w:rsidR="00610401" w:rsidRPr="00610401">
        <w:rPr>
          <w:noProof/>
        </w:rPr>
        <w:t xml:space="preserve"> i wyk</w:t>
      </w:r>
      <w:r w:rsidRPr="00610401">
        <w:rPr>
          <w:noProof/>
        </w:rPr>
        <w:t>onawcą zewnętrznym);</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od</w:t>
      </w:r>
      <w:r w:rsidR="00610401" w:rsidRPr="00610401">
        <w:rPr>
          <w:noProof/>
        </w:rPr>
        <w:t> </w:t>
      </w:r>
      <w:r w:rsidRPr="00610401">
        <w:rPr>
          <w:noProof/>
        </w:rPr>
        <w:t>2030</w:t>
      </w:r>
      <w:r w:rsidR="00610401" w:rsidRPr="00610401">
        <w:rPr>
          <w:noProof/>
        </w:rPr>
        <w:t> </w:t>
      </w:r>
      <w:r w:rsidRPr="00610401">
        <w:rPr>
          <w:noProof/>
        </w:rPr>
        <w:t>r., powtarzane co trzy lata: Ocena sprawozdań państw członkowskich</w:t>
      </w:r>
      <w:r w:rsidR="00610401" w:rsidRPr="00610401">
        <w:rPr>
          <w:noProof/>
        </w:rPr>
        <w:t xml:space="preserve"> z pos</w:t>
      </w:r>
      <w:r w:rsidRPr="00610401">
        <w:rPr>
          <w:noProof/>
        </w:rPr>
        <w:t>tępów</w:t>
      </w:r>
      <w:r w:rsidR="00610401" w:rsidRPr="00610401">
        <w:rPr>
          <w:noProof/>
        </w:rPr>
        <w:t xml:space="preserve"> w rea</w:t>
      </w:r>
      <w:r w:rsidRPr="00610401">
        <w:rPr>
          <w:noProof/>
        </w:rPr>
        <w:t>lizacji celów na poziomie państw członkowskich</w:t>
      </w:r>
      <w:r w:rsidR="00610401" w:rsidRPr="00610401">
        <w:rPr>
          <w:noProof/>
        </w:rPr>
        <w:t xml:space="preserve"> i Uni</w:t>
      </w:r>
      <w:r w:rsidRPr="00610401">
        <w:rPr>
          <w:noProof/>
        </w:rPr>
        <w:t>i, na podstawie środków odbudowy</w:t>
      </w:r>
      <w:r w:rsidR="00610401" w:rsidRPr="00610401">
        <w:rPr>
          <w:noProof/>
        </w:rPr>
        <w:t xml:space="preserve"> i ten</w:t>
      </w:r>
      <w:r w:rsidRPr="00610401">
        <w:rPr>
          <w:noProof/>
        </w:rPr>
        <w:t>dencji</w:t>
      </w:r>
      <w:r w:rsidR="00610401" w:rsidRPr="00610401">
        <w:rPr>
          <w:noProof/>
        </w:rPr>
        <w:t xml:space="preserve"> w zak</w:t>
      </w:r>
      <w:r w:rsidRPr="00610401">
        <w:rPr>
          <w:noProof/>
        </w:rPr>
        <w:t>resie stanu zgłoszonych przez państwa członkowskie</w:t>
      </w:r>
      <w:r w:rsidR="00610401" w:rsidRPr="00610401">
        <w:rPr>
          <w:noProof/>
        </w:rPr>
        <w:t xml:space="preserve"> w ram</w:t>
      </w:r>
      <w:r w:rsidRPr="00610401">
        <w:rPr>
          <w:noProof/>
        </w:rPr>
        <w:t>ach ich obowiązków sprawozdawczych (z wykorzystaniem formatu sprawozdawczości opracowanego</w:t>
      </w:r>
      <w:r w:rsidR="00610401" w:rsidRPr="00610401">
        <w:rPr>
          <w:noProof/>
        </w:rPr>
        <w:t xml:space="preserve"> w dru</w:t>
      </w:r>
      <w:r w:rsidRPr="00610401">
        <w:rPr>
          <w:noProof/>
        </w:rPr>
        <w:t>gim punkcie niniejszej tabeli),</w:t>
      </w:r>
      <w:r w:rsidR="00610401" w:rsidRPr="00610401">
        <w:rPr>
          <w:noProof/>
        </w:rPr>
        <w:t xml:space="preserve"> a tak</w:t>
      </w:r>
      <w:r w:rsidRPr="00610401">
        <w:rPr>
          <w:noProof/>
        </w:rPr>
        <w:t>że na podstawie wyników tendencji</w:t>
      </w:r>
      <w:r w:rsidR="00610401" w:rsidRPr="00610401">
        <w:rPr>
          <w:noProof/>
        </w:rPr>
        <w:t xml:space="preserve"> w zak</w:t>
      </w:r>
      <w:r w:rsidRPr="00610401">
        <w:rPr>
          <w:noProof/>
        </w:rPr>
        <w:t>resie stanu ochrony siedlisk</w:t>
      </w:r>
      <w:r w:rsidR="00610401" w:rsidRPr="00610401">
        <w:rPr>
          <w:noProof/>
        </w:rPr>
        <w:t xml:space="preserve"> i gat</w:t>
      </w:r>
      <w:r w:rsidRPr="00610401">
        <w:rPr>
          <w:noProof/>
        </w:rPr>
        <w:t>unków,</w:t>
      </w:r>
      <w:r w:rsidR="00610401" w:rsidRPr="00610401">
        <w:rPr>
          <w:noProof/>
        </w:rPr>
        <w:t xml:space="preserve"> z uwz</w:t>
      </w:r>
      <w:r w:rsidRPr="00610401">
        <w:rPr>
          <w:noProof/>
        </w:rPr>
        <w:t>ględnieniem danych</w:t>
      </w:r>
      <w:r w:rsidR="00610401" w:rsidRPr="00610401">
        <w:rPr>
          <w:noProof/>
        </w:rPr>
        <w:t xml:space="preserve"> z mon</w:t>
      </w:r>
      <w:r w:rsidRPr="00610401">
        <w:rPr>
          <w:noProof/>
        </w:rPr>
        <w:t>itoringu zgłoszonych przez państwa członkowskie na podstawie art.</w:t>
      </w:r>
      <w:r w:rsidR="00610401" w:rsidRPr="00610401">
        <w:rPr>
          <w:noProof/>
        </w:rPr>
        <w:t> </w:t>
      </w:r>
      <w:r w:rsidRPr="00610401">
        <w:rPr>
          <w:noProof/>
        </w:rPr>
        <w:t>17 dyrektywy siedliskowej</w:t>
      </w:r>
      <w:r w:rsidR="00610401" w:rsidRPr="00610401">
        <w:rPr>
          <w:noProof/>
        </w:rPr>
        <w:t xml:space="preserve"> i art</w:t>
      </w:r>
      <w:r w:rsidRPr="00610401">
        <w:rPr>
          <w:noProof/>
        </w:rPr>
        <w:t>.</w:t>
      </w:r>
      <w:r w:rsidR="00610401" w:rsidRPr="00610401">
        <w:rPr>
          <w:noProof/>
        </w:rPr>
        <w:t> </w:t>
      </w:r>
      <w:r w:rsidRPr="00610401">
        <w:rPr>
          <w:noProof/>
        </w:rPr>
        <w:t>12 dyrektywy ptasiej oraz informacji zgłaszanych na podstawie art.</w:t>
      </w:r>
      <w:r w:rsidR="00610401" w:rsidRPr="00610401">
        <w:rPr>
          <w:noProof/>
        </w:rPr>
        <w:t> </w:t>
      </w:r>
      <w:r w:rsidRPr="00610401">
        <w:rPr>
          <w:noProof/>
        </w:rPr>
        <w:t>15 dyrektywy 2000/60/WE, art.</w:t>
      </w:r>
      <w:r w:rsidR="00610401" w:rsidRPr="00610401">
        <w:rPr>
          <w:noProof/>
        </w:rPr>
        <w:t> </w:t>
      </w:r>
      <w:r w:rsidRPr="00610401">
        <w:rPr>
          <w:noProof/>
        </w:rPr>
        <w:t>12 dyrektywy 2009/147/WE oraz art.</w:t>
      </w:r>
      <w:r w:rsidR="00610401" w:rsidRPr="00610401">
        <w:rPr>
          <w:noProof/>
        </w:rPr>
        <w:t> </w:t>
      </w:r>
      <w:r w:rsidRPr="00610401">
        <w:rPr>
          <w:noProof/>
        </w:rPr>
        <w:t>18 dyrektywy 2008/56/WE.</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 lata 2024–2050: Centrum informacyjne dla państw członkowskich: systematyczne wsparcie dla państw członkowskich</w:t>
      </w:r>
      <w:r w:rsidR="00610401" w:rsidRPr="00610401">
        <w:rPr>
          <w:noProof/>
        </w:rPr>
        <w:t xml:space="preserve"> w bar</w:t>
      </w:r>
      <w:r w:rsidRPr="00610401">
        <w:rPr>
          <w:noProof/>
        </w:rPr>
        <w:t>dziej technicznych kwestiach dotyczących monitorowania, sprawozdawczości, wyznaczania celów, przygotowania krajowego planu odbudowy.</w:t>
      </w:r>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color w:val="000000" w:themeColor="text1"/>
        </w:rPr>
      </w:pPr>
      <w:r w:rsidRPr="00610401">
        <w:rPr>
          <w:noProof/>
        </w:rPr>
        <w:t>Na kilku</w:t>
      </w:r>
      <w:r w:rsidR="00610401" w:rsidRPr="00610401">
        <w:rPr>
          <w:noProof/>
        </w:rPr>
        <w:t xml:space="preserve"> z pow</w:t>
      </w:r>
      <w:r w:rsidRPr="00610401">
        <w:rPr>
          <w:noProof/>
        </w:rPr>
        <w:t>yższych etapów realizacji wykorzystanie wyników badań (np. z IPBES</w:t>
      </w:r>
      <w:r w:rsidR="00610401" w:rsidRPr="00610401">
        <w:rPr>
          <w:noProof/>
        </w:rPr>
        <w:t xml:space="preserve"> i z pro</w:t>
      </w:r>
      <w:r w:rsidRPr="00610401">
        <w:rPr>
          <w:noProof/>
        </w:rPr>
        <w:t>gramu ramowego UE</w:t>
      </w:r>
      <w:r w:rsidR="00610401" w:rsidRPr="00610401">
        <w:rPr>
          <w:noProof/>
        </w:rPr>
        <w:t xml:space="preserve"> w zak</w:t>
      </w:r>
      <w:r w:rsidRPr="00610401">
        <w:rPr>
          <w:noProof/>
        </w:rPr>
        <w:t>resie badań naukowych</w:t>
      </w:r>
      <w:r w:rsidR="00610401" w:rsidRPr="00610401">
        <w:rPr>
          <w:noProof/>
        </w:rPr>
        <w:t xml:space="preserve"> i inn</w:t>
      </w:r>
      <w:r w:rsidRPr="00610401">
        <w:rPr>
          <w:noProof/>
        </w:rPr>
        <w:t>owacji) oraz narzędzi naukowych (np. modelowania, scenariuszy, sprawozdań panelu ekspertów) będzie stanowiło wsparcie</w:t>
      </w:r>
      <w:r w:rsidR="00610401" w:rsidRPr="00610401">
        <w:rPr>
          <w:noProof/>
        </w:rPr>
        <w:t xml:space="preserve"> i uzu</w:t>
      </w:r>
      <w:r w:rsidRPr="00610401">
        <w:rPr>
          <w:noProof/>
        </w:rPr>
        <w:t>pełnienie pracy EEA, JRC i DG ds. Środowiska.</w:t>
      </w:r>
    </w:p>
    <w:p w:rsidR="00BE0A2F" w:rsidRPr="00610401" w:rsidRDefault="00BE0A2F" w:rsidP="00B0251E">
      <w:pPr>
        <w:pStyle w:val="Text1"/>
        <w:ind w:left="0"/>
        <w:rPr>
          <w:bCs/>
          <w:noProof/>
          <w:szCs w:val="24"/>
        </w:rPr>
      </w:pPr>
    </w:p>
    <w:p w:rsidR="00BE0A2F" w:rsidRPr="00610401" w:rsidRDefault="009F5C98" w:rsidP="009F5C98">
      <w:pPr>
        <w:pStyle w:val="ManualHeading3"/>
        <w:rPr>
          <w:noProof/>
        </w:rPr>
      </w:pPr>
      <w:r w:rsidRPr="009F5C98">
        <w:t>1.5.2.</w:t>
      </w:r>
      <w:r w:rsidRPr="009F5C98">
        <w:tab/>
      </w:r>
      <w:r w:rsidR="00BE0A2F" w:rsidRPr="00610401">
        <w:rPr>
          <w:noProof/>
        </w:rPr>
        <w:t>Wartość dodana</w:t>
      </w:r>
      <w:r w:rsidR="00610401" w:rsidRPr="00610401">
        <w:rPr>
          <w:noProof/>
        </w:rPr>
        <w:t xml:space="preserve"> z tyt</w:t>
      </w:r>
      <w:r w:rsidR="00BE0A2F" w:rsidRPr="00610401">
        <w:rPr>
          <w:noProof/>
        </w:rPr>
        <w:t>ułu zaangażowania Unii Europejskiej (może wynikać</w:t>
      </w:r>
      <w:r w:rsidR="00610401" w:rsidRPr="00610401">
        <w:rPr>
          <w:noProof/>
        </w:rPr>
        <w:t xml:space="preserve"> z róż</w:t>
      </w:r>
      <w:r w:rsidR="00BE0A2F" w:rsidRPr="00610401">
        <w:rPr>
          <w:noProof/>
        </w:rPr>
        <w:t>nych czynników, na przykład korzyści koordynacyjnych, pewności prawa, większej efektywności lub komplementarności). Na potrzeby tego punktu „wartość dodaną</w:t>
      </w:r>
      <w:r w:rsidR="00610401" w:rsidRPr="00610401">
        <w:rPr>
          <w:noProof/>
        </w:rPr>
        <w:t xml:space="preserve"> z tyt</w:t>
      </w:r>
      <w:r w:rsidR="00BE0A2F" w:rsidRPr="00610401">
        <w:rPr>
          <w:noProof/>
        </w:rPr>
        <w:t>ułu zaangażowania Unii” należy rozumieć jako wartość wynikającą</w:t>
      </w:r>
      <w:r w:rsidR="00610401" w:rsidRPr="00610401">
        <w:rPr>
          <w:noProof/>
        </w:rPr>
        <w:t xml:space="preserve"> z uni</w:t>
      </w:r>
      <w:r w:rsidR="00BE0A2F" w:rsidRPr="00610401">
        <w:rPr>
          <w:noProof/>
        </w:rPr>
        <w:t>jnej interwencji, wykraczającą poza wartość, która zostałaby wytworzona przez same państwa członkowskie.</w:t>
      </w:r>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rPr>
      </w:pPr>
      <w:r w:rsidRPr="00610401">
        <w:rPr>
          <w:noProof/>
        </w:rPr>
        <w:t>Przyczyny działania na poziomie europejskim (</w:t>
      </w:r>
      <w:r w:rsidRPr="00610401">
        <w:rPr>
          <w:i/>
          <w:iCs/>
          <w:noProof/>
        </w:rPr>
        <w:t>ex ante</w:t>
      </w:r>
      <w:r w:rsidRPr="00610401">
        <w:rPr>
          <w:noProof/>
        </w:rPr>
        <w:t>):</w:t>
      </w:r>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rPr>
      </w:pPr>
      <w:r w:rsidRPr="00610401">
        <w:rPr>
          <w:noProof/>
        </w:rPr>
        <w:t>– Utrata różnorodności biologicznej</w:t>
      </w:r>
      <w:r w:rsidR="00610401" w:rsidRPr="00610401">
        <w:rPr>
          <w:noProof/>
        </w:rPr>
        <w:t xml:space="preserve"> i deg</w:t>
      </w:r>
      <w:r w:rsidRPr="00610401">
        <w:rPr>
          <w:noProof/>
        </w:rPr>
        <w:t>radacja ekosystemów,</w:t>
      </w:r>
      <w:r w:rsidR="00610401" w:rsidRPr="00610401">
        <w:rPr>
          <w:noProof/>
        </w:rPr>
        <w:t xml:space="preserve"> w tym</w:t>
      </w:r>
      <w:r w:rsidRPr="00610401">
        <w:rPr>
          <w:noProof/>
        </w:rPr>
        <w:t xml:space="preserve"> presja na ekosystemy, to wyzwanie na dużą skalę</w:t>
      </w:r>
      <w:r w:rsidR="00610401" w:rsidRPr="00610401">
        <w:rPr>
          <w:noProof/>
        </w:rPr>
        <w:t xml:space="preserve"> i o cha</w:t>
      </w:r>
      <w:r w:rsidRPr="00610401">
        <w:rPr>
          <w:noProof/>
        </w:rPr>
        <w:t>rakterze transgranicznym, któremu nie można skutecznie sprostać jedynie na poziomie państw członkowskich.</w:t>
      </w:r>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rPr>
      </w:pPr>
      <w:r w:rsidRPr="00610401">
        <w:rPr>
          <w:noProof/>
        </w:rPr>
        <w:t>Oczekiwana wygenerowana unijna wartość dodana (</w:t>
      </w:r>
      <w:r w:rsidRPr="00610401">
        <w:rPr>
          <w:i/>
          <w:iCs/>
          <w:noProof/>
        </w:rPr>
        <w:t>ex post</w:t>
      </w:r>
      <w:r w:rsidRPr="00610401">
        <w:rPr>
          <w:noProof/>
        </w:rPr>
        <w:t>):</w:t>
      </w:r>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rPr>
      </w:pPr>
      <w:r w:rsidRPr="00610401">
        <w:rPr>
          <w:noProof/>
        </w:rPr>
        <w:t>– Konieczne są skoordynowane działania na poziomie UE na odpowiednią skalę, aby osiągnąć znaczący poziom odbudowy</w:t>
      </w:r>
      <w:r w:rsidR="00610401" w:rsidRPr="00610401">
        <w:rPr>
          <w:noProof/>
        </w:rPr>
        <w:t xml:space="preserve"> i sko</w:t>
      </w:r>
      <w:r w:rsidRPr="00610401">
        <w:rPr>
          <w:noProof/>
        </w:rPr>
        <w:t>rzystać</w:t>
      </w:r>
      <w:r w:rsidR="00610401" w:rsidRPr="00610401">
        <w:rPr>
          <w:noProof/>
        </w:rPr>
        <w:t xml:space="preserve"> z syn</w:t>
      </w:r>
      <w:r w:rsidRPr="00610401">
        <w:rPr>
          <w:noProof/>
        </w:rPr>
        <w:t>ergii</w:t>
      </w:r>
      <w:r w:rsidR="00610401" w:rsidRPr="00610401">
        <w:rPr>
          <w:noProof/>
        </w:rPr>
        <w:t xml:space="preserve"> i zwi</w:t>
      </w:r>
      <w:r w:rsidRPr="00610401">
        <w:rPr>
          <w:noProof/>
        </w:rPr>
        <w:t>ększenia efektywności. Na przykład odbudowa jednego ekosystemu (a tym samym wspieranie jego różnorodności biologicznej) ma pozytywny wpływ na inne sąsiadujące lub połączone ekosystemy</w:t>
      </w:r>
      <w:r w:rsidR="00610401" w:rsidRPr="00610401">
        <w:rPr>
          <w:noProof/>
        </w:rPr>
        <w:t xml:space="preserve"> i ich</w:t>
      </w:r>
      <w:r w:rsidRPr="00610401">
        <w:rPr>
          <w:noProof/>
        </w:rPr>
        <w:t xml:space="preserve"> różnorodność biologiczną. Wiele gatunków rozwija się lepiej</w:t>
      </w:r>
      <w:r w:rsidR="00610401" w:rsidRPr="00610401">
        <w:rPr>
          <w:noProof/>
        </w:rPr>
        <w:t xml:space="preserve"> w poł</w:t>
      </w:r>
      <w:r w:rsidRPr="00610401">
        <w:rPr>
          <w:noProof/>
        </w:rPr>
        <w:t>ączonej sieci ekosystemów.</w:t>
      </w:r>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rPr>
      </w:pPr>
      <w:r w:rsidRPr="00610401">
        <w:rPr>
          <w:noProof/>
        </w:rPr>
        <w:t>– Działania na poziomie UE stworzyłoby równe szanse, rozwiązując problem niewłaściwej działalności rynkowej, tzn. niektóre państwa członkowskie, które nie podejmują inicjatyw na rzecz odbudowy ekosystemów na swoim terytorium, mogą odnieść niesprawiedliwe krótkoterminowe korzyści</w:t>
      </w:r>
      <w:r w:rsidR="00610401" w:rsidRPr="00610401">
        <w:rPr>
          <w:noProof/>
        </w:rPr>
        <w:t xml:space="preserve"> w zwi</w:t>
      </w:r>
      <w:r w:rsidRPr="00610401">
        <w:rPr>
          <w:noProof/>
        </w:rPr>
        <w:t>ązku</w:t>
      </w:r>
      <w:r w:rsidR="00610401" w:rsidRPr="00610401">
        <w:rPr>
          <w:noProof/>
        </w:rPr>
        <w:t xml:space="preserve"> z dzi</w:t>
      </w:r>
      <w:r w:rsidRPr="00610401">
        <w:rPr>
          <w:noProof/>
        </w:rPr>
        <w:t>ałaniami tych państw członkowskich, które podejmują takie inicjatywy. Zdarza się to najczęściej</w:t>
      </w:r>
      <w:r w:rsidR="00610401" w:rsidRPr="00610401">
        <w:rPr>
          <w:noProof/>
        </w:rPr>
        <w:t xml:space="preserve"> w reg</w:t>
      </w:r>
      <w:r w:rsidRPr="00610401">
        <w:rPr>
          <w:noProof/>
        </w:rPr>
        <w:t>ionach transgranicznych.</w:t>
      </w:r>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color w:val="000000" w:themeColor="text1"/>
        </w:rPr>
      </w:pPr>
      <w:r w:rsidRPr="00610401">
        <w:rPr>
          <w:noProof/>
        </w:rPr>
        <w:t>– Podjęcie ambitnych, skoordynowanych działań na rzecz poprawy różnorodności biologicznej</w:t>
      </w:r>
      <w:r w:rsidR="00610401" w:rsidRPr="00610401">
        <w:rPr>
          <w:noProof/>
        </w:rPr>
        <w:t xml:space="preserve"> i odb</w:t>
      </w:r>
      <w:r w:rsidRPr="00610401">
        <w:rPr>
          <w:noProof/>
        </w:rPr>
        <w:t>udowy ekosystemów na poziomie UE zapewni jej niezbędną wiarygodność, aby mogła „dawać przykład</w:t>
      </w:r>
      <w:r w:rsidR="00610401" w:rsidRPr="00610401">
        <w:rPr>
          <w:noProof/>
        </w:rPr>
        <w:t xml:space="preserve"> i pod</w:t>
      </w:r>
      <w:r w:rsidRPr="00610401">
        <w:rPr>
          <w:noProof/>
        </w:rPr>
        <w:t>ejmować działania” na poziomie międzynarodowym.</w:t>
      </w:r>
    </w:p>
    <w:p w:rsidR="008D0129" w:rsidRPr="00610401" w:rsidRDefault="008D0129" w:rsidP="00B0251E">
      <w:pPr>
        <w:pStyle w:val="Text1"/>
        <w:rPr>
          <w:noProof/>
        </w:rPr>
      </w:pPr>
    </w:p>
    <w:p w:rsidR="00BE0A2F" w:rsidRPr="00610401" w:rsidRDefault="009F5C98" w:rsidP="009F5C98">
      <w:pPr>
        <w:pStyle w:val="ManualHeading3"/>
        <w:rPr>
          <w:noProof/>
        </w:rPr>
      </w:pPr>
      <w:bookmarkStart w:id="21" w:name="_Toc514938030"/>
      <w:bookmarkStart w:id="22" w:name="_Toc520485037"/>
      <w:r w:rsidRPr="009F5C98">
        <w:t>1.5.3.</w:t>
      </w:r>
      <w:r w:rsidRPr="009F5C98">
        <w:tab/>
      </w:r>
      <w:r w:rsidR="00BE0A2F" w:rsidRPr="00610401">
        <w:rPr>
          <w:noProof/>
        </w:rPr>
        <w:t>Wnioski wyciągnięte</w:t>
      </w:r>
      <w:r w:rsidR="00610401" w:rsidRPr="00610401">
        <w:rPr>
          <w:noProof/>
        </w:rPr>
        <w:t xml:space="preserve"> z pod</w:t>
      </w:r>
      <w:r w:rsidR="00BE0A2F" w:rsidRPr="00610401">
        <w:rPr>
          <w:noProof/>
        </w:rPr>
        <w:t>obnych doświadczeń</w:t>
      </w:r>
      <w:r w:rsidR="00610401" w:rsidRPr="00610401">
        <w:rPr>
          <w:noProof/>
        </w:rPr>
        <w:t xml:space="preserve"> w prz</w:t>
      </w:r>
      <w:r w:rsidR="00BE0A2F" w:rsidRPr="00610401">
        <w:rPr>
          <w:noProof/>
        </w:rPr>
        <w:t>eszłości</w:t>
      </w:r>
      <w:bookmarkEnd w:id="21"/>
      <w:bookmarkEnd w:id="22"/>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Dotychczasowe starania od odbudowę ekosystemów były niewystarczające. Określono trzy błędy</w:t>
      </w:r>
      <w:r w:rsidR="00610401" w:rsidRPr="00610401">
        <w:rPr>
          <w:noProof/>
        </w:rPr>
        <w:t xml:space="preserve"> w pol</w:t>
      </w:r>
      <w:r w:rsidRPr="00610401">
        <w:rPr>
          <w:noProof/>
        </w:rPr>
        <w:t xml:space="preserve">ityce: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1. Dobrowolne cele okazały się nieskuteczne. Dobrowolny cel unijnej strategii ochrony różnorodności biologicznej na okres do</w:t>
      </w:r>
      <w:r w:rsidR="00610401" w:rsidRPr="00610401">
        <w:rPr>
          <w:noProof/>
        </w:rPr>
        <w:t> </w:t>
      </w:r>
      <w:r w:rsidRPr="00610401">
        <w:rPr>
          <w:noProof/>
        </w:rPr>
        <w:t>2020</w:t>
      </w:r>
      <w:r w:rsidR="00610401" w:rsidRPr="00610401">
        <w:rPr>
          <w:noProof/>
        </w:rPr>
        <w:t> </w:t>
      </w:r>
      <w:r w:rsidRPr="00610401">
        <w:rPr>
          <w:noProof/>
        </w:rPr>
        <w:t>r., polegający na odbudowie co najmniej 15</w:t>
      </w:r>
      <w:r w:rsidR="00610401" w:rsidRPr="00610401">
        <w:rPr>
          <w:noProof/>
        </w:rPr>
        <w:t> </w:t>
      </w:r>
      <w:r w:rsidRPr="00610401">
        <w:rPr>
          <w:noProof/>
        </w:rPr>
        <w:t>% zdegradowanych ekosystemów, nie został zrealizowany</w:t>
      </w:r>
      <w:r w:rsidR="00610401" w:rsidRPr="00610401">
        <w:rPr>
          <w:noProof/>
        </w:rPr>
        <w:t>. W bad</w:t>
      </w:r>
      <w:r w:rsidRPr="00610401">
        <w:rPr>
          <w:noProof/>
        </w:rPr>
        <w:t>aniu oceniającym tę strategię wśród przyczyn niepowodzenia</w:t>
      </w:r>
      <w:r w:rsidR="00610401" w:rsidRPr="00610401">
        <w:rPr>
          <w:noProof/>
        </w:rPr>
        <w:t xml:space="preserve"> w odb</w:t>
      </w:r>
      <w:r w:rsidRPr="00610401">
        <w:rPr>
          <w:noProof/>
        </w:rPr>
        <w:t>udowie ekosystemów wskazano dobrowolny,</w:t>
      </w:r>
      <w:r w:rsidR="00610401" w:rsidRPr="00610401">
        <w:rPr>
          <w:noProof/>
        </w:rPr>
        <w:t xml:space="preserve"> a nie</w:t>
      </w:r>
      <w:r w:rsidRPr="00610401">
        <w:rPr>
          <w:noProof/>
        </w:rPr>
        <w:t xml:space="preserve"> prawnie wiążący charakter celów. Główną barierą był powiązany brak zaangażowania</w:t>
      </w:r>
      <w:r w:rsidR="00610401" w:rsidRPr="00610401">
        <w:rPr>
          <w:noProof/>
        </w:rPr>
        <w:t xml:space="preserve"> i pri</w:t>
      </w:r>
      <w:r w:rsidRPr="00610401">
        <w:rPr>
          <w:noProof/>
        </w:rPr>
        <w:t>orytetów politycznych</w:t>
      </w:r>
      <w:r w:rsidR="00610401" w:rsidRPr="00610401">
        <w:rPr>
          <w:noProof/>
        </w:rPr>
        <w:t xml:space="preserve"> w zak</w:t>
      </w:r>
      <w:r w:rsidRPr="00610401">
        <w:rPr>
          <w:noProof/>
        </w:rPr>
        <w:t>resie działań na rzecz odbudowy, co doprowadziło do braku finansowania</w:t>
      </w:r>
      <w:r w:rsidR="00610401" w:rsidRPr="00610401">
        <w:rPr>
          <w:noProof/>
        </w:rPr>
        <w:t xml:space="preserve"> i śro</w:t>
      </w:r>
      <w:r w:rsidRPr="00610401">
        <w:rPr>
          <w:noProof/>
        </w:rPr>
        <w:t>dków przeznaczanych na odbudowę</w:t>
      </w:r>
      <w:r w:rsidR="00610401" w:rsidRPr="00610401">
        <w:rPr>
          <w:noProof/>
        </w:rPr>
        <w:t>. Z dru</w:t>
      </w:r>
      <w:r w:rsidRPr="00610401">
        <w:rPr>
          <w:noProof/>
        </w:rPr>
        <w:t>giej strony, inny cel unijnej strategii ochrony różnorodności biologicznej na okres do</w:t>
      </w:r>
      <w:r w:rsidR="00610401" w:rsidRPr="00610401">
        <w:rPr>
          <w:noProof/>
        </w:rPr>
        <w:t> </w:t>
      </w:r>
      <w:r w:rsidRPr="00610401">
        <w:rPr>
          <w:noProof/>
        </w:rPr>
        <w:t>2020</w:t>
      </w:r>
      <w:r w:rsidR="00610401" w:rsidRPr="00610401">
        <w:rPr>
          <w:noProof/>
        </w:rPr>
        <w:t> </w:t>
      </w:r>
      <w:r w:rsidRPr="00610401">
        <w:rPr>
          <w:noProof/>
        </w:rPr>
        <w:t>r., dotyczący inwazyjnych gatunków obcych, który stał się prawnie wiążący dzięki przyjęciu nowego rozporządzenia, spowodował, że cel ten został</w:t>
      </w:r>
      <w:r w:rsidR="00610401" w:rsidRPr="00610401">
        <w:rPr>
          <w:noProof/>
        </w:rPr>
        <w:t xml:space="preserve"> w zna</w:t>
      </w:r>
      <w:r w:rsidRPr="00610401">
        <w:rPr>
          <w:noProof/>
        </w:rPr>
        <w:t>cznym stopniu zrealizowany</w:t>
      </w:r>
      <w:r w:rsidR="00610401" w:rsidRPr="00610401">
        <w:rPr>
          <w:noProof/>
        </w:rPr>
        <w:t xml:space="preserve"> i prz</w:t>
      </w:r>
      <w:r w:rsidRPr="00610401">
        <w:rPr>
          <w:noProof/>
        </w:rPr>
        <w:t xml:space="preserve">yniósł korzyści, które nie zostałyby osiągnięte, gdyby jego realizacja była dobrowolna.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rPr>
      </w:pPr>
      <w:r w:rsidRPr="00610401">
        <w:rPr>
          <w:noProof/>
        </w:rPr>
        <w:t>2. Niedociągnięcia</w:t>
      </w:r>
      <w:r w:rsidR="00610401" w:rsidRPr="00610401">
        <w:rPr>
          <w:noProof/>
        </w:rPr>
        <w:t xml:space="preserve"> w obo</w:t>
      </w:r>
      <w:r w:rsidRPr="00610401">
        <w:rPr>
          <w:noProof/>
        </w:rPr>
        <w:t>wiązującym prawodawstwie. Ocena unijnej strategii na rzecz różnorodności biologicznej na okres do</w:t>
      </w:r>
      <w:r w:rsidR="00610401" w:rsidRPr="00610401">
        <w:rPr>
          <w:noProof/>
        </w:rPr>
        <w:t> </w:t>
      </w:r>
      <w:r w:rsidRPr="00610401">
        <w:rPr>
          <w:noProof/>
        </w:rPr>
        <w:t>2020</w:t>
      </w:r>
      <w:r w:rsidR="00610401" w:rsidRPr="00610401">
        <w:rPr>
          <w:noProof/>
        </w:rPr>
        <w:t> </w:t>
      </w:r>
      <w:r w:rsidRPr="00610401">
        <w:rPr>
          <w:noProof/>
        </w:rPr>
        <w:t>r. oraz niektórych głównych aktów prawnych wykazała problemy związane</w:t>
      </w:r>
      <w:r w:rsidR="00610401" w:rsidRPr="00610401">
        <w:rPr>
          <w:noProof/>
        </w:rPr>
        <w:t xml:space="preserve"> z wdr</w:t>
      </w:r>
      <w:r w:rsidRPr="00610401">
        <w:rPr>
          <w:noProof/>
        </w:rPr>
        <w:t>ażaniem, odzwierciedlając złożoność omawianych kwestii. Ponadto nadal występuje szereg niedociągnięć, ponieważ niektóre aspekty prawodawstwa nie są wystarczająco szczegółowe (dyrektywa ramowa</w:t>
      </w:r>
      <w:r w:rsidR="00610401" w:rsidRPr="00610401">
        <w:rPr>
          <w:noProof/>
        </w:rPr>
        <w:t xml:space="preserve"> w spr</w:t>
      </w:r>
      <w:r w:rsidRPr="00610401">
        <w:rPr>
          <w:noProof/>
        </w:rPr>
        <w:t>awie strategii morskiej), określone</w:t>
      </w:r>
      <w:r w:rsidR="00610401" w:rsidRPr="00610401">
        <w:rPr>
          <w:noProof/>
        </w:rPr>
        <w:t xml:space="preserve"> w cza</w:t>
      </w:r>
      <w:r w:rsidRPr="00610401">
        <w:rPr>
          <w:noProof/>
        </w:rPr>
        <w:t>sie (dyrektywy</w:t>
      </w:r>
      <w:r w:rsidR="00610401" w:rsidRPr="00610401">
        <w:rPr>
          <w:noProof/>
        </w:rPr>
        <w:t xml:space="preserve"> w spr</w:t>
      </w:r>
      <w:r w:rsidRPr="00610401">
        <w:rPr>
          <w:noProof/>
        </w:rPr>
        <w:t>awie ochrony siedlisk przyrodniczych oraz dzikiej fauny</w:t>
      </w:r>
      <w:r w:rsidR="00610401" w:rsidRPr="00610401">
        <w:rPr>
          <w:noProof/>
        </w:rPr>
        <w:t xml:space="preserve"> i flo</w:t>
      </w:r>
      <w:r w:rsidRPr="00610401">
        <w:rPr>
          <w:noProof/>
        </w:rPr>
        <w:t>ry) ani wymierne (dyrektywa ramowa</w:t>
      </w:r>
      <w:r w:rsidR="00610401" w:rsidRPr="00610401">
        <w:rPr>
          <w:noProof/>
        </w:rPr>
        <w:t xml:space="preserve"> w spr</w:t>
      </w:r>
      <w:r w:rsidRPr="00610401">
        <w:rPr>
          <w:noProof/>
        </w:rPr>
        <w:t>awie strategii morskiej), aby osiągnąć cele</w:t>
      </w:r>
      <w:r w:rsidR="00610401" w:rsidRPr="00610401">
        <w:rPr>
          <w:noProof/>
        </w:rPr>
        <w:t xml:space="preserve"> w zak</w:t>
      </w:r>
      <w:r w:rsidRPr="00610401">
        <w:rPr>
          <w:noProof/>
        </w:rPr>
        <w:t xml:space="preserve">resie odbudowy. </w:t>
      </w:r>
    </w:p>
    <w:p w:rsidR="008D0129" w:rsidRPr="00610401" w:rsidRDefault="008D012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610401">
        <w:rPr>
          <w:noProof/>
        </w:rPr>
        <w:t>3. Brak kompleksowego podejścia. Ekosystemy są traktowane oddzielnie</w:t>
      </w:r>
      <w:r w:rsidR="00610401" w:rsidRPr="00610401">
        <w:rPr>
          <w:noProof/>
        </w:rPr>
        <w:t xml:space="preserve"> w róż</w:t>
      </w:r>
      <w:r w:rsidRPr="00610401">
        <w:rPr>
          <w:noProof/>
        </w:rPr>
        <w:t>nych aktach prawnych, co spowodowało pewne trudności</w:t>
      </w:r>
      <w:r w:rsidR="00610401" w:rsidRPr="00610401">
        <w:rPr>
          <w:noProof/>
        </w:rPr>
        <w:t xml:space="preserve"> w ich</w:t>
      </w:r>
      <w:r w:rsidRPr="00610401">
        <w:rPr>
          <w:noProof/>
        </w:rPr>
        <w:t xml:space="preserve"> skoordynowanym wdrażaniu. Dyrektywy ptasia</w:t>
      </w:r>
      <w:r w:rsidR="00610401" w:rsidRPr="00610401">
        <w:rPr>
          <w:noProof/>
        </w:rPr>
        <w:t xml:space="preserve"> i sie</w:t>
      </w:r>
      <w:r w:rsidRPr="00610401">
        <w:rPr>
          <w:noProof/>
        </w:rPr>
        <w:t>dliskowa, ramowa dyrektywa wodna</w:t>
      </w:r>
      <w:r w:rsidR="00610401" w:rsidRPr="00610401">
        <w:rPr>
          <w:noProof/>
        </w:rPr>
        <w:t xml:space="preserve"> i dyr</w:t>
      </w:r>
      <w:r w:rsidRPr="00610401">
        <w:rPr>
          <w:noProof/>
        </w:rPr>
        <w:t>ektywa ramowa</w:t>
      </w:r>
      <w:r w:rsidR="00610401" w:rsidRPr="00610401">
        <w:rPr>
          <w:noProof/>
        </w:rPr>
        <w:t xml:space="preserve"> w spr</w:t>
      </w:r>
      <w:r w:rsidRPr="00610401">
        <w:rPr>
          <w:noProof/>
        </w:rPr>
        <w:t>awie strategii morskiej zasadniczo są spójne, jednak ocena adekwatności dyrektyw ptasiej</w:t>
      </w:r>
      <w:r w:rsidR="00610401" w:rsidRPr="00610401">
        <w:rPr>
          <w:noProof/>
        </w:rPr>
        <w:t xml:space="preserve"> i sie</w:t>
      </w:r>
      <w:r w:rsidRPr="00610401">
        <w:rPr>
          <w:noProof/>
        </w:rPr>
        <w:t>dliskowej wykazała pewne wyzwania we wdrażaniu tych dyrektyw</w:t>
      </w:r>
      <w:r w:rsidR="00610401" w:rsidRPr="00610401">
        <w:rPr>
          <w:noProof/>
        </w:rPr>
        <w:t xml:space="preserve"> w obs</w:t>
      </w:r>
      <w:r w:rsidRPr="00610401">
        <w:rPr>
          <w:noProof/>
        </w:rPr>
        <w:t>zarach,</w:t>
      </w:r>
      <w:r w:rsidR="00610401" w:rsidRPr="00610401">
        <w:rPr>
          <w:noProof/>
        </w:rPr>
        <w:t xml:space="preserve"> w któ</w:t>
      </w:r>
      <w:r w:rsidRPr="00610401">
        <w:rPr>
          <w:noProof/>
        </w:rPr>
        <w:t>rych dyrektywy te wzajemnie na siebie oddziałują, np.</w:t>
      </w:r>
      <w:r w:rsidR="00610401" w:rsidRPr="00610401">
        <w:rPr>
          <w:noProof/>
        </w:rPr>
        <w:t xml:space="preserve"> w prz</w:t>
      </w:r>
      <w:r w:rsidRPr="00610401">
        <w:rPr>
          <w:noProof/>
        </w:rPr>
        <w:t>ypadku jednolitej części wód, których stan zależy od otaczających je siedlisk nadbrzeżnych</w:t>
      </w:r>
      <w:r w:rsidR="00610401" w:rsidRPr="00610401">
        <w:rPr>
          <w:noProof/>
        </w:rPr>
        <w:t xml:space="preserve"> i któ</w:t>
      </w:r>
      <w:r w:rsidRPr="00610401">
        <w:rPr>
          <w:noProof/>
        </w:rPr>
        <w:t>re powinny być traktowane</w:t>
      </w:r>
      <w:r w:rsidR="00610401" w:rsidRPr="00610401">
        <w:rPr>
          <w:noProof/>
        </w:rPr>
        <w:t xml:space="preserve"> w spo</w:t>
      </w:r>
      <w:r w:rsidRPr="00610401">
        <w:rPr>
          <w:noProof/>
        </w:rPr>
        <w:t>sób zintegrowany, aby możliwe było osiągnięcie określonych celów odbudowy, tak jak</w:t>
      </w:r>
      <w:r w:rsidR="00610401" w:rsidRPr="00610401">
        <w:rPr>
          <w:noProof/>
        </w:rPr>
        <w:t xml:space="preserve"> w prz</w:t>
      </w:r>
      <w:r w:rsidRPr="00610401">
        <w:rPr>
          <w:noProof/>
        </w:rPr>
        <w:t>ypadku obszarów zalewowych.</w:t>
      </w:r>
    </w:p>
    <w:p w:rsidR="008D0129" w:rsidRPr="00610401" w:rsidRDefault="008D0129" w:rsidP="00023BC7">
      <w:pPr>
        <w:pStyle w:val="Text1"/>
        <w:rPr>
          <w:noProof/>
        </w:rPr>
      </w:pPr>
    </w:p>
    <w:p w:rsidR="00BE0A2F" w:rsidRPr="00610401" w:rsidRDefault="009F5C98" w:rsidP="009F5C98">
      <w:pPr>
        <w:pStyle w:val="ManualHeading3"/>
        <w:rPr>
          <w:noProof/>
        </w:rPr>
      </w:pPr>
      <w:bookmarkStart w:id="23" w:name="_Toc514938033"/>
      <w:bookmarkStart w:id="24" w:name="_Toc520485038"/>
      <w:r w:rsidRPr="009F5C98">
        <w:t>1.5.4.</w:t>
      </w:r>
      <w:r w:rsidRPr="009F5C98">
        <w:tab/>
      </w:r>
      <w:r w:rsidR="00BE0A2F" w:rsidRPr="00610401">
        <w:rPr>
          <w:noProof/>
        </w:rPr>
        <w:t>Spójność</w:t>
      </w:r>
      <w:r w:rsidR="00610401" w:rsidRPr="00610401">
        <w:rPr>
          <w:noProof/>
        </w:rPr>
        <w:t xml:space="preserve"> z wie</w:t>
      </w:r>
      <w:r w:rsidR="00BE0A2F" w:rsidRPr="00610401">
        <w:rPr>
          <w:noProof/>
        </w:rPr>
        <w:t>loletnimi ramami finansowymi oraz możliwa synergia</w:t>
      </w:r>
      <w:r w:rsidR="00610401" w:rsidRPr="00610401">
        <w:rPr>
          <w:noProof/>
        </w:rPr>
        <w:t xml:space="preserve"> z inn</w:t>
      </w:r>
      <w:r w:rsidR="00BE0A2F" w:rsidRPr="00610401">
        <w:rPr>
          <w:noProof/>
        </w:rPr>
        <w:t>ymi właściwymi instrumentami</w:t>
      </w:r>
      <w:bookmarkEnd w:id="23"/>
      <w:bookmarkEnd w:id="24"/>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rPr>
      </w:pPr>
      <w:r w:rsidRPr="00610401">
        <w:rPr>
          <w:noProof/>
        </w:rPr>
        <w:t>Inicjatywa ta wchodzi</w:t>
      </w:r>
      <w:r w:rsidR="00610401" w:rsidRPr="00610401">
        <w:rPr>
          <w:noProof/>
        </w:rPr>
        <w:t xml:space="preserve"> w zak</w:t>
      </w:r>
      <w:r w:rsidRPr="00610401">
        <w:rPr>
          <w:noProof/>
        </w:rPr>
        <w:t>res Europejskiego Zielonego Ładu, unijnej strategii zrównoważonego wzrostu gospodarczego. Obejmuje to cel polegający na zapewnieniu, aby do</w:t>
      </w:r>
      <w:r w:rsidR="00610401" w:rsidRPr="00610401">
        <w:rPr>
          <w:noProof/>
        </w:rPr>
        <w:t> </w:t>
      </w:r>
      <w:r w:rsidRPr="00610401">
        <w:rPr>
          <w:noProof/>
        </w:rPr>
        <w:t>2030</w:t>
      </w:r>
      <w:r w:rsidR="00610401" w:rsidRPr="00610401">
        <w:rPr>
          <w:noProof/>
        </w:rPr>
        <w:t> </w:t>
      </w:r>
      <w:r w:rsidRPr="00610401">
        <w:rPr>
          <w:noProof/>
        </w:rPr>
        <w:t>r. różnorodność biologiczna w UE weszła na ścieżkę regeneracji, a do</w:t>
      </w:r>
      <w:r w:rsidR="00610401" w:rsidRPr="00610401">
        <w:rPr>
          <w:noProof/>
        </w:rPr>
        <w:t> </w:t>
      </w:r>
      <w:r w:rsidRPr="00610401">
        <w:rPr>
          <w:noProof/>
        </w:rPr>
        <w:t>2050</w:t>
      </w:r>
      <w:r w:rsidR="00610401" w:rsidRPr="00610401">
        <w:rPr>
          <w:noProof/>
        </w:rPr>
        <w:t> </w:t>
      </w:r>
      <w:r w:rsidRPr="00610401">
        <w:rPr>
          <w:noProof/>
        </w:rPr>
        <w:t>r. wszystkie ekosystemy w UE zostały odbudowane</w:t>
      </w:r>
      <w:r w:rsidR="00610401" w:rsidRPr="00610401">
        <w:rPr>
          <w:noProof/>
        </w:rPr>
        <w:t>. W ram</w:t>
      </w:r>
      <w:r w:rsidRPr="00610401">
        <w:rPr>
          <w:noProof/>
        </w:rPr>
        <w:t>ach tej inicjatywy wyznaczono również wiążące cele</w:t>
      </w:r>
      <w:r w:rsidR="00610401" w:rsidRPr="00610401">
        <w:rPr>
          <w:noProof/>
        </w:rPr>
        <w:t xml:space="preserve"> w zak</w:t>
      </w:r>
      <w:r w:rsidRPr="00610401">
        <w:rPr>
          <w:noProof/>
        </w:rPr>
        <w:t>resie przywrócenia do dobrego stanu zdegradowanych ekosystemów, siedlisk</w:t>
      </w:r>
      <w:r w:rsidR="00610401" w:rsidRPr="00610401">
        <w:rPr>
          <w:noProof/>
        </w:rPr>
        <w:t xml:space="preserve"> i gat</w:t>
      </w:r>
      <w:r w:rsidRPr="00610401">
        <w:rPr>
          <w:noProof/>
        </w:rPr>
        <w:t>unków. Wynika ona również</w:t>
      </w:r>
      <w:r w:rsidR="00610401" w:rsidRPr="00610401">
        <w:rPr>
          <w:noProof/>
        </w:rPr>
        <w:t xml:space="preserve"> z amb</w:t>
      </w:r>
      <w:r w:rsidRPr="00610401">
        <w:rPr>
          <w:noProof/>
        </w:rPr>
        <w:t>icji określonych</w:t>
      </w:r>
      <w:r w:rsidR="00610401" w:rsidRPr="00610401">
        <w:rPr>
          <w:noProof/>
        </w:rPr>
        <w:t xml:space="preserve"> w uni</w:t>
      </w:r>
      <w:r w:rsidRPr="00610401">
        <w:rPr>
          <w:noProof/>
        </w:rPr>
        <w:t>jnej strategii na rzecz bioróżnorodności 2030</w:t>
      </w:r>
      <w:r w:rsidR="00610401" w:rsidRPr="00610401">
        <w:rPr>
          <w:noProof/>
        </w:rPr>
        <w:t xml:space="preserve"> i prz</w:t>
      </w:r>
      <w:r w:rsidRPr="00610401">
        <w:rPr>
          <w:noProof/>
        </w:rPr>
        <w:t>yczynia się do ich realizacji.</w:t>
      </w:r>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rPr>
      </w:pPr>
      <w:r w:rsidRPr="00610401">
        <w:rPr>
          <w:noProof/>
        </w:rPr>
        <w:t>Inicjatywa wchodzi</w:t>
      </w:r>
      <w:r w:rsidR="00610401" w:rsidRPr="00610401">
        <w:rPr>
          <w:noProof/>
        </w:rPr>
        <w:t xml:space="preserve"> w zak</w:t>
      </w:r>
      <w:r w:rsidRPr="00610401">
        <w:rPr>
          <w:noProof/>
        </w:rPr>
        <w:t>res działu 3 (Zasoby naturalne</w:t>
      </w:r>
      <w:r w:rsidR="00610401" w:rsidRPr="00610401">
        <w:rPr>
          <w:noProof/>
        </w:rPr>
        <w:t xml:space="preserve"> i śro</w:t>
      </w:r>
      <w:r w:rsidRPr="00610401">
        <w:rPr>
          <w:noProof/>
        </w:rPr>
        <w:t>dowisko), tytułu 9 (Działania na rzecz środowiska</w:t>
      </w:r>
      <w:r w:rsidR="00610401" w:rsidRPr="00610401">
        <w:rPr>
          <w:noProof/>
        </w:rPr>
        <w:t xml:space="preserve"> i kli</w:t>
      </w:r>
      <w:r w:rsidRPr="00610401">
        <w:rPr>
          <w:noProof/>
        </w:rPr>
        <w:t>matu) wieloletnich ram finansowych (WRF) 2021–2027. Na podstawie tego prawodawstwa możliwe będzie pozyskanie funduszy na realizację ambitnego celu, jakim jest przeznaczenie 7,5</w:t>
      </w:r>
      <w:r w:rsidR="00610401" w:rsidRPr="00610401">
        <w:rPr>
          <w:noProof/>
        </w:rPr>
        <w:t> </w:t>
      </w:r>
      <w:r w:rsidRPr="00610401">
        <w:rPr>
          <w:noProof/>
        </w:rPr>
        <w:t>% rocznych wydatków</w:t>
      </w:r>
      <w:r w:rsidR="00610401" w:rsidRPr="00610401">
        <w:rPr>
          <w:noProof/>
        </w:rPr>
        <w:t xml:space="preserve"> w ram</w:t>
      </w:r>
      <w:r w:rsidRPr="00610401">
        <w:rPr>
          <w:noProof/>
        </w:rPr>
        <w:t>ach wieloletnich ram finansowych na cele dotyczące różnorodności biologicznej</w:t>
      </w:r>
      <w:r w:rsidR="00610401" w:rsidRPr="00610401">
        <w:rPr>
          <w:noProof/>
        </w:rPr>
        <w:t xml:space="preserve"> w 2</w:t>
      </w:r>
      <w:r w:rsidRPr="00610401">
        <w:rPr>
          <w:noProof/>
        </w:rPr>
        <w:t>024</w:t>
      </w:r>
      <w:r w:rsidR="00610401" w:rsidRPr="00610401">
        <w:rPr>
          <w:noProof/>
        </w:rPr>
        <w:t> </w:t>
      </w:r>
      <w:r w:rsidRPr="00610401">
        <w:rPr>
          <w:noProof/>
        </w:rPr>
        <w:t>r. oraz 10</w:t>
      </w:r>
      <w:r w:rsidR="00610401" w:rsidRPr="00610401">
        <w:rPr>
          <w:noProof/>
        </w:rPr>
        <w:t> </w:t>
      </w:r>
      <w:r w:rsidRPr="00610401">
        <w:rPr>
          <w:noProof/>
        </w:rPr>
        <w:t>% rocznych wydatków</w:t>
      </w:r>
      <w:r w:rsidR="00610401" w:rsidRPr="00610401">
        <w:rPr>
          <w:noProof/>
        </w:rPr>
        <w:t xml:space="preserve"> w ram</w:t>
      </w:r>
      <w:r w:rsidRPr="00610401">
        <w:rPr>
          <w:noProof/>
        </w:rPr>
        <w:t>ach wieloletnich ram finansowych na cele dotyczące różnorodności biologicznej</w:t>
      </w:r>
      <w:r w:rsidR="00610401" w:rsidRPr="00610401">
        <w:rPr>
          <w:noProof/>
        </w:rPr>
        <w:t xml:space="preserve"> w lat</w:t>
      </w:r>
      <w:r w:rsidRPr="00610401">
        <w:rPr>
          <w:noProof/>
        </w:rPr>
        <w:t>ach 2026</w:t>
      </w:r>
      <w:r w:rsidR="00610401" w:rsidRPr="00610401">
        <w:rPr>
          <w:noProof/>
        </w:rPr>
        <w:t xml:space="preserve"> i 2</w:t>
      </w:r>
      <w:r w:rsidRPr="00610401">
        <w:rPr>
          <w:noProof/>
        </w:rPr>
        <w:t>027, przy jednoczesnym uwzględnieniu istniejącego nakładania się celów związanych</w:t>
      </w:r>
      <w:r w:rsidR="00610401" w:rsidRPr="00610401">
        <w:rPr>
          <w:noProof/>
        </w:rPr>
        <w:t xml:space="preserve"> z kli</w:t>
      </w:r>
      <w:r w:rsidRPr="00610401">
        <w:rPr>
          <w:noProof/>
        </w:rPr>
        <w:t>matem</w:t>
      </w:r>
      <w:r w:rsidR="00610401" w:rsidRPr="00610401">
        <w:rPr>
          <w:noProof/>
        </w:rPr>
        <w:t xml:space="preserve"> i róż</w:t>
      </w:r>
      <w:r w:rsidRPr="00610401">
        <w:rPr>
          <w:noProof/>
        </w:rPr>
        <w:t xml:space="preserve">norodnością biologiczną. </w:t>
      </w:r>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rPr>
      </w:pPr>
      <w:r w:rsidRPr="00610401">
        <w:rPr>
          <w:noProof/>
        </w:rPr>
        <w:t>Wniosek stanowi uzupełnienie pozostałych środków określonych</w:t>
      </w:r>
      <w:r w:rsidR="00610401" w:rsidRPr="00610401">
        <w:rPr>
          <w:noProof/>
        </w:rPr>
        <w:t xml:space="preserve"> w uni</w:t>
      </w:r>
      <w:r w:rsidRPr="00610401">
        <w:rPr>
          <w:noProof/>
        </w:rPr>
        <w:t>jnej strategii na rzecz bioróżnorodności 2030,</w:t>
      </w:r>
      <w:r w:rsidR="00610401" w:rsidRPr="00610401">
        <w:rPr>
          <w:noProof/>
        </w:rPr>
        <w:t xml:space="preserve"> w szc</w:t>
      </w:r>
      <w:r w:rsidRPr="00610401">
        <w:rPr>
          <w:noProof/>
        </w:rPr>
        <w:t>zególności: 1) współpracy</w:t>
      </w:r>
      <w:r w:rsidR="00610401" w:rsidRPr="00610401">
        <w:rPr>
          <w:noProof/>
        </w:rPr>
        <w:t xml:space="preserve"> w par</w:t>
      </w:r>
      <w:r w:rsidRPr="00610401">
        <w:rPr>
          <w:noProof/>
        </w:rPr>
        <w:t>tnerstwie</w:t>
      </w:r>
      <w:r w:rsidR="00610401" w:rsidRPr="00610401">
        <w:rPr>
          <w:noProof/>
        </w:rPr>
        <w:t xml:space="preserve"> z prz</w:t>
      </w:r>
      <w:r w:rsidRPr="00610401">
        <w:rPr>
          <w:noProof/>
        </w:rPr>
        <w:t>emysłem</w:t>
      </w:r>
      <w:r w:rsidR="00610401" w:rsidRPr="00610401">
        <w:rPr>
          <w:noProof/>
        </w:rPr>
        <w:t xml:space="preserve"> i biz</w:t>
      </w:r>
      <w:r w:rsidRPr="00610401">
        <w:rPr>
          <w:noProof/>
        </w:rPr>
        <w:t>nesem</w:t>
      </w:r>
      <w:r w:rsidR="00610401" w:rsidRPr="00610401">
        <w:rPr>
          <w:noProof/>
        </w:rPr>
        <w:t xml:space="preserve"> w cel</w:t>
      </w:r>
      <w:r w:rsidRPr="00610401">
        <w:rPr>
          <w:noProof/>
        </w:rPr>
        <w:t>u wzmocnienia zrównoważonego ładu korporacyjnego; 2) opracowania unijnej taksonomii zrównoważonego finansowania</w:t>
      </w:r>
      <w:r w:rsidR="00610401" w:rsidRPr="00610401">
        <w:rPr>
          <w:noProof/>
        </w:rPr>
        <w:t xml:space="preserve"> i str</w:t>
      </w:r>
      <w:r w:rsidRPr="00610401">
        <w:rPr>
          <w:noProof/>
        </w:rPr>
        <w:t>ategii finansowania transformacji</w:t>
      </w:r>
      <w:r w:rsidR="00610401" w:rsidRPr="00610401">
        <w:rPr>
          <w:noProof/>
        </w:rPr>
        <w:t xml:space="preserve"> w str</w:t>
      </w:r>
      <w:r w:rsidRPr="00610401">
        <w:rPr>
          <w:noProof/>
        </w:rPr>
        <w:t>onę gospodarki zrównoważonej</w:t>
      </w:r>
      <w:r w:rsidR="00610401" w:rsidRPr="00610401">
        <w:rPr>
          <w:noProof/>
        </w:rPr>
        <w:t xml:space="preserve"> w cel</w:t>
      </w:r>
      <w:r w:rsidRPr="00610401">
        <w:rPr>
          <w:noProof/>
        </w:rPr>
        <w:t>u zapewnienia realizacji inwestycji przyjaznych różnorodności biologicznej; 3) wzmocnienia współpracy międzynarodowej</w:t>
      </w:r>
      <w:r w:rsidR="00610401" w:rsidRPr="00610401">
        <w:rPr>
          <w:noProof/>
        </w:rPr>
        <w:t xml:space="preserve"> w cel</w:t>
      </w:r>
      <w:r w:rsidRPr="00610401">
        <w:rPr>
          <w:noProof/>
        </w:rPr>
        <w:t>u promowania przyjęcia podobnych środków (wchodzi to</w:t>
      </w:r>
      <w:r w:rsidR="00610401" w:rsidRPr="00610401">
        <w:rPr>
          <w:noProof/>
        </w:rPr>
        <w:t xml:space="preserve"> w zak</w:t>
      </w:r>
      <w:r w:rsidRPr="00610401">
        <w:rPr>
          <w:noProof/>
        </w:rPr>
        <w:t xml:space="preserve">res rozdziału 14 – Działania zewnętrzne – WRF). </w:t>
      </w:r>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rPr>
      </w:pPr>
      <w:r w:rsidRPr="00610401">
        <w:rPr>
          <w:noProof/>
        </w:rPr>
        <w:t>W unijnej strategii na rzecz bioróżnorodności określono cel polegający na przeznaczaniu co najmniej 20 mld EUR rocznie na wydatki na przyrodę,</w:t>
      </w:r>
      <w:r w:rsidR="00610401" w:rsidRPr="00610401">
        <w:rPr>
          <w:noProof/>
        </w:rPr>
        <w:t xml:space="preserve"> w tym</w:t>
      </w:r>
      <w:r w:rsidRPr="00610401">
        <w:rPr>
          <w:noProof/>
        </w:rPr>
        <w:t xml:space="preserve"> na realizację priorytetów inwestycyjnych</w:t>
      </w:r>
      <w:r w:rsidR="00610401" w:rsidRPr="00610401">
        <w:rPr>
          <w:noProof/>
        </w:rPr>
        <w:t xml:space="preserve"> w zak</w:t>
      </w:r>
      <w:r w:rsidRPr="00610401">
        <w:rPr>
          <w:noProof/>
        </w:rPr>
        <w:t>resie sieci Natura 2000</w:t>
      </w:r>
      <w:r w:rsidR="00610401" w:rsidRPr="00610401">
        <w:rPr>
          <w:noProof/>
        </w:rPr>
        <w:t xml:space="preserve"> i zie</w:t>
      </w:r>
      <w:r w:rsidRPr="00610401">
        <w:rPr>
          <w:noProof/>
        </w:rPr>
        <w:t>lonej infrastruktury, oraz na ustanowieniu</w:t>
      </w:r>
      <w:r w:rsidR="00610401" w:rsidRPr="00610401">
        <w:rPr>
          <w:noProof/>
        </w:rPr>
        <w:t xml:space="preserve"> w ram</w:t>
      </w:r>
      <w:r w:rsidRPr="00610401">
        <w:rPr>
          <w:noProof/>
        </w:rPr>
        <w:t>ach Programu InvestEU specjalnej inicjatywy na rzecz kapitału naturalnego</w:t>
      </w:r>
      <w:r w:rsidR="00610401" w:rsidRPr="00610401">
        <w:rPr>
          <w:noProof/>
        </w:rPr>
        <w:t xml:space="preserve"> i gos</w:t>
      </w:r>
      <w:r w:rsidRPr="00610401">
        <w:rPr>
          <w:noProof/>
        </w:rPr>
        <w:t>podarki</w:t>
      </w:r>
      <w:r w:rsidR="00610401" w:rsidRPr="00610401">
        <w:rPr>
          <w:noProof/>
        </w:rPr>
        <w:t xml:space="preserve"> o obi</w:t>
      </w:r>
      <w:r w:rsidRPr="00610401">
        <w:rPr>
          <w:noProof/>
        </w:rPr>
        <w:t>egu zamkniętym, aby pozyskać co najmniej 10 mld EUR</w:t>
      </w:r>
      <w:r w:rsidR="00610401" w:rsidRPr="00610401">
        <w:rPr>
          <w:noProof/>
        </w:rPr>
        <w:t xml:space="preserve"> w cią</w:t>
      </w:r>
      <w:r w:rsidRPr="00610401">
        <w:rPr>
          <w:noProof/>
        </w:rPr>
        <w:t>gu najbliższych 10 lat. Ponadto</w:t>
      </w:r>
      <w:r w:rsidR="00610401" w:rsidRPr="00610401">
        <w:rPr>
          <w:noProof/>
        </w:rPr>
        <w:t xml:space="preserve"> w str</w:t>
      </w:r>
      <w:r w:rsidRPr="00610401">
        <w:rPr>
          <w:noProof/>
        </w:rPr>
        <w:t>ategii finansowania transformacji</w:t>
      </w:r>
      <w:r w:rsidR="00610401" w:rsidRPr="00610401">
        <w:rPr>
          <w:noProof/>
        </w:rPr>
        <w:t xml:space="preserve"> w str</w:t>
      </w:r>
      <w:r w:rsidRPr="00610401">
        <w:rPr>
          <w:noProof/>
        </w:rPr>
        <w:t>onę gospodarki zrównoważonej</w:t>
      </w:r>
      <w:r w:rsidR="00610401" w:rsidRPr="00610401">
        <w:rPr>
          <w:noProof/>
        </w:rPr>
        <w:t xml:space="preserve"> z lip</w:t>
      </w:r>
      <w:r w:rsidRPr="00610401">
        <w:rPr>
          <w:noProof/>
        </w:rPr>
        <w:t>ca 2021</w:t>
      </w:r>
      <w:r w:rsidR="00610401" w:rsidRPr="00610401">
        <w:rPr>
          <w:noProof/>
        </w:rPr>
        <w:t> </w:t>
      </w:r>
      <w:r w:rsidRPr="00610401">
        <w:rPr>
          <w:noProof/>
        </w:rPr>
        <w:t>r. przewidziano wsparcie dla działań gospodarczych przyczyniających się do ograniczenia emisji gazów cieplarnianych oraz ustanowiono ramy, które pomogą zapewnić, by system finansowy przyczyniał się do ograniczenia obecnych</w:t>
      </w:r>
      <w:r w:rsidR="00610401" w:rsidRPr="00610401">
        <w:rPr>
          <w:noProof/>
        </w:rPr>
        <w:t xml:space="preserve"> i prz</w:t>
      </w:r>
      <w:r w:rsidRPr="00610401">
        <w:rPr>
          <w:noProof/>
        </w:rPr>
        <w:t>yszłych zagrożeń dla różnorodności biologicznej oraz lepsze odzwierciedlenie sposobu,</w:t>
      </w:r>
      <w:r w:rsidR="00610401" w:rsidRPr="00610401">
        <w:rPr>
          <w:noProof/>
        </w:rPr>
        <w:t xml:space="preserve"> w jak</w:t>
      </w:r>
      <w:r w:rsidRPr="00610401">
        <w:rPr>
          <w:noProof/>
        </w:rPr>
        <w:t>i utrata różnorodności biologicznej wpływa na rentowność przedsiębiorstw</w:t>
      </w:r>
      <w:r w:rsidR="00610401" w:rsidRPr="00610401">
        <w:rPr>
          <w:noProof/>
        </w:rPr>
        <w:t xml:space="preserve"> i per</w:t>
      </w:r>
      <w:r w:rsidRPr="00610401">
        <w:rPr>
          <w:noProof/>
        </w:rPr>
        <w:t>spektywy długoterminowe.</w:t>
      </w:r>
    </w:p>
    <w:p w:rsidR="008D0129" w:rsidRPr="00610401" w:rsidRDefault="008D0129" w:rsidP="008D0129">
      <w:pPr>
        <w:pStyle w:val="Text1"/>
        <w:pBdr>
          <w:top w:val="single" w:sz="4" w:space="1" w:color="auto"/>
          <w:left w:val="single" w:sz="4" w:space="4" w:color="auto"/>
          <w:bottom w:val="single" w:sz="4" w:space="1" w:color="auto"/>
          <w:right w:val="single" w:sz="4" w:space="4" w:color="auto"/>
        </w:pBdr>
        <w:rPr>
          <w:noProof/>
          <w:color w:val="000000" w:themeColor="text1"/>
        </w:rPr>
      </w:pPr>
      <w:r w:rsidRPr="00610401">
        <w:rPr>
          <w:noProof/>
        </w:rPr>
        <w:t>W latach 2021–2027 wydatki pomocnicze (do realizacji przez państwa członkowskie) będą pokrywane</w:t>
      </w:r>
      <w:r w:rsidR="00610401" w:rsidRPr="00610401">
        <w:rPr>
          <w:noProof/>
        </w:rPr>
        <w:t xml:space="preserve"> z Eur</w:t>
      </w:r>
      <w:r w:rsidRPr="00610401">
        <w:rPr>
          <w:noProof/>
        </w:rPr>
        <w:t>opejskiego Funduszu Rolniczego Gwarancji, Europejskiego Funduszu Rolnego na rzecz Rozwoju Obszarów Wiejskich, Europejskiego Funduszu Rozwoju Regionalnego, Funduszu Spójności,</w:t>
      </w:r>
      <w:r w:rsidR="00610401" w:rsidRPr="00610401">
        <w:rPr>
          <w:noProof/>
        </w:rPr>
        <w:t xml:space="preserve"> w ram</w:t>
      </w:r>
      <w:r w:rsidRPr="00610401">
        <w:rPr>
          <w:noProof/>
        </w:rPr>
        <w:t>ach Programu działań na rzecz środowiska</w:t>
      </w:r>
      <w:r w:rsidR="00610401" w:rsidRPr="00610401">
        <w:rPr>
          <w:noProof/>
        </w:rPr>
        <w:t xml:space="preserve"> i kli</w:t>
      </w:r>
      <w:r w:rsidRPr="00610401">
        <w:rPr>
          <w:noProof/>
        </w:rPr>
        <w:t>matu (programu LIFE), programu ramowego</w:t>
      </w:r>
      <w:r w:rsidR="00610401" w:rsidRPr="00610401">
        <w:rPr>
          <w:noProof/>
        </w:rPr>
        <w:t xml:space="preserve"> w zak</w:t>
      </w:r>
      <w:r w:rsidRPr="00610401">
        <w:rPr>
          <w:noProof/>
        </w:rPr>
        <w:t>resie badań naukowych</w:t>
      </w:r>
      <w:r w:rsidR="00610401" w:rsidRPr="00610401">
        <w:rPr>
          <w:noProof/>
        </w:rPr>
        <w:t xml:space="preserve"> i inn</w:t>
      </w:r>
      <w:r w:rsidRPr="00610401">
        <w:rPr>
          <w:noProof/>
        </w:rPr>
        <w:t>owacji „Horyzont Europa”,</w:t>
      </w:r>
      <w:r w:rsidR="00610401" w:rsidRPr="00610401">
        <w:rPr>
          <w:noProof/>
        </w:rPr>
        <w:t xml:space="preserve"> z Eur</w:t>
      </w:r>
      <w:r w:rsidRPr="00610401">
        <w:rPr>
          <w:noProof/>
        </w:rPr>
        <w:t>opejskiego Funduszu Morskiego, Rybackiego</w:t>
      </w:r>
      <w:r w:rsidR="00610401" w:rsidRPr="00610401">
        <w:rPr>
          <w:noProof/>
        </w:rPr>
        <w:t xml:space="preserve"> i Akw</w:t>
      </w:r>
      <w:r w:rsidRPr="00610401">
        <w:rPr>
          <w:noProof/>
        </w:rPr>
        <w:t>akultury,</w:t>
      </w:r>
      <w:r w:rsidR="00610401" w:rsidRPr="00610401">
        <w:rPr>
          <w:noProof/>
        </w:rPr>
        <w:t xml:space="preserve"> w ram</w:t>
      </w:r>
      <w:r w:rsidRPr="00610401">
        <w:rPr>
          <w:noProof/>
        </w:rPr>
        <w:t>ach umów</w:t>
      </w:r>
      <w:r w:rsidR="00610401" w:rsidRPr="00610401">
        <w:rPr>
          <w:noProof/>
        </w:rPr>
        <w:t xml:space="preserve"> o par</w:t>
      </w:r>
      <w:r w:rsidRPr="00610401">
        <w:rPr>
          <w:noProof/>
        </w:rPr>
        <w:t>tnerstwie</w:t>
      </w:r>
      <w:r w:rsidR="00610401" w:rsidRPr="00610401">
        <w:rPr>
          <w:noProof/>
        </w:rPr>
        <w:t xml:space="preserve"> w spr</w:t>
      </w:r>
      <w:r w:rsidRPr="00610401">
        <w:rPr>
          <w:noProof/>
        </w:rPr>
        <w:t>awie zrównoważonych połowów oraz przez regionalne organizacje ds. zarządzania rybołówstwem,</w:t>
      </w:r>
      <w:r w:rsidR="00610401" w:rsidRPr="00610401">
        <w:rPr>
          <w:noProof/>
        </w:rPr>
        <w:t xml:space="preserve"> w ram</w:t>
      </w:r>
      <w:r w:rsidRPr="00610401">
        <w:rPr>
          <w:noProof/>
        </w:rPr>
        <w:t>ach europejskiego programu kosmicznego, instrumentu „Łącząc Europę”,</w:t>
      </w:r>
      <w:r w:rsidR="00610401" w:rsidRPr="00610401">
        <w:rPr>
          <w:noProof/>
        </w:rPr>
        <w:t xml:space="preserve"> z Eur</w:t>
      </w:r>
      <w:r w:rsidRPr="00610401">
        <w:rPr>
          <w:noProof/>
        </w:rPr>
        <w:t>opejskiego Funduszu Społecznego Plus,</w:t>
      </w:r>
      <w:r w:rsidR="00610401" w:rsidRPr="00610401">
        <w:rPr>
          <w:noProof/>
        </w:rPr>
        <w:t xml:space="preserve"> w ram</w:t>
      </w:r>
      <w:r w:rsidRPr="00610401">
        <w:rPr>
          <w:noProof/>
        </w:rPr>
        <w:t>ach Programu InvestEU, Unijnego Mechanizmu Ochrony Ludności,</w:t>
      </w:r>
      <w:r w:rsidR="00610401" w:rsidRPr="00610401">
        <w:rPr>
          <w:noProof/>
        </w:rPr>
        <w:t xml:space="preserve"> a tak</w:t>
      </w:r>
      <w:r w:rsidRPr="00610401">
        <w:rPr>
          <w:noProof/>
        </w:rPr>
        <w:t>że</w:t>
      </w:r>
      <w:r w:rsidR="00610401" w:rsidRPr="00610401">
        <w:rPr>
          <w:noProof/>
        </w:rPr>
        <w:t xml:space="preserve"> w ram</w:t>
      </w:r>
      <w:r w:rsidRPr="00610401">
        <w:rPr>
          <w:noProof/>
        </w:rPr>
        <w:t>ach finansowania krajowego zapewnianego przez państwa członkowskie UE oraz funduszy prywatnych.</w:t>
      </w:r>
    </w:p>
    <w:p w:rsidR="00BE0A2F" w:rsidRPr="00610401" w:rsidRDefault="009F5C98" w:rsidP="009F5C98">
      <w:pPr>
        <w:pStyle w:val="ManualHeading3"/>
        <w:rPr>
          <w:noProof/>
        </w:rPr>
      </w:pPr>
      <w:bookmarkStart w:id="25" w:name="_Toc514938036"/>
      <w:bookmarkStart w:id="26" w:name="_Toc520485039"/>
      <w:r w:rsidRPr="009F5C98">
        <w:t>1.5.5.</w:t>
      </w:r>
      <w:r w:rsidRPr="009F5C98">
        <w:tab/>
      </w:r>
      <w:r w:rsidR="00BE0A2F" w:rsidRPr="00610401">
        <w:rPr>
          <w:noProof/>
        </w:rPr>
        <w:t>Ocena różnych dostępnych możliwości finansowania,</w:t>
      </w:r>
      <w:r w:rsidR="00610401" w:rsidRPr="00610401">
        <w:rPr>
          <w:noProof/>
        </w:rPr>
        <w:t xml:space="preserve"> w tym</w:t>
      </w:r>
      <w:r w:rsidR="00BE0A2F" w:rsidRPr="00610401">
        <w:rPr>
          <w:noProof/>
        </w:rPr>
        <w:t xml:space="preserve"> zakresu przegrupowania środków</w:t>
      </w:r>
      <w:bookmarkEnd w:id="25"/>
      <w:bookmarkEnd w:id="26"/>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Wdrożenie nowego wniosku dotyczącego rozporządzenia będzie wiązało się</w:t>
      </w:r>
      <w:r w:rsidR="00610401" w:rsidRPr="00610401">
        <w:rPr>
          <w:noProof/>
        </w:rPr>
        <w:t xml:space="preserve"> z prz</w:t>
      </w:r>
      <w:r w:rsidRPr="00610401">
        <w:rPr>
          <w:noProof/>
        </w:rPr>
        <w:t>yjęciem przez Komisję nowych zadań</w:t>
      </w:r>
      <w:r w:rsidR="00610401" w:rsidRPr="00610401">
        <w:rPr>
          <w:noProof/>
        </w:rPr>
        <w:t xml:space="preserve"> i pod</w:t>
      </w:r>
      <w:r w:rsidRPr="00610401">
        <w:rPr>
          <w:noProof/>
        </w:rPr>
        <w:t>jęciem nowych działań. To</w:t>
      </w:r>
      <w:r w:rsidR="00610401" w:rsidRPr="00610401">
        <w:rPr>
          <w:noProof/>
        </w:rPr>
        <w:t xml:space="preserve"> z kol</w:t>
      </w:r>
      <w:r w:rsidRPr="00610401">
        <w:rPr>
          <w:noProof/>
        </w:rPr>
        <w:t>ei będzie wymagało zasobów ludzkich, wsparcia EEA, środków na zamówienia dla wykonawców zewnętrznych oraz co najmniej jednego porozumienia administracyjnego z JRC.</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highlight w:val="yellow"/>
        </w:rPr>
      </w:pPr>
      <w:r w:rsidRPr="00610401">
        <w:rPr>
          <w:noProof/>
        </w:rPr>
        <w:t xml:space="preserve">W DG ds. Środowiska do wdrożenia rozporządzenia potrzebnych będzie pięć dodatkowych ekwiwalentów pełnego czasu pracy (4 grupy funkcyjne AD + 1 grupa funkcyjna AST). </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Zadania wdrożeniowe wymienione</w:t>
      </w:r>
      <w:r w:rsidR="00610401" w:rsidRPr="00610401">
        <w:rPr>
          <w:noProof/>
        </w:rPr>
        <w:t xml:space="preserve"> w pun</w:t>
      </w:r>
      <w:r w:rsidRPr="00610401">
        <w:rPr>
          <w:noProof/>
        </w:rPr>
        <w:t>kcie 1.5.1 znacznie zwiększą nakład pracy DG ds. Środowiska na przykład</w:t>
      </w:r>
      <w:r w:rsidR="00610401" w:rsidRPr="00610401">
        <w:rPr>
          <w:noProof/>
        </w:rPr>
        <w:t xml:space="preserve"> w zak</w:t>
      </w:r>
      <w:r w:rsidRPr="00610401">
        <w:rPr>
          <w:noProof/>
        </w:rPr>
        <w:t>resie:</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 oceny krajowych planów odbudowy oraz dodatkowej sprawozdawczości państw członkowskich (okresowe sprawozdania</w:t>
      </w:r>
      <w:r w:rsidR="00610401" w:rsidRPr="00610401">
        <w:rPr>
          <w:noProof/>
        </w:rPr>
        <w:t xml:space="preserve"> z mon</w:t>
      </w:r>
      <w:r w:rsidRPr="00610401">
        <w:rPr>
          <w:noProof/>
        </w:rPr>
        <w:t>itorowania</w:t>
      </w:r>
      <w:r w:rsidR="00610401" w:rsidRPr="00610401">
        <w:rPr>
          <w:noProof/>
        </w:rPr>
        <w:t xml:space="preserve"> i wdr</w:t>
      </w:r>
      <w:r w:rsidRPr="00610401">
        <w:rPr>
          <w:noProof/>
        </w:rPr>
        <w:t>ażania środków odbudowy);</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 opracowywania poszczególnych aktów prawnych dotyczących procedury komitetowej</w:t>
      </w:r>
      <w:r w:rsidR="00610401" w:rsidRPr="00610401">
        <w:rPr>
          <w:noProof/>
        </w:rPr>
        <w:t xml:space="preserve"> i ich</w:t>
      </w:r>
      <w:r w:rsidRPr="00610401">
        <w:rPr>
          <w:noProof/>
        </w:rPr>
        <w:t xml:space="preserve"> przyszłych zmian;</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 zarządzania nowym komitetem utworzonym na mocy tych przepisów (co najmniej 2 posiedzenia rocznie),</w:t>
      </w:r>
      <w:r w:rsidR="00610401" w:rsidRPr="00610401">
        <w:rPr>
          <w:noProof/>
        </w:rPr>
        <w:t xml:space="preserve"> a tak</w:t>
      </w:r>
      <w:r w:rsidRPr="00610401">
        <w:rPr>
          <w:noProof/>
        </w:rPr>
        <w:t>że posiedzeniami grup ekspertów;</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 opracowywania poszczególnych wytycznych</w:t>
      </w:r>
      <w:r w:rsidR="00610401" w:rsidRPr="00610401">
        <w:rPr>
          <w:noProof/>
        </w:rPr>
        <w:t xml:space="preserve"> i mat</w:t>
      </w:r>
      <w:r w:rsidRPr="00610401">
        <w:rPr>
          <w:noProof/>
        </w:rPr>
        <w:t>eriałów informacyjnych niezbędnych do wspierania państw członkowskich we wdrażaniu nowego rozporządzenia.</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highlight w:val="yellow"/>
        </w:rPr>
      </w:pPr>
      <w:r w:rsidRPr="00610401">
        <w:rPr>
          <w:noProof/>
        </w:rPr>
        <w:t>Dodatkowe zadania związane</w:t>
      </w:r>
      <w:r w:rsidR="00610401" w:rsidRPr="00610401">
        <w:rPr>
          <w:noProof/>
        </w:rPr>
        <w:t xml:space="preserve"> z pla</w:t>
      </w:r>
      <w:r w:rsidRPr="00610401">
        <w:rPr>
          <w:noProof/>
        </w:rPr>
        <w:t>nowaniem</w:t>
      </w:r>
      <w:r w:rsidR="00610401" w:rsidRPr="00610401">
        <w:rPr>
          <w:noProof/>
        </w:rPr>
        <w:t xml:space="preserve"> i spr</w:t>
      </w:r>
      <w:r w:rsidRPr="00610401">
        <w:rPr>
          <w:noProof/>
        </w:rPr>
        <w:t>awozdawczością dla państw członkowskich oraz wynikające</w:t>
      </w:r>
      <w:r w:rsidR="00610401" w:rsidRPr="00610401">
        <w:rPr>
          <w:noProof/>
        </w:rPr>
        <w:t xml:space="preserve"> z nic</w:t>
      </w:r>
      <w:r w:rsidRPr="00610401">
        <w:rPr>
          <w:noProof/>
        </w:rPr>
        <w:t>h przepływy danych będą wymagały przygotowania, oceny</w:t>
      </w:r>
      <w:r w:rsidR="00610401" w:rsidRPr="00610401">
        <w:rPr>
          <w:noProof/>
        </w:rPr>
        <w:t xml:space="preserve"> i dzi</w:t>
      </w:r>
      <w:r w:rsidRPr="00610401">
        <w:rPr>
          <w:noProof/>
        </w:rPr>
        <w:t>ałań następczych ze strony DG ds. Środowiska. Akty wykonawcze przewidziane</w:t>
      </w:r>
      <w:r w:rsidR="00610401" w:rsidRPr="00610401">
        <w:rPr>
          <w:noProof/>
        </w:rPr>
        <w:t xml:space="preserve"> w roz</w:t>
      </w:r>
      <w:r w:rsidRPr="00610401">
        <w:rPr>
          <w:noProof/>
        </w:rPr>
        <w:t>porządzeniu,</w:t>
      </w:r>
      <w:r w:rsidR="00610401" w:rsidRPr="00610401">
        <w:rPr>
          <w:noProof/>
        </w:rPr>
        <w:t xml:space="preserve"> a tak</w:t>
      </w:r>
      <w:r w:rsidRPr="00610401">
        <w:rPr>
          <w:noProof/>
        </w:rPr>
        <w:t>że przyszłe zmiany aktu, aby ustanowić nowe cele</w:t>
      </w:r>
      <w:r w:rsidR="00610401" w:rsidRPr="00610401">
        <w:rPr>
          <w:noProof/>
        </w:rPr>
        <w:t xml:space="preserve"> w zak</w:t>
      </w:r>
      <w:r w:rsidRPr="00610401">
        <w:rPr>
          <w:noProof/>
        </w:rPr>
        <w:t>resie odbudowy, również będą wymagały znacznego nakładu pracy</w:t>
      </w:r>
      <w:r w:rsidR="00610401" w:rsidRPr="00610401">
        <w:rPr>
          <w:noProof/>
        </w:rPr>
        <w:t xml:space="preserve"> w zak</w:t>
      </w:r>
      <w:r w:rsidRPr="00610401">
        <w:rPr>
          <w:noProof/>
        </w:rPr>
        <w:t>resie przygotowania</w:t>
      </w:r>
      <w:r w:rsidR="00610401" w:rsidRPr="00610401">
        <w:rPr>
          <w:noProof/>
        </w:rPr>
        <w:t xml:space="preserve"> i pro</w:t>
      </w:r>
      <w:r w:rsidRPr="00610401">
        <w:rPr>
          <w:noProof/>
        </w:rPr>
        <w:t>cedur ustawodawczych. Na potrzeby tych części prac (technicznych), które zostaną zlecone wykonawcom lub EEA/JRC, DG ds. Środowiska będzie potrzebowała zasobów do koordynowania, kierowania</w:t>
      </w:r>
      <w:r w:rsidR="00610401" w:rsidRPr="00610401">
        <w:rPr>
          <w:noProof/>
        </w:rPr>
        <w:t xml:space="preserve"> i nad</w:t>
      </w:r>
      <w:r w:rsidRPr="00610401">
        <w:rPr>
          <w:noProof/>
        </w:rPr>
        <w:t xml:space="preserve">zorowania tych prac. </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Szczególne znaczenie polityczne</w:t>
      </w:r>
      <w:r w:rsidR="00610401" w:rsidRPr="00610401">
        <w:rPr>
          <w:noProof/>
        </w:rPr>
        <w:t xml:space="preserve"> i sze</w:t>
      </w:r>
      <w:r w:rsidRPr="00610401">
        <w:rPr>
          <w:noProof/>
        </w:rPr>
        <w:t>roki zakres nowego rozporządzenia, obejmujący obszar kompetencji kilku innych służb Komisji, będą wymagały wielu przygotowań</w:t>
      </w:r>
      <w:r w:rsidR="00610401" w:rsidRPr="00610401">
        <w:rPr>
          <w:noProof/>
        </w:rPr>
        <w:t xml:space="preserve"> i pra</w:t>
      </w:r>
      <w:r w:rsidRPr="00610401">
        <w:rPr>
          <w:noProof/>
        </w:rPr>
        <w:t>cy analitycznej</w:t>
      </w:r>
      <w:r w:rsidR="00610401" w:rsidRPr="00610401">
        <w:rPr>
          <w:noProof/>
        </w:rPr>
        <w:t xml:space="preserve"> w cel</w:t>
      </w:r>
      <w:r w:rsidRPr="00610401">
        <w:rPr>
          <w:noProof/>
        </w:rPr>
        <w:t>u zarządzania większą liczbą interakcji – zarówno na poziomie politycznym, jak</w:t>
      </w:r>
      <w:r w:rsidR="00610401" w:rsidRPr="00610401">
        <w:rPr>
          <w:noProof/>
        </w:rPr>
        <w:t xml:space="preserve"> i rob</w:t>
      </w:r>
      <w:r w:rsidRPr="00610401">
        <w:rPr>
          <w:noProof/>
        </w:rPr>
        <w:t>oczym –</w:t>
      </w:r>
      <w:r w:rsidR="00610401" w:rsidRPr="00610401">
        <w:rPr>
          <w:noProof/>
        </w:rPr>
        <w:t xml:space="preserve"> z inn</w:t>
      </w:r>
      <w:r w:rsidRPr="00610401">
        <w:rPr>
          <w:noProof/>
        </w:rPr>
        <w:t>ymi służbami Komisji, EEA, Radą</w:t>
      </w:r>
      <w:r w:rsidR="00610401" w:rsidRPr="00610401">
        <w:rPr>
          <w:noProof/>
        </w:rPr>
        <w:t xml:space="preserve"> i Par</w:t>
      </w:r>
      <w:r w:rsidRPr="00610401">
        <w:rPr>
          <w:noProof/>
        </w:rPr>
        <w:t>lamentem Europejskim, zainteresowanymi stronami</w:t>
      </w:r>
      <w:r w:rsidR="00610401" w:rsidRPr="00610401">
        <w:rPr>
          <w:noProof/>
        </w:rPr>
        <w:t xml:space="preserve"> i org</w:t>
      </w:r>
      <w:r w:rsidRPr="00610401">
        <w:rPr>
          <w:noProof/>
        </w:rPr>
        <w:t>anami rządowymi państw członkowskich.</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Wszystkie powyższe zadania wymagają trwałej, znacznej zdolności</w:t>
      </w:r>
      <w:r w:rsidR="00610401" w:rsidRPr="00610401">
        <w:rPr>
          <w:noProof/>
        </w:rPr>
        <w:t xml:space="preserve"> w zak</w:t>
      </w:r>
      <w:r w:rsidRPr="00610401">
        <w:rPr>
          <w:noProof/>
        </w:rPr>
        <w:t>resie oceny politycznej, wiedzy politycznej, umiejętności analitycznych, niezależności</w:t>
      </w:r>
      <w:r w:rsidR="00610401" w:rsidRPr="00610401">
        <w:rPr>
          <w:noProof/>
        </w:rPr>
        <w:t xml:space="preserve"> i odp</w:t>
      </w:r>
      <w:r w:rsidRPr="00610401">
        <w:rPr>
          <w:noProof/>
        </w:rPr>
        <w:t>orności przez cały okres długoterminowego wdrażania prawodawstwa, do czego potrzebni są urzędnicy należący do grupy funkcyjnej AD,</w:t>
      </w:r>
      <w:r w:rsidR="00610401" w:rsidRPr="00610401">
        <w:rPr>
          <w:noProof/>
        </w:rPr>
        <w:t xml:space="preserve"> a nie</w:t>
      </w:r>
      <w:r w:rsidRPr="00610401">
        <w:rPr>
          <w:noProof/>
        </w:rPr>
        <w:t xml:space="preserve"> krótkoterminowi pracownicy kontraktowi.</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W miarę możliwości stosowany będzie outsourcing, ale to również wymaga nadzoru. Ponadto istnieją zadania podstawowe, które wiążą się</w:t>
      </w:r>
      <w:r w:rsidR="00610401" w:rsidRPr="00610401">
        <w:rPr>
          <w:noProof/>
        </w:rPr>
        <w:t xml:space="preserve"> z wys</w:t>
      </w:r>
      <w:r w:rsidRPr="00610401">
        <w:rPr>
          <w:noProof/>
        </w:rPr>
        <w:t>okim poziomem wrażliwości politycznej</w:t>
      </w:r>
      <w:r w:rsidR="00610401" w:rsidRPr="00610401">
        <w:rPr>
          <w:noProof/>
        </w:rPr>
        <w:t xml:space="preserve"> i mus</w:t>
      </w:r>
      <w:r w:rsidRPr="00610401">
        <w:rPr>
          <w:noProof/>
        </w:rPr>
        <w:t xml:space="preserve">zą być realizowane przez Komisję. </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JRC:</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Przewiduje się jedno lub kilka porozumień administracyjnych ze Wspólnym Centrum Badawczym</w:t>
      </w:r>
      <w:r w:rsidR="00610401" w:rsidRPr="00610401">
        <w:rPr>
          <w:noProof/>
        </w:rPr>
        <w:t xml:space="preserve"> w cel</w:t>
      </w:r>
      <w:r w:rsidRPr="00610401">
        <w:rPr>
          <w:noProof/>
        </w:rPr>
        <w:t>u ustanowienia metodyki monitoringu, wyboru wskaźników</w:t>
      </w:r>
      <w:r w:rsidR="00610401" w:rsidRPr="00610401">
        <w:rPr>
          <w:noProof/>
        </w:rPr>
        <w:t xml:space="preserve"> i oce</w:t>
      </w:r>
      <w:r w:rsidRPr="00610401">
        <w:rPr>
          <w:noProof/>
        </w:rPr>
        <w:t>ny dobrego stanu tych ekosystemów, dla których nie są one jeszcze dostępne,</w:t>
      </w:r>
      <w:r w:rsidR="00610401" w:rsidRPr="00610401">
        <w:rPr>
          <w:noProof/>
        </w:rPr>
        <w:t xml:space="preserve"> a tak</w:t>
      </w:r>
      <w:r w:rsidRPr="00610401">
        <w:rPr>
          <w:noProof/>
        </w:rPr>
        <w:t>że, aby wyznaczyć nowe cele</w:t>
      </w:r>
      <w:r w:rsidR="00610401" w:rsidRPr="00610401">
        <w:rPr>
          <w:noProof/>
        </w:rPr>
        <w:t xml:space="preserve"> i odp</w:t>
      </w:r>
      <w:r w:rsidRPr="00610401">
        <w:rPr>
          <w:noProof/>
        </w:rPr>
        <w:t>owiednie poziomy bazowe na etapie 2. Szacowany budżet na to przedsięwzięcie wynosi 350 000 EUR rocznie. Na potrzeby dokonania tych szacunków uwzględniono poprzednie porozumienia administracyjne lub zamówienia</w:t>
      </w:r>
      <w:r w:rsidR="00610401" w:rsidRPr="00610401">
        <w:rPr>
          <w:noProof/>
        </w:rPr>
        <w:t xml:space="preserve"> o pod</w:t>
      </w:r>
      <w:r w:rsidRPr="00610401">
        <w:rPr>
          <w:noProof/>
        </w:rPr>
        <w:t>obnych cechach.</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highlight w:val="yellow"/>
        </w:rPr>
      </w:pP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Zamówienia publiczne na usługi:</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Kilka zadań wdrożeniowych będzie wymagało zewnętrznego wsparcia ze strony konsultantów, na przykład:</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 ocena krajowych planów odbudowy (państwa członkowskie przedstawią ją na początku 2026</w:t>
      </w:r>
      <w:r w:rsidR="00610401" w:rsidRPr="00610401">
        <w:rPr>
          <w:noProof/>
        </w:rPr>
        <w:t> </w:t>
      </w:r>
      <w:r w:rsidRPr="00610401">
        <w:rPr>
          <w:noProof/>
        </w:rPr>
        <w:t>r.</w:t>
      </w:r>
      <w:r w:rsidRPr="00610401">
        <w:rPr>
          <w:rStyle w:val="FootnoteReference"/>
          <w:noProof/>
        </w:rPr>
        <w:footnoteReference w:id="116"/>
      </w:r>
      <w:r w:rsidRPr="00610401">
        <w:rPr>
          <w:noProof/>
        </w:rPr>
        <w:t>);</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 opracowanie wytycznych dotyczących odbudowy dla państw członkowskich.</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Budżet potrzebny na te zamówienia szacuje się na</w:t>
      </w:r>
      <w:r w:rsidR="00610401" w:rsidRPr="00610401">
        <w:rPr>
          <w:noProof/>
        </w:rPr>
        <w:t> </w:t>
      </w:r>
      <w:r w:rsidRPr="00610401">
        <w:rPr>
          <w:noProof/>
        </w:rPr>
        <w:t>600 000 EUR rocznie</w:t>
      </w:r>
      <w:r w:rsidR="00610401" w:rsidRPr="00610401">
        <w:rPr>
          <w:noProof/>
        </w:rPr>
        <w:t>. W pie</w:t>
      </w:r>
      <w:r w:rsidRPr="00610401">
        <w:rPr>
          <w:noProof/>
        </w:rPr>
        <w:t>rwszych latach nacisk zostanie położony na opracowanie wytycznych, natomiast</w:t>
      </w:r>
      <w:r w:rsidR="00610401" w:rsidRPr="00610401">
        <w:rPr>
          <w:noProof/>
        </w:rPr>
        <w:t xml:space="preserve"> w póź</w:t>
      </w:r>
      <w:r w:rsidRPr="00610401">
        <w:rPr>
          <w:noProof/>
        </w:rPr>
        <w:t>niejszych latach – na krajowe plany odbudowy (2026</w:t>
      </w:r>
      <w:r w:rsidR="00610401" w:rsidRPr="00610401">
        <w:rPr>
          <w:noProof/>
        </w:rPr>
        <w:t> </w:t>
      </w:r>
      <w:r w:rsidRPr="00610401">
        <w:rPr>
          <w:noProof/>
        </w:rPr>
        <w:t>r.). Na potrzeby dokonania tych szacunków uwzględniono budżet potrzebny do realizacji porównywalnego zadania określonego</w:t>
      </w:r>
      <w:r w:rsidR="00610401" w:rsidRPr="00610401">
        <w:rPr>
          <w:noProof/>
        </w:rPr>
        <w:t xml:space="preserve"> w ram</w:t>
      </w:r>
      <w:r w:rsidRPr="00610401">
        <w:rPr>
          <w:noProof/>
        </w:rPr>
        <w:t>owej dyrektywie wodnej, tj. przeglądu planów gospodarowania wodami</w:t>
      </w:r>
      <w:r w:rsidR="00610401" w:rsidRPr="00610401">
        <w:rPr>
          <w:noProof/>
        </w:rPr>
        <w:t xml:space="preserve"> w dor</w:t>
      </w:r>
      <w:r w:rsidRPr="00610401">
        <w:rPr>
          <w:noProof/>
        </w:rPr>
        <w:t>zeczu.</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W przypadku zamówień (zamówienia publiczne na usługi) dotyczących jednej lub kilku ocen skutków</w:t>
      </w:r>
      <w:r w:rsidR="00610401" w:rsidRPr="00610401">
        <w:rPr>
          <w:noProof/>
        </w:rPr>
        <w:t xml:space="preserve"> w odn</w:t>
      </w:r>
      <w:r w:rsidRPr="00610401">
        <w:rPr>
          <w:noProof/>
        </w:rPr>
        <w:t>iesieniu do nowych celów (etap 2) szacowany budżet na okres 3 lat wynosi 300 000 EUR rocznie.</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EEA:</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EEA będzie wspierać Komisję</w:t>
      </w:r>
      <w:r w:rsidR="00610401" w:rsidRPr="00610401">
        <w:rPr>
          <w:noProof/>
        </w:rPr>
        <w:t xml:space="preserve"> w faz</w:t>
      </w:r>
      <w:r w:rsidRPr="00610401">
        <w:rPr>
          <w:noProof/>
        </w:rPr>
        <w:t>ie przygotowawczej (2022–2023, choć dodatkowe środki zostaną udostępnione dopiero od</w:t>
      </w:r>
      <w:r w:rsidR="00610401" w:rsidRPr="00610401">
        <w:rPr>
          <w:noProof/>
        </w:rPr>
        <w:t> </w:t>
      </w:r>
      <w:r w:rsidRPr="00610401">
        <w:rPr>
          <w:noProof/>
        </w:rPr>
        <w:t>2023</w:t>
      </w:r>
      <w:r w:rsidR="00610401" w:rsidRPr="00610401">
        <w:rPr>
          <w:noProof/>
        </w:rPr>
        <w:t> </w:t>
      </w:r>
      <w:r w:rsidRPr="00610401">
        <w:rPr>
          <w:noProof/>
        </w:rPr>
        <w:t>r.),</w:t>
      </w:r>
      <w:r w:rsidR="00610401" w:rsidRPr="00610401">
        <w:rPr>
          <w:noProof/>
        </w:rPr>
        <w:t xml:space="preserve"> a tak</w:t>
      </w:r>
      <w:r w:rsidRPr="00610401">
        <w:rPr>
          <w:noProof/>
        </w:rPr>
        <w:t>że podczas wdrażania rozporządzenia. Wiąże się to ze znacznym nakładem pracy</w:t>
      </w:r>
      <w:r w:rsidR="00610401" w:rsidRPr="00610401">
        <w:rPr>
          <w:noProof/>
        </w:rPr>
        <w:t xml:space="preserve"> w pos</w:t>
      </w:r>
      <w:r w:rsidRPr="00610401">
        <w:rPr>
          <w:noProof/>
        </w:rPr>
        <w:t>taci szeregu nowych zadań dla EEA (zob. zadania wymienione</w:t>
      </w:r>
      <w:r w:rsidR="00610401" w:rsidRPr="00610401">
        <w:rPr>
          <w:noProof/>
        </w:rPr>
        <w:t xml:space="preserve"> w pun</w:t>
      </w:r>
      <w:r w:rsidRPr="00610401">
        <w:rPr>
          <w:noProof/>
        </w:rPr>
        <w:t>kcie 1.5.1). Szacowana liczba dodatkowych ekwiwalentów pełnego czasu pracy w EEA potrzebnych do realizacji tych zadań to</w:t>
      </w:r>
      <w:r w:rsidR="00610401" w:rsidRPr="00610401">
        <w:rPr>
          <w:noProof/>
        </w:rPr>
        <w:t> </w:t>
      </w:r>
      <w:r w:rsidRPr="00610401">
        <w:rPr>
          <w:noProof/>
        </w:rPr>
        <w:t>7 pracowników zatrudnionych na czas określony + 5 pracowników kontraktowych. Spośród nich 1 pracownik zatrudniony na czas określony będzie pracował na poziomie grupy funkcyjnej AST, wykonując zadania asystenckie (zarządzanie</w:t>
      </w:r>
      <w:r w:rsidR="00610401" w:rsidRPr="00610401">
        <w:rPr>
          <w:noProof/>
        </w:rPr>
        <w:t xml:space="preserve"> i wsp</w:t>
      </w:r>
      <w:r w:rsidRPr="00610401">
        <w:rPr>
          <w:noProof/>
        </w:rPr>
        <w:t>arcie administracyjne</w:t>
      </w:r>
      <w:r w:rsidR="00610401" w:rsidRPr="00610401">
        <w:rPr>
          <w:noProof/>
        </w:rPr>
        <w:t xml:space="preserve"> i fin</w:t>
      </w:r>
      <w:r w:rsidRPr="00610401">
        <w:rPr>
          <w:noProof/>
        </w:rPr>
        <w:t>ansowe). Ponadto EEA będzie potrzebowała dodatkowego budżetu, głównie na infrastrukturę informatyczną,</w:t>
      </w:r>
      <w:r w:rsidR="00610401" w:rsidRPr="00610401">
        <w:rPr>
          <w:noProof/>
        </w:rPr>
        <w:t xml:space="preserve"> w wys</w:t>
      </w:r>
      <w:r w:rsidRPr="00610401">
        <w:rPr>
          <w:noProof/>
        </w:rPr>
        <w:t>okości 1 433 000 EUR do</w:t>
      </w:r>
      <w:r w:rsidR="00610401" w:rsidRPr="00610401">
        <w:rPr>
          <w:noProof/>
        </w:rPr>
        <w:t> </w:t>
      </w:r>
      <w:r w:rsidRPr="00610401">
        <w:rPr>
          <w:noProof/>
        </w:rPr>
        <w:t>2027</w:t>
      </w:r>
      <w:r w:rsidR="00610401" w:rsidRPr="00610401">
        <w:rPr>
          <w:noProof/>
        </w:rPr>
        <w:t> </w:t>
      </w:r>
      <w:r w:rsidRPr="00610401">
        <w:rPr>
          <w:noProof/>
        </w:rPr>
        <w:t>r., wiedzę fachową dotyczącą ekosystemów (150 000 EUR/rok do</w:t>
      </w:r>
      <w:r w:rsidR="00610401" w:rsidRPr="00610401">
        <w:rPr>
          <w:noProof/>
        </w:rPr>
        <w:t> </w:t>
      </w:r>
      <w:r w:rsidRPr="00610401">
        <w:rPr>
          <w:noProof/>
        </w:rPr>
        <w:t>2027</w:t>
      </w:r>
      <w:r w:rsidR="00610401" w:rsidRPr="00610401">
        <w:rPr>
          <w:noProof/>
        </w:rPr>
        <w:t> </w:t>
      </w:r>
      <w:r w:rsidRPr="00610401">
        <w:rPr>
          <w:noProof/>
        </w:rPr>
        <w:t>r.) oraz budżet operacyjny</w:t>
      </w:r>
      <w:r w:rsidR="00610401" w:rsidRPr="00610401">
        <w:rPr>
          <w:noProof/>
        </w:rPr>
        <w:t xml:space="preserve"> w wys</w:t>
      </w:r>
      <w:r w:rsidRPr="00610401">
        <w:rPr>
          <w:noProof/>
        </w:rPr>
        <w:t>okości 3 406 000 EUR do</w:t>
      </w:r>
      <w:r w:rsidR="00610401" w:rsidRPr="00610401">
        <w:rPr>
          <w:noProof/>
        </w:rPr>
        <w:t> </w:t>
      </w:r>
      <w:r w:rsidRPr="00610401">
        <w:rPr>
          <w:noProof/>
        </w:rPr>
        <w:t>2027</w:t>
      </w:r>
      <w:r w:rsidR="00610401" w:rsidRPr="00610401">
        <w:rPr>
          <w:noProof/>
        </w:rPr>
        <w:t> </w:t>
      </w:r>
      <w:r w:rsidRPr="00610401">
        <w:rPr>
          <w:noProof/>
        </w:rPr>
        <w:t>r.</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rPr>
      </w:pPr>
      <w:r w:rsidRPr="00610401">
        <w:rPr>
          <w:noProof/>
        </w:rPr>
        <w:t>Na potrzeby dokonania tych szacunków uwzględniono zdolności</w:t>
      </w:r>
      <w:r w:rsidR="00610401" w:rsidRPr="00610401">
        <w:rPr>
          <w:noProof/>
        </w:rPr>
        <w:t xml:space="preserve"> i wie</w:t>
      </w:r>
      <w:r w:rsidRPr="00610401">
        <w:rPr>
          <w:noProof/>
        </w:rPr>
        <w:t>dzę fachową,</w:t>
      </w:r>
      <w:r w:rsidR="00610401" w:rsidRPr="00610401">
        <w:rPr>
          <w:noProof/>
        </w:rPr>
        <w:t xml:space="preserve"> a tak</w:t>
      </w:r>
      <w:r w:rsidRPr="00610401">
        <w:rPr>
          <w:noProof/>
        </w:rPr>
        <w:t>że infrastrukturę informatyczną niezbędną do realizacji tych zadań. Zob. szczegółowe uzasadnienie poniżej.</w:t>
      </w:r>
    </w:p>
    <w:p w:rsidR="00BE0A2F" w:rsidRPr="00610401" w:rsidRDefault="00BE0A2F" w:rsidP="00BE0A2F">
      <w:pPr>
        <w:rPr>
          <w:noProof/>
          <w:color w:val="000000" w:themeColor="text1"/>
        </w:rPr>
        <w:sectPr w:rsidR="00BE0A2F" w:rsidRPr="00610401" w:rsidSect="003C0B66">
          <w:pgSz w:w="11907" w:h="16840" w:code="9"/>
          <w:pgMar w:top="1134" w:right="1418" w:bottom="1134" w:left="1418" w:header="709" w:footer="709" w:gutter="0"/>
          <w:cols w:space="708"/>
          <w:docGrid w:linePitch="360"/>
        </w:sectPr>
      </w:pPr>
    </w:p>
    <w:p w:rsidR="00BE0A2F" w:rsidRPr="00610401" w:rsidRDefault="00BE0A2F" w:rsidP="00BE0A2F">
      <w:pPr>
        <w:rPr>
          <w:noProof/>
          <w:color w:val="000000" w:themeColor="text1"/>
        </w:rPr>
      </w:pPr>
    </w:p>
    <w:p w:rsidR="00BE0A2F" w:rsidRPr="00610401" w:rsidRDefault="00BE0A2F" w:rsidP="00BE0A2F">
      <w:pPr>
        <w:spacing w:before="0" w:after="0"/>
        <w:jc w:val="left"/>
        <w:rPr>
          <w:rFonts w:eastAsia="Times New Roman"/>
          <w:noProof/>
          <w:color w:val="000000" w:themeColor="text1"/>
          <w:szCs w:val="24"/>
        </w:rPr>
      </w:pPr>
      <w:r w:rsidRPr="00610401">
        <w:rPr>
          <w:noProof/>
          <w:color w:val="000000" w:themeColor="text1"/>
        </w:rPr>
        <w:t xml:space="preserve">W EEA potrzebne będą następujące profile pracowników: </w:t>
      </w:r>
    </w:p>
    <w:p w:rsidR="00BE0A2F" w:rsidRPr="00610401" w:rsidRDefault="00BE0A2F" w:rsidP="00BE0A2F">
      <w:pPr>
        <w:spacing w:before="0" w:after="0"/>
        <w:jc w:val="left"/>
        <w:rPr>
          <w:rFonts w:eastAsia="Times New Roman"/>
          <w:noProof/>
          <w:color w:val="000000" w:themeColor="text1"/>
          <w:szCs w:val="24"/>
          <w:lang w:eastAsia="en-GB"/>
        </w:rPr>
      </w:pPr>
    </w:p>
    <w:tbl>
      <w:tblPr>
        <w:tblStyle w:val="TableGrid1"/>
        <w:tblW w:w="14850" w:type="dxa"/>
        <w:tblLayout w:type="fixed"/>
        <w:tblLook w:val="04A0" w:firstRow="1" w:lastRow="0" w:firstColumn="1" w:lastColumn="0" w:noHBand="0" w:noVBand="1"/>
      </w:tblPr>
      <w:tblGrid>
        <w:gridCol w:w="2660"/>
        <w:gridCol w:w="2551"/>
        <w:gridCol w:w="1843"/>
        <w:gridCol w:w="5387"/>
        <w:gridCol w:w="2409"/>
      </w:tblGrid>
      <w:tr w:rsidR="00BE0A2F" w:rsidRPr="00610401" w:rsidTr="00B0251E">
        <w:tc>
          <w:tcPr>
            <w:tcW w:w="2660" w:type="dxa"/>
          </w:tcPr>
          <w:p w:rsidR="00BE0A2F" w:rsidRPr="00610401" w:rsidRDefault="00BE0A2F" w:rsidP="00EB4B40">
            <w:pPr>
              <w:keepNext/>
              <w:keepLines/>
              <w:numPr>
                <w:ilvl w:val="0"/>
                <w:numId w:val="31"/>
              </w:numPr>
              <w:spacing w:before="240" w:after="0" w:line="259" w:lineRule="auto"/>
              <w:ind w:left="0" w:firstLine="0"/>
              <w:jc w:val="left"/>
              <w:outlineLvl w:val="0"/>
              <w:rPr>
                <w:rFonts w:eastAsiaTheme="majorEastAsia"/>
                <w:b/>
                <w:bCs/>
                <w:noProof/>
                <w:color w:val="000000" w:themeColor="text1"/>
                <w:sz w:val="20"/>
              </w:rPr>
            </w:pPr>
            <w:r w:rsidRPr="00610401">
              <w:rPr>
                <w:b/>
                <w:noProof/>
                <w:color w:val="000000" w:themeColor="text1"/>
                <w:sz w:val="20"/>
              </w:rPr>
              <w:t>Obszar</w:t>
            </w:r>
          </w:p>
        </w:tc>
        <w:tc>
          <w:tcPr>
            <w:tcW w:w="2551" w:type="dxa"/>
          </w:tcPr>
          <w:p w:rsidR="00BE0A2F" w:rsidRPr="00610401" w:rsidRDefault="00BE0A2F" w:rsidP="00EB4B40">
            <w:pPr>
              <w:keepNext/>
              <w:keepLines/>
              <w:numPr>
                <w:ilvl w:val="0"/>
                <w:numId w:val="31"/>
              </w:numPr>
              <w:spacing w:before="240" w:after="0" w:line="259" w:lineRule="auto"/>
              <w:ind w:left="0" w:firstLine="0"/>
              <w:jc w:val="left"/>
              <w:outlineLvl w:val="0"/>
              <w:rPr>
                <w:rFonts w:eastAsiaTheme="majorEastAsia"/>
                <w:b/>
                <w:bCs/>
                <w:noProof/>
                <w:color w:val="000000" w:themeColor="text1"/>
                <w:sz w:val="20"/>
              </w:rPr>
            </w:pPr>
            <w:r w:rsidRPr="00610401">
              <w:rPr>
                <w:b/>
                <w:noProof/>
                <w:color w:val="000000" w:themeColor="text1"/>
                <w:sz w:val="20"/>
              </w:rPr>
              <w:t xml:space="preserve">Dodatkowe stanowiska </w:t>
            </w:r>
          </w:p>
          <w:p w:rsidR="00BE0A2F" w:rsidRPr="00610401" w:rsidRDefault="00BE0A2F" w:rsidP="00BE0A2F">
            <w:pPr>
              <w:spacing w:before="0" w:after="0"/>
              <w:jc w:val="left"/>
              <w:rPr>
                <w:noProof/>
                <w:color w:val="000000" w:themeColor="text1"/>
                <w:sz w:val="20"/>
              </w:rPr>
            </w:pPr>
          </w:p>
        </w:tc>
        <w:tc>
          <w:tcPr>
            <w:tcW w:w="1843" w:type="dxa"/>
          </w:tcPr>
          <w:p w:rsidR="00BE0A2F" w:rsidRPr="00610401" w:rsidRDefault="00BE0A2F" w:rsidP="00EB4B40">
            <w:pPr>
              <w:keepNext/>
              <w:keepLines/>
              <w:numPr>
                <w:ilvl w:val="0"/>
                <w:numId w:val="31"/>
              </w:numPr>
              <w:spacing w:before="240" w:after="0" w:line="259" w:lineRule="auto"/>
              <w:ind w:left="0" w:firstLine="0"/>
              <w:jc w:val="left"/>
              <w:outlineLvl w:val="0"/>
              <w:rPr>
                <w:rFonts w:eastAsiaTheme="majorEastAsia"/>
                <w:b/>
                <w:bCs/>
                <w:noProof/>
                <w:color w:val="000000" w:themeColor="text1"/>
                <w:sz w:val="20"/>
              </w:rPr>
            </w:pPr>
            <w:r w:rsidRPr="00610401">
              <w:rPr>
                <w:b/>
                <w:noProof/>
                <w:color w:val="000000" w:themeColor="text1"/>
                <w:sz w:val="20"/>
              </w:rPr>
              <w:t>Budżet</w:t>
            </w:r>
          </w:p>
        </w:tc>
        <w:tc>
          <w:tcPr>
            <w:tcW w:w="5387" w:type="dxa"/>
          </w:tcPr>
          <w:p w:rsidR="00BE0A2F" w:rsidRPr="00610401" w:rsidRDefault="00BE0A2F" w:rsidP="00EB4B40">
            <w:pPr>
              <w:keepNext/>
              <w:keepLines/>
              <w:numPr>
                <w:ilvl w:val="0"/>
                <w:numId w:val="31"/>
              </w:numPr>
              <w:spacing w:before="240" w:after="0" w:line="259" w:lineRule="auto"/>
              <w:ind w:left="0" w:firstLine="0"/>
              <w:jc w:val="left"/>
              <w:outlineLvl w:val="0"/>
              <w:rPr>
                <w:rFonts w:eastAsiaTheme="majorEastAsia"/>
                <w:b/>
                <w:bCs/>
                <w:noProof/>
                <w:color w:val="000000" w:themeColor="text1"/>
                <w:sz w:val="20"/>
              </w:rPr>
            </w:pPr>
            <w:r w:rsidRPr="00610401">
              <w:rPr>
                <w:b/>
                <w:noProof/>
                <w:color w:val="000000" w:themeColor="text1"/>
                <w:sz w:val="20"/>
              </w:rPr>
              <w:t>Zadania</w:t>
            </w:r>
          </w:p>
        </w:tc>
        <w:tc>
          <w:tcPr>
            <w:tcW w:w="2409" w:type="dxa"/>
          </w:tcPr>
          <w:p w:rsidR="00BE0A2F" w:rsidRPr="00610401" w:rsidRDefault="00BE0A2F" w:rsidP="00EB4B40">
            <w:pPr>
              <w:keepNext/>
              <w:keepLines/>
              <w:numPr>
                <w:ilvl w:val="0"/>
                <w:numId w:val="31"/>
              </w:numPr>
              <w:spacing w:before="240" w:after="0" w:line="259" w:lineRule="auto"/>
              <w:ind w:left="0" w:firstLine="0"/>
              <w:jc w:val="left"/>
              <w:outlineLvl w:val="0"/>
              <w:rPr>
                <w:rFonts w:eastAsiaTheme="majorEastAsia"/>
                <w:b/>
                <w:bCs/>
                <w:noProof/>
                <w:color w:val="000000" w:themeColor="text1"/>
                <w:sz w:val="20"/>
              </w:rPr>
            </w:pPr>
            <w:r w:rsidRPr="00610401">
              <w:rPr>
                <w:b/>
                <w:noProof/>
                <w:color w:val="000000" w:themeColor="text1"/>
                <w:sz w:val="20"/>
              </w:rPr>
              <w:t>Ramy czasowe</w:t>
            </w:r>
          </w:p>
        </w:tc>
      </w:tr>
      <w:tr w:rsidR="00BE0A2F" w:rsidRPr="00610401" w:rsidTr="00B0251E">
        <w:trPr>
          <w:trHeight w:val="983"/>
        </w:trPr>
        <w:tc>
          <w:tcPr>
            <w:tcW w:w="2660" w:type="dxa"/>
            <w:vMerge w:val="restart"/>
          </w:tcPr>
          <w:p w:rsidR="00BE0A2F" w:rsidRPr="00610401" w:rsidRDefault="00BE0A2F" w:rsidP="00BE0A2F">
            <w:pPr>
              <w:spacing w:before="0" w:after="0"/>
              <w:jc w:val="left"/>
              <w:rPr>
                <w:b/>
                <w:bCs/>
                <w:noProof/>
                <w:color w:val="000000" w:themeColor="text1"/>
                <w:sz w:val="20"/>
              </w:rPr>
            </w:pPr>
          </w:p>
          <w:p w:rsidR="00BE0A2F" w:rsidRPr="00610401" w:rsidRDefault="00BE0A2F" w:rsidP="00BE0A2F">
            <w:pPr>
              <w:spacing w:before="0" w:after="0"/>
              <w:jc w:val="left"/>
              <w:rPr>
                <w:b/>
                <w:bCs/>
                <w:noProof/>
                <w:color w:val="000000" w:themeColor="text1"/>
                <w:sz w:val="20"/>
              </w:rPr>
            </w:pPr>
            <w:r w:rsidRPr="00610401">
              <w:rPr>
                <w:b/>
                <w:noProof/>
                <w:color w:val="000000" w:themeColor="text1"/>
                <w:sz w:val="20"/>
              </w:rPr>
              <w:t>Fachowa wiedza tematyczna</w:t>
            </w:r>
            <w:r w:rsidR="00610401" w:rsidRPr="00610401">
              <w:rPr>
                <w:b/>
                <w:noProof/>
                <w:color w:val="000000" w:themeColor="text1"/>
                <w:sz w:val="20"/>
              </w:rPr>
              <w:t xml:space="preserve"> z zak</w:t>
            </w:r>
            <w:r w:rsidRPr="00610401">
              <w:rPr>
                <w:b/>
                <w:noProof/>
                <w:color w:val="000000" w:themeColor="text1"/>
                <w:sz w:val="20"/>
              </w:rPr>
              <w:t>resu „celów ekosystemowych”:</w:t>
            </w:r>
          </w:p>
          <w:p w:rsidR="00BE0A2F" w:rsidRPr="00610401" w:rsidRDefault="00BE0A2F" w:rsidP="00BE0A2F">
            <w:pPr>
              <w:spacing w:before="0" w:after="0"/>
              <w:jc w:val="left"/>
              <w:rPr>
                <w:b/>
                <w:bCs/>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Celem tych stanowisk będzie zapewnienie dogłębnej fachowej wiedzy tematycznej</w:t>
            </w:r>
            <w:r w:rsidR="00610401" w:rsidRPr="00610401">
              <w:rPr>
                <w:noProof/>
                <w:color w:val="000000" w:themeColor="text1"/>
                <w:sz w:val="20"/>
              </w:rPr>
              <w:t xml:space="preserve"> w zak</w:t>
            </w:r>
            <w:r w:rsidRPr="00610401">
              <w:rPr>
                <w:noProof/>
                <w:color w:val="000000" w:themeColor="text1"/>
                <w:sz w:val="20"/>
              </w:rPr>
              <w:t>resie wszystkich 7 „typów ekosystemów”, dla których krajowe laboratorium referencyjne określi cele (uwaga: niektórzy eksperci mogą zajmować się większą liczbą „typów ekosystemów”, a „niektóre typy ekosystemów” wymagają zaangażowania więcej niż jednego eksperta, np. owady zapylające). Następnie eksperci ci będą udzielać wsparcia</w:t>
            </w:r>
            <w:r w:rsidR="00610401" w:rsidRPr="00610401">
              <w:rPr>
                <w:noProof/>
                <w:color w:val="000000" w:themeColor="text1"/>
                <w:sz w:val="20"/>
              </w:rPr>
              <w:t xml:space="preserve"> w zak</w:t>
            </w:r>
            <w:r w:rsidRPr="00610401">
              <w:rPr>
                <w:noProof/>
                <w:color w:val="000000" w:themeColor="text1"/>
                <w:sz w:val="20"/>
              </w:rPr>
              <w:t>resie 11 zadań wymienionych</w:t>
            </w:r>
            <w:r w:rsidR="00610401" w:rsidRPr="00610401">
              <w:rPr>
                <w:noProof/>
                <w:color w:val="000000" w:themeColor="text1"/>
                <w:sz w:val="20"/>
              </w:rPr>
              <w:t xml:space="preserve"> w pow</w:t>
            </w:r>
            <w:r w:rsidRPr="00610401">
              <w:rPr>
                <w:noProof/>
                <w:color w:val="000000" w:themeColor="text1"/>
                <w:sz w:val="20"/>
              </w:rPr>
              <w:t xml:space="preserve">yższej tabeli. </w:t>
            </w:r>
          </w:p>
          <w:p w:rsidR="00BE0A2F" w:rsidRPr="00610401" w:rsidRDefault="00BE0A2F" w:rsidP="00BE0A2F">
            <w:pPr>
              <w:spacing w:before="0" w:after="0"/>
              <w:jc w:val="left"/>
              <w:rPr>
                <w:noProof/>
                <w:color w:val="000000" w:themeColor="text1"/>
                <w:sz w:val="20"/>
              </w:rPr>
            </w:pPr>
          </w:p>
        </w:tc>
        <w:tc>
          <w:tcPr>
            <w:tcW w:w="2551" w:type="dxa"/>
          </w:tcPr>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5 grupa funkcyjna AD 6,</w:t>
            </w:r>
            <w:r w:rsidR="00610401" w:rsidRPr="00610401">
              <w:rPr>
                <w:noProof/>
                <w:color w:val="000000" w:themeColor="text1"/>
                <w:sz w:val="20"/>
              </w:rPr>
              <w:t xml:space="preserve"> z dow</w:t>
            </w:r>
            <w:r w:rsidRPr="00610401">
              <w:rPr>
                <w:noProof/>
                <w:color w:val="000000" w:themeColor="text1"/>
                <w:sz w:val="20"/>
              </w:rPr>
              <w:t>olną kombinacją wiedzy fachowej</w:t>
            </w:r>
            <w:r w:rsidR="00610401" w:rsidRPr="00610401">
              <w:rPr>
                <w:noProof/>
                <w:color w:val="000000" w:themeColor="text1"/>
                <w:sz w:val="20"/>
              </w:rPr>
              <w:t xml:space="preserve"> w nas</w:t>
            </w:r>
            <w:r w:rsidRPr="00610401">
              <w:rPr>
                <w:noProof/>
                <w:color w:val="000000" w:themeColor="text1"/>
                <w:sz w:val="20"/>
              </w:rPr>
              <w:t>tępującym zakresie:</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 odbudowy terenów podmokłych (w tym ponownego nawadniania torfowisk, bagien</w:t>
            </w:r>
            <w:r w:rsidR="00610401" w:rsidRPr="00610401">
              <w:rPr>
                <w:noProof/>
                <w:color w:val="000000" w:themeColor="text1"/>
                <w:sz w:val="20"/>
              </w:rPr>
              <w:t xml:space="preserve"> i prz</w:t>
            </w:r>
            <w:r w:rsidRPr="00610401">
              <w:rPr>
                <w:noProof/>
                <w:color w:val="000000" w:themeColor="text1"/>
                <w:sz w:val="20"/>
              </w:rPr>
              <w:t>ybrzeżnych terenów podmokłych); </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 odbudowy ekosystemów leśnych;</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 ekosystemów rolniczych</w:t>
            </w:r>
            <w:r w:rsidR="00610401" w:rsidRPr="00610401">
              <w:rPr>
                <w:noProof/>
                <w:color w:val="000000" w:themeColor="text1"/>
                <w:sz w:val="20"/>
              </w:rPr>
              <w:t xml:space="preserve"> i obs</w:t>
            </w:r>
            <w:r w:rsidRPr="00610401">
              <w:rPr>
                <w:noProof/>
                <w:color w:val="000000" w:themeColor="text1"/>
                <w:sz w:val="20"/>
              </w:rPr>
              <w:t>zarów trawiastych,</w:t>
            </w:r>
            <w:r w:rsidR="00610401" w:rsidRPr="00610401">
              <w:rPr>
                <w:noProof/>
                <w:color w:val="000000" w:themeColor="text1"/>
                <w:sz w:val="20"/>
              </w:rPr>
              <w:t xml:space="preserve"> w tym</w:t>
            </w:r>
            <w:r w:rsidRPr="00610401">
              <w:rPr>
                <w:noProof/>
                <w:color w:val="000000" w:themeColor="text1"/>
                <w:sz w:val="20"/>
              </w:rPr>
              <w:t xml:space="preserve"> wrzosowisk</w:t>
            </w:r>
            <w:r w:rsidR="00610401" w:rsidRPr="00610401">
              <w:rPr>
                <w:noProof/>
                <w:color w:val="000000" w:themeColor="text1"/>
                <w:sz w:val="20"/>
              </w:rPr>
              <w:t xml:space="preserve"> i zar</w:t>
            </w:r>
            <w:r w:rsidRPr="00610401">
              <w:rPr>
                <w:noProof/>
                <w:color w:val="000000" w:themeColor="text1"/>
                <w:sz w:val="20"/>
              </w:rPr>
              <w:t>ośli, ptaków krajobrazu rolniczego; </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 odbudowy zasobów słodkowodnych: jezior</w:t>
            </w:r>
            <w:r w:rsidR="00610401" w:rsidRPr="00610401">
              <w:rPr>
                <w:noProof/>
                <w:color w:val="000000" w:themeColor="text1"/>
                <w:sz w:val="20"/>
              </w:rPr>
              <w:t xml:space="preserve"> i sie</w:t>
            </w:r>
            <w:r w:rsidRPr="00610401">
              <w:rPr>
                <w:noProof/>
                <w:color w:val="000000" w:themeColor="text1"/>
                <w:sz w:val="20"/>
              </w:rPr>
              <w:t>dlisk zalewowych,</w:t>
            </w:r>
            <w:r w:rsidR="00610401" w:rsidRPr="00610401">
              <w:rPr>
                <w:noProof/>
                <w:color w:val="000000" w:themeColor="text1"/>
                <w:sz w:val="20"/>
              </w:rPr>
              <w:t xml:space="preserve"> w tym</w:t>
            </w:r>
            <w:r w:rsidRPr="00610401">
              <w:rPr>
                <w:noProof/>
                <w:color w:val="000000" w:themeColor="text1"/>
                <w:sz w:val="20"/>
              </w:rPr>
              <w:t xml:space="preserve"> barier rzecznych; </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 odbudowy ekosystemów morskich,</w:t>
            </w:r>
            <w:r w:rsidR="00610401" w:rsidRPr="00610401">
              <w:rPr>
                <w:noProof/>
                <w:color w:val="000000" w:themeColor="text1"/>
                <w:sz w:val="20"/>
              </w:rPr>
              <w:t xml:space="preserve"> w tym</w:t>
            </w:r>
            <w:r w:rsidRPr="00610401">
              <w:rPr>
                <w:noProof/>
                <w:color w:val="000000" w:themeColor="text1"/>
                <w:sz w:val="20"/>
              </w:rPr>
              <w:t xml:space="preserve"> przybrzeżnych; </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 odbudowy ekosystemu miejskiego;</w:t>
            </w:r>
            <w:r w:rsidR="00610401" w:rsidRPr="00610401">
              <w:rPr>
                <w:noProof/>
                <w:color w:val="000000" w:themeColor="text1"/>
                <w:sz w:val="20"/>
              </w:rPr>
              <w:t xml:space="preserve"> </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 owadów zapylających.</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1 x grupa funkcyjna IV technicznego wsparcia odbudowy.</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tc>
        <w:tc>
          <w:tcPr>
            <w:tcW w:w="1843" w:type="dxa"/>
          </w:tcPr>
          <w:p w:rsidR="00BE0A2F" w:rsidRPr="00610401" w:rsidRDefault="00BE0A2F" w:rsidP="00BE0A2F">
            <w:pPr>
              <w:spacing w:before="0" w:after="0"/>
              <w:jc w:val="left"/>
              <w:rPr>
                <w:noProof/>
                <w:color w:val="000000" w:themeColor="text1"/>
                <w:sz w:val="20"/>
              </w:rPr>
            </w:pPr>
          </w:p>
          <w:p w:rsidR="00BE0A2F" w:rsidRPr="00610401" w:rsidRDefault="00BE0A2F" w:rsidP="0018483E">
            <w:pPr>
              <w:spacing w:before="0" w:after="0"/>
              <w:jc w:val="left"/>
              <w:rPr>
                <w:noProof/>
                <w:color w:val="000000" w:themeColor="text1"/>
                <w:sz w:val="20"/>
              </w:rPr>
            </w:pPr>
            <w:r w:rsidRPr="00610401">
              <w:rPr>
                <w:noProof/>
                <w:color w:val="000000" w:themeColor="text1"/>
                <w:sz w:val="20"/>
              </w:rPr>
              <w:t>Budżet</w:t>
            </w:r>
            <w:r w:rsidR="00610401" w:rsidRPr="00610401">
              <w:rPr>
                <w:noProof/>
                <w:color w:val="000000" w:themeColor="text1"/>
                <w:sz w:val="20"/>
              </w:rPr>
              <w:t xml:space="preserve"> w wys</w:t>
            </w:r>
            <w:r w:rsidRPr="00610401">
              <w:rPr>
                <w:noProof/>
                <w:color w:val="000000" w:themeColor="text1"/>
                <w:sz w:val="20"/>
              </w:rPr>
              <w:t>okości 150 000 EUR rocznie na wsparcie wiedzy fachowej</w:t>
            </w:r>
            <w:r w:rsidR="00610401" w:rsidRPr="00610401">
              <w:rPr>
                <w:noProof/>
                <w:color w:val="000000" w:themeColor="text1"/>
                <w:sz w:val="20"/>
              </w:rPr>
              <w:t xml:space="preserve"> w zak</w:t>
            </w:r>
            <w:r w:rsidRPr="00610401">
              <w:rPr>
                <w:noProof/>
                <w:color w:val="000000" w:themeColor="text1"/>
                <w:sz w:val="20"/>
              </w:rPr>
              <w:t>resie tych ekosystemów, które nie byłyby silnie reprezentowane</w:t>
            </w:r>
            <w:r w:rsidR="00610401" w:rsidRPr="00610401">
              <w:rPr>
                <w:noProof/>
                <w:color w:val="000000" w:themeColor="text1"/>
                <w:sz w:val="20"/>
              </w:rPr>
              <w:t xml:space="preserve"> w 6</w:t>
            </w:r>
            <w:r w:rsidRPr="00610401">
              <w:rPr>
                <w:noProof/>
                <w:color w:val="000000" w:themeColor="text1"/>
                <w:sz w:val="20"/>
              </w:rPr>
              <w:t xml:space="preserve"> zatrudnionych jednostkach lub wymagałyby dodatkowej pracy, np. ekosystemy morskie obejmują dużą liczbę ekosystemów, które są zgrupowane</w:t>
            </w:r>
            <w:r w:rsidR="00610401" w:rsidRPr="00610401">
              <w:rPr>
                <w:noProof/>
                <w:color w:val="000000" w:themeColor="text1"/>
                <w:sz w:val="20"/>
              </w:rPr>
              <w:t xml:space="preserve"> w jed</w:t>
            </w:r>
            <w:r w:rsidRPr="00610401">
              <w:rPr>
                <w:noProof/>
                <w:color w:val="000000" w:themeColor="text1"/>
                <w:sz w:val="20"/>
              </w:rPr>
              <w:t>nym, podobnie ekosystemy leśne</w:t>
            </w:r>
            <w:r w:rsidR="00610401" w:rsidRPr="00610401">
              <w:rPr>
                <w:noProof/>
                <w:color w:val="000000" w:themeColor="text1"/>
                <w:sz w:val="20"/>
              </w:rPr>
              <w:t xml:space="preserve"> i eko</w:t>
            </w:r>
            <w:r w:rsidRPr="00610401">
              <w:rPr>
                <w:noProof/>
                <w:color w:val="000000" w:themeColor="text1"/>
                <w:sz w:val="20"/>
              </w:rPr>
              <w:t>systemy rolnicze obejmują 85</w:t>
            </w:r>
            <w:r w:rsidR="00610401" w:rsidRPr="00610401">
              <w:rPr>
                <w:noProof/>
                <w:color w:val="000000" w:themeColor="text1"/>
                <w:sz w:val="20"/>
              </w:rPr>
              <w:t> </w:t>
            </w:r>
            <w:r w:rsidRPr="00610401">
              <w:rPr>
                <w:noProof/>
                <w:color w:val="000000" w:themeColor="text1"/>
                <w:sz w:val="20"/>
              </w:rPr>
              <w:t>% powierzchni lądowej UE.</w:t>
            </w:r>
          </w:p>
        </w:tc>
        <w:tc>
          <w:tcPr>
            <w:tcW w:w="5387" w:type="dxa"/>
          </w:tcPr>
          <w:p w:rsidR="00BE0A2F" w:rsidRPr="00610401" w:rsidRDefault="00BE0A2F" w:rsidP="00BE0A2F">
            <w:pPr>
              <w:spacing w:before="0" w:after="0"/>
              <w:jc w:val="left"/>
              <w:rPr>
                <w:noProof/>
                <w:color w:val="000000" w:themeColor="text1"/>
                <w:sz w:val="20"/>
              </w:rPr>
            </w:pPr>
            <w:r w:rsidRPr="00610401">
              <w:rPr>
                <w:noProof/>
                <w:color w:val="000000" w:themeColor="text1"/>
                <w:sz w:val="20"/>
              </w:rPr>
              <w:t>Kluczowa fachowa wiedza techniczna potrzebna</w:t>
            </w:r>
            <w:r w:rsidR="00610401" w:rsidRPr="00610401">
              <w:rPr>
                <w:noProof/>
                <w:color w:val="000000" w:themeColor="text1"/>
                <w:sz w:val="20"/>
              </w:rPr>
              <w:t xml:space="preserve"> w zak</w:t>
            </w:r>
            <w:r w:rsidRPr="00610401">
              <w:rPr>
                <w:noProof/>
                <w:color w:val="000000" w:themeColor="text1"/>
                <w:sz w:val="20"/>
              </w:rPr>
              <w:t xml:space="preserve">resie głównych typów ekosystemów do </w:t>
            </w:r>
            <w:r w:rsidRPr="00610401">
              <w:rPr>
                <w:b/>
                <w:noProof/>
                <w:color w:val="000000" w:themeColor="text1"/>
                <w:sz w:val="20"/>
              </w:rPr>
              <w:t>realizacji</w:t>
            </w:r>
            <w:r w:rsidRPr="00610401">
              <w:rPr>
                <w:noProof/>
                <w:color w:val="000000" w:themeColor="text1"/>
                <w:sz w:val="20"/>
              </w:rPr>
              <w:t xml:space="preserve"> następujących działań</w:t>
            </w:r>
            <w:r w:rsidR="00610401" w:rsidRPr="00610401">
              <w:rPr>
                <w:noProof/>
                <w:color w:val="000000" w:themeColor="text1"/>
                <w:sz w:val="20"/>
              </w:rPr>
              <w:t xml:space="preserve"> w ram</w:t>
            </w:r>
            <w:r w:rsidRPr="00610401">
              <w:rPr>
                <w:noProof/>
                <w:color w:val="000000" w:themeColor="text1"/>
                <w:sz w:val="20"/>
              </w:rPr>
              <w:t>ach zadań przewidzianych</w:t>
            </w:r>
            <w:r w:rsidR="00610401" w:rsidRPr="00610401">
              <w:rPr>
                <w:noProof/>
                <w:color w:val="000000" w:themeColor="text1"/>
                <w:sz w:val="20"/>
              </w:rPr>
              <w:t xml:space="preserve"> w akc</w:t>
            </w:r>
            <w:r w:rsidRPr="00610401">
              <w:rPr>
                <w:noProof/>
                <w:color w:val="000000" w:themeColor="text1"/>
                <w:sz w:val="20"/>
              </w:rPr>
              <w:t>ie prawnym</w:t>
            </w:r>
            <w:r w:rsidR="00610401" w:rsidRPr="00610401">
              <w:rPr>
                <w:noProof/>
                <w:color w:val="000000" w:themeColor="text1"/>
                <w:sz w:val="20"/>
              </w:rPr>
              <w:t xml:space="preserve"> o odb</w:t>
            </w:r>
            <w:r w:rsidRPr="00610401">
              <w:rPr>
                <w:noProof/>
                <w:color w:val="000000" w:themeColor="text1"/>
                <w:sz w:val="20"/>
              </w:rPr>
              <w:t>udowie:</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1. Inicjowanie opracowywania</w:t>
            </w:r>
            <w:r w:rsidR="00610401" w:rsidRPr="00610401">
              <w:rPr>
                <w:noProof/>
                <w:color w:val="000000" w:themeColor="text1"/>
                <w:sz w:val="20"/>
              </w:rPr>
              <w:t xml:space="preserve"> i wdr</w:t>
            </w:r>
            <w:r w:rsidRPr="00610401">
              <w:rPr>
                <w:noProof/>
                <w:color w:val="000000" w:themeColor="text1"/>
                <w:sz w:val="20"/>
              </w:rPr>
              <w:t>ażaniu krajowego planu odbudowy dla typów ekosystemów</w:t>
            </w:r>
            <w:r w:rsidR="00610401" w:rsidRPr="00610401">
              <w:rPr>
                <w:noProof/>
                <w:color w:val="000000" w:themeColor="text1"/>
                <w:sz w:val="20"/>
              </w:rPr>
              <w:t xml:space="preserve"> w odp</w:t>
            </w:r>
            <w:r w:rsidRPr="00610401">
              <w:rPr>
                <w:noProof/>
                <w:color w:val="000000" w:themeColor="text1"/>
                <w:sz w:val="20"/>
              </w:rPr>
              <w:t>owiedniej formie (jeśli możliwe jest udostępnienie środków przed fazą wdrażania).</w:t>
            </w:r>
          </w:p>
          <w:p w:rsidR="00BE0A2F" w:rsidRPr="00610401" w:rsidRDefault="00BE0A2F" w:rsidP="00BE0A2F">
            <w:pPr>
              <w:spacing w:before="0" w:after="0"/>
              <w:jc w:val="left"/>
              <w:rPr>
                <w:noProof/>
                <w:color w:val="000000" w:themeColor="text1"/>
                <w:sz w:val="20"/>
              </w:rPr>
            </w:pPr>
            <w:r w:rsidRPr="00610401">
              <w:rPr>
                <w:noProof/>
                <w:color w:val="000000" w:themeColor="text1"/>
                <w:sz w:val="20"/>
              </w:rPr>
              <w:t>2. Wsparcie przy określaniu celów związanych</w:t>
            </w:r>
            <w:r w:rsidR="00610401" w:rsidRPr="00610401">
              <w:rPr>
                <w:noProof/>
                <w:color w:val="000000" w:themeColor="text1"/>
                <w:sz w:val="20"/>
              </w:rPr>
              <w:t xml:space="preserve"> z obs</w:t>
            </w:r>
            <w:r w:rsidRPr="00610401">
              <w:rPr>
                <w:noProof/>
                <w:color w:val="000000" w:themeColor="text1"/>
                <w:sz w:val="20"/>
              </w:rPr>
              <w:t>zarami przeznaczonymi do przywrócenia,</w:t>
            </w:r>
            <w:r w:rsidR="00610401" w:rsidRPr="00610401">
              <w:rPr>
                <w:noProof/>
                <w:color w:val="000000" w:themeColor="text1"/>
                <w:sz w:val="20"/>
              </w:rPr>
              <w:t xml:space="preserve"> w odn</w:t>
            </w:r>
            <w:r w:rsidRPr="00610401">
              <w:rPr>
                <w:noProof/>
                <w:color w:val="000000" w:themeColor="text1"/>
                <w:sz w:val="20"/>
              </w:rPr>
              <w:t>iesieniu do typów ekosystemów.</w:t>
            </w:r>
          </w:p>
          <w:p w:rsidR="00BE0A2F" w:rsidRPr="00610401" w:rsidRDefault="00BE0A2F" w:rsidP="00BE0A2F">
            <w:pPr>
              <w:spacing w:before="0" w:after="0"/>
              <w:jc w:val="left"/>
              <w:rPr>
                <w:b/>
                <w:noProof/>
                <w:color w:val="000000" w:themeColor="text1"/>
                <w:sz w:val="20"/>
              </w:rPr>
            </w:pPr>
            <w:r w:rsidRPr="00610401">
              <w:rPr>
                <w:noProof/>
                <w:color w:val="000000" w:themeColor="text1"/>
                <w:sz w:val="20"/>
              </w:rPr>
              <w:t>3. Inicjowanie struktury</w:t>
            </w:r>
            <w:r w:rsidR="00610401" w:rsidRPr="00610401">
              <w:rPr>
                <w:noProof/>
                <w:color w:val="000000" w:themeColor="text1"/>
                <w:sz w:val="20"/>
              </w:rPr>
              <w:t xml:space="preserve"> i for</w:t>
            </w:r>
            <w:r w:rsidRPr="00610401">
              <w:rPr>
                <w:noProof/>
                <w:color w:val="000000" w:themeColor="text1"/>
                <w:sz w:val="20"/>
              </w:rPr>
              <w:t>my sprawozdawczości.</w:t>
            </w:r>
          </w:p>
          <w:p w:rsidR="00BE0A2F" w:rsidRPr="00610401" w:rsidRDefault="00BE0A2F" w:rsidP="00BE0A2F">
            <w:pPr>
              <w:spacing w:before="0" w:after="0"/>
              <w:jc w:val="left"/>
              <w:rPr>
                <w:noProof/>
                <w:color w:val="000000" w:themeColor="text1"/>
                <w:sz w:val="20"/>
              </w:rPr>
            </w:pPr>
            <w:r w:rsidRPr="00610401">
              <w:rPr>
                <w:noProof/>
                <w:color w:val="000000" w:themeColor="text1"/>
                <w:sz w:val="20"/>
              </w:rPr>
              <w:t>6.</w:t>
            </w:r>
            <w:r w:rsidR="00610401" w:rsidRPr="00610401">
              <w:rPr>
                <w:noProof/>
                <w:color w:val="000000" w:themeColor="text1"/>
                <w:sz w:val="20"/>
              </w:rPr>
              <w:t xml:space="preserve"> </w:t>
            </w:r>
            <w:r w:rsidRPr="00610401">
              <w:rPr>
                <w:noProof/>
                <w:color w:val="000000" w:themeColor="text1"/>
                <w:sz w:val="20"/>
              </w:rPr>
              <w:t>Wsparcie oceny krajowych planów odbudowy</w:t>
            </w:r>
            <w:r w:rsidR="00610401" w:rsidRPr="00610401">
              <w:rPr>
                <w:noProof/>
                <w:color w:val="000000" w:themeColor="text1"/>
                <w:sz w:val="20"/>
              </w:rPr>
              <w:t xml:space="preserve"> w klu</w:t>
            </w:r>
            <w:r w:rsidRPr="00610401">
              <w:rPr>
                <w:noProof/>
                <w:color w:val="000000" w:themeColor="text1"/>
                <w:sz w:val="20"/>
              </w:rPr>
              <w:t>czowych typach ekosystemów.</w:t>
            </w:r>
          </w:p>
          <w:p w:rsidR="00BE0A2F" w:rsidRPr="00610401" w:rsidRDefault="00BE0A2F" w:rsidP="00BE0A2F">
            <w:pPr>
              <w:spacing w:before="0" w:after="0"/>
              <w:jc w:val="left"/>
              <w:rPr>
                <w:noProof/>
                <w:color w:val="000000" w:themeColor="text1"/>
                <w:sz w:val="20"/>
              </w:rPr>
            </w:pPr>
            <w:r w:rsidRPr="00610401">
              <w:rPr>
                <w:noProof/>
                <w:color w:val="000000" w:themeColor="text1"/>
                <w:sz w:val="20"/>
              </w:rPr>
              <w:t>7. Przewodzenie ocenie sprawozdań</w:t>
            </w:r>
            <w:r w:rsidR="00610401" w:rsidRPr="00610401">
              <w:rPr>
                <w:noProof/>
                <w:color w:val="000000" w:themeColor="text1"/>
                <w:sz w:val="20"/>
              </w:rPr>
              <w:t xml:space="preserve"> z pos</w:t>
            </w:r>
            <w:r w:rsidRPr="00610401">
              <w:rPr>
                <w:noProof/>
                <w:color w:val="000000" w:themeColor="text1"/>
                <w:sz w:val="20"/>
              </w:rPr>
              <w:t>tępu prac przygotowywanych przez państwa członkowskie.</w:t>
            </w:r>
          </w:p>
          <w:p w:rsidR="00BE0A2F" w:rsidRPr="00610401" w:rsidRDefault="00BE0A2F" w:rsidP="00BE0A2F">
            <w:pPr>
              <w:spacing w:before="0" w:after="0"/>
              <w:jc w:val="left"/>
              <w:rPr>
                <w:noProof/>
                <w:color w:val="000000" w:themeColor="text1"/>
                <w:sz w:val="20"/>
              </w:rPr>
            </w:pPr>
            <w:r w:rsidRPr="00610401">
              <w:rPr>
                <w:noProof/>
                <w:color w:val="000000" w:themeColor="text1"/>
                <w:sz w:val="20"/>
              </w:rPr>
              <w:t>9. Wsparcie</w:t>
            </w:r>
            <w:r w:rsidR="00610401" w:rsidRPr="00610401">
              <w:rPr>
                <w:noProof/>
                <w:color w:val="000000" w:themeColor="text1"/>
                <w:sz w:val="20"/>
              </w:rPr>
              <w:t xml:space="preserve"> w opr</w:t>
            </w:r>
            <w:r w:rsidRPr="00610401">
              <w:rPr>
                <w:noProof/>
                <w:color w:val="000000" w:themeColor="text1"/>
                <w:sz w:val="20"/>
              </w:rPr>
              <w:t>acowaniu metody monitorowania, wskaźników</w:t>
            </w:r>
            <w:r w:rsidR="00610401" w:rsidRPr="00610401">
              <w:rPr>
                <w:noProof/>
                <w:color w:val="000000" w:themeColor="text1"/>
                <w:sz w:val="20"/>
              </w:rPr>
              <w:t xml:space="preserve"> i oce</w:t>
            </w:r>
            <w:r w:rsidRPr="00610401">
              <w:rPr>
                <w:noProof/>
                <w:color w:val="000000" w:themeColor="text1"/>
                <w:sz w:val="20"/>
              </w:rPr>
              <w:t>ny dobrego stanu dla najważniejszych typów ekosystemów.</w:t>
            </w:r>
          </w:p>
          <w:p w:rsidR="00BE0A2F" w:rsidRPr="00610401" w:rsidRDefault="00BE0A2F" w:rsidP="00BE0A2F">
            <w:pPr>
              <w:spacing w:before="0" w:after="0"/>
              <w:jc w:val="left"/>
              <w:rPr>
                <w:noProof/>
                <w:color w:val="000000" w:themeColor="text1"/>
                <w:sz w:val="20"/>
              </w:rPr>
            </w:pPr>
            <w:r w:rsidRPr="00610401">
              <w:rPr>
                <w:noProof/>
                <w:color w:val="000000" w:themeColor="text1"/>
                <w:sz w:val="20"/>
              </w:rPr>
              <w:t>10. Odpowiadanie na najważniejsze pytania</w:t>
            </w:r>
            <w:r w:rsidR="00610401" w:rsidRPr="00610401">
              <w:rPr>
                <w:noProof/>
                <w:color w:val="000000" w:themeColor="text1"/>
                <w:sz w:val="20"/>
              </w:rPr>
              <w:t xml:space="preserve"> w cen</w:t>
            </w:r>
            <w:r w:rsidRPr="00610401">
              <w:rPr>
                <w:noProof/>
                <w:color w:val="000000" w:themeColor="text1"/>
                <w:sz w:val="20"/>
              </w:rPr>
              <w:t>trum informacyjnym dla państw członkowskich.</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Ponadto urzędnicy zajmujący te stanowiska przyczynią się do:</w:t>
            </w:r>
          </w:p>
          <w:p w:rsidR="00BE0A2F" w:rsidRPr="00610401" w:rsidRDefault="00BE0A2F" w:rsidP="00EB4B40">
            <w:pPr>
              <w:numPr>
                <w:ilvl w:val="0"/>
                <w:numId w:val="33"/>
              </w:numPr>
              <w:spacing w:before="0" w:after="0"/>
              <w:contextualSpacing/>
              <w:jc w:val="left"/>
              <w:rPr>
                <w:noProof/>
                <w:color w:val="000000" w:themeColor="text1"/>
                <w:sz w:val="20"/>
              </w:rPr>
            </w:pPr>
            <w:r w:rsidRPr="00610401">
              <w:rPr>
                <w:noProof/>
                <w:color w:val="000000" w:themeColor="text1"/>
                <w:sz w:val="20"/>
              </w:rPr>
              <w:t>wspierania podnoszenia jakości danych otrzymywanych</w:t>
            </w:r>
            <w:r w:rsidR="00610401" w:rsidRPr="00610401">
              <w:rPr>
                <w:noProof/>
                <w:color w:val="000000" w:themeColor="text1"/>
                <w:sz w:val="20"/>
              </w:rPr>
              <w:t xml:space="preserve"> w ram</w:t>
            </w:r>
            <w:r w:rsidRPr="00610401">
              <w:rPr>
                <w:noProof/>
                <w:color w:val="000000" w:themeColor="text1"/>
                <w:sz w:val="20"/>
              </w:rPr>
              <w:t>ach sprawozdań na podstawie dyrektyw dotyczących przyrody, czego obecnie brakuje.</w:t>
            </w:r>
          </w:p>
          <w:p w:rsidR="00BE0A2F" w:rsidRPr="00610401" w:rsidRDefault="00BE0A2F" w:rsidP="00EB4B40">
            <w:pPr>
              <w:numPr>
                <w:ilvl w:val="0"/>
                <w:numId w:val="33"/>
              </w:numPr>
              <w:spacing w:before="0" w:after="0"/>
              <w:contextualSpacing/>
              <w:jc w:val="left"/>
              <w:rPr>
                <w:noProof/>
                <w:color w:val="000000" w:themeColor="text1"/>
                <w:sz w:val="20"/>
              </w:rPr>
            </w:pPr>
            <w:r w:rsidRPr="00610401">
              <w:rPr>
                <w:noProof/>
                <w:color w:val="000000" w:themeColor="text1"/>
                <w:sz w:val="20"/>
              </w:rPr>
              <w:t>nawiązywania kontaktów z JRC</w:t>
            </w:r>
            <w:r w:rsidR="00610401" w:rsidRPr="00610401">
              <w:rPr>
                <w:noProof/>
                <w:color w:val="000000" w:themeColor="text1"/>
                <w:sz w:val="20"/>
              </w:rPr>
              <w:t xml:space="preserve"> i sko</w:t>
            </w:r>
            <w:r w:rsidRPr="00610401">
              <w:rPr>
                <w:noProof/>
                <w:color w:val="000000" w:themeColor="text1"/>
                <w:sz w:val="20"/>
              </w:rPr>
              <w:t>ordynowania się</w:t>
            </w:r>
            <w:r w:rsidR="00610401" w:rsidRPr="00610401">
              <w:rPr>
                <w:noProof/>
                <w:color w:val="000000" w:themeColor="text1"/>
                <w:sz w:val="20"/>
              </w:rPr>
              <w:t xml:space="preserve"> z jeg</w:t>
            </w:r>
            <w:r w:rsidRPr="00610401">
              <w:rPr>
                <w:noProof/>
                <w:color w:val="000000" w:themeColor="text1"/>
                <w:sz w:val="20"/>
              </w:rPr>
              <w:t>o działaniami</w:t>
            </w:r>
            <w:r w:rsidR="00610401" w:rsidRPr="00610401">
              <w:rPr>
                <w:noProof/>
                <w:color w:val="000000" w:themeColor="text1"/>
                <w:sz w:val="20"/>
              </w:rPr>
              <w:t xml:space="preserve"> w zak</w:t>
            </w:r>
            <w:r w:rsidRPr="00610401">
              <w:rPr>
                <w:noProof/>
                <w:color w:val="000000" w:themeColor="text1"/>
                <w:sz w:val="20"/>
              </w:rPr>
              <w:t>resie opracowywania metodyki pomiaru postępów</w:t>
            </w:r>
            <w:r w:rsidR="00610401" w:rsidRPr="00610401">
              <w:rPr>
                <w:noProof/>
                <w:color w:val="000000" w:themeColor="text1"/>
                <w:sz w:val="20"/>
              </w:rPr>
              <w:t xml:space="preserve"> w odb</w:t>
            </w:r>
            <w:r w:rsidRPr="00610401">
              <w:rPr>
                <w:noProof/>
                <w:color w:val="000000" w:themeColor="text1"/>
                <w:sz w:val="20"/>
              </w:rPr>
              <w:t>udowie.</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 xml:space="preserve">Kluczowa fachowa wiedza techniczna potrzebna do </w:t>
            </w:r>
            <w:r w:rsidRPr="00610401">
              <w:rPr>
                <w:b/>
                <w:noProof/>
                <w:color w:val="000000" w:themeColor="text1"/>
                <w:sz w:val="20"/>
              </w:rPr>
              <w:t>wsparcia</w:t>
            </w:r>
            <w:r w:rsidRPr="00610401">
              <w:rPr>
                <w:noProof/>
                <w:color w:val="000000" w:themeColor="text1"/>
                <w:sz w:val="20"/>
              </w:rPr>
              <w:t xml:space="preserve"> realizacji następujących zadań przewidzianych</w:t>
            </w:r>
            <w:r w:rsidR="00610401" w:rsidRPr="00610401">
              <w:rPr>
                <w:noProof/>
                <w:color w:val="000000" w:themeColor="text1"/>
                <w:sz w:val="20"/>
              </w:rPr>
              <w:t xml:space="preserve"> w akc</w:t>
            </w:r>
            <w:r w:rsidRPr="00610401">
              <w:rPr>
                <w:noProof/>
                <w:color w:val="000000" w:themeColor="text1"/>
                <w:sz w:val="20"/>
              </w:rPr>
              <w:t>ie prawnym</w:t>
            </w:r>
            <w:r w:rsidR="00610401" w:rsidRPr="00610401">
              <w:rPr>
                <w:noProof/>
                <w:color w:val="000000" w:themeColor="text1"/>
                <w:sz w:val="20"/>
              </w:rPr>
              <w:t xml:space="preserve"> o odb</w:t>
            </w:r>
            <w:r w:rsidRPr="00610401">
              <w:rPr>
                <w:noProof/>
                <w:color w:val="000000" w:themeColor="text1"/>
                <w:sz w:val="20"/>
              </w:rPr>
              <w:t>udowie:</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7. wsparcia przy dokonywaniu oceny sprawozdań</w:t>
            </w:r>
            <w:r w:rsidR="00610401" w:rsidRPr="00610401">
              <w:rPr>
                <w:noProof/>
                <w:color w:val="000000" w:themeColor="text1"/>
                <w:sz w:val="20"/>
              </w:rPr>
              <w:t xml:space="preserve"> z pos</w:t>
            </w:r>
            <w:r w:rsidRPr="00610401">
              <w:rPr>
                <w:noProof/>
                <w:color w:val="000000" w:themeColor="text1"/>
                <w:sz w:val="20"/>
              </w:rPr>
              <w:t>tępów przedstawionych przez państwa członkowskie,</w:t>
            </w:r>
            <w:r w:rsidR="00610401" w:rsidRPr="00610401">
              <w:rPr>
                <w:noProof/>
                <w:color w:val="000000" w:themeColor="text1"/>
                <w:sz w:val="20"/>
              </w:rPr>
              <w:t xml:space="preserve"> w szc</w:t>
            </w:r>
            <w:r w:rsidRPr="00610401">
              <w:rPr>
                <w:noProof/>
                <w:color w:val="000000" w:themeColor="text1"/>
                <w:sz w:val="20"/>
              </w:rPr>
              <w:t xml:space="preserve">zególności dotyczących większych kluczowych ekosystemów; </w:t>
            </w:r>
          </w:p>
          <w:p w:rsidR="00BE0A2F" w:rsidRPr="00610401" w:rsidRDefault="00BE0A2F" w:rsidP="00BE0A2F">
            <w:pPr>
              <w:spacing w:before="0" w:after="0"/>
              <w:jc w:val="left"/>
              <w:rPr>
                <w:noProof/>
                <w:color w:val="000000" w:themeColor="text1"/>
                <w:sz w:val="20"/>
              </w:rPr>
            </w:pPr>
            <w:r w:rsidRPr="00610401">
              <w:rPr>
                <w:noProof/>
                <w:color w:val="000000" w:themeColor="text1"/>
                <w:sz w:val="20"/>
              </w:rPr>
              <w:t>8. monitorowania celów miejskich;</w:t>
            </w:r>
          </w:p>
          <w:p w:rsidR="00BE0A2F" w:rsidRPr="00610401" w:rsidRDefault="00BE0A2F" w:rsidP="00BE0A2F">
            <w:pPr>
              <w:spacing w:before="0" w:after="0"/>
              <w:jc w:val="left"/>
              <w:rPr>
                <w:noProof/>
                <w:color w:val="000000" w:themeColor="text1"/>
                <w:sz w:val="20"/>
              </w:rPr>
            </w:pPr>
            <w:r w:rsidRPr="00610401">
              <w:rPr>
                <w:noProof/>
                <w:color w:val="000000" w:themeColor="text1"/>
                <w:sz w:val="20"/>
              </w:rPr>
              <w:t>9. opracowania metody monitorowania, wskaźników</w:t>
            </w:r>
            <w:r w:rsidR="00610401" w:rsidRPr="00610401">
              <w:rPr>
                <w:noProof/>
                <w:color w:val="000000" w:themeColor="text1"/>
                <w:sz w:val="20"/>
              </w:rPr>
              <w:t xml:space="preserve"> i oce</w:t>
            </w:r>
            <w:r w:rsidRPr="00610401">
              <w:rPr>
                <w:noProof/>
                <w:color w:val="000000" w:themeColor="text1"/>
                <w:sz w:val="20"/>
              </w:rPr>
              <w:t>ny dobrego stanu.</w:t>
            </w:r>
          </w:p>
          <w:p w:rsidR="00BE0A2F" w:rsidRPr="00610401" w:rsidRDefault="00BE0A2F" w:rsidP="00BE0A2F">
            <w:pPr>
              <w:spacing w:before="0" w:after="0"/>
              <w:jc w:val="left"/>
              <w:rPr>
                <w:noProof/>
                <w:color w:val="000000" w:themeColor="text1"/>
                <w:sz w:val="20"/>
              </w:rPr>
            </w:pPr>
            <w:r w:rsidRPr="00610401">
              <w:rPr>
                <w:noProof/>
                <w:color w:val="000000" w:themeColor="text1"/>
                <w:sz w:val="20"/>
              </w:rPr>
              <w:t>10. Wsparcie centrum informacyjnego dla państw członkowskich.</w:t>
            </w:r>
          </w:p>
          <w:p w:rsidR="00BE0A2F" w:rsidRPr="00610401" w:rsidRDefault="00BE0A2F" w:rsidP="00BE0A2F">
            <w:pPr>
              <w:spacing w:before="0" w:after="0"/>
              <w:jc w:val="left"/>
              <w:rPr>
                <w:noProof/>
                <w:color w:val="000000" w:themeColor="text1"/>
                <w:sz w:val="20"/>
              </w:rPr>
            </w:pPr>
            <w:r w:rsidRPr="00610401">
              <w:rPr>
                <w:noProof/>
                <w:color w:val="000000" w:themeColor="text1"/>
                <w:sz w:val="20"/>
              </w:rPr>
              <w:t xml:space="preserve">Ponadto ci tematyczni eksperci techniczni: </w:t>
            </w:r>
          </w:p>
          <w:p w:rsidR="00BE0A2F" w:rsidRPr="00610401" w:rsidRDefault="00BE0A2F" w:rsidP="00EB4B40">
            <w:pPr>
              <w:numPr>
                <w:ilvl w:val="0"/>
                <w:numId w:val="34"/>
              </w:numPr>
              <w:spacing w:before="0" w:after="0"/>
              <w:contextualSpacing/>
              <w:jc w:val="left"/>
              <w:rPr>
                <w:noProof/>
                <w:color w:val="000000" w:themeColor="text1"/>
                <w:sz w:val="20"/>
              </w:rPr>
            </w:pPr>
            <w:r w:rsidRPr="00610401">
              <w:rPr>
                <w:noProof/>
                <w:color w:val="000000" w:themeColor="text1"/>
                <w:sz w:val="20"/>
              </w:rPr>
              <w:t>zapewnią dodatkowe wsparcie</w:t>
            </w:r>
            <w:r w:rsidR="00610401" w:rsidRPr="00610401">
              <w:rPr>
                <w:noProof/>
                <w:color w:val="000000" w:themeColor="text1"/>
                <w:sz w:val="20"/>
              </w:rPr>
              <w:t xml:space="preserve"> w zak</w:t>
            </w:r>
            <w:r w:rsidRPr="00610401">
              <w:rPr>
                <w:noProof/>
                <w:color w:val="000000" w:themeColor="text1"/>
                <w:sz w:val="20"/>
              </w:rPr>
              <w:t xml:space="preserve">resie wiedzy technicznej potrzebnej do przekrojowego monitorowania ekosystemów różnych typów; </w:t>
            </w:r>
          </w:p>
          <w:p w:rsidR="00BE0A2F" w:rsidRPr="00610401" w:rsidRDefault="00BE0A2F" w:rsidP="00EB4B40">
            <w:pPr>
              <w:numPr>
                <w:ilvl w:val="0"/>
                <w:numId w:val="34"/>
              </w:numPr>
              <w:spacing w:before="0" w:after="0"/>
              <w:contextualSpacing/>
              <w:jc w:val="left"/>
              <w:rPr>
                <w:noProof/>
                <w:color w:val="000000" w:themeColor="text1"/>
                <w:sz w:val="20"/>
              </w:rPr>
            </w:pPr>
            <w:r w:rsidRPr="00610401">
              <w:rPr>
                <w:noProof/>
                <w:color w:val="000000" w:themeColor="text1"/>
                <w:sz w:val="20"/>
              </w:rPr>
              <w:t>przyczynią się do zapewnienia</w:t>
            </w:r>
            <w:r w:rsidR="00610401" w:rsidRPr="00610401">
              <w:rPr>
                <w:noProof/>
                <w:color w:val="000000" w:themeColor="text1"/>
                <w:sz w:val="20"/>
              </w:rPr>
              <w:t xml:space="preserve"> i kon</w:t>
            </w:r>
            <w:r w:rsidRPr="00610401">
              <w:rPr>
                <w:noProof/>
                <w:color w:val="000000" w:themeColor="text1"/>
                <w:sz w:val="20"/>
              </w:rPr>
              <w:t>troli jakości zebranych danych technicznych.</w:t>
            </w:r>
          </w:p>
        </w:tc>
        <w:tc>
          <w:tcPr>
            <w:tcW w:w="2409" w:type="dxa"/>
          </w:tcPr>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Od 2023 roku: zadania 1, 2, 3, 9, 10.</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2026–2027: zadanie 6.</w:t>
            </w: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p>
          <w:p w:rsidR="00BE0A2F" w:rsidRPr="00610401" w:rsidRDefault="00BE0A2F" w:rsidP="00BE0A2F">
            <w:pPr>
              <w:spacing w:before="0" w:after="0"/>
              <w:jc w:val="left"/>
              <w:rPr>
                <w:noProof/>
                <w:color w:val="000000" w:themeColor="text1"/>
                <w:sz w:val="20"/>
              </w:rPr>
            </w:pPr>
            <w:r w:rsidRPr="00610401">
              <w:rPr>
                <w:noProof/>
                <w:color w:val="000000" w:themeColor="text1"/>
                <w:sz w:val="20"/>
              </w:rPr>
              <w:t>Od 2030 roku: zadanie 7.</w:t>
            </w:r>
          </w:p>
          <w:p w:rsidR="00BE0A2F" w:rsidRPr="00610401" w:rsidRDefault="00BE0A2F" w:rsidP="00BE0A2F">
            <w:pPr>
              <w:spacing w:before="0" w:after="0"/>
              <w:jc w:val="left"/>
              <w:rPr>
                <w:noProof/>
                <w:color w:val="000000" w:themeColor="text1"/>
                <w:sz w:val="20"/>
              </w:rPr>
            </w:pPr>
          </w:p>
        </w:tc>
      </w:tr>
      <w:tr w:rsidR="00BE0A2F" w:rsidRPr="00610401" w:rsidTr="00B0251E">
        <w:trPr>
          <w:trHeight w:val="1194"/>
        </w:trPr>
        <w:tc>
          <w:tcPr>
            <w:tcW w:w="2660" w:type="dxa"/>
            <w:vMerge/>
          </w:tcPr>
          <w:p w:rsidR="00BE0A2F" w:rsidRPr="00610401" w:rsidRDefault="00BE0A2F" w:rsidP="00BE0A2F">
            <w:pPr>
              <w:spacing w:before="0" w:after="0"/>
              <w:jc w:val="left"/>
              <w:rPr>
                <w:noProof/>
                <w:sz w:val="20"/>
              </w:rPr>
            </w:pPr>
          </w:p>
        </w:tc>
        <w:tc>
          <w:tcPr>
            <w:tcW w:w="2551" w:type="dxa"/>
          </w:tcPr>
          <w:p w:rsidR="00BE0A2F" w:rsidRPr="00610401" w:rsidRDefault="00BE0A2F" w:rsidP="00BE0A2F">
            <w:pPr>
              <w:spacing w:before="0" w:after="0"/>
              <w:jc w:val="left"/>
              <w:rPr>
                <w:noProof/>
                <w:sz w:val="20"/>
              </w:rPr>
            </w:pPr>
            <w:r w:rsidRPr="00610401">
              <w:rPr>
                <w:noProof/>
                <w:color w:val="000000" w:themeColor="text1"/>
                <w:sz w:val="20"/>
              </w:rPr>
              <w:t>1 x grupa funkcyjna AST</w:t>
            </w:r>
            <w:r w:rsidR="00610401" w:rsidRPr="00610401">
              <w:rPr>
                <w:noProof/>
                <w:color w:val="000000" w:themeColor="text1"/>
                <w:sz w:val="20"/>
              </w:rPr>
              <w:t xml:space="preserve"> w cel</w:t>
            </w:r>
            <w:r w:rsidRPr="00610401">
              <w:rPr>
                <w:noProof/>
                <w:color w:val="000000" w:themeColor="text1"/>
                <w:sz w:val="20"/>
              </w:rPr>
              <w:t>u zapewnienia wsparcia</w:t>
            </w:r>
            <w:r w:rsidR="00610401" w:rsidRPr="00610401">
              <w:rPr>
                <w:noProof/>
                <w:color w:val="000000" w:themeColor="text1"/>
                <w:sz w:val="20"/>
              </w:rPr>
              <w:t xml:space="preserve"> w zak</w:t>
            </w:r>
            <w:r w:rsidRPr="00610401">
              <w:rPr>
                <w:noProof/>
                <w:color w:val="000000" w:themeColor="text1"/>
                <w:sz w:val="20"/>
              </w:rPr>
              <w:t>resie zarządzania administracyjnego</w:t>
            </w:r>
            <w:r w:rsidR="00610401" w:rsidRPr="00610401">
              <w:rPr>
                <w:noProof/>
                <w:color w:val="000000" w:themeColor="text1"/>
                <w:sz w:val="20"/>
              </w:rPr>
              <w:t xml:space="preserve"> i fin</w:t>
            </w:r>
            <w:r w:rsidRPr="00610401">
              <w:rPr>
                <w:noProof/>
                <w:color w:val="000000" w:themeColor="text1"/>
                <w:sz w:val="20"/>
              </w:rPr>
              <w:t>ansowego.</w:t>
            </w:r>
          </w:p>
        </w:tc>
        <w:tc>
          <w:tcPr>
            <w:tcW w:w="1843" w:type="dxa"/>
          </w:tcPr>
          <w:p w:rsidR="00BE0A2F" w:rsidRPr="00610401" w:rsidRDefault="00BE0A2F" w:rsidP="00BE0A2F">
            <w:pPr>
              <w:spacing w:before="0" w:after="0"/>
              <w:jc w:val="left"/>
              <w:rPr>
                <w:noProof/>
                <w:sz w:val="20"/>
              </w:rPr>
            </w:pPr>
          </w:p>
        </w:tc>
        <w:tc>
          <w:tcPr>
            <w:tcW w:w="5387" w:type="dxa"/>
          </w:tcPr>
          <w:p w:rsidR="00BE0A2F" w:rsidRPr="00610401" w:rsidRDefault="00BE0A2F" w:rsidP="00BE0A2F">
            <w:pPr>
              <w:spacing w:before="0" w:after="0"/>
              <w:jc w:val="left"/>
              <w:rPr>
                <w:noProof/>
                <w:sz w:val="20"/>
              </w:rPr>
            </w:pPr>
          </w:p>
        </w:tc>
        <w:tc>
          <w:tcPr>
            <w:tcW w:w="2409" w:type="dxa"/>
          </w:tcPr>
          <w:p w:rsidR="00BE0A2F" w:rsidRPr="00610401" w:rsidRDefault="00BE0A2F" w:rsidP="00BE0A2F">
            <w:pPr>
              <w:spacing w:before="0" w:after="0"/>
              <w:jc w:val="left"/>
              <w:rPr>
                <w:noProof/>
                <w:sz w:val="20"/>
              </w:rPr>
            </w:pPr>
          </w:p>
        </w:tc>
      </w:tr>
      <w:tr w:rsidR="00BE0A2F" w:rsidRPr="00610401" w:rsidTr="00B0251E">
        <w:trPr>
          <w:trHeight w:val="3534"/>
        </w:trPr>
        <w:tc>
          <w:tcPr>
            <w:tcW w:w="2660" w:type="dxa"/>
            <w:vMerge w:val="restart"/>
          </w:tcPr>
          <w:p w:rsidR="00BE0A2F" w:rsidRPr="00610401" w:rsidRDefault="00BE0A2F" w:rsidP="00BE0A2F">
            <w:pPr>
              <w:spacing w:before="0" w:after="0"/>
              <w:jc w:val="left"/>
              <w:rPr>
                <w:b/>
                <w:noProof/>
                <w:sz w:val="20"/>
              </w:rPr>
            </w:pPr>
            <w:r w:rsidRPr="00610401">
              <w:rPr>
                <w:b/>
                <w:noProof/>
                <w:sz w:val="20"/>
              </w:rPr>
              <w:t>Wiedza fachowa</w:t>
            </w:r>
            <w:r w:rsidR="00610401" w:rsidRPr="00610401">
              <w:rPr>
                <w:b/>
                <w:noProof/>
                <w:sz w:val="20"/>
              </w:rPr>
              <w:t xml:space="preserve"> z zak</w:t>
            </w:r>
            <w:r w:rsidRPr="00610401">
              <w:rPr>
                <w:b/>
                <w:noProof/>
                <w:sz w:val="20"/>
              </w:rPr>
              <w:t>resu analizy danych (bazy danych, system informacji geograficznej, sprawozdawczość, analiza itp.) potrzebna do sprawozdawczości itp.:</w:t>
            </w:r>
          </w:p>
          <w:p w:rsidR="00BE0A2F" w:rsidRPr="00610401" w:rsidRDefault="00BE0A2F" w:rsidP="00BE0A2F">
            <w:pPr>
              <w:spacing w:before="0" w:after="0"/>
              <w:jc w:val="left"/>
              <w:rPr>
                <w:b/>
                <w:noProof/>
                <w:sz w:val="20"/>
              </w:rPr>
            </w:pPr>
          </w:p>
          <w:p w:rsidR="00BE0A2F" w:rsidRPr="00610401" w:rsidRDefault="00BE0A2F" w:rsidP="00BE0A2F">
            <w:pPr>
              <w:spacing w:before="0" w:after="0"/>
              <w:jc w:val="left"/>
              <w:rPr>
                <w:noProof/>
                <w:sz w:val="20"/>
              </w:rPr>
            </w:pPr>
            <w:r w:rsidRPr="00610401">
              <w:rPr>
                <w:noProof/>
                <w:sz w:val="20"/>
              </w:rPr>
              <w:t>Celem tych stanowisk będzie zapewnienie wsparcia</w:t>
            </w:r>
            <w:r w:rsidR="00610401" w:rsidRPr="00610401">
              <w:rPr>
                <w:noProof/>
                <w:sz w:val="20"/>
              </w:rPr>
              <w:t xml:space="preserve"> w zak</w:t>
            </w:r>
            <w:r w:rsidRPr="00610401">
              <w:rPr>
                <w:noProof/>
                <w:sz w:val="20"/>
              </w:rPr>
              <w:t>resie analizy danych potrzebnego do</w:t>
            </w:r>
            <w:r w:rsidRPr="00610401">
              <w:rPr>
                <w:noProof/>
              </w:rPr>
              <w:t xml:space="preserve"> </w:t>
            </w:r>
            <w:r w:rsidRPr="00610401">
              <w:rPr>
                <w:noProof/>
                <w:sz w:val="20"/>
              </w:rPr>
              <w:t>oceny jakości postępów</w:t>
            </w:r>
            <w:r w:rsidR="00610401" w:rsidRPr="00610401">
              <w:rPr>
                <w:noProof/>
                <w:sz w:val="20"/>
              </w:rPr>
              <w:t xml:space="preserve"> w rea</w:t>
            </w:r>
            <w:r w:rsidRPr="00610401">
              <w:rPr>
                <w:noProof/>
                <w:sz w:val="20"/>
              </w:rPr>
              <w:t>lizacji aktu</w:t>
            </w:r>
            <w:r w:rsidR="00610401" w:rsidRPr="00610401">
              <w:rPr>
                <w:noProof/>
                <w:sz w:val="20"/>
              </w:rPr>
              <w:t xml:space="preserve"> o odb</w:t>
            </w:r>
            <w:r w:rsidRPr="00610401">
              <w:rPr>
                <w:noProof/>
                <w:sz w:val="20"/>
              </w:rPr>
              <w:t>udowie zasobów przyrodniczych</w:t>
            </w:r>
            <w:r w:rsidR="00610401" w:rsidRPr="00610401">
              <w:rPr>
                <w:noProof/>
                <w:sz w:val="20"/>
              </w:rPr>
              <w:t xml:space="preserve"> i kra</w:t>
            </w:r>
            <w:r w:rsidRPr="00610401">
              <w:rPr>
                <w:noProof/>
                <w:sz w:val="20"/>
              </w:rPr>
              <w:t>jowych planów odbudowy. Ten obszar pracy obejmowałby sprawozdawczość (wyszukiwanie/obsługa/kontrola jakości danych), wsparcie systemów informacyjnych (np. przeglądarki, tablice wskaźników, interaktywne mapy), wsparcie analizy danych,</w:t>
            </w:r>
            <w:r w:rsidR="00610401" w:rsidRPr="00610401">
              <w:rPr>
                <w:noProof/>
                <w:sz w:val="20"/>
              </w:rPr>
              <w:t xml:space="preserve"> w tym</w:t>
            </w:r>
            <w:r w:rsidRPr="00610401">
              <w:rPr>
                <w:noProof/>
                <w:sz w:val="20"/>
              </w:rPr>
              <w:t xml:space="preserve"> systemu informacji geograficznej.</w:t>
            </w:r>
            <w:r w:rsidR="00610401" w:rsidRPr="00610401">
              <w:rPr>
                <w:noProof/>
                <w:sz w:val="20"/>
              </w:rPr>
              <w:t xml:space="preserve"> </w:t>
            </w:r>
            <w:r w:rsidRPr="00610401">
              <w:rPr>
                <w:noProof/>
                <w:sz w:val="20"/>
              </w:rPr>
              <w:t>System Informacji</w:t>
            </w:r>
            <w:r w:rsidR="00610401" w:rsidRPr="00610401">
              <w:rPr>
                <w:noProof/>
                <w:sz w:val="20"/>
              </w:rPr>
              <w:t xml:space="preserve"> i Dan</w:t>
            </w:r>
            <w:r w:rsidRPr="00610401">
              <w:rPr>
                <w:noProof/>
                <w:sz w:val="20"/>
              </w:rPr>
              <w:t>ych (DIS) EEA jest obecnie przeciążony,</w:t>
            </w:r>
            <w:r w:rsidR="00610401" w:rsidRPr="00610401">
              <w:rPr>
                <w:noProof/>
                <w:sz w:val="20"/>
              </w:rPr>
              <w:t xml:space="preserve"> a dod</w:t>
            </w:r>
            <w:r w:rsidRPr="00610401">
              <w:rPr>
                <w:noProof/>
                <w:sz w:val="20"/>
              </w:rPr>
              <w:t xml:space="preserve">atkowe wystarczające zasoby wsparcia informatycznego będą miały zasadnicze znaczenie dla podjęcia przez EEA tych nowych zadań. </w:t>
            </w:r>
          </w:p>
          <w:p w:rsidR="00BE0A2F" w:rsidRPr="00610401" w:rsidRDefault="00BE0A2F" w:rsidP="00BE0A2F">
            <w:pPr>
              <w:spacing w:before="0" w:after="0"/>
              <w:jc w:val="left"/>
              <w:rPr>
                <w:noProof/>
                <w:sz w:val="20"/>
              </w:rPr>
            </w:pPr>
            <w:r w:rsidRPr="00610401">
              <w:rPr>
                <w:noProof/>
                <w:sz w:val="20"/>
              </w:rPr>
              <w:t xml:space="preserve"> </w:t>
            </w:r>
          </w:p>
          <w:p w:rsidR="00BE0A2F" w:rsidRPr="00610401" w:rsidRDefault="00BE0A2F" w:rsidP="00BE0A2F">
            <w:pPr>
              <w:spacing w:before="0" w:after="0"/>
              <w:jc w:val="left"/>
              <w:rPr>
                <w:b/>
                <w:bCs/>
                <w:noProof/>
                <w:sz w:val="20"/>
              </w:rPr>
            </w:pPr>
            <w:r w:rsidRPr="00610401">
              <w:rPr>
                <w:b/>
                <w:noProof/>
                <w:sz w:val="20"/>
              </w:rPr>
              <w:t xml:space="preserve"> </w:t>
            </w:r>
          </w:p>
          <w:p w:rsidR="00BE0A2F" w:rsidRPr="00610401" w:rsidRDefault="00BE0A2F" w:rsidP="00BE0A2F">
            <w:pPr>
              <w:spacing w:before="0" w:after="0"/>
              <w:jc w:val="left"/>
              <w:rPr>
                <w:b/>
                <w:bCs/>
                <w:noProof/>
                <w:sz w:val="20"/>
              </w:rPr>
            </w:pPr>
          </w:p>
        </w:tc>
        <w:tc>
          <w:tcPr>
            <w:tcW w:w="2551" w:type="dxa"/>
          </w:tcPr>
          <w:p w:rsidR="00BE0A2F" w:rsidRPr="00610401" w:rsidRDefault="00BE0A2F" w:rsidP="00BE0A2F">
            <w:pPr>
              <w:spacing w:before="0" w:after="0"/>
              <w:jc w:val="left"/>
              <w:rPr>
                <w:b/>
                <w:bCs/>
                <w:noProof/>
                <w:sz w:val="20"/>
              </w:rPr>
            </w:pPr>
          </w:p>
          <w:p w:rsidR="00BE0A2F" w:rsidRPr="00610401" w:rsidRDefault="00BE0A2F" w:rsidP="00BE0A2F">
            <w:pPr>
              <w:spacing w:before="0" w:after="0"/>
              <w:jc w:val="left"/>
              <w:rPr>
                <w:noProof/>
                <w:sz w:val="20"/>
              </w:rPr>
            </w:pPr>
            <w:r w:rsidRPr="00610401">
              <w:rPr>
                <w:noProof/>
                <w:sz w:val="20"/>
              </w:rPr>
              <w:t>1 pracownik</w:t>
            </w:r>
            <w:r w:rsidR="00610401" w:rsidRPr="00610401">
              <w:rPr>
                <w:noProof/>
                <w:sz w:val="20"/>
              </w:rPr>
              <w:t xml:space="preserve"> z gru</w:t>
            </w:r>
            <w:r w:rsidRPr="00610401">
              <w:rPr>
                <w:noProof/>
                <w:sz w:val="20"/>
              </w:rPr>
              <w:t>py funkcyjnej IV – obróbka danych na potrzeby sprawozdawczości, obsługa baz danych</w:t>
            </w:r>
            <w:r w:rsidR="00610401" w:rsidRPr="00610401">
              <w:rPr>
                <w:noProof/>
                <w:sz w:val="20"/>
              </w:rPr>
              <w:t xml:space="preserve"> i prz</w:t>
            </w:r>
            <w:r w:rsidRPr="00610401">
              <w:rPr>
                <w:noProof/>
                <w:sz w:val="20"/>
              </w:rPr>
              <w:t xml:space="preserve">eglądarek, analiza danych itp. </w:t>
            </w:r>
          </w:p>
          <w:p w:rsidR="00BE0A2F" w:rsidRPr="00610401" w:rsidRDefault="00BE0A2F" w:rsidP="00BE0A2F">
            <w:pPr>
              <w:spacing w:before="0" w:after="0"/>
              <w:jc w:val="left"/>
              <w:rPr>
                <w:b/>
                <w:bCs/>
                <w:noProof/>
                <w:sz w:val="20"/>
              </w:rPr>
            </w:pP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b/>
                <w:bCs/>
                <w:noProof/>
                <w:sz w:val="20"/>
              </w:rPr>
            </w:pPr>
          </w:p>
        </w:tc>
        <w:tc>
          <w:tcPr>
            <w:tcW w:w="1843" w:type="dxa"/>
          </w:tcPr>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r w:rsidRPr="00610401">
              <w:rPr>
                <w:noProof/>
                <w:sz w:val="20"/>
              </w:rPr>
              <w:t>Koszty rozruchu ram sprawozdawczości:</w:t>
            </w:r>
          </w:p>
          <w:p w:rsidR="00BE0A2F" w:rsidRPr="00610401" w:rsidRDefault="00BE0A2F" w:rsidP="00BE0A2F">
            <w:pPr>
              <w:spacing w:before="0" w:after="0"/>
              <w:jc w:val="left"/>
              <w:rPr>
                <w:noProof/>
                <w:sz w:val="20"/>
              </w:rPr>
            </w:pPr>
            <w:r w:rsidRPr="00610401">
              <w:rPr>
                <w:noProof/>
                <w:sz w:val="20"/>
              </w:rPr>
              <w:t xml:space="preserve">600 000 na rozbudowę obecnej infrastruktury informatycznej. </w:t>
            </w: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r w:rsidRPr="00610401">
              <w:rPr>
                <w:noProof/>
                <w:sz w:val="20"/>
              </w:rPr>
              <w:t>Koszty utrzymania</w:t>
            </w:r>
            <w:r w:rsidR="00610401" w:rsidRPr="00610401">
              <w:rPr>
                <w:noProof/>
                <w:sz w:val="20"/>
              </w:rPr>
              <w:t xml:space="preserve"> w cią</w:t>
            </w:r>
            <w:r w:rsidRPr="00610401">
              <w:rPr>
                <w:noProof/>
                <w:sz w:val="20"/>
              </w:rPr>
              <w:t>gu roku:</w:t>
            </w:r>
          </w:p>
          <w:p w:rsidR="00BE0A2F" w:rsidRPr="00610401" w:rsidRDefault="00BE0A2F" w:rsidP="00BE0A2F">
            <w:pPr>
              <w:spacing w:before="0" w:after="0"/>
              <w:jc w:val="left"/>
              <w:rPr>
                <w:noProof/>
                <w:sz w:val="20"/>
              </w:rPr>
            </w:pPr>
            <w:r w:rsidRPr="00610401">
              <w:rPr>
                <w:noProof/>
                <w:sz w:val="20"/>
              </w:rPr>
              <w:t>200 000 rocznie.</w:t>
            </w:r>
          </w:p>
          <w:p w:rsidR="00BE0A2F" w:rsidRPr="00610401" w:rsidRDefault="00BE0A2F" w:rsidP="00BE0A2F">
            <w:pPr>
              <w:spacing w:before="0" w:after="0"/>
              <w:jc w:val="left"/>
              <w:rPr>
                <w:noProof/>
                <w:sz w:val="20"/>
              </w:rPr>
            </w:pPr>
          </w:p>
        </w:tc>
        <w:tc>
          <w:tcPr>
            <w:tcW w:w="5387" w:type="dxa"/>
          </w:tcPr>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r w:rsidRPr="00610401">
              <w:rPr>
                <w:noProof/>
                <w:sz w:val="20"/>
              </w:rPr>
              <w:t>Kierowanie realizacją zadań związanych</w:t>
            </w:r>
            <w:r w:rsidR="00610401" w:rsidRPr="00610401">
              <w:rPr>
                <w:noProof/>
                <w:sz w:val="20"/>
              </w:rPr>
              <w:t xml:space="preserve"> z pro</w:t>
            </w:r>
            <w:r w:rsidRPr="00610401">
              <w:rPr>
                <w:noProof/>
                <w:sz w:val="20"/>
              </w:rPr>
              <w:t>jektowaniem publicznego systemu udostępniania danych</w:t>
            </w:r>
            <w:r w:rsidR="00610401" w:rsidRPr="00610401">
              <w:rPr>
                <w:noProof/>
                <w:sz w:val="20"/>
              </w:rPr>
              <w:t xml:space="preserve"> w cza</w:t>
            </w:r>
            <w:r w:rsidRPr="00610401">
              <w:rPr>
                <w:noProof/>
                <w:sz w:val="20"/>
              </w:rPr>
              <w:t xml:space="preserve">sie rzeczywistym. Obejmuje to również zadania opisane powyżej: </w:t>
            </w:r>
          </w:p>
          <w:p w:rsidR="00BE0A2F" w:rsidRPr="00610401" w:rsidRDefault="00BE0A2F" w:rsidP="00BE0A2F">
            <w:pPr>
              <w:spacing w:before="0" w:after="0"/>
              <w:jc w:val="left"/>
              <w:rPr>
                <w:noProof/>
                <w:sz w:val="20"/>
              </w:rPr>
            </w:pPr>
            <w:r w:rsidRPr="00610401">
              <w:rPr>
                <w:noProof/>
                <w:sz w:val="20"/>
              </w:rPr>
              <w:t>4. Wsparcie</w:t>
            </w:r>
            <w:r w:rsidR="00610401" w:rsidRPr="00610401">
              <w:rPr>
                <w:noProof/>
                <w:sz w:val="20"/>
              </w:rPr>
              <w:t xml:space="preserve"> w wys</w:t>
            </w:r>
            <w:r w:rsidRPr="00610401">
              <w:rPr>
                <w:noProof/>
                <w:sz w:val="20"/>
              </w:rPr>
              <w:t>zukiwaniu/obsłudze/kontroli jakości danych. Obejmuje to wsparcie systemu informatycznego</w:t>
            </w:r>
            <w:r w:rsidR="00610401" w:rsidRPr="00610401">
              <w:rPr>
                <w:noProof/>
                <w:sz w:val="20"/>
              </w:rPr>
              <w:t xml:space="preserve"> i kos</w:t>
            </w:r>
            <w:r w:rsidRPr="00610401">
              <w:rPr>
                <w:noProof/>
                <w:sz w:val="20"/>
              </w:rPr>
              <w:t>zty informatyczne związane</w:t>
            </w:r>
            <w:r w:rsidR="00610401" w:rsidRPr="00610401">
              <w:rPr>
                <w:noProof/>
                <w:sz w:val="20"/>
              </w:rPr>
              <w:t xml:space="preserve"> z zap</w:t>
            </w:r>
            <w:r w:rsidRPr="00610401">
              <w:rPr>
                <w:noProof/>
                <w:sz w:val="20"/>
              </w:rPr>
              <w:t>ewnieniem</w:t>
            </w:r>
            <w:r w:rsidR="00610401" w:rsidRPr="00610401">
              <w:rPr>
                <w:noProof/>
                <w:sz w:val="20"/>
              </w:rPr>
              <w:t xml:space="preserve"> i kon</w:t>
            </w:r>
            <w:r w:rsidRPr="00610401">
              <w:rPr>
                <w:noProof/>
                <w:sz w:val="20"/>
              </w:rPr>
              <w:t>trolą jakości.</w:t>
            </w:r>
          </w:p>
          <w:p w:rsidR="00BE0A2F" w:rsidRPr="00610401" w:rsidRDefault="00BE0A2F" w:rsidP="00BE0A2F">
            <w:pPr>
              <w:spacing w:before="0" w:after="0"/>
              <w:jc w:val="left"/>
              <w:rPr>
                <w:noProof/>
                <w:sz w:val="20"/>
              </w:rPr>
            </w:pPr>
            <w:r w:rsidRPr="00610401">
              <w:rPr>
                <w:noProof/>
                <w:sz w:val="20"/>
              </w:rPr>
              <w:t>5. Publikacja</w:t>
            </w:r>
            <w:r w:rsidR="00610401" w:rsidRPr="00610401">
              <w:rPr>
                <w:noProof/>
                <w:sz w:val="20"/>
              </w:rPr>
              <w:t xml:space="preserve"> i pub</w:t>
            </w:r>
            <w:r w:rsidRPr="00610401">
              <w:rPr>
                <w:noProof/>
                <w:sz w:val="20"/>
              </w:rPr>
              <w:t>liczny dostęp do danych (np. interaktywne mapy, tablice wskaźników, sprawozdania?) oraz prowadzenie baz danych.</w:t>
            </w:r>
          </w:p>
          <w:p w:rsidR="00BE0A2F" w:rsidRPr="00610401" w:rsidRDefault="00BE0A2F" w:rsidP="00BE0A2F">
            <w:pPr>
              <w:spacing w:before="0" w:after="0"/>
              <w:jc w:val="left"/>
              <w:rPr>
                <w:noProof/>
                <w:sz w:val="20"/>
              </w:rPr>
            </w:pPr>
            <w:r w:rsidRPr="00610401">
              <w:rPr>
                <w:noProof/>
                <w:sz w:val="20"/>
              </w:rPr>
              <w:t>8. Wsparcie techniczne</w:t>
            </w:r>
            <w:r w:rsidR="00610401" w:rsidRPr="00610401">
              <w:rPr>
                <w:noProof/>
                <w:sz w:val="20"/>
              </w:rPr>
              <w:t xml:space="preserve"> w zak</w:t>
            </w:r>
            <w:r w:rsidRPr="00610401">
              <w:rPr>
                <w:noProof/>
                <w:sz w:val="20"/>
              </w:rPr>
              <w:t>resie monitorowania celów miejskich.</w:t>
            </w:r>
          </w:p>
          <w:p w:rsidR="00BE0A2F" w:rsidRPr="00610401" w:rsidRDefault="00BE0A2F" w:rsidP="00BE0A2F">
            <w:pPr>
              <w:spacing w:before="0" w:after="0"/>
              <w:jc w:val="left"/>
              <w:rPr>
                <w:noProof/>
                <w:sz w:val="20"/>
              </w:rPr>
            </w:pPr>
            <w:r w:rsidRPr="00610401">
              <w:rPr>
                <w:noProof/>
                <w:sz w:val="20"/>
              </w:rPr>
              <w:t>10. Utworzenie</w:t>
            </w:r>
            <w:r w:rsidR="00610401" w:rsidRPr="00610401">
              <w:rPr>
                <w:noProof/>
                <w:sz w:val="20"/>
              </w:rPr>
              <w:t xml:space="preserve"> i pro</w:t>
            </w:r>
            <w:r w:rsidRPr="00610401">
              <w:rPr>
                <w:noProof/>
                <w:sz w:val="20"/>
              </w:rPr>
              <w:t>wadzenie centrum informacyjnego dla państw członkowskich.</w:t>
            </w: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p>
        </w:tc>
        <w:tc>
          <w:tcPr>
            <w:tcW w:w="2409" w:type="dxa"/>
            <w:vMerge w:val="restart"/>
          </w:tcPr>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r w:rsidRPr="00610401">
              <w:rPr>
                <w:noProof/>
                <w:sz w:val="20"/>
              </w:rPr>
              <w:t>Okres przedwdrożeniowy 2022</w:t>
            </w:r>
          </w:p>
          <w:p w:rsidR="00BE0A2F" w:rsidRPr="00610401" w:rsidRDefault="00BE0A2F" w:rsidP="00BE0A2F">
            <w:pPr>
              <w:spacing w:before="0" w:after="0"/>
              <w:jc w:val="left"/>
              <w:rPr>
                <w:noProof/>
                <w:sz w:val="20"/>
              </w:rPr>
            </w:pPr>
            <w:r w:rsidRPr="00610401">
              <w:rPr>
                <w:noProof/>
                <w:sz w:val="20"/>
              </w:rPr>
              <w:t xml:space="preserve"> </w:t>
            </w: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r w:rsidRPr="00610401">
              <w:rPr>
                <w:noProof/>
                <w:sz w:val="20"/>
              </w:rPr>
              <w:t>Obsługa techniczna aktu</w:t>
            </w:r>
            <w:r w:rsidR="00610401" w:rsidRPr="00610401">
              <w:rPr>
                <w:noProof/>
                <w:sz w:val="20"/>
              </w:rPr>
              <w:t xml:space="preserve"> o odb</w:t>
            </w:r>
            <w:r w:rsidRPr="00610401">
              <w:rPr>
                <w:noProof/>
                <w:sz w:val="20"/>
              </w:rPr>
              <w:t>udowie zasobów przyrodniczych</w:t>
            </w:r>
          </w:p>
        </w:tc>
      </w:tr>
      <w:tr w:rsidR="00BE0A2F" w:rsidRPr="00610401" w:rsidTr="00B0251E">
        <w:trPr>
          <w:trHeight w:val="1087"/>
        </w:trPr>
        <w:tc>
          <w:tcPr>
            <w:tcW w:w="2660" w:type="dxa"/>
            <w:vMerge/>
          </w:tcPr>
          <w:p w:rsidR="00BE0A2F" w:rsidRPr="00610401" w:rsidRDefault="00BE0A2F" w:rsidP="00BE0A2F">
            <w:pPr>
              <w:spacing w:before="0" w:after="0"/>
              <w:jc w:val="left"/>
              <w:rPr>
                <w:b/>
                <w:bCs/>
                <w:noProof/>
                <w:sz w:val="20"/>
              </w:rPr>
            </w:pPr>
          </w:p>
        </w:tc>
        <w:tc>
          <w:tcPr>
            <w:tcW w:w="2551" w:type="dxa"/>
          </w:tcPr>
          <w:p w:rsidR="00BE0A2F" w:rsidRPr="00610401" w:rsidRDefault="00BE0A2F" w:rsidP="00BE0A2F">
            <w:pPr>
              <w:tabs>
                <w:tab w:val="left" w:pos="312"/>
              </w:tabs>
              <w:spacing w:after="0"/>
              <w:rPr>
                <w:b/>
                <w:bCs/>
                <w:noProof/>
                <w:sz w:val="20"/>
              </w:rPr>
            </w:pPr>
            <w:r w:rsidRPr="00610401">
              <w:rPr>
                <w:noProof/>
                <w:sz w:val="20"/>
              </w:rPr>
              <w:t>2 x grupa funkcyjna IV eksperci</w:t>
            </w:r>
            <w:r w:rsidR="00610401" w:rsidRPr="00610401">
              <w:rPr>
                <w:noProof/>
                <w:sz w:val="20"/>
              </w:rPr>
              <w:t xml:space="preserve"> w dzi</w:t>
            </w:r>
            <w:r w:rsidRPr="00610401">
              <w:rPr>
                <w:noProof/>
                <w:sz w:val="20"/>
              </w:rPr>
              <w:t xml:space="preserve">edzinie statystyki systemu informacji geograficznej </w:t>
            </w: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b/>
                <w:bCs/>
                <w:noProof/>
                <w:sz w:val="20"/>
              </w:rPr>
            </w:pPr>
          </w:p>
        </w:tc>
        <w:tc>
          <w:tcPr>
            <w:tcW w:w="1843" w:type="dxa"/>
          </w:tcPr>
          <w:p w:rsidR="00BE0A2F" w:rsidRPr="00610401" w:rsidRDefault="00BE0A2F" w:rsidP="00BE0A2F">
            <w:pPr>
              <w:spacing w:before="0" w:after="0"/>
              <w:jc w:val="left"/>
              <w:rPr>
                <w:noProof/>
                <w:sz w:val="20"/>
              </w:rPr>
            </w:pPr>
          </w:p>
        </w:tc>
        <w:tc>
          <w:tcPr>
            <w:tcW w:w="5387" w:type="dxa"/>
          </w:tcPr>
          <w:p w:rsidR="00BE0A2F" w:rsidRPr="00610401" w:rsidRDefault="00BE0A2F" w:rsidP="00BE0A2F">
            <w:pPr>
              <w:spacing w:before="0" w:after="0"/>
              <w:jc w:val="left"/>
              <w:rPr>
                <w:noProof/>
                <w:sz w:val="20"/>
              </w:rPr>
            </w:pPr>
            <w:r w:rsidRPr="00610401">
              <w:rPr>
                <w:noProof/>
                <w:sz w:val="20"/>
              </w:rPr>
              <w:t>Ekspert techniczny</w:t>
            </w:r>
            <w:r w:rsidR="00610401" w:rsidRPr="00610401">
              <w:rPr>
                <w:noProof/>
                <w:sz w:val="20"/>
              </w:rPr>
              <w:t xml:space="preserve"> w zak</w:t>
            </w:r>
            <w:r w:rsidRPr="00610401">
              <w:rPr>
                <w:noProof/>
                <w:sz w:val="20"/>
              </w:rPr>
              <w:t xml:space="preserve">resie: </w:t>
            </w:r>
          </w:p>
          <w:p w:rsidR="00BE0A2F" w:rsidRPr="00610401" w:rsidRDefault="00BE0A2F" w:rsidP="00EB4B40">
            <w:pPr>
              <w:numPr>
                <w:ilvl w:val="0"/>
                <w:numId w:val="34"/>
              </w:numPr>
              <w:spacing w:before="0" w:after="0"/>
              <w:contextualSpacing/>
              <w:jc w:val="left"/>
              <w:rPr>
                <w:noProof/>
                <w:sz w:val="20"/>
              </w:rPr>
            </w:pPr>
            <w:r w:rsidRPr="00610401">
              <w:rPr>
                <w:noProof/>
                <w:sz w:val="20"/>
              </w:rPr>
              <w:t>Przestrzenne mapowanie typów ekosystemów</w:t>
            </w:r>
            <w:r w:rsidR="00610401" w:rsidRPr="00610401">
              <w:rPr>
                <w:noProof/>
                <w:sz w:val="20"/>
              </w:rPr>
              <w:t xml:space="preserve"> w cel</w:t>
            </w:r>
            <w:r w:rsidRPr="00610401">
              <w:rPr>
                <w:noProof/>
                <w:sz w:val="20"/>
              </w:rPr>
              <w:t>u oceny obszaru objętego odbudową.</w:t>
            </w:r>
          </w:p>
          <w:p w:rsidR="00BE0A2F" w:rsidRPr="00610401" w:rsidRDefault="00BE0A2F" w:rsidP="00EB4B40">
            <w:pPr>
              <w:numPr>
                <w:ilvl w:val="0"/>
                <w:numId w:val="34"/>
              </w:numPr>
              <w:spacing w:before="0" w:after="0"/>
              <w:contextualSpacing/>
              <w:jc w:val="left"/>
              <w:rPr>
                <w:noProof/>
                <w:sz w:val="20"/>
              </w:rPr>
            </w:pPr>
            <w:r w:rsidRPr="00610401">
              <w:rPr>
                <w:noProof/>
                <w:sz w:val="20"/>
              </w:rPr>
              <w:t>Mapowanie inwentaryzacji rzek</w:t>
            </w:r>
            <w:r w:rsidR="00610401" w:rsidRPr="00610401">
              <w:rPr>
                <w:noProof/>
                <w:sz w:val="20"/>
              </w:rPr>
              <w:t xml:space="preserve"> i map</w:t>
            </w:r>
            <w:r w:rsidRPr="00610401">
              <w:rPr>
                <w:noProof/>
                <w:sz w:val="20"/>
              </w:rPr>
              <w:t>owanie danych</w:t>
            </w:r>
            <w:r w:rsidR="00610401" w:rsidRPr="00610401">
              <w:rPr>
                <w:noProof/>
                <w:sz w:val="20"/>
              </w:rPr>
              <w:t xml:space="preserve"> z mon</w:t>
            </w:r>
            <w:r w:rsidRPr="00610401">
              <w:rPr>
                <w:noProof/>
                <w:sz w:val="20"/>
              </w:rPr>
              <w:t>itoringu (statystyka</w:t>
            </w:r>
            <w:r w:rsidR="00610401" w:rsidRPr="00610401">
              <w:rPr>
                <w:noProof/>
                <w:sz w:val="20"/>
              </w:rPr>
              <w:t xml:space="preserve"> i int</w:t>
            </w:r>
            <w:r w:rsidRPr="00610401">
              <w:rPr>
                <w:noProof/>
                <w:sz w:val="20"/>
              </w:rPr>
              <w:t xml:space="preserve">erpolacja). </w:t>
            </w:r>
          </w:p>
          <w:p w:rsidR="00BE0A2F" w:rsidRPr="00610401" w:rsidRDefault="00BE0A2F" w:rsidP="00BE0A2F">
            <w:pPr>
              <w:spacing w:before="0" w:after="0"/>
              <w:jc w:val="left"/>
              <w:rPr>
                <w:noProof/>
                <w:sz w:val="20"/>
              </w:rPr>
            </w:pPr>
          </w:p>
        </w:tc>
        <w:tc>
          <w:tcPr>
            <w:tcW w:w="2409" w:type="dxa"/>
            <w:vMerge/>
          </w:tcPr>
          <w:p w:rsidR="00BE0A2F" w:rsidRPr="00610401" w:rsidRDefault="00BE0A2F" w:rsidP="00BE0A2F">
            <w:pPr>
              <w:spacing w:before="0" w:after="0"/>
              <w:jc w:val="left"/>
              <w:rPr>
                <w:noProof/>
                <w:sz w:val="20"/>
              </w:rPr>
            </w:pPr>
          </w:p>
        </w:tc>
      </w:tr>
      <w:tr w:rsidR="00BE0A2F" w:rsidRPr="00610401" w:rsidTr="00B0251E">
        <w:tc>
          <w:tcPr>
            <w:tcW w:w="2660" w:type="dxa"/>
          </w:tcPr>
          <w:p w:rsidR="00BE0A2F" w:rsidRPr="00610401" w:rsidRDefault="00BE0A2F" w:rsidP="00BE0A2F">
            <w:pPr>
              <w:spacing w:before="0" w:after="0"/>
              <w:jc w:val="left"/>
              <w:rPr>
                <w:b/>
                <w:bCs/>
                <w:noProof/>
                <w:sz w:val="20"/>
              </w:rPr>
            </w:pPr>
            <w:r w:rsidRPr="00610401">
              <w:rPr>
                <w:b/>
                <w:noProof/>
                <w:sz w:val="20"/>
              </w:rPr>
              <w:t>Ogólna koordynacja</w:t>
            </w:r>
            <w:r w:rsidR="00610401" w:rsidRPr="00610401">
              <w:rPr>
                <w:b/>
                <w:noProof/>
                <w:sz w:val="20"/>
              </w:rPr>
              <w:t xml:space="preserve"> i zar</w:t>
            </w:r>
            <w:r w:rsidRPr="00610401">
              <w:rPr>
                <w:b/>
                <w:noProof/>
                <w:sz w:val="20"/>
              </w:rPr>
              <w:t>ządzanie</w:t>
            </w:r>
            <w:r w:rsidR="00610401" w:rsidRPr="00610401">
              <w:rPr>
                <w:b/>
                <w:noProof/>
                <w:sz w:val="20"/>
              </w:rPr>
              <w:t xml:space="preserve"> w zak</w:t>
            </w:r>
            <w:r w:rsidRPr="00610401">
              <w:rPr>
                <w:b/>
                <w:noProof/>
                <w:sz w:val="20"/>
              </w:rPr>
              <w:t>resie koordynacji raportów, EIONET, koordynacja państw członkowskich:</w:t>
            </w:r>
          </w:p>
          <w:p w:rsidR="00BE0A2F" w:rsidRPr="00610401" w:rsidRDefault="00BE0A2F" w:rsidP="00BE0A2F">
            <w:pPr>
              <w:spacing w:before="0" w:after="0"/>
              <w:jc w:val="left"/>
              <w:rPr>
                <w:b/>
                <w:bCs/>
                <w:noProof/>
                <w:sz w:val="20"/>
              </w:rPr>
            </w:pPr>
          </w:p>
          <w:p w:rsidR="00BE0A2F" w:rsidRPr="00610401" w:rsidRDefault="00BE0A2F" w:rsidP="00BE0A2F">
            <w:pPr>
              <w:spacing w:before="0" w:after="0"/>
              <w:jc w:val="left"/>
              <w:rPr>
                <w:noProof/>
                <w:sz w:val="20"/>
              </w:rPr>
            </w:pPr>
            <w:r w:rsidRPr="00610401">
              <w:rPr>
                <w:noProof/>
                <w:sz w:val="20"/>
              </w:rPr>
              <w:t>Zadaniem osoby zajmującej to stanowisko będzie kierowanie ogólną koordynacją procesu sprawozdawczego,</w:t>
            </w:r>
            <w:r w:rsidR="00610401" w:rsidRPr="00610401">
              <w:rPr>
                <w:noProof/>
                <w:sz w:val="20"/>
              </w:rPr>
              <w:t xml:space="preserve"> w któ</w:t>
            </w:r>
            <w:r w:rsidRPr="00610401">
              <w:rPr>
                <w:noProof/>
                <w:sz w:val="20"/>
              </w:rPr>
              <w:t xml:space="preserve">rym większość pracy będzie wykonywana przez osoby zatrudnione na stanowiskach wymienionych wyżej. </w:t>
            </w:r>
          </w:p>
          <w:p w:rsidR="00BE0A2F" w:rsidRPr="00610401" w:rsidRDefault="00BE0A2F" w:rsidP="00BE0A2F">
            <w:pPr>
              <w:spacing w:before="0" w:after="0"/>
              <w:jc w:val="left"/>
              <w:rPr>
                <w:b/>
                <w:bCs/>
                <w:noProof/>
                <w:sz w:val="20"/>
              </w:rPr>
            </w:pPr>
          </w:p>
        </w:tc>
        <w:tc>
          <w:tcPr>
            <w:tcW w:w="2551" w:type="dxa"/>
          </w:tcPr>
          <w:p w:rsidR="00BE0A2F" w:rsidRPr="00610401" w:rsidRDefault="00BE0A2F" w:rsidP="00BE0A2F">
            <w:pPr>
              <w:spacing w:before="0" w:after="0"/>
              <w:jc w:val="left"/>
              <w:rPr>
                <w:noProof/>
                <w:sz w:val="20"/>
              </w:rPr>
            </w:pPr>
            <w:r w:rsidRPr="00610401">
              <w:rPr>
                <w:noProof/>
                <w:sz w:val="20"/>
              </w:rPr>
              <w:t>1 x grupa funkcyjna AD 7 zarządzanie</w:t>
            </w:r>
            <w:r w:rsidR="00610401" w:rsidRPr="00610401">
              <w:rPr>
                <w:noProof/>
                <w:sz w:val="20"/>
              </w:rPr>
              <w:t xml:space="preserve"> i koo</w:t>
            </w:r>
            <w:r w:rsidRPr="00610401">
              <w:rPr>
                <w:noProof/>
                <w:sz w:val="20"/>
              </w:rPr>
              <w:t>rdynacja przeglądu krajowego programu odbudowy, budowanie zdolności państw członkowskich</w:t>
            </w:r>
            <w:r w:rsidR="00610401" w:rsidRPr="00610401">
              <w:rPr>
                <w:noProof/>
                <w:sz w:val="20"/>
              </w:rPr>
              <w:t xml:space="preserve"> w zak</w:t>
            </w:r>
            <w:r w:rsidRPr="00610401">
              <w:rPr>
                <w:noProof/>
                <w:sz w:val="20"/>
              </w:rPr>
              <w:t>resie opracowywania, przeglądu</w:t>
            </w:r>
            <w:r w:rsidR="00610401" w:rsidRPr="00610401">
              <w:rPr>
                <w:noProof/>
                <w:sz w:val="20"/>
              </w:rPr>
              <w:t xml:space="preserve"> i rea</w:t>
            </w:r>
            <w:r w:rsidRPr="00610401">
              <w:rPr>
                <w:noProof/>
                <w:sz w:val="20"/>
              </w:rPr>
              <w:t>lizacji krajowego programu odbudowy</w:t>
            </w: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noProof/>
                <w:sz w:val="20"/>
              </w:rPr>
            </w:pPr>
          </w:p>
          <w:p w:rsidR="00BE0A2F" w:rsidRPr="00610401" w:rsidRDefault="00BE0A2F" w:rsidP="00BE0A2F">
            <w:pPr>
              <w:spacing w:before="0" w:after="0"/>
              <w:jc w:val="left"/>
              <w:rPr>
                <w:b/>
                <w:bCs/>
                <w:noProof/>
                <w:sz w:val="20"/>
              </w:rPr>
            </w:pPr>
            <w:r w:rsidRPr="00610401">
              <w:rPr>
                <w:b/>
                <w:noProof/>
                <w:sz w:val="20"/>
              </w:rPr>
              <w:t xml:space="preserve"> </w:t>
            </w:r>
          </w:p>
        </w:tc>
        <w:tc>
          <w:tcPr>
            <w:tcW w:w="1843" w:type="dxa"/>
          </w:tcPr>
          <w:p w:rsidR="00BE0A2F" w:rsidRPr="00610401" w:rsidRDefault="00BE0A2F" w:rsidP="00BE0A2F">
            <w:pPr>
              <w:spacing w:before="0" w:after="0"/>
              <w:jc w:val="left"/>
              <w:rPr>
                <w:noProof/>
                <w:sz w:val="20"/>
              </w:rPr>
            </w:pPr>
            <w:r w:rsidRPr="00610401">
              <w:rPr>
                <w:noProof/>
                <w:sz w:val="20"/>
              </w:rPr>
              <w:t>Posiedzenia</w:t>
            </w:r>
          </w:p>
          <w:p w:rsidR="00BE0A2F" w:rsidRPr="00610401" w:rsidRDefault="00BE0A2F" w:rsidP="00BE0A2F">
            <w:pPr>
              <w:spacing w:before="0" w:after="0"/>
              <w:jc w:val="left"/>
              <w:rPr>
                <w:noProof/>
                <w:sz w:val="20"/>
              </w:rPr>
            </w:pPr>
            <w:r w:rsidRPr="00610401">
              <w:rPr>
                <w:noProof/>
                <w:sz w:val="20"/>
              </w:rPr>
              <w:t>20 000 rocznie</w:t>
            </w:r>
          </w:p>
          <w:p w:rsidR="00BE0A2F" w:rsidRPr="00610401" w:rsidRDefault="00BE0A2F" w:rsidP="00BE0A2F">
            <w:pPr>
              <w:spacing w:before="0" w:after="0"/>
              <w:jc w:val="left"/>
              <w:rPr>
                <w:noProof/>
                <w:sz w:val="20"/>
              </w:rPr>
            </w:pPr>
            <w:r w:rsidRPr="00610401">
              <w:rPr>
                <w:noProof/>
                <w:sz w:val="20"/>
              </w:rPr>
              <w:t>Komunikacja</w:t>
            </w:r>
          </w:p>
          <w:p w:rsidR="00BE0A2F" w:rsidRPr="00610401" w:rsidRDefault="00BE0A2F" w:rsidP="00BE0A2F">
            <w:pPr>
              <w:spacing w:before="0" w:after="0"/>
              <w:jc w:val="left"/>
              <w:rPr>
                <w:noProof/>
                <w:sz w:val="20"/>
              </w:rPr>
            </w:pPr>
          </w:p>
        </w:tc>
        <w:tc>
          <w:tcPr>
            <w:tcW w:w="5387" w:type="dxa"/>
          </w:tcPr>
          <w:p w:rsidR="00BE0A2F" w:rsidRPr="00610401" w:rsidRDefault="00BE0A2F" w:rsidP="00BE0A2F">
            <w:pPr>
              <w:spacing w:before="0" w:after="0"/>
              <w:jc w:val="left"/>
              <w:rPr>
                <w:noProof/>
                <w:sz w:val="20"/>
              </w:rPr>
            </w:pPr>
            <w:r w:rsidRPr="00610401">
              <w:rPr>
                <w:noProof/>
                <w:sz w:val="20"/>
              </w:rPr>
              <w:t xml:space="preserve">Ten główny ekspert będzie pełnił funkcję koordynatora, który pomoże skoordynować przegląd krajowego programu odbudowy, działania na rzecz budowania zdolności państw członkowskich oraz realizację krajowego programu odbudowy. Przewiduje się również, że osoba ta będzie zajmować się: </w:t>
            </w:r>
          </w:p>
          <w:p w:rsidR="00BE0A2F" w:rsidRPr="00610401" w:rsidRDefault="00BE0A2F" w:rsidP="00BE0A2F">
            <w:pPr>
              <w:spacing w:before="0" w:after="0"/>
              <w:jc w:val="left"/>
              <w:rPr>
                <w:noProof/>
                <w:sz w:val="20"/>
              </w:rPr>
            </w:pPr>
            <w:r w:rsidRPr="00610401">
              <w:rPr>
                <w:noProof/>
                <w:sz w:val="20"/>
              </w:rPr>
              <w:t>5. Publikacją</w:t>
            </w:r>
            <w:r w:rsidR="00610401" w:rsidRPr="00610401">
              <w:rPr>
                <w:noProof/>
                <w:sz w:val="20"/>
              </w:rPr>
              <w:t xml:space="preserve"> i dos</w:t>
            </w:r>
            <w:r w:rsidRPr="00610401">
              <w:rPr>
                <w:noProof/>
                <w:sz w:val="20"/>
              </w:rPr>
              <w:t>tępem do danych (np. interaktywne mapy, pulpity nawigacyjne, sprawozdawczość).</w:t>
            </w:r>
          </w:p>
          <w:p w:rsidR="00BE0A2F" w:rsidRPr="00610401" w:rsidRDefault="00BE0A2F" w:rsidP="00BE0A2F">
            <w:pPr>
              <w:spacing w:before="0" w:after="0"/>
              <w:jc w:val="left"/>
              <w:rPr>
                <w:noProof/>
                <w:sz w:val="20"/>
              </w:rPr>
            </w:pPr>
            <w:r w:rsidRPr="00610401">
              <w:rPr>
                <w:noProof/>
                <w:sz w:val="20"/>
              </w:rPr>
              <w:t>6.</w:t>
            </w:r>
            <w:r w:rsidR="00610401" w:rsidRPr="00610401">
              <w:rPr>
                <w:noProof/>
                <w:sz w:val="20"/>
              </w:rPr>
              <w:t xml:space="preserve"> </w:t>
            </w:r>
            <w:r w:rsidRPr="00610401">
              <w:rPr>
                <w:noProof/>
                <w:sz w:val="20"/>
              </w:rPr>
              <w:t>Wsparciem</w:t>
            </w:r>
            <w:r w:rsidR="00610401" w:rsidRPr="00610401">
              <w:rPr>
                <w:noProof/>
                <w:sz w:val="20"/>
              </w:rPr>
              <w:t xml:space="preserve"> w oce</w:t>
            </w:r>
            <w:r w:rsidRPr="00610401">
              <w:rPr>
                <w:noProof/>
                <w:sz w:val="20"/>
              </w:rPr>
              <w:t>nie krajowych planów odbudowy.</w:t>
            </w:r>
          </w:p>
          <w:p w:rsidR="00BE0A2F" w:rsidRPr="00610401" w:rsidRDefault="00BE0A2F" w:rsidP="00BE0A2F">
            <w:pPr>
              <w:spacing w:before="0" w:after="0"/>
              <w:jc w:val="left"/>
              <w:rPr>
                <w:noProof/>
                <w:sz w:val="20"/>
              </w:rPr>
            </w:pPr>
            <w:r w:rsidRPr="00610401">
              <w:rPr>
                <w:noProof/>
                <w:sz w:val="20"/>
              </w:rPr>
              <w:t>7. Wsparciem</w:t>
            </w:r>
            <w:r w:rsidR="00610401" w:rsidRPr="00610401">
              <w:rPr>
                <w:noProof/>
                <w:sz w:val="20"/>
              </w:rPr>
              <w:t xml:space="preserve"> w oce</w:t>
            </w:r>
            <w:r w:rsidRPr="00610401">
              <w:rPr>
                <w:noProof/>
                <w:sz w:val="20"/>
              </w:rPr>
              <w:t>nie sprawozdań</w:t>
            </w:r>
            <w:r w:rsidR="00610401" w:rsidRPr="00610401">
              <w:rPr>
                <w:noProof/>
                <w:sz w:val="20"/>
              </w:rPr>
              <w:t xml:space="preserve"> z pos</w:t>
            </w:r>
            <w:r w:rsidRPr="00610401">
              <w:rPr>
                <w:noProof/>
                <w:sz w:val="20"/>
              </w:rPr>
              <w:t>tępów przedstawianych przez państwa członkowskie.</w:t>
            </w:r>
          </w:p>
          <w:p w:rsidR="00BE0A2F" w:rsidRPr="00610401" w:rsidRDefault="00BE0A2F" w:rsidP="00BE0A2F">
            <w:pPr>
              <w:spacing w:before="0" w:after="0"/>
              <w:jc w:val="left"/>
              <w:rPr>
                <w:noProof/>
                <w:sz w:val="20"/>
              </w:rPr>
            </w:pPr>
            <w:r w:rsidRPr="00610401">
              <w:rPr>
                <w:noProof/>
                <w:sz w:val="20"/>
              </w:rPr>
              <w:t>10. Koordynowaniem centrum informacyjnego dla państw członkowskich.</w:t>
            </w:r>
          </w:p>
          <w:p w:rsidR="00BE0A2F" w:rsidRPr="00610401" w:rsidRDefault="00BE0A2F" w:rsidP="00BE0A2F">
            <w:pPr>
              <w:spacing w:before="0" w:after="0"/>
              <w:jc w:val="left"/>
              <w:rPr>
                <w:noProof/>
                <w:sz w:val="20"/>
              </w:rPr>
            </w:pPr>
            <w:r w:rsidRPr="00610401">
              <w:rPr>
                <w:noProof/>
                <w:sz w:val="20"/>
              </w:rPr>
              <w:t xml:space="preserve"> </w:t>
            </w:r>
          </w:p>
        </w:tc>
        <w:tc>
          <w:tcPr>
            <w:tcW w:w="2409" w:type="dxa"/>
          </w:tcPr>
          <w:p w:rsidR="00BE0A2F" w:rsidRPr="00610401" w:rsidRDefault="00BE0A2F" w:rsidP="00BE0A2F">
            <w:pPr>
              <w:spacing w:before="0" w:after="0"/>
              <w:jc w:val="left"/>
              <w:rPr>
                <w:noProof/>
                <w:sz w:val="20"/>
              </w:rPr>
            </w:pPr>
            <w:r w:rsidRPr="00610401">
              <w:rPr>
                <w:noProof/>
                <w:sz w:val="20"/>
              </w:rPr>
              <w:t xml:space="preserve">Początek realizacji </w:t>
            </w:r>
          </w:p>
        </w:tc>
      </w:tr>
      <w:tr w:rsidR="00BE0A2F" w:rsidRPr="00610401" w:rsidTr="00B0251E">
        <w:tc>
          <w:tcPr>
            <w:tcW w:w="2660" w:type="dxa"/>
            <w:shd w:val="clear" w:color="auto" w:fill="EAF1DD" w:themeFill="accent3" w:themeFillTint="33"/>
          </w:tcPr>
          <w:p w:rsidR="00BE0A2F" w:rsidRPr="00610401" w:rsidRDefault="00BE0A2F" w:rsidP="00BE0A2F">
            <w:pPr>
              <w:spacing w:before="0" w:after="0"/>
              <w:jc w:val="left"/>
              <w:rPr>
                <w:b/>
                <w:bCs/>
                <w:noProof/>
                <w:sz w:val="20"/>
              </w:rPr>
            </w:pPr>
            <w:r w:rsidRPr="00610401">
              <w:rPr>
                <w:b/>
                <w:noProof/>
                <w:sz w:val="20"/>
              </w:rPr>
              <w:t>SUMA CZĄSTKOWA</w:t>
            </w:r>
          </w:p>
        </w:tc>
        <w:tc>
          <w:tcPr>
            <w:tcW w:w="2551" w:type="dxa"/>
            <w:shd w:val="clear" w:color="auto" w:fill="EAF1DD" w:themeFill="accent3" w:themeFillTint="33"/>
          </w:tcPr>
          <w:p w:rsidR="00BE0A2F" w:rsidRPr="00610401" w:rsidRDefault="00BE0A2F" w:rsidP="00BE0A2F">
            <w:pPr>
              <w:spacing w:before="0" w:after="0"/>
              <w:jc w:val="left"/>
              <w:rPr>
                <w:b/>
                <w:bCs/>
                <w:noProof/>
                <w:sz w:val="20"/>
              </w:rPr>
            </w:pPr>
            <w:r w:rsidRPr="00610401">
              <w:rPr>
                <w:b/>
                <w:noProof/>
                <w:sz w:val="20"/>
              </w:rPr>
              <w:t>1 x grupa funkcyjna AD 7</w:t>
            </w:r>
          </w:p>
          <w:p w:rsidR="00BE0A2F" w:rsidRPr="00610401" w:rsidRDefault="00BE0A2F" w:rsidP="00BE0A2F">
            <w:pPr>
              <w:spacing w:before="0" w:after="0"/>
              <w:jc w:val="left"/>
              <w:rPr>
                <w:b/>
                <w:bCs/>
                <w:noProof/>
                <w:sz w:val="20"/>
              </w:rPr>
            </w:pPr>
            <w:r w:rsidRPr="00610401">
              <w:rPr>
                <w:b/>
                <w:noProof/>
                <w:sz w:val="20"/>
              </w:rPr>
              <w:t>5 x grupa funkcyjna AD 6</w:t>
            </w:r>
          </w:p>
          <w:p w:rsidR="00BE0A2F" w:rsidRPr="00610401" w:rsidRDefault="00BE0A2F" w:rsidP="00BE0A2F">
            <w:pPr>
              <w:spacing w:before="0" w:after="0"/>
              <w:jc w:val="left"/>
              <w:rPr>
                <w:b/>
                <w:bCs/>
                <w:noProof/>
                <w:sz w:val="20"/>
              </w:rPr>
            </w:pPr>
            <w:r w:rsidRPr="00610401">
              <w:rPr>
                <w:b/>
                <w:noProof/>
                <w:sz w:val="20"/>
              </w:rPr>
              <w:t>1 x grupa funkcyjna AST</w:t>
            </w:r>
          </w:p>
          <w:p w:rsidR="00BE0A2F" w:rsidRPr="00610401" w:rsidRDefault="00BE0A2F" w:rsidP="00BE0A2F">
            <w:pPr>
              <w:spacing w:before="0" w:after="0"/>
              <w:jc w:val="left"/>
              <w:rPr>
                <w:b/>
                <w:bCs/>
                <w:noProof/>
                <w:sz w:val="20"/>
              </w:rPr>
            </w:pPr>
            <w:r w:rsidRPr="00610401">
              <w:rPr>
                <w:b/>
                <w:noProof/>
                <w:sz w:val="20"/>
              </w:rPr>
              <w:t>4 x grupa funkcyjna IV</w:t>
            </w:r>
          </w:p>
        </w:tc>
        <w:tc>
          <w:tcPr>
            <w:tcW w:w="1843" w:type="dxa"/>
            <w:shd w:val="clear" w:color="auto" w:fill="EAF1DD" w:themeFill="accent3" w:themeFillTint="33"/>
          </w:tcPr>
          <w:p w:rsidR="00BE0A2F" w:rsidRPr="00610401" w:rsidRDefault="00BE0A2F" w:rsidP="00BE0A2F">
            <w:pPr>
              <w:spacing w:before="0" w:after="0"/>
              <w:jc w:val="left"/>
              <w:rPr>
                <w:b/>
                <w:bCs/>
                <w:noProof/>
                <w:sz w:val="20"/>
              </w:rPr>
            </w:pPr>
            <w:r w:rsidRPr="00610401">
              <w:rPr>
                <w:b/>
                <w:noProof/>
                <w:sz w:val="20"/>
              </w:rPr>
              <w:t>Zamówienie publiczne na usługi (wiedza fachowa dotycząca ekosystemu): 150 000 EUR/rok</w:t>
            </w:r>
          </w:p>
          <w:p w:rsidR="00BE0A2F" w:rsidRPr="00610401" w:rsidRDefault="00BE0A2F" w:rsidP="00BE0A2F">
            <w:pPr>
              <w:spacing w:before="0" w:after="0"/>
              <w:jc w:val="left"/>
              <w:rPr>
                <w:b/>
                <w:bCs/>
                <w:noProof/>
                <w:sz w:val="20"/>
              </w:rPr>
            </w:pPr>
            <w:r w:rsidRPr="00610401">
              <w:rPr>
                <w:b/>
                <w:noProof/>
                <w:sz w:val="20"/>
              </w:rPr>
              <w:t>Koszty informatyczne:</w:t>
            </w:r>
          </w:p>
          <w:p w:rsidR="00BE0A2F" w:rsidRPr="00610401" w:rsidRDefault="00BE0A2F" w:rsidP="00BE0A2F">
            <w:pPr>
              <w:spacing w:before="0" w:after="0"/>
              <w:jc w:val="left"/>
              <w:rPr>
                <w:b/>
                <w:bCs/>
                <w:noProof/>
                <w:sz w:val="20"/>
              </w:rPr>
            </w:pPr>
            <w:r w:rsidRPr="00610401">
              <w:rPr>
                <w:b/>
                <w:noProof/>
                <w:sz w:val="20"/>
              </w:rPr>
              <w:t>600 000 na start + 200 000 na rok wdrożenia:</w:t>
            </w:r>
          </w:p>
        </w:tc>
        <w:tc>
          <w:tcPr>
            <w:tcW w:w="5387" w:type="dxa"/>
            <w:shd w:val="clear" w:color="auto" w:fill="EAF1DD" w:themeFill="accent3" w:themeFillTint="33"/>
          </w:tcPr>
          <w:p w:rsidR="00BE0A2F" w:rsidRPr="00610401" w:rsidRDefault="00BE0A2F" w:rsidP="00BE0A2F">
            <w:pPr>
              <w:spacing w:before="0" w:after="0"/>
              <w:jc w:val="left"/>
              <w:rPr>
                <w:b/>
                <w:bCs/>
                <w:noProof/>
                <w:sz w:val="20"/>
              </w:rPr>
            </w:pPr>
          </w:p>
        </w:tc>
        <w:tc>
          <w:tcPr>
            <w:tcW w:w="2409" w:type="dxa"/>
            <w:shd w:val="clear" w:color="auto" w:fill="EAF1DD" w:themeFill="accent3" w:themeFillTint="33"/>
          </w:tcPr>
          <w:p w:rsidR="00BE0A2F" w:rsidRPr="00610401" w:rsidRDefault="00BE0A2F" w:rsidP="00BE0A2F">
            <w:pPr>
              <w:spacing w:before="0" w:after="0"/>
              <w:ind w:left="99"/>
              <w:jc w:val="left"/>
              <w:rPr>
                <w:b/>
                <w:bCs/>
                <w:noProof/>
                <w:sz w:val="20"/>
              </w:rPr>
            </w:pPr>
          </w:p>
        </w:tc>
      </w:tr>
      <w:tr w:rsidR="00BE0A2F" w:rsidRPr="00610401" w:rsidTr="00B0251E">
        <w:trPr>
          <w:trHeight w:val="997"/>
        </w:trPr>
        <w:tc>
          <w:tcPr>
            <w:tcW w:w="2660" w:type="dxa"/>
          </w:tcPr>
          <w:p w:rsidR="00BE0A2F" w:rsidRPr="00610401" w:rsidRDefault="00BE0A2F" w:rsidP="00BE0A2F">
            <w:pPr>
              <w:spacing w:before="0" w:after="0"/>
              <w:jc w:val="left"/>
              <w:rPr>
                <w:b/>
                <w:bCs/>
                <w:noProof/>
                <w:sz w:val="20"/>
              </w:rPr>
            </w:pPr>
            <w:r w:rsidRPr="00610401">
              <w:rPr>
                <w:b/>
                <w:noProof/>
                <w:sz w:val="20"/>
              </w:rPr>
              <w:t>Dodatkowe wsparcie dla owadów zapylających – sieć monitorowania owadów zapylających</w:t>
            </w:r>
          </w:p>
        </w:tc>
        <w:tc>
          <w:tcPr>
            <w:tcW w:w="2551" w:type="dxa"/>
          </w:tcPr>
          <w:p w:rsidR="00BE0A2F" w:rsidRPr="00610401" w:rsidRDefault="00BE0A2F" w:rsidP="00BE0A2F">
            <w:pPr>
              <w:spacing w:before="0" w:after="0"/>
              <w:jc w:val="left"/>
              <w:rPr>
                <w:b/>
                <w:bCs/>
                <w:noProof/>
                <w:sz w:val="20"/>
              </w:rPr>
            </w:pPr>
          </w:p>
          <w:p w:rsidR="00BE0A2F" w:rsidRPr="00610401" w:rsidRDefault="00BE0A2F" w:rsidP="00BE0A2F">
            <w:pPr>
              <w:spacing w:before="0" w:after="0"/>
              <w:jc w:val="left"/>
              <w:rPr>
                <w:b/>
                <w:bCs/>
                <w:noProof/>
                <w:sz w:val="20"/>
              </w:rPr>
            </w:pPr>
            <w:r w:rsidRPr="00610401">
              <w:rPr>
                <w:noProof/>
                <w:sz w:val="20"/>
              </w:rPr>
              <w:t>1 x grupa funkcyjna IV owady zapylające/metody statystyczne</w:t>
            </w:r>
          </w:p>
        </w:tc>
        <w:tc>
          <w:tcPr>
            <w:tcW w:w="1843" w:type="dxa"/>
          </w:tcPr>
          <w:p w:rsidR="00BE0A2F" w:rsidRPr="00610401" w:rsidRDefault="00BE0A2F" w:rsidP="00BE0A2F">
            <w:pPr>
              <w:spacing w:before="0" w:after="0"/>
              <w:jc w:val="left"/>
              <w:rPr>
                <w:noProof/>
                <w:sz w:val="20"/>
              </w:rPr>
            </w:pPr>
          </w:p>
        </w:tc>
        <w:tc>
          <w:tcPr>
            <w:tcW w:w="5387" w:type="dxa"/>
          </w:tcPr>
          <w:p w:rsidR="00BE0A2F" w:rsidRPr="00610401" w:rsidRDefault="00BE0A2F" w:rsidP="00EB4B40">
            <w:pPr>
              <w:numPr>
                <w:ilvl w:val="0"/>
                <w:numId w:val="32"/>
              </w:numPr>
              <w:spacing w:before="0" w:after="0"/>
              <w:ind w:left="459"/>
              <w:contextualSpacing/>
              <w:jc w:val="left"/>
              <w:rPr>
                <w:noProof/>
                <w:sz w:val="20"/>
              </w:rPr>
            </w:pPr>
            <w:r w:rsidRPr="00610401">
              <w:rPr>
                <w:noProof/>
                <w:sz w:val="20"/>
              </w:rPr>
              <w:t>Nawiązywanie</w:t>
            </w:r>
            <w:r w:rsidR="00610401" w:rsidRPr="00610401">
              <w:rPr>
                <w:noProof/>
                <w:sz w:val="20"/>
              </w:rPr>
              <w:t xml:space="preserve"> i koo</w:t>
            </w:r>
            <w:r w:rsidRPr="00610401">
              <w:rPr>
                <w:noProof/>
                <w:sz w:val="20"/>
              </w:rPr>
              <w:t>rdynacja współpracy</w:t>
            </w:r>
            <w:r w:rsidR="00610401" w:rsidRPr="00610401">
              <w:rPr>
                <w:noProof/>
                <w:sz w:val="20"/>
              </w:rPr>
              <w:t xml:space="preserve"> z eks</w:t>
            </w:r>
            <w:r w:rsidRPr="00610401">
              <w:rPr>
                <w:noProof/>
                <w:sz w:val="20"/>
              </w:rPr>
              <w:t>pertami JRC ds. owadów zapylających.</w:t>
            </w:r>
          </w:p>
        </w:tc>
        <w:tc>
          <w:tcPr>
            <w:tcW w:w="2409" w:type="dxa"/>
          </w:tcPr>
          <w:p w:rsidR="00BE0A2F" w:rsidRPr="00610401" w:rsidRDefault="00BE0A2F" w:rsidP="00BE0A2F">
            <w:pPr>
              <w:spacing w:before="0" w:after="0"/>
              <w:ind w:left="99"/>
              <w:jc w:val="left"/>
              <w:rPr>
                <w:noProof/>
                <w:sz w:val="20"/>
              </w:rPr>
            </w:pPr>
          </w:p>
        </w:tc>
      </w:tr>
      <w:tr w:rsidR="00BE0A2F" w:rsidRPr="00610401" w:rsidTr="00B0251E">
        <w:tc>
          <w:tcPr>
            <w:tcW w:w="2660" w:type="dxa"/>
            <w:shd w:val="clear" w:color="auto" w:fill="EAF1DD" w:themeFill="accent3" w:themeFillTint="33"/>
          </w:tcPr>
          <w:p w:rsidR="00BE0A2F" w:rsidRPr="00610401" w:rsidRDefault="00BE0A2F" w:rsidP="00BE0A2F">
            <w:pPr>
              <w:spacing w:before="0" w:after="0"/>
              <w:jc w:val="left"/>
              <w:rPr>
                <w:b/>
                <w:bCs/>
                <w:noProof/>
                <w:sz w:val="20"/>
              </w:rPr>
            </w:pPr>
            <w:r w:rsidRPr="00610401">
              <w:rPr>
                <w:b/>
                <w:noProof/>
                <w:sz w:val="20"/>
              </w:rPr>
              <w:t>ŁĄCZNIE</w:t>
            </w:r>
          </w:p>
        </w:tc>
        <w:tc>
          <w:tcPr>
            <w:tcW w:w="2551" w:type="dxa"/>
            <w:shd w:val="clear" w:color="auto" w:fill="EAF1DD" w:themeFill="accent3" w:themeFillTint="33"/>
          </w:tcPr>
          <w:p w:rsidR="00BE0A2F" w:rsidRPr="00610401" w:rsidRDefault="00BE0A2F" w:rsidP="00BE0A2F">
            <w:pPr>
              <w:spacing w:before="0" w:after="0"/>
              <w:jc w:val="left"/>
              <w:rPr>
                <w:b/>
                <w:bCs/>
                <w:noProof/>
                <w:sz w:val="20"/>
              </w:rPr>
            </w:pPr>
            <w:r w:rsidRPr="00610401">
              <w:rPr>
                <w:b/>
                <w:noProof/>
                <w:sz w:val="20"/>
              </w:rPr>
              <w:t>1 x grupa funkcyjna AD 7</w:t>
            </w:r>
          </w:p>
          <w:p w:rsidR="00BE0A2F" w:rsidRPr="00610401" w:rsidRDefault="00BE0A2F" w:rsidP="00BE0A2F">
            <w:pPr>
              <w:spacing w:before="0" w:after="0"/>
              <w:jc w:val="left"/>
              <w:rPr>
                <w:b/>
                <w:bCs/>
                <w:noProof/>
                <w:sz w:val="20"/>
              </w:rPr>
            </w:pPr>
            <w:r w:rsidRPr="00610401">
              <w:rPr>
                <w:b/>
                <w:noProof/>
                <w:sz w:val="20"/>
              </w:rPr>
              <w:t>5 x grupa funkcyjna AD 6</w:t>
            </w:r>
          </w:p>
          <w:p w:rsidR="00BE0A2F" w:rsidRPr="00610401" w:rsidRDefault="00BE0A2F" w:rsidP="00BE0A2F">
            <w:pPr>
              <w:spacing w:before="0" w:after="0"/>
              <w:jc w:val="left"/>
              <w:rPr>
                <w:b/>
                <w:bCs/>
                <w:noProof/>
                <w:sz w:val="20"/>
              </w:rPr>
            </w:pPr>
            <w:r w:rsidRPr="00610401">
              <w:rPr>
                <w:b/>
                <w:noProof/>
                <w:sz w:val="20"/>
              </w:rPr>
              <w:t>1 x grupa funkcyjna AST</w:t>
            </w:r>
          </w:p>
          <w:p w:rsidR="00BE0A2F" w:rsidRPr="00610401" w:rsidRDefault="00BE0A2F" w:rsidP="00BE0A2F">
            <w:pPr>
              <w:spacing w:before="0" w:after="0"/>
              <w:jc w:val="left"/>
              <w:rPr>
                <w:b/>
                <w:bCs/>
                <w:noProof/>
                <w:sz w:val="20"/>
              </w:rPr>
            </w:pPr>
            <w:r w:rsidRPr="00610401">
              <w:rPr>
                <w:b/>
                <w:noProof/>
                <w:sz w:val="20"/>
              </w:rPr>
              <w:t xml:space="preserve">5 x grupa funkcyjna IV </w:t>
            </w:r>
          </w:p>
        </w:tc>
        <w:tc>
          <w:tcPr>
            <w:tcW w:w="1843" w:type="dxa"/>
            <w:shd w:val="clear" w:color="auto" w:fill="EAF1DD" w:themeFill="accent3" w:themeFillTint="33"/>
          </w:tcPr>
          <w:p w:rsidR="00BE0A2F" w:rsidRPr="00610401" w:rsidRDefault="00BE0A2F" w:rsidP="00BE0A2F">
            <w:pPr>
              <w:spacing w:before="0" w:after="0"/>
              <w:jc w:val="left"/>
              <w:rPr>
                <w:noProof/>
                <w:sz w:val="20"/>
              </w:rPr>
            </w:pPr>
          </w:p>
        </w:tc>
        <w:tc>
          <w:tcPr>
            <w:tcW w:w="5387" w:type="dxa"/>
            <w:shd w:val="clear" w:color="auto" w:fill="EAF1DD" w:themeFill="accent3" w:themeFillTint="33"/>
          </w:tcPr>
          <w:p w:rsidR="00BE0A2F" w:rsidRPr="00610401" w:rsidRDefault="00BE0A2F" w:rsidP="00BE0A2F">
            <w:pPr>
              <w:spacing w:before="0" w:after="0"/>
              <w:jc w:val="left"/>
              <w:rPr>
                <w:noProof/>
                <w:sz w:val="20"/>
              </w:rPr>
            </w:pPr>
          </w:p>
        </w:tc>
        <w:tc>
          <w:tcPr>
            <w:tcW w:w="2409" w:type="dxa"/>
            <w:shd w:val="clear" w:color="auto" w:fill="EAF1DD" w:themeFill="accent3" w:themeFillTint="33"/>
          </w:tcPr>
          <w:p w:rsidR="00BE0A2F" w:rsidRPr="00610401" w:rsidRDefault="00BE0A2F" w:rsidP="00BE0A2F">
            <w:pPr>
              <w:spacing w:before="0" w:after="0"/>
              <w:ind w:left="99"/>
              <w:jc w:val="left"/>
              <w:rPr>
                <w:noProof/>
                <w:sz w:val="20"/>
              </w:rPr>
            </w:pPr>
          </w:p>
        </w:tc>
      </w:tr>
    </w:tbl>
    <w:p w:rsidR="00BE0A2F" w:rsidRPr="00610401" w:rsidRDefault="00BE0A2F" w:rsidP="00BE0A2F">
      <w:pPr>
        <w:spacing w:before="0" w:after="0"/>
        <w:jc w:val="left"/>
        <w:rPr>
          <w:rFonts w:ascii="Arial Narrow" w:eastAsia="Times New Roman" w:hAnsi="Arial Narrow"/>
          <w:noProof/>
          <w:szCs w:val="24"/>
          <w:lang w:eastAsia="en-GB"/>
        </w:rPr>
      </w:pPr>
    </w:p>
    <w:p w:rsidR="00BE0A2F" w:rsidRPr="00610401" w:rsidRDefault="00BE0A2F" w:rsidP="00BE0A2F">
      <w:pPr>
        <w:rPr>
          <w:noProof/>
        </w:rPr>
        <w:sectPr w:rsidR="00BE0A2F" w:rsidRPr="00610401" w:rsidSect="003C0B66">
          <w:headerReference w:type="default" r:id="rId21"/>
          <w:footerReference w:type="default" r:id="rId22"/>
          <w:headerReference w:type="first" r:id="rId23"/>
          <w:footerReference w:type="first" r:id="rId24"/>
          <w:pgSz w:w="16840" w:h="11907" w:orient="landscape" w:code="9"/>
          <w:pgMar w:top="1418" w:right="1134" w:bottom="1418" w:left="1134" w:header="709" w:footer="709" w:gutter="0"/>
          <w:cols w:space="708"/>
          <w:docGrid w:linePitch="360"/>
        </w:sectPr>
      </w:pPr>
    </w:p>
    <w:p w:rsidR="00BE0A2F" w:rsidRPr="00610401" w:rsidRDefault="009F5C98" w:rsidP="009F5C98">
      <w:pPr>
        <w:pStyle w:val="ManualHeading2"/>
        <w:rPr>
          <w:noProof/>
        </w:rPr>
      </w:pPr>
      <w:bookmarkStart w:id="27" w:name="_Toc514938039"/>
      <w:bookmarkStart w:id="28" w:name="_Toc520485040"/>
      <w:r w:rsidRPr="009F5C98">
        <w:t>1.6.</w:t>
      </w:r>
      <w:r w:rsidRPr="009F5C98">
        <w:tab/>
      </w:r>
      <w:r w:rsidR="00BE0A2F" w:rsidRPr="00610401">
        <w:rPr>
          <w:noProof/>
        </w:rPr>
        <w:t>Okres trwania</w:t>
      </w:r>
      <w:r w:rsidR="00610401" w:rsidRPr="00610401">
        <w:rPr>
          <w:noProof/>
        </w:rPr>
        <w:t xml:space="preserve"> i wpł</w:t>
      </w:r>
      <w:r w:rsidR="00BE0A2F" w:rsidRPr="00610401">
        <w:rPr>
          <w:noProof/>
        </w:rPr>
        <w:t>yw finansowy wniosku/inicjatywy</w:t>
      </w:r>
      <w:bookmarkEnd w:id="27"/>
      <w:bookmarkEnd w:id="28"/>
    </w:p>
    <w:p w:rsidR="00BE0A2F" w:rsidRPr="00610401" w:rsidRDefault="00BE0A2F" w:rsidP="00023BC7">
      <w:pPr>
        <w:pStyle w:val="Text1"/>
        <w:rPr>
          <w:noProof/>
        </w:rPr>
      </w:pPr>
      <w:r w:rsidRPr="00610401">
        <w:rPr>
          <w:noProof/>
        </w:rPr>
        <w:sym w:font="Wingdings" w:char="F0A8"/>
      </w:r>
      <w:r w:rsidRPr="00610401">
        <w:rPr>
          <w:i/>
          <w:noProof/>
        </w:rPr>
        <w:t xml:space="preserve"> </w:t>
      </w:r>
      <w:r w:rsidRPr="00610401">
        <w:rPr>
          <w:noProof/>
        </w:rPr>
        <w:t xml:space="preserve">Ograniczony czas trwania </w:t>
      </w:r>
    </w:p>
    <w:p w:rsidR="00BE0A2F" w:rsidRPr="00610401" w:rsidRDefault="00BE0A2F" w:rsidP="00023BC7">
      <w:pPr>
        <w:pStyle w:val="ListDash2"/>
        <w:rPr>
          <w:noProof/>
        </w:rPr>
      </w:pPr>
      <w:r w:rsidRPr="00610401">
        <w:rPr>
          <w:noProof/>
        </w:rPr>
        <w:sym w:font="Wingdings" w:char="F0A8"/>
      </w:r>
      <w:r w:rsidRPr="00610401">
        <w:rPr>
          <w:noProof/>
        </w:rPr>
        <w:tab/>
        <w:t>Okres trwania wniosku/inicjatywy: od [DD/MM]RRRR r. do [DD/MM]RRRR r.</w:t>
      </w:r>
    </w:p>
    <w:p w:rsidR="00BE0A2F" w:rsidRPr="00610401" w:rsidRDefault="00BE0A2F" w:rsidP="00023BC7">
      <w:pPr>
        <w:pStyle w:val="ListDash2"/>
        <w:rPr>
          <w:noProof/>
        </w:rPr>
      </w:pPr>
      <w:r w:rsidRPr="00610401">
        <w:rPr>
          <w:noProof/>
        </w:rPr>
        <w:sym w:font="Wingdings" w:char="F0A8"/>
      </w:r>
      <w:r w:rsidRPr="00610401">
        <w:rPr>
          <w:noProof/>
        </w:rPr>
        <w:tab/>
        <w:t>Okres trwania wpływu finansowego: od RRRR r. do RRRR r.</w:t>
      </w:r>
      <w:r w:rsidR="00610401" w:rsidRPr="00610401">
        <w:rPr>
          <w:noProof/>
        </w:rPr>
        <w:t xml:space="preserve"> w odn</w:t>
      </w:r>
      <w:r w:rsidRPr="00610401">
        <w:rPr>
          <w:noProof/>
        </w:rPr>
        <w:t>iesieniu do środków na zobowiązania oraz od RRRR r. do RRRR r.</w:t>
      </w:r>
      <w:r w:rsidR="00610401" w:rsidRPr="00610401">
        <w:rPr>
          <w:noProof/>
        </w:rPr>
        <w:t xml:space="preserve"> w odn</w:t>
      </w:r>
      <w:r w:rsidRPr="00610401">
        <w:rPr>
          <w:noProof/>
        </w:rPr>
        <w:t xml:space="preserve">iesieniu do środków na płatności. </w:t>
      </w:r>
    </w:p>
    <w:p w:rsidR="00BE0A2F" w:rsidRPr="00610401" w:rsidRDefault="00BE0A2F" w:rsidP="00023BC7">
      <w:pPr>
        <w:pStyle w:val="Text1"/>
        <w:rPr>
          <w:noProof/>
        </w:rPr>
      </w:pPr>
      <w:r w:rsidRPr="00610401">
        <w:rPr>
          <w:noProof/>
        </w:rPr>
        <w:sym w:font="Wingdings" w:char="F0FE"/>
      </w:r>
      <w:r w:rsidRPr="00610401">
        <w:rPr>
          <w:i/>
          <w:noProof/>
        </w:rPr>
        <w:t xml:space="preserve"> </w:t>
      </w:r>
      <w:r w:rsidRPr="00610401">
        <w:rPr>
          <w:noProof/>
        </w:rPr>
        <w:t>Nieograniczony czas trwania</w:t>
      </w:r>
    </w:p>
    <w:p w:rsidR="00BE0A2F" w:rsidRPr="00610401" w:rsidRDefault="00BE0A2F" w:rsidP="00B0251E">
      <w:pPr>
        <w:pStyle w:val="ListDash2"/>
        <w:rPr>
          <w:noProof/>
        </w:rPr>
      </w:pPr>
      <w:r w:rsidRPr="00610401">
        <w:rPr>
          <w:noProof/>
        </w:rPr>
        <w:t>Wprowadzenie</w:t>
      </w:r>
      <w:r w:rsidR="00610401" w:rsidRPr="00610401">
        <w:rPr>
          <w:noProof/>
        </w:rPr>
        <w:t xml:space="preserve"> w życ</w:t>
      </w:r>
      <w:r w:rsidRPr="00610401">
        <w:rPr>
          <w:noProof/>
        </w:rPr>
        <w:t>ie</w:t>
      </w:r>
      <w:r w:rsidR="00610401" w:rsidRPr="00610401">
        <w:rPr>
          <w:noProof/>
        </w:rPr>
        <w:t xml:space="preserve"> z okr</w:t>
      </w:r>
      <w:r w:rsidRPr="00610401">
        <w:rPr>
          <w:noProof/>
        </w:rPr>
        <w:t>esem rozruchu od</w:t>
      </w:r>
      <w:r w:rsidR="00610401" w:rsidRPr="00610401">
        <w:rPr>
          <w:noProof/>
        </w:rPr>
        <w:t> </w:t>
      </w:r>
      <w:r w:rsidRPr="00610401">
        <w:rPr>
          <w:noProof/>
        </w:rPr>
        <w:t>01.01.2022</w:t>
      </w:r>
      <w:r w:rsidR="00610401" w:rsidRPr="00610401">
        <w:rPr>
          <w:noProof/>
        </w:rPr>
        <w:t> </w:t>
      </w:r>
      <w:r w:rsidRPr="00610401">
        <w:rPr>
          <w:noProof/>
        </w:rPr>
        <w:t>r. do</w:t>
      </w:r>
      <w:r w:rsidR="00610401" w:rsidRPr="00610401">
        <w:rPr>
          <w:noProof/>
        </w:rPr>
        <w:t> </w:t>
      </w:r>
      <w:r w:rsidRPr="00610401">
        <w:rPr>
          <w:noProof/>
        </w:rPr>
        <w:t>01.01.2024</w:t>
      </w:r>
      <w:r w:rsidR="00610401" w:rsidRPr="00610401">
        <w:rPr>
          <w:noProof/>
        </w:rPr>
        <w:t> </w:t>
      </w:r>
      <w:r w:rsidRPr="00610401">
        <w:rPr>
          <w:noProof/>
        </w:rPr>
        <w:t>r.,</w:t>
      </w:r>
    </w:p>
    <w:p w:rsidR="00BE0A2F" w:rsidRPr="00610401" w:rsidRDefault="00BE0A2F" w:rsidP="00B0251E">
      <w:pPr>
        <w:pStyle w:val="ListDash2"/>
        <w:rPr>
          <w:noProof/>
        </w:rPr>
      </w:pPr>
      <w:r w:rsidRPr="00610401">
        <w:rPr>
          <w:noProof/>
        </w:rPr>
        <w:t>po którym następuje faza operacyjna.</w:t>
      </w:r>
    </w:p>
    <w:p w:rsidR="00BE0A2F" w:rsidRPr="00610401" w:rsidRDefault="009F5C98" w:rsidP="009F5C98">
      <w:pPr>
        <w:pStyle w:val="ManualHeading2"/>
        <w:rPr>
          <w:noProof/>
        </w:rPr>
      </w:pPr>
      <w:bookmarkStart w:id="29" w:name="_Toc514938040"/>
      <w:bookmarkStart w:id="30" w:name="_Toc520485041"/>
      <w:r w:rsidRPr="009F5C98">
        <w:t>1.7.</w:t>
      </w:r>
      <w:r w:rsidRPr="009F5C98">
        <w:tab/>
      </w:r>
      <w:r w:rsidR="00BE0A2F" w:rsidRPr="00610401">
        <w:rPr>
          <w:noProof/>
        </w:rPr>
        <w:t>Planowane tryby zarządzania</w:t>
      </w:r>
      <w:r w:rsidR="00BE0A2F" w:rsidRPr="00610401">
        <w:rPr>
          <w:rStyle w:val="FootnoteReference"/>
          <w:noProof/>
        </w:rPr>
        <w:footnoteReference w:id="117"/>
      </w:r>
      <w:bookmarkEnd w:id="29"/>
      <w:bookmarkEnd w:id="30"/>
      <w:r w:rsidR="00BE0A2F" w:rsidRPr="00610401">
        <w:rPr>
          <w:noProof/>
        </w:rPr>
        <w:t xml:space="preserve"> </w:t>
      </w:r>
    </w:p>
    <w:p w:rsidR="00BE0A2F" w:rsidRPr="00610401" w:rsidRDefault="00BE0A2F" w:rsidP="00B0251E">
      <w:pPr>
        <w:ind w:left="850"/>
        <w:rPr>
          <w:noProof/>
          <w:color w:val="000000" w:themeColor="text1"/>
        </w:rPr>
      </w:pPr>
      <w:r w:rsidRPr="00610401">
        <w:rPr>
          <w:noProof/>
          <w:color w:val="000000" w:themeColor="text1"/>
        </w:rPr>
        <w:sym w:font="Wingdings" w:char="F0FE"/>
      </w:r>
      <w:r w:rsidRPr="00610401">
        <w:rPr>
          <w:i/>
          <w:noProof/>
          <w:color w:val="000000" w:themeColor="text1"/>
        </w:rPr>
        <w:t xml:space="preserve"> </w:t>
      </w:r>
      <w:r w:rsidRPr="00610401">
        <w:rPr>
          <w:b/>
          <w:noProof/>
          <w:color w:val="000000" w:themeColor="text1"/>
        </w:rPr>
        <w:t>Bezpośrednie zarządzanie</w:t>
      </w:r>
      <w:r w:rsidRPr="00610401">
        <w:rPr>
          <w:noProof/>
          <w:color w:val="000000" w:themeColor="text1"/>
        </w:rPr>
        <w:t xml:space="preserve"> przez Komisję</w:t>
      </w:r>
    </w:p>
    <w:p w:rsidR="00BE0A2F" w:rsidRPr="00610401" w:rsidRDefault="00BE0A2F" w:rsidP="007C70D3">
      <w:pPr>
        <w:pStyle w:val="ListDash2"/>
        <w:rPr>
          <w:noProof/>
        </w:rPr>
      </w:pPr>
      <w:r w:rsidRPr="00610401">
        <w:rPr>
          <w:noProof/>
        </w:rPr>
        <w:sym w:font="Wingdings" w:char="F0FE"/>
      </w:r>
      <w:r w:rsidR="00610401" w:rsidRPr="00610401">
        <w:rPr>
          <w:noProof/>
        </w:rPr>
        <w:t xml:space="preserve"> w ram</w:t>
      </w:r>
      <w:r w:rsidRPr="00610401">
        <w:rPr>
          <w:noProof/>
        </w:rPr>
        <w:t>ach jej służb,</w:t>
      </w:r>
      <w:r w:rsidR="00610401" w:rsidRPr="00610401">
        <w:rPr>
          <w:noProof/>
        </w:rPr>
        <w:t xml:space="preserve"> w tym</w:t>
      </w:r>
      <w:r w:rsidRPr="00610401">
        <w:rPr>
          <w:noProof/>
        </w:rPr>
        <w:t xml:space="preserve"> za pośrednictwem jej pracowników</w:t>
      </w:r>
      <w:r w:rsidR="00610401" w:rsidRPr="00610401">
        <w:rPr>
          <w:noProof/>
        </w:rPr>
        <w:t xml:space="preserve"> w del</w:t>
      </w:r>
      <w:r w:rsidRPr="00610401">
        <w:rPr>
          <w:noProof/>
        </w:rPr>
        <w:t xml:space="preserve">egaturach Unii; </w:t>
      </w:r>
    </w:p>
    <w:p w:rsidR="00BE0A2F" w:rsidRPr="00610401" w:rsidRDefault="00BE0A2F" w:rsidP="007C70D3">
      <w:pPr>
        <w:pStyle w:val="ListDash2"/>
        <w:rPr>
          <w:noProof/>
        </w:rPr>
      </w:pPr>
      <w:r w:rsidRPr="00610401">
        <w:rPr>
          <w:noProof/>
        </w:rPr>
        <w:sym w:font="Wingdings" w:char="F0A8"/>
      </w:r>
      <w:r w:rsidRPr="00610401">
        <w:rPr>
          <w:noProof/>
        </w:rPr>
        <w:tab/>
        <w:t>przez agencje wykonawcze.</w:t>
      </w:r>
    </w:p>
    <w:p w:rsidR="00BE0A2F" w:rsidRPr="00610401" w:rsidRDefault="00BE0A2F" w:rsidP="007C70D3">
      <w:pPr>
        <w:pStyle w:val="Text1"/>
        <w:rPr>
          <w:noProof/>
        </w:rPr>
      </w:pPr>
      <w:r w:rsidRPr="00610401">
        <w:rPr>
          <w:noProof/>
        </w:rPr>
        <w:sym w:font="Wingdings" w:char="F0A8"/>
      </w:r>
      <w:r w:rsidRPr="00610401">
        <w:rPr>
          <w:noProof/>
        </w:rPr>
        <w:t xml:space="preserve"> </w:t>
      </w:r>
      <w:r w:rsidRPr="00610401">
        <w:rPr>
          <w:b/>
          <w:noProof/>
        </w:rPr>
        <w:t>Zarządzanie dzielone</w:t>
      </w:r>
      <w:r w:rsidR="00610401" w:rsidRPr="00610401">
        <w:rPr>
          <w:noProof/>
        </w:rPr>
        <w:t xml:space="preserve"> z pań</w:t>
      </w:r>
      <w:r w:rsidRPr="00610401">
        <w:rPr>
          <w:noProof/>
        </w:rPr>
        <w:t xml:space="preserve">stwami członkowskimi </w:t>
      </w:r>
    </w:p>
    <w:p w:rsidR="00BE0A2F" w:rsidRPr="00610401" w:rsidRDefault="00BE0A2F" w:rsidP="007C70D3">
      <w:pPr>
        <w:pStyle w:val="Text1"/>
        <w:rPr>
          <w:noProof/>
        </w:rPr>
      </w:pPr>
      <w:r w:rsidRPr="00610401">
        <w:rPr>
          <w:noProof/>
        </w:rPr>
        <w:sym w:font="Wingdings" w:char="F0FE"/>
      </w:r>
      <w:r w:rsidRPr="00610401">
        <w:rPr>
          <w:b/>
          <w:noProof/>
        </w:rPr>
        <w:t>Zarządzanie pośrednie</w:t>
      </w:r>
      <w:r w:rsidRPr="00610401">
        <w:rPr>
          <w:noProof/>
        </w:rPr>
        <w:t xml:space="preserve"> poprzez przekazanie zadań związanych</w:t>
      </w:r>
      <w:r w:rsidR="00610401" w:rsidRPr="00610401">
        <w:rPr>
          <w:noProof/>
        </w:rPr>
        <w:t xml:space="preserve"> z wyk</w:t>
      </w:r>
      <w:r w:rsidRPr="00610401">
        <w:rPr>
          <w:noProof/>
        </w:rPr>
        <w:t>onywaniem budżetu:</w:t>
      </w:r>
    </w:p>
    <w:p w:rsidR="00BE0A2F" w:rsidRPr="00610401" w:rsidRDefault="00BE0A2F" w:rsidP="007C70D3">
      <w:pPr>
        <w:pStyle w:val="ListDash2"/>
        <w:rPr>
          <w:noProof/>
        </w:rPr>
      </w:pPr>
      <w:r w:rsidRPr="00610401">
        <w:rPr>
          <w:noProof/>
        </w:rPr>
        <w:t>państwom trzecim lub organom przez nie wyznaczonym;</w:t>
      </w:r>
    </w:p>
    <w:p w:rsidR="00BE0A2F" w:rsidRPr="00610401" w:rsidRDefault="00BE0A2F" w:rsidP="007C70D3">
      <w:pPr>
        <w:pStyle w:val="ListDash2"/>
        <w:rPr>
          <w:noProof/>
          <w:color w:val="000000" w:themeColor="text1"/>
        </w:rPr>
      </w:pPr>
      <w:r w:rsidRPr="00610401">
        <w:rPr>
          <w:noProof/>
          <w:color w:val="000000" w:themeColor="text1"/>
        </w:rPr>
        <w:sym w:font="Wingdings" w:char="F0A8"/>
      </w:r>
      <w:r w:rsidRPr="00610401">
        <w:rPr>
          <w:noProof/>
          <w:color w:val="000000" w:themeColor="text1"/>
        </w:rPr>
        <w:t xml:space="preserve"> organizacjom międzynarodowym</w:t>
      </w:r>
      <w:r w:rsidR="00610401" w:rsidRPr="00610401">
        <w:rPr>
          <w:noProof/>
          <w:color w:val="000000" w:themeColor="text1"/>
        </w:rPr>
        <w:t xml:space="preserve"> i ich</w:t>
      </w:r>
      <w:r w:rsidRPr="00610401">
        <w:rPr>
          <w:noProof/>
          <w:color w:val="000000" w:themeColor="text1"/>
        </w:rPr>
        <w:t xml:space="preserve"> agencjom (należy wyszczególnić);</w:t>
      </w:r>
    </w:p>
    <w:p w:rsidR="00BE0A2F" w:rsidRPr="00610401" w:rsidRDefault="00BE0A2F" w:rsidP="007C70D3">
      <w:pPr>
        <w:pStyle w:val="ListDash2"/>
        <w:rPr>
          <w:noProof/>
          <w:color w:val="000000" w:themeColor="text1"/>
        </w:rPr>
      </w:pPr>
      <w:r w:rsidRPr="00610401">
        <w:rPr>
          <w:noProof/>
          <w:color w:val="000000" w:themeColor="text1"/>
        </w:rPr>
        <w:sym w:font="Wingdings" w:char="F0A8"/>
      </w:r>
      <w:r w:rsidRPr="00610401">
        <w:rPr>
          <w:noProof/>
          <w:color w:val="000000" w:themeColor="text1"/>
        </w:rPr>
        <w:t xml:space="preserve"> EBI oraz Europejskiemu Funduszowi Inwestycyjnemu;</w:t>
      </w:r>
    </w:p>
    <w:p w:rsidR="00BE0A2F" w:rsidRPr="00610401" w:rsidRDefault="00BE0A2F" w:rsidP="007C70D3">
      <w:pPr>
        <w:pStyle w:val="ListDash2"/>
        <w:rPr>
          <w:noProof/>
          <w:color w:val="000000" w:themeColor="text1"/>
        </w:rPr>
      </w:pPr>
      <w:r w:rsidRPr="00610401">
        <w:rPr>
          <w:noProof/>
          <w:color w:val="000000" w:themeColor="text1"/>
        </w:rPr>
        <w:sym w:font="Wingdings" w:char="F0FE"/>
      </w:r>
      <w:r w:rsidRPr="00610401">
        <w:rPr>
          <w:noProof/>
          <w:color w:val="000000" w:themeColor="text1"/>
        </w:rPr>
        <w:t xml:space="preserve"> organom,</w:t>
      </w:r>
      <w:r w:rsidR="00610401" w:rsidRPr="00610401">
        <w:rPr>
          <w:noProof/>
          <w:color w:val="000000" w:themeColor="text1"/>
        </w:rPr>
        <w:t xml:space="preserve"> o któ</w:t>
      </w:r>
      <w:r w:rsidRPr="00610401">
        <w:rPr>
          <w:noProof/>
          <w:color w:val="000000" w:themeColor="text1"/>
        </w:rPr>
        <w:t>rych mowa</w:t>
      </w:r>
      <w:r w:rsidR="00610401" w:rsidRPr="00610401">
        <w:rPr>
          <w:noProof/>
          <w:color w:val="000000" w:themeColor="text1"/>
        </w:rPr>
        <w:t xml:space="preserve"> w art</w:t>
      </w:r>
      <w:r w:rsidRPr="00610401">
        <w:rPr>
          <w:noProof/>
          <w:color w:val="000000" w:themeColor="text1"/>
        </w:rPr>
        <w:t>.</w:t>
      </w:r>
      <w:r w:rsidR="00610401" w:rsidRPr="00610401">
        <w:rPr>
          <w:noProof/>
          <w:color w:val="000000" w:themeColor="text1"/>
        </w:rPr>
        <w:t> </w:t>
      </w:r>
      <w:r w:rsidRPr="00610401">
        <w:rPr>
          <w:noProof/>
          <w:color w:val="000000" w:themeColor="text1"/>
        </w:rPr>
        <w:t>70</w:t>
      </w:r>
      <w:r w:rsidR="00610401" w:rsidRPr="00610401">
        <w:rPr>
          <w:noProof/>
          <w:color w:val="000000" w:themeColor="text1"/>
        </w:rPr>
        <w:t xml:space="preserve"> i 7</w:t>
      </w:r>
      <w:r w:rsidRPr="00610401">
        <w:rPr>
          <w:noProof/>
          <w:color w:val="000000" w:themeColor="text1"/>
        </w:rPr>
        <w:t>1 rozporządzenia finansowego;</w:t>
      </w:r>
    </w:p>
    <w:p w:rsidR="00BE0A2F" w:rsidRPr="00610401" w:rsidRDefault="00BE0A2F" w:rsidP="007C70D3">
      <w:pPr>
        <w:pStyle w:val="ListDash2"/>
        <w:rPr>
          <w:noProof/>
          <w:color w:val="000000" w:themeColor="text1"/>
        </w:rPr>
      </w:pPr>
      <w:r w:rsidRPr="00610401">
        <w:rPr>
          <w:noProof/>
          <w:color w:val="000000" w:themeColor="text1"/>
        </w:rPr>
        <w:sym w:font="Wingdings" w:char="F0A8"/>
      </w:r>
      <w:r w:rsidRPr="00610401">
        <w:rPr>
          <w:noProof/>
          <w:color w:val="000000" w:themeColor="text1"/>
        </w:rPr>
        <w:t xml:space="preserve"> podmiotom prawa publicznego; </w:t>
      </w:r>
    </w:p>
    <w:p w:rsidR="00BE0A2F" w:rsidRPr="00610401" w:rsidRDefault="00BE0A2F" w:rsidP="007C70D3">
      <w:pPr>
        <w:pStyle w:val="ListDash2"/>
        <w:rPr>
          <w:noProof/>
          <w:color w:val="000000" w:themeColor="text1"/>
        </w:rPr>
      </w:pPr>
      <w:r w:rsidRPr="00610401">
        <w:rPr>
          <w:noProof/>
          <w:color w:val="000000" w:themeColor="text1"/>
        </w:rPr>
        <w:sym w:font="Wingdings" w:char="F0A8"/>
      </w:r>
      <w:r w:rsidRPr="00610401">
        <w:rPr>
          <w:noProof/>
          <w:color w:val="000000" w:themeColor="text1"/>
        </w:rPr>
        <w:t xml:space="preserve"> podmiotom podlegającym prawu prywatnemu, które świadczą usługi użyteczności publicznej,</w:t>
      </w:r>
      <w:r w:rsidR="00610401" w:rsidRPr="00610401">
        <w:rPr>
          <w:noProof/>
          <w:color w:val="000000" w:themeColor="text1"/>
        </w:rPr>
        <w:t xml:space="preserve"> o ile</w:t>
      </w:r>
      <w:r w:rsidRPr="00610401">
        <w:rPr>
          <w:noProof/>
          <w:color w:val="000000" w:themeColor="text1"/>
        </w:rPr>
        <w:t xml:space="preserve"> są im zapewnione odpowiednie gwarancje finansowe;</w:t>
      </w:r>
    </w:p>
    <w:p w:rsidR="00BE0A2F" w:rsidRPr="00610401" w:rsidRDefault="00BE0A2F" w:rsidP="007C70D3">
      <w:pPr>
        <w:pStyle w:val="ListDash2"/>
        <w:rPr>
          <w:noProof/>
          <w:color w:val="000000" w:themeColor="text1"/>
        </w:rPr>
      </w:pPr>
      <w:r w:rsidRPr="00610401">
        <w:rPr>
          <w:noProof/>
          <w:color w:val="000000" w:themeColor="text1"/>
        </w:rPr>
        <w:sym w:font="Wingdings" w:char="F0A8"/>
      </w:r>
      <w:r w:rsidRPr="00610401">
        <w:rPr>
          <w:noProof/>
          <w:color w:val="000000" w:themeColor="text1"/>
        </w:rPr>
        <w:t xml:space="preserve"> </w:t>
      </w:r>
      <w:r w:rsidRPr="00610401">
        <w:rPr>
          <w:noProof/>
        </w:rPr>
        <w:tab/>
      </w:r>
      <w:r w:rsidRPr="00610401">
        <w:rPr>
          <w:noProof/>
          <w:color w:val="000000" w:themeColor="text1"/>
        </w:rPr>
        <w:t>podmiotom podlegającym prawu prywatnemu państwa członkowskiego, którym powierzono realizację partnerstwa publiczno-prywatnego</w:t>
      </w:r>
      <w:r w:rsidR="00610401" w:rsidRPr="00610401">
        <w:rPr>
          <w:noProof/>
          <w:color w:val="000000" w:themeColor="text1"/>
        </w:rPr>
        <w:t xml:space="preserve"> i zap</w:t>
      </w:r>
      <w:r w:rsidRPr="00610401">
        <w:rPr>
          <w:noProof/>
          <w:color w:val="000000" w:themeColor="text1"/>
        </w:rPr>
        <w:t>ewniono odpowiednie gwarancje finansowe;</w:t>
      </w:r>
    </w:p>
    <w:p w:rsidR="00BE0A2F" w:rsidRPr="00610401" w:rsidRDefault="00BE0A2F" w:rsidP="007C70D3">
      <w:pPr>
        <w:pStyle w:val="ListDash2"/>
        <w:rPr>
          <w:noProof/>
          <w:color w:val="000000" w:themeColor="text1"/>
        </w:rPr>
      </w:pPr>
      <w:r w:rsidRPr="00610401">
        <w:rPr>
          <w:noProof/>
          <w:color w:val="000000" w:themeColor="text1"/>
        </w:rPr>
        <w:sym w:font="Wingdings" w:char="F0A8"/>
      </w:r>
      <w:r w:rsidRPr="00610401">
        <w:rPr>
          <w:noProof/>
          <w:color w:val="000000" w:themeColor="text1"/>
        </w:rPr>
        <w:t xml:space="preserve"> osobom odpowiedzialnym za wykonanie określonych działań</w:t>
      </w:r>
      <w:r w:rsidR="00610401" w:rsidRPr="00610401">
        <w:rPr>
          <w:noProof/>
          <w:color w:val="000000" w:themeColor="text1"/>
        </w:rPr>
        <w:t xml:space="preserve"> w dzi</w:t>
      </w:r>
      <w:r w:rsidRPr="00610401">
        <w:rPr>
          <w:noProof/>
          <w:color w:val="000000" w:themeColor="text1"/>
        </w:rPr>
        <w:t>edzinie wspólnej polityki zagranicznej</w:t>
      </w:r>
      <w:r w:rsidR="00610401" w:rsidRPr="00610401">
        <w:rPr>
          <w:noProof/>
          <w:color w:val="000000" w:themeColor="text1"/>
        </w:rPr>
        <w:t xml:space="preserve"> i bez</w:t>
      </w:r>
      <w:r w:rsidRPr="00610401">
        <w:rPr>
          <w:noProof/>
          <w:color w:val="000000" w:themeColor="text1"/>
        </w:rPr>
        <w:t>pieczeństwa na mocy tytułu V Traktatu</w:t>
      </w:r>
      <w:r w:rsidR="00610401" w:rsidRPr="00610401">
        <w:rPr>
          <w:noProof/>
          <w:color w:val="000000" w:themeColor="text1"/>
        </w:rPr>
        <w:t xml:space="preserve"> o Uni</w:t>
      </w:r>
      <w:r w:rsidRPr="00610401">
        <w:rPr>
          <w:noProof/>
          <w:color w:val="000000" w:themeColor="text1"/>
        </w:rPr>
        <w:t>i Europejskiej oraz określonym we właściwym podstawowym akcie prawnym.</w:t>
      </w:r>
    </w:p>
    <w:p w:rsidR="00BE0A2F" w:rsidRPr="00610401" w:rsidRDefault="00BE0A2F" w:rsidP="007C70D3">
      <w:pPr>
        <w:pStyle w:val="ListDash2"/>
        <w:rPr>
          <w:noProof/>
          <w:u w:val="single"/>
        </w:rPr>
      </w:pPr>
      <w:r w:rsidRPr="00610401">
        <w:rPr>
          <w:noProof/>
        </w:rPr>
        <w:t>W przypadku wskazania więcej niż jednego trybu należy podać dodatkowe informacje</w:t>
      </w:r>
      <w:r w:rsidR="00610401" w:rsidRPr="00610401">
        <w:rPr>
          <w:noProof/>
        </w:rPr>
        <w:t xml:space="preserve"> w czę</w:t>
      </w:r>
      <w:r w:rsidRPr="00610401">
        <w:rPr>
          <w:noProof/>
        </w:rPr>
        <w:t>ści „Uwagi”.</w:t>
      </w:r>
    </w:p>
    <w:p w:rsidR="00BE0A2F" w:rsidRPr="00610401" w:rsidRDefault="00BE0A2F" w:rsidP="007C70D3">
      <w:pPr>
        <w:rPr>
          <w:noProof/>
        </w:rPr>
      </w:pPr>
      <w:r w:rsidRPr="00610401">
        <w:rPr>
          <w:noProof/>
        </w:rPr>
        <w:t xml:space="preserve">Uwagi </w:t>
      </w:r>
    </w:p>
    <w:p w:rsidR="00BE0A2F" w:rsidRPr="00610401" w:rsidRDefault="00BE0A2F" w:rsidP="00BE0A2F">
      <w:pPr>
        <w:pBdr>
          <w:top w:val="single" w:sz="4" w:space="1" w:color="auto"/>
          <w:left w:val="single" w:sz="4" w:space="4" w:color="auto"/>
          <w:bottom w:val="single" w:sz="4" w:space="1" w:color="auto"/>
          <w:right w:val="single" w:sz="4" w:space="4" w:color="auto"/>
        </w:pBdr>
        <w:rPr>
          <w:noProof/>
          <w:color w:val="000000" w:themeColor="text1"/>
        </w:rPr>
        <w:sectPr w:rsidR="00BE0A2F" w:rsidRPr="00610401" w:rsidSect="003C0B66">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rsidR="00BE0A2F" w:rsidRPr="00610401" w:rsidRDefault="009F5C98" w:rsidP="009F5C98">
      <w:pPr>
        <w:pStyle w:val="ManualHeading1"/>
        <w:rPr>
          <w:noProof/>
        </w:rPr>
      </w:pPr>
      <w:bookmarkStart w:id="31" w:name="_Toc514938041"/>
      <w:bookmarkStart w:id="32" w:name="_Toc520485042"/>
      <w:r w:rsidRPr="009F5C98">
        <w:t>2.</w:t>
      </w:r>
      <w:r w:rsidRPr="009F5C98">
        <w:tab/>
      </w:r>
      <w:r w:rsidR="00BE0A2F" w:rsidRPr="00610401">
        <w:rPr>
          <w:noProof/>
        </w:rPr>
        <w:t>ŚRODKI ZARZĄDZANIA</w:t>
      </w:r>
      <w:bookmarkEnd w:id="31"/>
      <w:bookmarkEnd w:id="32"/>
      <w:r w:rsidR="00BE0A2F" w:rsidRPr="00610401">
        <w:rPr>
          <w:noProof/>
        </w:rPr>
        <w:t xml:space="preserve"> </w:t>
      </w:r>
    </w:p>
    <w:p w:rsidR="00BE0A2F" w:rsidRPr="00610401" w:rsidRDefault="009F5C98" w:rsidP="009F5C98">
      <w:pPr>
        <w:pStyle w:val="ManualHeading2"/>
        <w:rPr>
          <w:noProof/>
        </w:rPr>
      </w:pPr>
      <w:bookmarkStart w:id="33" w:name="_Toc514938042"/>
      <w:bookmarkStart w:id="34" w:name="_Toc520485043"/>
      <w:r w:rsidRPr="009F5C98">
        <w:t>2.1.</w:t>
      </w:r>
      <w:r w:rsidRPr="009F5C98">
        <w:tab/>
      </w:r>
      <w:r w:rsidR="00BE0A2F" w:rsidRPr="00610401">
        <w:rPr>
          <w:noProof/>
        </w:rPr>
        <w:t>Zasady nadzoru</w:t>
      </w:r>
      <w:r w:rsidR="00610401" w:rsidRPr="00610401">
        <w:rPr>
          <w:noProof/>
        </w:rPr>
        <w:t xml:space="preserve"> i spr</w:t>
      </w:r>
      <w:r w:rsidR="00BE0A2F" w:rsidRPr="00610401">
        <w:rPr>
          <w:noProof/>
        </w:rPr>
        <w:t>awozdawczości</w:t>
      </w:r>
      <w:bookmarkEnd w:id="33"/>
      <w:bookmarkEnd w:id="34"/>
      <w:r w:rsidR="00BE0A2F" w:rsidRPr="00610401">
        <w:rPr>
          <w:noProof/>
        </w:rPr>
        <w:t xml:space="preserve"> </w:t>
      </w:r>
    </w:p>
    <w:p w:rsidR="00BE0A2F" w:rsidRPr="00610401" w:rsidRDefault="00BE0A2F" w:rsidP="007C70D3">
      <w:pPr>
        <w:pStyle w:val="Text1"/>
        <w:rPr>
          <w:i/>
          <w:noProof/>
        </w:rPr>
      </w:pPr>
      <w:r w:rsidRPr="00610401">
        <w:rPr>
          <w:i/>
          <w:noProof/>
        </w:rPr>
        <w:t>Określić częstotliwość</w:t>
      </w:r>
      <w:r w:rsidR="00610401" w:rsidRPr="00610401">
        <w:rPr>
          <w:i/>
          <w:noProof/>
        </w:rPr>
        <w:t xml:space="preserve"> i war</w:t>
      </w:r>
      <w:r w:rsidRPr="00610401">
        <w:rPr>
          <w:i/>
          <w:noProof/>
        </w:rPr>
        <w:t>unki.</w:t>
      </w:r>
    </w:p>
    <w:p w:rsidR="00BE0A2F" w:rsidRPr="00610401" w:rsidRDefault="00BE0A2F" w:rsidP="00B0251E">
      <w:pPr>
        <w:pStyle w:val="Text1"/>
        <w:rPr>
          <w:noProof/>
        </w:rPr>
      </w:pPr>
      <w:r w:rsidRPr="00610401">
        <w:rPr>
          <w:noProof/>
        </w:rPr>
        <w:t>Niniejsza inicjatywa obejmuje zamówienia publiczne, porozumienie administracyjne, zwiększenie wkładu na rzecz EEA oraz zmiany</w:t>
      </w:r>
      <w:r w:rsidR="00610401" w:rsidRPr="00610401">
        <w:rPr>
          <w:noProof/>
        </w:rPr>
        <w:t xml:space="preserve"> w zas</w:t>
      </w:r>
      <w:r w:rsidRPr="00610401">
        <w:rPr>
          <w:noProof/>
        </w:rPr>
        <w:t xml:space="preserve">obach ludzkich Komisji. Zastosowanie mają standardowe zasady dotyczące tego typu wydatków. </w:t>
      </w:r>
    </w:p>
    <w:p w:rsidR="00BE0A2F" w:rsidRPr="00610401" w:rsidRDefault="009F5C98" w:rsidP="009F5C98">
      <w:pPr>
        <w:pStyle w:val="ManualHeading2"/>
        <w:rPr>
          <w:noProof/>
        </w:rPr>
      </w:pPr>
      <w:bookmarkStart w:id="35" w:name="_Toc514938045"/>
      <w:bookmarkStart w:id="36" w:name="_Toc520485044"/>
      <w:r w:rsidRPr="009F5C98">
        <w:t>2.2.</w:t>
      </w:r>
      <w:r w:rsidRPr="009F5C98">
        <w:tab/>
      </w:r>
      <w:r w:rsidR="00BE0A2F" w:rsidRPr="00610401">
        <w:rPr>
          <w:noProof/>
        </w:rPr>
        <w:t>System zarządzania</w:t>
      </w:r>
      <w:r w:rsidR="00610401" w:rsidRPr="00610401">
        <w:rPr>
          <w:noProof/>
        </w:rPr>
        <w:t xml:space="preserve"> i kon</w:t>
      </w:r>
      <w:r w:rsidR="00BE0A2F" w:rsidRPr="00610401">
        <w:rPr>
          <w:noProof/>
        </w:rPr>
        <w:t>troli</w:t>
      </w:r>
      <w:bookmarkEnd w:id="35"/>
      <w:bookmarkEnd w:id="36"/>
      <w:r w:rsidR="00BE0A2F" w:rsidRPr="00610401">
        <w:rPr>
          <w:noProof/>
        </w:rPr>
        <w:t xml:space="preserve"> </w:t>
      </w:r>
    </w:p>
    <w:p w:rsidR="00BE0A2F" w:rsidRPr="00610401" w:rsidRDefault="009F5C98" w:rsidP="009F5C98">
      <w:pPr>
        <w:pStyle w:val="ManualHeading3"/>
        <w:rPr>
          <w:noProof/>
        </w:rPr>
      </w:pPr>
      <w:bookmarkStart w:id="37" w:name="_Toc514938046"/>
      <w:bookmarkStart w:id="38" w:name="_Toc520485045"/>
      <w:r w:rsidRPr="009F5C98">
        <w:t>2.2.1.</w:t>
      </w:r>
      <w:r w:rsidRPr="009F5C98">
        <w:tab/>
      </w:r>
      <w:r w:rsidR="00BE0A2F" w:rsidRPr="00610401">
        <w:rPr>
          <w:noProof/>
        </w:rPr>
        <w:t>Uzasadnienie dla systemu zarządzania, mechanizmów finansowania wykonania, warunków płatności</w:t>
      </w:r>
      <w:r w:rsidR="00610401" w:rsidRPr="00610401">
        <w:rPr>
          <w:noProof/>
        </w:rPr>
        <w:t xml:space="preserve"> i pro</w:t>
      </w:r>
      <w:r w:rsidR="00BE0A2F" w:rsidRPr="00610401">
        <w:rPr>
          <w:noProof/>
        </w:rPr>
        <w:t>ponowanej strategii kontroli</w:t>
      </w:r>
      <w:bookmarkEnd w:id="37"/>
      <w:bookmarkEnd w:id="38"/>
    </w:p>
    <w:p w:rsidR="00BE0A2F" w:rsidRPr="00610401" w:rsidRDefault="00BE0A2F" w:rsidP="00B0251E">
      <w:pPr>
        <w:pStyle w:val="Text1"/>
        <w:rPr>
          <w:noProof/>
        </w:rPr>
      </w:pPr>
      <w:r w:rsidRPr="00610401">
        <w:rPr>
          <w:noProof/>
        </w:rPr>
        <w:t>Nie dotyczy – por. powyżej</w:t>
      </w:r>
    </w:p>
    <w:p w:rsidR="00BE0A2F" w:rsidRPr="00610401" w:rsidRDefault="009F5C98" w:rsidP="009F5C98">
      <w:pPr>
        <w:pStyle w:val="ManualHeading3"/>
        <w:rPr>
          <w:noProof/>
        </w:rPr>
      </w:pPr>
      <w:bookmarkStart w:id="39" w:name="_Toc514938047"/>
      <w:bookmarkStart w:id="40" w:name="_Toc520485046"/>
      <w:r w:rsidRPr="009F5C98">
        <w:t>2.2.2.</w:t>
      </w:r>
      <w:r w:rsidRPr="009F5C98">
        <w:tab/>
      </w:r>
      <w:r w:rsidR="00BE0A2F" w:rsidRPr="00610401">
        <w:rPr>
          <w:noProof/>
        </w:rPr>
        <w:t>Informacje dotyczące zidentyfikowanego ryzyka</w:t>
      </w:r>
      <w:r w:rsidR="00610401" w:rsidRPr="00610401">
        <w:rPr>
          <w:noProof/>
        </w:rPr>
        <w:t xml:space="preserve"> i sys</w:t>
      </w:r>
      <w:r w:rsidR="00BE0A2F" w:rsidRPr="00610401">
        <w:rPr>
          <w:noProof/>
        </w:rPr>
        <w:t>temów kontroli wewnętrznej ustanowionych</w:t>
      </w:r>
      <w:r w:rsidR="00610401" w:rsidRPr="00610401">
        <w:rPr>
          <w:noProof/>
        </w:rPr>
        <w:t xml:space="preserve"> w cel</w:t>
      </w:r>
      <w:r w:rsidR="00BE0A2F" w:rsidRPr="00610401">
        <w:rPr>
          <w:noProof/>
        </w:rPr>
        <w:t>u jego ograniczenia</w:t>
      </w:r>
      <w:bookmarkEnd w:id="39"/>
      <w:bookmarkEnd w:id="40"/>
    </w:p>
    <w:p w:rsidR="00BE0A2F" w:rsidRPr="00610401" w:rsidRDefault="00BE0A2F" w:rsidP="00B0251E">
      <w:pPr>
        <w:pStyle w:val="Text1"/>
        <w:rPr>
          <w:noProof/>
        </w:rPr>
      </w:pPr>
      <w:r w:rsidRPr="00610401">
        <w:rPr>
          <w:noProof/>
        </w:rPr>
        <w:t>Nie dotyczy – por. powyżej</w:t>
      </w:r>
    </w:p>
    <w:p w:rsidR="00BE0A2F" w:rsidRPr="00610401" w:rsidRDefault="009F5C98" w:rsidP="009F5C98">
      <w:pPr>
        <w:pStyle w:val="ManualHeading3"/>
        <w:rPr>
          <w:noProof/>
        </w:rPr>
      </w:pPr>
      <w:bookmarkStart w:id="41" w:name="_Toc514938048"/>
      <w:bookmarkStart w:id="42" w:name="_Toc520485047"/>
      <w:r w:rsidRPr="009F5C98">
        <w:t>2.2.3.</w:t>
      </w:r>
      <w:r w:rsidRPr="009F5C98">
        <w:tab/>
      </w:r>
      <w:r w:rsidR="00BE0A2F" w:rsidRPr="00610401">
        <w:rPr>
          <w:noProof/>
        </w:rPr>
        <w:t>Oszacowanie</w:t>
      </w:r>
      <w:r w:rsidR="00610401" w:rsidRPr="00610401">
        <w:rPr>
          <w:noProof/>
        </w:rPr>
        <w:t xml:space="preserve"> i uza</w:t>
      </w:r>
      <w:r w:rsidR="00BE0A2F" w:rsidRPr="00610401">
        <w:rPr>
          <w:noProof/>
        </w:rPr>
        <w:t>sadnienie efektywności kosztowej kontroli (relacja kosztów kontroli do wartości zarządzanych funduszy powiązanych) oraz ocena prawdopodobnego ryzyka błędu (przy płatności</w:t>
      </w:r>
      <w:r w:rsidR="00610401" w:rsidRPr="00610401">
        <w:rPr>
          <w:noProof/>
        </w:rPr>
        <w:t xml:space="preserve"> i prz</w:t>
      </w:r>
      <w:r w:rsidR="00BE0A2F" w:rsidRPr="00610401">
        <w:rPr>
          <w:noProof/>
        </w:rPr>
        <w:t>y zamykaniu)</w:t>
      </w:r>
      <w:bookmarkEnd w:id="41"/>
      <w:bookmarkEnd w:id="42"/>
      <w:r w:rsidR="00BE0A2F" w:rsidRPr="00610401">
        <w:rPr>
          <w:noProof/>
        </w:rPr>
        <w:t xml:space="preserve"> </w:t>
      </w:r>
    </w:p>
    <w:p w:rsidR="00BE0A2F" w:rsidRPr="00610401" w:rsidRDefault="00BE0A2F" w:rsidP="00B0251E">
      <w:pPr>
        <w:pStyle w:val="Text1"/>
        <w:rPr>
          <w:noProof/>
        </w:rPr>
      </w:pPr>
      <w:r w:rsidRPr="00610401">
        <w:rPr>
          <w:noProof/>
        </w:rPr>
        <w:t>Nie dotyczy – por. powyżej</w:t>
      </w:r>
    </w:p>
    <w:p w:rsidR="00BE0A2F" w:rsidRPr="00610401" w:rsidRDefault="009F5C98" w:rsidP="009F5C98">
      <w:pPr>
        <w:pStyle w:val="ManualHeading2"/>
        <w:rPr>
          <w:noProof/>
        </w:rPr>
      </w:pPr>
      <w:bookmarkStart w:id="43" w:name="_Toc514938049"/>
      <w:bookmarkStart w:id="44" w:name="_Toc520485048"/>
      <w:r w:rsidRPr="009F5C98">
        <w:t>2.3.</w:t>
      </w:r>
      <w:r w:rsidRPr="009F5C98">
        <w:tab/>
      </w:r>
      <w:r w:rsidR="00BE0A2F" w:rsidRPr="00610401">
        <w:rPr>
          <w:noProof/>
        </w:rPr>
        <w:t>Środki zapobiegania nadużyciom finansowym</w:t>
      </w:r>
      <w:r w:rsidR="00610401" w:rsidRPr="00610401">
        <w:rPr>
          <w:noProof/>
        </w:rPr>
        <w:t xml:space="preserve"> i nie</w:t>
      </w:r>
      <w:r w:rsidR="00BE0A2F" w:rsidRPr="00610401">
        <w:rPr>
          <w:noProof/>
        </w:rPr>
        <w:t>prawidłowościom</w:t>
      </w:r>
      <w:bookmarkEnd w:id="43"/>
      <w:bookmarkEnd w:id="44"/>
      <w:r w:rsidR="00BE0A2F" w:rsidRPr="00610401">
        <w:rPr>
          <w:noProof/>
        </w:rPr>
        <w:t xml:space="preserve"> </w:t>
      </w:r>
    </w:p>
    <w:p w:rsidR="00BE0A2F" w:rsidRPr="00610401" w:rsidRDefault="00BE0A2F" w:rsidP="007C70D3">
      <w:pPr>
        <w:pStyle w:val="Text1"/>
        <w:rPr>
          <w:i/>
          <w:noProof/>
        </w:rPr>
      </w:pPr>
      <w:r w:rsidRPr="00610401">
        <w:rPr>
          <w:i/>
          <w:noProof/>
        </w:rPr>
        <w:t>Określić istniejące lub przewidywane środki zapobiegania</w:t>
      </w:r>
      <w:r w:rsidR="00610401" w:rsidRPr="00610401">
        <w:rPr>
          <w:i/>
          <w:noProof/>
        </w:rPr>
        <w:t xml:space="preserve"> i och</w:t>
      </w:r>
      <w:r w:rsidRPr="00610401">
        <w:rPr>
          <w:i/>
          <w:noProof/>
        </w:rPr>
        <w:t>rony, np. ze strategii zwalczania nadużyć finansowych.</w:t>
      </w:r>
    </w:p>
    <w:p w:rsidR="00BE0A2F" w:rsidRPr="00610401" w:rsidRDefault="00BE0A2F" w:rsidP="00B0251E">
      <w:pPr>
        <w:pStyle w:val="Text1"/>
        <w:rPr>
          <w:noProof/>
        </w:rPr>
      </w:pPr>
      <w:r w:rsidRPr="00610401">
        <w:rPr>
          <w:noProof/>
        </w:rPr>
        <w:t>Nie dotyczy – por. powyżej</w:t>
      </w:r>
    </w:p>
    <w:p w:rsidR="00BE0A2F" w:rsidRPr="00610401" w:rsidRDefault="00BE0A2F" w:rsidP="00B0251E">
      <w:pPr>
        <w:pStyle w:val="Text1"/>
        <w:rPr>
          <w:noProof/>
        </w:rPr>
      </w:pPr>
    </w:p>
    <w:p w:rsidR="00BE0A2F" w:rsidRPr="00610401" w:rsidRDefault="00BE0A2F" w:rsidP="00BE0A2F">
      <w:pPr>
        <w:rPr>
          <w:noProof/>
          <w:color w:val="000000" w:themeColor="text1"/>
        </w:rPr>
        <w:sectPr w:rsidR="00BE0A2F" w:rsidRPr="00610401" w:rsidSect="003C0B66">
          <w:pgSz w:w="11907" w:h="16840" w:code="9"/>
          <w:pgMar w:top="1134" w:right="1418" w:bottom="1134" w:left="1418" w:header="709" w:footer="709" w:gutter="0"/>
          <w:cols w:space="708"/>
          <w:docGrid w:linePitch="360"/>
        </w:sectPr>
      </w:pPr>
    </w:p>
    <w:p w:rsidR="00BE0A2F" w:rsidRPr="00610401" w:rsidRDefault="009F5C98" w:rsidP="009F5C98">
      <w:pPr>
        <w:pStyle w:val="ManualHeading1"/>
        <w:rPr>
          <w:noProof/>
        </w:rPr>
      </w:pPr>
      <w:bookmarkStart w:id="45" w:name="_Toc514938050"/>
      <w:bookmarkStart w:id="46" w:name="_Toc520485049"/>
      <w:r w:rsidRPr="009F5C98">
        <w:t>3.</w:t>
      </w:r>
      <w:r w:rsidRPr="009F5C98">
        <w:tab/>
      </w:r>
      <w:r w:rsidR="00BE0A2F" w:rsidRPr="00610401">
        <w:rPr>
          <w:noProof/>
        </w:rPr>
        <w:t>SZACUNKOWY WPŁYW FINANSOWY WNIOSKU/INICJATYWY</w:t>
      </w:r>
      <w:bookmarkEnd w:id="45"/>
      <w:bookmarkEnd w:id="46"/>
      <w:r w:rsidR="00BE0A2F" w:rsidRPr="00610401">
        <w:rPr>
          <w:noProof/>
        </w:rPr>
        <w:t xml:space="preserve"> </w:t>
      </w:r>
    </w:p>
    <w:p w:rsidR="00BE0A2F" w:rsidRPr="00610401" w:rsidRDefault="009F5C98" w:rsidP="009F5C98">
      <w:pPr>
        <w:pStyle w:val="ManualHeading2"/>
        <w:rPr>
          <w:noProof/>
        </w:rPr>
      </w:pPr>
      <w:bookmarkStart w:id="47" w:name="_Toc514938051"/>
      <w:bookmarkStart w:id="48" w:name="_Toc520485050"/>
      <w:r w:rsidRPr="009F5C98">
        <w:t>3.1.</w:t>
      </w:r>
      <w:r w:rsidRPr="009F5C98">
        <w:tab/>
      </w:r>
      <w:r w:rsidR="00BE0A2F" w:rsidRPr="00610401">
        <w:rPr>
          <w:noProof/>
        </w:rPr>
        <w:t>Działy wieloletnich ram finansowych</w:t>
      </w:r>
      <w:r w:rsidR="00610401" w:rsidRPr="00610401">
        <w:rPr>
          <w:noProof/>
        </w:rPr>
        <w:t xml:space="preserve"> i lin</w:t>
      </w:r>
      <w:r w:rsidR="00BE0A2F" w:rsidRPr="00610401">
        <w:rPr>
          <w:noProof/>
        </w:rPr>
        <w:t>ie budżetowe po stronie wydatków, na które wniosek/inicjatywa ma wpływ</w:t>
      </w:r>
      <w:bookmarkEnd w:id="47"/>
      <w:bookmarkEnd w:id="48"/>
      <w:r w:rsidR="00BE0A2F" w:rsidRPr="00610401">
        <w:rPr>
          <w:noProof/>
        </w:rPr>
        <w:t xml:space="preserve"> </w:t>
      </w:r>
    </w:p>
    <w:p w:rsidR="00BE0A2F" w:rsidRPr="00610401" w:rsidRDefault="00BE0A2F" w:rsidP="00633D25">
      <w:pPr>
        <w:pStyle w:val="ListBullet1"/>
        <w:rPr>
          <w:noProof/>
        </w:rPr>
      </w:pPr>
      <w:r w:rsidRPr="00610401">
        <w:rPr>
          <w:noProof/>
        </w:rPr>
        <w:t xml:space="preserve">Istniejące linie budżetowe </w:t>
      </w:r>
    </w:p>
    <w:p w:rsidR="00BE0A2F" w:rsidRPr="00610401" w:rsidRDefault="00BE0A2F" w:rsidP="002C1AD1">
      <w:pPr>
        <w:pStyle w:val="Text1"/>
        <w:rPr>
          <w:noProof/>
        </w:rPr>
      </w:pPr>
      <w:r w:rsidRPr="00610401">
        <w:rPr>
          <w:noProof/>
          <w:u w:val="single"/>
        </w:rPr>
        <w:t>Według</w:t>
      </w:r>
      <w:r w:rsidRPr="00610401">
        <w:rPr>
          <w:noProof/>
        </w:rPr>
        <w:t xml:space="preserve"> działów wieloletnich ram finansowych</w:t>
      </w:r>
      <w:r w:rsidR="00610401" w:rsidRPr="00610401">
        <w:rPr>
          <w:noProof/>
        </w:rPr>
        <w:t xml:space="preserve"> i lin</w:t>
      </w:r>
      <w:r w:rsidRPr="00610401">
        <w:rPr>
          <w:noProof/>
        </w:rPr>
        <w:t>ii budżetowych.</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E0A2F" w:rsidRPr="00610401" w:rsidTr="00BE0A2F">
        <w:tc>
          <w:tcPr>
            <w:tcW w:w="1080" w:type="dxa"/>
            <w:vMerge w:val="restart"/>
            <w:vAlign w:val="center"/>
          </w:tcPr>
          <w:p w:rsidR="00BE0A2F" w:rsidRPr="00610401" w:rsidRDefault="00BE0A2F" w:rsidP="00BE0A2F">
            <w:pPr>
              <w:spacing w:before="60" w:after="60"/>
              <w:jc w:val="center"/>
              <w:rPr>
                <w:noProof/>
                <w:color w:val="000000" w:themeColor="text1"/>
              </w:rPr>
            </w:pPr>
            <w:r w:rsidRPr="00610401">
              <w:rPr>
                <w:noProof/>
                <w:color w:val="000000" w:themeColor="text1"/>
                <w:sz w:val="18"/>
              </w:rPr>
              <w:t>Dział wieloletnich ram finansowych</w:t>
            </w:r>
          </w:p>
        </w:tc>
        <w:tc>
          <w:tcPr>
            <w:tcW w:w="3960" w:type="dxa"/>
            <w:vAlign w:val="center"/>
          </w:tcPr>
          <w:p w:rsidR="00BE0A2F" w:rsidRPr="00610401" w:rsidRDefault="00BE0A2F" w:rsidP="00BE0A2F">
            <w:pPr>
              <w:spacing w:before="60" w:after="60"/>
              <w:jc w:val="center"/>
              <w:rPr>
                <w:noProof/>
                <w:color w:val="000000" w:themeColor="text1"/>
              </w:rPr>
            </w:pPr>
            <w:r w:rsidRPr="00610401">
              <w:rPr>
                <w:noProof/>
                <w:color w:val="000000" w:themeColor="text1"/>
                <w:sz w:val="20"/>
              </w:rPr>
              <w:t>Linia budżetowa</w:t>
            </w:r>
          </w:p>
        </w:tc>
        <w:tc>
          <w:tcPr>
            <w:tcW w:w="1080" w:type="dxa"/>
            <w:vAlign w:val="center"/>
          </w:tcPr>
          <w:p w:rsidR="00BE0A2F" w:rsidRPr="00610401" w:rsidRDefault="00BE0A2F" w:rsidP="00BE0A2F">
            <w:pPr>
              <w:spacing w:before="60" w:after="60"/>
              <w:jc w:val="center"/>
              <w:rPr>
                <w:noProof/>
                <w:color w:val="000000" w:themeColor="text1"/>
              </w:rPr>
            </w:pPr>
            <w:r w:rsidRPr="00610401">
              <w:rPr>
                <w:noProof/>
                <w:color w:val="000000" w:themeColor="text1"/>
                <w:sz w:val="18"/>
              </w:rPr>
              <w:t>Rodzaj</w:t>
            </w:r>
            <w:r w:rsidR="00610401" w:rsidRPr="00610401">
              <w:rPr>
                <w:noProof/>
                <w:color w:val="000000" w:themeColor="text1"/>
                <w:sz w:val="18"/>
              </w:rPr>
              <w:t xml:space="preserve"> </w:t>
            </w:r>
            <w:r w:rsidRPr="00610401">
              <w:rPr>
                <w:noProof/>
              </w:rPr>
              <w:br/>
            </w:r>
            <w:r w:rsidRPr="00610401">
              <w:rPr>
                <w:noProof/>
                <w:color w:val="000000" w:themeColor="text1"/>
                <w:sz w:val="18"/>
              </w:rPr>
              <w:t>środków</w:t>
            </w:r>
          </w:p>
        </w:tc>
        <w:tc>
          <w:tcPr>
            <w:tcW w:w="4440" w:type="dxa"/>
            <w:gridSpan w:val="4"/>
            <w:vAlign w:val="center"/>
          </w:tcPr>
          <w:p w:rsidR="00BE0A2F" w:rsidRPr="00610401" w:rsidRDefault="00BE0A2F" w:rsidP="00BE0A2F">
            <w:pPr>
              <w:spacing w:before="60" w:after="60"/>
              <w:jc w:val="center"/>
              <w:rPr>
                <w:noProof/>
                <w:color w:val="000000" w:themeColor="text1"/>
              </w:rPr>
            </w:pPr>
            <w:r w:rsidRPr="00610401">
              <w:rPr>
                <w:noProof/>
                <w:color w:val="000000" w:themeColor="text1"/>
                <w:sz w:val="20"/>
              </w:rPr>
              <w:t xml:space="preserve">Wkład </w:t>
            </w:r>
          </w:p>
        </w:tc>
      </w:tr>
      <w:tr w:rsidR="00BE0A2F" w:rsidRPr="00610401" w:rsidTr="00BE0A2F">
        <w:tc>
          <w:tcPr>
            <w:tcW w:w="1080" w:type="dxa"/>
            <w:vMerge/>
            <w:vAlign w:val="center"/>
          </w:tcPr>
          <w:p w:rsidR="00BE0A2F" w:rsidRPr="00610401" w:rsidRDefault="00BE0A2F" w:rsidP="00BE0A2F">
            <w:pPr>
              <w:jc w:val="center"/>
              <w:rPr>
                <w:noProof/>
                <w:color w:val="000000" w:themeColor="text1"/>
              </w:rPr>
            </w:pPr>
          </w:p>
        </w:tc>
        <w:tc>
          <w:tcPr>
            <w:tcW w:w="3960" w:type="dxa"/>
            <w:vAlign w:val="center"/>
          </w:tcPr>
          <w:p w:rsidR="00BE0A2F" w:rsidRPr="00610401" w:rsidRDefault="00BE0A2F" w:rsidP="00BE0A2F">
            <w:pPr>
              <w:rPr>
                <w:noProof/>
                <w:color w:val="000000" w:themeColor="text1"/>
              </w:rPr>
            </w:pPr>
            <w:r w:rsidRPr="00610401">
              <w:rPr>
                <w:noProof/>
                <w:color w:val="000000" w:themeColor="text1"/>
                <w:sz w:val="20"/>
              </w:rPr>
              <w:t>Numer</w:t>
            </w:r>
            <w:r w:rsidR="00610401" w:rsidRPr="00610401">
              <w:rPr>
                <w:noProof/>
                <w:color w:val="000000" w:themeColor="text1"/>
                <w:sz w:val="20"/>
              </w:rPr>
              <w:t xml:space="preserve"> </w:t>
            </w:r>
            <w:r w:rsidRPr="00610401">
              <w:rPr>
                <w:noProof/>
              </w:rPr>
              <w:br/>
            </w:r>
          </w:p>
        </w:tc>
        <w:tc>
          <w:tcPr>
            <w:tcW w:w="1080" w:type="dxa"/>
            <w:vAlign w:val="center"/>
          </w:tcPr>
          <w:p w:rsidR="00BE0A2F" w:rsidRPr="00610401" w:rsidRDefault="00BE0A2F" w:rsidP="00BE0A2F">
            <w:pPr>
              <w:jc w:val="center"/>
              <w:rPr>
                <w:noProof/>
                <w:color w:val="000000" w:themeColor="text1"/>
              </w:rPr>
            </w:pPr>
            <w:r w:rsidRPr="00610401">
              <w:rPr>
                <w:noProof/>
                <w:color w:val="000000" w:themeColor="text1"/>
                <w:sz w:val="18"/>
              </w:rPr>
              <w:t>Zróżn./niezróżn.</w:t>
            </w:r>
            <w:r w:rsidRPr="00610401">
              <w:rPr>
                <w:rStyle w:val="FootnoteReference"/>
                <w:noProof/>
              </w:rPr>
              <w:footnoteReference w:id="118"/>
            </w:r>
          </w:p>
        </w:tc>
        <w:tc>
          <w:tcPr>
            <w:tcW w:w="956" w:type="dxa"/>
            <w:vAlign w:val="center"/>
          </w:tcPr>
          <w:p w:rsidR="00BE0A2F" w:rsidRPr="00610401" w:rsidRDefault="00BE0A2F" w:rsidP="00BE0A2F">
            <w:pPr>
              <w:jc w:val="center"/>
              <w:rPr>
                <w:noProof/>
                <w:color w:val="000000" w:themeColor="text1"/>
              </w:rPr>
            </w:pPr>
            <w:r w:rsidRPr="00610401">
              <w:rPr>
                <w:noProof/>
                <w:color w:val="000000" w:themeColor="text1"/>
                <w:sz w:val="18"/>
              </w:rPr>
              <w:t>państw EFTA</w:t>
            </w:r>
            <w:r w:rsidRPr="00610401">
              <w:rPr>
                <w:rStyle w:val="FootnoteReference"/>
                <w:noProof/>
              </w:rPr>
              <w:footnoteReference w:id="119"/>
            </w:r>
          </w:p>
          <w:p w:rsidR="00BE0A2F" w:rsidRPr="00610401" w:rsidRDefault="00BE0A2F" w:rsidP="00BE0A2F">
            <w:pPr>
              <w:spacing w:before="0" w:after="0"/>
              <w:jc w:val="center"/>
              <w:rPr>
                <w:b/>
                <w:noProof/>
                <w:color w:val="000000" w:themeColor="text1"/>
                <w:sz w:val="18"/>
              </w:rPr>
            </w:pPr>
          </w:p>
        </w:tc>
        <w:tc>
          <w:tcPr>
            <w:tcW w:w="1080" w:type="dxa"/>
            <w:vAlign w:val="center"/>
          </w:tcPr>
          <w:p w:rsidR="00BE0A2F" w:rsidRPr="00610401" w:rsidRDefault="00BE0A2F" w:rsidP="00BE0A2F">
            <w:pPr>
              <w:jc w:val="center"/>
              <w:rPr>
                <w:noProof/>
                <w:color w:val="000000" w:themeColor="text1"/>
              </w:rPr>
            </w:pPr>
            <w:r w:rsidRPr="00610401">
              <w:rPr>
                <w:noProof/>
                <w:color w:val="000000" w:themeColor="text1"/>
                <w:sz w:val="18"/>
              </w:rPr>
              <w:t>krajów kandydujących</w:t>
            </w:r>
            <w:r w:rsidRPr="00610401">
              <w:rPr>
                <w:rStyle w:val="FootnoteReference"/>
                <w:noProof/>
              </w:rPr>
              <w:footnoteReference w:id="120"/>
            </w:r>
          </w:p>
          <w:p w:rsidR="00BE0A2F" w:rsidRPr="00610401" w:rsidRDefault="00BE0A2F" w:rsidP="00BE0A2F">
            <w:pPr>
              <w:spacing w:before="0" w:after="0"/>
              <w:jc w:val="center"/>
              <w:rPr>
                <w:noProof/>
                <w:color w:val="000000" w:themeColor="text1"/>
                <w:sz w:val="18"/>
              </w:rPr>
            </w:pPr>
          </w:p>
        </w:tc>
        <w:tc>
          <w:tcPr>
            <w:tcW w:w="956" w:type="dxa"/>
            <w:vAlign w:val="center"/>
          </w:tcPr>
          <w:p w:rsidR="00BE0A2F" w:rsidRPr="00610401" w:rsidRDefault="00BE0A2F" w:rsidP="00BE0A2F">
            <w:pPr>
              <w:jc w:val="center"/>
              <w:rPr>
                <w:noProof/>
                <w:color w:val="000000" w:themeColor="text1"/>
                <w:sz w:val="18"/>
              </w:rPr>
            </w:pPr>
            <w:r w:rsidRPr="00610401">
              <w:rPr>
                <w:noProof/>
                <w:color w:val="000000" w:themeColor="text1"/>
                <w:sz w:val="18"/>
              </w:rPr>
              <w:t>państw trzecich</w:t>
            </w:r>
          </w:p>
        </w:tc>
        <w:tc>
          <w:tcPr>
            <w:tcW w:w="1448" w:type="dxa"/>
            <w:vAlign w:val="center"/>
          </w:tcPr>
          <w:p w:rsidR="00BE0A2F" w:rsidRPr="00610401" w:rsidRDefault="00BE0A2F" w:rsidP="00BE0A2F">
            <w:pPr>
              <w:jc w:val="center"/>
              <w:rPr>
                <w:noProof/>
                <w:color w:val="000000" w:themeColor="text1"/>
              </w:rPr>
            </w:pPr>
            <w:r w:rsidRPr="00610401">
              <w:rPr>
                <w:noProof/>
                <w:color w:val="000000" w:themeColor="text1"/>
                <w:sz w:val="16"/>
              </w:rPr>
              <w:t>w rozumieniu art.</w:t>
            </w:r>
            <w:r w:rsidR="00610401" w:rsidRPr="00610401">
              <w:rPr>
                <w:noProof/>
                <w:color w:val="000000" w:themeColor="text1"/>
                <w:sz w:val="16"/>
              </w:rPr>
              <w:t> </w:t>
            </w:r>
            <w:r w:rsidRPr="00610401">
              <w:rPr>
                <w:noProof/>
                <w:color w:val="000000" w:themeColor="text1"/>
                <w:sz w:val="16"/>
              </w:rPr>
              <w:t>21 ust.</w:t>
            </w:r>
            <w:r w:rsidR="00610401" w:rsidRPr="00610401">
              <w:rPr>
                <w:noProof/>
                <w:color w:val="000000" w:themeColor="text1"/>
                <w:sz w:val="16"/>
              </w:rPr>
              <w:t> </w:t>
            </w:r>
            <w:r w:rsidRPr="00610401">
              <w:rPr>
                <w:noProof/>
                <w:color w:val="000000" w:themeColor="text1"/>
                <w:sz w:val="16"/>
              </w:rPr>
              <w:t>2 lit.</w:t>
            </w:r>
            <w:r w:rsidR="00610401" w:rsidRPr="00610401">
              <w:rPr>
                <w:noProof/>
                <w:color w:val="000000" w:themeColor="text1"/>
                <w:sz w:val="16"/>
              </w:rPr>
              <w:t> </w:t>
            </w:r>
            <w:r w:rsidRPr="00610401">
              <w:rPr>
                <w:noProof/>
                <w:color w:val="000000" w:themeColor="text1"/>
                <w:sz w:val="16"/>
              </w:rPr>
              <w:t xml:space="preserve">b) rozporządzenia finansowego </w:t>
            </w:r>
          </w:p>
        </w:tc>
      </w:tr>
      <w:tr w:rsidR="00BE0A2F" w:rsidRPr="00610401" w:rsidTr="00BE0A2F">
        <w:tc>
          <w:tcPr>
            <w:tcW w:w="1080" w:type="dxa"/>
            <w:vAlign w:val="center"/>
          </w:tcPr>
          <w:p w:rsidR="00BE0A2F" w:rsidRPr="00610401" w:rsidRDefault="00BE0A2F" w:rsidP="00BE0A2F">
            <w:pPr>
              <w:jc w:val="center"/>
              <w:rPr>
                <w:noProof/>
                <w:color w:val="000000" w:themeColor="text1"/>
              </w:rPr>
            </w:pPr>
            <w:r w:rsidRPr="00610401">
              <w:rPr>
                <w:noProof/>
                <w:color w:val="000000" w:themeColor="text1"/>
              </w:rPr>
              <w:t>3</w:t>
            </w:r>
          </w:p>
        </w:tc>
        <w:tc>
          <w:tcPr>
            <w:tcW w:w="3960" w:type="dxa"/>
            <w:vAlign w:val="center"/>
          </w:tcPr>
          <w:p w:rsidR="00BE0A2F" w:rsidRPr="00610401" w:rsidRDefault="00BE0A2F" w:rsidP="00BE0A2F">
            <w:pPr>
              <w:spacing w:before="60"/>
              <w:rPr>
                <w:noProof/>
                <w:color w:val="000000" w:themeColor="text1"/>
              </w:rPr>
            </w:pPr>
            <w:r w:rsidRPr="00610401">
              <w:rPr>
                <w:noProof/>
                <w:color w:val="000000" w:themeColor="text1"/>
              </w:rPr>
              <w:t>09 02 01 – Przyroda</w:t>
            </w:r>
            <w:r w:rsidR="00610401" w:rsidRPr="00610401">
              <w:rPr>
                <w:noProof/>
                <w:color w:val="000000" w:themeColor="text1"/>
              </w:rPr>
              <w:t xml:space="preserve"> i róż</w:t>
            </w:r>
            <w:r w:rsidRPr="00610401">
              <w:rPr>
                <w:noProof/>
                <w:color w:val="000000" w:themeColor="text1"/>
              </w:rPr>
              <w:t>norodność biologiczna</w:t>
            </w:r>
            <w:r w:rsidRPr="00610401">
              <w:rPr>
                <w:noProof/>
                <w:color w:val="000000" w:themeColor="text1"/>
                <w:sz w:val="22"/>
              </w:rPr>
              <w:t xml:space="preserve"> </w:t>
            </w:r>
          </w:p>
          <w:p w:rsidR="00BE0A2F" w:rsidRPr="00610401" w:rsidRDefault="00BE0A2F" w:rsidP="00BE0A2F">
            <w:pPr>
              <w:spacing w:after="60"/>
              <w:rPr>
                <w:noProof/>
                <w:color w:val="000000" w:themeColor="text1"/>
              </w:rPr>
            </w:pPr>
          </w:p>
        </w:tc>
        <w:tc>
          <w:tcPr>
            <w:tcW w:w="1080" w:type="dxa"/>
            <w:vAlign w:val="center"/>
          </w:tcPr>
          <w:p w:rsidR="00BE0A2F" w:rsidRPr="00610401" w:rsidRDefault="00BE0A2F" w:rsidP="00BE0A2F">
            <w:pPr>
              <w:jc w:val="center"/>
              <w:rPr>
                <w:noProof/>
                <w:color w:val="000000" w:themeColor="text1"/>
              </w:rPr>
            </w:pPr>
            <w:r w:rsidRPr="00610401">
              <w:rPr>
                <w:noProof/>
                <w:color w:val="000000" w:themeColor="text1"/>
                <w:sz w:val="22"/>
              </w:rPr>
              <w:t>Zróżn.</w:t>
            </w:r>
          </w:p>
        </w:tc>
        <w:tc>
          <w:tcPr>
            <w:tcW w:w="956"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TAK</w:t>
            </w:r>
          </w:p>
        </w:tc>
        <w:tc>
          <w:tcPr>
            <w:tcW w:w="1080"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NIE</w:t>
            </w:r>
          </w:p>
        </w:tc>
        <w:tc>
          <w:tcPr>
            <w:tcW w:w="956"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NIE</w:t>
            </w:r>
          </w:p>
        </w:tc>
        <w:tc>
          <w:tcPr>
            <w:tcW w:w="1448"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NIE</w:t>
            </w:r>
          </w:p>
        </w:tc>
      </w:tr>
      <w:tr w:rsidR="00BE0A2F" w:rsidRPr="00610401" w:rsidTr="00BE0A2F">
        <w:tc>
          <w:tcPr>
            <w:tcW w:w="1080" w:type="dxa"/>
            <w:vAlign w:val="center"/>
          </w:tcPr>
          <w:p w:rsidR="00BE0A2F" w:rsidRPr="00610401" w:rsidRDefault="00BE0A2F" w:rsidP="00BE0A2F">
            <w:pPr>
              <w:jc w:val="center"/>
              <w:rPr>
                <w:noProof/>
                <w:color w:val="000000" w:themeColor="text1"/>
              </w:rPr>
            </w:pPr>
            <w:r w:rsidRPr="00610401">
              <w:rPr>
                <w:noProof/>
                <w:color w:val="000000" w:themeColor="text1"/>
              </w:rPr>
              <w:t>3</w:t>
            </w:r>
          </w:p>
        </w:tc>
        <w:tc>
          <w:tcPr>
            <w:tcW w:w="3960" w:type="dxa"/>
            <w:vAlign w:val="center"/>
          </w:tcPr>
          <w:p w:rsidR="00BE0A2F" w:rsidRPr="00610401" w:rsidRDefault="00BE0A2F" w:rsidP="00BE0A2F">
            <w:pPr>
              <w:spacing w:before="60"/>
              <w:rPr>
                <w:noProof/>
                <w:color w:val="000000" w:themeColor="text1"/>
              </w:rPr>
            </w:pPr>
            <w:r w:rsidRPr="00610401">
              <w:rPr>
                <w:noProof/>
                <w:color w:val="000000" w:themeColor="text1"/>
              </w:rPr>
              <w:t>09 10 02 – Europejska Agencja Środowiska</w:t>
            </w:r>
          </w:p>
        </w:tc>
        <w:tc>
          <w:tcPr>
            <w:tcW w:w="1080" w:type="dxa"/>
            <w:vAlign w:val="center"/>
          </w:tcPr>
          <w:p w:rsidR="00BE0A2F" w:rsidRPr="00610401" w:rsidRDefault="00BE0A2F" w:rsidP="00BE0A2F">
            <w:pPr>
              <w:jc w:val="center"/>
              <w:rPr>
                <w:noProof/>
                <w:color w:val="000000" w:themeColor="text1"/>
                <w:sz w:val="22"/>
              </w:rPr>
            </w:pPr>
            <w:r w:rsidRPr="00610401">
              <w:rPr>
                <w:noProof/>
                <w:color w:val="000000" w:themeColor="text1"/>
                <w:sz w:val="22"/>
              </w:rPr>
              <w:t>Zróżn.</w:t>
            </w:r>
          </w:p>
        </w:tc>
        <w:tc>
          <w:tcPr>
            <w:tcW w:w="956" w:type="dxa"/>
            <w:vAlign w:val="center"/>
          </w:tcPr>
          <w:p w:rsidR="00BE0A2F" w:rsidRPr="00610401" w:rsidDel="00397BF1" w:rsidRDefault="00BE0A2F" w:rsidP="00BE0A2F">
            <w:pPr>
              <w:jc w:val="center"/>
              <w:rPr>
                <w:noProof/>
                <w:color w:val="000000" w:themeColor="text1"/>
                <w:sz w:val="20"/>
                <w:szCs w:val="20"/>
              </w:rPr>
            </w:pPr>
            <w:r w:rsidRPr="00610401">
              <w:rPr>
                <w:noProof/>
                <w:color w:val="000000" w:themeColor="text1"/>
                <w:sz w:val="20"/>
              </w:rPr>
              <w:t>TAK</w:t>
            </w:r>
          </w:p>
        </w:tc>
        <w:tc>
          <w:tcPr>
            <w:tcW w:w="1080" w:type="dxa"/>
            <w:vAlign w:val="center"/>
          </w:tcPr>
          <w:p w:rsidR="00BE0A2F" w:rsidRPr="00610401" w:rsidDel="00496542" w:rsidRDefault="00BE0A2F" w:rsidP="00BE0A2F">
            <w:pPr>
              <w:jc w:val="center"/>
              <w:rPr>
                <w:noProof/>
                <w:color w:val="000000" w:themeColor="text1"/>
                <w:sz w:val="20"/>
                <w:szCs w:val="20"/>
              </w:rPr>
            </w:pPr>
            <w:r w:rsidRPr="00610401">
              <w:rPr>
                <w:noProof/>
                <w:color w:val="000000" w:themeColor="text1"/>
                <w:sz w:val="20"/>
              </w:rPr>
              <w:t>TAK</w:t>
            </w:r>
          </w:p>
        </w:tc>
        <w:tc>
          <w:tcPr>
            <w:tcW w:w="956" w:type="dxa"/>
            <w:vAlign w:val="center"/>
          </w:tcPr>
          <w:p w:rsidR="00BE0A2F" w:rsidRPr="00610401" w:rsidDel="00496542" w:rsidRDefault="00BE0A2F" w:rsidP="00BE0A2F">
            <w:pPr>
              <w:jc w:val="center"/>
              <w:rPr>
                <w:noProof/>
                <w:color w:val="000000" w:themeColor="text1"/>
                <w:sz w:val="20"/>
                <w:szCs w:val="20"/>
              </w:rPr>
            </w:pPr>
            <w:r w:rsidRPr="00610401">
              <w:rPr>
                <w:noProof/>
                <w:color w:val="000000" w:themeColor="text1"/>
                <w:sz w:val="20"/>
              </w:rPr>
              <w:t>NIE</w:t>
            </w:r>
          </w:p>
        </w:tc>
        <w:tc>
          <w:tcPr>
            <w:tcW w:w="1448" w:type="dxa"/>
            <w:vAlign w:val="center"/>
          </w:tcPr>
          <w:p w:rsidR="00BE0A2F" w:rsidRPr="00610401" w:rsidDel="00496542" w:rsidRDefault="00BE0A2F" w:rsidP="00BE0A2F">
            <w:pPr>
              <w:jc w:val="center"/>
              <w:rPr>
                <w:noProof/>
                <w:color w:val="000000" w:themeColor="text1"/>
                <w:sz w:val="20"/>
                <w:szCs w:val="20"/>
              </w:rPr>
            </w:pPr>
            <w:r w:rsidRPr="00610401">
              <w:rPr>
                <w:noProof/>
                <w:color w:val="000000" w:themeColor="text1"/>
                <w:sz w:val="20"/>
              </w:rPr>
              <w:t>NIE</w:t>
            </w:r>
          </w:p>
        </w:tc>
      </w:tr>
      <w:tr w:rsidR="00BE0A2F" w:rsidRPr="00610401" w:rsidTr="00BE0A2F">
        <w:tc>
          <w:tcPr>
            <w:tcW w:w="1080" w:type="dxa"/>
            <w:vAlign w:val="center"/>
          </w:tcPr>
          <w:p w:rsidR="00BE0A2F" w:rsidRPr="00610401" w:rsidRDefault="00BE0A2F" w:rsidP="00BE0A2F">
            <w:pPr>
              <w:jc w:val="center"/>
              <w:rPr>
                <w:noProof/>
                <w:color w:val="000000" w:themeColor="text1"/>
              </w:rPr>
            </w:pPr>
            <w:r w:rsidRPr="00610401">
              <w:rPr>
                <w:noProof/>
                <w:color w:val="000000" w:themeColor="text1"/>
              </w:rPr>
              <w:t>7</w:t>
            </w:r>
          </w:p>
        </w:tc>
        <w:tc>
          <w:tcPr>
            <w:tcW w:w="3960" w:type="dxa"/>
            <w:vAlign w:val="center"/>
          </w:tcPr>
          <w:p w:rsidR="00BE0A2F" w:rsidRPr="00610401" w:rsidRDefault="00BE0A2F" w:rsidP="00BE0A2F">
            <w:pPr>
              <w:spacing w:before="60"/>
              <w:rPr>
                <w:noProof/>
                <w:color w:val="000000" w:themeColor="text1"/>
                <w:sz w:val="22"/>
              </w:rPr>
            </w:pPr>
            <w:r w:rsidRPr="00610401">
              <w:rPr>
                <w:noProof/>
                <w:color w:val="000000" w:themeColor="text1"/>
                <w:sz w:val="22"/>
              </w:rPr>
              <w:t>20 01 02 01 – Wynagrodzenia</w:t>
            </w:r>
            <w:r w:rsidR="00610401" w:rsidRPr="00610401">
              <w:rPr>
                <w:noProof/>
                <w:color w:val="000000" w:themeColor="text1"/>
                <w:sz w:val="22"/>
              </w:rPr>
              <w:t xml:space="preserve"> i dod</w:t>
            </w:r>
            <w:r w:rsidRPr="00610401">
              <w:rPr>
                <w:noProof/>
                <w:color w:val="000000" w:themeColor="text1"/>
                <w:sz w:val="22"/>
              </w:rPr>
              <w:t>atki</w:t>
            </w:r>
          </w:p>
        </w:tc>
        <w:tc>
          <w:tcPr>
            <w:tcW w:w="1080" w:type="dxa"/>
            <w:vAlign w:val="center"/>
          </w:tcPr>
          <w:p w:rsidR="00BE0A2F" w:rsidRPr="00610401" w:rsidRDefault="00BE0A2F" w:rsidP="00BE0A2F">
            <w:pPr>
              <w:jc w:val="center"/>
              <w:rPr>
                <w:noProof/>
                <w:color w:val="000000" w:themeColor="text1"/>
                <w:sz w:val="22"/>
              </w:rPr>
            </w:pPr>
            <w:r w:rsidRPr="00610401">
              <w:rPr>
                <w:noProof/>
                <w:color w:val="000000" w:themeColor="text1"/>
                <w:sz w:val="22"/>
              </w:rPr>
              <w:t>Niezróżn.</w:t>
            </w:r>
          </w:p>
        </w:tc>
        <w:tc>
          <w:tcPr>
            <w:tcW w:w="956"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NIE</w:t>
            </w:r>
          </w:p>
        </w:tc>
        <w:tc>
          <w:tcPr>
            <w:tcW w:w="1080"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NIE</w:t>
            </w:r>
          </w:p>
        </w:tc>
        <w:tc>
          <w:tcPr>
            <w:tcW w:w="956"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NIE</w:t>
            </w:r>
          </w:p>
        </w:tc>
        <w:tc>
          <w:tcPr>
            <w:tcW w:w="1448"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NIE</w:t>
            </w:r>
          </w:p>
        </w:tc>
      </w:tr>
      <w:tr w:rsidR="00BE0A2F" w:rsidRPr="00610401" w:rsidTr="00BE0A2F">
        <w:tc>
          <w:tcPr>
            <w:tcW w:w="1080" w:type="dxa"/>
            <w:vAlign w:val="center"/>
          </w:tcPr>
          <w:p w:rsidR="00BE0A2F" w:rsidRPr="00610401" w:rsidRDefault="00BE0A2F" w:rsidP="00BE0A2F">
            <w:pPr>
              <w:jc w:val="center"/>
              <w:rPr>
                <w:noProof/>
                <w:color w:val="000000" w:themeColor="text1"/>
              </w:rPr>
            </w:pPr>
            <w:r w:rsidRPr="00610401">
              <w:rPr>
                <w:noProof/>
                <w:color w:val="000000" w:themeColor="text1"/>
              </w:rPr>
              <w:t>7</w:t>
            </w:r>
          </w:p>
        </w:tc>
        <w:tc>
          <w:tcPr>
            <w:tcW w:w="3960" w:type="dxa"/>
            <w:vAlign w:val="center"/>
          </w:tcPr>
          <w:p w:rsidR="00BE0A2F" w:rsidRPr="00610401" w:rsidRDefault="00BE0A2F" w:rsidP="00BE0A2F">
            <w:pPr>
              <w:spacing w:before="60"/>
              <w:rPr>
                <w:noProof/>
                <w:color w:val="000000" w:themeColor="text1"/>
                <w:sz w:val="22"/>
              </w:rPr>
            </w:pPr>
            <w:r w:rsidRPr="00610401">
              <w:rPr>
                <w:noProof/>
                <w:color w:val="000000" w:themeColor="text1"/>
              </w:rPr>
              <w:t>20 02 01 01 – Personel kontraktowy</w:t>
            </w:r>
          </w:p>
        </w:tc>
        <w:tc>
          <w:tcPr>
            <w:tcW w:w="1080" w:type="dxa"/>
            <w:vAlign w:val="center"/>
          </w:tcPr>
          <w:p w:rsidR="00BE0A2F" w:rsidRPr="00610401" w:rsidRDefault="00BE0A2F" w:rsidP="00BE0A2F">
            <w:pPr>
              <w:jc w:val="center"/>
              <w:rPr>
                <w:noProof/>
                <w:color w:val="000000" w:themeColor="text1"/>
                <w:sz w:val="22"/>
              </w:rPr>
            </w:pPr>
            <w:r w:rsidRPr="00610401">
              <w:rPr>
                <w:noProof/>
                <w:color w:val="000000" w:themeColor="text1"/>
                <w:sz w:val="22"/>
              </w:rPr>
              <w:t>Niezróżn.</w:t>
            </w:r>
          </w:p>
        </w:tc>
        <w:tc>
          <w:tcPr>
            <w:tcW w:w="956"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NIE</w:t>
            </w:r>
          </w:p>
        </w:tc>
        <w:tc>
          <w:tcPr>
            <w:tcW w:w="1080"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NIE</w:t>
            </w:r>
          </w:p>
        </w:tc>
        <w:tc>
          <w:tcPr>
            <w:tcW w:w="956"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NIE</w:t>
            </w:r>
          </w:p>
        </w:tc>
        <w:tc>
          <w:tcPr>
            <w:tcW w:w="1448" w:type="dxa"/>
            <w:vAlign w:val="center"/>
          </w:tcPr>
          <w:p w:rsidR="00BE0A2F" w:rsidRPr="00610401" w:rsidRDefault="00BE0A2F" w:rsidP="00BE0A2F">
            <w:pPr>
              <w:jc w:val="center"/>
              <w:rPr>
                <w:noProof/>
                <w:color w:val="000000" w:themeColor="text1"/>
                <w:sz w:val="20"/>
                <w:szCs w:val="20"/>
              </w:rPr>
            </w:pPr>
            <w:r w:rsidRPr="00610401">
              <w:rPr>
                <w:noProof/>
                <w:color w:val="000000" w:themeColor="text1"/>
                <w:sz w:val="20"/>
              </w:rPr>
              <w:t>NIE</w:t>
            </w:r>
          </w:p>
        </w:tc>
      </w:tr>
    </w:tbl>
    <w:p w:rsidR="00BE0A2F" w:rsidRPr="00610401" w:rsidRDefault="00BE0A2F" w:rsidP="00BE0A2F">
      <w:pPr>
        <w:rPr>
          <w:noProof/>
          <w:color w:val="000000" w:themeColor="text1"/>
        </w:rPr>
      </w:pPr>
    </w:p>
    <w:p w:rsidR="00BE0A2F" w:rsidRPr="00610401" w:rsidRDefault="00BE0A2F" w:rsidP="002C1AD1">
      <w:pPr>
        <w:pStyle w:val="ListBullet1"/>
        <w:rPr>
          <w:noProof/>
        </w:rPr>
      </w:pPr>
      <w:r w:rsidRPr="00610401">
        <w:rPr>
          <w:noProof/>
        </w:rPr>
        <w:t xml:space="preserve">Proponowane nowe linie budżetowe: Nie dotyczy </w:t>
      </w:r>
    </w:p>
    <w:p w:rsidR="00142752" w:rsidRPr="00610401" w:rsidRDefault="00142752" w:rsidP="00B0251E">
      <w:pPr>
        <w:pStyle w:val="Text1"/>
        <w:rPr>
          <w:noProof/>
        </w:rPr>
        <w:sectPr w:rsidR="00142752" w:rsidRPr="00610401" w:rsidSect="003C0B66">
          <w:pgSz w:w="11907" w:h="16840" w:code="1"/>
          <w:pgMar w:top="1134" w:right="1418" w:bottom="1134" w:left="1418" w:header="709" w:footer="709" w:gutter="0"/>
          <w:cols w:space="708"/>
          <w:docGrid w:linePitch="360"/>
        </w:sectPr>
      </w:pPr>
    </w:p>
    <w:p w:rsidR="00BE0A2F" w:rsidRPr="00610401" w:rsidRDefault="009F5C98" w:rsidP="009F5C98">
      <w:pPr>
        <w:pStyle w:val="ManualHeading2"/>
        <w:rPr>
          <w:noProof/>
        </w:rPr>
      </w:pPr>
      <w:bookmarkStart w:id="49" w:name="_Toc514938052"/>
      <w:bookmarkStart w:id="50" w:name="_Toc520485051"/>
      <w:r w:rsidRPr="009F5C98">
        <w:t>3.2.</w:t>
      </w:r>
      <w:r w:rsidRPr="009F5C98">
        <w:tab/>
      </w:r>
      <w:r w:rsidR="00BE0A2F" w:rsidRPr="00610401">
        <w:rPr>
          <w:noProof/>
        </w:rPr>
        <w:t>Szacunkowy wpływ finansowy wniosku na środki</w:t>
      </w:r>
      <w:bookmarkEnd w:id="49"/>
      <w:bookmarkEnd w:id="50"/>
      <w:r w:rsidR="00BE0A2F" w:rsidRPr="00610401">
        <w:rPr>
          <w:noProof/>
        </w:rPr>
        <w:t xml:space="preserve"> </w:t>
      </w:r>
    </w:p>
    <w:p w:rsidR="00BE0A2F" w:rsidRPr="00610401" w:rsidRDefault="009F5C98" w:rsidP="009F5C98">
      <w:pPr>
        <w:pStyle w:val="ManualHeading3"/>
        <w:rPr>
          <w:noProof/>
        </w:rPr>
      </w:pPr>
      <w:bookmarkStart w:id="51" w:name="_Toc514938053"/>
      <w:bookmarkStart w:id="52" w:name="_Toc520485052"/>
      <w:r w:rsidRPr="009F5C98">
        <w:t>3.2.1.</w:t>
      </w:r>
      <w:r w:rsidRPr="009F5C98">
        <w:tab/>
      </w:r>
      <w:r w:rsidR="00BE0A2F" w:rsidRPr="00610401">
        <w:rPr>
          <w:noProof/>
        </w:rPr>
        <w:t>Podsumowanie szacunkowego wpływu na środki operacyjne</w:t>
      </w:r>
      <w:bookmarkEnd w:id="51"/>
      <w:bookmarkEnd w:id="52"/>
      <w:r w:rsidR="00BE0A2F" w:rsidRPr="00610401">
        <w:rPr>
          <w:noProof/>
        </w:rPr>
        <w:t xml:space="preserve"> </w:t>
      </w:r>
    </w:p>
    <w:p w:rsidR="00BE0A2F" w:rsidRPr="00610401" w:rsidRDefault="00BE0A2F" w:rsidP="00B0251E">
      <w:pPr>
        <w:pStyle w:val="ListDash1"/>
        <w:rPr>
          <w:noProof/>
        </w:rPr>
      </w:pPr>
      <w:r w:rsidRPr="00610401">
        <w:rPr>
          <w:noProof/>
        </w:rPr>
        <w:sym w:font="Wingdings" w:char="F0A8"/>
      </w:r>
      <w:r w:rsidRPr="00610401">
        <w:rPr>
          <w:noProof/>
        </w:rPr>
        <w:tab/>
        <w:t>Wniosek/inicjatywa nie wiąże się</w:t>
      </w:r>
      <w:r w:rsidR="00610401" w:rsidRPr="00610401">
        <w:rPr>
          <w:noProof/>
        </w:rPr>
        <w:t xml:space="preserve"> z kon</w:t>
      </w:r>
      <w:r w:rsidRPr="00610401">
        <w:rPr>
          <w:noProof/>
        </w:rPr>
        <w:t xml:space="preserve">iecznością wykorzystania środków operacyjnych. </w:t>
      </w:r>
    </w:p>
    <w:p w:rsidR="00BE0A2F" w:rsidRPr="00610401" w:rsidRDefault="00BE0A2F" w:rsidP="00B0251E">
      <w:pPr>
        <w:pStyle w:val="ListDash1"/>
        <w:rPr>
          <w:noProof/>
        </w:rPr>
      </w:pPr>
      <w:r w:rsidRPr="00610401">
        <w:rPr>
          <w:noProof/>
        </w:rPr>
        <w:sym w:font="Wingdings" w:char="F0FE"/>
      </w:r>
      <w:r w:rsidRPr="00610401">
        <w:rPr>
          <w:noProof/>
        </w:rPr>
        <w:tab/>
        <w:t>Wniosek/inicjatywa wiąże się</w:t>
      </w:r>
      <w:r w:rsidR="00610401" w:rsidRPr="00610401">
        <w:rPr>
          <w:noProof/>
        </w:rPr>
        <w:t xml:space="preserve"> z kon</w:t>
      </w:r>
      <w:r w:rsidRPr="00610401">
        <w:rPr>
          <w:noProof/>
        </w:rPr>
        <w:t>iecznością wykorzystania środków operacyjnych, jak określono poniżej:</w:t>
      </w:r>
    </w:p>
    <w:p w:rsidR="00BE0A2F" w:rsidRPr="00610401" w:rsidRDefault="00BE0A2F" w:rsidP="00BE0A2F">
      <w:pPr>
        <w:jc w:val="right"/>
        <w:rPr>
          <w:noProof/>
          <w:color w:val="000000" w:themeColor="text1"/>
          <w:sz w:val="18"/>
          <w:szCs w:val="18"/>
        </w:rPr>
      </w:pPr>
      <w:r w:rsidRPr="00610401">
        <w:rPr>
          <w:noProof/>
          <w:color w:val="000000" w:themeColor="text1"/>
          <w:sz w:val="18"/>
        </w:rPr>
        <w:t>w mln EUR (do trzech miejsc po przecinku)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1"/>
        <w:gridCol w:w="1080"/>
        <w:gridCol w:w="7817"/>
      </w:tblGrid>
      <w:tr w:rsidR="00BE0A2F" w:rsidRPr="00610401" w:rsidTr="00B0251E">
        <w:trPr>
          <w:jc w:val="center"/>
        </w:trPr>
        <w:tc>
          <w:tcPr>
            <w:tcW w:w="4641" w:type="dxa"/>
            <w:shd w:val="thinDiagStripe" w:color="C0C0C0" w:fill="auto"/>
            <w:vAlign w:val="center"/>
          </w:tcPr>
          <w:p w:rsidR="00BE0A2F" w:rsidRPr="00610401" w:rsidRDefault="00BE0A2F" w:rsidP="00BE0A2F">
            <w:pPr>
              <w:spacing w:before="60" w:after="60"/>
              <w:jc w:val="center"/>
              <w:rPr>
                <w:b/>
                <w:noProof/>
                <w:color w:val="000000" w:themeColor="text1"/>
              </w:rPr>
            </w:pPr>
            <w:r w:rsidRPr="00610401">
              <w:rPr>
                <w:b/>
                <w:noProof/>
                <w:color w:val="000000" w:themeColor="text1"/>
                <w:sz w:val="22"/>
              </w:rPr>
              <w:t>Dział wieloletnich ram</w:t>
            </w:r>
            <w:r w:rsidR="00610401" w:rsidRPr="00610401">
              <w:rPr>
                <w:b/>
                <w:noProof/>
                <w:color w:val="000000" w:themeColor="text1"/>
                <w:sz w:val="22"/>
              </w:rPr>
              <w:t xml:space="preserve"> </w:t>
            </w:r>
            <w:r w:rsidRPr="00610401">
              <w:rPr>
                <w:noProof/>
              </w:rPr>
              <w:br/>
            </w:r>
            <w:r w:rsidRPr="00610401">
              <w:rPr>
                <w:b/>
                <w:noProof/>
                <w:color w:val="000000" w:themeColor="text1"/>
                <w:sz w:val="22"/>
              </w:rPr>
              <w:t xml:space="preserve">finansowych </w:t>
            </w:r>
          </w:p>
        </w:tc>
        <w:tc>
          <w:tcPr>
            <w:tcW w:w="1080" w:type="dxa"/>
            <w:vAlign w:val="center"/>
          </w:tcPr>
          <w:p w:rsidR="00BE0A2F" w:rsidRPr="00610401" w:rsidRDefault="00BE0A2F" w:rsidP="00BE0A2F">
            <w:pPr>
              <w:spacing w:before="60" w:after="60"/>
              <w:jc w:val="center"/>
              <w:rPr>
                <w:noProof/>
                <w:color w:val="000000" w:themeColor="text1"/>
              </w:rPr>
            </w:pPr>
            <w:r w:rsidRPr="00610401">
              <w:rPr>
                <w:noProof/>
                <w:color w:val="000000" w:themeColor="text1"/>
                <w:sz w:val="22"/>
              </w:rPr>
              <w:t>3</w:t>
            </w:r>
          </w:p>
        </w:tc>
        <w:tc>
          <w:tcPr>
            <w:tcW w:w="7817" w:type="dxa"/>
            <w:vAlign w:val="center"/>
          </w:tcPr>
          <w:p w:rsidR="00BE0A2F" w:rsidRPr="00610401" w:rsidRDefault="00BE0A2F" w:rsidP="00BE0A2F">
            <w:pPr>
              <w:spacing w:before="60" w:after="60"/>
              <w:rPr>
                <w:noProof/>
                <w:color w:val="000000" w:themeColor="text1"/>
              </w:rPr>
            </w:pPr>
            <w:r w:rsidRPr="00610401">
              <w:rPr>
                <w:noProof/>
                <w:color w:val="000000" w:themeColor="text1"/>
              </w:rPr>
              <w:t>Dział 3: Zasoby naturalne</w:t>
            </w:r>
            <w:r w:rsidR="00610401" w:rsidRPr="00610401">
              <w:rPr>
                <w:noProof/>
                <w:color w:val="000000" w:themeColor="text1"/>
              </w:rPr>
              <w:t xml:space="preserve"> i śro</w:t>
            </w:r>
            <w:r w:rsidRPr="00610401">
              <w:rPr>
                <w:noProof/>
                <w:color w:val="000000" w:themeColor="text1"/>
              </w:rPr>
              <w:t>dowisko</w:t>
            </w:r>
          </w:p>
        </w:tc>
      </w:tr>
    </w:tbl>
    <w:p w:rsidR="00BE0A2F" w:rsidRPr="00610401" w:rsidRDefault="00BE0A2F" w:rsidP="00BE0A2F">
      <w:pPr>
        <w:rPr>
          <w:noProof/>
          <w:color w:val="000000" w:themeColor="text1"/>
          <w:sz w:val="16"/>
        </w:rPr>
      </w:pPr>
    </w:p>
    <w:tbl>
      <w:tblPr>
        <w:tblW w:w="135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276"/>
        <w:gridCol w:w="1134"/>
        <w:gridCol w:w="992"/>
        <w:gridCol w:w="1172"/>
        <w:gridCol w:w="944"/>
        <w:gridCol w:w="944"/>
        <w:gridCol w:w="944"/>
        <w:gridCol w:w="944"/>
        <w:gridCol w:w="1934"/>
      </w:tblGrid>
      <w:tr w:rsidR="00BE0A2F" w:rsidRPr="00610401" w:rsidTr="00B0251E">
        <w:trPr>
          <w:trHeight w:val="685"/>
        </w:trPr>
        <w:tc>
          <w:tcPr>
            <w:tcW w:w="3260" w:type="dxa"/>
            <w:vAlign w:val="center"/>
          </w:tcPr>
          <w:p w:rsidR="00BE0A2F" w:rsidRPr="00610401" w:rsidRDefault="00BE0A2F" w:rsidP="00BE0A2F">
            <w:pPr>
              <w:jc w:val="center"/>
              <w:rPr>
                <w:b/>
                <w:noProof/>
                <w:color w:val="000000" w:themeColor="text1"/>
              </w:rPr>
            </w:pPr>
            <w:r w:rsidRPr="00610401">
              <w:rPr>
                <w:b/>
                <w:noProof/>
                <w:color w:val="000000" w:themeColor="text1"/>
                <w:sz w:val="22"/>
              </w:rPr>
              <w:t>DG: ENV</w:t>
            </w:r>
          </w:p>
        </w:tc>
        <w:tc>
          <w:tcPr>
            <w:tcW w:w="1276" w:type="dxa"/>
          </w:tcPr>
          <w:p w:rsidR="00BE0A2F" w:rsidRPr="00610401" w:rsidRDefault="00BE0A2F" w:rsidP="00BE0A2F">
            <w:pPr>
              <w:rPr>
                <w:noProof/>
                <w:color w:val="000000" w:themeColor="text1"/>
                <w:sz w:val="20"/>
              </w:rPr>
            </w:pPr>
          </w:p>
        </w:tc>
        <w:tc>
          <w:tcPr>
            <w:tcW w:w="1134" w:type="dxa"/>
          </w:tcPr>
          <w:p w:rsidR="00BE0A2F" w:rsidRPr="00610401" w:rsidRDefault="00BE0A2F" w:rsidP="00BE0A2F">
            <w:pPr>
              <w:jc w:val="center"/>
              <w:rPr>
                <w:noProof/>
                <w:color w:val="000000" w:themeColor="text1"/>
                <w:sz w:val="20"/>
              </w:rPr>
            </w:pPr>
          </w:p>
        </w:tc>
        <w:tc>
          <w:tcPr>
            <w:tcW w:w="992" w:type="dxa"/>
            <w:vAlign w:val="center"/>
          </w:tcPr>
          <w:p w:rsidR="00BE0A2F" w:rsidRPr="00610401" w:rsidRDefault="00BE0A2F" w:rsidP="00BE0A2F">
            <w:pPr>
              <w:jc w:val="center"/>
              <w:rPr>
                <w:b/>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2022</w:t>
            </w:r>
          </w:p>
        </w:tc>
        <w:tc>
          <w:tcPr>
            <w:tcW w:w="1172" w:type="dxa"/>
            <w:vAlign w:val="center"/>
          </w:tcPr>
          <w:p w:rsidR="00BE0A2F" w:rsidRPr="00610401" w:rsidRDefault="00BE0A2F" w:rsidP="00BE0A2F">
            <w:pPr>
              <w:jc w:val="center"/>
              <w:rPr>
                <w:b/>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2023</w:t>
            </w:r>
          </w:p>
        </w:tc>
        <w:tc>
          <w:tcPr>
            <w:tcW w:w="944"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2024</w:t>
            </w:r>
          </w:p>
        </w:tc>
        <w:tc>
          <w:tcPr>
            <w:tcW w:w="944"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2025</w:t>
            </w:r>
          </w:p>
        </w:tc>
        <w:tc>
          <w:tcPr>
            <w:tcW w:w="944"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2026</w:t>
            </w:r>
          </w:p>
        </w:tc>
        <w:tc>
          <w:tcPr>
            <w:tcW w:w="944"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2027</w:t>
            </w:r>
          </w:p>
        </w:tc>
        <w:tc>
          <w:tcPr>
            <w:tcW w:w="1934" w:type="dxa"/>
            <w:vAlign w:val="center"/>
          </w:tcPr>
          <w:p w:rsidR="00BE0A2F" w:rsidRPr="00610401" w:rsidRDefault="00BE0A2F" w:rsidP="00BE0A2F">
            <w:pPr>
              <w:jc w:val="center"/>
              <w:rPr>
                <w:b/>
                <w:noProof/>
                <w:color w:val="000000" w:themeColor="text1"/>
                <w:sz w:val="20"/>
              </w:rPr>
            </w:pPr>
            <w:r w:rsidRPr="00610401">
              <w:rPr>
                <w:b/>
                <w:noProof/>
                <w:color w:val="000000" w:themeColor="text1"/>
                <w:sz w:val="20"/>
              </w:rPr>
              <w:t>OGÓŁEM</w:t>
            </w:r>
          </w:p>
        </w:tc>
      </w:tr>
      <w:tr w:rsidR="00BE0A2F" w:rsidRPr="00610401" w:rsidTr="00B0251E">
        <w:trPr>
          <w:trHeight w:val="211"/>
        </w:trPr>
        <w:tc>
          <w:tcPr>
            <w:tcW w:w="5670" w:type="dxa"/>
            <w:gridSpan w:val="3"/>
            <w:vAlign w:val="center"/>
          </w:tcPr>
          <w:p w:rsidR="00BE0A2F" w:rsidRPr="00610401" w:rsidRDefault="00BE0A2F" w:rsidP="00BE0A2F">
            <w:pPr>
              <w:spacing w:before="20" w:after="20"/>
              <w:rPr>
                <w:noProof/>
                <w:color w:val="000000" w:themeColor="text1"/>
                <w:sz w:val="21"/>
              </w:rPr>
            </w:pPr>
            <w:r w:rsidRPr="00610401">
              <w:rPr>
                <w:noProof/>
                <w:color w:val="000000" w:themeColor="text1"/>
                <w:sz w:val="21"/>
              </w:rPr>
              <w:sym w:font="Wingdings" w:char="F09F"/>
            </w:r>
            <w:r w:rsidRPr="00610401">
              <w:rPr>
                <w:noProof/>
                <w:color w:val="000000" w:themeColor="text1"/>
                <w:sz w:val="21"/>
              </w:rPr>
              <w:t xml:space="preserve"> Środki operacyjne </w:t>
            </w:r>
          </w:p>
        </w:tc>
        <w:tc>
          <w:tcPr>
            <w:tcW w:w="992" w:type="dxa"/>
          </w:tcPr>
          <w:p w:rsidR="00BE0A2F" w:rsidRPr="00610401" w:rsidRDefault="00BE0A2F" w:rsidP="00BE0A2F">
            <w:pPr>
              <w:rPr>
                <w:noProof/>
                <w:color w:val="000000" w:themeColor="text1"/>
                <w:sz w:val="20"/>
              </w:rPr>
            </w:pPr>
          </w:p>
        </w:tc>
        <w:tc>
          <w:tcPr>
            <w:tcW w:w="1172" w:type="dxa"/>
          </w:tcPr>
          <w:p w:rsidR="00BE0A2F" w:rsidRPr="00610401" w:rsidRDefault="00BE0A2F" w:rsidP="00BE0A2F">
            <w:pPr>
              <w:rPr>
                <w:noProof/>
                <w:color w:val="000000" w:themeColor="text1"/>
                <w:sz w:val="20"/>
              </w:rPr>
            </w:pPr>
          </w:p>
        </w:tc>
        <w:tc>
          <w:tcPr>
            <w:tcW w:w="944" w:type="dxa"/>
            <w:vAlign w:val="center"/>
          </w:tcPr>
          <w:p w:rsidR="00BE0A2F" w:rsidRPr="00610401" w:rsidRDefault="00BE0A2F" w:rsidP="00BE0A2F">
            <w:pPr>
              <w:rPr>
                <w:noProof/>
                <w:color w:val="000000" w:themeColor="text1"/>
                <w:sz w:val="20"/>
              </w:rPr>
            </w:pPr>
          </w:p>
        </w:tc>
        <w:tc>
          <w:tcPr>
            <w:tcW w:w="944" w:type="dxa"/>
            <w:vAlign w:val="center"/>
          </w:tcPr>
          <w:p w:rsidR="00BE0A2F" w:rsidRPr="00610401" w:rsidRDefault="00BE0A2F" w:rsidP="00BE0A2F">
            <w:pPr>
              <w:rPr>
                <w:noProof/>
                <w:color w:val="000000" w:themeColor="text1"/>
                <w:sz w:val="20"/>
              </w:rPr>
            </w:pPr>
          </w:p>
        </w:tc>
        <w:tc>
          <w:tcPr>
            <w:tcW w:w="944" w:type="dxa"/>
            <w:vAlign w:val="center"/>
          </w:tcPr>
          <w:p w:rsidR="00BE0A2F" w:rsidRPr="00610401" w:rsidRDefault="00BE0A2F" w:rsidP="00BE0A2F">
            <w:pPr>
              <w:rPr>
                <w:noProof/>
                <w:color w:val="000000" w:themeColor="text1"/>
                <w:sz w:val="20"/>
              </w:rPr>
            </w:pPr>
          </w:p>
        </w:tc>
        <w:tc>
          <w:tcPr>
            <w:tcW w:w="944" w:type="dxa"/>
            <w:vAlign w:val="center"/>
          </w:tcPr>
          <w:p w:rsidR="00BE0A2F" w:rsidRPr="00610401" w:rsidRDefault="00BE0A2F" w:rsidP="00BE0A2F">
            <w:pPr>
              <w:rPr>
                <w:noProof/>
                <w:color w:val="000000" w:themeColor="text1"/>
                <w:sz w:val="20"/>
              </w:rPr>
            </w:pPr>
          </w:p>
        </w:tc>
        <w:tc>
          <w:tcPr>
            <w:tcW w:w="1934" w:type="dxa"/>
            <w:vAlign w:val="center"/>
          </w:tcPr>
          <w:p w:rsidR="00BE0A2F" w:rsidRPr="00610401" w:rsidRDefault="00BE0A2F" w:rsidP="00BE0A2F">
            <w:pPr>
              <w:rPr>
                <w:b/>
                <w:noProof/>
                <w:color w:val="000000" w:themeColor="text1"/>
                <w:sz w:val="20"/>
              </w:rPr>
            </w:pPr>
          </w:p>
        </w:tc>
      </w:tr>
      <w:tr w:rsidR="004B7DAE" w:rsidRPr="00610401" w:rsidTr="00725F02">
        <w:trPr>
          <w:trHeight w:val="275"/>
        </w:trPr>
        <w:tc>
          <w:tcPr>
            <w:tcW w:w="3260" w:type="dxa"/>
            <w:vMerge w:val="restart"/>
            <w:vAlign w:val="center"/>
          </w:tcPr>
          <w:p w:rsidR="00BE0A2F" w:rsidRPr="00610401" w:rsidRDefault="00BE0A2F" w:rsidP="00BE0A2F">
            <w:pPr>
              <w:rPr>
                <w:noProof/>
                <w:color w:val="000000" w:themeColor="text1"/>
                <w:sz w:val="22"/>
              </w:rPr>
            </w:pPr>
            <w:r w:rsidRPr="00610401">
              <w:rPr>
                <w:noProof/>
                <w:color w:val="000000" w:themeColor="text1"/>
                <w:sz w:val="22"/>
              </w:rPr>
              <w:t>09 02 01 – Przyroda</w:t>
            </w:r>
            <w:r w:rsidR="00610401" w:rsidRPr="00610401">
              <w:rPr>
                <w:noProof/>
                <w:color w:val="000000" w:themeColor="text1"/>
                <w:sz w:val="22"/>
              </w:rPr>
              <w:t xml:space="preserve"> i róż</w:t>
            </w:r>
            <w:r w:rsidRPr="00610401">
              <w:rPr>
                <w:noProof/>
                <w:color w:val="000000" w:themeColor="text1"/>
                <w:sz w:val="22"/>
              </w:rPr>
              <w:t>norodność biologiczna</w:t>
            </w:r>
          </w:p>
        </w:tc>
        <w:tc>
          <w:tcPr>
            <w:tcW w:w="1276" w:type="dxa"/>
            <w:vAlign w:val="center"/>
          </w:tcPr>
          <w:p w:rsidR="00BE0A2F" w:rsidRPr="00610401" w:rsidRDefault="00BE0A2F" w:rsidP="00BE0A2F">
            <w:pPr>
              <w:spacing w:before="20" w:after="20"/>
              <w:rPr>
                <w:noProof/>
                <w:color w:val="000000" w:themeColor="text1"/>
                <w:sz w:val="18"/>
              </w:rPr>
            </w:pPr>
            <w:r w:rsidRPr="00610401">
              <w:rPr>
                <w:noProof/>
                <w:color w:val="000000" w:themeColor="text1"/>
                <w:sz w:val="18"/>
              </w:rPr>
              <w:t>Środki na zobowiązania</w:t>
            </w:r>
          </w:p>
        </w:tc>
        <w:tc>
          <w:tcPr>
            <w:tcW w:w="1134" w:type="dxa"/>
            <w:vAlign w:val="center"/>
          </w:tcPr>
          <w:p w:rsidR="00BE0A2F" w:rsidRPr="00610401" w:rsidRDefault="00BE0A2F" w:rsidP="00BE0A2F">
            <w:pPr>
              <w:spacing w:before="20" w:after="20"/>
              <w:jc w:val="center"/>
              <w:rPr>
                <w:noProof/>
                <w:color w:val="000000" w:themeColor="text1"/>
                <w:sz w:val="14"/>
              </w:rPr>
            </w:pPr>
            <w:r w:rsidRPr="00610401">
              <w:rPr>
                <w:noProof/>
                <w:color w:val="000000" w:themeColor="text1"/>
                <w:sz w:val="14"/>
              </w:rPr>
              <w:t>(1a)</w:t>
            </w:r>
          </w:p>
        </w:tc>
        <w:tc>
          <w:tcPr>
            <w:tcW w:w="992"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0,950</w:t>
            </w:r>
          </w:p>
        </w:tc>
        <w:tc>
          <w:tcPr>
            <w:tcW w:w="1172"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0,950</w:t>
            </w:r>
          </w:p>
        </w:tc>
        <w:tc>
          <w:tcPr>
            <w:tcW w:w="944"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0,950</w:t>
            </w:r>
          </w:p>
        </w:tc>
        <w:tc>
          <w:tcPr>
            <w:tcW w:w="944"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1,250</w:t>
            </w:r>
          </w:p>
        </w:tc>
        <w:tc>
          <w:tcPr>
            <w:tcW w:w="944"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1,250</w:t>
            </w:r>
          </w:p>
        </w:tc>
        <w:tc>
          <w:tcPr>
            <w:tcW w:w="944"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1,250</w:t>
            </w:r>
          </w:p>
        </w:tc>
        <w:tc>
          <w:tcPr>
            <w:tcW w:w="1934" w:type="dxa"/>
            <w:vAlign w:val="center"/>
          </w:tcPr>
          <w:p w:rsidR="00BE0A2F" w:rsidRPr="00610401" w:rsidRDefault="00BE0A2F" w:rsidP="00BE0A2F">
            <w:pPr>
              <w:spacing w:before="20" w:after="20"/>
              <w:jc w:val="right"/>
              <w:rPr>
                <w:b/>
                <w:noProof/>
                <w:color w:val="000000" w:themeColor="text1"/>
                <w:sz w:val="20"/>
              </w:rPr>
            </w:pPr>
            <w:r w:rsidRPr="00610401">
              <w:rPr>
                <w:b/>
                <w:noProof/>
                <w:color w:val="000000" w:themeColor="text1"/>
                <w:sz w:val="20"/>
              </w:rPr>
              <w:t>6,600</w:t>
            </w:r>
          </w:p>
        </w:tc>
      </w:tr>
      <w:tr w:rsidR="004B7DAE" w:rsidRPr="00610401" w:rsidTr="00725F02">
        <w:trPr>
          <w:trHeight w:val="283"/>
        </w:trPr>
        <w:tc>
          <w:tcPr>
            <w:tcW w:w="3260" w:type="dxa"/>
            <w:vMerge/>
          </w:tcPr>
          <w:p w:rsidR="00BE0A2F" w:rsidRPr="00610401" w:rsidRDefault="00BE0A2F" w:rsidP="00BE0A2F">
            <w:pPr>
              <w:jc w:val="center"/>
              <w:rPr>
                <w:noProof/>
                <w:color w:val="000000" w:themeColor="text1"/>
                <w:sz w:val="20"/>
              </w:rPr>
            </w:pPr>
          </w:p>
        </w:tc>
        <w:tc>
          <w:tcPr>
            <w:tcW w:w="1276" w:type="dxa"/>
            <w:vAlign w:val="center"/>
          </w:tcPr>
          <w:p w:rsidR="00BE0A2F" w:rsidRPr="00610401" w:rsidRDefault="00BE0A2F" w:rsidP="00BE0A2F">
            <w:pPr>
              <w:spacing w:before="20" w:after="20"/>
              <w:rPr>
                <w:noProof/>
                <w:color w:val="000000" w:themeColor="text1"/>
                <w:sz w:val="18"/>
              </w:rPr>
            </w:pPr>
            <w:r w:rsidRPr="00610401">
              <w:rPr>
                <w:noProof/>
                <w:color w:val="000000" w:themeColor="text1"/>
                <w:sz w:val="18"/>
              </w:rPr>
              <w:t>Środki na płatności</w:t>
            </w:r>
          </w:p>
        </w:tc>
        <w:tc>
          <w:tcPr>
            <w:tcW w:w="1134" w:type="dxa"/>
            <w:vAlign w:val="center"/>
          </w:tcPr>
          <w:p w:rsidR="00BE0A2F" w:rsidRPr="00610401" w:rsidRDefault="00BE0A2F" w:rsidP="00BE0A2F">
            <w:pPr>
              <w:spacing w:before="20" w:after="20"/>
              <w:jc w:val="center"/>
              <w:rPr>
                <w:noProof/>
                <w:color w:val="000000" w:themeColor="text1"/>
                <w:sz w:val="14"/>
              </w:rPr>
            </w:pPr>
            <w:r w:rsidRPr="00610401">
              <w:rPr>
                <w:noProof/>
                <w:color w:val="000000" w:themeColor="text1"/>
                <w:sz w:val="14"/>
              </w:rPr>
              <w:t>(2a)</w:t>
            </w:r>
          </w:p>
        </w:tc>
        <w:tc>
          <w:tcPr>
            <w:tcW w:w="992"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0,950</w:t>
            </w:r>
          </w:p>
        </w:tc>
        <w:tc>
          <w:tcPr>
            <w:tcW w:w="1172"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0,950</w:t>
            </w:r>
          </w:p>
        </w:tc>
        <w:tc>
          <w:tcPr>
            <w:tcW w:w="944"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0,950</w:t>
            </w:r>
          </w:p>
        </w:tc>
        <w:tc>
          <w:tcPr>
            <w:tcW w:w="944"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1,250</w:t>
            </w:r>
          </w:p>
        </w:tc>
        <w:tc>
          <w:tcPr>
            <w:tcW w:w="944"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1,250</w:t>
            </w:r>
          </w:p>
        </w:tc>
        <w:tc>
          <w:tcPr>
            <w:tcW w:w="944" w:type="dxa"/>
          </w:tcPr>
          <w:p w:rsidR="00BE0A2F" w:rsidRPr="00610401" w:rsidRDefault="00BE0A2F" w:rsidP="00BE0A2F">
            <w:pPr>
              <w:spacing w:before="20" w:after="20"/>
              <w:jc w:val="right"/>
              <w:rPr>
                <w:noProof/>
                <w:color w:val="000000" w:themeColor="text1"/>
                <w:sz w:val="18"/>
              </w:rPr>
            </w:pPr>
            <w:r w:rsidRPr="00610401">
              <w:rPr>
                <w:noProof/>
                <w:color w:val="000000" w:themeColor="text1"/>
                <w:sz w:val="18"/>
              </w:rPr>
              <w:t>1,250</w:t>
            </w:r>
          </w:p>
        </w:tc>
        <w:tc>
          <w:tcPr>
            <w:tcW w:w="1934" w:type="dxa"/>
            <w:vAlign w:val="center"/>
          </w:tcPr>
          <w:p w:rsidR="00BE0A2F" w:rsidRPr="00610401" w:rsidRDefault="00BE0A2F" w:rsidP="00BE0A2F">
            <w:pPr>
              <w:spacing w:before="20" w:after="20"/>
              <w:jc w:val="right"/>
              <w:rPr>
                <w:b/>
                <w:noProof/>
                <w:color w:val="000000" w:themeColor="text1"/>
                <w:sz w:val="20"/>
              </w:rPr>
            </w:pPr>
            <w:r w:rsidRPr="00610401">
              <w:rPr>
                <w:b/>
                <w:noProof/>
                <w:color w:val="000000" w:themeColor="text1"/>
                <w:sz w:val="20"/>
              </w:rPr>
              <w:t>6,600</w:t>
            </w:r>
          </w:p>
        </w:tc>
      </w:tr>
      <w:tr w:rsidR="004B7DAE" w:rsidRPr="00610401" w:rsidTr="00725F02">
        <w:trPr>
          <w:trHeight w:val="268"/>
        </w:trPr>
        <w:tc>
          <w:tcPr>
            <w:tcW w:w="3260" w:type="dxa"/>
            <w:vMerge w:val="restart"/>
            <w:vAlign w:val="center"/>
          </w:tcPr>
          <w:p w:rsidR="00BE0A2F" w:rsidRPr="00610401" w:rsidRDefault="00BE0A2F" w:rsidP="00BE0A2F">
            <w:pPr>
              <w:rPr>
                <w:noProof/>
                <w:color w:val="000000" w:themeColor="text1"/>
              </w:rPr>
            </w:pPr>
            <w:r w:rsidRPr="00610401">
              <w:rPr>
                <w:noProof/>
                <w:color w:val="000000" w:themeColor="text1"/>
                <w:sz w:val="20"/>
              </w:rPr>
              <w:t>Linia budżetowa</w:t>
            </w:r>
          </w:p>
        </w:tc>
        <w:tc>
          <w:tcPr>
            <w:tcW w:w="1276" w:type="dxa"/>
            <w:vAlign w:val="center"/>
          </w:tcPr>
          <w:p w:rsidR="00BE0A2F" w:rsidRPr="00610401" w:rsidRDefault="00BE0A2F" w:rsidP="00BE0A2F">
            <w:pPr>
              <w:spacing w:before="20" w:after="20"/>
              <w:rPr>
                <w:noProof/>
                <w:color w:val="000000" w:themeColor="text1"/>
                <w:sz w:val="18"/>
              </w:rPr>
            </w:pPr>
            <w:r w:rsidRPr="00610401">
              <w:rPr>
                <w:noProof/>
                <w:color w:val="000000" w:themeColor="text1"/>
                <w:sz w:val="18"/>
              </w:rPr>
              <w:t>Środki na zobowiązania</w:t>
            </w:r>
          </w:p>
        </w:tc>
        <w:tc>
          <w:tcPr>
            <w:tcW w:w="1134" w:type="dxa"/>
            <w:vAlign w:val="center"/>
          </w:tcPr>
          <w:p w:rsidR="00BE0A2F" w:rsidRPr="00610401" w:rsidRDefault="00BE0A2F" w:rsidP="00BE0A2F">
            <w:pPr>
              <w:spacing w:before="20" w:after="20"/>
              <w:jc w:val="center"/>
              <w:rPr>
                <w:noProof/>
                <w:color w:val="000000" w:themeColor="text1"/>
                <w:sz w:val="14"/>
              </w:rPr>
            </w:pPr>
            <w:r w:rsidRPr="00610401">
              <w:rPr>
                <w:noProof/>
                <w:color w:val="000000" w:themeColor="text1"/>
                <w:sz w:val="14"/>
              </w:rPr>
              <w:t>(1b)</w:t>
            </w:r>
          </w:p>
        </w:tc>
        <w:tc>
          <w:tcPr>
            <w:tcW w:w="992" w:type="dxa"/>
          </w:tcPr>
          <w:p w:rsidR="00BE0A2F" w:rsidRPr="00610401" w:rsidRDefault="00BE0A2F" w:rsidP="00BE0A2F">
            <w:pPr>
              <w:spacing w:before="20" w:after="20"/>
              <w:jc w:val="right"/>
              <w:rPr>
                <w:noProof/>
                <w:color w:val="000000" w:themeColor="text1"/>
                <w:sz w:val="20"/>
              </w:rPr>
            </w:pPr>
          </w:p>
        </w:tc>
        <w:tc>
          <w:tcPr>
            <w:tcW w:w="1172" w:type="dxa"/>
          </w:tcPr>
          <w:p w:rsidR="00BE0A2F" w:rsidRPr="00610401" w:rsidRDefault="00BE0A2F" w:rsidP="00BE0A2F">
            <w:pPr>
              <w:spacing w:before="20" w:after="20"/>
              <w:jc w:val="right"/>
              <w:rPr>
                <w:noProof/>
                <w:color w:val="000000" w:themeColor="text1"/>
                <w:sz w:val="20"/>
              </w:rPr>
            </w:pPr>
          </w:p>
        </w:tc>
        <w:tc>
          <w:tcPr>
            <w:tcW w:w="944" w:type="dxa"/>
            <w:vAlign w:val="center"/>
          </w:tcPr>
          <w:p w:rsidR="00BE0A2F" w:rsidRPr="00610401" w:rsidRDefault="00BE0A2F" w:rsidP="00BE0A2F">
            <w:pPr>
              <w:spacing w:before="20" w:after="20"/>
              <w:jc w:val="right"/>
              <w:rPr>
                <w:noProof/>
                <w:color w:val="000000" w:themeColor="text1"/>
                <w:sz w:val="20"/>
              </w:rPr>
            </w:pPr>
          </w:p>
        </w:tc>
        <w:tc>
          <w:tcPr>
            <w:tcW w:w="944" w:type="dxa"/>
            <w:vAlign w:val="center"/>
          </w:tcPr>
          <w:p w:rsidR="00BE0A2F" w:rsidRPr="00610401" w:rsidRDefault="00BE0A2F" w:rsidP="00BE0A2F">
            <w:pPr>
              <w:spacing w:before="20" w:after="20"/>
              <w:jc w:val="right"/>
              <w:rPr>
                <w:noProof/>
                <w:color w:val="000000" w:themeColor="text1"/>
                <w:sz w:val="20"/>
              </w:rPr>
            </w:pPr>
          </w:p>
        </w:tc>
        <w:tc>
          <w:tcPr>
            <w:tcW w:w="944" w:type="dxa"/>
            <w:vAlign w:val="center"/>
          </w:tcPr>
          <w:p w:rsidR="00BE0A2F" w:rsidRPr="00610401" w:rsidRDefault="00BE0A2F" w:rsidP="00BE0A2F">
            <w:pPr>
              <w:spacing w:before="20" w:after="20"/>
              <w:jc w:val="right"/>
              <w:rPr>
                <w:noProof/>
                <w:color w:val="000000" w:themeColor="text1"/>
                <w:sz w:val="20"/>
              </w:rPr>
            </w:pPr>
          </w:p>
        </w:tc>
        <w:tc>
          <w:tcPr>
            <w:tcW w:w="944" w:type="dxa"/>
            <w:vAlign w:val="center"/>
          </w:tcPr>
          <w:p w:rsidR="00BE0A2F" w:rsidRPr="00610401" w:rsidRDefault="00BE0A2F" w:rsidP="00BE0A2F">
            <w:pPr>
              <w:spacing w:before="20" w:after="20"/>
              <w:jc w:val="right"/>
              <w:rPr>
                <w:noProof/>
                <w:color w:val="000000" w:themeColor="text1"/>
                <w:sz w:val="20"/>
              </w:rPr>
            </w:pPr>
          </w:p>
        </w:tc>
        <w:tc>
          <w:tcPr>
            <w:tcW w:w="1934" w:type="dxa"/>
            <w:vAlign w:val="center"/>
          </w:tcPr>
          <w:p w:rsidR="00BE0A2F" w:rsidRPr="00610401" w:rsidRDefault="00BE0A2F" w:rsidP="00BE0A2F">
            <w:pPr>
              <w:spacing w:before="20" w:after="20"/>
              <w:jc w:val="right"/>
              <w:rPr>
                <w:b/>
                <w:noProof/>
                <w:color w:val="000000" w:themeColor="text1"/>
                <w:sz w:val="20"/>
              </w:rPr>
            </w:pPr>
          </w:p>
        </w:tc>
      </w:tr>
      <w:tr w:rsidR="004B7DAE" w:rsidRPr="00610401" w:rsidTr="00725F02">
        <w:trPr>
          <w:trHeight w:val="268"/>
        </w:trPr>
        <w:tc>
          <w:tcPr>
            <w:tcW w:w="3260" w:type="dxa"/>
            <w:vMerge/>
          </w:tcPr>
          <w:p w:rsidR="00BE0A2F" w:rsidRPr="00610401" w:rsidRDefault="00BE0A2F" w:rsidP="00BE0A2F">
            <w:pPr>
              <w:jc w:val="center"/>
              <w:rPr>
                <w:noProof/>
                <w:color w:val="000000" w:themeColor="text1"/>
                <w:sz w:val="20"/>
              </w:rPr>
            </w:pPr>
          </w:p>
        </w:tc>
        <w:tc>
          <w:tcPr>
            <w:tcW w:w="1276" w:type="dxa"/>
            <w:vAlign w:val="center"/>
          </w:tcPr>
          <w:p w:rsidR="00BE0A2F" w:rsidRPr="00610401" w:rsidRDefault="00BE0A2F" w:rsidP="00BE0A2F">
            <w:pPr>
              <w:spacing w:before="20" w:after="20"/>
              <w:rPr>
                <w:noProof/>
                <w:color w:val="000000" w:themeColor="text1"/>
                <w:sz w:val="18"/>
              </w:rPr>
            </w:pPr>
            <w:r w:rsidRPr="00610401">
              <w:rPr>
                <w:noProof/>
                <w:color w:val="000000" w:themeColor="text1"/>
                <w:sz w:val="18"/>
              </w:rPr>
              <w:t>Środki na płatności</w:t>
            </w:r>
          </w:p>
        </w:tc>
        <w:tc>
          <w:tcPr>
            <w:tcW w:w="1134" w:type="dxa"/>
            <w:vAlign w:val="center"/>
          </w:tcPr>
          <w:p w:rsidR="00BE0A2F" w:rsidRPr="00610401" w:rsidRDefault="00BE0A2F" w:rsidP="00BE0A2F">
            <w:pPr>
              <w:spacing w:before="20" w:after="20"/>
              <w:jc w:val="center"/>
              <w:rPr>
                <w:noProof/>
                <w:color w:val="000000" w:themeColor="text1"/>
                <w:sz w:val="14"/>
              </w:rPr>
            </w:pPr>
            <w:r w:rsidRPr="00610401">
              <w:rPr>
                <w:noProof/>
                <w:color w:val="000000" w:themeColor="text1"/>
                <w:sz w:val="14"/>
              </w:rPr>
              <w:t>(2b)</w:t>
            </w:r>
          </w:p>
        </w:tc>
        <w:tc>
          <w:tcPr>
            <w:tcW w:w="992" w:type="dxa"/>
          </w:tcPr>
          <w:p w:rsidR="00BE0A2F" w:rsidRPr="00610401" w:rsidRDefault="00BE0A2F" w:rsidP="00BE0A2F">
            <w:pPr>
              <w:spacing w:before="20" w:after="20"/>
              <w:jc w:val="right"/>
              <w:rPr>
                <w:noProof/>
                <w:color w:val="000000" w:themeColor="text1"/>
                <w:sz w:val="20"/>
              </w:rPr>
            </w:pPr>
          </w:p>
        </w:tc>
        <w:tc>
          <w:tcPr>
            <w:tcW w:w="1172" w:type="dxa"/>
          </w:tcPr>
          <w:p w:rsidR="00BE0A2F" w:rsidRPr="00610401" w:rsidRDefault="00BE0A2F" w:rsidP="00BE0A2F">
            <w:pPr>
              <w:spacing w:before="20" w:after="20"/>
              <w:jc w:val="right"/>
              <w:rPr>
                <w:noProof/>
                <w:color w:val="000000" w:themeColor="text1"/>
                <w:sz w:val="20"/>
              </w:rPr>
            </w:pPr>
          </w:p>
        </w:tc>
        <w:tc>
          <w:tcPr>
            <w:tcW w:w="944" w:type="dxa"/>
            <w:vAlign w:val="center"/>
          </w:tcPr>
          <w:p w:rsidR="00BE0A2F" w:rsidRPr="00610401" w:rsidRDefault="00BE0A2F" w:rsidP="00BE0A2F">
            <w:pPr>
              <w:spacing w:before="20" w:after="20"/>
              <w:jc w:val="right"/>
              <w:rPr>
                <w:noProof/>
                <w:color w:val="000000" w:themeColor="text1"/>
                <w:sz w:val="20"/>
              </w:rPr>
            </w:pPr>
          </w:p>
        </w:tc>
        <w:tc>
          <w:tcPr>
            <w:tcW w:w="944" w:type="dxa"/>
            <w:vAlign w:val="center"/>
          </w:tcPr>
          <w:p w:rsidR="00BE0A2F" w:rsidRPr="00610401" w:rsidRDefault="00BE0A2F" w:rsidP="00BE0A2F">
            <w:pPr>
              <w:spacing w:before="20" w:after="20"/>
              <w:jc w:val="right"/>
              <w:rPr>
                <w:noProof/>
                <w:color w:val="000000" w:themeColor="text1"/>
                <w:sz w:val="20"/>
              </w:rPr>
            </w:pPr>
          </w:p>
        </w:tc>
        <w:tc>
          <w:tcPr>
            <w:tcW w:w="944" w:type="dxa"/>
            <w:vAlign w:val="center"/>
          </w:tcPr>
          <w:p w:rsidR="00BE0A2F" w:rsidRPr="00610401" w:rsidRDefault="00BE0A2F" w:rsidP="00BE0A2F">
            <w:pPr>
              <w:spacing w:before="20" w:after="20"/>
              <w:jc w:val="right"/>
              <w:rPr>
                <w:noProof/>
                <w:color w:val="000000" w:themeColor="text1"/>
                <w:sz w:val="20"/>
              </w:rPr>
            </w:pPr>
          </w:p>
        </w:tc>
        <w:tc>
          <w:tcPr>
            <w:tcW w:w="944" w:type="dxa"/>
            <w:vAlign w:val="center"/>
          </w:tcPr>
          <w:p w:rsidR="00BE0A2F" w:rsidRPr="00610401" w:rsidRDefault="00BE0A2F" w:rsidP="00BE0A2F">
            <w:pPr>
              <w:spacing w:before="20" w:after="20"/>
              <w:jc w:val="right"/>
              <w:rPr>
                <w:noProof/>
                <w:color w:val="000000" w:themeColor="text1"/>
                <w:sz w:val="20"/>
              </w:rPr>
            </w:pPr>
          </w:p>
        </w:tc>
        <w:tc>
          <w:tcPr>
            <w:tcW w:w="1934" w:type="dxa"/>
            <w:vAlign w:val="center"/>
          </w:tcPr>
          <w:p w:rsidR="00BE0A2F" w:rsidRPr="00610401" w:rsidRDefault="00BE0A2F" w:rsidP="00BE0A2F">
            <w:pPr>
              <w:spacing w:before="20" w:after="20"/>
              <w:jc w:val="right"/>
              <w:rPr>
                <w:b/>
                <w:noProof/>
                <w:color w:val="000000" w:themeColor="text1"/>
                <w:sz w:val="20"/>
              </w:rPr>
            </w:pPr>
          </w:p>
        </w:tc>
      </w:tr>
      <w:tr w:rsidR="00BE0A2F" w:rsidRPr="00610401" w:rsidTr="00B0251E">
        <w:trPr>
          <w:trHeight w:val="229"/>
        </w:trPr>
        <w:tc>
          <w:tcPr>
            <w:tcW w:w="5670" w:type="dxa"/>
            <w:gridSpan w:val="3"/>
            <w:vAlign w:val="center"/>
          </w:tcPr>
          <w:p w:rsidR="00BE0A2F" w:rsidRPr="00610401" w:rsidRDefault="00BE0A2F" w:rsidP="00BE0A2F">
            <w:pPr>
              <w:spacing w:before="20" w:after="20"/>
              <w:rPr>
                <w:noProof/>
                <w:color w:val="000000" w:themeColor="text1"/>
              </w:rPr>
            </w:pPr>
            <w:r w:rsidRPr="00610401">
              <w:rPr>
                <w:noProof/>
                <w:color w:val="000000" w:themeColor="text1"/>
                <w:sz w:val="21"/>
              </w:rPr>
              <w:t>Środki administracyjne finansowane ze środków przydzielonych na określone programy</w:t>
            </w:r>
            <w:r w:rsidRPr="00610401">
              <w:rPr>
                <w:rStyle w:val="FootnoteReference"/>
                <w:noProof/>
              </w:rPr>
              <w:footnoteReference w:id="121"/>
            </w:r>
            <w:r w:rsidRPr="00610401">
              <w:rPr>
                <w:noProof/>
                <w:color w:val="000000" w:themeColor="text1"/>
                <w:sz w:val="21"/>
              </w:rPr>
              <w:t xml:space="preserve"> </w:t>
            </w:r>
          </w:p>
          <w:p w:rsidR="00BE0A2F" w:rsidRPr="00610401" w:rsidRDefault="00BE0A2F" w:rsidP="00BE0A2F">
            <w:pPr>
              <w:spacing w:before="0" w:after="0"/>
              <w:rPr>
                <w:noProof/>
                <w:color w:val="000000" w:themeColor="text1"/>
              </w:rPr>
            </w:pPr>
          </w:p>
        </w:tc>
        <w:tc>
          <w:tcPr>
            <w:tcW w:w="992" w:type="dxa"/>
          </w:tcPr>
          <w:p w:rsidR="00BE0A2F" w:rsidRPr="00610401" w:rsidRDefault="00BE0A2F" w:rsidP="00BE0A2F">
            <w:pPr>
              <w:rPr>
                <w:b/>
                <w:noProof/>
                <w:color w:val="000000" w:themeColor="text1"/>
                <w:sz w:val="20"/>
              </w:rPr>
            </w:pPr>
          </w:p>
        </w:tc>
        <w:tc>
          <w:tcPr>
            <w:tcW w:w="1172" w:type="dxa"/>
          </w:tcPr>
          <w:p w:rsidR="00BE0A2F" w:rsidRPr="00610401" w:rsidRDefault="00BE0A2F" w:rsidP="00BE0A2F">
            <w:pPr>
              <w:rPr>
                <w:b/>
                <w:noProof/>
                <w:color w:val="000000" w:themeColor="text1"/>
                <w:sz w:val="20"/>
              </w:rPr>
            </w:pPr>
          </w:p>
        </w:tc>
        <w:tc>
          <w:tcPr>
            <w:tcW w:w="944" w:type="dxa"/>
            <w:vAlign w:val="center"/>
          </w:tcPr>
          <w:p w:rsidR="00BE0A2F" w:rsidRPr="00610401" w:rsidRDefault="00BE0A2F" w:rsidP="00BE0A2F">
            <w:pPr>
              <w:rPr>
                <w:b/>
                <w:noProof/>
                <w:color w:val="000000" w:themeColor="text1"/>
                <w:sz w:val="20"/>
              </w:rPr>
            </w:pPr>
          </w:p>
        </w:tc>
        <w:tc>
          <w:tcPr>
            <w:tcW w:w="944" w:type="dxa"/>
            <w:vAlign w:val="center"/>
          </w:tcPr>
          <w:p w:rsidR="00BE0A2F" w:rsidRPr="00610401" w:rsidRDefault="00BE0A2F" w:rsidP="00BE0A2F">
            <w:pPr>
              <w:rPr>
                <w:b/>
                <w:noProof/>
                <w:color w:val="000000" w:themeColor="text1"/>
                <w:sz w:val="20"/>
              </w:rPr>
            </w:pPr>
          </w:p>
        </w:tc>
        <w:tc>
          <w:tcPr>
            <w:tcW w:w="944" w:type="dxa"/>
            <w:vAlign w:val="center"/>
          </w:tcPr>
          <w:p w:rsidR="00BE0A2F" w:rsidRPr="00610401" w:rsidRDefault="00BE0A2F" w:rsidP="00BE0A2F">
            <w:pPr>
              <w:rPr>
                <w:b/>
                <w:noProof/>
                <w:color w:val="000000" w:themeColor="text1"/>
                <w:sz w:val="20"/>
              </w:rPr>
            </w:pPr>
          </w:p>
        </w:tc>
        <w:tc>
          <w:tcPr>
            <w:tcW w:w="944" w:type="dxa"/>
            <w:vAlign w:val="center"/>
          </w:tcPr>
          <w:p w:rsidR="00BE0A2F" w:rsidRPr="00610401" w:rsidRDefault="00BE0A2F" w:rsidP="00BE0A2F">
            <w:pPr>
              <w:rPr>
                <w:b/>
                <w:noProof/>
                <w:color w:val="000000" w:themeColor="text1"/>
                <w:sz w:val="20"/>
              </w:rPr>
            </w:pPr>
          </w:p>
        </w:tc>
        <w:tc>
          <w:tcPr>
            <w:tcW w:w="1934" w:type="dxa"/>
            <w:vAlign w:val="center"/>
          </w:tcPr>
          <w:p w:rsidR="00BE0A2F" w:rsidRPr="00610401" w:rsidRDefault="00BE0A2F" w:rsidP="00BE0A2F">
            <w:pPr>
              <w:rPr>
                <w:b/>
                <w:noProof/>
                <w:color w:val="000000" w:themeColor="text1"/>
                <w:sz w:val="20"/>
              </w:rPr>
            </w:pPr>
          </w:p>
        </w:tc>
      </w:tr>
      <w:tr w:rsidR="00BE0A2F" w:rsidRPr="00610401" w:rsidTr="00B0251E">
        <w:trPr>
          <w:trHeight w:val="316"/>
        </w:trPr>
        <w:tc>
          <w:tcPr>
            <w:tcW w:w="3260" w:type="dxa"/>
            <w:vAlign w:val="center"/>
          </w:tcPr>
          <w:p w:rsidR="00BE0A2F" w:rsidRPr="00610401" w:rsidRDefault="00BE0A2F" w:rsidP="00BE0A2F">
            <w:pPr>
              <w:spacing w:before="60" w:after="60"/>
              <w:rPr>
                <w:noProof/>
                <w:color w:val="000000" w:themeColor="text1"/>
              </w:rPr>
            </w:pPr>
            <w:r w:rsidRPr="00610401">
              <w:rPr>
                <w:noProof/>
                <w:color w:val="000000" w:themeColor="text1"/>
                <w:sz w:val="20"/>
              </w:rPr>
              <w:t>Linia budżetowa</w:t>
            </w:r>
          </w:p>
        </w:tc>
        <w:tc>
          <w:tcPr>
            <w:tcW w:w="1276" w:type="dxa"/>
            <w:vAlign w:val="center"/>
          </w:tcPr>
          <w:p w:rsidR="00BE0A2F" w:rsidRPr="00610401" w:rsidRDefault="00BE0A2F" w:rsidP="00BE0A2F">
            <w:pPr>
              <w:spacing w:before="40" w:after="40"/>
              <w:jc w:val="right"/>
              <w:rPr>
                <w:noProof/>
                <w:color w:val="000000" w:themeColor="text1"/>
                <w:sz w:val="18"/>
              </w:rPr>
            </w:pPr>
          </w:p>
        </w:tc>
        <w:tc>
          <w:tcPr>
            <w:tcW w:w="1134" w:type="dxa"/>
            <w:vAlign w:val="center"/>
          </w:tcPr>
          <w:p w:rsidR="00BE0A2F" w:rsidRPr="00610401" w:rsidRDefault="00BE0A2F" w:rsidP="00BE0A2F">
            <w:pPr>
              <w:spacing w:before="40" w:after="40"/>
              <w:jc w:val="center"/>
              <w:rPr>
                <w:noProof/>
                <w:color w:val="000000" w:themeColor="text1"/>
                <w:sz w:val="14"/>
              </w:rPr>
            </w:pPr>
            <w:r w:rsidRPr="00610401">
              <w:rPr>
                <w:noProof/>
                <w:color w:val="000000" w:themeColor="text1"/>
                <w:sz w:val="14"/>
              </w:rPr>
              <w:t>(3)</w:t>
            </w:r>
          </w:p>
        </w:tc>
        <w:tc>
          <w:tcPr>
            <w:tcW w:w="992" w:type="dxa"/>
          </w:tcPr>
          <w:p w:rsidR="00BE0A2F" w:rsidRPr="00610401" w:rsidRDefault="00BE0A2F" w:rsidP="00BE0A2F">
            <w:pPr>
              <w:spacing w:before="40" w:after="40"/>
              <w:jc w:val="right"/>
              <w:rPr>
                <w:b/>
                <w:noProof/>
                <w:color w:val="000000" w:themeColor="text1"/>
                <w:sz w:val="20"/>
              </w:rPr>
            </w:pPr>
          </w:p>
        </w:tc>
        <w:tc>
          <w:tcPr>
            <w:tcW w:w="1172" w:type="dxa"/>
          </w:tcPr>
          <w:p w:rsidR="00BE0A2F" w:rsidRPr="00610401" w:rsidRDefault="00BE0A2F" w:rsidP="00BE0A2F">
            <w:pPr>
              <w:spacing w:before="40" w:after="40"/>
              <w:jc w:val="right"/>
              <w:rPr>
                <w:b/>
                <w:noProof/>
                <w:color w:val="000000" w:themeColor="text1"/>
                <w:sz w:val="20"/>
              </w:rPr>
            </w:pPr>
          </w:p>
        </w:tc>
        <w:tc>
          <w:tcPr>
            <w:tcW w:w="944" w:type="dxa"/>
            <w:vAlign w:val="center"/>
          </w:tcPr>
          <w:p w:rsidR="00BE0A2F" w:rsidRPr="00610401" w:rsidRDefault="00BE0A2F" w:rsidP="00BE0A2F">
            <w:pPr>
              <w:spacing w:before="40" w:after="40"/>
              <w:jc w:val="right"/>
              <w:rPr>
                <w:b/>
                <w:noProof/>
                <w:color w:val="000000" w:themeColor="text1"/>
                <w:sz w:val="20"/>
              </w:rPr>
            </w:pPr>
          </w:p>
        </w:tc>
        <w:tc>
          <w:tcPr>
            <w:tcW w:w="944" w:type="dxa"/>
            <w:vAlign w:val="center"/>
          </w:tcPr>
          <w:p w:rsidR="00BE0A2F" w:rsidRPr="00610401" w:rsidRDefault="00BE0A2F" w:rsidP="00BE0A2F">
            <w:pPr>
              <w:spacing w:before="40" w:after="40"/>
              <w:jc w:val="right"/>
              <w:rPr>
                <w:b/>
                <w:noProof/>
                <w:color w:val="000000" w:themeColor="text1"/>
                <w:sz w:val="20"/>
              </w:rPr>
            </w:pPr>
          </w:p>
        </w:tc>
        <w:tc>
          <w:tcPr>
            <w:tcW w:w="944" w:type="dxa"/>
            <w:vAlign w:val="center"/>
          </w:tcPr>
          <w:p w:rsidR="00BE0A2F" w:rsidRPr="00610401" w:rsidRDefault="00BE0A2F" w:rsidP="00BE0A2F">
            <w:pPr>
              <w:spacing w:before="40" w:after="40"/>
              <w:jc w:val="right"/>
              <w:rPr>
                <w:b/>
                <w:noProof/>
                <w:color w:val="000000" w:themeColor="text1"/>
                <w:sz w:val="20"/>
              </w:rPr>
            </w:pPr>
          </w:p>
        </w:tc>
        <w:tc>
          <w:tcPr>
            <w:tcW w:w="944" w:type="dxa"/>
            <w:vAlign w:val="center"/>
          </w:tcPr>
          <w:p w:rsidR="00BE0A2F" w:rsidRPr="00610401" w:rsidRDefault="00BE0A2F" w:rsidP="00BE0A2F">
            <w:pPr>
              <w:spacing w:before="40" w:after="40"/>
              <w:jc w:val="right"/>
              <w:rPr>
                <w:b/>
                <w:noProof/>
                <w:color w:val="000000" w:themeColor="text1"/>
                <w:sz w:val="20"/>
              </w:rPr>
            </w:pPr>
          </w:p>
        </w:tc>
        <w:tc>
          <w:tcPr>
            <w:tcW w:w="1934" w:type="dxa"/>
            <w:vAlign w:val="center"/>
          </w:tcPr>
          <w:p w:rsidR="00BE0A2F" w:rsidRPr="00610401" w:rsidRDefault="00BE0A2F" w:rsidP="00BE0A2F">
            <w:pPr>
              <w:spacing w:before="40" w:after="40"/>
              <w:jc w:val="right"/>
              <w:rPr>
                <w:b/>
                <w:noProof/>
                <w:color w:val="000000" w:themeColor="text1"/>
                <w:sz w:val="20"/>
              </w:rPr>
            </w:pPr>
          </w:p>
        </w:tc>
      </w:tr>
      <w:tr w:rsidR="00BE0A2F" w:rsidRPr="00610401" w:rsidTr="00B0251E">
        <w:trPr>
          <w:trHeight w:val="566"/>
        </w:trPr>
        <w:tc>
          <w:tcPr>
            <w:tcW w:w="3260" w:type="dxa"/>
            <w:vMerge w:val="restart"/>
            <w:vAlign w:val="center"/>
          </w:tcPr>
          <w:p w:rsidR="00BE0A2F" w:rsidRPr="00610401" w:rsidRDefault="00BE0A2F" w:rsidP="00BE0A2F">
            <w:pPr>
              <w:jc w:val="center"/>
              <w:rPr>
                <w:b/>
                <w:noProof/>
                <w:color w:val="000000" w:themeColor="text1"/>
              </w:rPr>
            </w:pPr>
            <w:r w:rsidRPr="00610401">
              <w:rPr>
                <w:b/>
                <w:noProof/>
                <w:color w:val="000000" w:themeColor="text1"/>
                <w:sz w:val="22"/>
              </w:rPr>
              <w:t>OGÓŁEM środki</w:t>
            </w:r>
            <w:r w:rsidRPr="00610401">
              <w:rPr>
                <w:noProof/>
              </w:rPr>
              <w:t xml:space="preserve"> </w:t>
            </w:r>
            <w:r w:rsidRPr="00610401">
              <w:rPr>
                <w:noProof/>
              </w:rPr>
              <w:br/>
            </w:r>
            <w:r w:rsidRPr="00610401">
              <w:rPr>
                <w:b/>
                <w:noProof/>
                <w:color w:val="000000" w:themeColor="text1"/>
                <w:sz w:val="22"/>
              </w:rPr>
              <w:t>dla DG</w:t>
            </w:r>
            <w:r w:rsidRPr="00610401">
              <w:rPr>
                <w:noProof/>
                <w:color w:val="000000" w:themeColor="text1"/>
                <w:sz w:val="22"/>
              </w:rPr>
              <w:t xml:space="preserve"> </w:t>
            </w:r>
            <w:r w:rsidRPr="00610401">
              <w:rPr>
                <w:b/>
                <w:noProof/>
                <w:color w:val="000000" w:themeColor="text1"/>
                <w:sz w:val="22"/>
              </w:rPr>
              <w:t>ENV</w:t>
            </w:r>
          </w:p>
        </w:tc>
        <w:tc>
          <w:tcPr>
            <w:tcW w:w="1276" w:type="dxa"/>
            <w:vAlign w:val="center"/>
          </w:tcPr>
          <w:p w:rsidR="00BE0A2F" w:rsidRPr="00610401" w:rsidRDefault="00BE0A2F" w:rsidP="00BE0A2F">
            <w:pPr>
              <w:rPr>
                <w:noProof/>
                <w:color w:val="000000" w:themeColor="text1"/>
                <w:sz w:val="18"/>
              </w:rPr>
            </w:pPr>
            <w:r w:rsidRPr="00610401">
              <w:rPr>
                <w:noProof/>
                <w:color w:val="000000" w:themeColor="text1"/>
                <w:sz w:val="18"/>
              </w:rPr>
              <w:t>Środki na zobowiązania</w:t>
            </w:r>
          </w:p>
        </w:tc>
        <w:tc>
          <w:tcPr>
            <w:tcW w:w="1134" w:type="dxa"/>
            <w:vAlign w:val="center"/>
          </w:tcPr>
          <w:p w:rsidR="00BE0A2F" w:rsidRPr="00610401" w:rsidRDefault="00BE0A2F" w:rsidP="00BE0A2F">
            <w:pPr>
              <w:jc w:val="center"/>
              <w:rPr>
                <w:noProof/>
                <w:color w:val="000000" w:themeColor="text1"/>
                <w:sz w:val="14"/>
              </w:rPr>
            </w:pPr>
            <w:r w:rsidRPr="00610401">
              <w:rPr>
                <w:noProof/>
                <w:color w:val="000000" w:themeColor="text1"/>
                <w:sz w:val="14"/>
              </w:rPr>
              <w:t>=1a + 1b + 3</w:t>
            </w:r>
          </w:p>
        </w:tc>
        <w:tc>
          <w:tcPr>
            <w:tcW w:w="992"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0,950</w:t>
            </w:r>
          </w:p>
        </w:tc>
        <w:tc>
          <w:tcPr>
            <w:tcW w:w="1172"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0,950</w:t>
            </w:r>
          </w:p>
        </w:tc>
        <w:tc>
          <w:tcPr>
            <w:tcW w:w="944"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0,950</w:t>
            </w:r>
          </w:p>
        </w:tc>
        <w:tc>
          <w:tcPr>
            <w:tcW w:w="944"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1,250</w:t>
            </w:r>
          </w:p>
        </w:tc>
        <w:tc>
          <w:tcPr>
            <w:tcW w:w="944"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1,250</w:t>
            </w:r>
          </w:p>
        </w:tc>
        <w:tc>
          <w:tcPr>
            <w:tcW w:w="944"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1,250</w:t>
            </w:r>
          </w:p>
        </w:tc>
        <w:tc>
          <w:tcPr>
            <w:tcW w:w="1934" w:type="dxa"/>
            <w:vAlign w:val="center"/>
          </w:tcPr>
          <w:p w:rsidR="00BE0A2F" w:rsidRPr="00610401" w:rsidRDefault="00BE0A2F" w:rsidP="00BE0A2F">
            <w:pPr>
              <w:spacing w:before="20" w:after="20"/>
              <w:jc w:val="right"/>
              <w:rPr>
                <w:b/>
                <w:noProof/>
                <w:color w:val="000000" w:themeColor="text1"/>
                <w:sz w:val="20"/>
              </w:rPr>
            </w:pPr>
            <w:r w:rsidRPr="00610401">
              <w:rPr>
                <w:b/>
                <w:noProof/>
                <w:color w:val="000000" w:themeColor="text1"/>
                <w:sz w:val="20"/>
              </w:rPr>
              <w:t>6,600</w:t>
            </w:r>
          </w:p>
        </w:tc>
      </w:tr>
      <w:tr w:rsidR="00BE0A2F" w:rsidRPr="00610401" w:rsidTr="00B0251E">
        <w:trPr>
          <w:trHeight w:val="670"/>
        </w:trPr>
        <w:tc>
          <w:tcPr>
            <w:tcW w:w="3260" w:type="dxa"/>
            <w:vMerge/>
          </w:tcPr>
          <w:p w:rsidR="00BE0A2F" w:rsidRPr="00610401" w:rsidRDefault="00BE0A2F" w:rsidP="00BE0A2F">
            <w:pPr>
              <w:rPr>
                <w:noProof/>
                <w:color w:val="000000" w:themeColor="text1"/>
                <w:sz w:val="20"/>
              </w:rPr>
            </w:pPr>
          </w:p>
        </w:tc>
        <w:tc>
          <w:tcPr>
            <w:tcW w:w="1276" w:type="dxa"/>
            <w:vAlign w:val="center"/>
          </w:tcPr>
          <w:p w:rsidR="00BE0A2F" w:rsidRPr="00610401" w:rsidRDefault="00BE0A2F" w:rsidP="00BE0A2F">
            <w:pPr>
              <w:rPr>
                <w:noProof/>
                <w:color w:val="000000" w:themeColor="text1"/>
                <w:sz w:val="18"/>
              </w:rPr>
            </w:pPr>
            <w:r w:rsidRPr="00610401">
              <w:rPr>
                <w:noProof/>
                <w:color w:val="000000" w:themeColor="text1"/>
                <w:sz w:val="18"/>
              </w:rPr>
              <w:t>Środki na płatności</w:t>
            </w:r>
          </w:p>
        </w:tc>
        <w:tc>
          <w:tcPr>
            <w:tcW w:w="1134" w:type="dxa"/>
            <w:vAlign w:val="center"/>
          </w:tcPr>
          <w:p w:rsidR="00BE0A2F" w:rsidRPr="00610401" w:rsidRDefault="00BE0A2F" w:rsidP="00BE0A2F">
            <w:pPr>
              <w:jc w:val="center"/>
              <w:rPr>
                <w:noProof/>
                <w:color w:val="000000" w:themeColor="text1"/>
                <w:sz w:val="14"/>
              </w:rPr>
            </w:pPr>
            <w:r w:rsidRPr="00610401">
              <w:rPr>
                <w:noProof/>
                <w:color w:val="000000" w:themeColor="text1"/>
                <w:sz w:val="14"/>
              </w:rPr>
              <w:t>=2a+2b</w:t>
            </w:r>
          </w:p>
          <w:p w:rsidR="00BE0A2F" w:rsidRPr="00610401" w:rsidRDefault="00BE0A2F" w:rsidP="00BE0A2F">
            <w:pPr>
              <w:jc w:val="center"/>
              <w:rPr>
                <w:noProof/>
                <w:color w:val="000000" w:themeColor="text1"/>
                <w:sz w:val="14"/>
              </w:rPr>
            </w:pPr>
            <w:r w:rsidRPr="00610401">
              <w:rPr>
                <w:noProof/>
                <w:color w:val="000000" w:themeColor="text1"/>
                <w:sz w:val="14"/>
              </w:rPr>
              <w:t>+3</w:t>
            </w:r>
          </w:p>
        </w:tc>
        <w:tc>
          <w:tcPr>
            <w:tcW w:w="992"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0,950</w:t>
            </w:r>
          </w:p>
        </w:tc>
        <w:tc>
          <w:tcPr>
            <w:tcW w:w="1172"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0,950</w:t>
            </w:r>
          </w:p>
        </w:tc>
        <w:tc>
          <w:tcPr>
            <w:tcW w:w="944"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0,950</w:t>
            </w:r>
          </w:p>
        </w:tc>
        <w:tc>
          <w:tcPr>
            <w:tcW w:w="944"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1,250</w:t>
            </w:r>
          </w:p>
        </w:tc>
        <w:tc>
          <w:tcPr>
            <w:tcW w:w="944"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1,250</w:t>
            </w:r>
          </w:p>
        </w:tc>
        <w:tc>
          <w:tcPr>
            <w:tcW w:w="944"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18"/>
              </w:rPr>
              <w:t>1,250</w:t>
            </w:r>
          </w:p>
        </w:tc>
        <w:tc>
          <w:tcPr>
            <w:tcW w:w="1934" w:type="dxa"/>
            <w:vAlign w:val="center"/>
          </w:tcPr>
          <w:p w:rsidR="00BE0A2F" w:rsidRPr="00610401" w:rsidRDefault="00BE0A2F" w:rsidP="00BE0A2F">
            <w:pPr>
              <w:spacing w:before="20" w:after="20"/>
              <w:jc w:val="right"/>
              <w:rPr>
                <w:b/>
                <w:noProof/>
                <w:color w:val="000000" w:themeColor="text1"/>
                <w:sz w:val="20"/>
              </w:rPr>
            </w:pPr>
            <w:r w:rsidRPr="00610401">
              <w:rPr>
                <w:b/>
                <w:noProof/>
                <w:color w:val="000000" w:themeColor="text1"/>
                <w:sz w:val="20"/>
              </w:rPr>
              <w:t>6,600</w:t>
            </w:r>
          </w:p>
        </w:tc>
      </w:tr>
    </w:tbl>
    <w:p w:rsidR="00BE0A2F" w:rsidRPr="00610401" w:rsidRDefault="00BE0A2F" w:rsidP="00BE0A2F">
      <w:pPr>
        <w:rPr>
          <w:noProof/>
          <w:color w:val="000000" w:themeColor="text1"/>
        </w:rPr>
      </w:pPr>
      <w:r w:rsidRPr="00610401">
        <w:rPr>
          <w:noProof/>
        </w:rPr>
        <w:t xml:space="preserve"> </w:t>
      </w:r>
      <w:r w:rsidRPr="00610401">
        <w:rPr>
          <w:noProof/>
        </w:rPr>
        <w:br/>
      </w:r>
    </w:p>
    <w:p w:rsidR="00BE0A2F" w:rsidRPr="00610401" w:rsidRDefault="00BE0A2F" w:rsidP="00BE0A2F">
      <w:pPr>
        <w:rPr>
          <w:noProof/>
          <w:color w:val="000000" w:themeColor="text1"/>
          <w:sz w:val="22"/>
        </w:rPr>
      </w:pPr>
      <w:r w:rsidRPr="00610401">
        <w:rPr>
          <w:noProof/>
          <w:color w:val="000000" w:themeColor="text1"/>
          <w:sz w:val="22"/>
        </w:rPr>
        <w:t>Kwota ujęta powyżej będzie potrzebna na wsparcie różnych zadań wykonawczych związanych</w:t>
      </w:r>
      <w:r w:rsidR="00610401" w:rsidRPr="00610401">
        <w:rPr>
          <w:noProof/>
          <w:color w:val="000000" w:themeColor="text1"/>
          <w:sz w:val="22"/>
        </w:rPr>
        <w:t xml:space="preserve"> z prz</w:t>
      </w:r>
      <w:r w:rsidRPr="00610401">
        <w:rPr>
          <w:noProof/>
          <w:color w:val="000000" w:themeColor="text1"/>
          <w:sz w:val="22"/>
        </w:rPr>
        <w:t xml:space="preserve">episami prawnymi, które będą realizowane przez DG ENV i JRC. </w:t>
      </w:r>
    </w:p>
    <w:p w:rsidR="00BE0A2F" w:rsidRPr="00610401" w:rsidRDefault="00BE0A2F" w:rsidP="00BE0A2F">
      <w:pPr>
        <w:rPr>
          <w:noProof/>
          <w:color w:val="000000" w:themeColor="text1"/>
          <w:sz w:val="22"/>
        </w:rPr>
      </w:pPr>
      <w:r w:rsidRPr="00610401">
        <w:rPr>
          <w:noProof/>
          <w:color w:val="000000" w:themeColor="text1"/>
          <w:sz w:val="22"/>
        </w:rPr>
        <w:t>Działania będące przedmiotem zamówienia obejmują umowę</w:t>
      </w:r>
      <w:r w:rsidR="00610401" w:rsidRPr="00610401">
        <w:rPr>
          <w:noProof/>
          <w:color w:val="000000" w:themeColor="text1"/>
          <w:sz w:val="22"/>
        </w:rPr>
        <w:t xml:space="preserve"> w spr</w:t>
      </w:r>
      <w:r w:rsidRPr="00610401">
        <w:rPr>
          <w:noProof/>
          <w:color w:val="000000" w:themeColor="text1"/>
          <w:sz w:val="22"/>
        </w:rPr>
        <w:t>awie wsparcia ogólnego na potrzeby wdrażania aktu</w:t>
      </w:r>
      <w:r w:rsidR="00610401" w:rsidRPr="00610401">
        <w:rPr>
          <w:noProof/>
          <w:color w:val="000000" w:themeColor="text1"/>
          <w:sz w:val="22"/>
        </w:rPr>
        <w:t xml:space="preserve"> o odb</w:t>
      </w:r>
      <w:r w:rsidRPr="00610401">
        <w:rPr>
          <w:noProof/>
          <w:color w:val="000000" w:themeColor="text1"/>
          <w:sz w:val="22"/>
        </w:rPr>
        <w:t>udowie zasobów przyrodniczych oraz umowy</w:t>
      </w:r>
      <w:r w:rsidR="00610401" w:rsidRPr="00610401">
        <w:rPr>
          <w:noProof/>
          <w:color w:val="000000" w:themeColor="text1"/>
          <w:sz w:val="22"/>
        </w:rPr>
        <w:t xml:space="preserve"> w spr</w:t>
      </w:r>
      <w:r w:rsidRPr="00610401">
        <w:rPr>
          <w:noProof/>
          <w:color w:val="000000" w:themeColor="text1"/>
          <w:sz w:val="22"/>
        </w:rPr>
        <w:t>awie wsparcia przy przeprowadzaniu oceny skutków służące określeniu nowych celów</w:t>
      </w:r>
      <w:r w:rsidR="00610401" w:rsidRPr="00610401">
        <w:rPr>
          <w:noProof/>
          <w:color w:val="000000" w:themeColor="text1"/>
          <w:sz w:val="22"/>
        </w:rPr>
        <w:t xml:space="preserve"> w zak</w:t>
      </w:r>
      <w:r w:rsidRPr="00610401">
        <w:rPr>
          <w:noProof/>
          <w:color w:val="000000" w:themeColor="text1"/>
          <w:sz w:val="22"/>
        </w:rPr>
        <w:t>resie odbudowy.</w:t>
      </w:r>
    </w:p>
    <w:p w:rsidR="00BE0A2F" w:rsidRPr="00610401" w:rsidRDefault="00BE0A2F" w:rsidP="00BE0A2F">
      <w:pPr>
        <w:rPr>
          <w:noProof/>
          <w:color w:val="000000" w:themeColor="text1"/>
          <w:sz w:val="22"/>
        </w:rPr>
      </w:pPr>
      <w:r w:rsidRPr="00610401">
        <w:rPr>
          <w:noProof/>
          <w:color w:val="000000" w:themeColor="text1"/>
          <w:sz w:val="22"/>
        </w:rPr>
        <w:t>Ponadto</w:t>
      </w:r>
      <w:r w:rsidR="00610401" w:rsidRPr="00610401">
        <w:rPr>
          <w:noProof/>
          <w:color w:val="000000" w:themeColor="text1"/>
          <w:sz w:val="22"/>
        </w:rPr>
        <w:t xml:space="preserve"> w tej</w:t>
      </w:r>
      <w:r w:rsidRPr="00610401">
        <w:rPr>
          <w:noProof/>
          <w:color w:val="000000" w:themeColor="text1"/>
          <w:sz w:val="22"/>
        </w:rPr>
        <w:t xml:space="preserve"> kategorii uwzględniono porozumienie lub porozumienia administracyjne z JRC,</w:t>
      </w:r>
      <w:r w:rsidR="00610401" w:rsidRPr="00610401">
        <w:rPr>
          <w:noProof/>
          <w:color w:val="000000" w:themeColor="text1"/>
          <w:sz w:val="22"/>
        </w:rPr>
        <w:t xml:space="preserve"> w szc</w:t>
      </w:r>
      <w:r w:rsidRPr="00610401">
        <w:rPr>
          <w:noProof/>
          <w:color w:val="000000" w:themeColor="text1"/>
          <w:sz w:val="22"/>
        </w:rPr>
        <w:t>zególności dotyczące ustanowienia metody monitorowania, wskaźników</w:t>
      </w:r>
      <w:r w:rsidR="00610401" w:rsidRPr="00610401">
        <w:rPr>
          <w:noProof/>
          <w:color w:val="000000" w:themeColor="text1"/>
          <w:sz w:val="22"/>
        </w:rPr>
        <w:t xml:space="preserve"> i oce</w:t>
      </w:r>
      <w:r w:rsidRPr="00610401">
        <w:rPr>
          <w:noProof/>
          <w:color w:val="000000" w:themeColor="text1"/>
          <w:sz w:val="22"/>
        </w:rPr>
        <w:t>ny dobrego stanu</w:t>
      </w:r>
      <w:r w:rsidR="00610401" w:rsidRPr="00610401">
        <w:rPr>
          <w:noProof/>
          <w:color w:val="000000" w:themeColor="text1"/>
          <w:sz w:val="22"/>
        </w:rPr>
        <w:t xml:space="preserve"> w kon</w:t>
      </w:r>
      <w:r w:rsidRPr="00610401">
        <w:rPr>
          <w:noProof/>
          <w:color w:val="000000" w:themeColor="text1"/>
          <w:sz w:val="22"/>
        </w:rPr>
        <w:t>tekście celów</w:t>
      </w:r>
      <w:r w:rsidR="00610401" w:rsidRPr="00610401">
        <w:rPr>
          <w:noProof/>
          <w:color w:val="000000" w:themeColor="text1"/>
          <w:sz w:val="22"/>
        </w:rPr>
        <w:t xml:space="preserve"> w zak</w:t>
      </w:r>
      <w:r w:rsidRPr="00610401">
        <w:rPr>
          <w:noProof/>
          <w:color w:val="000000" w:themeColor="text1"/>
          <w:sz w:val="22"/>
        </w:rPr>
        <w:t>resie odbudowy,</w:t>
      </w:r>
      <w:r w:rsidR="00610401" w:rsidRPr="00610401">
        <w:rPr>
          <w:noProof/>
          <w:color w:val="000000" w:themeColor="text1"/>
          <w:sz w:val="22"/>
        </w:rPr>
        <w:t xml:space="preserve"> w odn</w:t>
      </w:r>
      <w:r w:rsidRPr="00610401">
        <w:rPr>
          <w:noProof/>
          <w:color w:val="000000" w:themeColor="text1"/>
          <w:sz w:val="22"/>
        </w:rPr>
        <w:t>iesieniu do których takie metody jeszcze nie istnieją,</w:t>
      </w:r>
      <w:r w:rsidR="00610401" w:rsidRPr="00610401">
        <w:rPr>
          <w:noProof/>
          <w:color w:val="000000" w:themeColor="text1"/>
          <w:sz w:val="22"/>
        </w:rPr>
        <w:t xml:space="preserve"> a tak</w:t>
      </w:r>
      <w:r w:rsidRPr="00610401">
        <w:rPr>
          <w:noProof/>
          <w:color w:val="000000" w:themeColor="text1"/>
          <w:sz w:val="22"/>
        </w:rPr>
        <w:t>że przygotowań</w:t>
      </w:r>
      <w:r w:rsidR="00610401" w:rsidRPr="00610401">
        <w:rPr>
          <w:noProof/>
          <w:color w:val="000000" w:themeColor="text1"/>
          <w:sz w:val="22"/>
        </w:rPr>
        <w:t xml:space="preserve"> i wsp</w:t>
      </w:r>
      <w:r w:rsidRPr="00610401">
        <w:rPr>
          <w:noProof/>
          <w:color w:val="000000" w:themeColor="text1"/>
          <w:sz w:val="22"/>
        </w:rPr>
        <w:t>arcia na potrzeby tworzenia systemu monitorowania niektórych celów.</w:t>
      </w:r>
    </w:p>
    <w:p w:rsidR="00BE0A2F" w:rsidRPr="00610401" w:rsidRDefault="00BE0A2F" w:rsidP="00BE0A2F">
      <w:pPr>
        <w:jc w:val="left"/>
        <w:rPr>
          <w:noProof/>
          <w:color w:val="000000" w:themeColor="text1"/>
          <w:sz w:val="22"/>
        </w:rPr>
      </w:pPr>
    </w:p>
    <w:tbl>
      <w:tblPr>
        <w:tblW w:w="14102" w:type="dxa"/>
        <w:tblInd w:w="118" w:type="dxa"/>
        <w:tblLook w:val="04A0" w:firstRow="1" w:lastRow="0" w:firstColumn="1" w:lastColumn="0" w:noHBand="0" w:noVBand="1"/>
      </w:tblPr>
      <w:tblGrid>
        <w:gridCol w:w="1231"/>
        <w:gridCol w:w="2421"/>
        <w:gridCol w:w="2674"/>
        <w:gridCol w:w="675"/>
        <w:gridCol w:w="1231"/>
        <w:gridCol w:w="1231"/>
        <w:gridCol w:w="1039"/>
        <w:gridCol w:w="1231"/>
        <w:gridCol w:w="1039"/>
        <w:gridCol w:w="1330"/>
      </w:tblGrid>
      <w:tr w:rsidR="00BE0A2F" w:rsidRPr="00610401" w:rsidTr="00BE0A2F">
        <w:trPr>
          <w:trHeight w:val="300"/>
        </w:trPr>
        <w:tc>
          <w:tcPr>
            <w:tcW w:w="1231" w:type="dxa"/>
            <w:tcBorders>
              <w:top w:val="single" w:sz="8" w:space="0" w:color="auto"/>
              <w:left w:val="single" w:sz="8" w:space="0" w:color="auto"/>
              <w:bottom w:val="single" w:sz="4" w:space="0" w:color="auto"/>
              <w:right w:val="single" w:sz="8" w:space="0" w:color="000000"/>
            </w:tcBorders>
          </w:tcPr>
          <w:p w:rsidR="00BE0A2F" w:rsidRPr="00610401" w:rsidRDefault="00BE0A2F" w:rsidP="00BE0A2F">
            <w:pPr>
              <w:spacing w:before="0" w:after="0"/>
              <w:jc w:val="center"/>
              <w:rPr>
                <w:rFonts w:ascii="Calibri" w:eastAsia="Times New Roman" w:hAnsi="Calibri" w:cs="Calibri"/>
                <w:b/>
                <w:bCs/>
                <w:noProof/>
                <w:color w:val="000000" w:themeColor="text1"/>
                <w:sz w:val="20"/>
                <w:szCs w:val="20"/>
                <w:lang w:eastAsia="zh-CN"/>
              </w:rPr>
            </w:pPr>
          </w:p>
        </w:tc>
        <w:tc>
          <w:tcPr>
            <w:tcW w:w="12871"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Wszystkie koszty</w:t>
            </w:r>
            <w:r w:rsidR="00610401" w:rsidRPr="00610401">
              <w:rPr>
                <w:rFonts w:ascii="Calibri" w:hAnsi="Calibri"/>
                <w:b/>
                <w:noProof/>
                <w:color w:val="000000" w:themeColor="text1"/>
                <w:sz w:val="20"/>
              </w:rPr>
              <w:t xml:space="preserve"> z wyj</w:t>
            </w:r>
            <w:r w:rsidRPr="00610401">
              <w:rPr>
                <w:rFonts w:ascii="Calibri" w:hAnsi="Calibri"/>
                <w:b/>
                <w:noProof/>
                <w:color w:val="000000" w:themeColor="text1"/>
                <w:sz w:val="20"/>
              </w:rPr>
              <w:t>ątkiem kosztów kadrowych</w:t>
            </w:r>
            <w:r w:rsidR="00610401" w:rsidRPr="00610401">
              <w:rPr>
                <w:rFonts w:ascii="Calibri" w:hAnsi="Calibri"/>
                <w:b/>
                <w:noProof/>
                <w:color w:val="000000" w:themeColor="text1"/>
                <w:sz w:val="20"/>
              </w:rPr>
              <w:t xml:space="preserve"> i adm</w:t>
            </w:r>
            <w:r w:rsidRPr="00610401">
              <w:rPr>
                <w:rFonts w:ascii="Calibri" w:hAnsi="Calibri"/>
                <w:b/>
                <w:noProof/>
                <w:color w:val="000000" w:themeColor="text1"/>
                <w:sz w:val="20"/>
              </w:rPr>
              <w:t xml:space="preserve">inistracyjnych                                                </w:t>
            </w:r>
            <w:r w:rsidRPr="00610401">
              <w:rPr>
                <w:rFonts w:ascii="Calibri" w:hAnsi="Calibri"/>
                <w:noProof/>
                <w:color w:val="000000" w:themeColor="text1"/>
                <w:sz w:val="20"/>
              </w:rPr>
              <w:t>(w mln EUR (do trzech miejsc po przecinku))</w:t>
            </w:r>
          </w:p>
        </w:tc>
      </w:tr>
      <w:tr w:rsidR="00BE0A2F" w:rsidRPr="00610401" w:rsidTr="00BE0A2F">
        <w:trPr>
          <w:trHeight w:val="300"/>
        </w:trPr>
        <w:tc>
          <w:tcPr>
            <w:tcW w:w="3652" w:type="dxa"/>
            <w:gridSpan w:val="2"/>
            <w:tcBorders>
              <w:top w:val="nil"/>
              <w:left w:val="single" w:sz="8" w:space="0" w:color="auto"/>
              <w:bottom w:val="single" w:sz="4" w:space="0" w:color="auto"/>
              <w:right w:val="nil"/>
            </w:tcBorders>
            <w:shd w:val="clear" w:color="auto" w:fill="auto"/>
            <w:noWrap/>
            <w:vAlign w:val="bottom"/>
            <w:hideMark/>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Zadania</w:t>
            </w:r>
          </w:p>
        </w:tc>
        <w:tc>
          <w:tcPr>
            <w:tcW w:w="2674" w:type="dxa"/>
            <w:tcBorders>
              <w:top w:val="nil"/>
              <w:left w:val="nil"/>
              <w:bottom w:val="single" w:sz="4" w:space="0" w:color="auto"/>
              <w:right w:val="nil"/>
            </w:tcBorders>
            <w:shd w:val="clear" w:color="auto" w:fill="auto"/>
            <w:noWrap/>
            <w:vAlign w:val="bottom"/>
            <w:hideMark/>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Zasoby</w:t>
            </w:r>
          </w:p>
        </w:tc>
        <w:tc>
          <w:tcPr>
            <w:tcW w:w="675" w:type="dxa"/>
            <w:tcBorders>
              <w:top w:val="nil"/>
              <w:left w:val="nil"/>
              <w:bottom w:val="single" w:sz="4" w:space="0" w:color="auto"/>
              <w:right w:val="nil"/>
            </w:tcBorders>
            <w:vAlign w:val="bottom"/>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2022</w:t>
            </w:r>
          </w:p>
        </w:tc>
        <w:tc>
          <w:tcPr>
            <w:tcW w:w="1231" w:type="dxa"/>
            <w:tcBorders>
              <w:top w:val="nil"/>
              <w:left w:val="nil"/>
              <w:bottom w:val="single" w:sz="4" w:space="0" w:color="auto"/>
              <w:right w:val="nil"/>
            </w:tcBorders>
            <w:shd w:val="clear" w:color="auto" w:fill="auto"/>
            <w:noWrap/>
            <w:vAlign w:val="bottom"/>
            <w:hideMark/>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2023</w:t>
            </w:r>
          </w:p>
        </w:tc>
        <w:tc>
          <w:tcPr>
            <w:tcW w:w="1231" w:type="dxa"/>
            <w:tcBorders>
              <w:top w:val="nil"/>
              <w:left w:val="nil"/>
              <w:bottom w:val="single" w:sz="4" w:space="0" w:color="auto"/>
              <w:right w:val="nil"/>
            </w:tcBorders>
            <w:shd w:val="clear" w:color="auto" w:fill="auto"/>
            <w:noWrap/>
            <w:vAlign w:val="bottom"/>
            <w:hideMark/>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2024</w:t>
            </w:r>
          </w:p>
        </w:tc>
        <w:tc>
          <w:tcPr>
            <w:tcW w:w="1039" w:type="dxa"/>
            <w:tcBorders>
              <w:top w:val="nil"/>
              <w:left w:val="nil"/>
              <w:bottom w:val="single" w:sz="4" w:space="0" w:color="auto"/>
              <w:right w:val="nil"/>
            </w:tcBorders>
            <w:shd w:val="clear" w:color="auto" w:fill="auto"/>
            <w:noWrap/>
            <w:vAlign w:val="bottom"/>
            <w:hideMark/>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2025</w:t>
            </w:r>
          </w:p>
        </w:tc>
        <w:tc>
          <w:tcPr>
            <w:tcW w:w="1231" w:type="dxa"/>
            <w:tcBorders>
              <w:top w:val="nil"/>
              <w:left w:val="nil"/>
              <w:bottom w:val="single" w:sz="4" w:space="0" w:color="auto"/>
              <w:right w:val="nil"/>
            </w:tcBorders>
            <w:shd w:val="clear" w:color="auto" w:fill="auto"/>
            <w:noWrap/>
            <w:vAlign w:val="bottom"/>
            <w:hideMark/>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2026</w:t>
            </w:r>
          </w:p>
        </w:tc>
        <w:tc>
          <w:tcPr>
            <w:tcW w:w="1039" w:type="dxa"/>
            <w:tcBorders>
              <w:top w:val="nil"/>
              <w:left w:val="nil"/>
              <w:bottom w:val="single" w:sz="4" w:space="0" w:color="auto"/>
              <w:right w:val="nil"/>
            </w:tcBorders>
            <w:shd w:val="clear" w:color="auto" w:fill="auto"/>
            <w:noWrap/>
            <w:vAlign w:val="bottom"/>
            <w:hideMark/>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2027</w:t>
            </w:r>
          </w:p>
        </w:tc>
        <w:tc>
          <w:tcPr>
            <w:tcW w:w="1330" w:type="dxa"/>
            <w:tcBorders>
              <w:top w:val="nil"/>
              <w:left w:val="nil"/>
              <w:bottom w:val="single" w:sz="4" w:space="0" w:color="auto"/>
              <w:right w:val="single" w:sz="8" w:space="0" w:color="auto"/>
            </w:tcBorders>
            <w:shd w:val="clear" w:color="auto" w:fill="auto"/>
            <w:noWrap/>
            <w:vAlign w:val="bottom"/>
            <w:hideMark/>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OGÓŁEM</w:t>
            </w:r>
          </w:p>
        </w:tc>
      </w:tr>
      <w:tr w:rsidR="00BE0A2F" w:rsidRPr="00610401" w:rsidTr="00BE0A2F">
        <w:trPr>
          <w:trHeight w:val="300"/>
        </w:trPr>
        <w:tc>
          <w:tcPr>
            <w:tcW w:w="3652" w:type="dxa"/>
            <w:gridSpan w:val="2"/>
            <w:tcBorders>
              <w:top w:val="nil"/>
              <w:left w:val="single" w:sz="8" w:space="0" w:color="auto"/>
              <w:bottom w:val="nil"/>
              <w:right w:val="nil"/>
            </w:tcBorders>
            <w:shd w:val="clear" w:color="auto" w:fill="F2F2F2" w:themeFill="background1" w:themeFillShade="F2"/>
            <w:noWrap/>
            <w:vAlign w:val="bottom"/>
          </w:tcPr>
          <w:p w:rsidR="00BE0A2F" w:rsidRPr="00610401" w:rsidRDefault="00BE0A2F" w:rsidP="00BE0A2F">
            <w:pPr>
              <w:spacing w:before="0" w:after="0"/>
              <w:jc w:val="left"/>
              <w:rPr>
                <w:rFonts w:ascii="Calibri" w:eastAsia="Times New Roman" w:hAnsi="Calibri" w:cs="Calibri"/>
                <w:noProof/>
                <w:color w:val="000000" w:themeColor="text1"/>
                <w:sz w:val="20"/>
                <w:szCs w:val="20"/>
                <w:lang w:eastAsia="zh-CN"/>
              </w:rPr>
            </w:pPr>
          </w:p>
        </w:tc>
        <w:tc>
          <w:tcPr>
            <w:tcW w:w="2674" w:type="dxa"/>
            <w:tcBorders>
              <w:top w:val="nil"/>
              <w:left w:val="nil"/>
              <w:bottom w:val="nil"/>
              <w:right w:val="nil"/>
            </w:tcBorders>
            <w:shd w:val="clear" w:color="auto" w:fill="F2F2F2" w:themeFill="background1" w:themeFillShade="F2"/>
            <w:noWrap/>
            <w:vAlign w:val="bottom"/>
          </w:tcPr>
          <w:p w:rsidR="00BE0A2F" w:rsidRPr="00610401" w:rsidRDefault="00BE0A2F" w:rsidP="00BE0A2F">
            <w:pPr>
              <w:spacing w:before="0" w:after="0"/>
              <w:jc w:val="left"/>
              <w:rPr>
                <w:rFonts w:ascii="Calibri" w:eastAsia="Times New Roman" w:hAnsi="Calibri" w:cs="Calibri"/>
                <w:noProof/>
                <w:color w:val="000000" w:themeColor="text1"/>
                <w:sz w:val="20"/>
                <w:szCs w:val="20"/>
                <w:lang w:eastAsia="zh-CN"/>
              </w:rPr>
            </w:pPr>
          </w:p>
        </w:tc>
        <w:tc>
          <w:tcPr>
            <w:tcW w:w="675" w:type="dxa"/>
            <w:tcBorders>
              <w:top w:val="nil"/>
              <w:left w:val="nil"/>
              <w:bottom w:val="nil"/>
              <w:right w:val="nil"/>
            </w:tcBorders>
            <w:shd w:val="clear" w:color="auto" w:fill="F2F2F2" w:themeFill="background1" w:themeFillShade="F2"/>
            <w:vAlign w:val="bottom"/>
          </w:tcPr>
          <w:p w:rsidR="00BE0A2F" w:rsidRPr="00610401"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nil"/>
              <w:right w:val="nil"/>
            </w:tcBorders>
            <w:shd w:val="clear" w:color="auto" w:fill="F2F2F2" w:themeFill="background1" w:themeFillShade="F2"/>
            <w:noWrap/>
            <w:vAlign w:val="bottom"/>
          </w:tcPr>
          <w:p w:rsidR="00BE0A2F" w:rsidRPr="00610401"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nil"/>
              <w:right w:val="nil"/>
            </w:tcBorders>
            <w:shd w:val="clear" w:color="auto" w:fill="F2F2F2" w:themeFill="background1" w:themeFillShade="F2"/>
            <w:noWrap/>
            <w:vAlign w:val="bottom"/>
          </w:tcPr>
          <w:p w:rsidR="00BE0A2F" w:rsidRPr="00610401"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039" w:type="dxa"/>
            <w:tcBorders>
              <w:top w:val="nil"/>
              <w:left w:val="nil"/>
              <w:bottom w:val="nil"/>
              <w:right w:val="nil"/>
            </w:tcBorders>
            <w:shd w:val="clear" w:color="auto" w:fill="F2F2F2" w:themeFill="background1" w:themeFillShade="F2"/>
            <w:noWrap/>
            <w:vAlign w:val="bottom"/>
          </w:tcPr>
          <w:p w:rsidR="00BE0A2F" w:rsidRPr="00610401"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nil"/>
              <w:right w:val="nil"/>
            </w:tcBorders>
            <w:shd w:val="clear" w:color="auto" w:fill="F2F2F2" w:themeFill="background1" w:themeFillShade="F2"/>
            <w:noWrap/>
            <w:vAlign w:val="bottom"/>
          </w:tcPr>
          <w:p w:rsidR="00BE0A2F" w:rsidRPr="00610401"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039" w:type="dxa"/>
            <w:tcBorders>
              <w:top w:val="nil"/>
              <w:left w:val="nil"/>
              <w:bottom w:val="nil"/>
              <w:right w:val="nil"/>
            </w:tcBorders>
            <w:shd w:val="clear" w:color="auto" w:fill="F2F2F2" w:themeFill="background1" w:themeFillShade="F2"/>
            <w:noWrap/>
            <w:vAlign w:val="bottom"/>
          </w:tcPr>
          <w:p w:rsidR="00BE0A2F" w:rsidRPr="00610401"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330" w:type="dxa"/>
            <w:tcBorders>
              <w:top w:val="nil"/>
              <w:left w:val="nil"/>
              <w:bottom w:val="nil"/>
              <w:right w:val="single" w:sz="8" w:space="0" w:color="auto"/>
            </w:tcBorders>
            <w:shd w:val="clear" w:color="auto" w:fill="F2F2F2" w:themeFill="background1" w:themeFillShade="F2"/>
            <w:noWrap/>
            <w:vAlign w:val="bottom"/>
          </w:tcPr>
          <w:p w:rsidR="00BE0A2F" w:rsidRPr="00610401" w:rsidRDefault="00BE0A2F" w:rsidP="00BE0A2F">
            <w:pPr>
              <w:spacing w:before="0" w:after="0"/>
              <w:jc w:val="center"/>
              <w:rPr>
                <w:rFonts w:ascii="Calibri" w:eastAsia="Times New Roman" w:hAnsi="Calibri" w:cs="Calibri"/>
                <w:b/>
                <w:noProof/>
                <w:color w:val="000000" w:themeColor="text1"/>
                <w:sz w:val="20"/>
                <w:szCs w:val="20"/>
                <w:lang w:eastAsia="zh-CN"/>
              </w:rPr>
            </w:pPr>
          </w:p>
        </w:tc>
      </w:tr>
      <w:tr w:rsidR="00BE0A2F" w:rsidRPr="00610401" w:rsidTr="00BE0A2F">
        <w:trPr>
          <w:trHeight w:val="300"/>
        </w:trPr>
        <w:tc>
          <w:tcPr>
            <w:tcW w:w="3652" w:type="dxa"/>
            <w:gridSpan w:val="2"/>
            <w:tcBorders>
              <w:top w:val="nil"/>
              <w:left w:val="single" w:sz="8" w:space="0" w:color="auto"/>
              <w:bottom w:val="nil"/>
              <w:right w:val="nil"/>
            </w:tcBorders>
            <w:shd w:val="clear" w:color="auto" w:fill="auto"/>
            <w:noWrap/>
          </w:tcPr>
          <w:p w:rsidR="00BE0A2F" w:rsidRPr="00610401" w:rsidRDefault="00BE0A2F" w:rsidP="00BE0A2F">
            <w:pPr>
              <w:spacing w:before="0" w:after="0"/>
              <w:jc w:val="left"/>
              <w:rPr>
                <w:rFonts w:ascii="Calibri" w:eastAsia="Times New Roman" w:hAnsi="Calibri" w:cs="Calibri"/>
                <w:noProof/>
                <w:color w:val="000000" w:themeColor="text1"/>
                <w:sz w:val="20"/>
                <w:szCs w:val="20"/>
              </w:rPr>
            </w:pPr>
            <w:r w:rsidRPr="00610401">
              <w:rPr>
                <w:rFonts w:ascii="Calibri" w:hAnsi="Calibri"/>
                <w:noProof/>
                <w:color w:val="000000" w:themeColor="text1"/>
                <w:sz w:val="20"/>
              </w:rPr>
              <w:t>Wsparcie ogólne na potrzeby wdrażania aktu</w:t>
            </w:r>
            <w:r w:rsidR="00610401" w:rsidRPr="00610401">
              <w:rPr>
                <w:rFonts w:ascii="Calibri" w:hAnsi="Calibri"/>
                <w:noProof/>
                <w:color w:val="000000" w:themeColor="text1"/>
                <w:sz w:val="20"/>
              </w:rPr>
              <w:t xml:space="preserve"> o odb</w:t>
            </w:r>
            <w:r w:rsidRPr="00610401">
              <w:rPr>
                <w:rFonts w:ascii="Calibri" w:hAnsi="Calibri"/>
                <w:noProof/>
                <w:color w:val="000000" w:themeColor="text1"/>
                <w:sz w:val="20"/>
              </w:rPr>
              <w:t>udowie zasobów przyrodniczych (ocena krajowych planów odbudowy), opracowanie wytycznych dla państw członkowskich itp.)</w:t>
            </w:r>
          </w:p>
        </w:tc>
        <w:tc>
          <w:tcPr>
            <w:tcW w:w="2674" w:type="dxa"/>
            <w:tcBorders>
              <w:top w:val="nil"/>
              <w:left w:val="nil"/>
              <w:bottom w:val="nil"/>
              <w:right w:val="nil"/>
            </w:tcBorders>
            <w:shd w:val="clear" w:color="auto" w:fill="auto"/>
            <w:noWrap/>
          </w:tcPr>
          <w:p w:rsidR="00BE0A2F" w:rsidRPr="00610401" w:rsidRDefault="00BE0A2F" w:rsidP="00BE0A2F">
            <w:pPr>
              <w:spacing w:before="0" w:after="0"/>
              <w:jc w:val="left"/>
              <w:rPr>
                <w:rFonts w:ascii="Calibri" w:eastAsia="Times New Roman" w:hAnsi="Calibri" w:cs="Calibri"/>
                <w:noProof/>
                <w:color w:val="000000" w:themeColor="text1"/>
                <w:sz w:val="20"/>
                <w:szCs w:val="20"/>
              </w:rPr>
            </w:pPr>
            <w:r w:rsidRPr="00610401">
              <w:rPr>
                <w:rFonts w:ascii="Calibri" w:hAnsi="Calibri"/>
                <w:noProof/>
                <w:color w:val="000000" w:themeColor="text1"/>
                <w:sz w:val="20"/>
              </w:rPr>
              <w:t>Zamówienie publiczne na usługi/eksperci zewnętrzni</w:t>
            </w:r>
          </w:p>
        </w:tc>
        <w:tc>
          <w:tcPr>
            <w:tcW w:w="675" w:type="dxa"/>
            <w:tcBorders>
              <w:top w:val="nil"/>
              <w:left w:val="nil"/>
              <w:bottom w:val="nil"/>
              <w:right w:val="nil"/>
            </w:tcBorders>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0,600</w:t>
            </w:r>
          </w:p>
        </w:tc>
        <w:tc>
          <w:tcPr>
            <w:tcW w:w="1231" w:type="dxa"/>
            <w:tcBorders>
              <w:top w:val="nil"/>
              <w:left w:val="nil"/>
              <w:bottom w:val="nil"/>
              <w:right w:val="nil"/>
            </w:tcBorders>
            <w:shd w:val="clear" w:color="auto" w:fill="auto"/>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0,600</w:t>
            </w:r>
          </w:p>
        </w:tc>
        <w:tc>
          <w:tcPr>
            <w:tcW w:w="1231" w:type="dxa"/>
            <w:tcBorders>
              <w:top w:val="nil"/>
              <w:left w:val="nil"/>
              <w:bottom w:val="nil"/>
              <w:right w:val="nil"/>
            </w:tcBorders>
            <w:shd w:val="clear" w:color="auto" w:fill="auto"/>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0,600</w:t>
            </w:r>
          </w:p>
        </w:tc>
        <w:tc>
          <w:tcPr>
            <w:tcW w:w="1039" w:type="dxa"/>
            <w:tcBorders>
              <w:top w:val="nil"/>
              <w:left w:val="nil"/>
              <w:bottom w:val="nil"/>
              <w:right w:val="nil"/>
            </w:tcBorders>
            <w:shd w:val="clear" w:color="auto" w:fill="auto"/>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0,600</w:t>
            </w:r>
          </w:p>
        </w:tc>
        <w:tc>
          <w:tcPr>
            <w:tcW w:w="1231" w:type="dxa"/>
            <w:tcBorders>
              <w:top w:val="nil"/>
              <w:left w:val="nil"/>
              <w:bottom w:val="nil"/>
              <w:right w:val="nil"/>
            </w:tcBorders>
            <w:shd w:val="clear" w:color="auto" w:fill="auto"/>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0,600</w:t>
            </w:r>
          </w:p>
        </w:tc>
        <w:tc>
          <w:tcPr>
            <w:tcW w:w="1039" w:type="dxa"/>
            <w:tcBorders>
              <w:top w:val="nil"/>
              <w:left w:val="nil"/>
              <w:bottom w:val="nil"/>
              <w:right w:val="nil"/>
            </w:tcBorders>
            <w:shd w:val="clear" w:color="auto" w:fill="auto"/>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0,600</w:t>
            </w:r>
          </w:p>
        </w:tc>
        <w:tc>
          <w:tcPr>
            <w:tcW w:w="1330" w:type="dxa"/>
            <w:tcBorders>
              <w:top w:val="nil"/>
              <w:left w:val="nil"/>
              <w:bottom w:val="nil"/>
              <w:right w:val="single" w:sz="8" w:space="0" w:color="auto"/>
            </w:tcBorders>
            <w:shd w:val="clear" w:color="auto" w:fill="auto"/>
            <w:noWrap/>
          </w:tcPr>
          <w:p w:rsidR="00BE0A2F" w:rsidRPr="00610401" w:rsidRDefault="00BE0A2F" w:rsidP="00BE0A2F">
            <w:pPr>
              <w:spacing w:before="0" w:after="0"/>
              <w:jc w:val="center"/>
              <w:rPr>
                <w:rFonts w:ascii="Calibri" w:eastAsia="Times New Roman" w:hAnsi="Calibri" w:cs="Calibri"/>
                <w:b/>
                <w:noProof/>
                <w:color w:val="000000" w:themeColor="text1"/>
                <w:sz w:val="20"/>
                <w:szCs w:val="20"/>
              </w:rPr>
            </w:pPr>
            <w:r w:rsidRPr="00610401">
              <w:rPr>
                <w:rFonts w:ascii="Calibri" w:hAnsi="Calibri"/>
                <w:b/>
                <w:noProof/>
                <w:color w:val="000000" w:themeColor="text1"/>
                <w:sz w:val="20"/>
              </w:rPr>
              <w:t>3,600</w:t>
            </w:r>
          </w:p>
        </w:tc>
      </w:tr>
      <w:tr w:rsidR="00BE0A2F" w:rsidRPr="00610401" w:rsidTr="00BE0A2F">
        <w:trPr>
          <w:trHeight w:val="300"/>
        </w:trPr>
        <w:tc>
          <w:tcPr>
            <w:tcW w:w="3652" w:type="dxa"/>
            <w:gridSpan w:val="2"/>
            <w:tcBorders>
              <w:top w:val="nil"/>
              <w:left w:val="single" w:sz="8" w:space="0" w:color="auto"/>
              <w:bottom w:val="nil"/>
              <w:right w:val="nil"/>
            </w:tcBorders>
            <w:shd w:val="clear" w:color="000000" w:fill="F2F2F2"/>
            <w:noWrap/>
            <w:hideMark/>
          </w:tcPr>
          <w:p w:rsidR="00BE0A2F" w:rsidRPr="00610401" w:rsidRDefault="00BE0A2F" w:rsidP="00BE0A2F">
            <w:pPr>
              <w:spacing w:before="0" w:after="0"/>
              <w:jc w:val="left"/>
              <w:rPr>
                <w:rFonts w:ascii="Calibri" w:eastAsia="Times New Roman" w:hAnsi="Calibri" w:cs="Calibri"/>
                <w:noProof/>
                <w:color w:val="000000" w:themeColor="text1"/>
                <w:sz w:val="20"/>
                <w:szCs w:val="20"/>
              </w:rPr>
            </w:pPr>
            <w:r w:rsidRPr="00610401">
              <w:rPr>
                <w:rFonts w:ascii="Calibri" w:hAnsi="Calibri"/>
                <w:noProof/>
                <w:color w:val="000000" w:themeColor="text1"/>
                <w:sz w:val="20"/>
              </w:rPr>
              <w:t>Opracowanie metodyki monitorowania, wskaźników</w:t>
            </w:r>
            <w:r w:rsidR="00610401" w:rsidRPr="00610401">
              <w:rPr>
                <w:rFonts w:ascii="Calibri" w:hAnsi="Calibri"/>
                <w:noProof/>
                <w:color w:val="000000" w:themeColor="text1"/>
                <w:sz w:val="20"/>
              </w:rPr>
              <w:t xml:space="preserve"> i oce</w:t>
            </w:r>
            <w:r w:rsidRPr="00610401">
              <w:rPr>
                <w:rFonts w:ascii="Calibri" w:hAnsi="Calibri"/>
                <w:noProof/>
                <w:color w:val="000000" w:themeColor="text1"/>
                <w:sz w:val="20"/>
              </w:rPr>
              <w:t>ny dobrego stanu. Przygotowania</w:t>
            </w:r>
            <w:r w:rsidR="00610401" w:rsidRPr="00610401">
              <w:rPr>
                <w:rFonts w:ascii="Calibri" w:hAnsi="Calibri"/>
                <w:noProof/>
                <w:color w:val="000000" w:themeColor="text1"/>
                <w:sz w:val="20"/>
              </w:rPr>
              <w:t xml:space="preserve"> i wsp</w:t>
            </w:r>
            <w:r w:rsidRPr="00610401">
              <w:rPr>
                <w:rFonts w:ascii="Calibri" w:hAnsi="Calibri"/>
                <w:noProof/>
                <w:color w:val="000000" w:themeColor="text1"/>
                <w:sz w:val="20"/>
              </w:rPr>
              <w:t>arcie na potrzeby monitorowania niektórych celów</w:t>
            </w:r>
            <w:r w:rsidR="00610401" w:rsidRPr="00610401">
              <w:rPr>
                <w:rFonts w:ascii="Calibri" w:hAnsi="Calibri"/>
                <w:noProof/>
                <w:color w:val="000000" w:themeColor="text1"/>
                <w:sz w:val="20"/>
              </w:rPr>
              <w:t xml:space="preserve"> w zak</w:t>
            </w:r>
            <w:r w:rsidRPr="00610401">
              <w:rPr>
                <w:rFonts w:ascii="Calibri" w:hAnsi="Calibri"/>
                <w:noProof/>
                <w:color w:val="000000" w:themeColor="text1"/>
                <w:sz w:val="20"/>
              </w:rPr>
              <w:t>resie odbudowy.</w:t>
            </w:r>
          </w:p>
        </w:tc>
        <w:tc>
          <w:tcPr>
            <w:tcW w:w="2674" w:type="dxa"/>
            <w:tcBorders>
              <w:top w:val="nil"/>
              <w:left w:val="nil"/>
              <w:bottom w:val="nil"/>
              <w:right w:val="nil"/>
            </w:tcBorders>
            <w:shd w:val="clear" w:color="000000" w:fill="F2F2F2"/>
            <w:noWrap/>
            <w:hideMark/>
          </w:tcPr>
          <w:p w:rsidR="00BE0A2F" w:rsidRPr="00610401" w:rsidRDefault="00BE0A2F" w:rsidP="00BE0A2F">
            <w:pPr>
              <w:spacing w:before="0" w:after="0"/>
              <w:jc w:val="left"/>
              <w:rPr>
                <w:rFonts w:ascii="Calibri" w:eastAsia="Times New Roman" w:hAnsi="Calibri" w:cs="Calibri"/>
                <w:noProof/>
                <w:color w:val="000000" w:themeColor="text1"/>
                <w:sz w:val="20"/>
                <w:szCs w:val="20"/>
              </w:rPr>
            </w:pPr>
            <w:r w:rsidRPr="00610401">
              <w:rPr>
                <w:rFonts w:ascii="Calibri" w:hAnsi="Calibri"/>
                <w:noProof/>
                <w:color w:val="000000" w:themeColor="text1"/>
                <w:sz w:val="20"/>
              </w:rPr>
              <w:t>Porozumienie administracyjne DG ENV–JRC</w:t>
            </w:r>
          </w:p>
        </w:tc>
        <w:tc>
          <w:tcPr>
            <w:tcW w:w="675" w:type="dxa"/>
            <w:tcBorders>
              <w:top w:val="nil"/>
              <w:left w:val="nil"/>
              <w:bottom w:val="nil"/>
              <w:right w:val="nil"/>
            </w:tcBorders>
            <w:shd w:val="clear" w:color="000000" w:fill="F2F2F2"/>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0,350</w:t>
            </w:r>
          </w:p>
        </w:tc>
        <w:tc>
          <w:tcPr>
            <w:tcW w:w="1231" w:type="dxa"/>
            <w:tcBorders>
              <w:top w:val="nil"/>
              <w:left w:val="nil"/>
              <w:bottom w:val="nil"/>
              <w:right w:val="nil"/>
            </w:tcBorders>
            <w:shd w:val="clear" w:color="000000" w:fill="F2F2F2"/>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0,350</w:t>
            </w:r>
          </w:p>
        </w:tc>
        <w:tc>
          <w:tcPr>
            <w:tcW w:w="1231" w:type="dxa"/>
            <w:tcBorders>
              <w:top w:val="nil"/>
              <w:left w:val="nil"/>
              <w:bottom w:val="nil"/>
              <w:right w:val="nil"/>
            </w:tcBorders>
            <w:shd w:val="clear" w:color="000000" w:fill="F2F2F2"/>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0,350</w:t>
            </w:r>
          </w:p>
        </w:tc>
        <w:tc>
          <w:tcPr>
            <w:tcW w:w="1039" w:type="dxa"/>
            <w:tcBorders>
              <w:top w:val="nil"/>
              <w:left w:val="nil"/>
              <w:bottom w:val="nil"/>
              <w:right w:val="nil"/>
            </w:tcBorders>
            <w:shd w:val="clear" w:color="000000" w:fill="F2F2F2"/>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0,350</w:t>
            </w:r>
          </w:p>
        </w:tc>
        <w:tc>
          <w:tcPr>
            <w:tcW w:w="1231" w:type="dxa"/>
            <w:tcBorders>
              <w:top w:val="nil"/>
              <w:left w:val="nil"/>
              <w:bottom w:val="nil"/>
              <w:right w:val="nil"/>
            </w:tcBorders>
            <w:shd w:val="clear" w:color="000000" w:fill="F2F2F2"/>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0,350</w:t>
            </w:r>
          </w:p>
        </w:tc>
        <w:tc>
          <w:tcPr>
            <w:tcW w:w="1039" w:type="dxa"/>
            <w:tcBorders>
              <w:top w:val="nil"/>
              <w:left w:val="nil"/>
              <w:bottom w:val="nil"/>
              <w:right w:val="nil"/>
            </w:tcBorders>
            <w:shd w:val="clear" w:color="000000" w:fill="F2F2F2"/>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0,350</w:t>
            </w:r>
          </w:p>
        </w:tc>
        <w:tc>
          <w:tcPr>
            <w:tcW w:w="1330" w:type="dxa"/>
            <w:tcBorders>
              <w:top w:val="nil"/>
              <w:left w:val="nil"/>
              <w:bottom w:val="nil"/>
              <w:right w:val="single" w:sz="8" w:space="0" w:color="auto"/>
            </w:tcBorders>
            <w:shd w:val="clear" w:color="000000" w:fill="F2F2F2"/>
            <w:noWrap/>
          </w:tcPr>
          <w:p w:rsidR="00BE0A2F" w:rsidRPr="00610401" w:rsidRDefault="00BE0A2F" w:rsidP="00BE0A2F">
            <w:pPr>
              <w:spacing w:before="0" w:after="0"/>
              <w:jc w:val="center"/>
              <w:rPr>
                <w:rFonts w:ascii="Calibri" w:eastAsia="Times New Roman" w:hAnsi="Calibri" w:cs="Calibri"/>
                <w:b/>
                <w:noProof/>
                <w:color w:val="000000" w:themeColor="text1"/>
                <w:sz w:val="20"/>
                <w:szCs w:val="20"/>
              </w:rPr>
            </w:pPr>
            <w:r w:rsidRPr="00610401">
              <w:rPr>
                <w:rFonts w:ascii="Calibri" w:hAnsi="Calibri"/>
                <w:b/>
                <w:noProof/>
                <w:color w:val="000000" w:themeColor="text1"/>
                <w:sz w:val="20"/>
              </w:rPr>
              <w:t>2,100</w:t>
            </w:r>
          </w:p>
        </w:tc>
      </w:tr>
      <w:tr w:rsidR="00BE0A2F" w:rsidRPr="00610401" w:rsidTr="00BE0A2F">
        <w:trPr>
          <w:trHeight w:val="169"/>
        </w:trPr>
        <w:tc>
          <w:tcPr>
            <w:tcW w:w="3652" w:type="dxa"/>
            <w:gridSpan w:val="2"/>
            <w:tcBorders>
              <w:top w:val="nil"/>
              <w:left w:val="single" w:sz="8" w:space="0" w:color="auto"/>
              <w:bottom w:val="nil"/>
              <w:right w:val="nil"/>
            </w:tcBorders>
            <w:shd w:val="clear" w:color="000000" w:fill="F2F2F2"/>
            <w:noWrap/>
          </w:tcPr>
          <w:p w:rsidR="00BE0A2F" w:rsidRPr="00610401" w:rsidRDefault="00BE0A2F" w:rsidP="00BE0A2F">
            <w:pPr>
              <w:spacing w:before="0" w:after="0"/>
              <w:jc w:val="left"/>
              <w:rPr>
                <w:rFonts w:ascii="Calibri" w:eastAsia="Times New Roman" w:hAnsi="Calibri" w:cs="Calibri"/>
                <w:noProof/>
                <w:color w:val="000000" w:themeColor="text1"/>
                <w:sz w:val="20"/>
                <w:szCs w:val="20"/>
                <w:lang w:eastAsia="zh-CN"/>
              </w:rPr>
            </w:pPr>
          </w:p>
        </w:tc>
        <w:tc>
          <w:tcPr>
            <w:tcW w:w="2674" w:type="dxa"/>
            <w:tcBorders>
              <w:top w:val="nil"/>
              <w:left w:val="nil"/>
              <w:bottom w:val="nil"/>
              <w:right w:val="nil"/>
            </w:tcBorders>
            <w:shd w:val="clear" w:color="000000" w:fill="F2F2F2"/>
            <w:noWrap/>
          </w:tcPr>
          <w:p w:rsidR="00BE0A2F" w:rsidRPr="00610401" w:rsidRDefault="00BE0A2F" w:rsidP="00BE0A2F">
            <w:pPr>
              <w:spacing w:before="0" w:after="0"/>
              <w:jc w:val="left"/>
              <w:rPr>
                <w:rFonts w:ascii="Calibri" w:eastAsia="Times New Roman" w:hAnsi="Calibri" w:cs="Calibri"/>
                <w:noProof/>
                <w:color w:val="000000" w:themeColor="text1"/>
                <w:sz w:val="20"/>
                <w:szCs w:val="20"/>
                <w:highlight w:val="yellow"/>
                <w:lang w:eastAsia="zh-CN"/>
              </w:rPr>
            </w:pPr>
          </w:p>
        </w:tc>
        <w:tc>
          <w:tcPr>
            <w:tcW w:w="675" w:type="dxa"/>
            <w:tcBorders>
              <w:top w:val="nil"/>
              <w:left w:val="nil"/>
              <w:bottom w:val="nil"/>
              <w:right w:val="nil"/>
            </w:tcBorders>
            <w:shd w:val="clear" w:color="000000" w:fill="F2F2F2"/>
          </w:tcPr>
          <w:p w:rsidR="00BE0A2F" w:rsidRPr="00610401"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231" w:type="dxa"/>
            <w:tcBorders>
              <w:top w:val="nil"/>
              <w:left w:val="nil"/>
              <w:bottom w:val="nil"/>
              <w:right w:val="nil"/>
            </w:tcBorders>
            <w:shd w:val="clear" w:color="000000" w:fill="F2F2F2"/>
            <w:noWrap/>
          </w:tcPr>
          <w:p w:rsidR="00BE0A2F" w:rsidRPr="00610401"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231" w:type="dxa"/>
            <w:tcBorders>
              <w:top w:val="nil"/>
              <w:left w:val="nil"/>
              <w:bottom w:val="nil"/>
              <w:right w:val="nil"/>
            </w:tcBorders>
            <w:shd w:val="clear" w:color="000000" w:fill="F2F2F2"/>
            <w:noWrap/>
          </w:tcPr>
          <w:p w:rsidR="00BE0A2F" w:rsidRPr="00610401"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039" w:type="dxa"/>
            <w:tcBorders>
              <w:top w:val="nil"/>
              <w:left w:val="nil"/>
              <w:bottom w:val="nil"/>
              <w:right w:val="nil"/>
            </w:tcBorders>
            <w:shd w:val="clear" w:color="000000" w:fill="F2F2F2"/>
            <w:noWrap/>
          </w:tcPr>
          <w:p w:rsidR="00BE0A2F" w:rsidRPr="00610401"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231" w:type="dxa"/>
            <w:tcBorders>
              <w:top w:val="nil"/>
              <w:left w:val="nil"/>
              <w:bottom w:val="nil"/>
              <w:right w:val="nil"/>
            </w:tcBorders>
            <w:shd w:val="clear" w:color="000000" w:fill="F2F2F2"/>
            <w:noWrap/>
          </w:tcPr>
          <w:p w:rsidR="00BE0A2F" w:rsidRPr="00610401"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039" w:type="dxa"/>
            <w:tcBorders>
              <w:top w:val="nil"/>
              <w:left w:val="nil"/>
              <w:bottom w:val="nil"/>
              <w:right w:val="nil"/>
            </w:tcBorders>
            <w:shd w:val="clear" w:color="000000" w:fill="F2F2F2"/>
            <w:noWrap/>
          </w:tcPr>
          <w:p w:rsidR="00BE0A2F" w:rsidRPr="00610401"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330" w:type="dxa"/>
            <w:tcBorders>
              <w:top w:val="nil"/>
              <w:left w:val="nil"/>
              <w:bottom w:val="nil"/>
              <w:right w:val="single" w:sz="8" w:space="0" w:color="auto"/>
            </w:tcBorders>
            <w:shd w:val="clear" w:color="000000" w:fill="F2F2F2"/>
            <w:noWrap/>
          </w:tcPr>
          <w:p w:rsidR="00BE0A2F" w:rsidRPr="00610401" w:rsidRDefault="00BE0A2F" w:rsidP="00BE0A2F">
            <w:pPr>
              <w:spacing w:before="0" w:after="0"/>
              <w:jc w:val="center"/>
              <w:rPr>
                <w:rFonts w:ascii="Calibri" w:eastAsia="Times New Roman" w:hAnsi="Calibri" w:cs="Calibri"/>
                <w:b/>
                <w:noProof/>
                <w:color w:val="000000" w:themeColor="text1"/>
                <w:sz w:val="20"/>
                <w:szCs w:val="20"/>
                <w:lang w:eastAsia="zh-CN"/>
              </w:rPr>
            </w:pPr>
          </w:p>
        </w:tc>
      </w:tr>
      <w:tr w:rsidR="00BE0A2F" w:rsidRPr="00610401" w:rsidTr="00BE0A2F">
        <w:trPr>
          <w:trHeight w:val="627"/>
        </w:trPr>
        <w:tc>
          <w:tcPr>
            <w:tcW w:w="3652" w:type="dxa"/>
            <w:gridSpan w:val="2"/>
            <w:tcBorders>
              <w:top w:val="nil"/>
              <w:left w:val="single" w:sz="8" w:space="0" w:color="auto"/>
              <w:bottom w:val="single" w:sz="8" w:space="0" w:color="auto"/>
              <w:right w:val="nil"/>
            </w:tcBorders>
            <w:shd w:val="clear" w:color="auto" w:fill="FFFFFF" w:themeFill="background1"/>
            <w:noWrap/>
          </w:tcPr>
          <w:p w:rsidR="00BE0A2F" w:rsidRPr="00610401" w:rsidRDefault="00BE0A2F" w:rsidP="00BE0A2F">
            <w:pPr>
              <w:spacing w:before="0" w:after="0"/>
              <w:jc w:val="left"/>
              <w:rPr>
                <w:rFonts w:ascii="Calibri" w:eastAsia="Times New Roman" w:hAnsi="Calibri" w:cs="Calibri"/>
                <w:noProof/>
                <w:color w:val="000000" w:themeColor="text1"/>
                <w:sz w:val="20"/>
                <w:szCs w:val="20"/>
              </w:rPr>
            </w:pPr>
            <w:r w:rsidRPr="00610401">
              <w:rPr>
                <w:rFonts w:ascii="Calibri" w:hAnsi="Calibri"/>
                <w:noProof/>
                <w:color w:val="000000" w:themeColor="text1"/>
                <w:sz w:val="20"/>
              </w:rPr>
              <w:t>Ocena skutków nowych celów</w:t>
            </w:r>
            <w:r w:rsidR="00610401" w:rsidRPr="00610401">
              <w:rPr>
                <w:rFonts w:ascii="Calibri" w:hAnsi="Calibri"/>
                <w:noProof/>
                <w:color w:val="000000" w:themeColor="text1"/>
                <w:sz w:val="20"/>
              </w:rPr>
              <w:t xml:space="preserve"> w zak</w:t>
            </w:r>
            <w:r w:rsidRPr="00610401">
              <w:rPr>
                <w:rFonts w:ascii="Calibri" w:hAnsi="Calibri"/>
                <w:noProof/>
                <w:color w:val="000000" w:themeColor="text1"/>
                <w:sz w:val="20"/>
              </w:rPr>
              <w:t>resie odbudowy</w:t>
            </w:r>
          </w:p>
        </w:tc>
        <w:tc>
          <w:tcPr>
            <w:tcW w:w="2674" w:type="dxa"/>
            <w:tcBorders>
              <w:top w:val="nil"/>
              <w:left w:val="nil"/>
              <w:bottom w:val="single" w:sz="8" w:space="0" w:color="auto"/>
              <w:right w:val="nil"/>
            </w:tcBorders>
            <w:shd w:val="clear" w:color="auto" w:fill="FFFFFF" w:themeFill="background1"/>
            <w:noWrap/>
          </w:tcPr>
          <w:p w:rsidR="00BE0A2F" w:rsidRPr="00610401" w:rsidRDefault="00BE0A2F" w:rsidP="00BE0A2F">
            <w:pPr>
              <w:spacing w:before="0" w:after="0"/>
              <w:jc w:val="left"/>
              <w:rPr>
                <w:rFonts w:ascii="Calibri" w:eastAsia="Times New Roman" w:hAnsi="Calibri" w:cs="Calibri"/>
                <w:noProof/>
                <w:color w:val="000000" w:themeColor="text1"/>
                <w:sz w:val="20"/>
                <w:szCs w:val="20"/>
              </w:rPr>
            </w:pPr>
            <w:r w:rsidRPr="00610401">
              <w:rPr>
                <w:rFonts w:ascii="Calibri" w:hAnsi="Calibri"/>
                <w:noProof/>
                <w:color w:val="000000" w:themeColor="text1"/>
                <w:sz w:val="20"/>
              </w:rPr>
              <w:t>Umowa/umowy</w:t>
            </w:r>
            <w:r w:rsidR="00610401" w:rsidRPr="00610401">
              <w:rPr>
                <w:rFonts w:ascii="Calibri" w:hAnsi="Calibri"/>
                <w:noProof/>
                <w:color w:val="000000" w:themeColor="text1"/>
                <w:sz w:val="20"/>
              </w:rPr>
              <w:t xml:space="preserve"> w spr</w:t>
            </w:r>
            <w:r w:rsidRPr="00610401">
              <w:rPr>
                <w:rFonts w:ascii="Calibri" w:hAnsi="Calibri"/>
                <w:noProof/>
                <w:color w:val="000000" w:themeColor="text1"/>
                <w:sz w:val="20"/>
              </w:rPr>
              <w:t>awie wsparcia przy przeprowadzaniu oceny skutków</w:t>
            </w:r>
          </w:p>
        </w:tc>
        <w:tc>
          <w:tcPr>
            <w:tcW w:w="675" w:type="dxa"/>
            <w:tcBorders>
              <w:top w:val="nil"/>
              <w:left w:val="nil"/>
              <w:bottom w:val="single" w:sz="8" w:space="0" w:color="auto"/>
              <w:right w:val="nil"/>
            </w:tcBorders>
            <w:shd w:val="clear" w:color="auto" w:fill="FFFFFF" w:themeFill="background1"/>
          </w:tcPr>
          <w:p w:rsidR="00BE0A2F" w:rsidRPr="00610401"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single" w:sz="8" w:space="0" w:color="auto"/>
              <w:right w:val="nil"/>
            </w:tcBorders>
            <w:shd w:val="clear" w:color="auto" w:fill="FFFFFF" w:themeFill="background1"/>
            <w:noWrap/>
          </w:tcPr>
          <w:p w:rsidR="00BE0A2F" w:rsidRPr="00610401"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single" w:sz="8" w:space="0" w:color="auto"/>
              <w:right w:val="nil"/>
            </w:tcBorders>
            <w:shd w:val="clear" w:color="auto" w:fill="FFFFFF" w:themeFill="background1"/>
            <w:noWrap/>
          </w:tcPr>
          <w:p w:rsidR="00BE0A2F" w:rsidRPr="00610401"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039" w:type="dxa"/>
            <w:tcBorders>
              <w:top w:val="nil"/>
              <w:left w:val="nil"/>
              <w:bottom w:val="single" w:sz="8" w:space="0" w:color="auto"/>
              <w:right w:val="nil"/>
            </w:tcBorders>
            <w:shd w:val="clear" w:color="auto" w:fill="FFFFFF" w:themeFill="background1"/>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0,300</w:t>
            </w:r>
          </w:p>
        </w:tc>
        <w:tc>
          <w:tcPr>
            <w:tcW w:w="1231" w:type="dxa"/>
            <w:tcBorders>
              <w:top w:val="nil"/>
              <w:left w:val="nil"/>
              <w:bottom w:val="single" w:sz="8" w:space="0" w:color="auto"/>
              <w:right w:val="nil"/>
            </w:tcBorders>
            <w:shd w:val="clear" w:color="auto" w:fill="FFFFFF" w:themeFill="background1"/>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0,300</w:t>
            </w:r>
          </w:p>
        </w:tc>
        <w:tc>
          <w:tcPr>
            <w:tcW w:w="1039" w:type="dxa"/>
            <w:tcBorders>
              <w:top w:val="nil"/>
              <w:left w:val="nil"/>
              <w:bottom w:val="single" w:sz="8" w:space="0" w:color="auto"/>
              <w:right w:val="nil"/>
            </w:tcBorders>
            <w:shd w:val="clear" w:color="auto" w:fill="FFFFFF" w:themeFill="background1"/>
            <w:noWrap/>
          </w:tcPr>
          <w:p w:rsidR="00BE0A2F" w:rsidRPr="00610401" w:rsidRDefault="00BE0A2F" w:rsidP="00BE0A2F">
            <w:pPr>
              <w:spacing w:before="0" w:after="0"/>
              <w:jc w:val="center"/>
              <w:rPr>
                <w:rFonts w:ascii="Calibri" w:eastAsia="Times New Roman" w:hAnsi="Calibri" w:cs="Calibri"/>
                <w:noProof/>
                <w:color w:val="000000" w:themeColor="text1"/>
                <w:sz w:val="20"/>
                <w:szCs w:val="20"/>
              </w:rPr>
            </w:pPr>
            <w:r w:rsidRPr="00610401">
              <w:rPr>
                <w:rFonts w:ascii="Calibri" w:hAnsi="Calibri"/>
                <w:noProof/>
                <w:color w:val="000000" w:themeColor="text1"/>
                <w:sz w:val="20"/>
              </w:rPr>
              <w:t>0,300</w:t>
            </w:r>
          </w:p>
        </w:tc>
        <w:tc>
          <w:tcPr>
            <w:tcW w:w="1330" w:type="dxa"/>
            <w:tcBorders>
              <w:top w:val="nil"/>
              <w:left w:val="nil"/>
              <w:bottom w:val="single" w:sz="8" w:space="0" w:color="auto"/>
              <w:right w:val="single" w:sz="8" w:space="0" w:color="auto"/>
            </w:tcBorders>
            <w:shd w:val="clear" w:color="auto" w:fill="FFFFFF" w:themeFill="background1"/>
            <w:noWrap/>
          </w:tcPr>
          <w:p w:rsidR="00BE0A2F" w:rsidRPr="00610401" w:rsidRDefault="00BE0A2F" w:rsidP="00BE0A2F">
            <w:pPr>
              <w:spacing w:before="0" w:after="0"/>
              <w:jc w:val="center"/>
              <w:rPr>
                <w:rFonts w:ascii="Calibri" w:eastAsia="Times New Roman" w:hAnsi="Calibri" w:cs="Calibri"/>
                <w:b/>
                <w:noProof/>
                <w:color w:val="000000" w:themeColor="text1"/>
                <w:sz w:val="20"/>
                <w:szCs w:val="20"/>
              </w:rPr>
            </w:pPr>
            <w:r w:rsidRPr="00610401">
              <w:rPr>
                <w:rFonts w:ascii="Calibri" w:hAnsi="Calibri"/>
                <w:b/>
                <w:noProof/>
                <w:color w:val="000000" w:themeColor="text1"/>
                <w:sz w:val="20"/>
              </w:rPr>
              <w:t>0,900</w:t>
            </w:r>
          </w:p>
        </w:tc>
      </w:tr>
      <w:tr w:rsidR="00BE0A2F" w:rsidRPr="00610401" w:rsidTr="00BE0A2F">
        <w:trPr>
          <w:trHeight w:val="315"/>
        </w:trPr>
        <w:tc>
          <w:tcPr>
            <w:tcW w:w="3652" w:type="dxa"/>
            <w:gridSpan w:val="2"/>
            <w:tcBorders>
              <w:top w:val="single" w:sz="8" w:space="0" w:color="auto"/>
              <w:left w:val="single" w:sz="8" w:space="0" w:color="auto"/>
              <w:bottom w:val="single" w:sz="8" w:space="0" w:color="auto"/>
              <w:right w:val="nil"/>
            </w:tcBorders>
            <w:shd w:val="clear" w:color="000000" w:fill="F2F2F2"/>
            <w:noWrap/>
            <w:vAlign w:val="bottom"/>
          </w:tcPr>
          <w:p w:rsidR="00BE0A2F" w:rsidRPr="00610401" w:rsidRDefault="00BE0A2F" w:rsidP="00BE0A2F">
            <w:pPr>
              <w:spacing w:before="0" w:after="0"/>
              <w:jc w:val="left"/>
              <w:rPr>
                <w:rFonts w:ascii="Calibri" w:eastAsia="Times New Roman" w:hAnsi="Calibri" w:cs="Calibri"/>
                <w:b/>
                <w:noProof/>
                <w:color w:val="000000" w:themeColor="text1"/>
                <w:sz w:val="20"/>
                <w:szCs w:val="20"/>
              </w:rPr>
            </w:pPr>
            <w:r w:rsidRPr="00610401">
              <w:rPr>
                <w:rFonts w:ascii="Calibri" w:hAnsi="Calibri"/>
                <w:noProof/>
                <w:color w:val="000000" w:themeColor="text1"/>
                <w:sz w:val="20"/>
              </w:rPr>
              <w:t xml:space="preserve"> </w:t>
            </w:r>
            <w:r w:rsidRPr="00610401">
              <w:rPr>
                <w:rFonts w:ascii="Calibri" w:hAnsi="Calibri"/>
                <w:b/>
                <w:noProof/>
                <w:color w:val="000000" w:themeColor="text1"/>
                <w:sz w:val="20"/>
              </w:rPr>
              <w:t>OGÓŁEM:</w:t>
            </w:r>
          </w:p>
        </w:tc>
        <w:tc>
          <w:tcPr>
            <w:tcW w:w="2674" w:type="dxa"/>
            <w:tcBorders>
              <w:top w:val="single" w:sz="8" w:space="0" w:color="auto"/>
              <w:left w:val="nil"/>
              <w:bottom w:val="single" w:sz="8" w:space="0" w:color="auto"/>
              <w:right w:val="nil"/>
            </w:tcBorders>
            <w:shd w:val="clear" w:color="000000" w:fill="F2F2F2"/>
            <w:noWrap/>
            <w:vAlign w:val="bottom"/>
          </w:tcPr>
          <w:p w:rsidR="00BE0A2F" w:rsidRPr="00610401" w:rsidRDefault="00BE0A2F" w:rsidP="00BE0A2F">
            <w:pPr>
              <w:spacing w:before="0" w:after="0"/>
              <w:jc w:val="left"/>
              <w:rPr>
                <w:rFonts w:ascii="Calibri" w:eastAsia="Times New Roman" w:hAnsi="Calibri" w:cs="Calibri"/>
                <w:noProof/>
                <w:color w:val="000000" w:themeColor="text1"/>
                <w:sz w:val="20"/>
                <w:szCs w:val="20"/>
              </w:rPr>
            </w:pPr>
            <w:r w:rsidRPr="00610401">
              <w:rPr>
                <w:rFonts w:ascii="Calibri" w:hAnsi="Calibri"/>
                <w:noProof/>
                <w:color w:val="000000" w:themeColor="text1"/>
                <w:sz w:val="20"/>
              </w:rPr>
              <w:t xml:space="preserve"> </w:t>
            </w:r>
          </w:p>
        </w:tc>
        <w:tc>
          <w:tcPr>
            <w:tcW w:w="675" w:type="dxa"/>
            <w:tcBorders>
              <w:top w:val="single" w:sz="8" w:space="0" w:color="auto"/>
              <w:left w:val="nil"/>
              <w:bottom w:val="single" w:sz="8" w:space="0" w:color="auto"/>
              <w:right w:val="nil"/>
            </w:tcBorders>
            <w:shd w:val="clear" w:color="000000" w:fill="F2F2F2"/>
            <w:vAlign w:val="bottom"/>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0,950</w:t>
            </w:r>
          </w:p>
        </w:tc>
        <w:tc>
          <w:tcPr>
            <w:tcW w:w="1231" w:type="dxa"/>
            <w:tcBorders>
              <w:top w:val="single" w:sz="8" w:space="0" w:color="auto"/>
              <w:left w:val="nil"/>
              <w:bottom w:val="single" w:sz="8" w:space="0" w:color="auto"/>
              <w:right w:val="nil"/>
            </w:tcBorders>
            <w:shd w:val="clear" w:color="000000" w:fill="F2F2F2"/>
            <w:noWrap/>
            <w:vAlign w:val="bottom"/>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0,950</w:t>
            </w:r>
          </w:p>
        </w:tc>
        <w:tc>
          <w:tcPr>
            <w:tcW w:w="1231" w:type="dxa"/>
            <w:tcBorders>
              <w:top w:val="single" w:sz="8" w:space="0" w:color="auto"/>
              <w:left w:val="nil"/>
              <w:bottom w:val="single" w:sz="8" w:space="0" w:color="auto"/>
              <w:right w:val="nil"/>
            </w:tcBorders>
            <w:shd w:val="clear" w:color="000000" w:fill="F2F2F2"/>
            <w:noWrap/>
            <w:vAlign w:val="bottom"/>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0,950</w:t>
            </w:r>
          </w:p>
        </w:tc>
        <w:tc>
          <w:tcPr>
            <w:tcW w:w="1039" w:type="dxa"/>
            <w:tcBorders>
              <w:top w:val="single" w:sz="8" w:space="0" w:color="auto"/>
              <w:left w:val="nil"/>
              <w:bottom w:val="single" w:sz="8" w:space="0" w:color="auto"/>
              <w:right w:val="nil"/>
            </w:tcBorders>
            <w:shd w:val="clear" w:color="000000" w:fill="F2F2F2"/>
            <w:noWrap/>
            <w:vAlign w:val="bottom"/>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1,250</w:t>
            </w:r>
          </w:p>
        </w:tc>
        <w:tc>
          <w:tcPr>
            <w:tcW w:w="1231" w:type="dxa"/>
            <w:tcBorders>
              <w:top w:val="single" w:sz="8" w:space="0" w:color="auto"/>
              <w:left w:val="nil"/>
              <w:bottom w:val="single" w:sz="8" w:space="0" w:color="auto"/>
              <w:right w:val="nil"/>
            </w:tcBorders>
            <w:shd w:val="clear" w:color="000000" w:fill="F2F2F2"/>
            <w:noWrap/>
            <w:vAlign w:val="bottom"/>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1,250</w:t>
            </w:r>
          </w:p>
        </w:tc>
        <w:tc>
          <w:tcPr>
            <w:tcW w:w="1039" w:type="dxa"/>
            <w:tcBorders>
              <w:top w:val="single" w:sz="8" w:space="0" w:color="auto"/>
              <w:left w:val="nil"/>
              <w:bottom w:val="single" w:sz="8" w:space="0" w:color="auto"/>
              <w:right w:val="nil"/>
            </w:tcBorders>
            <w:shd w:val="clear" w:color="000000" w:fill="F2F2F2"/>
            <w:noWrap/>
            <w:vAlign w:val="bottom"/>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1,250</w:t>
            </w:r>
          </w:p>
        </w:tc>
        <w:tc>
          <w:tcPr>
            <w:tcW w:w="1330" w:type="dxa"/>
            <w:tcBorders>
              <w:top w:val="single" w:sz="8" w:space="0" w:color="auto"/>
              <w:left w:val="nil"/>
              <w:bottom w:val="single" w:sz="8" w:space="0" w:color="auto"/>
              <w:right w:val="single" w:sz="8" w:space="0" w:color="auto"/>
            </w:tcBorders>
            <w:shd w:val="clear" w:color="000000" w:fill="F2F2F2"/>
            <w:noWrap/>
            <w:vAlign w:val="bottom"/>
          </w:tcPr>
          <w:p w:rsidR="00BE0A2F" w:rsidRPr="00610401" w:rsidRDefault="00BE0A2F" w:rsidP="00BE0A2F">
            <w:pPr>
              <w:spacing w:before="0" w:after="0"/>
              <w:jc w:val="center"/>
              <w:rPr>
                <w:rFonts w:ascii="Calibri" w:eastAsia="Times New Roman" w:hAnsi="Calibri" w:cs="Calibri"/>
                <w:b/>
                <w:bCs/>
                <w:noProof/>
                <w:color w:val="000000" w:themeColor="text1"/>
                <w:sz w:val="20"/>
                <w:szCs w:val="20"/>
              </w:rPr>
            </w:pPr>
            <w:r w:rsidRPr="00610401">
              <w:rPr>
                <w:rFonts w:ascii="Calibri" w:hAnsi="Calibri"/>
                <w:b/>
                <w:noProof/>
                <w:color w:val="000000" w:themeColor="text1"/>
                <w:sz w:val="20"/>
              </w:rPr>
              <w:t>6,600</w:t>
            </w:r>
          </w:p>
        </w:tc>
      </w:tr>
    </w:tbl>
    <w:p w:rsidR="00BE0A2F" w:rsidRPr="00610401" w:rsidRDefault="00BE0A2F" w:rsidP="00BE0A2F">
      <w:pPr>
        <w:rPr>
          <w:noProof/>
          <w:color w:val="000000" w:themeColor="text1"/>
        </w:rPr>
      </w:pPr>
    </w:p>
    <w:p w:rsidR="00BE0A2F" w:rsidRPr="00610401" w:rsidRDefault="00BE0A2F" w:rsidP="00BE0A2F">
      <w:pPr>
        <w:spacing w:before="0" w:after="200" w:line="276" w:lineRule="auto"/>
        <w:jc w:val="left"/>
        <w:rPr>
          <w:noProof/>
          <w:color w:val="000000" w:themeColor="text1"/>
        </w:rPr>
      </w:pPr>
      <w:r w:rsidRPr="00610401">
        <w:rPr>
          <w:noProof/>
        </w:rPr>
        <w:br w:type="page"/>
      </w:r>
    </w:p>
    <w:p w:rsidR="00BE0A2F" w:rsidRPr="00610401" w:rsidRDefault="00BE0A2F" w:rsidP="00BE0A2F">
      <w:pPr>
        <w:jc w:val="right"/>
        <w:rPr>
          <w:noProof/>
          <w:color w:val="000000" w:themeColor="text1"/>
          <w:sz w:val="20"/>
        </w:rPr>
      </w:pPr>
      <w:r w:rsidRPr="00610401">
        <w:rPr>
          <w:noProof/>
          <w:color w:val="000000" w:themeColor="text1"/>
          <w:sz w:val="20"/>
        </w:rPr>
        <w:t>w mln EUR (do trzech miejsc po przecinku)</w:t>
      </w:r>
    </w:p>
    <w:tbl>
      <w:tblPr>
        <w:tblW w:w="17677" w:type="dxa"/>
        <w:tblInd w:w="-318" w:type="dxa"/>
        <w:shd w:val="clear" w:color="auto" w:fill="FFFFFF" w:themeFill="background1"/>
        <w:tblLayout w:type="fixed"/>
        <w:tblLook w:val="04A0" w:firstRow="1" w:lastRow="0" w:firstColumn="1" w:lastColumn="0" w:noHBand="0" w:noVBand="1"/>
      </w:tblPr>
      <w:tblGrid>
        <w:gridCol w:w="3120"/>
        <w:gridCol w:w="1497"/>
        <w:gridCol w:w="1338"/>
        <w:gridCol w:w="425"/>
        <w:gridCol w:w="992"/>
        <w:gridCol w:w="624"/>
        <w:gridCol w:w="227"/>
        <w:gridCol w:w="752"/>
        <w:gridCol w:w="98"/>
        <w:gridCol w:w="851"/>
        <w:gridCol w:w="850"/>
        <w:gridCol w:w="1985"/>
        <w:gridCol w:w="1802"/>
        <w:gridCol w:w="960"/>
        <w:gridCol w:w="960"/>
        <w:gridCol w:w="960"/>
        <w:gridCol w:w="236"/>
      </w:tblGrid>
      <w:tr w:rsidR="00B0251E" w:rsidRPr="00610401" w:rsidTr="00621CA5">
        <w:trPr>
          <w:gridAfter w:val="5"/>
          <w:wAfter w:w="4918" w:type="dxa"/>
          <w:cantSplit/>
          <w:trHeight w:val="312"/>
        </w:trPr>
        <w:tc>
          <w:tcPr>
            <w:tcW w:w="59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251E" w:rsidRPr="00610401" w:rsidRDefault="00B0251E" w:rsidP="00BE0A2F">
            <w:pPr>
              <w:spacing w:before="0" w:after="0"/>
              <w:jc w:val="left"/>
              <w:rPr>
                <w:rFonts w:eastAsia="Times New Roman"/>
                <w:b/>
                <w:bCs/>
                <w:noProof/>
                <w:color w:val="000000" w:themeColor="text1"/>
                <w:sz w:val="22"/>
              </w:rPr>
            </w:pPr>
            <w:r w:rsidRPr="00610401">
              <w:rPr>
                <w:b/>
                <w:noProof/>
                <w:color w:val="000000" w:themeColor="text1"/>
                <w:sz w:val="22"/>
              </w:rPr>
              <w:t>Dział wieloletnich ram finansowych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0251E" w:rsidRPr="00610401" w:rsidRDefault="00B0251E" w:rsidP="00BE0A2F">
            <w:pPr>
              <w:spacing w:before="0" w:after="0"/>
              <w:jc w:val="center"/>
              <w:rPr>
                <w:rFonts w:eastAsia="Times New Roman"/>
                <w:noProof/>
                <w:color w:val="000000" w:themeColor="text1"/>
                <w:sz w:val="22"/>
              </w:rPr>
            </w:pPr>
            <w:r w:rsidRPr="00610401">
              <w:rPr>
                <w:noProof/>
                <w:color w:val="000000" w:themeColor="text1"/>
                <w:sz w:val="22"/>
              </w:rPr>
              <w:t>3</w:t>
            </w:r>
          </w:p>
        </w:tc>
        <w:tc>
          <w:tcPr>
            <w:tcW w:w="5387"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B0251E" w:rsidRPr="00610401" w:rsidRDefault="00B0251E" w:rsidP="00BE0A2F">
            <w:pPr>
              <w:spacing w:before="0" w:after="0"/>
              <w:jc w:val="center"/>
              <w:rPr>
                <w:rFonts w:eastAsia="Times New Roman"/>
                <w:noProof/>
                <w:color w:val="000000" w:themeColor="text1"/>
                <w:szCs w:val="24"/>
              </w:rPr>
            </w:pPr>
            <w:r w:rsidRPr="00610401">
              <w:rPr>
                <w:noProof/>
                <w:color w:val="000000" w:themeColor="text1"/>
              </w:rPr>
              <w:t>Zasoby naturalne</w:t>
            </w:r>
            <w:r w:rsidR="00610401" w:rsidRPr="00610401">
              <w:rPr>
                <w:noProof/>
                <w:color w:val="000000" w:themeColor="text1"/>
              </w:rPr>
              <w:t xml:space="preserve"> i śro</w:t>
            </w:r>
            <w:r w:rsidRPr="00610401">
              <w:rPr>
                <w:noProof/>
                <w:color w:val="000000" w:themeColor="text1"/>
              </w:rPr>
              <w:t>dowisko</w:t>
            </w:r>
          </w:p>
        </w:tc>
      </w:tr>
      <w:tr w:rsidR="004B7DAE" w:rsidRPr="00610401" w:rsidTr="00BE0A2F">
        <w:trPr>
          <w:cantSplit/>
          <w:trHeight w:val="288"/>
        </w:trPr>
        <w:tc>
          <w:tcPr>
            <w:tcW w:w="3120" w:type="dxa"/>
            <w:tcBorders>
              <w:top w:val="nil"/>
              <w:left w:val="nil"/>
              <w:bottom w:val="nil"/>
              <w:right w:val="nil"/>
            </w:tcBorders>
            <w:shd w:val="clear" w:color="auto" w:fill="FFFFFF" w:themeFill="background1"/>
            <w:noWrap/>
            <w:vAlign w:val="center"/>
            <w:hideMark/>
          </w:tcPr>
          <w:p w:rsidR="00BE0A2F" w:rsidRPr="00610401" w:rsidRDefault="00BE0A2F" w:rsidP="00BE0A2F">
            <w:pPr>
              <w:spacing w:before="0" w:after="0"/>
              <w:jc w:val="center"/>
              <w:rPr>
                <w:rFonts w:eastAsia="Times New Roman"/>
                <w:noProof/>
                <w:color w:val="000000" w:themeColor="text1"/>
                <w:szCs w:val="24"/>
                <w:lang w:eastAsia="en-GB"/>
              </w:rPr>
            </w:pPr>
          </w:p>
        </w:tc>
        <w:tc>
          <w:tcPr>
            <w:tcW w:w="1497" w:type="dxa"/>
            <w:tcBorders>
              <w:top w:val="nil"/>
              <w:left w:val="nil"/>
              <w:bottom w:val="nil"/>
              <w:right w:val="nil"/>
            </w:tcBorders>
            <w:shd w:val="clear" w:color="auto" w:fill="FFFFFF" w:themeFill="background1"/>
            <w:noWrap/>
            <w:vAlign w:val="bottom"/>
            <w:hideMark/>
          </w:tcPr>
          <w:p w:rsidR="00BE0A2F" w:rsidRPr="00610401" w:rsidRDefault="00BE0A2F" w:rsidP="00BE0A2F">
            <w:pPr>
              <w:spacing w:before="0" w:after="0"/>
              <w:rPr>
                <w:rFonts w:eastAsia="Times New Roman"/>
                <w:noProof/>
                <w:color w:val="000000" w:themeColor="text1"/>
                <w:sz w:val="20"/>
                <w:szCs w:val="20"/>
                <w:lang w:eastAsia="en-GB"/>
              </w:rPr>
            </w:pPr>
          </w:p>
        </w:tc>
        <w:tc>
          <w:tcPr>
            <w:tcW w:w="1338" w:type="dxa"/>
            <w:tcBorders>
              <w:top w:val="nil"/>
              <w:left w:val="nil"/>
              <w:bottom w:val="nil"/>
              <w:right w:val="single" w:sz="4" w:space="0" w:color="auto"/>
            </w:tcBorders>
            <w:shd w:val="clear" w:color="auto" w:fill="FFFFFF" w:themeFill="background1"/>
          </w:tcPr>
          <w:p w:rsidR="00BE0A2F" w:rsidRPr="00610401" w:rsidRDefault="00BE0A2F" w:rsidP="00BE0A2F">
            <w:pPr>
              <w:spacing w:before="0" w:after="0"/>
              <w:jc w:val="left"/>
              <w:rPr>
                <w:rFonts w:eastAsia="Times New Roman"/>
                <w:noProof/>
                <w:color w:val="000000" w:themeColor="text1"/>
                <w:sz w:val="20"/>
                <w:szCs w:val="20"/>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E0A2F" w:rsidRPr="00610401" w:rsidRDefault="00BE0A2F" w:rsidP="00BE0A2F">
            <w:pPr>
              <w:spacing w:before="0" w:after="0"/>
              <w:jc w:val="left"/>
              <w:rPr>
                <w:rFonts w:eastAsia="Times New Roman"/>
                <w:noProof/>
                <w:color w:val="000000" w:themeColor="text1"/>
                <w:sz w:val="20"/>
                <w:szCs w:val="20"/>
                <w:lang w:eastAsia="en-GB"/>
              </w:rPr>
            </w:pPr>
          </w:p>
        </w:tc>
        <w:tc>
          <w:tcPr>
            <w:tcW w:w="1616" w:type="dxa"/>
            <w:gridSpan w:val="2"/>
            <w:tcBorders>
              <w:top w:val="nil"/>
              <w:left w:val="single" w:sz="4" w:space="0" w:color="auto"/>
              <w:bottom w:val="nil"/>
              <w:right w:val="nil"/>
            </w:tcBorders>
            <w:shd w:val="clear" w:color="auto" w:fill="FFFFFF" w:themeFill="background1"/>
            <w:noWrap/>
            <w:vAlign w:val="bottom"/>
            <w:hideMark/>
          </w:tcPr>
          <w:p w:rsidR="00BE0A2F" w:rsidRPr="00610401" w:rsidRDefault="00BE0A2F" w:rsidP="00BE0A2F">
            <w:pPr>
              <w:spacing w:before="0" w:after="0"/>
              <w:jc w:val="left"/>
              <w:rPr>
                <w:rFonts w:eastAsia="Times New Roman"/>
                <w:noProof/>
                <w:color w:val="000000" w:themeColor="text1"/>
                <w:sz w:val="20"/>
                <w:szCs w:val="20"/>
                <w:lang w:eastAsia="en-GB"/>
              </w:rPr>
            </w:pPr>
          </w:p>
        </w:tc>
        <w:tc>
          <w:tcPr>
            <w:tcW w:w="979" w:type="dxa"/>
            <w:gridSpan w:val="2"/>
            <w:tcBorders>
              <w:top w:val="nil"/>
              <w:left w:val="nil"/>
              <w:bottom w:val="nil"/>
              <w:right w:val="nil"/>
            </w:tcBorders>
            <w:shd w:val="clear" w:color="auto" w:fill="FFFFFF" w:themeFill="background1"/>
            <w:noWrap/>
            <w:vAlign w:val="bottom"/>
            <w:hideMark/>
          </w:tcPr>
          <w:p w:rsidR="00BE0A2F" w:rsidRPr="00610401" w:rsidRDefault="00BE0A2F" w:rsidP="00BE0A2F">
            <w:pPr>
              <w:spacing w:before="0" w:after="0"/>
              <w:jc w:val="left"/>
              <w:rPr>
                <w:rFonts w:eastAsia="Times New Roman"/>
                <w:noProof/>
                <w:color w:val="000000" w:themeColor="text1"/>
                <w:sz w:val="20"/>
                <w:szCs w:val="20"/>
                <w:lang w:eastAsia="en-GB"/>
              </w:rPr>
            </w:pPr>
          </w:p>
        </w:tc>
        <w:tc>
          <w:tcPr>
            <w:tcW w:w="5586" w:type="dxa"/>
            <w:gridSpan w:val="5"/>
            <w:tcBorders>
              <w:top w:val="nil"/>
              <w:left w:val="nil"/>
              <w:bottom w:val="nil"/>
              <w:right w:val="nil"/>
            </w:tcBorders>
            <w:shd w:val="clear" w:color="auto" w:fill="FFFFFF" w:themeFill="background1"/>
            <w:noWrap/>
            <w:vAlign w:val="bottom"/>
            <w:hideMark/>
          </w:tcPr>
          <w:p w:rsidR="00BE0A2F" w:rsidRPr="00610401" w:rsidRDefault="00BE0A2F" w:rsidP="00BE0A2F">
            <w:pPr>
              <w:spacing w:before="0" w:after="0"/>
              <w:jc w:val="left"/>
              <w:rPr>
                <w:rFonts w:eastAsia="Times New Roman"/>
                <w:noProof/>
                <w:color w:val="000000" w:themeColor="text1"/>
                <w:sz w:val="20"/>
                <w:szCs w:val="20"/>
                <w:lang w:eastAsia="en-GB"/>
              </w:rPr>
            </w:pPr>
          </w:p>
        </w:tc>
        <w:tc>
          <w:tcPr>
            <w:tcW w:w="960" w:type="dxa"/>
            <w:tcBorders>
              <w:top w:val="nil"/>
              <w:left w:val="nil"/>
              <w:bottom w:val="nil"/>
              <w:right w:val="nil"/>
            </w:tcBorders>
            <w:shd w:val="clear" w:color="auto" w:fill="FFFFFF" w:themeFill="background1"/>
            <w:noWrap/>
            <w:vAlign w:val="bottom"/>
            <w:hideMark/>
          </w:tcPr>
          <w:p w:rsidR="00BE0A2F" w:rsidRPr="00610401" w:rsidRDefault="00BE0A2F" w:rsidP="00BE0A2F">
            <w:pPr>
              <w:spacing w:before="0" w:after="0"/>
              <w:jc w:val="left"/>
              <w:rPr>
                <w:rFonts w:eastAsia="Times New Roman"/>
                <w:noProof/>
                <w:color w:val="000000" w:themeColor="text1"/>
                <w:sz w:val="20"/>
                <w:szCs w:val="20"/>
                <w:lang w:eastAsia="en-GB"/>
              </w:rPr>
            </w:pPr>
          </w:p>
        </w:tc>
        <w:tc>
          <w:tcPr>
            <w:tcW w:w="960" w:type="dxa"/>
            <w:tcBorders>
              <w:top w:val="nil"/>
              <w:left w:val="nil"/>
              <w:bottom w:val="nil"/>
              <w:right w:val="nil"/>
            </w:tcBorders>
            <w:shd w:val="clear" w:color="auto" w:fill="FFFFFF" w:themeFill="background1"/>
            <w:noWrap/>
            <w:vAlign w:val="bottom"/>
            <w:hideMark/>
          </w:tcPr>
          <w:p w:rsidR="00BE0A2F" w:rsidRPr="00610401" w:rsidRDefault="00BE0A2F" w:rsidP="00BE0A2F">
            <w:pPr>
              <w:spacing w:before="0" w:after="0"/>
              <w:jc w:val="left"/>
              <w:rPr>
                <w:rFonts w:eastAsia="Times New Roman"/>
                <w:noProof/>
                <w:color w:val="000000" w:themeColor="text1"/>
                <w:sz w:val="20"/>
                <w:szCs w:val="20"/>
                <w:lang w:eastAsia="en-GB"/>
              </w:rPr>
            </w:pPr>
          </w:p>
        </w:tc>
        <w:tc>
          <w:tcPr>
            <w:tcW w:w="960" w:type="dxa"/>
            <w:tcBorders>
              <w:top w:val="nil"/>
              <w:left w:val="nil"/>
              <w:bottom w:val="nil"/>
              <w:right w:val="nil"/>
            </w:tcBorders>
            <w:shd w:val="clear" w:color="auto" w:fill="FFFFFF" w:themeFill="background1"/>
            <w:noWrap/>
            <w:vAlign w:val="bottom"/>
            <w:hideMark/>
          </w:tcPr>
          <w:p w:rsidR="00BE0A2F" w:rsidRPr="00610401" w:rsidRDefault="00BE0A2F" w:rsidP="00BE0A2F">
            <w:pPr>
              <w:spacing w:before="0" w:after="0"/>
              <w:jc w:val="left"/>
              <w:rPr>
                <w:rFonts w:eastAsia="Times New Roman"/>
                <w:noProof/>
                <w:color w:val="000000" w:themeColor="text1"/>
                <w:sz w:val="20"/>
                <w:szCs w:val="20"/>
                <w:lang w:eastAsia="en-GB"/>
              </w:rPr>
            </w:pPr>
          </w:p>
        </w:tc>
        <w:tc>
          <w:tcPr>
            <w:tcW w:w="236" w:type="dxa"/>
            <w:tcBorders>
              <w:top w:val="nil"/>
              <w:left w:val="nil"/>
              <w:bottom w:val="nil"/>
              <w:right w:val="nil"/>
            </w:tcBorders>
            <w:shd w:val="clear" w:color="auto" w:fill="FFFFFF" w:themeFill="background1"/>
            <w:noWrap/>
            <w:vAlign w:val="bottom"/>
            <w:hideMark/>
          </w:tcPr>
          <w:p w:rsidR="00BE0A2F" w:rsidRPr="00610401" w:rsidRDefault="00BE0A2F" w:rsidP="00BE0A2F">
            <w:pPr>
              <w:spacing w:before="0" w:after="0"/>
              <w:jc w:val="left"/>
              <w:rPr>
                <w:rFonts w:eastAsia="Times New Roman"/>
                <w:noProof/>
                <w:color w:val="000000" w:themeColor="text1"/>
                <w:sz w:val="20"/>
                <w:szCs w:val="20"/>
                <w:lang w:eastAsia="en-GB"/>
              </w:rPr>
            </w:pPr>
          </w:p>
        </w:tc>
      </w:tr>
      <w:tr w:rsidR="004B7DAE" w:rsidRPr="00610401" w:rsidTr="00BE0A2F">
        <w:trPr>
          <w:gridAfter w:val="5"/>
          <w:wAfter w:w="4918" w:type="dxa"/>
          <w:cantSplit/>
          <w:trHeight w:val="288"/>
        </w:trPr>
        <w:tc>
          <w:tcPr>
            <w:tcW w:w="59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jc w:val="center"/>
              <w:rPr>
                <w:rFonts w:eastAsia="Times New Roman"/>
                <w:b/>
                <w:noProof/>
                <w:color w:val="000000" w:themeColor="text1"/>
                <w:sz w:val="22"/>
              </w:rPr>
            </w:pPr>
            <w:r w:rsidRPr="00610401">
              <w:rPr>
                <w:b/>
                <w:noProof/>
                <w:color w:val="000000" w:themeColor="text1"/>
              </w:rPr>
              <w:t>EEA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BE0A2F" w:rsidRPr="00610401" w:rsidRDefault="00BE0A2F" w:rsidP="00BE0A2F">
            <w:pPr>
              <w:spacing w:before="0" w:after="0"/>
              <w:jc w:val="center"/>
              <w:rPr>
                <w:rFonts w:eastAsia="Times New Roman"/>
                <w:b/>
                <w:bCs/>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jc w:val="center"/>
              <w:rPr>
                <w:rFonts w:eastAsia="Times New Roman"/>
                <w:b/>
                <w:bCs/>
                <w:noProof/>
                <w:color w:val="000000" w:themeColor="text1"/>
                <w:sz w:val="20"/>
                <w:szCs w:val="20"/>
              </w:rPr>
            </w:pPr>
            <w:r w:rsidRPr="00610401">
              <w:rPr>
                <w:b/>
                <w:noProof/>
                <w:color w:val="000000" w:themeColor="text1"/>
                <w:sz w:val="20"/>
              </w:rPr>
              <w:t>2023</w:t>
            </w:r>
          </w:p>
        </w:tc>
        <w:tc>
          <w:tcPr>
            <w:tcW w:w="85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jc w:val="center"/>
              <w:rPr>
                <w:rFonts w:eastAsia="Times New Roman"/>
                <w:b/>
                <w:bCs/>
                <w:noProof/>
                <w:color w:val="000000" w:themeColor="text1"/>
                <w:sz w:val="20"/>
                <w:szCs w:val="20"/>
              </w:rPr>
            </w:pPr>
            <w:r w:rsidRPr="00610401">
              <w:rPr>
                <w:b/>
                <w:noProof/>
                <w:color w:val="000000" w:themeColor="text1"/>
                <w:sz w:val="20"/>
              </w:rPr>
              <w:t>2024</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jc w:val="center"/>
              <w:rPr>
                <w:rFonts w:eastAsia="Times New Roman"/>
                <w:b/>
                <w:bCs/>
                <w:noProof/>
                <w:color w:val="000000" w:themeColor="text1"/>
                <w:sz w:val="20"/>
                <w:szCs w:val="20"/>
              </w:rPr>
            </w:pPr>
            <w:r w:rsidRPr="00610401">
              <w:rPr>
                <w:b/>
                <w:noProof/>
                <w:color w:val="000000" w:themeColor="text1"/>
                <w:sz w:val="20"/>
              </w:rPr>
              <w:t>2025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jc w:val="center"/>
              <w:rPr>
                <w:rFonts w:eastAsia="Times New Roman"/>
                <w:b/>
                <w:bCs/>
                <w:noProof/>
                <w:color w:val="000000" w:themeColor="text1"/>
                <w:sz w:val="20"/>
                <w:szCs w:val="20"/>
              </w:rPr>
            </w:pPr>
            <w:r w:rsidRPr="00610401">
              <w:rPr>
                <w:b/>
                <w:noProof/>
                <w:color w:val="000000" w:themeColor="text1"/>
                <w:sz w:val="20"/>
              </w:rPr>
              <w:t>2026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jc w:val="center"/>
              <w:rPr>
                <w:rFonts w:eastAsia="Times New Roman"/>
                <w:b/>
                <w:bCs/>
                <w:noProof/>
                <w:color w:val="000000" w:themeColor="text1"/>
                <w:sz w:val="20"/>
                <w:szCs w:val="20"/>
              </w:rPr>
            </w:pPr>
            <w:r w:rsidRPr="00610401">
              <w:rPr>
                <w:b/>
                <w:noProof/>
                <w:color w:val="000000" w:themeColor="text1"/>
                <w:sz w:val="20"/>
              </w:rPr>
              <w:t>2027</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jc w:val="center"/>
              <w:rPr>
                <w:rFonts w:eastAsia="Times New Roman"/>
                <w:b/>
                <w:bCs/>
                <w:noProof/>
                <w:color w:val="000000" w:themeColor="text1"/>
                <w:sz w:val="20"/>
                <w:szCs w:val="20"/>
              </w:rPr>
            </w:pPr>
            <w:r w:rsidRPr="00610401">
              <w:rPr>
                <w:b/>
                <w:noProof/>
                <w:color w:val="000000" w:themeColor="text1"/>
                <w:sz w:val="20"/>
              </w:rPr>
              <w:t>OGÓŁEM</w:t>
            </w:r>
          </w:p>
        </w:tc>
      </w:tr>
      <w:tr w:rsidR="004B7DAE" w:rsidRPr="00610401" w:rsidTr="00BE0A2F">
        <w:trPr>
          <w:gridAfter w:val="5"/>
          <w:wAfter w:w="4918" w:type="dxa"/>
          <w:cantSplit/>
          <w:trHeight w:val="276"/>
        </w:trPr>
        <w:tc>
          <w:tcPr>
            <w:tcW w:w="3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rPr>
                <w:rFonts w:eastAsia="Times New Roman"/>
                <w:noProof/>
                <w:color w:val="000000" w:themeColor="text1"/>
                <w:sz w:val="20"/>
                <w:szCs w:val="20"/>
              </w:rPr>
            </w:pPr>
            <w:r w:rsidRPr="00610401">
              <w:rPr>
                <w:noProof/>
                <w:color w:val="000000" w:themeColor="text1"/>
                <w:sz w:val="20"/>
              </w:rPr>
              <w:t>Tytuł 1: Wydatki na personel</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rPr>
                <w:rFonts w:eastAsia="Times New Roman"/>
                <w:noProof/>
                <w:color w:val="000000" w:themeColor="text1"/>
                <w:sz w:val="18"/>
                <w:szCs w:val="18"/>
              </w:rPr>
            </w:pPr>
            <w:r w:rsidRPr="00610401">
              <w:rPr>
                <w:noProof/>
                <w:color w:val="000000" w:themeColor="text1"/>
                <w:sz w:val="18"/>
              </w:rPr>
              <w:t>Środki na zobowiązania</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jc w:val="center"/>
              <w:rPr>
                <w:rFonts w:eastAsia="Times New Roman"/>
                <w:noProof/>
                <w:color w:val="000000" w:themeColor="text1"/>
                <w:sz w:val="14"/>
                <w:szCs w:val="14"/>
              </w:rPr>
            </w:pPr>
            <w:r w:rsidRPr="00610401">
              <w:rPr>
                <w:noProof/>
                <w:color w:val="000000" w:themeColor="text1"/>
                <w:sz w:val="14"/>
              </w:rPr>
              <w:t>(1)</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610401"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8" w:space="0" w:color="auto"/>
              <w:left w:val="single" w:sz="4" w:space="0" w:color="auto"/>
              <w:bottom w:val="single" w:sz="8" w:space="0" w:color="auto"/>
              <w:right w:val="single" w:sz="4" w:space="0" w:color="auto"/>
            </w:tcBorders>
            <w:shd w:val="clear" w:color="000000" w:fill="DDEBF7"/>
            <w:vAlign w:val="bottom"/>
          </w:tcPr>
          <w:p w:rsidR="00BE0A2F" w:rsidRPr="00610401" w:rsidRDefault="001056E8" w:rsidP="001056E8">
            <w:pPr>
              <w:spacing w:beforeLines="20" w:before="48" w:afterLines="20" w:after="48"/>
              <w:jc w:val="right"/>
              <w:rPr>
                <w:noProof/>
                <w:sz w:val="18"/>
              </w:rPr>
            </w:pPr>
            <w:r w:rsidRPr="00610401">
              <w:rPr>
                <w:noProof/>
                <w:sz w:val="18"/>
              </w:rPr>
              <w:t>1,023</w:t>
            </w:r>
          </w:p>
        </w:tc>
        <w:tc>
          <w:tcPr>
            <w:tcW w:w="851"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Lines="20" w:before="48" w:afterLines="20" w:after="48"/>
              <w:jc w:val="right"/>
              <w:rPr>
                <w:noProof/>
                <w:sz w:val="18"/>
              </w:rPr>
            </w:pPr>
            <w:r w:rsidRPr="00610401">
              <w:rPr>
                <w:noProof/>
                <w:sz w:val="18"/>
              </w:rPr>
              <w:t>2,086</w:t>
            </w:r>
          </w:p>
        </w:tc>
        <w:tc>
          <w:tcPr>
            <w:tcW w:w="850"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Lines="20" w:before="48" w:afterLines="20" w:after="48"/>
              <w:jc w:val="right"/>
              <w:rPr>
                <w:noProof/>
                <w:sz w:val="18"/>
              </w:rPr>
            </w:pPr>
            <w:r w:rsidRPr="00610401">
              <w:rPr>
                <w:noProof/>
                <w:sz w:val="18"/>
              </w:rPr>
              <w:t>2,128</w:t>
            </w:r>
          </w:p>
        </w:tc>
        <w:tc>
          <w:tcPr>
            <w:tcW w:w="851" w:type="dxa"/>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Lines="20" w:before="48" w:afterLines="20" w:after="48"/>
              <w:jc w:val="right"/>
              <w:rPr>
                <w:noProof/>
                <w:sz w:val="18"/>
              </w:rPr>
            </w:pPr>
            <w:r w:rsidRPr="00610401">
              <w:rPr>
                <w:noProof/>
                <w:sz w:val="18"/>
              </w:rPr>
              <w:t>2,170</w:t>
            </w:r>
          </w:p>
        </w:tc>
        <w:tc>
          <w:tcPr>
            <w:tcW w:w="850" w:type="dxa"/>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Lines="20" w:before="48" w:afterLines="20" w:after="48"/>
              <w:jc w:val="right"/>
              <w:rPr>
                <w:noProof/>
                <w:sz w:val="18"/>
              </w:rPr>
            </w:pPr>
            <w:r w:rsidRPr="00610401">
              <w:rPr>
                <w:noProof/>
                <w:sz w:val="18"/>
              </w:rPr>
              <w:t>2,214</w:t>
            </w:r>
          </w:p>
        </w:tc>
        <w:tc>
          <w:tcPr>
            <w:tcW w:w="1985" w:type="dxa"/>
            <w:tcBorders>
              <w:top w:val="single" w:sz="8" w:space="0" w:color="auto"/>
              <w:left w:val="nil"/>
              <w:bottom w:val="single" w:sz="8" w:space="0" w:color="auto"/>
              <w:right w:val="single" w:sz="8" w:space="0" w:color="auto"/>
            </w:tcBorders>
            <w:shd w:val="clear" w:color="000000" w:fill="DDEBF7"/>
            <w:vAlign w:val="bottom"/>
          </w:tcPr>
          <w:p w:rsidR="00BE0A2F" w:rsidRPr="00610401" w:rsidRDefault="001056E8" w:rsidP="001056E8">
            <w:pPr>
              <w:spacing w:beforeLines="20" w:before="48" w:afterLines="20" w:after="48"/>
              <w:jc w:val="right"/>
              <w:rPr>
                <w:b/>
                <w:noProof/>
                <w:sz w:val="18"/>
              </w:rPr>
            </w:pPr>
            <w:r w:rsidRPr="00610401">
              <w:rPr>
                <w:b/>
                <w:noProof/>
                <w:sz w:val="18"/>
              </w:rPr>
              <w:t>9,621</w:t>
            </w:r>
          </w:p>
        </w:tc>
      </w:tr>
      <w:tr w:rsidR="004B7DAE" w:rsidRPr="00610401" w:rsidTr="00BE0A2F">
        <w:trPr>
          <w:gridAfter w:val="5"/>
          <w:wAfter w:w="4918" w:type="dxa"/>
          <w:cantSplit/>
          <w:trHeight w:val="288"/>
        </w:trPr>
        <w:tc>
          <w:tcPr>
            <w:tcW w:w="3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jc w:val="left"/>
              <w:rPr>
                <w:rFonts w:eastAsia="Times New Roman"/>
                <w:noProof/>
                <w:color w:val="000000" w:themeColor="text1"/>
                <w:sz w:val="20"/>
                <w:szCs w:val="20"/>
                <w:lang w:eastAsia="en-GB"/>
              </w:rPr>
            </w:pP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rPr>
                <w:rFonts w:eastAsia="Times New Roman"/>
                <w:noProof/>
                <w:color w:val="000000" w:themeColor="text1"/>
                <w:sz w:val="18"/>
                <w:szCs w:val="18"/>
              </w:rPr>
            </w:pPr>
            <w:r w:rsidRPr="00610401">
              <w:rPr>
                <w:noProof/>
                <w:color w:val="000000" w:themeColor="text1"/>
                <w:sz w:val="18"/>
              </w:rPr>
              <w:t>Środki na płatności</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jc w:val="center"/>
              <w:rPr>
                <w:rFonts w:eastAsia="Times New Roman"/>
                <w:noProof/>
                <w:color w:val="000000" w:themeColor="text1"/>
                <w:sz w:val="14"/>
                <w:szCs w:val="14"/>
              </w:rPr>
            </w:pPr>
            <w:r w:rsidRPr="00610401">
              <w:rPr>
                <w:noProof/>
                <w:color w:val="000000" w:themeColor="text1"/>
                <w:sz w:val="14"/>
              </w:rPr>
              <w:t>(2)</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610401"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8" w:space="0" w:color="auto"/>
              <w:left w:val="single" w:sz="4" w:space="0" w:color="auto"/>
              <w:bottom w:val="single" w:sz="8" w:space="0" w:color="auto"/>
              <w:right w:val="single" w:sz="4" w:space="0" w:color="auto"/>
            </w:tcBorders>
            <w:shd w:val="clear" w:color="000000" w:fill="DDEBF7"/>
            <w:vAlign w:val="bottom"/>
          </w:tcPr>
          <w:p w:rsidR="00BE0A2F" w:rsidRPr="00610401" w:rsidRDefault="001056E8" w:rsidP="00BE0A2F">
            <w:pPr>
              <w:spacing w:beforeLines="20" w:before="48" w:afterLines="20" w:after="48"/>
              <w:jc w:val="right"/>
              <w:rPr>
                <w:noProof/>
                <w:sz w:val="18"/>
              </w:rPr>
            </w:pPr>
            <w:r w:rsidRPr="00610401">
              <w:rPr>
                <w:noProof/>
                <w:sz w:val="18"/>
              </w:rPr>
              <w:t>1,023</w:t>
            </w:r>
          </w:p>
        </w:tc>
        <w:tc>
          <w:tcPr>
            <w:tcW w:w="851"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Lines="20" w:before="48" w:afterLines="20" w:after="48"/>
              <w:jc w:val="right"/>
              <w:rPr>
                <w:noProof/>
                <w:sz w:val="18"/>
              </w:rPr>
            </w:pPr>
            <w:r w:rsidRPr="00610401">
              <w:rPr>
                <w:noProof/>
                <w:sz w:val="18"/>
              </w:rPr>
              <w:t>2,086</w:t>
            </w:r>
          </w:p>
        </w:tc>
        <w:tc>
          <w:tcPr>
            <w:tcW w:w="850"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Lines="20" w:before="48" w:afterLines="20" w:after="48"/>
              <w:jc w:val="right"/>
              <w:rPr>
                <w:noProof/>
                <w:sz w:val="18"/>
              </w:rPr>
            </w:pPr>
            <w:r w:rsidRPr="00610401">
              <w:rPr>
                <w:noProof/>
                <w:sz w:val="18"/>
              </w:rPr>
              <w:t>2,128</w:t>
            </w:r>
          </w:p>
        </w:tc>
        <w:tc>
          <w:tcPr>
            <w:tcW w:w="851" w:type="dxa"/>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Lines="20" w:before="48" w:afterLines="20" w:after="48"/>
              <w:jc w:val="right"/>
              <w:rPr>
                <w:noProof/>
                <w:sz w:val="18"/>
              </w:rPr>
            </w:pPr>
            <w:r w:rsidRPr="00610401">
              <w:rPr>
                <w:noProof/>
                <w:sz w:val="18"/>
              </w:rPr>
              <w:t>2,170</w:t>
            </w:r>
          </w:p>
        </w:tc>
        <w:tc>
          <w:tcPr>
            <w:tcW w:w="850" w:type="dxa"/>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Lines="20" w:before="48" w:afterLines="20" w:after="48"/>
              <w:jc w:val="right"/>
              <w:rPr>
                <w:noProof/>
                <w:sz w:val="18"/>
              </w:rPr>
            </w:pPr>
            <w:r w:rsidRPr="00610401">
              <w:rPr>
                <w:noProof/>
                <w:sz w:val="18"/>
              </w:rPr>
              <w:t>2,214</w:t>
            </w:r>
          </w:p>
        </w:tc>
        <w:tc>
          <w:tcPr>
            <w:tcW w:w="1985" w:type="dxa"/>
            <w:tcBorders>
              <w:top w:val="single" w:sz="8" w:space="0" w:color="auto"/>
              <w:left w:val="nil"/>
              <w:bottom w:val="single" w:sz="8" w:space="0" w:color="auto"/>
              <w:right w:val="single" w:sz="8" w:space="0" w:color="auto"/>
            </w:tcBorders>
            <w:shd w:val="clear" w:color="000000" w:fill="DDEBF7"/>
            <w:vAlign w:val="bottom"/>
          </w:tcPr>
          <w:p w:rsidR="00BE0A2F" w:rsidRPr="00610401" w:rsidRDefault="001056E8" w:rsidP="00BE0A2F">
            <w:pPr>
              <w:spacing w:beforeLines="20" w:before="48" w:afterLines="20" w:after="48"/>
              <w:jc w:val="right"/>
              <w:rPr>
                <w:b/>
                <w:noProof/>
                <w:sz w:val="18"/>
              </w:rPr>
            </w:pPr>
            <w:r w:rsidRPr="00610401">
              <w:rPr>
                <w:b/>
                <w:noProof/>
                <w:sz w:val="18"/>
              </w:rPr>
              <w:t>9,621</w:t>
            </w:r>
          </w:p>
        </w:tc>
      </w:tr>
      <w:tr w:rsidR="004B7DAE" w:rsidRPr="00610401" w:rsidTr="00BE0A2F">
        <w:trPr>
          <w:gridAfter w:val="5"/>
          <w:wAfter w:w="4918" w:type="dxa"/>
          <w:cantSplit/>
          <w:trHeight w:val="528"/>
        </w:trPr>
        <w:tc>
          <w:tcPr>
            <w:tcW w:w="3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610401" w:rsidRDefault="00BE0A2F" w:rsidP="00853EE5">
            <w:pPr>
              <w:spacing w:before="0" w:after="0"/>
              <w:rPr>
                <w:rFonts w:eastAsia="Times New Roman"/>
                <w:noProof/>
                <w:color w:val="000000" w:themeColor="text1"/>
                <w:sz w:val="20"/>
                <w:szCs w:val="20"/>
              </w:rPr>
            </w:pPr>
            <w:r w:rsidRPr="00610401">
              <w:rPr>
                <w:noProof/>
                <w:color w:val="000000" w:themeColor="text1"/>
                <w:sz w:val="20"/>
              </w:rPr>
              <w:t>Tytuł 2: Infrastruktura, wydatki administracyjne</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rPr>
                <w:rFonts w:eastAsia="Times New Roman"/>
                <w:noProof/>
                <w:color w:val="000000" w:themeColor="text1"/>
                <w:sz w:val="18"/>
                <w:szCs w:val="18"/>
              </w:rPr>
            </w:pPr>
            <w:r w:rsidRPr="00610401">
              <w:rPr>
                <w:noProof/>
                <w:color w:val="000000" w:themeColor="text1"/>
                <w:sz w:val="18"/>
              </w:rPr>
              <w:t>Środki na zobowiązania</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jc w:val="center"/>
              <w:rPr>
                <w:rFonts w:eastAsia="Times New Roman"/>
                <w:noProof/>
                <w:color w:val="000000" w:themeColor="text1"/>
                <w:sz w:val="14"/>
                <w:szCs w:val="14"/>
              </w:rPr>
            </w:pPr>
            <w:r w:rsidRPr="00610401">
              <w:rPr>
                <w:noProof/>
                <w:color w:val="000000" w:themeColor="text1"/>
                <w:sz w:val="14"/>
              </w:rPr>
              <w:t>(1a)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610401"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rFonts w:eastAsia="Times New Roman"/>
                <w:noProof/>
                <w:color w:val="000000" w:themeColor="text1"/>
                <w:sz w:val="20"/>
                <w:szCs w:val="20"/>
              </w:rPr>
            </w:pPr>
            <w:r w:rsidRPr="00610401">
              <w:rPr>
                <w:noProof/>
                <w:sz w:val="18"/>
              </w:rPr>
              <w:t>0,275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noProof/>
                <w:sz w:val="18"/>
              </w:rPr>
              <w:t>0,281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noProof/>
                <w:sz w:val="18"/>
              </w:rPr>
              <w:t>0,287</w:t>
            </w:r>
          </w:p>
        </w:tc>
        <w:tc>
          <w:tcPr>
            <w:tcW w:w="851" w:type="dxa"/>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noProof/>
                <w:sz w:val="18"/>
              </w:rPr>
              <w:t>0,292</w:t>
            </w:r>
          </w:p>
        </w:tc>
        <w:tc>
          <w:tcPr>
            <w:tcW w:w="850" w:type="dxa"/>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noProof/>
                <w:sz w:val="18"/>
              </w:rPr>
              <w:t>0,298</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b/>
                <w:bCs/>
                <w:noProof/>
                <w:color w:val="000000" w:themeColor="text1"/>
                <w:sz w:val="20"/>
                <w:szCs w:val="20"/>
              </w:rPr>
            </w:pPr>
            <w:r w:rsidRPr="00610401">
              <w:rPr>
                <w:b/>
                <w:noProof/>
                <w:sz w:val="18"/>
              </w:rPr>
              <w:t>1,433</w:t>
            </w:r>
          </w:p>
        </w:tc>
      </w:tr>
      <w:tr w:rsidR="004B7DAE" w:rsidRPr="00610401" w:rsidTr="00BE0A2F">
        <w:trPr>
          <w:gridAfter w:val="5"/>
          <w:wAfter w:w="4918" w:type="dxa"/>
          <w:cantSplit/>
          <w:trHeight w:val="288"/>
        </w:trPr>
        <w:tc>
          <w:tcPr>
            <w:tcW w:w="3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jc w:val="left"/>
              <w:rPr>
                <w:rFonts w:eastAsia="Times New Roman"/>
                <w:noProof/>
                <w:color w:val="000000" w:themeColor="text1"/>
                <w:sz w:val="20"/>
                <w:szCs w:val="20"/>
                <w:lang w:eastAsia="en-GB"/>
              </w:rPr>
            </w:pP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rPr>
                <w:rFonts w:eastAsia="Times New Roman"/>
                <w:noProof/>
                <w:color w:val="000000" w:themeColor="text1"/>
                <w:sz w:val="18"/>
                <w:szCs w:val="18"/>
              </w:rPr>
            </w:pPr>
            <w:r w:rsidRPr="00610401">
              <w:rPr>
                <w:noProof/>
                <w:color w:val="000000" w:themeColor="text1"/>
                <w:sz w:val="18"/>
              </w:rPr>
              <w:t>Środki na płatności</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jc w:val="center"/>
              <w:rPr>
                <w:rFonts w:eastAsia="Times New Roman"/>
                <w:noProof/>
                <w:color w:val="000000" w:themeColor="text1"/>
                <w:sz w:val="14"/>
                <w:szCs w:val="14"/>
              </w:rPr>
            </w:pPr>
            <w:r w:rsidRPr="00610401">
              <w:rPr>
                <w:noProof/>
                <w:color w:val="000000" w:themeColor="text1"/>
                <w:sz w:val="14"/>
              </w:rPr>
              <w:t>(2a)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610401"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610401" w:rsidRDefault="00BE0A2F" w:rsidP="00BE0A2F">
            <w:pPr>
              <w:spacing w:beforeLines="20" w:before="48" w:afterLines="20" w:after="48"/>
              <w:jc w:val="right"/>
              <w:rPr>
                <w:rFonts w:eastAsia="Times New Roman"/>
                <w:noProof/>
                <w:color w:val="000000" w:themeColor="text1"/>
                <w:sz w:val="20"/>
                <w:szCs w:val="20"/>
              </w:rPr>
            </w:pPr>
            <w:r w:rsidRPr="00610401">
              <w:rPr>
                <w:noProof/>
                <w:sz w:val="18"/>
              </w:rPr>
              <w:t>0,275</w:t>
            </w:r>
          </w:p>
        </w:tc>
        <w:tc>
          <w:tcPr>
            <w:tcW w:w="85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noProof/>
                <w:sz w:val="18"/>
              </w:rPr>
              <w:t>0,281</w:t>
            </w:r>
          </w:p>
        </w:tc>
        <w:tc>
          <w:tcPr>
            <w:tcW w:w="850" w:type="dxa"/>
            <w:gridSpan w:val="2"/>
            <w:tcBorders>
              <w:top w:val="nil"/>
              <w:left w:val="nil"/>
              <w:bottom w:val="single" w:sz="4" w:space="0" w:color="auto"/>
              <w:right w:val="single" w:sz="4" w:space="0" w:color="auto"/>
            </w:tcBorders>
            <w:shd w:val="clear" w:color="auto" w:fill="FFFFFF" w:themeFill="background1"/>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noProof/>
                <w:sz w:val="18"/>
              </w:rPr>
              <w:t>0,287</w:t>
            </w:r>
          </w:p>
        </w:tc>
        <w:tc>
          <w:tcPr>
            <w:tcW w:w="851" w:type="dxa"/>
            <w:tcBorders>
              <w:top w:val="nil"/>
              <w:left w:val="nil"/>
              <w:bottom w:val="single" w:sz="4" w:space="0" w:color="auto"/>
              <w:right w:val="single" w:sz="4" w:space="0" w:color="auto"/>
            </w:tcBorders>
            <w:shd w:val="clear" w:color="auto" w:fill="FFFFFF" w:themeFill="background1"/>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noProof/>
                <w:sz w:val="18"/>
              </w:rPr>
              <w:t>0,292</w:t>
            </w:r>
          </w:p>
        </w:tc>
        <w:tc>
          <w:tcPr>
            <w:tcW w:w="850" w:type="dxa"/>
            <w:tcBorders>
              <w:top w:val="nil"/>
              <w:left w:val="nil"/>
              <w:bottom w:val="single" w:sz="4" w:space="0" w:color="auto"/>
              <w:right w:val="single" w:sz="4" w:space="0" w:color="auto"/>
            </w:tcBorders>
            <w:shd w:val="clear" w:color="auto" w:fill="FFFFFF" w:themeFill="background1"/>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noProof/>
                <w:sz w:val="18"/>
              </w:rPr>
              <w:t>0,298</w:t>
            </w:r>
          </w:p>
        </w:tc>
        <w:tc>
          <w:tcPr>
            <w:tcW w:w="1985" w:type="dxa"/>
            <w:tcBorders>
              <w:top w:val="nil"/>
              <w:left w:val="nil"/>
              <w:bottom w:val="single" w:sz="4" w:space="0" w:color="auto"/>
              <w:right w:val="single" w:sz="4" w:space="0" w:color="auto"/>
            </w:tcBorders>
            <w:shd w:val="clear" w:color="auto" w:fill="FFFFFF" w:themeFill="background1"/>
            <w:vAlign w:val="center"/>
          </w:tcPr>
          <w:p w:rsidR="00BE0A2F" w:rsidRPr="00610401" w:rsidRDefault="00BE0A2F" w:rsidP="00BE0A2F">
            <w:pPr>
              <w:spacing w:beforeLines="20" w:before="48" w:afterLines="20" w:after="48"/>
              <w:jc w:val="right"/>
              <w:rPr>
                <w:b/>
                <w:bCs/>
                <w:noProof/>
                <w:color w:val="000000" w:themeColor="text1"/>
                <w:sz w:val="20"/>
                <w:szCs w:val="20"/>
              </w:rPr>
            </w:pPr>
            <w:r w:rsidRPr="00610401">
              <w:rPr>
                <w:b/>
                <w:noProof/>
                <w:sz w:val="18"/>
              </w:rPr>
              <w:t>1,433</w:t>
            </w:r>
          </w:p>
        </w:tc>
      </w:tr>
      <w:tr w:rsidR="004B7DAE" w:rsidRPr="00610401" w:rsidTr="00BE0A2F">
        <w:trPr>
          <w:gridAfter w:val="5"/>
          <w:wAfter w:w="4918" w:type="dxa"/>
          <w:cantSplit/>
          <w:trHeight w:val="288"/>
        </w:trPr>
        <w:tc>
          <w:tcPr>
            <w:tcW w:w="3120" w:type="dxa"/>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rPr>
                <w:rFonts w:eastAsia="Times New Roman"/>
                <w:noProof/>
                <w:color w:val="000000" w:themeColor="text1"/>
                <w:sz w:val="20"/>
                <w:szCs w:val="20"/>
              </w:rPr>
            </w:pPr>
            <w:r w:rsidRPr="00610401">
              <w:rPr>
                <w:noProof/>
                <w:color w:val="000000" w:themeColor="text1"/>
                <w:sz w:val="20"/>
              </w:rPr>
              <w:t>Tytuł 3: Wydatki operacyjne</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rPr>
                <w:rFonts w:eastAsia="Times New Roman"/>
                <w:noProof/>
                <w:color w:val="000000" w:themeColor="text1"/>
                <w:sz w:val="18"/>
                <w:szCs w:val="18"/>
              </w:rPr>
            </w:pPr>
            <w:r w:rsidRPr="00610401">
              <w:rPr>
                <w:noProof/>
                <w:color w:val="000000" w:themeColor="text1"/>
                <w:sz w:val="18"/>
              </w:rPr>
              <w:t>Środki na zobowiązania</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jc w:val="center"/>
              <w:rPr>
                <w:rFonts w:eastAsia="Times New Roman"/>
                <w:noProof/>
                <w:color w:val="000000" w:themeColor="text1"/>
                <w:sz w:val="14"/>
                <w:szCs w:val="14"/>
              </w:rPr>
            </w:pPr>
            <w:r w:rsidRPr="00610401">
              <w:rPr>
                <w:noProof/>
                <w:color w:val="000000" w:themeColor="text1"/>
                <w:sz w:val="14"/>
              </w:rPr>
              <w:t>(3a)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610401"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nil"/>
              <w:left w:val="nil"/>
              <w:bottom w:val="nil"/>
              <w:right w:val="single" w:sz="4" w:space="0" w:color="auto"/>
            </w:tcBorders>
            <w:shd w:val="clear" w:color="auto" w:fill="auto"/>
            <w:vAlign w:val="center"/>
          </w:tcPr>
          <w:p w:rsidR="00BE0A2F" w:rsidRPr="00610401" w:rsidRDefault="00BE0A2F" w:rsidP="00BE0A2F">
            <w:pPr>
              <w:spacing w:beforeLines="20" w:before="48" w:afterLines="20" w:after="48"/>
              <w:jc w:val="right"/>
              <w:rPr>
                <w:rFonts w:eastAsia="Times New Roman"/>
                <w:noProof/>
                <w:color w:val="000000" w:themeColor="text1"/>
                <w:sz w:val="20"/>
                <w:szCs w:val="20"/>
              </w:rPr>
            </w:pPr>
            <w:r w:rsidRPr="00610401">
              <w:rPr>
                <w:rFonts w:ascii="Calibri" w:hAnsi="Calibri"/>
                <w:noProof/>
                <w:sz w:val="18"/>
              </w:rPr>
              <w:t>1,004</w:t>
            </w:r>
          </w:p>
        </w:tc>
        <w:tc>
          <w:tcPr>
            <w:tcW w:w="851" w:type="dxa"/>
            <w:gridSpan w:val="2"/>
            <w:tcBorders>
              <w:top w:val="nil"/>
              <w:left w:val="nil"/>
              <w:bottom w:val="nil"/>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rFonts w:ascii="Calibri" w:hAnsi="Calibri"/>
                <w:noProof/>
                <w:sz w:val="18"/>
              </w:rPr>
              <w:t>0,587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rFonts w:ascii="Calibri" w:hAnsi="Calibri"/>
                <w:noProof/>
                <w:sz w:val="18"/>
              </w:rPr>
              <w:t>0,596</w:t>
            </w:r>
          </w:p>
        </w:tc>
        <w:tc>
          <w:tcPr>
            <w:tcW w:w="851" w:type="dxa"/>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rFonts w:ascii="Calibri" w:hAnsi="Calibri"/>
                <w:noProof/>
                <w:sz w:val="18"/>
              </w:rPr>
              <w:t>0,605</w:t>
            </w:r>
          </w:p>
        </w:tc>
        <w:tc>
          <w:tcPr>
            <w:tcW w:w="850" w:type="dxa"/>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rFonts w:ascii="Calibri" w:hAnsi="Calibri"/>
                <w:noProof/>
                <w:sz w:val="18"/>
              </w:rPr>
              <w:t>0,614</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b/>
                <w:bCs/>
                <w:noProof/>
                <w:color w:val="000000" w:themeColor="text1"/>
                <w:sz w:val="20"/>
                <w:szCs w:val="20"/>
              </w:rPr>
            </w:pPr>
            <w:r w:rsidRPr="00610401">
              <w:rPr>
                <w:rFonts w:ascii="Calibri" w:hAnsi="Calibri"/>
                <w:b/>
                <w:noProof/>
                <w:sz w:val="18"/>
              </w:rPr>
              <w:t>3,406</w:t>
            </w:r>
          </w:p>
        </w:tc>
      </w:tr>
      <w:tr w:rsidR="004B7DAE" w:rsidRPr="00610401" w:rsidTr="00BE0A2F">
        <w:trPr>
          <w:gridAfter w:val="5"/>
          <w:wAfter w:w="4918" w:type="dxa"/>
          <w:cantSplit/>
          <w:trHeight w:val="288"/>
        </w:trPr>
        <w:tc>
          <w:tcPr>
            <w:tcW w:w="3120" w:type="dxa"/>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rPr>
                <w:rFonts w:eastAsia="Times New Roman"/>
                <w:b/>
                <w:bCs/>
                <w:noProof/>
                <w:color w:val="000000" w:themeColor="text1"/>
                <w:sz w:val="20"/>
                <w:szCs w:val="20"/>
              </w:rPr>
            </w:pPr>
            <w:r w:rsidRPr="00610401">
              <w:rPr>
                <w:b/>
                <w:noProof/>
                <w:color w:val="000000" w:themeColor="text1"/>
                <w:sz w:val="20"/>
              </w:rPr>
              <w:t xml:space="preserve"> </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rPr>
                <w:rFonts w:eastAsia="Times New Roman"/>
                <w:noProof/>
                <w:color w:val="000000" w:themeColor="text1"/>
                <w:sz w:val="18"/>
                <w:szCs w:val="18"/>
              </w:rPr>
            </w:pPr>
            <w:r w:rsidRPr="00610401">
              <w:rPr>
                <w:noProof/>
                <w:color w:val="000000" w:themeColor="text1"/>
                <w:sz w:val="18"/>
              </w:rPr>
              <w:t>Środki na płatności</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jc w:val="center"/>
              <w:rPr>
                <w:rFonts w:eastAsia="Times New Roman"/>
                <w:noProof/>
                <w:color w:val="000000" w:themeColor="text1"/>
                <w:sz w:val="14"/>
                <w:szCs w:val="14"/>
              </w:rPr>
            </w:pPr>
            <w:r w:rsidRPr="00610401">
              <w:rPr>
                <w:noProof/>
                <w:color w:val="000000" w:themeColor="text1"/>
                <w:sz w:val="14"/>
              </w:rPr>
              <w:t>(3b)</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610401"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rFonts w:eastAsia="Times New Roman"/>
                <w:noProof/>
                <w:color w:val="000000" w:themeColor="text1"/>
                <w:sz w:val="20"/>
                <w:szCs w:val="20"/>
              </w:rPr>
            </w:pPr>
            <w:r w:rsidRPr="00610401">
              <w:rPr>
                <w:rFonts w:ascii="Calibri" w:hAnsi="Calibri"/>
                <w:noProof/>
                <w:sz w:val="18"/>
              </w:rPr>
              <w:t>1,004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rFonts w:ascii="Calibri" w:hAnsi="Calibri"/>
                <w:noProof/>
                <w:sz w:val="18"/>
              </w:rPr>
              <w:t>0,587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rFonts w:ascii="Calibri" w:hAnsi="Calibri"/>
                <w:noProof/>
                <w:sz w:val="18"/>
              </w:rPr>
              <w:t>0,596</w:t>
            </w:r>
          </w:p>
        </w:tc>
        <w:tc>
          <w:tcPr>
            <w:tcW w:w="851" w:type="dxa"/>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rFonts w:ascii="Calibri" w:hAnsi="Calibri"/>
                <w:noProof/>
                <w:sz w:val="18"/>
              </w:rPr>
              <w:t>0,605</w:t>
            </w:r>
          </w:p>
        </w:tc>
        <w:tc>
          <w:tcPr>
            <w:tcW w:w="850" w:type="dxa"/>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noProof/>
                <w:color w:val="000000" w:themeColor="text1"/>
                <w:sz w:val="20"/>
                <w:szCs w:val="20"/>
              </w:rPr>
            </w:pPr>
            <w:r w:rsidRPr="00610401">
              <w:rPr>
                <w:rFonts w:ascii="Calibri" w:hAnsi="Calibri"/>
                <w:noProof/>
                <w:sz w:val="18"/>
              </w:rPr>
              <w:t>0,614</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A2F" w:rsidRPr="00610401" w:rsidRDefault="00BE0A2F" w:rsidP="00BE0A2F">
            <w:pPr>
              <w:spacing w:beforeLines="20" w:before="48" w:afterLines="20" w:after="48"/>
              <w:jc w:val="right"/>
              <w:rPr>
                <w:b/>
                <w:bCs/>
                <w:noProof/>
                <w:color w:val="000000" w:themeColor="text1"/>
                <w:sz w:val="20"/>
                <w:szCs w:val="20"/>
              </w:rPr>
            </w:pPr>
            <w:r w:rsidRPr="00610401">
              <w:rPr>
                <w:rFonts w:ascii="Calibri" w:hAnsi="Calibri"/>
                <w:b/>
                <w:noProof/>
                <w:sz w:val="18"/>
              </w:rPr>
              <w:t>3,406</w:t>
            </w:r>
          </w:p>
        </w:tc>
      </w:tr>
      <w:tr w:rsidR="004B7DAE" w:rsidRPr="00610401" w:rsidTr="00BE0A2F">
        <w:trPr>
          <w:gridAfter w:val="5"/>
          <w:wAfter w:w="4918" w:type="dxa"/>
          <w:cantSplit/>
          <w:trHeight w:val="468"/>
        </w:trPr>
        <w:tc>
          <w:tcPr>
            <w:tcW w:w="3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jc w:val="left"/>
              <w:rPr>
                <w:rFonts w:eastAsia="Times New Roman"/>
                <w:b/>
                <w:bCs/>
                <w:noProof/>
                <w:color w:val="000000" w:themeColor="text1"/>
                <w:sz w:val="22"/>
              </w:rPr>
            </w:pPr>
            <w:r w:rsidRPr="00610401">
              <w:rPr>
                <w:b/>
                <w:noProof/>
                <w:color w:val="000000" w:themeColor="text1"/>
                <w:sz w:val="22"/>
              </w:rPr>
              <w:t>OGÓŁEM środki dla EEA</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rPr>
                <w:rFonts w:eastAsia="Times New Roman"/>
                <w:noProof/>
                <w:color w:val="000000" w:themeColor="text1"/>
                <w:sz w:val="18"/>
                <w:szCs w:val="18"/>
              </w:rPr>
            </w:pPr>
            <w:r w:rsidRPr="00610401">
              <w:rPr>
                <w:noProof/>
                <w:color w:val="000000" w:themeColor="text1"/>
                <w:sz w:val="18"/>
              </w:rPr>
              <w:t>Środki na zobowiązania</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jc w:val="center"/>
              <w:rPr>
                <w:rFonts w:eastAsia="Times New Roman"/>
                <w:noProof/>
                <w:color w:val="000000" w:themeColor="text1"/>
                <w:sz w:val="14"/>
                <w:szCs w:val="14"/>
              </w:rPr>
            </w:pPr>
            <w:r w:rsidRPr="00610401">
              <w:rPr>
                <w:noProof/>
                <w:color w:val="000000" w:themeColor="text1"/>
                <w:sz w:val="14"/>
              </w:rPr>
              <w:t>= 1 + 1a + 3a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610401" w:rsidRDefault="00BE0A2F" w:rsidP="00BE0A2F">
            <w:pPr>
              <w:spacing w:beforeLines="20" w:before="48" w:afterLines="20" w:after="48"/>
              <w:jc w:val="right"/>
              <w:rPr>
                <w:rFonts w:eastAsia="Times New Roman"/>
                <w:b/>
                <w:bCs/>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E0A2F" w:rsidRPr="00610401" w:rsidRDefault="001056E8" w:rsidP="00BE0A2F">
            <w:pPr>
              <w:spacing w:beforeLines="20" w:before="48" w:afterLines="20" w:after="48"/>
              <w:jc w:val="right"/>
              <w:rPr>
                <w:noProof/>
                <w:sz w:val="18"/>
              </w:rPr>
            </w:pPr>
            <w:r w:rsidRPr="00610401">
              <w:rPr>
                <w:noProof/>
                <w:sz w:val="18"/>
              </w:rPr>
              <w:t>2,302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spacing w:beforeLines="20" w:before="48" w:afterLines="20" w:after="48"/>
              <w:jc w:val="right"/>
              <w:rPr>
                <w:noProof/>
                <w:sz w:val="18"/>
              </w:rPr>
            </w:pPr>
            <w:r w:rsidRPr="00610401">
              <w:rPr>
                <w:noProof/>
                <w:sz w:val="18"/>
              </w:rPr>
              <w:t>2,954</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spacing w:beforeLines="20" w:before="48" w:afterLines="20" w:after="48"/>
              <w:jc w:val="right"/>
              <w:rPr>
                <w:noProof/>
                <w:sz w:val="18"/>
              </w:rPr>
            </w:pPr>
            <w:r w:rsidRPr="00610401">
              <w:rPr>
                <w:noProof/>
                <w:sz w:val="18"/>
              </w:rPr>
              <w:t>3,011</w:t>
            </w:r>
          </w:p>
        </w:tc>
        <w:tc>
          <w:tcPr>
            <w:tcW w:w="851" w:type="dxa"/>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spacing w:beforeLines="20" w:before="48" w:afterLines="20" w:after="48"/>
              <w:jc w:val="right"/>
              <w:rPr>
                <w:noProof/>
                <w:sz w:val="18"/>
              </w:rPr>
            </w:pPr>
            <w:r w:rsidRPr="00610401">
              <w:rPr>
                <w:noProof/>
                <w:sz w:val="18"/>
              </w:rPr>
              <w:t>3,067</w:t>
            </w:r>
          </w:p>
        </w:tc>
        <w:tc>
          <w:tcPr>
            <w:tcW w:w="850" w:type="dxa"/>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spacing w:beforeLines="20" w:before="48" w:afterLines="20" w:after="48"/>
              <w:jc w:val="right"/>
              <w:rPr>
                <w:noProof/>
                <w:sz w:val="18"/>
              </w:rPr>
            </w:pPr>
            <w:r w:rsidRPr="00610401">
              <w:rPr>
                <w:noProof/>
                <w:sz w:val="18"/>
              </w:rPr>
              <w:t>3,126</w:t>
            </w:r>
          </w:p>
        </w:tc>
        <w:tc>
          <w:tcPr>
            <w:tcW w:w="1985" w:type="dxa"/>
            <w:tcBorders>
              <w:top w:val="single" w:sz="4" w:space="0" w:color="auto"/>
              <w:left w:val="nil"/>
              <w:bottom w:val="single" w:sz="4" w:space="0" w:color="auto"/>
              <w:right w:val="single" w:sz="4" w:space="0" w:color="auto"/>
            </w:tcBorders>
            <w:shd w:val="clear" w:color="auto" w:fill="auto"/>
            <w:vAlign w:val="bottom"/>
          </w:tcPr>
          <w:p w:rsidR="00BE0A2F" w:rsidRPr="00610401" w:rsidRDefault="001056E8" w:rsidP="00BE0A2F">
            <w:pPr>
              <w:spacing w:beforeLines="20" w:before="48" w:afterLines="20" w:after="48"/>
              <w:jc w:val="right"/>
              <w:rPr>
                <w:b/>
                <w:noProof/>
                <w:sz w:val="18"/>
              </w:rPr>
            </w:pPr>
            <w:r w:rsidRPr="00610401">
              <w:rPr>
                <w:b/>
                <w:noProof/>
                <w:sz w:val="18"/>
              </w:rPr>
              <w:t>14,460</w:t>
            </w:r>
          </w:p>
        </w:tc>
      </w:tr>
      <w:tr w:rsidR="004B7DAE" w:rsidRPr="00610401" w:rsidTr="00BE0A2F">
        <w:trPr>
          <w:gridAfter w:val="5"/>
          <w:wAfter w:w="4918" w:type="dxa"/>
          <w:cantSplit/>
          <w:trHeight w:val="480"/>
        </w:trPr>
        <w:tc>
          <w:tcPr>
            <w:tcW w:w="3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0" w:after="0"/>
              <w:jc w:val="left"/>
              <w:rPr>
                <w:rFonts w:eastAsia="Times New Roman"/>
                <w:b/>
                <w:bCs/>
                <w:noProof/>
                <w:color w:val="000000" w:themeColor="text1"/>
                <w:sz w:val="22"/>
                <w:lang w:eastAsia="en-GB"/>
              </w:rPr>
            </w:pP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rPr>
                <w:rFonts w:eastAsia="Times New Roman"/>
                <w:noProof/>
                <w:color w:val="000000" w:themeColor="text1"/>
                <w:sz w:val="18"/>
                <w:szCs w:val="18"/>
              </w:rPr>
            </w:pPr>
            <w:r w:rsidRPr="00610401">
              <w:rPr>
                <w:noProof/>
                <w:color w:val="000000" w:themeColor="text1"/>
                <w:sz w:val="18"/>
              </w:rPr>
              <w:t>Środki na płatności</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610401" w:rsidRDefault="00BE0A2F" w:rsidP="00BE0A2F">
            <w:pPr>
              <w:spacing w:beforeLines="20" w:before="48" w:afterLines="20" w:after="48"/>
              <w:jc w:val="center"/>
              <w:rPr>
                <w:rFonts w:eastAsia="Times New Roman"/>
                <w:noProof/>
                <w:color w:val="000000" w:themeColor="text1"/>
                <w:sz w:val="14"/>
                <w:szCs w:val="14"/>
              </w:rPr>
            </w:pPr>
            <w:r w:rsidRPr="00610401">
              <w:rPr>
                <w:noProof/>
                <w:color w:val="000000" w:themeColor="text1"/>
                <w:sz w:val="14"/>
              </w:rPr>
              <w:t>= 2 + 2a + 3b</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610401" w:rsidRDefault="00BE0A2F" w:rsidP="00BE0A2F">
            <w:pPr>
              <w:spacing w:beforeLines="20" w:before="48" w:afterLines="20" w:after="48"/>
              <w:jc w:val="right"/>
              <w:rPr>
                <w:rFonts w:eastAsia="Times New Roman"/>
                <w:b/>
                <w:bCs/>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E0A2F" w:rsidRPr="00610401" w:rsidRDefault="001056E8" w:rsidP="00BE0A2F">
            <w:pPr>
              <w:spacing w:beforeLines="20" w:before="48" w:afterLines="20" w:after="48"/>
              <w:jc w:val="right"/>
              <w:rPr>
                <w:noProof/>
                <w:sz w:val="18"/>
              </w:rPr>
            </w:pPr>
            <w:r w:rsidRPr="00610401">
              <w:rPr>
                <w:noProof/>
                <w:sz w:val="18"/>
              </w:rPr>
              <w:t>2,302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spacing w:beforeLines="20" w:before="48" w:afterLines="20" w:after="48"/>
              <w:jc w:val="right"/>
              <w:rPr>
                <w:noProof/>
                <w:sz w:val="18"/>
              </w:rPr>
            </w:pPr>
            <w:r w:rsidRPr="00610401">
              <w:rPr>
                <w:noProof/>
                <w:sz w:val="18"/>
              </w:rPr>
              <w:t>2,954</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spacing w:beforeLines="20" w:before="48" w:afterLines="20" w:after="48"/>
              <w:jc w:val="right"/>
              <w:rPr>
                <w:noProof/>
                <w:sz w:val="18"/>
              </w:rPr>
            </w:pPr>
            <w:r w:rsidRPr="00610401">
              <w:rPr>
                <w:noProof/>
                <w:sz w:val="18"/>
              </w:rPr>
              <w:t>3,011</w:t>
            </w:r>
          </w:p>
        </w:tc>
        <w:tc>
          <w:tcPr>
            <w:tcW w:w="851" w:type="dxa"/>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spacing w:beforeLines="20" w:before="48" w:afterLines="20" w:after="48"/>
              <w:jc w:val="right"/>
              <w:rPr>
                <w:noProof/>
                <w:sz w:val="18"/>
              </w:rPr>
            </w:pPr>
            <w:r w:rsidRPr="00610401">
              <w:rPr>
                <w:noProof/>
                <w:sz w:val="18"/>
              </w:rPr>
              <w:t>3,067</w:t>
            </w:r>
          </w:p>
        </w:tc>
        <w:tc>
          <w:tcPr>
            <w:tcW w:w="850" w:type="dxa"/>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spacing w:beforeLines="20" w:before="48" w:afterLines="20" w:after="48"/>
              <w:jc w:val="right"/>
              <w:rPr>
                <w:noProof/>
                <w:sz w:val="18"/>
              </w:rPr>
            </w:pPr>
            <w:r w:rsidRPr="00610401">
              <w:rPr>
                <w:noProof/>
                <w:sz w:val="18"/>
              </w:rPr>
              <w:t>3,126</w:t>
            </w:r>
          </w:p>
        </w:tc>
        <w:tc>
          <w:tcPr>
            <w:tcW w:w="1985" w:type="dxa"/>
            <w:tcBorders>
              <w:top w:val="single" w:sz="4" w:space="0" w:color="auto"/>
              <w:left w:val="nil"/>
              <w:bottom w:val="single" w:sz="4" w:space="0" w:color="auto"/>
              <w:right w:val="single" w:sz="4" w:space="0" w:color="auto"/>
            </w:tcBorders>
            <w:shd w:val="clear" w:color="auto" w:fill="auto"/>
            <w:vAlign w:val="bottom"/>
          </w:tcPr>
          <w:p w:rsidR="00BE0A2F" w:rsidRPr="00610401" w:rsidRDefault="001056E8" w:rsidP="00BE0A2F">
            <w:pPr>
              <w:spacing w:beforeLines="20" w:before="48" w:afterLines="20" w:after="48"/>
              <w:jc w:val="right"/>
              <w:rPr>
                <w:b/>
                <w:noProof/>
                <w:sz w:val="18"/>
              </w:rPr>
            </w:pPr>
            <w:r w:rsidRPr="00610401">
              <w:rPr>
                <w:b/>
                <w:noProof/>
                <w:sz w:val="18"/>
              </w:rPr>
              <w:t>14,460</w:t>
            </w:r>
          </w:p>
        </w:tc>
      </w:tr>
    </w:tbl>
    <w:p w:rsidR="00BE0A2F" w:rsidRPr="00610401" w:rsidRDefault="00BE0A2F" w:rsidP="00BE0A2F">
      <w:pPr>
        <w:spacing w:after="40"/>
        <w:rPr>
          <w:b/>
          <w:noProof/>
          <w:color w:val="000000" w:themeColor="text1"/>
          <w:sz w:val="22"/>
          <w:u w:val="single"/>
        </w:rPr>
      </w:pPr>
    </w:p>
    <w:p w:rsidR="00BE0A2F" w:rsidRPr="00610401" w:rsidRDefault="00BE0A2F" w:rsidP="00BE0A2F">
      <w:pPr>
        <w:rPr>
          <w:b/>
          <w:bCs/>
          <w:noProof/>
          <w:color w:val="000000" w:themeColor="text1"/>
        </w:rPr>
      </w:pPr>
      <w:r w:rsidRPr="00610401">
        <w:rPr>
          <w:b/>
          <w:noProof/>
          <w:color w:val="000000" w:themeColor="text1"/>
        </w:rPr>
        <w:t>Uwagi dotyczące wydatków EEA:</w:t>
      </w:r>
    </w:p>
    <w:p w:rsidR="00BE0A2F" w:rsidRPr="00610401" w:rsidRDefault="00BE0A2F" w:rsidP="00BE0A2F">
      <w:pPr>
        <w:rPr>
          <w:noProof/>
          <w:color w:val="000000" w:themeColor="text1"/>
        </w:rPr>
      </w:pPr>
      <w:r w:rsidRPr="00610401">
        <w:rPr>
          <w:b/>
          <w:noProof/>
          <w:color w:val="000000" w:themeColor="text1"/>
        </w:rPr>
        <w:t>Tytuł 1</w:t>
      </w:r>
      <w:r w:rsidRPr="00610401">
        <w:rPr>
          <w:noProof/>
          <w:color w:val="000000" w:themeColor="text1"/>
        </w:rPr>
        <w:t>: koszty</w:t>
      </w:r>
      <w:r w:rsidR="00610401" w:rsidRPr="00610401">
        <w:rPr>
          <w:noProof/>
          <w:color w:val="000000" w:themeColor="text1"/>
        </w:rPr>
        <w:t xml:space="preserve"> w prz</w:t>
      </w:r>
      <w:r w:rsidRPr="00610401">
        <w:rPr>
          <w:noProof/>
          <w:color w:val="000000" w:themeColor="text1"/>
        </w:rPr>
        <w:t>eliczeniu na EPC obliczono</w:t>
      </w:r>
      <w:r w:rsidR="00610401" w:rsidRPr="00610401">
        <w:rPr>
          <w:noProof/>
          <w:color w:val="000000" w:themeColor="text1"/>
        </w:rPr>
        <w:t xml:space="preserve"> w nas</w:t>
      </w:r>
      <w:r w:rsidRPr="00610401">
        <w:rPr>
          <w:noProof/>
          <w:color w:val="000000" w:themeColor="text1"/>
        </w:rPr>
        <w:t>tępujący sposób:</w:t>
      </w:r>
    </w:p>
    <w:p w:rsidR="00BE0A2F" w:rsidRPr="00610401" w:rsidRDefault="00BE0A2F" w:rsidP="00B0251E">
      <w:pPr>
        <w:pStyle w:val="Tiret0"/>
        <w:rPr>
          <w:noProof/>
        </w:rPr>
      </w:pPr>
      <w:r w:rsidRPr="00610401">
        <w:rPr>
          <w:noProof/>
        </w:rPr>
        <w:t>w przypadku pracowników zatrudnionych na czas określony (grupa funkcyjna AD/AST) na podstawie średniego kosztu personelu wynoszącego 157 000 EUR/rok pomnożonego przez 1,342 (współczynnik kosztów utrzymania</w:t>
      </w:r>
      <w:r w:rsidR="00610401" w:rsidRPr="00610401">
        <w:rPr>
          <w:noProof/>
        </w:rPr>
        <w:t xml:space="preserve"> w Kop</w:t>
      </w:r>
      <w:r w:rsidRPr="00610401">
        <w:rPr>
          <w:noProof/>
        </w:rPr>
        <w:t xml:space="preserve">enhadze); </w:t>
      </w:r>
    </w:p>
    <w:p w:rsidR="00BE0A2F" w:rsidRPr="00610401" w:rsidRDefault="00BE0A2F" w:rsidP="00633D25">
      <w:pPr>
        <w:pStyle w:val="Tiret0"/>
        <w:rPr>
          <w:noProof/>
        </w:rPr>
      </w:pPr>
      <w:r w:rsidRPr="00610401">
        <w:rPr>
          <w:noProof/>
        </w:rPr>
        <w:t xml:space="preserve">w przypadku pracowników kontraktowych na podstawie średniego kosztu personelu wynoszącego 85 000 EUR/rok pomnożonego przez 1,342; </w:t>
      </w:r>
    </w:p>
    <w:p w:rsidR="00BE0A2F" w:rsidRPr="00610401" w:rsidRDefault="00BE0A2F" w:rsidP="00633D25">
      <w:pPr>
        <w:pStyle w:val="Tiret0"/>
        <w:rPr>
          <w:noProof/>
        </w:rPr>
      </w:pPr>
      <w:r w:rsidRPr="00610401">
        <w:rPr>
          <w:noProof/>
        </w:rPr>
        <w:t>przy zastosowaniu rocznej stopy inflacji</w:t>
      </w:r>
      <w:r w:rsidR="00610401" w:rsidRPr="00610401">
        <w:rPr>
          <w:noProof/>
        </w:rPr>
        <w:t xml:space="preserve"> w wys</w:t>
      </w:r>
      <w:r w:rsidRPr="00610401">
        <w:rPr>
          <w:noProof/>
        </w:rPr>
        <w:t>okości 2</w:t>
      </w:r>
      <w:r w:rsidR="00610401" w:rsidRPr="00610401">
        <w:rPr>
          <w:noProof/>
        </w:rPr>
        <w:t> </w:t>
      </w:r>
      <w:r w:rsidRPr="00610401">
        <w:rPr>
          <w:noProof/>
        </w:rPr>
        <w:t>% od</w:t>
      </w:r>
      <w:r w:rsidR="00610401" w:rsidRPr="00610401">
        <w:rPr>
          <w:noProof/>
        </w:rPr>
        <w:t> </w:t>
      </w:r>
      <w:r w:rsidRPr="00610401">
        <w:rPr>
          <w:noProof/>
        </w:rPr>
        <w:t>2024</w:t>
      </w:r>
      <w:r w:rsidR="00610401" w:rsidRPr="00610401">
        <w:rPr>
          <w:noProof/>
        </w:rPr>
        <w:t> </w:t>
      </w:r>
      <w:r w:rsidRPr="00610401">
        <w:rPr>
          <w:noProof/>
        </w:rPr>
        <w:t>r.;</w:t>
      </w:r>
    </w:p>
    <w:p w:rsidR="001056E8" w:rsidRPr="00610401" w:rsidRDefault="001056E8" w:rsidP="00633D25">
      <w:pPr>
        <w:pStyle w:val="Tiret0"/>
        <w:rPr>
          <w:noProof/>
        </w:rPr>
      </w:pPr>
      <w:r w:rsidRPr="00610401">
        <w:rPr>
          <w:noProof/>
        </w:rPr>
        <w:t>w pierwszym roku (2023) koszty personelu są liczone tylko za pół roku, co wynika</w:t>
      </w:r>
      <w:r w:rsidR="00610401" w:rsidRPr="00610401">
        <w:rPr>
          <w:noProof/>
        </w:rPr>
        <w:t xml:space="preserve"> z zał</w:t>
      </w:r>
      <w:r w:rsidRPr="00610401">
        <w:rPr>
          <w:noProof/>
        </w:rPr>
        <w:t>ożenia, że nie wszyscy pracownicy zostaną zatrudnieni już</w:t>
      </w:r>
      <w:r w:rsidR="00610401" w:rsidRPr="00610401">
        <w:rPr>
          <w:noProof/>
        </w:rPr>
        <w:t xml:space="preserve"> w sty</w:t>
      </w:r>
      <w:r w:rsidRPr="00610401">
        <w:rPr>
          <w:noProof/>
        </w:rPr>
        <w:t>czniu 2023</w:t>
      </w:r>
      <w:r w:rsidR="00610401" w:rsidRPr="00610401">
        <w:rPr>
          <w:noProof/>
        </w:rPr>
        <w:t> </w:t>
      </w:r>
      <w:r w:rsidRPr="00610401">
        <w:rPr>
          <w:noProof/>
        </w:rPr>
        <w:t>r.</w:t>
      </w:r>
    </w:p>
    <w:p w:rsidR="00BE0A2F" w:rsidRPr="00610401" w:rsidRDefault="00BE0A2F" w:rsidP="00BE0A2F">
      <w:pPr>
        <w:rPr>
          <w:noProof/>
          <w:color w:val="000000" w:themeColor="text1"/>
        </w:rPr>
      </w:pPr>
      <w:r w:rsidRPr="00610401">
        <w:rPr>
          <w:b/>
          <w:noProof/>
          <w:color w:val="000000" w:themeColor="text1"/>
        </w:rPr>
        <w:t>Tytuł 2:</w:t>
      </w:r>
      <w:r w:rsidRPr="00610401">
        <w:rPr>
          <w:noProof/>
          <w:color w:val="000000" w:themeColor="text1"/>
        </w:rPr>
        <w:t xml:space="preserve"> tytuł ten obejmuje media, wynajem</w:t>
      </w:r>
      <w:r w:rsidR="00610401" w:rsidRPr="00610401">
        <w:rPr>
          <w:noProof/>
          <w:color w:val="000000" w:themeColor="text1"/>
        </w:rPr>
        <w:t xml:space="preserve"> i usł</w:t>
      </w:r>
      <w:r w:rsidRPr="00610401">
        <w:rPr>
          <w:noProof/>
          <w:color w:val="000000" w:themeColor="text1"/>
        </w:rPr>
        <w:t>ugi oraz potrzeby użytkowników końcowych</w:t>
      </w:r>
      <w:r w:rsidR="00610401" w:rsidRPr="00610401">
        <w:rPr>
          <w:noProof/>
          <w:color w:val="000000" w:themeColor="text1"/>
        </w:rPr>
        <w:t xml:space="preserve"> w zak</w:t>
      </w:r>
      <w:r w:rsidRPr="00610401">
        <w:rPr>
          <w:noProof/>
          <w:color w:val="000000" w:themeColor="text1"/>
        </w:rPr>
        <w:t>resie IT</w:t>
      </w:r>
      <w:r w:rsidR="00610401" w:rsidRPr="00610401">
        <w:rPr>
          <w:noProof/>
          <w:color w:val="000000" w:themeColor="text1"/>
        </w:rPr>
        <w:t xml:space="preserve"> i kom</w:t>
      </w:r>
      <w:r w:rsidRPr="00610401">
        <w:rPr>
          <w:noProof/>
          <w:color w:val="000000" w:themeColor="text1"/>
        </w:rPr>
        <w:t>unikacji, np. laptopy, licencje na oprogramowanie, telefonię, hosting.</w:t>
      </w:r>
      <w:r w:rsidR="00610401" w:rsidRPr="00610401">
        <w:rPr>
          <w:noProof/>
          <w:color w:val="000000" w:themeColor="text1"/>
        </w:rPr>
        <w:t xml:space="preserve"> </w:t>
      </w:r>
      <w:r w:rsidRPr="00610401">
        <w:rPr>
          <w:noProof/>
          <w:color w:val="000000" w:themeColor="text1"/>
        </w:rPr>
        <w:t>Koszty są korygowane</w:t>
      </w:r>
      <w:r w:rsidR="00610401" w:rsidRPr="00610401">
        <w:rPr>
          <w:noProof/>
          <w:color w:val="000000" w:themeColor="text1"/>
        </w:rPr>
        <w:t xml:space="preserve"> o wsk</w:t>
      </w:r>
      <w:r w:rsidRPr="00610401">
        <w:rPr>
          <w:noProof/>
          <w:color w:val="000000" w:themeColor="text1"/>
        </w:rPr>
        <w:t>aźnik inflacji wynoszący 2</w:t>
      </w:r>
      <w:r w:rsidR="00610401" w:rsidRPr="00610401">
        <w:rPr>
          <w:noProof/>
          <w:color w:val="000000" w:themeColor="text1"/>
        </w:rPr>
        <w:t> </w:t>
      </w:r>
      <w:r w:rsidRPr="00610401">
        <w:rPr>
          <w:noProof/>
          <w:color w:val="000000" w:themeColor="text1"/>
        </w:rPr>
        <w:t>% rocznie.</w:t>
      </w:r>
    </w:p>
    <w:p w:rsidR="00BE0A2F" w:rsidRPr="00610401" w:rsidRDefault="00BE0A2F" w:rsidP="00BE0A2F">
      <w:pPr>
        <w:rPr>
          <w:noProof/>
          <w:color w:val="000000" w:themeColor="text1"/>
        </w:rPr>
      </w:pPr>
      <w:r w:rsidRPr="00610401">
        <w:rPr>
          <w:noProof/>
          <w:color w:val="000000" w:themeColor="text1"/>
        </w:rPr>
        <w:t>Koszty</w:t>
      </w:r>
      <w:r w:rsidR="00610401" w:rsidRPr="00610401">
        <w:rPr>
          <w:noProof/>
          <w:color w:val="000000" w:themeColor="text1"/>
        </w:rPr>
        <w:t xml:space="preserve"> w ram</w:t>
      </w:r>
      <w:r w:rsidRPr="00610401">
        <w:rPr>
          <w:noProof/>
          <w:color w:val="000000" w:themeColor="text1"/>
        </w:rPr>
        <w:t xml:space="preserve">ach </w:t>
      </w:r>
      <w:r w:rsidRPr="00610401">
        <w:rPr>
          <w:b/>
          <w:noProof/>
          <w:color w:val="000000" w:themeColor="text1"/>
        </w:rPr>
        <w:t>tytułu 3</w:t>
      </w:r>
      <w:r w:rsidRPr="00610401">
        <w:rPr>
          <w:noProof/>
          <w:color w:val="000000" w:themeColor="text1"/>
        </w:rPr>
        <w:t xml:space="preserve"> obejmują:</w:t>
      </w:r>
    </w:p>
    <w:p w:rsidR="00BE0A2F" w:rsidRPr="00610401" w:rsidRDefault="00BE0A2F" w:rsidP="00633D25">
      <w:pPr>
        <w:pStyle w:val="Tiret0"/>
        <w:rPr>
          <w:noProof/>
        </w:rPr>
      </w:pPr>
      <w:r w:rsidRPr="00610401">
        <w:rPr>
          <w:noProof/>
        </w:rPr>
        <w:t>koszty informatyczne niezbędne do zapewnienia</w:t>
      </w:r>
      <w:r w:rsidR="00610401" w:rsidRPr="00610401">
        <w:rPr>
          <w:noProof/>
        </w:rPr>
        <w:t xml:space="preserve"> i kon</w:t>
      </w:r>
      <w:r w:rsidRPr="00610401">
        <w:rPr>
          <w:noProof/>
        </w:rPr>
        <w:t>troli jakości danych zebranych od państw członkowskich (600 000 EUR na wstępne opracowanie</w:t>
      </w:r>
      <w:r w:rsidR="00610401" w:rsidRPr="00610401">
        <w:rPr>
          <w:noProof/>
        </w:rPr>
        <w:t xml:space="preserve"> i str</w:t>
      </w:r>
      <w:r w:rsidRPr="00610401">
        <w:rPr>
          <w:noProof/>
        </w:rPr>
        <w:t>ukturę systemu informatycznego, 200 000 EUR na roczne utrzymanie). EEA będzie starała się korzystać</w:t>
      </w:r>
      <w:r w:rsidR="00610401" w:rsidRPr="00610401">
        <w:rPr>
          <w:noProof/>
        </w:rPr>
        <w:t xml:space="preserve"> z usł</w:t>
      </w:r>
      <w:r w:rsidRPr="00610401">
        <w:rPr>
          <w:noProof/>
        </w:rPr>
        <w:t>ug zewnętrznych ekspertów IT (personel do pomocy wewnętrznej lub wsparcia zewnętrznego, co pozwoli na osiągnięcie większej wydajności). Należy zauważyć, że są to koszty dodatkowe</w:t>
      </w:r>
      <w:r w:rsidR="00610401" w:rsidRPr="00610401">
        <w:rPr>
          <w:noProof/>
        </w:rPr>
        <w:t xml:space="preserve"> w sto</w:t>
      </w:r>
      <w:r w:rsidRPr="00610401">
        <w:rPr>
          <w:noProof/>
        </w:rPr>
        <w:t>sunku do kosztów informatycznych</w:t>
      </w:r>
      <w:r w:rsidR="00610401" w:rsidRPr="00610401">
        <w:rPr>
          <w:noProof/>
        </w:rPr>
        <w:t xml:space="preserve"> w ram</w:t>
      </w:r>
      <w:r w:rsidRPr="00610401">
        <w:rPr>
          <w:noProof/>
        </w:rPr>
        <w:t>ach tytułu 2, które są związane</w:t>
      </w:r>
      <w:r w:rsidR="00610401" w:rsidRPr="00610401">
        <w:rPr>
          <w:noProof/>
        </w:rPr>
        <w:t xml:space="preserve"> z ist</w:t>
      </w:r>
      <w:r w:rsidRPr="00610401">
        <w:rPr>
          <w:noProof/>
        </w:rPr>
        <w:t>niejącymi bazami danych</w:t>
      </w:r>
      <w:r w:rsidR="00610401" w:rsidRPr="00610401">
        <w:rPr>
          <w:noProof/>
        </w:rPr>
        <w:t xml:space="preserve"> i sys</w:t>
      </w:r>
      <w:r w:rsidRPr="00610401">
        <w:rPr>
          <w:noProof/>
        </w:rPr>
        <w:t>temami informatycznymi EEA;</w:t>
      </w:r>
    </w:p>
    <w:p w:rsidR="00BE0A2F" w:rsidRPr="00610401" w:rsidRDefault="00BE0A2F" w:rsidP="00633D25">
      <w:pPr>
        <w:pStyle w:val="Tiret0"/>
        <w:rPr>
          <w:noProof/>
        </w:rPr>
      </w:pPr>
      <w:r w:rsidRPr="00610401">
        <w:rPr>
          <w:noProof/>
        </w:rPr>
        <w:t>coroczną aktualizację systemu informatycznego przeznaczonego na potrzeby aktu</w:t>
      </w:r>
      <w:r w:rsidR="00610401" w:rsidRPr="00610401">
        <w:rPr>
          <w:noProof/>
        </w:rPr>
        <w:t xml:space="preserve"> o odb</w:t>
      </w:r>
      <w:r w:rsidRPr="00610401">
        <w:rPr>
          <w:noProof/>
        </w:rPr>
        <w:t>udowie zasobów przyrodniczych, służącego do hostingu,</w:t>
      </w:r>
      <w:r w:rsidR="00610401" w:rsidRPr="00610401">
        <w:rPr>
          <w:noProof/>
        </w:rPr>
        <w:t xml:space="preserve"> a prz</w:t>
      </w:r>
      <w:r w:rsidRPr="00610401">
        <w:rPr>
          <w:noProof/>
        </w:rPr>
        <w:t>ede wszystkim do prezentacji danych oraz na potrzeby innych aplikacji komunikacyjnych (200 000 EUR);</w:t>
      </w:r>
    </w:p>
    <w:p w:rsidR="00BE0A2F" w:rsidRPr="00610401" w:rsidRDefault="00BE0A2F" w:rsidP="00633D25">
      <w:pPr>
        <w:pStyle w:val="Tiret0"/>
        <w:rPr>
          <w:noProof/>
        </w:rPr>
      </w:pPr>
      <w:r w:rsidRPr="00610401">
        <w:rPr>
          <w:noProof/>
        </w:rPr>
        <w:t>umowy</w:t>
      </w:r>
      <w:r w:rsidR="00610401" w:rsidRPr="00610401">
        <w:rPr>
          <w:noProof/>
        </w:rPr>
        <w:t xml:space="preserve"> w spr</w:t>
      </w:r>
      <w:r w:rsidRPr="00610401">
        <w:rPr>
          <w:noProof/>
        </w:rPr>
        <w:t>awie wsparcia wiedzy fachowej dotyczącej ekosystemów (umowy</w:t>
      </w:r>
      <w:r w:rsidR="00610401" w:rsidRPr="00610401">
        <w:rPr>
          <w:noProof/>
        </w:rPr>
        <w:t xml:space="preserve"> o świ</w:t>
      </w:r>
      <w:r w:rsidRPr="00610401">
        <w:rPr>
          <w:noProof/>
        </w:rPr>
        <w:t>adczenie usług, badania): 150 000 EUR rocznie;</w:t>
      </w:r>
    </w:p>
    <w:p w:rsidR="00BE0A2F" w:rsidRPr="00610401" w:rsidRDefault="00BE0A2F" w:rsidP="00633D25">
      <w:pPr>
        <w:pStyle w:val="Tiret0"/>
        <w:rPr>
          <w:noProof/>
        </w:rPr>
      </w:pPr>
      <w:r w:rsidRPr="00610401">
        <w:rPr>
          <w:noProof/>
        </w:rPr>
        <w:t>opracowanie</w:t>
      </w:r>
      <w:r w:rsidR="00610401" w:rsidRPr="00610401">
        <w:rPr>
          <w:noProof/>
        </w:rPr>
        <w:t xml:space="preserve"> i prz</w:t>
      </w:r>
      <w:r w:rsidRPr="00610401">
        <w:rPr>
          <w:noProof/>
        </w:rPr>
        <w:t>ygotowanie 9 wskaźników oraz 1 wskaźnika zbiorczego (60 stron): 15 000 EUR rocznie;</w:t>
      </w:r>
    </w:p>
    <w:p w:rsidR="00BE0A2F" w:rsidRPr="00610401" w:rsidRDefault="00BE0A2F" w:rsidP="00633D25">
      <w:pPr>
        <w:pStyle w:val="Tiret0"/>
        <w:rPr>
          <w:noProof/>
        </w:rPr>
      </w:pPr>
      <w:r w:rsidRPr="00610401">
        <w:rPr>
          <w:noProof/>
        </w:rPr>
        <w:t>działania</w:t>
      </w:r>
      <w:r w:rsidR="00610401" w:rsidRPr="00610401">
        <w:rPr>
          <w:noProof/>
        </w:rPr>
        <w:t xml:space="preserve"> w zak</w:t>
      </w:r>
      <w:r w:rsidRPr="00610401">
        <w:rPr>
          <w:noProof/>
        </w:rPr>
        <w:t>resie komunikacji: publikacja jednego głównego sprawozdania rocznie (w formie cyfrowej, nie papierowej): 15 000 EUR rocznie;</w:t>
      </w:r>
    </w:p>
    <w:p w:rsidR="00BE0A2F" w:rsidRPr="00610401" w:rsidRDefault="00BE0A2F" w:rsidP="00633D25">
      <w:pPr>
        <w:pStyle w:val="Tiret0"/>
        <w:rPr>
          <w:noProof/>
        </w:rPr>
      </w:pPr>
      <w:r w:rsidRPr="00610401">
        <w:rPr>
          <w:noProof/>
        </w:rPr>
        <w:t>spotkania EIONET-u – 1 spotkanie</w:t>
      </w:r>
      <w:r w:rsidR="00610401" w:rsidRPr="00610401">
        <w:rPr>
          <w:noProof/>
        </w:rPr>
        <w:t xml:space="preserve"> w for</w:t>
      </w:r>
      <w:r w:rsidRPr="00610401">
        <w:rPr>
          <w:noProof/>
        </w:rPr>
        <w:t>mie stacjonarnej rocznie: 20 000 EUR.</w:t>
      </w:r>
    </w:p>
    <w:p w:rsidR="00BE0A2F" w:rsidRPr="00610401" w:rsidRDefault="00BE0A2F" w:rsidP="00BE0A2F">
      <w:pPr>
        <w:rPr>
          <w:noProof/>
          <w:color w:val="000000" w:themeColor="text1"/>
        </w:rPr>
      </w:pPr>
      <w:r w:rsidRPr="00610401">
        <w:rPr>
          <w:noProof/>
          <w:color w:val="000000" w:themeColor="text1"/>
        </w:rPr>
        <w:t xml:space="preserve">Potrzebny wzrost wkładu UE na rzecz EEA zostanie zrównoważony odpowiednim zmniejszeniem środków przydzielonych na program LIFE (linia budżetowa 09.0201 – </w:t>
      </w:r>
      <w:r w:rsidRPr="00610401">
        <w:rPr>
          <w:i/>
          <w:noProof/>
          <w:color w:val="000000" w:themeColor="text1"/>
        </w:rPr>
        <w:t>Przyroda</w:t>
      </w:r>
      <w:r w:rsidR="00610401" w:rsidRPr="00610401">
        <w:rPr>
          <w:i/>
          <w:noProof/>
          <w:color w:val="000000" w:themeColor="text1"/>
        </w:rPr>
        <w:t xml:space="preserve"> i róż</w:t>
      </w:r>
      <w:r w:rsidRPr="00610401">
        <w:rPr>
          <w:i/>
          <w:noProof/>
          <w:color w:val="000000" w:themeColor="text1"/>
        </w:rPr>
        <w:t>norodność biologiczna</w:t>
      </w:r>
      <w:r w:rsidRPr="00610401">
        <w:rPr>
          <w:noProof/>
          <w:color w:val="000000" w:themeColor="text1"/>
        </w:rPr>
        <w:t>).</w:t>
      </w:r>
    </w:p>
    <w:p w:rsidR="00BE0A2F" w:rsidRPr="00610401" w:rsidRDefault="00BE0A2F" w:rsidP="00BE0A2F">
      <w:pPr>
        <w:jc w:val="right"/>
        <w:rPr>
          <w:b/>
          <w:noProof/>
          <w:color w:val="000000" w:themeColor="text1"/>
          <w:sz w:val="18"/>
          <w:szCs w:val="18"/>
        </w:rPr>
      </w:pPr>
      <w:r w:rsidRPr="00610401">
        <w:rPr>
          <w:b/>
          <w:noProof/>
          <w:color w:val="000000" w:themeColor="text1"/>
          <w:sz w:val="18"/>
        </w:rPr>
        <w:t xml:space="preserve">mln EUR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2565"/>
      </w:tblGrid>
      <w:tr w:rsidR="00BE0A2F" w:rsidRPr="00610401" w:rsidTr="00BE0A2F">
        <w:trPr>
          <w:trHeight w:val="277"/>
        </w:trPr>
        <w:tc>
          <w:tcPr>
            <w:tcW w:w="3960" w:type="dxa"/>
            <w:vAlign w:val="center"/>
          </w:tcPr>
          <w:p w:rsidR="00BE0A2F" w:rsidRPr="00610401" w:rsidRDefault="00BE0A2F" w:rsidP="00BE0A2F">
            <w:pPr>
              <w:spacing w:before="20" w:after="20"/>
              <w:rPr>
                <w:noProof/>
                <w:color w:val="000000" w:themeColor="text1"/>
                <w:sz w:val="22"/>
              </w:rPr>
            </w:pPr>
          </w:p>
        </w:tc>
        <w:tc>
          <w:tcPr>
            <w:tcW w:w="1440" w:type="dxa"/>
            <w:vAlign w:val="center"/>
          </w:tcPr>
          <w:p w:rsidR="00BE0A2F" w:rsidRPr="00610401" w:rsidRDefault="00BE0A2F" w:rsidP="00BE0A2F">
            <w:pPr>
              <w:spacing w:beforeLines="20" w:before="48" w:afterLines="20" w:after="48"/>
              <w:rPr>
                <w:noProof/>
                <w:color w:val="000000" w:themeColor="text1"/>
                <w:sz w:val="18"/>
              </w:rPr>
            </w:pPr>
          </w:p>
        </w:tc>
        <w:tc>
          <w:tcPr>
            <w:tcW w:w="654" w:type="dxa"/>
            <w:vAlign w:val="center"/>
          </w:tcPr>
          <w:p w:rsidR="00BE0A2F" w:rsidRPr="00610401" w:rsidRDefault="00BE0A2F" w:rsidP="00BE0A2F">
            <w:pPr>
              <w:spacing w:beforeLines="20" w:before="48" w:afterLines="20" w:after="48"/>
              <w:jc w:val="center"/>
              <w:rPr>
                <w:noProof/>
                <w:color w:val="000000" w:themeColor="text1"/>
                <w:sz w:val="14"/>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610401" w:rsidRDefault="00BE0A2F" w:rsidP="00BE0A2F">
            <w:pPr>
              <w:spacing w:before="20" w:after="20"/>
              <w:jc w:val="center"/>
              <w:rPr>
                <w:noProof/>
                <w:color w:val="000000" w:themeColor="text1"/>
                <w:sz w:val="20"/>
              </w:rPr>
            </w:pPr>
            <w:r w:rsidRPr="00610401">
              <w:rPr>
                <w:b/>
                <w:noProof/>
                <w:color w:val="000000" w:themeColor="text1"/>
                <w:sz w:val="20"/>
              </w:rPr>
              <w:t>2022</w:t>
            </w: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610401" w:rsidRDefault="00BE0A2F" w:rsidP="00BE0A2F">
            <w:pPr>
              <w:spacing w:before="20" w:after="20"/>
              <w:jc w:val="center"/>
              <w:rPr>
                <w:noProof/>
                <w:color w:val="000000" w:themeColor="text1"/>
                <w:sz w:val="20"/>
              </w:rPr>
            </w:pPr>
            <w:r w:rsidRPr="00610401">
              <w:rPr>
                <w:b/>
                <w:noProof/>
                <w:color w:val="000000" w:themeColor="text1"/>
                <w:sz w:val="20"/>
              </w:rPr>
              <w:t>2023</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610401" w:rsidRDefault="00BE0A2F" w:rsidP="00BE0A2F">
            <w:pPr>
              <w:spacing w:before="20" w:after="20"/>
              <w:jc w:val="center"/>
              <w:rPr>
                <w:noProof/>
                <w:color w:val="000000" w:themeColor="text1"/>
                <w:sz w:val="20"/>
              </w:rPr>
            </w:pPr>
            <w:r w:rsidRPr="00610401">
              <w:rPr>
                <w:b/>
                <w:noProof/>
                <w:color w:val="000000" w:themeColor="text1"/>
                <w:sz w:val="20"/>
              </w:rPr>
              <w:t>2024</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610401" w:rsidRDefault="00BE0A2F" w:rsidP="00BE0A2F">
            <w:pPr>
              <w:spacing w:before="20" w:after="20"/>
              <w:jc w:val="center"/>
              <w:rPr>
                <w:noProof/>
                <w:color w:val="000000" w:themeColor="text1"/>
                <w:sz w:val="20"/>
              </w:rPr>
            </w:pPr>
            <w:r w:rsidRPr="00610401">
              <w:rPr>
                <w:b/>
                <w:noProof/>
                <w:color w:val="000000" w:themeColor="text1"/>
                <w:sz w:val="20"/>
              </w:rPr>
              <w:t>2025</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610401" w:rsidRDefault="00BE0A2F" w:rsidP="00BE0A2F">
            <w:pPr>
              <w:spacing w:before="20" w:after="20"/>
              <w:jc w:val="center"/>
              <w:rPr>
                <w:noProof/>
                <w:color w:val="000000" w:themeColor="text1"/>
                <w:sz w:val="20"/>
              </w:rPr>
            </w:pPr>
            <w:r w:rsidRPr="00610401">
              <w:rPr>
                <w:b/>
                <w:noProof/>
                <w:color w:val="000000" w:themeColor="text1"/>
                <w:sz w:val="20"/>
              </w:rPr>
              <w:t>2026</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610401" w:rsidRDefault="00BE0A2F" w:rsidP="00BE0A2F">
            <w:pPr>
              <w:spacing w:before="20" w:after="20"/>
              <w:jc w:val="center"/>
              <w:rPr>
                <w:noProof/>
                <w:color w:val="000000" w:themeColor="text1"/>
                <w:sz w:val="20"/>
              </w:rPr>
            </w:pPr>
            <w:r w:rsidRPr="00610401">
              <w:rPr>
                <w:b/>
                <w:noProof/>
                <w:color w:val="000000" w:themeColor="text1"/>
                <w:sz w:val="20"/>
              </w:rPr>
              <w:t>2027</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610401" w:rsidRDefault="00BE0A2F" w:rsidP="00BE0A2F">
            <w:pPr>
              <w:spacing w:before="20" w:after="20"/>
              <w:jc w:val="center"/>
              <w:rPr>
                <w:b/>
                <w:noProof/>
                <w:color w:val="000000" w:themeColor="text1"/>
                <w:sz w:val="20"/>
              </w:rPr>
            </w:pPr>
            <w:r w:rsidRPr="00610401">
              <w:rPr>
                <w:b/>
                <w:noProof/>
                <w:color w:val="000000" w:themeColor="text1"/>
                <w:sz w:val="20"/>
              </w:rPr>
              <w:t>OGÓŁEM</w:t>
            </w:r>
          </w:p>
        </w:tc>
      </w:tr>
      <w:tr w:rsidR="00BE0A2F" w:rsidRPr="00610401" w:rsidTr="00BE0A2F">
        <w:trPr>
          <w:trHeight w:val="277"/>
        </w:trPr>
        <w:tc>
          <w:tcPr>
            <w:tcW w:w="3960" w:type="dxa"/>
            <w:vMerge w:val="restart"/>
            <w:vAlign w:val="center"/>
          </w:tcPr>
          <w:p w:rsidR="00BE0A2F" w:rsidRPr="00610401" w:rsidRDefault="00BE0A2F" w:rsidP="00BE0A2F">
            <w:pPr>
              <w:spacing w:before="20" w:after="20"/>
              <w:rPr>
                <w:noProof/>
                <w:color w:val="000000" w:themeColor="text1"/>
              </w:rPr>
            </w:pPr>
            <w:r w:rsidRPr="00610401">
              <w:rPr>
                <w:noProof/>
              </w:rPr>
              <w:br w:type="page"/>
            </w:r>
            <w:r w:rsidRPr="00610401">
              <w:rPr>
                <w:noProof/>
                <w:color w:val="000000" w:themeColor="text1"/>
                <w:sz w:val="21"/>
              </w:rPr>
              <w:sym w:font="Wingdings" w:char="F09F"/>
            </w:r>
            <w:r w:rsidRPr="00610401">
              <w:rPr>
                <w:noProof/>
                <w:color w:val="000000" w:themeColor="text1"/>
                <w:sz w:val="21"/>
              </w:rPr>
              <w:t xml:space="preserve"> OGÓŁEM środki operacyjne </w:t>
            </w:r>
          </w:p>
        </w:tc>
        <w:tc>
          <w:tcPr>
            <w:tcW w:w="1440" w:type="dxa"/>
            <w:vAlign w:val="center"/>
          </w:tcPr>
          <w:p w:rsidR="00BE0A2F" w:rsidRPr="00610401" w:rsidRDefault="00BE0A2F" w:rsidP="00BE0A2F">
            <w:pPr>
              <w:spacing w:beforeLines="20" w:before="48" w:afterLines="20" w:after="48"/>
              <w:rPr>
                <w:noProof/>
                <w:color w:val="000000" w:themeColor="text1"/>
                <w:sz w:val="18"/>
              </w:rPr>
            </w:pPr>
            <w:r w:rsidRPr="00610401">
              <w:rPr>
                <w:noProof/>
                <w:color w:val="000000" w:themeColor="text1"/>
                <w:sz w:val="18"/>
              </w:rPr>
              <w:t>Środki na zobowiązania</w:t>
            </w:r>
          </w:p>
        </w:tc>
        <w:tc>
          <w:tcPr>
            <w:tcW w:w="654" w:type="dxa"/>
            <w:vAlign w:val="center"/>
          </w:tcPr>
          <w:p w:rsidR="00BE0A2F" w:rsidRPr="00610401" w:rsidRDefault="00BE0A2F" w:rsidP="00BE0A2F">
            <w:pPr>
              <w:spacing w:beforeLines="20" w:before="48" w:afterLines="20" w:after="48"/>
              <w:jc w:val="center"/>
              <w:rPr>
                <w:noProof/>
                <w:color w:val="000000" w:themeColor="text1"/>
                <w:sz w:val="14"/>
              </w:rPr>
            </w:pPr>
            <w:r w:rsidRPr="00610401">
              <w:rPr>
                <w:noProof/>
                <w:color w:val="000000" w:themeColor="text1"/>
                <w:sz w:val="14"/>
              </w:rPr>
              <w:t>(4)</w:t>
            </w: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2565" w:type="dxa"/>
            <w:vAlign w:val="center"/>
          </w:tcPr>
          <w:p w:rsidR="00BE0A2F" w:rsidRPr="00610401" w:rsidRDefault="00BE0A2F" w:rsidP="00BE0A2F">
            <w:pPr>
              <w:spacing w:before="20" w:after="20"/>
              <w:jc w:val="right"/>
              <w:rPr>
                <w:b/>
                <w:noProof/>
                <w:color w:val="000000" w:themeColor="text1"/>
                <w:sz w:val="20"/>
              </w:rPr>
            </w:pPr>
          </w:p>
        </w:tc>
      </w:tr>
      <w:tr w:rsidR="00BE0A2F" w:rsidRPr="00610401" w:rsidTr="00BE0A2F">
        <w:tc>
          <w:tcPr>
            <w:tcW w:w="3960" w:type="dxa"/>
            <w:vMerge/>
          </w:tcPr>
          <w:p w:rsidR="00BE0A2F" w:rsidRPr="00610401" w:rsidRDefault="00BE0A2F" w:rsidP="00BE0A2F">
            <w:pPr>
              <w:jc w:val="center"/>
              <w:rPr>
                <w:noProof/>
                <w:color w:val="000000" w:themeColor="text1"/>
                <w:sz w:val="20"/>
              </w:rPr>
            </w:pPr>
          </w:p>
        </w:tc>
        <w:tc>
          <w:tcPr>
            <w:tcW w:w="1440" w:type="dxa"/>
            <w:vAlign w:val="center"/>
          </w:tcPr>
          <w:p w:rsidR="00BE0A2F" w:rsidRPr="00610401" w:rsidRDefault="00BE0A2F" w:rsidP="00BE0A2F">
            <w:pPr>
              <w:spacing w:beforeLines="20" w:before="48" w:afterLines="20" w:after="48"/>
              <w:rPr>
                <w:noProof/>
                <w:color w:val="000000" w:themeColor="text1"/>
                <w:sz w:val="18"/>
              </w:rPr>
            </w:pPr>
            <w:r w:rsidRPr="00610401">
              <w:rPr>
                <w:noProof/>
                <w:color w:val="000000" w:themeColor="text1"/>
                <w:sz w:val="18"/>
              </w:rPr>
              <w:t>Środki na płatności</w:t>
            </w:r>
          </w:p>
        </w:tc>
        <w:tc>
          <w:tcPr>
            <w:tcW w:w="654" w:type="dxa"/>
            <w:vAlign w:val="center"/>
          </w:tcPr>
          <w:p w:rsidR="00BE0A2F" w:rsidRPr="00610401" w:rsidRDefault="00BE0A2F" w:rsidP="00BE0A2F">
            <w:pPr>
              <w:spacing w:beforeLines="20" w:before="48" w:afterLines="20" w:after="48"/>
              <w:jc w:val="center"/>
              <w:rPr>
                <w:noProof/>
                <w:color w:val="000000" w:themeColor="text1"/>
                <w:sz w:val="14"/>
              </w:rPr>
            </w:pPr>
            <w:r w:rsidRPr="00610401">
              <w:rPr>
                <w:noProof/>
                <w:color w:val="000000" w:themeColor="text1"/>
                <w:sz w:val="14"/>
              </w:rPr>
              <w:t>(5)</w:t>
            </w: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2565" w:type="dxa"/>
            <w:vAlign w:val="center"/>
          </w:tcPr>
          <w:p w:rsidR="00BE0A2F" w:rsidRPr="00610401" w:rsidRDefault="00BE0A2F" w:rsidP="00BE0A2F">
            <w:pPr>
              <w:spacing w:before="20" w:after="20"/>
              <w:jc w:val="right"/>
              <w:rPr>
                <w:b/>
                <w:noProof/>
                <w:color w:val="000000" w:themeColor="text1"/>
                <w:sz w:val="20"/>
              </w:rPr>
            </w:pPr>
          </w:p>
        </w:tc>
      </w:tr>
      <w:tr w:rsidR="00BE0A2F" w:rsidRPr="00610401" w:rsidTr="00BE0A2F">
        <w:trPr>
          <w:trHeight w:val="533"/>
        </w:trPr>
        <w:tc>
          <w:tcPr>
            <w:tcW w:w="5400" w:type="dxa"/>
            <w:gridSpan w:val="2"/>
            <w:vAlign w:val="center"/>
          </w:tcPr>
          <w:p w:rsidR="00BE0A2F" w:rsidRPr="00610401" w:rsidRDefault="00BE0A2F" w:rsidP="00BE0A2F">
            <w:pPr>
              <w:spacing w:beforeLines="20" w:before="48" w:afterLines="20" w:after="48"/>
              <w:rPr>
                <w:noProof/>
                <w:color w:val="000000" w:themeColor="text1"/>
              </w:rPr>
            </w:pPr>
            <w:r w:rsidRPr="00610401">
              <w:rPr>
                <w:noProof/>
                <w:color w:val="000000" w:themeColor="text1"/>
                <w:sz w:val="21"/>
              </w:rPr>
              <w:sym w:font="Wingdings" w:char="F09F"/>
            </w:r>
            <w:r w:rsidRPr="00610401">
              <w:rPr>
                <w:noProof/>
                <w:color w:val="000000" w:themeColor="text1"/>
                <w:sz w:val="21"/>
              </w:rPr>
              <w:t xml:space="preserve"> OGÓŁEM środki administracyjne finansowane ze środków przydzielonych na określone programy </w:t>
            </w:r>
          </w:p>
        </w:tc>
        <w:tc>
          <w:tcPr>
            <w:tcW w:w="654" w:type="dxa"/>
            <w:vAlign w:val="center"/>
          </w:tcPr>
          <w:p w:rsidR="00BE0A2F" w:rsidRPr="00610401" w:rsidRDefault="00BE0A2F" w:rsidP="00BE0A2F">
            <w:pPr>
              <w:spacing w:beforeLines="20" w:before="48" w:afterLines="20" w:after="48"/>
              <w:jc w:val="center"/>
              <w:rPr>
                <w:noProof/>
                <w:color w:val="000000" w:themeColor="text1"/>
                <w:sz w:val="14"/>
              </w:rPr>
            </w:pPr>
            <w:r w:rsidRPr="00610401">
              <w:rPr>
                <w:noProof/>
                <w:color w:val="000000" w:themeColor="text1"/>
                <w:sz w:val="14"/>
              </w:rPr>
              <w:t>(6)</w:t>
            </w: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2565" w:type="dxa"/>
            <w:vAlign w:val="center"/>
          </w:tcPr>
          <w:p w:rsidR="00BE0A2F" w:rsidRPr="00610401" w:rsidRDefault="00BE0A2F" w:rsidP="00BE0A2F">
            <w:pPr>
              <w:spacing w:before="20" w:after="20"/>
              <w:jc w:val="right"/>
              <w:rPr>
                <w:b/>
                <w:noProof/>
                <w:color w:val="000000" w:themeColor="text1"/>
                <w:sz w:val="20"/>
              </w:rPr>
            </w:pPr>
          </w:p>
        </w:tc>
      </w:tr>
      <w:tr w:rsidR="00BE0A2F" w:rsidRPr="00610401" w:rsidTr="00B0251E">
        <w:tc>
          <w:tcPr>
            <w:tcW w:w="3960" w:type="dxa"/>
            <w:vMerge w:val="restart"/>
            <w:shd w:val="thinDiagStripe" w:color="C0C0C0" w:fill="auto"/>
            <w:vAlign w:val="center"/>
          </w:tcPr>
          <w:p w:rsidR="00BE0A2F" w:rsidRPr="00610401" w:rsidRDefault="00BE0A2F" w:rsidP="00BE0A2F">
            <w:pPr>
              <w:jc w:val="center"/>
              <w:rPr>
                <w:b/>
                <w:noProof/>
                <w:color w:val="000000" w:themeColor="text1"/>
              </w:rPr>
            </w:pPr>
            <w:r w:rsidRPr="00610401">
              <w:rPr>
                <w:b/>
                <w:noProof/>
                <w:color w:val="000000" w:themeColor="text1"/>
                <w:sz w:val="22"/>
              </w:rPr>
              <w:t>OGÓŁEM środki</w:t>
            </w:r>
            <w:r w:rsidR="00610401" w:rsidRPr="00610401">
              <w:rPr>
                <w:b/>
                <w:noProof/>
                <w:color w:val="000000" w:themeColor="text1"/>
                <w:sz w:val="22"/>
              </w:rPr>
              <w:t xml:space="preserve"> </w:t>
            </w:r>
            <w:r w:rsidRPr="00610401">
              <w:rPr>
                <w:noProof/>
              </w:rPr>
              <w:br/>
            </w:r>
            <w:r w:rsidRPr="00610401">
              <w:rPr>
                <w:b/>
                <w:noProof/>
                <w:color w:val="000000" w:themeColor="text1"/>
                <w:sz w:val="22"/>
              </w:rPr>
              <w:t>na DZIAŁ 3 (ENV + EEA)</w:t>
            </w:r>
            <w:r w:rsidRPr="00610401">
              <w:rPr>
                <w:noProof/>
              </w:rPr>
              <w:t xml:space="preserve"> </w:t>
            </w:r>
            <w:r w:rsidRPr="00610401">
              <w:rPr>
                <w:noProof/>
              </w:rPr>
              <w:br/>
            </w:r>
            <w:r w:rsidRPr="00610401">
              <w:rPr>
                <w:noProof/>
                <w:color w:val="000000" w:themeColor="text1"/>
                <w:sz w:val="22"/>
              </w:rPr>
              <w:t>wieloletnich ram finansowych</w:t>
            </w:r>
          </w:p>
        </w:tc>
        <w:tc>
          <w:tcPr>
            <w:tcW w:w="1440" w:type="dxa"/>
            <w:vAlign w:val="center"/>
          </w:tcPr>
          <w:p w:rsidR="00BE0A2F" w:rsidRPr="00610401" w:rsidRDefault="00BE0A2F" w:rsidP="00BE0A2F">
            <w:pPr>
              <w:rPr>
                <w:noProof/>
                <w:color w:val="000000" w:themeColor="text1"/>
                <w:sz w:val="18"/>
              </w:rPr>
            </w:pPr>
            <w:r w:rsidRPr="00610401">
              <w:rPr>
                <w:noProof/>
                <w:color w:val="000000" w:themeColor="text1"/>
                <w:sz w:val="18"/>
              </w:rPr>
              <w:t>Środki na zobowiązania</w:t>
            </w:r>
          </w:p>
        </w:tc>
        <w:tc>
          <w:tcPr>
            <w:tcW w:w="654" w:type="dxa"/>
            <w:vAlign w:val="center"/>
          </w:tcPr>
          <w:p w:rsidR="00BE0A2F" w:rsidRPr="00610401" w:rsidRDefault="00BE0A2F" w:rsidP="00BE0A2F">
            <w:pPr>
              <w:jc w:val="center"/>
              <w:rPr>
                <w:noProof/>
                <w:color w:val="000000" w:themeColor="text1"/>
                <w:sz w:val="14"/>
              </w:rPr>
            </w:pPr>
            <w:r w:rsidRPr="00610401">
              <w:rPr>
                <w:noProof/>
                <w:color w:val="000000" w:themeColor="text1"/>
                <w:sz w:val="14"/>
              </w:rPr>
              <w:t>= 4 + 6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18"/>
              </w:rPr>
            </w:pPr>
            <w:r w:rsidRPr="00610401">
              <w:rPr>
                <w:b/>
                <w:noProof/>
                <w:color w:val="000000"/>
                <w:sz w:val="18"/>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1056E8" w:rsidP="00BE0A2F">
            <w:pPr>
              <w:spacing w:before="20" w:after="20"/>
              <w:jc w:val="right"/>
              <w:rPr>
                <w:noProof/>
                <w:color w:val="000000" w:themeColor="text1"/>
                <w:sz w:val="18"/>
              </w:rPr>
            </w:pPr>
            <w:r w:rsidRPr="00610401">
              <w:rPr>
                <w:b/>
                <w:noProof/>
                <w:color w:val="000000"/>
                <w:sz w:val="18"/>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18"/>
              </w:rPr>
            </w:pPr>
            <w:r w:rsidRPr="00610401">
              <w:rPr>
                <w:b/>
                <w:noProof/>
                <w:color w:val="000000"/>
                <w:sz w:val="18"/>
              </w:rPr>
              <w:t>3,904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18"/>
              </w:rPr>
            </w:pPr>
            <w:r w:rsidRPr="00610401">
              <w:rPr>
                <w:b/>
                <w:noProof/>
                <w:color w:val="000000"/>
                <w:sz w:val="18"/>
              </w:rPr>
              <w:t>4,261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18"/>
              </w:rPr>
            </w:pPr>
            <w:r w:rsidRPr="00610401">
              <w:rPr>
                <w:b/>
                <w:noProof/>
                <w:color w:val="000000"/>
                <w:sz w:val="18"/>
              </w:rPr>
              <w:t>4,317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18"/>
              </w:rPr>
            </w:pPr>
            <w:r w:rsidRPr="00610401">
              <w:rPr>
                <w:b/>
                <w:noProof/>
                <w:color w:val="000000"/>
                <w:sz w:val="18"/>
              </w:rPr>
              <w:t>4,376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1056E8" w:rsidP="00BE0A2F">
            <w:pPr>
              <w:spacing w:before="20" w:after="20"/>
              <w:jc w:val="right"/>
              <w:rPr>
                <w:b/>
                <w:noProof/>
                <w:color w:val="000000" w:themeColor="text1"/>
                <w:sz w:val="18"/>
              </w:rPr>
            </w:pPr>
            <w:r w:rsidRPr="00610401">
              <w:rPr>
                <w:b/>
                <w:noProof/>
                <w:color w:val="000000"/>
                <w:sz w:val="18"/>
              </w:rPr>
              <w:t>21,060</w:t>
            </w:r>
          </w:p>
        </w:tc>
      </w:tr>
      <w:tr w:rsidR="00BE0A2F" w:rsidRPr="00610401" w:rsidTr="00B0251E">
        <w:tc>
          <w:tcPr>
            <w:tcW w:w="3960" w:type="dxa"/>
            <w:vMerge/>
            <w:shd w:val="thinDiagStripe" w:color="C0C0C0" w:fill="auto"/>
          </w:tcPr>
          <w:p w:rsidR="00BE0A2F" w:rsidRPr="00610401" w:rsidRDefault="00BE0A2F" w:rsidP="00BE0A2F">
            <w:pPr>
              <w:rPr>
                <w:noProof/>
                <w:color w:val="000000" w:themeColor="text1"/>
                <w:sz w:val="20"/>
              </w:rPr>
            </w:pPr>
          </w:p>
        </w:tc>
        <w:tc>
          <w:tcPr>
            <w:tcW w:w="1440" w:type="dxa"/>
            <w:vAlign w:val="center"/>
          </w:tcPr>
          <w:p w:rsidR="00BE0A2F" w:rsidRPr="00610401" w:rsidRDefault="00BE0A2F" w:rsidP="00BE0A2F">
            <w:pPr>
              <w:rPr>
                <w:noProof/>
                <w:color w:val="000000" w:themeColor="text1"/>
                <w:sz w:val="18"/>
              </w:rPr>
            </w:pPr>
            <w:r w:rsidRPr="00610401">
              <w:rPr>
                <w:noProof/>
                <w:color w:val="000000" w:themeColor="text1"/>
                <w:sz w:val="18"/>
              </w:rPr>
              <w:t>Środki na płatności</w:t>
            </w:r>
          </w:p>
        </w:tc>
        <w:tc>
          <w:tcPr>
            <w:tcW w:w="654" w:type="dxa"/>
            <w:vAlign w:val="center"/>
          </w:tcPr>
          <w:p w:rsidR="00BE0A2F" w:rsidRPr="00610401" w:rsidRDefault="00BE0A2F" w:rsidP="00BE0A2F">
            <w:pPr>
              <w:jc w:val="center"/>
              <w:rPr>
                <w:noProof/>
                <w:color w:val="000000" w:themeColor="text1"/>
                <w:sz w:val="14"/>
              </w:rPr>
            </w:pPr>
            <w:r w:rsidRPr="00610401">
              <w:rPr>
                <w:noProof/>
                <w:color w:val="000000" w:themeColor="text1"/>
                <w:sz w:val="14"/>
              </w:rPr>
              <w:t>= 5 + 6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18"/>
              </w:rPr>
            </w:pPr>
            <w:r w:rsidRPr="00610401">
              <w:rPr>
                <w:b/>
                <w:noProof/>
                <w:color w:val="000000"/>
                <w:sz w:val="18"/>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1056E8" w:rsidP="00BE0A2F">
            <w:pPr>
              <w:spacing w:before="20" w:after="20"/>
              <w:jc w:val="right"/>
              <w:rPr>
                <w:noProof/>
                <w:color w:val="000000" w:themeColor="text1"/>
                <w:sz w:val="18"/>
              </w:rPr>
            </w:pPr>
            <w:r w:rsidRPr="00610401">
              <w:rPr>
                <w:b/>
                <w:noProof/>
                <w:color w:val="000000"/>
                <w:sz w:val="18"/>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18"/>
              </w:rPr>
            </w:pPr>
            <w:r w:rsidRPr="00610401">
              <w:rPr>
                <w:b/>
                <w:noProof/>
                <w:color w:val="000000"/>
                <w:sz w:val="18"/>
              </w:rPr>
              <w:t>3,904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18"/>
              </w:rPr>
            </w:pPr>
            <w:r w:rsidRPr="00610401">
              <w:rPr>
                <w:b/>
                <w:noProof/>
                <w:color w:val="000000"/>
                <w:sz w:val="18"/>
              </w:rPr>
              <w:t>4,261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18"/>
              </w:rPr>
            </w:pPr>
            <w:r w:rsidRPr="00610401">
              <w:rPr>
                <w:b/>
                <w:noProof/>
                <w:color w:val="000000"/>
                <w:sz w:val="18"/>
              </w:rPr>
              <w:t>4,317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18"/>
              </w:rPr>
            </w:pPr>
            <w:r w:rsidRPr="00610401">
              <w:rPr>
                <w:b/>
                <w:noProof/>
                <w:color w:val="000000"/>
                <w:sz w:val="18"/>
              </w:rPr>
              <w:t>4,376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1056E8" w:rsidP="00BE0A2F">
            <w:pPr>
              <w:spacing w:before="20" w:after="20"/>
              <w:jc w:val="right"/>
              <w:rPr>
                <w:b/>
                <w:noProof/>
                <w:color w:val="000000" w:themeColor="text1"/>
                <w:sz w:val="18"/>
              </w:rPr>
            </w:pPr>
            <w:r w:rsidRPr="00610401">
              <w:rPr>
                <w:b/>
                <w:noProof/>
                <w:color w:val="000000"/>
                <w:sz w:val="18"/>
              </w:rPr>
              <w:t>21,060</w:t>
            </w:r>
          </w:p>
        </w:tc>
      </w:tr>
    </w:tbl>
    <w:p w:rsidR="00BE0A2F" w:rsidRPr="00610401" w:rsidRDefault="00BE0A2F" w:rsidP="00BE0A2F">
      <w:pPr>
        <w:spacing w:after="40"/>
        <w:rPr>
          <w:b/>
          <w:noProof/>
          <w:color w:val="000000" w:themeColor="text1"/>
          <w:sz w:val="22"/>
          <w:u w:val="single"/>
        </w:rPr>
      </w:pP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2565"/>
      </w:tblGrid>
      <w:tr w:rsidR="00BE0A2F" w:rsidRPr="00610401" w:rsidTr="00BE0A2F">
        <w:trPr>
          <w:trHeight w:val="277"/>
        </w:trPr>
        <w:tc>
          <w:tcPr>
            <w:tcW w:w="3960" w:type="dxa"/>
            <w:vMerge w:val="restart"/>
            <w:tcBorders>
              <w:top w:val="single" w:sz="4" w:space="0" w:color="auto"/>
              <w:left w:val="single" w:sz="4" w:space="0" w:color="auto"/>
              <w:bottom w:val="single" w:sz="4" w:space="0" w:color="FF0000"/>
            </w:tcBorders>
            <w:vAlign w:val="center"/>
          </w:tcPr>
          <w:p w:rsidR="00BE0A2F" w:rsidRPr="00610401" w:rsidRDefault="00BE0A2F" w:rsidP="00BE0A2F">
            <w:pPr>
              <w:spacing w:before="20" w:after="20"/>
              <w:rPr>
                <w:noProof/>
                <w:color w:val="000000" w:themeColor="text1"/>
              </w:rPr>
            </w:pPr>
            <w:r w:rsidRPr="00610401">
              <w:rPr>
                <w:noProof/>
                <w:color w:val="000000" w:themeColor="text1"/>
                <w:sz w:val="21"/>
              </w:rPr>
              <w:sym w:font="Wingdings" w:char="F09F"/>
            </w:r>
            <w:r w:rsidRPr="00610401">
              <w:rPr>
                <w:noProof/>
                <w:color w:val="000000" w:themeColor="text1"/>
                <w:sz w:val="21"/>
              </w:rPr>
              <w:t xml:space="preserve"> OGÓŁEM środki operacyjne (wszystkie działy operacyjne)</w:t>
            </w:r>
          </w:p>
        </w:tc>
        <w:tc>
          <w:tcPr>
            <w:tcW w:w="1440" w:type="dxa"/>
            <w:tcBorders>
              <w:top w:val="single" w:sz="4" w:space="0" w:color="auto"/>
            </w:tcBorders>
            <w:vAlign w:val="center"/>
          </w:tcPr>
          <w:p w:rsidR="00BE0A2F" w:rsidRPr="00610401" w:rsidRDefault="00BE0A2F" w:rsidP="00BE0A2F">
            <w:pPr>
              <w:spacing w:beforeLines="20" w:before="48" w:afterLines="20" w:after="48"/>
              <w:rPr>
                <w:noProof/>
                <w:color w:val="000000" w:themeColor="text1"/>
                <w:sz w:val="18"/>
              </w:rPr>
            </w:pPr>
            <w:r w:rsidRPr="00610401">
              <w:rPr>
                <w:noProof/>
                <w:color w:val="000000" w:themeColor="text1"/>
                <w:sz w:val="18"/>
              </w:rPr>
              <w:t>Środki na zobowiązania</w:t>
            </w:r>
          </w:p>
        </w:tc>
        <w:tc>
          <w:tcPr>
            <w:tcW w:w="654" w:type="dxa"/>
            <w:tcBorders>
              <w:top w:val="single" w:sz="4" w:space="0" w:color="auto"/>
            </w:tcBorders>
            <w:vAlign w:val="center"/>
          </w:tcPr>
          <w:p w:rsidR="00BE0A2F" w:rsidRPr="00610401" w:rsidRDefault="00BE0A2F" w:rsidP="00BE0A2F">
            <w:pPr>
              <w:spacing w:beforeLines="20" w:before="48" w:afterLines="20" w:after="48"/>
              <w:jc w:val="center"/>
              <w:rPr>
                <w:noProof/>
                <w:color w:val="000000" w:themeColor="text1"/>
                <w:sz w:val="14"/>
              </w:rPr>
            </w:pPr>
            <w:r w:rsidRPr="00610401">
              <w:rPr>
                <w:noProof/>
                <w:color w:val="000000" w:themeColor="text1"/>
                <w:sz w:val="14"/>
              </w:rPr>
              <w:t>(4)</w:t>
            </w:r>
          </w:p>
        </w:tc>
        <w:tc>
          <w:tcPr>
            <w:tcW w:w="868" w:type="dxa"/>
            <w:tcBorders>
              <w:top w:val="single" w:sz="4" w:space="0" w:color="auto"/>
            </w:tcBorders>
            <w:vAlign w:val="center"/>
          </w:tcPr>
          <w:p w:rsidR="00BE0A2F" w:rsidRPr="00610401"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610401"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610401"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610401"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610401"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610401" w:rsidRDefault="00BE0A2F" w:rsidP="00BE0A2F">
            <w:pPr>
              <w:spacing w:before="20" w:after="20"/>
              <w:jc w:val="right"/>
              <w:rPr>
                <w:noProof/>
                <w:color w:val="000000" w:themeColor="text1"/>
                <w:sz w:val="20"/>
              </w:rPr>
            </w:pPr>
          </w:p>
        </w:tc>
        <w:tc>
          <w:tcPr>
            <w:tcW w:w="2565" w:type="dxa"/>
            <w:tcBorders>
              <w:top w:val="single" w:sz="4" w:space="0" w:color="auto"/>
              <w:right w:val="single" w:sz="4" w:space="0" w:color="auto"/>
            </w:tcBorders>
            <w:vAlign w:val="center"/>
          </w:tcPr>
          <w:p w:rsidR="00BE0A2F" w:rsidRPr="00610401" w:rsidRDefault="00BE0A2F" w:rsidP="00BE0A2F">
            <w:pPr>
              <w:spacing w:before="20" w:after="20"/>
              <w:jc w:val="right"/>
              <w:rPr>
                <w:b/>
                <w:noProof/>
                <w:color w:val="000000" w:themeColor="text1"/>
                <w:sz w:val="20"/>
              </w:rPr>
            </w:pPr>
          </w:p>
        </w:tc>
      </w:tr>
      <w:tr w:rsidR="00BE0A2F" w:rsidRPr="00610401" w:rsidTr="00BE0A2F">
        <w:tc>
          <w:tcPr>
            <w:tcW w:w="3960" w:type="dxa"/>
            <w:vMerge/>
            <w:tcBorders>
              <w:top w:val="single" w:sz="4" w:space="0" w:color="FF0000"/>
              <w:left w:val="single" w:sz="4" w:space="0" w:color="auto"/>
              <w:bottom w:val="single" w:sz="4" w:space="0" w:color="FF0000"/>
            </w:tcBorders>
          </w:tcPr>
          <w:p w:rsidR="00BE0A2F" w:rsidRPr="00610401" w:rsidRDefault="00BE0A2F" w:rsidP="00BE0A2F">
            <w:pPr>
              <w:jc w:val="center"/>
              <w:rPr>
                <w:noProof/>
                <w:color w:val="000000" w:themeColor="text1"/>
                <w:sz w:val="20"/>
              </w:rPr>
            </w:pPr>
          </w:p>
        </w:tc>
        <w:tc>
          <w:tcPr>
            <w:tcW w:w="1440" w:type="dxa"/>
            <w:vAlign w:val="center"/>
          </w:tcPr>
          <w:p w:rsidR="00BE0A2F" w:rsidRPr="00610401" w:rsidRDefault="00BE0A2F" w:rsidP="00BE0A2F">
            <w:pPr>
              <w:spacing w:beforeLines="20" w:before="48" w:afterLines="20" w:after="48"/>
              <w:rPr>
                <w:noProof/>
                <w:color w:val="000000" w:themeColor="text1"/>
                <w:sz w:val="18"/>
              </w:rPr>
            </w:pPr>
            <w:r w:rsidRPr="00610401">
              <w:rPr>
                <w:noProof/>
                <w:color w:val="000000" w:themeColor="text1"/>
                <w:sz w:val="18"/>
              </w:rPr>
              <w:t>Środki na płatności</w:t>
            </w:r>
          </w:p>
        </w:tc>
        <w:tc>
          <w:tcPr>
            <w:tcW w:w="654" w:type="dxa"/>
            <w:vAlign w:val="center"/>
          </w:tcPr>
          <w:p w:rsidR="00BE0A2F" w:rsidRPr="00610401" w:rsidRDefault="00BE0A2F" w:rsidP="00BE0A2F">
            <w:pPr>
              <w:spacing w:beforeLines="20" w:before="48" w:afterLines="20" w:after="48"/>
              <w:jc w:val="center"/>
              <w:rPr>
                <w:noProof/>
                <w:color w:val="000000" w:themeColor="text1"/>
                <w:sz w:val="14"/>
              </w:rPr>
            </w:pPr>
            <w:r w:rsidRPr="00610401">
              <w:rPr>
                <w:noProof/>
                <w:color w:val="000000" w:themeColor="text1"/>
                <w:sz w:val="14"/>
              </w:rPr>
              <w:t>(5)</w:t>
            </w: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2565" w:type="dxa"/>
            <w:tcBorders>
              <w:right w:val="single" w:sz="4" w:space="0" w:color="auto"/>
            </w:tcBorders>
            <w:vAlign w:val="center"/>
          </w:tcPr>
          <w:p w:rsidR="00BE0A2F" w:rsidRPr="00610401" w:rsidRDefault="00BE0A2F" w:rsidP="00BE0A2F">
            <w:pPr>
              <w:spacing w:before="20" w:after="20"/>
              <w:jc w:val="right"/>
              <w:rPr>
                <w:b/>
                <w:noProof/>
                <w:color w:val="000000" w:themeColor="text1"/>
                <w:sz w:val="20"/>
              </w:rPr>
            </w:pPr>
          </w:p>
        </w:tc>
      </w:tr>
      <w:tr w:rsidR="00BE0A2F" w:rsidRPr="00610401" w:rsidTr="00BE0A2F">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BE0A2F" w:rsidRPr="00610401" w:rsidRDefault="00BE0A2F" w:rsidP="00BE0A2F">
            <w:pPr>
              <w:spacing w:beforeLines="20" w:before="48" w:afterLines="20" w:after="48"/>
              <w:rPr>
                <w:noProof/>
                <w:color w:val="000000" w:themeColor="text1"/>
              </w:rPr>
            </w:pPr>
            <w:r w:rsidRPr="00610401">
              <w:rPr>
                <w:noProof/>
                <w:color w:val="000000" w:themeColor="text1"/>
                <w:sz w:val="21"/>
              </w:rPr>
              <w:t xml:space="preserve"> OGÓŁEM środki administracyjne finansowane ze środków przydzielonych na określone programy (wszystkie działy operacyjne)</w:t>
            </w:r>
          </w:p>
        </w:tc>
        <w:tc>
          <w:tcPr>
            <w:tcW w:w="654" w:type="dxa"/>
            <w:vAlign w:val="center"/>
          </w:tcPr>
          <w:p w:rsidR="00BE0A2F" w:rsidRPr="00610401" w:rsidRDefault="00BE0A2F" w:rsidP="00BE0A2F">
            <w:pPr>
              <w:rPr>
                <w:noProof/>
                <w:color w:val="000000" w:themeColor="text1"/>
              </w:rPr>
            </w:pPr>
          </w:p>
          <w:p w:rsidR="00BE0A2F" w:rsidRPr="00610401" w:rsidRDefault="00BE0A2F" w:rsidP="00BE0A2F">
            <w:pPr>
              <w:spacing w:beforeLines="20" w:before="48" w:afterLines="20" w:after="48"/>
              <w:jc w:val="center"/>
              <w:rPr>
                <w:noProof/>
                <w:color w:val="000000" w:themeColor="text1"/>
                <w:sz w:val="14"/>
              </w:rPr>
            </w:pPr>
            <w:r w:rsidRPr="00610401">
              <w:rPr>
                <w:noProof/>
                <w:color w:val="000000" w:themeColor="text1"/>
                <w:sz w:val="14"/>
              </w:rPr>
              <w:t>(6)</w:t>
            </w: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2565" w:type="dxa"/>
            <w:vAlign w:val="center"/>
          </w:tcPr>
          <w:p w:rsidR="00BE0A2F" w:rsidRPr="00610401" w:rsidRDefault="00BE0A2F" w:rsidP="00BE0A2F">
            <w:pPr>
              <w:spacing w:before="20" w:after="20"/>
              <w:jc w:val="right"/>
              <w:rPr>
                <w:b/>
                <w:noProof/>
                <w:color w:val="000000" w:themeColor="text1"/>
                <w:sz w:val="20"/>
              </w:rPr>
            </w:pPr>
          </w:p>
        </w:tc>
      </w:tr>
      <w:tr w:rsidR="004B7DAE" w:rsidRPr="00610401" w:rsidTr="00BE0A2F">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BE0A2F" w:rsidRPr="00610401" w:rsidRDefault="00BE0A2F" w:rsidP="00BE0A2F">
            <w:pPr>
              <w:jc w:val="center"/>
              <w:rPr>
                <w:b/>
                <w:noProof/>
                <w:color w:val="000000" w:themeColor="text1"/>
              </w:rPr>
            </w:pPr>
            <w:r w:rsidRPr="00610401">
              <w:rPr>
                <w:b/>
                <w:noProof/>
                <w:color w:val="000000" w:themeColor="text1"/>
                <w:sz w:val="22"/>
              </w:rPr>
              <w:t>OGÓŁEM środki</w:t>
            </w:r>
            <w:r w:rsidR="00610401" w:rsidRPr="00610401">
              <w:rPr>
                <w:b/>
                <w:noProof/>
                <w:color w:val="000000" w:themeColor="text1"/>
                <w:sz w:val="22"/>
              </w:rPr>
              <w:t xml:space="preserve"> </w:t>
            </w:r>
            <w:r w:rsidRPr="00610401">
              <w:rPr>
                <w:noProof/>
              </w:rPr>
              <w:br/>
            </w:r>
            <w:r w:rsidRPr="00610401">
              <w:rPr>
                <w:b/>
                <w:noProof/>
                <w:color w:val="000000" w:themeColor="text1"/>
                <w:sz w:val="22"/>
              </w:rPr>
              <w:t>na DZIAŁY 1 do</w:t>
            </w:r>
            <w:r w:rsidR="00610401" w:rsidRPr="00610401">
              <w:rPr>
                <w:b/>
                <w:noProof/>
                <w:color w:val="000000" w:themeColor="text1"/>
                <w:sz w:val="22"/>
              </w:rPr>
              <w:t> </w:t>
            </w:r>
            <w:r w:rsidRPr="00610401">
              <w:rPr>
                <w:b/>
                <w:noProof/>
                <w:color w:val="000000" w:themeColor="text1"/>
                <w:sz w:val="22"/>
              </w:rPr>
              <w:t>6 (ENV + EEA)</w:t>
            </w:r>
            <w:r w:rsidRPr="00610401">
              <w:rPr>
                <w:noProof/>
              </w:rPr>
              <w:t xml:space="preserve"> </w:t>
            </w:r>
            <w:r w:rsidRPr="00610401">
              <w:rPr>
                <w:noProof/>
              </w:rPr>
              <w:br/>
            </w:r>
            <w:r w:rsidRPr="00610401">
              <w:rPr>
                <w:noProof/>
                <w:color w:val="000000" w:themeColor="text1"/>
                <w:sz w:val="22"/>
              </w:rPr>
              <w:t>wieloletnich ram finansowych</w:t>
            </w:r>
            <w:r w:rsidRPr="00610401">
              <w:rPr>
                <w:noProof/>
              </w:rPr>
              <w:t xml:space="preserve"> </w:t>
            </w:r>
            <w:r w:rsidRPr="00610401">
              <w:rPr>
                <w:noProof/>
              </w:rPr>
              <w:br/>
            </w:r>
            <w:r w:rsidRPr="00610401">
              <w:rPr>
                <w:noProof/>
                <w:color w:val="000000" w:themeColor="text1"/>
                <w:sz w:val="20"/>
              </w:rPr>
              <w:t>(kwota referencyjna)</w:t>
            </w:r>
          </w:p>
        </w:tc>
        <w:tc>
          <w:tcPr>
            <w:tcW w:w="1440" w:type="dxa"/>
            <w:vAlign w:val="center"/>
          </w:tcPr>
          <w:p w:rsidR="00BE0A2F" w:rsidRPr="00610401" w:rsidRDefault="00BE0A2F" w:rsidP="00BE0A2F">
            <w:pPr>
              <w:rPr>
                <w:noProof/>
                <w:color w:val="000000" w:themeColor="text1"/>
                <w:sz w:val="18"/>
              </w:rPr>
            </w:pPr>
            <w:r w:rsidRPr="00610401">
              <w:rPr>
                <w:noProof/>
                <w:color w:val="000000" w:themeColor="text1"/>
                <w:sz w:val="18"/>
              </w:rPr>
              <w:t>Środki na zobowiązania</w:t>
            </w:r>
          </w:p>
        </w:tc>
        <w:tc>
          <w:tcPr>
            <w:tcW w:w="654" w:type="dxa"/>
            <w:vAlign w:val="center"/>
          </w:tcPr>
          <w:p w:rsidR="00BE0A2F" w:rsidRPr="00610401" w:rsidRDefault="00BE0A2F" w:rsidP="00BE0A2F">
            <w:pPr>
              <w:jc w:val="center"/>
              <w:rPr>
                <w:noProof/>
                <w:color w:val="000000" w:themeColor="text1"/>
                <w:sz w:val="14"/>
              </w:rPr>
            </w:pPr>
            <w:r w:rsidRPr="00610401">
              <w:rPr>
                <w:noProof/>
                <w:color w:val="000000" w:themeColor="text1"/>
                <w:sz w:val="14"/>
              </w:rPr>
              <w:t>= 4 + 6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20"/>
              </w:rPr>
            </w:pPr>
            <w:r w:rsidRPr="00610401">
              <w:rPr>
                <w:b/>
                <w:noProof/>
                <w:color w:val="000000"/>
                <w:sz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1056E8" w:rsidP="00BE0A2F">
            <w:pPr>
              <w:spacing w:before="20" w:after="20"/>
              <w:jc w:val="right"/>
              <w:rPr>
                <w:noProof/>
                <w:color w:val="000000" w:themeColor="text1"/>
                <w:sz w:val="20"/>
              </w:rPr>
            </w:pPr>
            <w:r w:rsidRPr="00610401">
              <w:rPr>
                <w:b/>
                <w:noProof/>
                <w:color w:val="000000"/>
                <w:sz w:val="20"/>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20"/>
              </w:rPr>
            </w:pPr>
            <w:r w:rsidRPr="00610401">
              <w:rPr>
                <w:b/>
                <w:noProof/>
                <w:color w:val="000000"/>
                <w:sz w:val="20"/>
              </w:rPr>
              <w:t>3,904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20"/>
              </w:rPr>
            </w:pPr>
            <w:r w:rsidRPr="00610401">
              <w:rPr>
                <w:b/>
                <w:noProof/>
                <w:color w:val="000000"/>
                <w:sz w:val="20"/>
              </w:rPr>
              <w:t>4,261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20"/>
              </w:rPr>
            </w:pPr>
            <w:r w:rsidRPr="00610401">
              <w:rPr>
                <w:b/>
                <w:noProof/>
                <w:color w:val="000000"/>
                <w:sz w:val="20"/>
              </w:rPr>
              <w:t>4,317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20"/>
              </w:rPr>
            </w:pPr>
            <w:r w:rsidRPr="00610401">
              <w:rPr>
                <w:b/>
                <w:noProof/>
                <w:color w:val="000000"/>
                <w:sz w:val="20"/>
              </w:rPr>
              <w:t>4,376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1056E8" w:rsidP="00BE0A2F">
            <w:pPr>
              <w:spacing w:before="20" w:after="20"/>
              <w:jc w:val="right"/>
              <w:rPr>
                <w:b/>
                <w:noProof/>
                <w:color w:val="000000" w:themeColor="text1"/>
                <w:sz w:val="20"/>
              </w:rPr>
            </w:pPr>
            <w:r w:rsidRPr="00610401">
              <w:rPr>
                <w:b/>
                <w:noProof/>
                <w:color w:val="000000"/>
                <w:sz w:val="20"/>
              </w:rPr>
              <w:t>21,060</w:t>
            </w:r>
          </w:p>
        </w:tc>
      </w:tr>
      <w:tr w:rsidR="004B7DAE" w:rsidRPr="00610401" w:rsidTr="00BE0A2F">
        <w:tc>
          <w:tcPr>
            <w:tcW w:w="3960" w:type="dxa"/>
            <w:vMerge/>
            <w:tcBorders>
              <w:top w:val="single" w:sz="4" w:space="0" w:color="FF0000"/>
              <w:left w:val="single" w:sz="4" w:space="0" w:color="auto"/>
              <w:bottom w:val="single" w:sz="4" w:space="0" w:color="auto"/>
            </w:tcBorders>
            <w:shd w:val="thinDiagStripe" w:color="C0C0C0" w:fill="auto"/>
          </w:tcPr>
          <w:p w:rsidR="00BE0A2F" w:rsidRPr="00610401" w:rsidRDefault="00BE0A2F" w:rsidP="00BE0A2F">
            <w:pPr>
              <w:rPr>
                <w:noProof/>
                <w:color w:val="000000" w:themeColor="text1"/>
                <w:sz w:val="20"/>
              </w:rPr>
            </w:pPr>
          </w:p>
        </w:tc>
        <w:tc>
          <w:tcPr>
            <w:tcW w:w="1440" w:type="dxa"/>
            <w:tcBorders>
              <w:bottom w:val="single" w:sz="4" w:space="0" w:color="auto"/>
            </w:tcBorders>
            <w:vAlign w:val="center"/>
          </w:tcPr>
          <w:p w:rsidR="00BE0A2F" w:rsidRPr="00610401" w:rsidRDefault="00BE0A2F" w:rsidP="00BE0A2F">
            <w:pPr>
              <w:rPr>
                <w:noProof/>
                <w:color w:val="000000" w:themeColor="text1"/>
                <w:sz w:val="18"/>
              </w:rPr>
            </w:pPr>
            <w:r w:rsidRPr="00610401">
              <w:rPr>
                <w:noProof/>
                <w:color w:val="000000" w:themeColor="text1"/>
                <w:sz w:val="18"/>
              </w:rPr>
              <w:t>Środki na płatności</w:t>
            </w:r>
          </w:p>
        </w:tc>
        <w:tc>
          <w:tcPr>
            <w:tcW w:w="654" w:type="dxa"/>
            <w:tcBorders>
              <w:bottom w:val="single" w:sz="4" w:space="0" w:color="auto"/>
            </w:tcBorders>
            <w:vAlign w:val="center"/>
          </w:tcPr>
          <w:p w:rsidR="00BE0A2F" w:rsidRPr="00610401" w:rsidRDefault="00BE0A2F" w:rsidP="00BE0A2F">
            <w:pPr>
              <w:jc w:val="center"/>
              <w:rPr>
                <w:noProof/>
                <w:color w:val="000000" w:themeColor="text1"/>
                <w:sz w:val="14"/>
              </w:rPr>
            </w:pPr>
            <w:r w:rsidRPr="00610401">
              <w:rPr>
                <w:noProof/>
                <w:color w:val="000000" w:themeColor="text1"/>
                <w:sz w:val="14"/>
              </w:rPr>
              <w:t>= 5 + 6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20"/>
              </w:rPr>
            </w:pPr>
            <w:r w:rsidRPr="00610401">
              <w:rPr>
                <w:b/>
                <w:noProof/>
                <w:color w:val="000000"/>
                <w:sz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1056E8" w:rsidP="00BE0A2F">
            <w:pPr>
              <w:spacing w:before="20" w:after="20"/>
              <w:jc w:val="right"/>
              <w:rPr>
                <w:noProof/>
                <w:color w:val="000000" w:themeColor="text1"/>
                <w:sz w:val="20"/>
              </w:rPr>
            </w:pPr>
            <w:r w:rsidRPr="00610401">
              <w:rPr>
                <w:b/>
                <w:noProof/>
                <w:color w:val="000000"/>
                <w:sz w:val="20"/>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20"/>
              </w:rPr>
            </w:pPr>
            <w:r w:rsidRPr="00610401">
              <w:rPr>
                <w:b/>
                <w:noProof/>
                <w:color w:val="000000"/>
                <w:sz w:val="20"/>
              </w:rPr>
              <w:t>3,904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20"/>
              </w:rPr>
            </w:pPr>
            <w:r w:rsidRPr="00610401">
              <w:rPr>
                <w:b/>
                <w:noProof/>
                <w:color w:val="000000"/>
                <w:sz w:val="20"/>
              </w:rPr>
              <w:t>4,261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20"/>
              </w:rPr>
            </w:pPr>
            <w:r w:rsidRPr="00610401">
              <w:rPr>
                <w:b/>
                <w:noProof/>
                <w:color w:val="000000"/>
                <w:sz w:val="20"/>
              </w:rPr>
              <w:t>4,317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BE0A2F" w:rsidP="00BE0A2F">
            <w:pPr>
              <w:spacing w:before="20" w:after="20"/>
              <w:jc w:val="right"/>
              <w:rPr>
                <w:noProof/>
                <w:color w:val="000000" w:themeColor="text1"/>
                <w:sz w:val="20"/>
              </w:rPr>
            </w:pPr>
            <w:r w:rsidRPr="00610401">
              <w:rPr>
                <w:b/>
                <w:noProof/>
                <w:color w:val="000000"/>
                <w:sz w:val="20"/>
              </w:rPr>
              <w:t>4,376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610401" w:rsidRDefault="001056E8" w:rsidP="00BE0A2F">
            <w:pPr>
              <w:spacing w:before="20" w:after="20"/>
              <w:jc w:val="right"/>
              <w:rPr>
                <w:b/>
                <w:noProof/>
                <w:color w:val="000000" w:themeColor="text1"/>
                <w:sz w:val="20"/>
              </w:rPr>
            </w:pPr>
            <w:r w:rsidRPr="00610401">
              <w:rPr>
                <w:b/>
                <w:noProof/>
                <w:color w:val="000000"/>
                <w:sz w:val="20"/>
              </w:rPr>
              <w:t>21,060</w:t>
            </w:r>
          </w:p>
        </w:tc>
      </w:tr>
    </w:tbl>
    <w:p w:rsidR="00BE0A2F" w:rsidRPr="00610401" w:rsidRDefault="00BE0A2F" w:rsidP="00BE0A2F">
      <w:pPr>
        <w:rPr>
          <w:noProof/>
          <w:color w:val="000000" w:themeColor="text1"/>
        </w:rPr>
      </w:pPr>
      <w:r w:rsidRPr="00610401">
        <w:rPr>
          <w:noProof/>
        </w:rPr>
        <w:br w:type="page"/>
      </w:r>
    </w:p>
    <w:p w:rsidR="00BE0A2F" w:rsidRPr="00610401" w:rsidRDefault="00BE0A2F" w:rsidP="00BE0A2F">
      <w:pPr>
        <w:spacing w:before="0" w:after="0"/>
        <w:jc w:val="left"/>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E0A2F" w:rsidRPr="00610401" w:rsidTr="00BE0A2F">
        <w:trPr>
          <w:jc w:val="center"/>
        </w:trPr>
        <w:tc>
          <w:tcPr>
            <w:tcW w:w="4744" w:type="dxa"/>
            <w:shd w:val="thinDiagStripe" w:color="C0C0C0" w:fill="auto"/>
            <w:vAlign w:val="center"/>
          </w:tcPr>
          <w:p w:rsidR="00BE0A2F" w:rsidRPr="00610401" w:rsidRDefault="00BE0A2F" w:rsidP="00BE0A2F">
            <w:pPr>
              <w:spacing w:before="60" w:after="60"/>
              <w:jc w:val="center"/>
              <w:rPr>
                <w:b/>
                <w:noProof/>
                <w:color w:val="000000" w:themeColor="text1"/>
              </w:rPr>
            </w:pPr>
            <w:r w:rsidRPr="00610401">
              <w:rPr>
                <w:noProof/>
              </w:rPr>
              <w:br w:type="page"/>
            </w:r>
            <w:r w:rsidRPr="00610401">
              <w:rPr>
                <w:b/>
                <w:noProof/>
                <w:color w:val="000000" w:themeColor="text1"/>
                <w:sz w:val="22"/>
              </w:rPr>
              <w:t>Dział wieloletnich ram</w:t>
            </w:r>
            <w:r w:rsidR="00610401" w:rsidRPr="00610401">
              <w:rPr>
                <w:b/>
                <w:noProof/>
                <w:color w:val="000000" w:themeColor="text1"/>
                <w:sz w:val="22"/>
              </w:rPr>
              <w:t xml:space="preserve"> </w:t>
            </w:r>
            <w:r w:rsidRPr="00610401">
              <w:rPr>
                <w:noProof/>
              </w:rPr>
              <w:br/>
            </w:r>
            <w:r w:rsidRPr="00610401">
              <w:rPr>
                <w:b/>
                <w:noProof/>
                <w:color w:val="000000" w:themeColor="text1"/>
                <w:sz w:val="22"/>
              </w:rPr>
              <w:t xml:space="preserve">finansowych </w:t>
            </w:r>
          </w:p>
        </w:tc>
        <w:tc>
          <w:tcPr>
            <w:tcW w:w="1080" w:type="dxa"/>
            <w:shd w:val="thinDiagStripe" w:color="C0C0C0" w:fill="auto"/>
            <w:vAlign w:val="center"/>
          </w:tcPr>
          <w:p w:rsidR="00BE0A2F" w:rsidRPr="00610401" w:rsidRDefault="00BE0A2F" w:rsidP="00BE0A2F">
            <w:pPr>
              <w:spacing w:before="60" w:after="60"/>
              <w:jc w:val="center"/>
              <w:rPr>
                <w:noProof/>
                <w:color w:val="000000" w:themeColor="text1"/>
              </w:rPr>
            </w:pPr>
            <w:r w:rsidRPr="00610401">
              <w:rPr>
                <w:b/>
                <w:noProof/>
                <w:color w:val="000000" w:themeColor="text1"/>
                <w:sz w:val="22"/>
              </w:rPr>
              <w:t>7</w:t>
            </w:r>
          </w:p>
        </w:tc>
        <w:tc>
          <w:tcPr>
            <w:tcW w:w="7817" w:type="dxa"/>
            <w:vAlign w:val="center"/>
          </w:tcPr>
          <w:p w:rsidR="00BE0A2F" w:rsidRPr="00610401" w:rsidRDefault="00BE0A2F" w:rsidP="00BE0A2F">
            <w:pPr>
              <w:spacing w:before="60" w:after="60"/>
              <w:rPr>
                <w:noProof/>
                <w:color w:val="000000" w:themeColor="text1"/>
              </w:rPr>
            </w:pPr>
            <w:r w:rsidRPr="00610401">
              <w:rPr>
                <w:noProof/>
                <w:color w:val="000000" w:themeColor="text1"/>
                <w:sz w:val="22"/>
              </w:rPr>
              <w:t>„Wydatki administracyjne”</w:t>
            </w:r>
          </w:p>
        </w:tc>
      </w:tr>
    </w:tbl>
    <w:p w:rsidR="00BE0A2F" w:rsidRPr="00610401" w:rsidRDefault="00BE0A2F" w:rsidP="00BE0A2F">
      <w:pPr>
        <w:jc w:val="left"/>
        <w:rPr>
          <w:noProof/>
          <w:color w:val="000000" w:themeColor="text1"/>
          <w:sz w:val="20"/>
        </w:rPr>
      </w:pPr>
      <w:r w:rsidRPr="00610401">
        <w:rPr>
          <w:noProof/>
          <w:color w:val="000000" w:themeColor="text1"/>
        </w:rPr>
        <w:t>Niniejszą część uzupełnia się przy użyciu „danych budżetowych</w:t>
      </w:r>
      <w:r w:rsidR="00610401" w:rsidRPr="00610401">
        <w:rPr>
          <w:noProof/>
          <w:color w:val="000000" w:themeColor="text1"/>
        </w:rPr>
        <w:t xml:space="preserve"> o cha</w:t>
      </w:r>
      <w:r w:rsidRPr="00610401">
        <w:rPr>
          <w:noProof/>
          <w:color w:val="000000" w:themeColor="text1"/>
        </w:rPr>
        <w:t xml:space="preserve">rakterze administracyjnym”, które należy najpierw wprowadzić do </w:t>
      </w:r>
      <w:hyperlink r:id="rId29" w:history="1">
        <w:r w:rsidRPr="00610401">
          <w:rPr>
            <w:noProof/>
          </w:rPr>
          <w:t xml:space="preserve">załącznika do oceny skutków finansowych regulacji </w:t>
        </w:r>
      </w:hyperlink>
      <w:r w:rsidRPr="00610401">
        <w:rPr>
          <w:noProof/>
          <w:color w:val="000000" w:themeColor="text1"/>
        </w:rPr>
        <w:t>(załącznika V do zasad wewnętrznych), przesyłanego do DECIDE</w:t>
      </w:r>
      <w:r w:rsidR="00610401" w:rsidRPr="00610401">
        <w:rPr>
          <w:noProof/>
          <w:color w:val="000000" w:themeColor="text1"/>
        </w:rPr>
        <w:t xml:space="preserve"> w cel</w:t>
      </w:r>
      <w:r w:rsidRPr="00610401">
        <w:rPr>
          <w:noProof/>
          <w:color w:val="000000" w:themeColor="text1"/>
        </w:rPr>
        <w:t>u konsultacji między służbami.</w:t>
      </w:r>
    </w:p>
    <w:p w:rsidR="00BE0A2F" w:rsidRPr="00610401" w:rsidRDefault="00BE0A2F" w:rsidP="00BE0A2F">
      <w:pPr>
        <w:jc w:val="right"/>
        <w:rPr>
          <w:noProof/>
          <w:color w:val="000000" w:themeColor="text1"/>
          <w:sz w:val="20"/>
        </w:rPr>
      </w:pPr>
      <w:r w:rsidRPr="00610401">
        <w:rPr>
          <w:noProof/>
          <w:color w:val="000000" w:themeColor="text1"/>
          <w:sz w:val="20"/>
        </w:rPr>
        <w:t>w mln EUR (do trzech miejsc po przecinku)</w:t>
      </w:r>
    </w:p>
    <w:tbl>
      <w:tblPr>
        <w:tblW w:w="156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176"/>
        <w:gridCol w:w="358"/>
        <w:gridCol w:w="868"/>
        <w:gridCol w:w="868"/>
        <w:gridCol w:w="868"/>
        <w:gridCol w:w="868"/>
        <w:gridCol w:w="868"/>
        <w:gridCol w:w="868"/>
        <w:gridCol w:w="868"/>
        <w:gridCol w:w="868"/>
        <w:gridCol w:w="868"/>
        <w:gridCol w:w="1777"/>
      </w:tblGrid>
      <w:tr w:rsidR="00BE0A2F" w:rsidRPr="00610401" w:rsidTr="00B0251E">
        <w:tc>
          <w:tcPr>
            <w:tcW w:w="3960" w:type="dxa"/>
            <w:tcBorders>
              <w:top w:val="nil"/>
              <w:left w:val="nil"/>
              <w:right w:val="nil"/>
            </w:tcBorders>
            <w:vAlign w:val="center"/>
          </w:tcPr>
          <w:p w:rsidR="00BE0A2F" w:rsidRPr="00610401" w:rsidRDefault="00BE0A2F" w:rsidP="00BE0A2F">
            <w:pPr>
              <w:jc w:val="center"/>
              <w:rPr>
                <w:noProof/>
                <w:color w:val="000000" w:themeColor="text1"/>
              </w:rPr>
            </w:pPr>
          </w:p>
        </w:tc>
        <w:tc>
          <w:tcPr>
            <w:tcW w:w="1560" w:type="dxa"/>
            <w:gridSpan w:val="2"/>
            <w:tcBorders>
              <w:top w:val="nil"/>
              <w:left w:val="nil"/>
              <w:right w:val="nil"/>
            </w:tcBorders>
          </w:tcPr>
          <w:p w:rsidR="00BE0A2F" w:rsidRPr="00610401" w:rsidRDefault="00BE0A2F" w:rsidP="00BE0A2F">
            <w:pPr>
              <w:rPr>
                <w:noProof/>
                <w:color w:val="000000" w:themeColor="text1"/>
                <w:sz w:val="20"/>
              </w:rPr>
            </w:pPr>
          </w:p>
        </w:tc>
        <w:tc>
          <w:tcPr>
            <w:tcW w:w="534" w:type="dxa"/>
            <w:gridSpan w:val="2"/>
            <w:tcBorders>
              <w:top w:val="nil"/>
              <w:left w:val="nil"/>
            </w:tcBorders>
          </w:tcPr>
          <w:p w:rsidR="00BE0A2F" w:rsidRPr="00610401" w:rsidRDefault="00BE0A2F" w:rsidP="00BE0A2F">
            <w:pPr>
              <w:jc w:val="center"/>
              <w:rPr>
                <w:noProof/>
                <w:color w:val="000000" w:themeColor="text1"/>
                <w:sz w:val="20"/>
              </w:rPr>
            </w:pPr>
          </w:p>
        </w:tc>
        <w:tc>
          <w:tcPr>
            <w:tcW w:w="868" w:type="dxa"/>
            <w:vAlign w:val="center"/>
          </w:tcPr>
          <w:p w:rsidR="00BE0A2F" w:rsidRPr="00610401" w:rsidRDefault="00BE0A2F" w:rsidP="00BE0A2F">
            <w:pPr>
              <w:jc w:val="center"/>
              <w:rPr>
                <w:b/>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2022</w:t>
            </w:r>
          </w:p>
        </w:tc>
        <w:tc>
          <w:tcPr>
            <w:tcW w:w="868" w:type="dxa"/>
            <w:vAlign w:val="center"/>
          </w:tcPr>
          <w:p w:rsidR="00BE0A2F" w:rsidRPr="00610401" w:rsidRDefault="00BE0A2F" w:rsidP="00BE0A2F">
            <w:pPr>
              <w:jc w:val="center"/>
              <w:rPr>
                <w:b/>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2023</w:t>
            </w:r>
          </w:p>
        </w:tc>
        <w:tc>
          <w:tcPr>
            <w:tcW w:w="868"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2024</w:t>
            </w:r>
          </w:p>
        </w:tc>
        <w:tc>
          <w:tcPr>
            <w:tcW w:w="868"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2025</w:t>
            </w:r>
          </w:p>
        </w:tc>
        <w:tc>
          <w:tcPr>
            <w:tcW w:w="868"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2026</w:t>
            </w:r>
          </w:p>
        </w:tc>
        <w:tc>
          <w:tcPr>
            <w:tcW w:w="868"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2027</w:t>
            </w:r>
          </w:p>
        </w:tc>
        <w:tc>
          <w:tcPr>
            <w:tcW w:w="2604" w:type="dxa"/>
            <w:gridSpan w:val="3"/>
            <w:vAlign w:val="center"/>
          </w:tcPr>
          <w:p w:rsidR="00BE0A2F" w:rsidRPr="00610401" w:rsidRDefault="00BE0A2F" w:rsidP="00BE0A2F">
            <w:pPr>
              <w:jc w:val="center"/>
              <w:rPr>
                <w:b/>
                <w:noProof/>
                <w:color w:val="000000" w:themeColor="text1"/>
                <w:sz w:val="18"/>
              </w:rPr>
            </w:pPr>
            <w:r w:rsidRPr="00610401">
              <w:rPr>
                <w:noProof/>
                <w:color w:val="000000" w:themeColor="text1"/>
                <w:sz w:val="18"/>
              </w:rPr>
              <w:t>Wprowadzić taką liczbę kolumn dla poszczególnych lat, jaka jest niezbędna, by odzwierciedlić cały okres wpływu (por. pkt</w:t>
            </w:r>
            <w:r w:rsidR="00610401" w:rsidRPr="00610401">
              <w:rPr>
                <w:noProof/>
                <w:color w:val="000000" w:themeColor="text1"/>
                <w:sz w:val="18"/>
              </w:rPr>
              <w:t> </w:t>
            </w:r>
            <w:r w:rsidRPr="00610401">
              <w:rPr>
                <w:noProof/>
                <w:color w:val="000000" w:themeColor="text1"/>
                <w:sz w:val="18"/>
              </w:rPr>
              <w:t xml:space="preserve">1.6) </w:t>
            </w:r>
          </w:p>
        </w:tc>
        <w:tc>
          <w:tcPr>
            <w:tcW w:w="1777" w:type="dxa"/>
            <w:vAlign w:val="center"/>
          </w:tcPr>
          <w:p w:rsidR="00BE0A2F" w:rsidRPr="00610401" w:rsidRDefault="00BE0A2F" w:rsidP="00BE0A2F">
            <w:pPr>
              <w:jc w:val="center"/>
              <w:rPr>
                <w:b/>
                <w:noProof/>
                <w:color w:val="000000" w:themeColor="text1"/>
                <w:sz w:val="20"/>
              </w:rPr>
            </w:pPr>
            <w:r w:rsidRPr="00610401">
              <w:rPr>
                <w:b/>
                <w:noProof/>
                <w:color w:val="000000" w:themeColor="text1"/>
                <w:sz w:val="20"/>
              </w:rPr>
              <w:t>OGÓŁEM</w:t>
            </w:r>
          </w:p>
        </w:tc>
      </w:tr>
      <w:tr w:rsidR="00BE0A2F" w:rsidRPr="00610401" w:rsidTr="00BE0A2F">
        <w:trPr>
          <w:gridAfter w:val="11"/>
          <w:wAfter w:w="9947" w:type="dxa"/>
        </w:trPr>
        <w:tc>
          <w:tcPr>
            <w:tcW w:w="3960" w:type="dxa"/>
            <w:vAlign w:val="center"/>
          </w:tcPr>
          <w:p w:rsidR="00BE0A2F" w:rsidRPr="00610401" w:rsidRDefault="00BE0A2F" w:rsidP="00BE0A2F">
            <w:pPr>
              <w:spacing w:before="60" w:after="60"/>
              <w:jc w:val="center"/>
              <w:rPr>
                <w:b/>
                <w:noProof/>
                <w:color w:val="000000" w:themeColor="text1"/>
              </w:rPr>
            </w:pPr>
            <w:r w:rsidRPr="00610401">
              <w:rPr>
                <w:b/>
                <w:noProof/>
                <w:color w:val="000000" w:themeColor="text1"/>
                <w:sz w:val="22"/>
              </w:rPr>
              <w:t>DG: ENV</w:t>
            </w:r>
          </w:p>
        </w:tc>
        <w:tc>
          <w:tcPr>
            <w:tcW w:w="868" w:type="dxa"/>
          </w:tcPr>
          <w:p w:rsidR="00BE0A2F" w:rsidRPr="00610401" w:rsidRDefault="00BE0A2F" w:rsidP="00BE0A2F">
            <w:pPr>
              <w:spacing w:before="60" w:after="60"/>
              <w:jc w:val="center"/>
              <w:rPr>
                <w:noProof/>
                <w:color w:val="000000" w:themeColor="text1"/>
                <w:sz w:val="22"/>
              </w:rPr>
            </w:pPr>
          </w:p>
        </w:tc>
        <w:tc>
          <w:tcPr>
            <w:tcW w:w="868" w:type="dxa"/>
            <w:gridSpan w:val="2"/>
          </w:tcPr>
          <w:p w:rsidR="00BE0A2F" w:rsidRPr="00610401" w:rsidRDefault="00BE0A2F" w:rsidP="00BE0A2F">
            <w:pPr>
              <w:spacing w:before="60" w:after="60"/>
              <w:jc w:val="center"/>
              <w:rPr>
                <w:noProof/>
                <w:color w:val="000000" w:themeColor="text1"/>
                <w:sz w:val="22"/>
              </w:rPr>
            </w:pPr>
          </w:p>
        </w:tc>
      </w:tr>
      <w:tr w:rsidR="00BE0A2F" w:rsidRPr="00610401" w:rsidTr="00BE0A2F">
        <w:trPr>
          <w:trHeight w:val="313"/>
        </w:trPr>
        <w:tc>
          <w:tcPr>
            <w:tcW w:w="6054" w:type="dxa"/>
            <w:gridSpan w:val="5"/>
            <w:vAlign w:val="center"/>
          </w:tcPr>
          <w:p w:rsidR="00BE0A2F" w:rsidRPr="00610401" w:rsidRDefault="00BE0A2F" w:rsidP="00BE0A2F">
            <w:pPr>
              <w:spacing w:before="20" w:after="20"/>
              <w:rPr>
                <w:noProof/>
                <w:color w:val="000000" w:themeColor="text1"/>
              </w:rPr>
            </w:pPr>
            <w:r w:rsidRPr="00610401">
              <w:rPr>
                <w:noProof/>
                <w:color w:val="000000" w:themeColor="text1"/>
                <w:sz w:val="22"/>
              </w:rPr>
              <w:sym w:font="Wingdings" w:char="F09F"/>
            </w:r>
            <w:r w:rsidRPr="00610401">
              <w:rPr>
                <w:noProof/>
                <w:color w:val="000000" w:themeColor="text1"/>
                <w:sz w:val="22"/>
              </w:rPr>
              <w:t xml:space="preserve"> Zasoby ludzkie </w:t>
            </w:r>
          </w:p>
        </w:tc>
        <w:tc>
          <w:tcPr>
            <w:tcW w:w="868" w:type="dxa"/>
          </w:tcPr>
          <w:p w:rsidR="00BE0A2F" w:rsidRPr="00610401" w:rsidRDefault="00BE0A2F" w:rsidP="00BE0A2F">
            <w:pPr>
              <w:spacing w:before="60" w:after="180"/>
              <w:jc w:val="center"/>
              <w:rPr>
                <w:rFonts w:eastAsia="Calibri"/>
                <w:noProof/>
                <w:color w:val="000000" w:themeColor="text1"/>
                <w:sz w:val="20"/>
              </w:rPr>
            </w:pPr>
          </w:p>
        </w:tc>
        <w:tc>
          <w:tcPr>
            <w:tcW w:w="868" w:type="dxa"/>
          </w:tcPr>
          <w:p w:rsidR="00BE0A2F" w:rsidRPr="00610401" w:rsidRDefault="00BE0A2F" w:rsidP="00BE0A2F">
            <w:pPr>
              <w:spacing w:before="60" w:after="180"/>
              <w:jc w:val="center"/>
              <w:rPr>
                <w:rFonts w:eastAsia="Calibri"/>
                <w:noProof/>
                <w:color w:val="000000" w:themeColor="text1"/>
                <w:sz w:val="20"/>
              </w:rPr>
            </w:pPr>
            <w:r w:rsidRPr="00610401">
              <w:rPr>
                <w:noProof/>
                <w:color w:val="000000" w:themeColor="text1"/>
                <w:sz w:val="20"/>
              </w:rPr>
              <w:t>0,785</w:t>
            </w:r>
          </w:p>
        </w:tc>
        <w:tc>
          <w:tcPr>
            <w:tcW w:w="868" w:type="dxa"/>
          </w:tcPr>
          <w:p w:rsidR="00BE0A2F" w:rsidRPr="00610401" w:rsidRDefault="00BE0A2F" w:rsidP="00BE0A2F">
            <w:pPr>
              <w:spacing w:before="60" w:after="180"/>
              <w:jc w:val="center"/>
              <w:rPr>
                <w:rFonts w:eastAsia="Calibri"/>
                <w:noProof/>
                <w:color w:val="000000" w:themeColor="text1"/>
                <w:sz w:val="20"/>
              </w:rPr>
            </w:pPr>
            <w:r w:rsidRPr="00610401">
              <w:rPr>
                <w:noProof/>
                <w:color w:val="000000" w:themeColor="text1"/>
                <w:sz w:val="20"/>
              </w:rPr>
              <w:t>0,85</w:t>
            </w:r>
          </w:p>
        </w:tc>
        <w:tc>
          <w:tcPr>
            <w:tcW w:w="868" w:type="dxa"/>
          </w:tcPr>
          <w:p w:rsidR="00BE0A2F" w:rsidRPr="00610401" w:rsidRDefault="00BE0A2F" w:rsidP="00BE0A2F">
            <w:pPr>
              <w:spacing w:before="60" w:after="180"/>
              <w:jc w:val="center"/>
              <w:rPr>
                <w:rFonts w:eastAsia="Calibri"/>
                <w:noProof/>
                <w:color w:val="000000" w:themeColor="text1"/>
                <w:sz w:val="20"/>
              </w:rPr>
            </w:pPr>
            <w:r w:rsidRPr="00610401">
              <w:rPr>
                <w:noProof/>
                <w:color w:val="000000" w:themeColor="text1"/>
                <w:sz w:val="20"/>
              </w:rPr>
              <w:t>0,785</w:t>
            </w:r>
          </w:p>
        </w:tc>
        <w:tc>
          <w:tcPr>
            <w:tcW w:w="868" w:type="dxa"/>
          </w:tcPr>
          <w:p w:rsidR="00BE0A2F" w:rsidRPr="00610401" w:rsidRDefault="00BE0A2F" w:rsidP="00BE0A2F">
            <w:pPr>
              <w:spacing w:before="60" w:after="180"/>
              <w:jc w:val="center"/>
              <w:rPr>
                <w:rFonts w:eastAsia="Calibri"/>
                <w:noProof/>
                <w:color w:val="000000" w:themeColor="text1"/>
                <w:sz w:val="20"/>
              </w:rPr>
            </w:pPr>
            <w:r w:rsidRPr="00610401">
              <w:rPr>
                <w:noProof/>
                <w:color w:val="000000" w:themeColor="text1"/>
                <w:sz w:val="20"/>
              </w:rPr>
              <w:t>0,785</w:t>
            </w:r>
          </w:p>
        </w:tc>
        <w:tc>
          <w:tcPr>
            <w:tcW w:w="868" w:type="dxa"/>
          </w:tcPr>
          <w:p w:rsidR="00BE0A2F" w:rsidRPr="00610401" w:rsidRDefault="00BE0A2F" w:rsidP="00BE0A2F">
            <w:pPr>
              <w:spacing w:before="60" w:after="180"/>
              <w:jc w:val="center"/>
              <w:rPr>
                <w:rFonts w:eastAsia="Calibri"/>
                <w:noProof/>
                <w:color w:val="000000" w:themeColor="text1"/>
                <w:sz w:val="20"/>
              </w:rPr>
            </w:pPr>
            <w:r w:rsidRPr="00610401">
              <w:rPr>
                <w:noProof/>
                <w:color w:val="000000" w:themeColor="text1"/>
                <w:sz w:val="20"/>
              </w:rPr>
              <w:t>0,785</w:t>
            </w: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1777" w:type="dxa"/>
            <w:vAlign w:val="center"/>
          </w:tcPr>
          <w:p w:rsidR="00BE0A2F" w:rsidRPr="00610401" w:rsidRDefault="00BE0A2F" w:rsidP="00BE0A2F">
            <w:pPr>
              <w:spacing w:before="20" w:after="20"/>
              <w:jc w:val="right"/>
              <w:rPr>
                <w:b/>
                <w:noProof/>
                <w:color w:val="000000" w:themeColor="text1"/>
                <w:sz w:val="20"/>
              </w:rPr>
            </w:pPr>
            <w:r w:rsidRPr="00610401">
              <w:rPr>
                <w:b/>
                <w:noProof/>
                <w:color w:val="000000" w:themeColor="text1"/>
                <w:sz w:val="20"/>
              </w:rPr>
              <w:t>3,925</w:t>
            </w:r>
          </w:p>
        </w:tc>
      </w:tr>
      <w:tr w:rsidR="00BE0A2F" w:rsidRPr="00610401" w:rsidTr="00BE0A2F">
        <w:trPr>
          <w:trHeight w:val="351"/>
        </w:trPr>
        <w:tc>
          <w:tcPr>
            <w:tcW w:w="6054" w:type="dxa"/>
            <w:gridSpan w:val="5"/>
            <w:vAlign w:val="center"/>
          </w:tcPr>
          <w:p w:rsidR="00BE0A2F" w:rsidRPr="00610401" w:rsidRDefault="00BE0A2F" w:rsidP="00BE0A2F">
            <w:pPr>
              <w:spacing w:before="20" w:after="20"/>
              <w:rPr>
                <w:noProof/>
                <w:color w:val="000000" w:themeColor="text1"/>
              </w:rPr>
            </w:pPr>
            <w:r w:rsidRPr="00610401">
              <w:rPr>
                <w:noProof/>
                <w:color w:val="000000" w:themeColor="text1"/>
                <w:sz w:val="22"/>
              </w:rPr>
              <w:sym w:font="Wingdings" w:char="F09F"/>
            </w:r>
            <w:r w:rsidRPr="00610401">
              <w:rPr>
                <w:noProof/>
                <w:color w:val="000000" w:themeColor="text1"/>
                <w:sz w:val="22"/>
              </w:rPr>
              <w:t>Pozostałe wydatki administracyjne</w:t>
            </w:r>
            <w:r w:rsidRPr="00610401">
              <w:rPr>
                <w:rStyle w:val="FootnoteReference"/>
                <w:noProof/>
              </w:rPr>
              <w:footnoteReference w:id="122"/>
            </w:r>
            <w:r w:rsidRPr="00610401">
              <w:rPr>
                <w:noProof/>
                <w:color w:val="000000" w:themeColor="text1"/>
                <w:sz w:val="22"/>
              </w:rPr>
              <w:t xml:space="preserve"> </w:t>
            </w:r>
          </w:p>
        </w:tc>
        <w:tc>
          <w:tcPr>
            <w:tcW w:w="868" w:type="dxa"/>
          </w:tcPr>
          <w:p w:rsidR="00BE0A2F" w:rsidRPr="00610401" w:rsidRDefault="00BE0A2F" w:rsidP="00BE0A2F">
            <w:pPr>
              <w:spacing w:before="60" w:after="180"/>
              <w:jc w:val="center"/>
              <w:rPr>
                <w:rFonts w:eastAsia="Calibri"/>
                <w:noProof/>
                <w:color w:val="000000" w:themeColor="text1"/>
                <w:sz w:val="20"/>
              </w:rPr>
            </w:pPr>
          </w:p>
        </w:tc>
        <w:tc>
          <w:tcPr>
            <w:tcW w:w="868" w:type="dxa"/>
          </w:tcPr>
          <w:p w:rsidR="00BE0A2F" w:rsidRPr="00610401" w:rsidRDefault="00BE0A2F" w:rsidP="00BE0A2F">
            <w:pPr>
              <w:spacing w:before="60" w:after="180"/>
              <w:jc w:val="center"/>
              <w:rPr>
                <w:rFonts w:eastAsia="Calibri"/>
                <w:noProof/>
                <w:color w:val="000000" w:themeColor="text1"/>
                <w:sz w:val="20"/>
              </w:rPr>
            </w:pPr>
            <w:r w:rsidRPr="00610401">
              <w:rPr>
                <w:noProof/>
                <w:color w:val="000000" w:themeColor="text1"/>
                <w:sz w:val="20"/>
              </w:rPr>
              <w:t>0,114</w:t>
            </w:r>
          </w:p>
        </w:tc>
        <w:tc>
          <w:tcPr>
            <w:tcW w:w="868" w:type="dxa"/>
          </w:tcPr>
          <w:p w:rsidR="00BE0A2F" w:rsidRPr="00610401" w:rsidRDefault="00BE0A2F" w:rsidP="00BE0A2F">
            <w:pPr>
              <w:spacing w:before="60" w:after="180"/>
              <w:jc w:val="center"/>
              <w:rPr>
                <w:rFonts w:eastAsia="Calibri"/>
                <w:noProof/>
                <w:color w:val="000000" w:themeColor="text1"/>
                <w:sz w:val="20"/>
              </w:rPr>
            </w:pPr>
            <w:r w:rsidRPr="00610401">
              <w:rPr>
                <w:noProof/>
                <w:color w:val="000000" w:themeColor="text1"/>
                <w:sz w:val="20"/>
              </w:rPr>
              <w:t>0,114</w:t>
            </w:r>
          </w:p>
        </w:tc>
        <w:tc>
          <w:tcPr>
            <w:tcW w:w="868" w:type="dxa"/>
          </w:tcPr>
          <w:p w:rsidR="00BE0A2F" w:rsidRPr="00610401" w:rsidRDefault="00BE0A2F" w:rsidP="00BE0A2F">
            <w:pPr>
              <w:spacing w:before="60" w:after="180"/>
              <w:jc w:val="center"/>
              <w:rPr>
                <w:rFonts w:eastAsia="Calibri"/>
                <w:noProof/>
                <w:color w:val="000000" w:themeColor="text1"/>
                <w:sz w:val="20"/>
              </w:rPr>
            </w:pPr>
            <w:r w:rsidRPr="00610401">
              <w:rPr>
                <w:noProof/>
                <w:color w:val="000000" w:themeColor="text1"/>
                <w:sz w:val="20"/>
              </w:rPr>
              <w:t>0,114</w:t>
            </w:r>
          </w:p>
        </w:tc>
        <w:tc>
          <w:tcPr>
            <w:tcW w:w="868" w:type="dxa"/>
          </w:tcPr>
          <w:p w:rsidR="00BE0A2F" w:rsidRPr="00610401" w:rsidRDefault="00BE0A2F" w:rsidP="00BE0A2F">
            <w:pPr>
              <w:spacing w:before="60" w:after="180"/>
              <w:jc w:val="center"/>
              <w:rPr>
                <w:rFonts w:eastAsia="Calibri"/>
                <w:noProof/>
                <w:color w:val="000000" w:themeColor="text1"/>
                <w:sz w:val="20"/>
              </w:rPr>
            </w:pPr>
            <w:r w:rsidRPr="00610401">
              <w:rPr>
                <w:noProof/>
                <w:color w:val="000000" w:themeColor="text1"/>
                <w:sz w:val="20"/>
              </w:rPr>
              <w:t>0,114</w:t>
            </w:r>
          </w:p>
        </w:tc>
        <w:tc>
          <w:tcPr>
            <w:tcW w:w="868" w:type="dxa"/>
          </w:tcPr>
          <w:p w:rsidR="00BE0A2F" w:rsidRPr="00610401" w:rsidRDefault="00BE0A2F" w:rsidP="00BE0A2F">
            <w:pPr>
              <w:spacing w:before="60" w:after="180"/>
              <w:jc w:val="center"/>
              <w:rPr>
                <w:rFonts w:eastAsia="Calibri"/>
                <w:noProof/>
                <w:color w:val="000000" w:themeColor="text1"/>
                <w:sz w:val="20"/>
              </w:rPr>
            </w:pPr>
            <w:r w:rsidRPr="00610401">
              <w:rPr>
                <w:noProof/>
                <w:color w:val="000000" w:themeColor="text1"/>
                <w:sz w:val="20"/>
              </w:rPr>
              <w:t>0,114</w:t>
            </w: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1777" w:type="dxa"/>
            <w:vAlign w:val="center"/>
          </w:tcPr>
          <w:p w:rsidR="00BE0A2F" w:rsidRPr="00610401" w:rsidRDefault="00BE0A2F" w:rsidP="00BE0A2F">
            <w:pPr>
              <w:spacing w:before="20" w:after="20"/>
              <w:jc w:val="right"/>
              <w:rPr>
                <w:b/>
                <w:noProof/>
                <w:color w:val="000000" w:themeColor="text1"/>
                <w:sz w:val="20"/>
              </w:rPr>
            </w:pPr>
            <w:r w:rsidRPr="00610401">
              <w:rPr>
                <w:b/>
                <w:noProof/>
                <w:color w:val="000000" w:themeColor="text1"/>
                <w:sz w:val="20"/>
              </w:rPr>
              <w:t>0,570</w:t>
            </w:r>
          </w:p>
        </w:tc>
      </w:tr>
      <w:tr w:rsidR="00BE0A2F" w:rsidRPr="00610401" w:rsidTr="00BE0A2F">
        <w:tc>
          <w:tcPr>
            <w:tcW w:w="3960" w:type="dxa"/>
            <w:vAlign w:val="center"/>
          </w:tcPr>
          <w:p w:rsidR="00BE0A2F" w:rsidRPr="00610401" w:rsidRDefault="00BE0A2F" w:rsidP="00BE0A2F">
            <w:pPr>
              <w:jc w:val="center"/>
              <w:rPr>
                <w:b/>
                <w:noProof/>
                <w:color w:val="000000" w:themeColor="text1"/>
              </w:rPr>
            </w:pPr>
            <w:r w:rsidRPr="00610401">
              <w:rPr>
                <w:b/>
                <w:noProof/>
                <w:color w:val="000000" w:themeColor="text1"/>
                <w:sz w:val="22"/>
              </w:rPr>
              <w:t>OGÓŁEM DG ENV</w:t>
            </w:r>
          </w:p>
        </w:tc>
        <w:tc>
          <w:tcPr>
            <w:tcW w:w="2094" w:type="dxa"/>
            <w:gridSpan w:val="4"/>
            <w:vAlign w:val="center"/>
          </w:tcPr>
          <w:p w:rsidR="00BE0A2F" w:rsidRPr="00610401" w:rsidRDefault="00BE0A2F" w:rsidP="00BE0A2F">
            <w:pPr>
              <w:rPr>
                <w:noProof/>
                <w:color w:val="000000" w:themeColor="text1"/>
                <w:sz w:val="14"/>
              </w:rPr>
            </w:pPr>
            <w:r w:rsidRPr="00610401">
              <w:rPr>
                <w:noProof/>
                <w:color w:val="000000" w:themeColor="text1"/>
                <w:sz w:val="18"/>
              </w:rPr>
              <w:t xml:space="preserve">Środki </w:t>
            </w:r>
          </w:p>
        </w:tc>
        <w:tc>
          <w:tcPr>
            <w:tcW w:w="868" w:type="dxa"/>
          </w:tcPr>
          <w:p w:rsidR="00BE0A2F" w:rsidRPr="00610401" w:rsidRDefault="00BE0A2F" w:rsidP="00BE0A2F">
            <w:pPr>
              <w:spacing w:before="60" w:after="60"/>
              <w:jc w:val="right"/>
              <w:rPr>
                <w:noProof/>
                <w:color w:val="000000" w:themeColor="text1"/>
                <w:sz w:val="20"/>
              </w:rPr>
            </w:pPr>
          </w:p>
        </w:tc>
        <w:tc>
          <w:tcPr>
            <w:tcW w:w="868" w:type="dxa"/>
            <w:vAlign w:val="center"/>
          </w:tcPr>
          <w:p w:rsidR="00BE0A2F" w:rsidRPr="00610401" w:rsidRDefault="00BE0A2F" w:rsidP="00BE0A2F">
            <w:pPr>
              <w:spacing w:before="60" w:after="60"/>
              <w:jc w:val="center"/>
              <w:rPr>
                <w:noProof/>
                <w:color w:val="000000" w:themeColor="text1"/>
                <w:sz w:val="20"/>
              </w:rPr>
            </w:pPr>
            <w:r w:rsidRPr="00610401">
              <w:rPr>
                <w:noProof/>
                <w:color w:val="000000" w:themeColor="text1"/>
                <w:sz w:val="20"/>
              </w:rPr>
              <w:t>0,899</w:t>
            </w:r>
          </w:p>
        </w:tc>
        <w:tc>
          <w:tcPr>
            <w:tcW w:w="868" w:type="dxa"/>
            <w:vAlign w:val="center"/>
          </w:tcPr>
          <w:p w:rsidR="00BE0A2F" w:rsidRPr="00610401" w:rsidRDefault="00BE0A2F" w:rsidP="00BE0A2F">
            <w:pPr>
              <w:spacing w:before="60" w:after="60"/>
              <w:jc w:val="center"/>
              <w:rPr>
                <w:noProof/>
                <w:color w:val="000000" w:themeColor="text1"/>
                <w:sz w:val="20"/>
              </w:rPr>
            </w:pPr>
            <w:r w:rsidRPr="00610401">
              <w:rPr>
                <w:noProof/>
                <w:color w:val="000000" w:themeColor="text1"/>
                <w:sz w:val="20"/>
              </w:rPr>
              <w:t>0,899</w:t>
            </w:r>
          </w:p>
        </w:tc>
        <w:tc>
          <w:tcPr>
            <w:tcW w:w="868"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20"/>
              </w:rPr>
              <w:t>0,899</w:t>
            </w:r>
          </w:p>
        </w:tc>
        <w:tc>
          <w:tcPr>
            <w:tcW w:w="868"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20"/>
              </w:rPr>
              <w:t>0,899</w:t>
            </w:r>
          </w:p>
        </w:tc>
        <w:tc>
          <w:tcPr>
            <w:tcW w:w="868" w:type="dxa"/>
            <w:vAlign w:val="center"/>
          </w:tcPr>
          <w:p w:rsidR="00BE0A2F" w:rsidRPr="00610401" w:rsidRDefault="00BE0A2F" w:rsidP="00BE0A2F">
            <w:pPr>
              <w:spacing w:before="20" w:after="20"/>
              <w:jc w:val="center"/>
              <w:rPr>
                <w:noProof/>
                <w:color w:val="000000" w:themeColor="text1"/>
                <w:sz w:val="20"/>
              </w:rPr>
            </w:pPr>
            <w:r w:rsidRPr="00610401">
              <w:rPr>
                <w:noProof/>
                <w:color w:val="000000" w:themeColor="text1"/>
                <w:sz w:val="20"/>
              </w:rPr>
              <w:t>0,899</w:t>
            </w: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noProof/>
                <w:color w:val="000000" w:themeColor="text1"/>
                <w:sz w:val="20"/>
              </w:rPr>
            </w:pPr>
          </w:p>
        </w:tc>
        <w:tc>
          <w:tcPr>
            <w:tcW w:w="868" w:type="dxa"/>
            <w:vAlign w:val="center"/>
          </w:tcPr>
          <w:p w:rsidR="00BE0A2F" w:rsidRPr="00610401" w:rsidRDefault="00BE0A2F" w:rsidP="00BE0A2F">
            <w:pPr>
              <w:spacing w:before="20" w:after="20"/>
              <w:jc w:val="right"/>
              <w:rPr>
                <w:b/>
                <w:noProof/>
                <w:color w:val="000000" w:themeColor="text1"/>
                <w:sz w:val="20"/>
              </w:rPr>
            </w:pPr>
          </w:p>
        </w:tc>
        <w:tc>
          <w:tcPr>
            <w:tcW w:w="1777" w:type="dxa"/>
            <w:vAlign w:val="center"/>
          </w:tcPr>
          <w:p w:rsidR="00BE0A2F" w:rsidRPr="00610401" w:rsidRDefault="00BE0A2F" w:rsidP="00BE0A2F">
            <w:pPr>
              <w:spacing w:before="20" w:after="20"/>
              <w:jc w:val="right"/>
              <w:rPr>
                <w:b/>
                <w:noProof/>
                <w:color w:val="000000" w:themeColor="text1"/>
                <w:sz w:val="20"/>
              </w:rPr>
            </w:pPr>
            <w:r w:rsidRPr="00610401">
              <w:rPr>
                <w:b/>
                <w:noProof/>
                <w:color w:val="000000" w:themeColor="text1"/>
                <w:sz w:val="20"/>
              </w:rPr>
              <w:t>4,495</w:t>
            </w:r>
          </w:p>
        </w:tc>
      </w:tr>
    </w:tbl>
    <w:p w:rsidR="00BE0A2F" w:rsidRPr="00610401" w:rsidRDefault="00BE0A2F" w:rsidP="00BE0A2F">
      <w:pPr>
        <w:rPr>
          <w:noProof/>
          <w:color w:val="000000" w:themeColor="text1"/>
        </w:rPr>
      </w:pPr>
      <w:r w:rsidRPr="00610401">
        <w:rPr>
          <w:noProof/>
          <w:color w:val="000000" w:themeColor="text1"/>
        </w:rPr>
        <w:t>Koszty</w:t>
      </w:r>
      <w:r w:rsidR="00610401" w:rsidRPr="00610401">
        <w:rPr>
          <w:noProof/>
          <w:color w:val="000000" w:themeColor="text1"/>
        </w:rPr>
        <w:t xml:space="preserve"> w prz</w:t>
      </w:r>
      <w:r w:rsidRPr="00610401">
        <w:rPr>
          <w:noProof/>
          <w:color w:val="000000" w:themeColor="text1"/>
        </w:rPr>
        <w:t>eliczeniu na EPC (AD/AST) wynoszą 157 000 EUR/rok. Pozostałe wydatki administracyjne dotyczą posiedzeń</w:t>
      </w:r>
      <w:r w:rsidR="00610401" w:rsidRPr="00610401">
        <w:rPr>
          <w:noProof/>
          <w:color w:val="000000" w:themeColor="text1"/>
        </w:rPr>
        <w:t xml:space="preserve"> i pod</w:t>
      </w:r>
      <w:r w:rsidRPr="00610401">
        <w:rPr>
          <w:noProof/>
          <w:color w:val="000000" w:themeColor="text1"/>
        </w:rPr>
        <w:t>róży służbowych komitetu</w:t>
      </w:r>
      <w:r w:rsidR="00610401" w:rsidRPr="00610401">
        <w:rPr>
          <w:noProof/>
          <w:color w:val="000000" w:themeColor="text1"/>
        </w:rPr>
        <w:t xml:space="preserve"> i gru</w:t>
      </w:r>
      <w:r w:rsidRPr="00610401">
        <w:rPr>
          <w:noProof/>
          <w:color w:val="000000" w:themeColor="text1"/>
        </w:rPr>
        <w:t>p ekspertów oraz innych kosztów związanych</w:t>
      </w:r>
      <w:r w:rsidR="00610401" w:rsidRPr="00610401">
        <w:rPr>
          <w:noProof/>
          <w:color w:val="000000" w:themeColor="text1"/>
        </w:rPr>
        <w:t xml:space="preserve"> z tym</w:t>
      </w:r>
      <w:r w:rsidRPr="00610401">
        <w:rPr>
          <w:noProof/>
          <w:color w:val="000000" w:themeColor="text1"/>
        </w:rPr>
        <w:t xml:space="preserve"> personelem.</w:t>
      </w:r>
    </w:p>
    <w:tbl>
      <w:tblPr>
        <w:tblW w:w="156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2356"/>
        <w:gridCol w:w="977"/>
        <w:gridCol w:w="976"/>
        <w:gridCol w:w="976"/>
        <w:gridCol w:w="976"/>
        <w:gridCol w:w="976"/>
        <w:gridCol w:w="976"/>
        <w:gridCol w:w="976"/>
        <w:gridCol w:w="1999"/>
      </w:tblGrid>
      <w:tr w:rsidR="00B0251E" w:rsidRPr="00610401" w:rsidTr="00621CA5">
        <w:tc>
          <w:tcPr>
            <w:tcW w:w="3960" w:type="dxa"/>
            <w:shd w:val="thinDiagStripe" w:color="C0C0C0" w:fill="auto"/>
            <w:vAlign w:val="center"/>
          </w:tcPr>
          <w:p w:rsidR="00B0251E" w:rsidRPr="00610401" w:rsidRDefault="00B0251E" w:rsidP="00BE0A2F">
            <w:pPr>
              <w:jc w:val="center"/>
              <w:rPr>
                <w:b/>
                <w:noProof/>
                <w:color w:val="000000" w:themeColor="text1"/>
              </w:rPr>
            </w:pPr>
            <w:r w:rsidRPr="00610401">
              <w:rPr>
                <w:b/>
                <w:noProof/>
                <w:color w:val="000000" w:themeColor="text1"/>
                <w:sz w:val="22"/>
              </w:rPr>
              <w:t>OGÓŁEM środki</w:t>
            </w:r>
            <w:r w:rsidRPr="00610401">
              <w:rPr>
                <w:noProof/>
              </w:rPr>
              <w:t xml:space="preserve"> </w:t>
            </w:r>
            <w:r w:rsidRPr="00610401">
              <w:rPr>
                <w:noProof/>
              </w:rPr>
              <w:br/>
            </w:r>
            <w:r w:rsidRPr="00610401">
              <w:rPr>
                <w:b/>
                <w:noProof/>
                <w:color w:val="000000" w:themeColor="text1"/>
                <w:sz w:val="22"/>
              </w:rPr>
              <w:t>na DZIAŁ 7</w:t>
            </w:r>
            <w:r w:rsidRPr="00610401">
              <w:rPr>
                <w:noProof/>
              </w:rPr>
              <w:t xml:space="preserve"> </w:t>
            </w:r>
            <w:r w:rsidRPr="00610401">
              <w:rPr>
                <w:noProof/>
              </w:rPr>
              <w:br/>
            </w:r>
            <w:r w:rsidRPr="00610401">
              <w:rPr>
                <w:noProof/>
                <w:color w:val="000000" w:themeColor="text1"/>
                <w:sz w:val="22"/>
              </w:rPr>
              <w:t>wieloletnich ram finansowych</w:t>
            </w:r>
            <w:r w:rsidRPr="00610401">
              <w:rPr>
                <w:b/>
                <w:noProof/>
                <w:color w:val="000000" w:themeColor="text1"/>
                <w:sz w:val="22"/>
              </w:rPr>
              <w:t xml:space="preserve"> </w:t>
            </w:r>
          </w:p>
        </w:tc>
        <w:tc>
          <w:tcPr>
            <w:tcW w:w="2094" w:type="dxa"/>
            <w:vAlign w:val="center"/>
          </w:tcPr>
          <w:p w:rsidR="00B0251E" w:rsidRPr="00610401" w:rsidRDefault="00B0251E" w:rsidP="00B0251E">
            <w:pPr>
              <w:spacing w:before="40" w:after="40"/>
              <w:rPr>
                <w:noProof/>
                <w:color w:val="000000" w:themeColor="text1"/>
              </w:rPr>
            </w:pPr>
            <w:r w:rsidRPr="00610401">
              <w:rPr>
                <w:noProof/>
                <w:color w:val="000000" w:themeColor="text1"/>
                <w:sz w:val="18"/>
              </w:rPr>
              <w:t>(Środki na zobowiązania ogółem = środki na płatności ogółem)</w:t>
            </w:r>
          </w:p>
        </w:tc>
        <w:tc>
          <w:tcPr>
            <w:tcW w:w="868" w:type="dxa"/>
            <w:vAlign w:val="center"/>
          </w:tcPr>
          <w:p w:rsidR="00B0251E" w:rsidRPr="00610401" w:rsidRDefault="00B0251E" w:rsidP="00B0251E">
            <w:pPr>
              <w:spacing w:before="20" w:after="20"/>
              <w:jc w:val="right"/>
              <w:rPr>
                <w:noProof/>
                <w:color w:val="000000" w:themeColor="text1"/>
                <w:sz w:val="20"/>
              </w:rPr>
            </w:pPr>
          </w:p>
        </w:tc>
        <w:tc>
          <w:tcPr>
            <w:tcW w:w="868" w:type="dxa"/>
            <w:vAlign w:val="center"/>
          </w:tcPr>
          <w:p w:rsidR="00B0251E" w:rsidRPr="00610401" w:rsidRDefault="00B0251E" w:rsidP="00B0251E">
            <w:pPr>
              <w:spacing w:before="20" w:after="20"/>
              <w:jc w:val="right"/>
              <w:rPr>
                <w:noProof/>
                <w:color w:val="000000" w:themeColor="text1"/>
                <w:sz w:val="20"/>
              </w:rPr>
            </w:pPr>
            <w:r w:rsidRPr="00610401">
              <w:rPr>
                <w:noProof/>
                <w:color w:val="000000" w:themeColor="text1"/>
                <w:sz w:val="20"/>
              </w:rPr>
              <w:t>0,899</w:t>
            </w:r>
          </w:p>
        </w:tc>
        <w:tc>
          <w:tcPr>
            <w:tcW w:w="868" w:type="dxa"/>
            <w:vAlign w:val="center"/>
          </w:tcPr>
          <w:p w:rsidR="00B0251E" w:rsidRPr="00610401" w:rsidRDefault="00B0251E" w:rsidP="00B0251E">
            <w:pPr>
              <w:spacing w:before="20" w:after="20"/>
              <w:jc w:val="right"/>
              <w:rPr>
                <w:noProof/>
                <w:color w:val="000000" w:themeColor="text1"/>
                <w:sz w:val="20"/>
              </w:rPr>
            </w:pPr>
            <w:r w:rsidRPr="00610401">
              <w:rPr>
                <w:noProof/>
                <w:color w:val="000000" w:themeColor="text1"/>
                <w:sz w:val="20"/>
              </w:rPr>
              <w:t>0,899</w:t>
            </w:r>
          </w:p>
        </w:tc>
        <w:tc>
          <w:tcPr>
            <w:tcW w:w="868" w:type="dxa"/>
            <w:vAlign w:val="center"/>
          </w:tcPr>
          <w:p w:rsidR="00B0251E" w:rsidRPr="00610401" w:rsidRDefault="00B0251E" w:rsidP="00B0251E">
            <w:pPr>
              <w:spacing w:before="20" w:after="20"/>
              <w:jc w:val="right"/>
              <w:rPr>
                <w:noProof/>
                <w:color w:val="000000" w:themeColor="text1"/>
                <w:sz w:val="20"/>
              </w:rPr>
            </w:pPr>
            <w:r w:rsidRPr="00610401">
              <w:rPr>
                <w:noProof/>
                <w:color w:val="000000" w:themeColor="text1"/>
                <w:sz w:val="20"/>
              </w:rPr>
              <w:t>0,899</w:t>
            </w:r>
          </w:p>
        </w:tc>
        <w:tc>
          <w:tcPr>
            <w:tcW w:w="868" w:type="dxa"/>
            <w:vAlign w:val="center"/>
          </w:tcPr>
          <w:p w:rsidR="00B0251E" w:rsidRPr="00610401" w:rsidRDefault="00B0251E" w:rsidP="00B0251E">
            <w:pPr>
              <w:spacing w:before="20" w:after="20"/>
              <w:jc w:val="right"/>
              <w:rPr>
                <w:noProof/>
                <w:color w:val="000000" w:themeColor="text1"/>
                <w:sz w:val="20"/>
              </w:rPr>
            </w:pPr>
            <w:r w:rsidRPr="00610401">
              <w:rPr>
                <w:noProof/>
                <w:color w:val="000000" w:themeColor="text1"/>
                <w:sz w:val="20"/>
              </w:rPr>
              <w:t>0,899</w:t>
            </w:r>
          </w:p>
        </w:tc>
        <w:tc>
          <w:tcPr>
            <w:tcW w:w="868" w:type="dxa"/>
            <w:vAlign w:val="center"/>
          </w:tcPr>
          <w:p w:rsidR="00B0251E" w:rsidRPr="00610401" w:rsidRDefault="00B0251E" w:rsidP="00B0251E">
            <w:pPr>
              <w:spacing w:before="20" w:after="20"/>
              <w:jc w:val="right"/>
              <w:rPr>
                <w:noProof/>
                <w:color w:val="000000" w:themeColor="text1"/>
                <w:sz w:val="20"/>
              </w:rPr>
            </w:pPr>
            <w:r w:rsidRPr="00610401">
              <w:rPr>
                <w:noProof/>
                <w:color w:val="000000" w:themeColor="text1"/>
                <w:sz w:val="20"/>
              </w:rPr>
              <w:t>0,899</w:t>
            </w:r>
          </w:p>
        </w:tc>
        <w:tc>
          <w:tcPr>
            <w:tcW w:w="868" w:type="dxa"/>
            <w:vAlign w:val="center"/>
          </w:tcPr>
          <w:p w:rsidR="00B0251E" w:rsidRPr="00610401" w:rsidRDefault="00B0251E" w:rsidP="00BE0A2F">
            <w:pPr>
              <w:spacing w:before="20" w:after="20"/>
              <w:jc w:val="right"/>
              <w:rPr>
                <w:b/>
                <w:noProof/>
                <w:color w:val="000000" w:themeColor="text1"/>
                <w:sz w:val="20"/>
              </w:rPr>
            </w:pPr>
          </w:p>
        </w:tc>
        <w:tc>
          <w:tcPr>
            <w:tcW w:w="1777" w:type="dxa"/>
            <w:vAlign w:val="center"/>
          </w:tcPr>
          <w:p w:rsidR="00B0251E" w:rsidRPr="00610401" w:rsidRDefault="00B0251E" w:rsidP="00BE0A2F">
            <w:pPr>
              <w:spacing w:before="20" w:after="20"/>
              <w:jc w:val="right"/>
              <w:rPr>
                <w:b/>
                <w:noProof/>
                <w:color w:val="000000" w:themeColor="text1"/>
                <w:sz w:val="20"/>
              </w:rPr>
            </w:pPr>
            <w:r w:rsidRPr="00610401">
              <w:rPr>
                <w:b/>
                <w:noProof/>
                <w:color w:val="000000" w:themeColor="text1"/>
                <w:sz w:val="20"/>
              </w:rPr>
              <w:t>4,495</w:t>
            </w:r>
          </w:p>
        </w:tc>
      </w:tr>
    </w:tbl>
    <w:p w:rsidR="00BE0A2F" w:rsidRPr="00610401" w:rsidRDefault="00BE0A2F" w:rsidP="00B0251E">
      <w:pPr>
        <w:jc w:val="right"/>
        <w:rPr>
          <w:noProof/>
          <w:color w:val="000000" w:themeColor="text1"/>
          <w:sz w:val="20"/>
        </w:rPr>
      </w:pPr>
    </w:p>
    <w:p w:rsidR="00BE0A2F" w:rsidRPr="00610401" w:rsidRDefault="00BE0A2F" w:rsidP="00BE0A2F">
      <w:pPr>
        <w:jc w:val="right"/>
        <w:rPr>
          <w:noProof/>
          <w:color w:val="000000" w:themeColor="text1"/>
          <w:sz w:val="20"/>
        </w:rPr>
      </w:pPr>
    </w:p>
    <w:p w:rsidR="00BE0A2F" w:rsidRPr="00610401" w:rsidRDefault="00BE0A2F" w:rsidP="00BE0A2F">
      <w:pPr>
        <w:jc w:val="right"/>
        <w:rPr>
          <w:noProof/>
          <w:color w:val="000000" w:themeColor="text1"/>
          <w:sz w:val="20"/>
        </w:rPr>
      </w:pPr>
    </w:p>
    <w:p w:rsidR="00BE0A2F" w:rsidRPr="00610401" w:rsidRDefault="00BE0A2F" w:rsidP="00BE0A2F">
      <w:pPr>
        <w:jc w:val="right"/>
        <w:rPr>
          <w:noProof/>
          <w:color w:val="000000" w:themeColor="text1"/>
          <w:sz w:val="20"/>
        </w:rPr>
      </w:pPr>
    </w:p>
    <w:p w:rsidR="00BE0A2F" w:rsidRPr="00610401" w:rsidRDefault="00BE0A2F" w:rsidP="00BE0A2F">
      <w:pPr>
        <w:jc w:val="right"/>
        <w:rPr>
          <w:noProof/>
          <w:color w:val="000000" w:themeColor="text1"/>
          <w:sz w:val="20"/>
        </w:rPr>
      </w:pPr>
      <w:r w:rsidRPr="00610401">
        <w:rPr>
          <w:noProof/>
          <w:color w:val="000000" w:themeColor="text1"/>
          <w:sz w:val="20"/>
        </w:rPr>
        <w:t>w mln EUR (do trzech miejsc po przecinku)</w:t>
      </w:r>
    </w:p>
    <w:tbl>
      <w:tblPr>
        <w:tblW w:w="130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1777"/>
      </w:tblGrid>
      <w:tr w:rsidR="00B0251E" w:rsidRPr="00610401" w:rsidTr="00621CA5">
        <w:tc>
          <w:tcPr>
            <w:tcW w:w="3960" w:type="dxa"/>
            <w:tcBorders>
              <w:top w:val="nil"/>
              <w:left w:val="nil"/>
              <w:right w:val="nil"/>
            </w:tcBorders>
            <w:vAlign w:val="center"/>
          </w:tcPr>
          <w:p w:rsidR="00B0251E" w:rsidRPr="00610401" w:rsidRDefault="00B0251E" w:rsidP="00BE0A2F">
            <w:pPr>
              <w:jc w:val="center"/>
              <w:rPr>
                <w:noProof/>
                <w:color w:val="000000" w:themeColor="text1"/>
              </w:rPr>
            </w:pPr>
          </w:p>
        </w:tc>
        <w:tc>
          <w:tcPr>
            <w:tcW w:w="1560" w:type="dxa"/>
            <w:tcBorders>
              <w:top w:val="nil"/>
              <w:left w:val="nil"/>
              <w:right w:val="nil"/>
            </w:tcBorders>
          </w:tcPr>
          <w:p w:rsidR="00B0251E" w:rsidRPr="00610401" w:rsidRDefault="00B0251E" w:rsidP="00BE0A2F">
            <w:pPr>
              <w:rPr>
                <w:noProof/>
                <w:color w:val="000000" w:themeColor="text1"/>
                <w:sz w:val="20"/>
              </w:rPr>
            </w:pPr>
          </w:p>
        </w:tc>
        <w:tc>
          <w:tcPr>
            <w:tcW w:w="534" w:type="dxa"/>
            <w:tcBorders>
              <w:top w:val="nil"/>
              <w:left w:val="nil"/>
            </w:tcBorders>
          </w:tcPr>
          <w:p w:rsidR="00B0251E" w:rsidRPr="00610401" w:rsidRDefault="00B0251E" w:rsidP="00BE0A2F">
            <w:pPr>
              <w:jc w:val="center"/>
              <w:rPr>
                <w:noProof/>
                <w:color w:val="000000" w:themeColor="text1"/>
                <w:sz w:val="20"/>
              </w:rPr>
            </w:pPr>
          </w:p>
        </w:tc>
        <w:tc>
          <w:tcPr>
            <w:tcW w:w="868" w:type="dxa"/>
            <w:vAlign w:val="center"/>
          </w:tcPr>
          <w:p w:rsidR="00B0251E" w:rsidRPr="00610401" w:rsidRDefault="00B0251E"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noProof/>
                <w:color w:val="000000" w:themeColor="text1"/>
                <w:sz w:val="20"/>
              </w:rPr>
              <w:t>2022</w:t>
            </w:r>
          </w:p>
        </w:tc>
        <w:tc>
          <w:tcPr>
            <w:tcW w:w="868" w:type="dxa"/>
            <w:vAlign w:val="center"/>
          </w:tcPr>
          <w:p w:rsidR="00B0251E" w:rsidRPr="00610401" w:rsidRDefault="00B0251E"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noProof/>
                <w:color w:val="000000" w:themeColor="text1"/>
                <w:sz w:val="20"/>
              </w:rPr>
              <w:t>2023</w:t>
            </w:r>
          </w:p>
        </w:tc>
        <w:tc>
          <w:tcPr>
            <w:tcW w:w="868" w:type="dxa"/>
            <w:vAlign w:val="center"/>
          </w:tcPr>
          <w:p w:rsidR="00B0251E" w:rsidRPr="00610401" w:rsidRDefault="00B0251E" w:rsidP="00BE0A2F">
            <w:pPr>
              <w:jc w:val="center"/>
              <w:rPr>
                <w:b/>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2024</w:t>
            </w:r>
          </w:p>
        </w:tc>
        <w:tc>
          <w:tcPr>
            <w:tcW w:w="868" w:type="dxa"/>
            <w:vAlign w:val="center"/>
          </w:tcPr>
          <w:p w:rsidR="00B0251E" w:rsidRPr="00610401" w:rsidRDefault="00B0251E"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2025</w:t>
            </w:r>
          </w:p>
        </w:tc>
        <w:tc>
          <w:tcPr>
            <w:tcW w:w="868" w:type="dxa"/>
            <w:vAlign w:val="center"/>
          </w:tcPr>
          <w:p w:rsidR="00B0251E" w:rsidRPr="00610401" w:rsidRDefault="00B0251E"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2026</w:t>
            </w:r>
          </w:p>
        </w:tc>
        <w:tc>
          <w:tcPr>
            <w:tcW w:w="868" w:type="dxa"/>
            <w:vAlign w:val="center"/>
          </w:tcPr>
          <w:p w:rsidR="00B0251E" w:rsidRPr="00610401" w:rsidRDefault="00B0251E"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2027</w:t>
            </w:r>
          </w:p>
        </w:tc>
        <w:tc>
          <w:tcPr>
            <w:tcW w:w="1777" w:type="dxa"/>
            <w:vAlign w:val="center"/>
          </w:tcPr>
          <w:p w:rsidR="00B0251E" w:rsidRPr="00610401" w:rsidRDefault="00B0251E" w:rsidP="00BE0A2F">
            <w:pPr>
              <w:jc w:val="center"/>
              <w:rPr>
                <w:b/>
                <w:noProof/>
                <w:color w:val="000000" w:themeColor="text1"/>
                <w:sz w:val="20"/>
              </w:rPr>
            </w:pPr>
            <w:r w:rsidRPr="00610401">
              <w:rPr>
                <w:b/>
                <w:noProof/>
                <w:color w:val="000000" w:themeColor="text1"/>
                <w:sz w:val="20"/>
              </w:rPr>
              <w:t>OGÓŁEM</w:t>
            </w:r>
          </w:p>
        </w:tc>
      </w:tr>
      <w:tr w:rsidR="00B0251E" w:rsidRPr="00610401" w:rsidTr="00621CA5">
        <w:tc>
          <w:tcPr>
            <w:tcW w:w="3960" w:type="dxa"/>
            <w:vMerge w:val="restart"/>
            <w:shd w:val="clear" w:color="auto" w:fill="C0C0C0"/>
            <w:vAlign w:val="center"/>
          </w:tcPr>
          <w:p w:rsidR="00B0251E" w:rsidRPr="00610401" w:rsidRDefault="00B0251E" w:rsidP="00BE0A2F">
            <w:pPr>
              <w:jc w:val="center"/>
              <w:rPr>
                <w:b/>
                <w:noProof/>
                <w:color w:val="000000" w:themeColor="text1"/>
              </w:rPr>
            </w:pPr>
            <w:r w:rsidRPr="00610401">
              <w:rPr>
                <w:b/>
                <w:noProof/>
                <w:color w:val="000000" w:themeColor="text1"/>
                <w:sz w:val="22"/>
              </w:rPr>
              <w:t>OGÓŁEM środki</w:t>
            </w:r>
            <w:r w:rsidR="00610401" w:rsidRPr="00610401">
              <w:rPr>
                <w:b/>
                <w:noProof/>
                <w:color w:val="000000" w:themeColor="text1"/>
                <w:sz w:val="22"/>
              </w:rPr>
              <w:t xml:space="preserve"> </w:t>
            </w:r>
            <w:r w:rsidRPr="00610401">
              <w:rPr>
                <w:noProof/>
              </w:rPr>
              <w:br/>
            </w:r>
            <w:r w:rsidRPr="00610401">
              <w:rPr>
                <w:b/>
                <w:noProof/>
                <w:color w:val="000000" w:themeColor="text1"/>
                <w:sz w:val="22"/>
              </w:rPr>
              <w:t>na DZIAŁY 1 do</w:t>
            </w:r>
            <w:r w:rsidR="00610401" w:rsidRPr="00610401">
              <w:rPr>
                <w:b/>
                <w:noProof/>
                <w:color w:val="000000" w:themeColor="text1"/>
                <w:sz w:val="22"/>
              </w:rPr>
              <w:t> </w:t>
            </w:r>
            <w:r w:rsidRPr="00610401">
              <w:rPr>
                <w:b/>
                <w:noProof/>
                <w:color w:val="000000" w:themeColor="text1"/>
                <w:sz w:val="22"/>
              </w:rPr>
              <w:t>7</w:t>
            </w:r>
            <w:r w:rsidRPr="00610401">
              <w:rPr>
                <w:noProof/>
              </w:rPr>
              <w:t xml:space="preserve"> </w:t>
            </w:r>
            <w:r w:rsidRPr="00610401">
              <w:rPr>
                <w:noProof/>
              </w:rPr>
              <w:br/>
            </w:r>
            <w:r w:rsidRPr="00610401">
              <w:rPr>
                <w:noProof/>
                <w:color w:val="000000" w:themeColor="text1"/>
                <w:sz w:val="22"/>
              </w:rPr>
              <w:t>wieloletnich ram finansowych</w:t>
            </w:r>
            <w:r w:rsidRPr="00610401">
              <w:rPr>
                <w:b/>
                <w:noProof/>
                <w:color w:val="000000" w:themeColor="text1"/>
                <w:sz w:val="22"/>
              </w:rPr>
              <w:t xml:space="preserve"> </w:t>
            </w:r>
          </w:p>
        </w:tc>
        <w:tc>
          <w:tcPr>
            <w:tcW w:w="2094" w:type="dxa"/>
            <w:gridSpan w:val="2"/>
            <w:vAlign w:val="center"/>
          </w:tcPr>
          <w:p w:rsidR="00B0251E" w:rsidRPr="00610401" w:rsidRDefault="00B0251E" w:rsidP="00BE0A2F">
            <w:pPr>
              <w:rPr>
                <w:noProof/>
                <w:color w:val="000000" w:themeColor="text1"/>
                <w:sz w:val="14"/>
              </w:rPr>
            </w:pPr>
            <w:r w:rsidRPr="00610401">
              <w:rPr>
                <w:noProof/>
                <w:color w:val="000000" w:themeColor="text1"/>
                <w:sz w:val="18"/>
              </w:rPr>
              <w:t>Środki na zobowiązania</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4,151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4,803</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5,160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5,216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5,275</w:t>
            </w:r>
          </w:p>
        </w:tc>
        <w:tc>
          <w:tcPr>
            <w:tcW w:w="1777"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b/>
                <w:noProof/>
                <w:color w:val="000000" w:themeColor="text1"/>
                <w:sz w:val="20"/>
              </w:rPr>
            </w:pPr>
            <w:r w:rsidRPr="00610401">
              <w:rPr>
                <w:b/>
                <w:noProof/>
                <w:color w:val="000000"/>
                <w:sz w:val="20"/>
              </w:rPr>
              <w:t>25,555</w:t>
            </w:r>
          </w:p>
        </w:tc>
      </w:tr>
      <w:tr w:rsidR="00B0251E" w:rsidRPr="00610401" w:rsidTr="00621CA5">
        <w:tc>
          <w:tcPr>
            <w:tcW w:w="3960" w:type="dxa"/>
            <w:vMerge/>
            <w:shd w:val="clear" w:color="auto" w:fill="C0C0C0"/>
          </w:tcPr>
          <w:p w:rsidR="00B0251E" w:rsidRPr="00610401" w:rsidRDefault="00B0251E" w:rsidP="00BE0A2F">
            <w:pPr>
              <w:rPr>
                <w:noProof/>
                <w:color w:val="000000" w:themeColor="text1"/>
                <w:sz w:val="20"/>
              </w:rPr>
            </w:pPr>
          </w:p>
        </w:tc>
        <w:tc>
          <w:tcPr>
            <w:tcW w:w="2094" w:type="dxa"/>
            <w:gridSpan w:val="2"/>
            <w:vAlign w:val="center"/>
          </w:tcPr>
          <w:p w:rsidR="00B0251E" w:rsidRPr="00610401" w:rsidRDefault="00B0251E" w:rsidP="00BE0A2F">
            <w:pPr>
              <w:rPr>
                <w:noProof/>
                <w:color w:val="000000" w:themeColor="text1"/>
                <w:sz w:val="14"/>
              </w:rPr>
            </w:pPr>
            <w:r w:rsidRPr="00610401">
              <w:rPr>
                <w:noProof/>
                <w:color w:val="000000" w:themeColor="text1"/>
                <w:sz w:val="18"/>
              </w:rPr>
              <w:t>Środki na płatności</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4,151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4,803</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5,160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5,216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noProof/>
                <w:color w:val="000000" w:themeColor="text1"/>
                <w:sz w:val="20"/>
              </w:rPr>
            </w:pPr>
            <w:r w:rsidRPr="00610401">
              <w:rPr>
                <w:noProof/>
                <w:color w:val="000000"/>
                <w:sz w:val="20"/>
              </w:rPr>
              <w:t>5,275</w:t>
            </w:r>
          </w:p>
        </w:tc>
        <w:tc>
          <w:tcPr>
            <w:tcW w:w="1777"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610401" w:rsidRDefault="00B0251E" w:rsidP="00BE0A2F">
            <w:pPr>
              <w:spacing w:before="60" w:after="60"/>
              <w:jc w:val="right"/>
              <w:rPr>
                <w:b/>
                <w:noProof/>
                <w:color w:val="000000" w:themeColor="text1"/>
                <w:sz w:val="20"/>
              </w:rPr>
            </w:pPr>
            <w:r w:rsidRPr="00610401">
              <w:rPr>
                <w:b/>
                <w:noProof/>
                <w:color w:val="000000"/>
                <w:sz w:val="20"/>
              </w:rPr>
              <w:t>25,555</w:t>
            </w:r>
          </w:p>
        </w:tc>
      </w:tr>
    </w:tbl>
    <w:p w:rsidR="00BE0A2F" w:rsidRPr="00610401" w:rsidRDefault="00BE0A2F" w:rsidP="00BE0A2F">
      <w:pPr>
        <w:rPr>
          <w:noProof/>
          <w:color w:val="000000" w:themeColor="text1"/>
        </w:rPr>
      </w:pPr>
    </w:p>
    <w:p w:rsidR="00BE0A2F" w:rsidRPr="00610401" w:rsidRDefault="009F5C98" w:rsidP="009F5C98">
      <w:pPr>
        <w:pStyle w:val="ManualHeading3"/>
        <w:rPr>
          <w:noProof/>
        </w:rPr>
      </w:pPr>
      <w:bookmarkStart w:id="53" w:name="_Toc514938054"/>
      <w:bookmarkStart w:id="54" w:name="_Toc520485053"/>
      <w:r w:rsidRPr="009F5C98">
        <w:t>3.2.2.</w:t>
      </w:r>
      <w:r w:rsidRPr="009F5C98">
        <w:tab/>
      </w:r>
      <w:r w:rsidR="00BE0A2F" w:rsidRPr="00610401">
        <w:rPr>
          <w:noProof/>
        </w:rPr>
        <w:t>Przewidywany produkt finansowany ze środków operacyjnych</w:t>
      </w:r>
      <w:bookmarkEnd w:id="53"/>
      <w:bookmarkEnd w:id="54"/>
      <w:r w:rsidR="00BE0A2F" w:rsidRPr="00610401">
        <w:rPr>
          <w:noProof/>
        </w:rPr>
        <w:t xml:space="preserve"> </w:t>
      </w:r>
    </w:p>
    <w:p w:rsidR="00BE0A2F" w:rsidRPr="00610401" w:rsidRDefault="00BE0A2F" w:rsidP="00BE0A2F">
      <w:pPr>
        <w:jc w:val="right"/>
        <w:rPr>
          <w:noProof/>
          <w:color w:val="000000" w:themeColor="text1"/>
          <w:sz w:val="20"/>
        </w:rPr>
      </w:pPr>
      <w:r w:rsidRPr="00610401">
        <w:rPr>
          <w:noProof/>
          <w:color w:val="000000" w:themeColor="text1"/>
          <w:sz w:val="20"/>
        </w:rPr>
        <w:t>Środki na zobowiązania</w:t>
      </w:r>
      <w:r w:rsidR="00610401" w:rsidRPr="00610401">
        <w:rPr>
          <w:noProof/>
          <w:color w:val="000000" w:themeColor="text1"/>
          <w:sz w:val="20"/>
        </w:rPr>
        <w:t xml:space="preserve"> w mln</w:t>
      </w:r>
      <w:r w:rsidRPr="00610401">
        <w:rPr>
          <w:noProof/>
          <w:color w:val="000000" w:themeColor="text1"/>
          <w:sz w:val="20"/>
        </w:rPr>
        <w:t xml:space="preserve"> EUR (do trzech miejsc po przecinku)</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E0A2F" w:rsidRPr="00610401" w:rsidTr="00BE0A2F">
        <w:trPr>
          <w:jc w:val="center"/>
        </w:trPr>
        <w:tc>
          <w:tcPr>
            <w:tcW w:w="1423" w:type="dxa"/>
            <w:vMerge w:val="restart"/>
            <w:vAlign w:val="center"/>
          </w:tcPr>
          <w:p w:rsidR="00BE0A2F" w:rsidRPr="00610401" w:rsidRDefault="00BE0A2F" w:rsidP="00BE0A2F">
            <w:pPr>
              <w:ind w:right="-29"/>
              <w:jc w:val="center"/>
              <w:rPr>
                <w:b/>
                <w:noProof/>
                <w:color w:val="000000" w:themeColor="text1"/>
                <w:sz w:val="18"/>
                <w:szCs w:val="18"/>
              </w:rPr>
            </w:pPr>
            <w:r w:rsidRPr="00610401">
              <w:rPr>
                <w:b/>
                <w:noProof/>
                <w:color w:val="000000" w:themeColor="text1"/>
                <w:sz w:val="18"/>
              </w:rPr>
              <w:t>Określić cele</w:t>
            </w:r>
            <w:r w:rsidR="00610401" w:rsidRPr="00610401">
              <w:rPr>
                <w:b/>
                <w:noProof/>
                <w:color w:val="000000" w:themeColor="text1"/>
                <w:sz w:val="18"/>
              </w:rPr>
              <w:t xml:space="preserve"> i pro</w:t>
            </w:r>
            <w:r w:rsidRPr="00610401">
              <w:rPr>
                <w:b/>
                <w:noProof/>
                <w:color w:val="000000" w:themeColor="text1"/>
                <w:sz w:val="18"/>
              </w:rPr>
              <w:t xml:space="preserve">dukty </w:t>
            </w:r>
          </w:p>
          <w:p w:rsidR="00BE0A2F" w:rsidRPr="00610401" w:rsidRDefault="00BE0A2F" w:rsidP="00BE0A2F">
            <w:pPr>
              <w:ind w:right="-29"/>
              <w:jc w:val="center"/>
              <w:rPr>
                <w:b/>
                <w:noProof/>
                <w:color w:val="000000" w:themeColor="text1"/>
                <w:sz w:val="18"/>
                <w:szCs w:val="18"/>
              </w:rPr>
            </w:pPr>
          </w:p>
          <w:p w:rsidR="00BE0A2F" w:rsidRPr="00610401" w:rsidRDefault="00BE0A2F" w:rsidP="00BE0A2F">
            <w:pPr>
              <w:ind w:right="-29"/>
              <w:jc w:val="center"/>
              <w:rPr>
                <w:noProof/>
                <w:color w:val="000000" w:themeColor="text1"/>
                <w:sz w:val="18"/>
                <w:szCs w:val="18"/>
              </w:rPr>
            </w:pPr>
            <w:r w:rsidRPr="00610401">
              <w:rPr>
                <w:noProof/>
                <w:color w:val="000000" w:themeColor="text1"/>
                <w:sz w:val="18"/>
              </w:rPr>
              <w:sym w:font="Wingdings" w:char="F0F2"/>
            </w:r>
          </w:p>
        </w:tc>
        <w:tc>
          <w:tcPr>
            <w:tcW w:w="720" w:type="dxa"/>
            <w:vAlign w:val="center"/>
          </w:tcPr>
          <w:p w:rsidR="00BE0A2F" w:rsidRPr="00610401" w:rsidRDefault="00BE0A2F" w:rsidP="00BE0A2F">
            <w:pPr>
              <w:ind w:right="-29"/>
              <w:jc w:val="center"/>
              <w:rPr>
                <w:noProof/>
                <w:color w:val="000000" w:themeColor="text1"/>
                <w:sz w:val="18"/>
                <w:szCs w:val="18"/>
              </w:rPr>
            </w:pPr>
          </w:p>
        </w:tc>
        <w:tc>
          <w:tcPr>
            <w:tcW w:w="701" w:type="dxa"/>
            <w:vAlign w:val="center"/>
          </w:tcPr>
          <w:p w:rsidR="00BE0A2F" w:rsidRPr="00610401" w:rsidRDefault="00BE0A2F" w:rsidP="00BE0A2F">
            <w:pPr>
              <w:ind w:right="-29"/>
              <w:jc w:val="center"/>
              <w:rPr>
                <w:noProof/>
                <w:color w:val="000000" w:themeColor="text1"/>
                <w:sz w:val="18"/>
                <w:szCs w:val="18"/>
              </w:rPr>
            </w:pPr>
          </w:p>
        </w:tc>
        <w:tc>
          <w:tcPr>
            <w:tcW w:w="1224" w:type="dxa"/>
            <w:gridSpan w:val="2"/>
            <w:tcBorders>
              <w:left w:val="nil"/>
            </w:tcBorders>
            <w:vAlign w:val="center"/>
          </w:tcPr>
          <w:p w:rsidR="00BE0A2F" w:rsidRPr="00610401" w:rsidRDefault="00BE0A2F" w:rsidP="00BE0A2F">
            <w:pPr>
              <w:ind w:right="-29"/>
              <w:jc w:val="center"/>
              <w:rPr>
                <w:noProof/>
                <w:color w:val="000000" w:themeColor="text1"/>
                <w:sz w:val="18"/>
                <w:szCs w:val="18"/>
              </w:rPr>
            </w:pPr>
            <w:r w:rsidRPr="00610401">
              <w:rPr>
                <w:noProof/>
                <w:color w:val="000000" w:themeColor="text1"/>
                <w:sz w:val="18"/>
              </w:rPr>
              <w:t>Rok</w:t>
            </w:r>
            <w:r w:rsidRPr="00610401">
              <w:rPr>
                <w:noProof/>
              </w:rPr>
              <w:t xml:space="preserve"> </w:t>
            </w:r>
            <w:r w:rsidRPr="00610401">
              <w:rPr>
                <w:noProof/>
              </w:rPr>
              <w:br/>
            </w:r>
            <w:r w:rsidRPr="00610401">
              <w:rPr>
                <w:b/>
                <w:noProof/>
                <w:color w:val="000000" w:themeColor="text1"/>
                <w:sz w:val="18"/>
              </w:rPr>
              <w:t>N</w:t>
            </w:r>
          </w:p>
        </w:tc>
        <w:tc>
          <w:tcPr>
            <w:tcW w:w="1260" w:type="dxa"/>
            <w:gridSpan w:val="2"/>
            <w:vAlign w:val="center"/>
          </w:tcPr>
          <w:p w:rsidR="00BE0A2F" w:rsidRPr="00610401" w:rsidRDefault="00BE0A2F" w:rsidP="00BE0A2F">
            <w:pPr>
              <w:ind w:right="-29"/>
              <w:jc w:val="center"/>
              <w:rPr>
                <w:noProof/>
                <w:color w:val="000000" w:themeColor="text1"/>
                <w:sz w:val="18"/>
                <w:szCs w:val="18"/>
              </w:rPr>
            </w:pPr>
            <w:r w:rsidRPr="00610401">
              <w:rPr>
                <w:noProof/>
                <w:color w:val="000000" w:themeColor="text1"/>
                <w:sz w:val="18"/>
              </w:rPr>
              <w:t>Rok</w:t>
            </w:r>
            <w:r w:rsidRPr="00610401">
              <w:rPr>
                <w:noProof/>
              </w:rPr>
              <w:t xml:space="preserve"> </w:t>
            </w:r>
            <w:r w:rsidRPr="00610401">
              <w:rPr>
                <w:noProof/>
              </w:rPr>
              <w:br/>
            </w:r>
            <w:r w:rsidRPr="00610401">
              <w:rPr>
                <w:b/>
                <w:noProof/>
                <w:color w:val="000000" w:themeColor="text1"/>
                <w:sz w:val="18"/>
              </w:rPr>
              <w:t>N+1</w:t>
            </w:r>
          </w:p>
        </w:tc>
        <w:tc>
          <w:tcPr>
            <w:tcW w:w="1440" w:type="dxa"/>
            <w:gridSpan w:val="2"/>
            <w:vAlign w:val="center"/>
          </w:tcPr>
          <w:p w:rsidR="00BE0A2F" w:rsidRPr="00610401" w:rsidRDefault="00BE0A2F" w:rsidP="00BE0A2F">
            <w:pPr>
              <w:ind w:right="-29"/>
              <w:jc w:val="center"/>
              <w:rPr>
                <w:noProof/>
                <w:color w:val="000000" w:themeColor="text1"/>
                <w:sz w:val="18"/>
                <w:szCs w:val="18"/>
              </w:rPr>
            </w:pPr>
            <w:r w:rsidRPr="00610401">
              <w:rPr>
                <w:noProof/>
                <w:color w:val="000000" w:themeColor="text1"/>
                <w:sz w:val="18"/>
              </w:rPr>
              <w:t>Rok</w:t>
            </w:r>
            <w:r w:rsidRPr="00610401">
              <w:rPr>
                <w:noProof/>
              </w:rPr>
              <w:t xml:space="preserve"> </w:t>
            </w:r>
            <w:r w:rsidRPr="00610401">
              <w:rPr>
                <w:noProof/>
              </w:rPr>
              <w:br/>
            </w:r>
            <w:r w:rsidRPr="00610401">
              <w:rPr>
                <w:b/>
                <w:noProof/>
                <w:color w:val="000000" w:themeColor="text1"/>
                <w:sz w:val="18"/>
              </w:rPr>
              <w:t>N+2</w:t>
            </w:r>
          </w:p>
        </w:tc>
        <w:tc>
          <w:tcPr>
            <w:tcW w:w="1620" w:type="dxa"/>
            <w:gridSpan w:val="3"/>
            <w:vAlign w:val="center"/>
          </w:tcPr>
          <w:p w:rsidR="00BE0A2F" w:rsidRPr="00610401" w:rsidRDefault="00BE0A2F" w:rsidP="00BE0A2F">
            <w:pPr>
              <w:ind w:right="-29"/>
              <w:jc w:val="center"/>
              <w:rPr>
                <w:noProof/>
                <w:color w:val="000000" w:themeColor="text1"/>
                <w:sz w:val="18"/>
                <w:szCs w:val="18"/>
              </w:rPr>
            </w:pPr>
            <w:r w:rsidRPr="00610401">
              <w:rPr>
                <w:noProof/>
                <w:color w:val="000000" w:themeColor="text1"/>
                <w:sz w:val="18"/>
              </w:rPr>
              <w:t>Rok</w:t>
            </w:r>
            <w:r w:rsidRPr="00610401">
              <w:rPr>
                <w:noProof/>
              </w:rPr>
              <w:t xml:space="preserve"> </w:t>
            </w:r>
            <w:r w:rsidRPr="00610401">
              <w:rPr>
                <w:noProof/>
              </w:rPr>
              <w:br/>
            </w:r>
            <w:r w:rsidRPr="00610401">
              <w:rPr>
                <w:b/>
                <w:noProof/>
                <w:color w:val="000000" w:themeColor="text1"/>
                <w:sz w:val="18"/>
              </w:rPr>
              <w:t>N+3</w:t>
            </w:r>
          </w:p>
        </w:tc>
        <w:tc>
          <w:tcPr>
            <w:tcW w:w="3600" w:type="dxa"/>
            <w:gridSpan w:val="6"/>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Wprowadzić taką liczbę kolumn dla poszczególnych lat, jaka jest niezbędna, by odzwierciedlić cały okres wpływu (por. pkt</w:t>
            </w:r>
            <w:r w:rsidR="00610401" w:rsidRPr="00610401">
              <w:rPr>
                <w:noProof/>
                <w:color w:val="000000" w:themeColor="text1"/>
                <w:sz w:val="18"/>
              </w:rPr>
              <w:t> </w:t>
            </w:r>
            <w:r w:rsidRPr="00610401">
              <w:rPr>
                <w:noProof/>
                <w:color w:val="000000" w:themeColor="text1"/>
                <w:sz w:val="18"/>
              </w:rPr>
              <w:t>1.6)</w:t>
            </w:r>
          </w:p>
        </w:tc>
        <w:tc>
          <w:tcPr>
            <w:tcW w:w="1620" w:type="dxa"/>
            <w:gridSpan w:val="2"/>
            <w:tcBorders>
              <w:left w:val="nil"/>
              <w:bottom w:val="nil"/>
            </w:tcBorders>
            <w:vAlign w:val="center"/>
          </w:tcPr>
          <w:p w:rsidR="00BE0A2F" w:rsidRPr="00610401" w:rsidRDefault="00BE0A2F" w:rsidP="00BE0A2F">
            <w:pPr>
              <w:ind w:right="-29"/>
              <w:jc w:val="center"/>
              <w:rPr>
                <w:noProof/>
                <w:color w:val="000000" w:themeColor="text1"/>
                <w:sz w:val="18"/>
                <w:szCs w:val="18"/>
              </w:rPr>
            </w:pPr>
            <w:r w:rsidRPr="00610401">
              <w:rPr>
                <w:b/>
                <w:noProof/>
                <w:color w:val="000000" w:themeColor="text1"/>
                <w:sz w:val="18"/>
              </w:rPr>
              <w:t>OGÓŁEM</w:t>
            </w:r>
          </w:p>
        </w:tc>
      </w:tr>
      <w:tr w:rsidR="00BE0A2F" w:rsidRPr="00610401" w:rsidTr="00BE0A2F">
        <w:trPr>
          <w:jc w:val="center"/>
        </w:trPr>
        <w:tc>
          <w:tcPr>
            <w:tcW w:w="1423" w:type="dxa"/>
            <w:vMerge/>
            <w:vAlign w:val="center"/>
          </w:tcPr>
          <w:p w:rsidR="00BE0A2F" w:rsidRPr="00610401" w:rsidRDefault="00BE0A2F" w:rsidP="00BE0A2F">
            <w:pPr>
              <w:ind w:right="-29"/>
              <w:jc w:val="center"/>
              <w:rPr>
                <w:noProof/>
                <w:color w:val="000000" w:themeColor="text1"/>
                <w:sz w:val="18"/>
                <w:szCs w:val="18"/>
              </w:rPr>
            </w:pPr>
          </w:p>
        </w:tc>
        <w:tc>
          <w:tcPr>
            <w:tcW w:w="12185" w:type="dxa"/>
            <w:gridSpan w:val="19"/>
            <w:vAlign w:val="center"/>
          </w:tcPr>
          <w:p w:rsidR="00BE0A2F" w:rsidRPr="00610401" w:rsidRDefault="00BE0A2F" w:rsidP="00BE0A2F">
            <w:pPr>
              <w:spacing w:before="60" w:after="60"/>
              <w:ind w:right="-29"/>
              <w:jc w:val="center"/>
              <w:rPr>
                <w:noProof/>
                <w:color w:val="000000" w:themeColor="text1"/>
                <w:sz w:val="18"/>
                <w:szCs w:val="18"/>
              </w:rPr>
            </w:pPr>
            <w:r w:rsidRPr="00610401">
              <w:rPr>
                <w:b/>
                <w:noProof/>
                <w:color w:val="000000" w:themeColor="text1"/>
                <w:sz w:val="18"/>
              </w:rPr>
              <w:t>PRODUKT</w:t>
            </w:r>
          </w:p>
        </w:tc>
      </w:tr>
      <w:tr w:rsidR="00BE0A2F" w:rsidRPr="00610401" w:rsidTr="00BE0A2F">
        <w:trPr>
          <w:cantSplit/>
          <w:trHeight w:val="1134"/>
          <w:jc w:val="center"/>
        </w:trPr>
        <w:tc>
          <w:tcPr>
            <w:tcW w:w="1423" w:type="dxa"/>
            <w:vMerge/>
            <w:vAlign w:val="center"/>
          </w:tcPr>
          <w:p w:rsidR="00BE0A2F" w:rsidRPr="00610401" w:rsidRDefault="00BE0A2F" w:rsidP="00BE0A2F">
            <w:pPr>
              <w:rPr>
                <w:noProof/>
                <w:color w:val="000000" w:themeColor="text1"/>
                <w:sz w:val="18"/>
                <w:szCs w:val="18"/>
              </w:rPr>
            </w:pPr>
          </w:p>
        </w:tc>
        <w:tc>
          <w:tcPr>
            <w:tcW w:w="720" w:type="dxa"/>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Rodzaj</w:t>
            </w:r>
            <w:r w:rsidRPr="00610401">
              <w:rPr>
                <w:rStyle w:val="FootnoteReference"/>
                <w:noProof/>
              </w:rPr>
              <w:footnoteReference w:id="123"/>
            </w:r>
          </w:p>
          <w:p w:rsidR="00BE0A2F" w:rsidRPr="00610401" w:rsidRDefault="00BE0A2F" w:rsidP="00BE0A2F">
            <w:pPr>
              <w:spacing w:before="0" w:after="0"/>
              <w:jc w:val="center"/>
              <w:rPr>
                <w:noProof/>
                <w:color w:val="000000" w:themeColor="text1"/>
                <w:sz w:val="18"/>
                <w:szCs w:val="18"/>
              </w:rPr>
            </w:pPr>
          </w:p>
        </w:tc>
        <w:tc>
          <w:tcPr>
            <w:tcW w:w="701" w:type="dxa"/>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Średni koszt</w:t>
            </w:r>
          </w:p>
        </w:tc>
        <w:tc>
          <w:tcPr>
            <w:tcW w:w="504" w:type="dxa"/>
            <w:tcBorders>
              <w:left w:val="nil"/>
              <w:right w:val="dashSmallGap" w:sz="4" w:space="0" w:color="auto"/>
            </w:tcBorders>
            <w:shd w:val="pct10" w:color="auto" w:fill="auto"/>
            <w:textDirection w:val="btLr"/>
            <w:vAlign w:val="center"/>
          </w:tcPr>
          <w:p w:rsidR="00BE0A2F" w:rsidRPr="00610401" w:rsidRDefault="00BE0A2F" w:rsidP="00BE0A2F">
            <w:pPr>
              <w:ind w:left="113" w:right="113"/>
              <w:jc w:val="center"/>
              <w:rPr>
                <w:noProof/>
                <w:color w:val="000000" w:themeColor="text1"/>
                <w:sz w:val="18"/>
                <w:szCs w:val="18"/>
              </w:rPr>
            </w:pPr>
            <w:r w:rsidRPr="00610401">
              <w:rPr>
                <w:noProof/>
                <w:color w:val="000000" w:themeColor="text1"/>
                <w:sz w:val="18"/>
              </w:rPr>
              <w:t>Liczba</w:t>
            </w:r>
          </w:p>
        </w:tc>
        <w:tc>
          <w:tcPr>
            <w:tcW w:w="720" w:type="dxa"/>
            <w:tcBorders>
              <w:left w:val="dashSmallGap" w:sz="4" w:space="0" w:color="auto"/>
            </w:tcBorders>
            <w:shd w:val="pct10" w:color="auto" w:fill="auto"/>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Koszt</w:t>
            </w:r>
          </w:p>
        </w:tc>
        <w:tc>
          <w:tcPr>
            <w:tcW w:w="540" w:type="dxa"/>
            <w:tcBorders>
              <w:right w:val="dashSmallGap" w:sz="4" w:space="0" w:color="auto"/>
            </w:tcBorders>
            <w:shd w:val="pct10" w:color="auto" w:fill="auto"/>
            <w:textDirection w:val="btLr"/>
            <w:vAlign w:val="center"/>
          </w:tcPr>
          <w:p w:rsidR="00BE0A2F" w:rsidRPr="00610401" w:rsidRDefault="00BE0A2F" w:rsidP="00BE0A2F">
            <w:pPr>
              <w:ind w:left="113" w:right="113"/>
              <w:jc w:val="center"/>
              <w:rPr>
                <w:noProof/>
                <w:color w:val="000000" w:themeColor="text1"/>
                <w:sz w:val="18"/>
                <w:szCs w:val="18"/>
              </w:rPr>
            </w:pPr>
            <w:r w:rsidRPr="00610401">
              <w:rPr>
                <w:noProof/>
                <w:color w:val="000000" w:themeColor="text1"/>
                <w:sz w:val="18"/>
              </w:rPr>
              <w:t>Liczba</w:t>
            </w:r>
          </w:p>
        </w:tc>
        <w:tc>
          <w:tcPr>
            <w:tcW w:w="720" w:type="dxa"/>
            <w:tcBorders>
              <w:left w:val="dashSmallGap" w:sz="4" w:space="0" w:color="auto"/>
            </w:tcBorders>
            <w:shd w:val="pct10" w:color="auto" w:fill="auto"/>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Koszt</w:t>
            </w:r>
          </w:p>
        </w:tc>
        <w:tc>
          <w:tcPr>
            <w:tcW w:w="720" w:type="dxa"/>
            <w:tcBorders>
              <w:right w:val="dashSmallGap" w:sz="4" w:space="0" w:color="auto"/>
            </w:tcBorders>
            <w:shd w:val="pct10" w:color="auto" w:fill="auto"/>
            <w:textDirection w:val="btLr"/>
            <w:vAlign w:val="center"/>
          </w:tcPr>
          <w:p w:rsidR="00BE0A2F" w:rsidRPr="00610401" w:rsidRDefault="00BE0A2F" w:rsidP="00BE0A2F">
            <w:pPr>
              <w:ind w:left="113" w:right="113"/>
              <w:jc w:val="center"/>
              <w:rPr>
                <w:noProof/>
                <w:color w:val="000000" w:themeColor="text1"/>
                <w:sz w:val="18"/>
                <w:szCs w:val="18"/>
              </w:rPr>
            </w:pPr>
            <w:r w:rsidRPr="00610401">
              <w:rPr>
                <w:noProof/>
                <w:color w:val="000000" w:themeColor="text1"/>
                <w:sz w:val="18"/>
              </w:rPr>
              <w:t>Liczba</w:t>
            </w:r>
          </w:p>
        </w:tc>
        <w:tc>
          <w:tcPr>
            <w:tcW w:w="720" w:type="dxa"/>
            <w:tcBorders>
              <w:left w:val="dashSmallGap" w:sz="4" w:space="0" w:color="auto"/>
            </w:tcBorders>
            <w:shd w:val="pct10" w:color="auto" w:fill="auto"/>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Koszt</w:t>
            </w:r>
          </w:p>
        </w:tc>
        <w:tc>
          <w:tcPr>
            <w:tcW w:w="900" w:type="dxa"/>
            <w:tcBorders>
              <w:right w:val="dashSmallGap" w:sz="4" w:space="0" w:color="auto"/>
            </w:tcBorders>
            <w:shd w:val="pct10" w:color="auto" w:fill="auto"/>
            <w:textDirection w:val="btLr"/>
            <w:vAlign w:val="center"/>
          </w:tcPr>
          <w:p w:rsidR="00BE0A2F" w:rsidRPr="00610401" w:rsidRDefault="00BE0A2F" w:rsidP="00BE0A2F">
            <w:pPr>
              <w:ind w:left="113" w:right="113"/>
              <w:jc w:val="center"/>
              <w:rPr>
                <w:noProof/>
                <w:color w:val="000000" w:themeColor="text1"/>
                <w:sz w:val="18"/>
                <w:szCs w:val="18"/>
              </w:rPr>
            </w:pPr>
            <w:r w:rsidRPr="00610401">
              <w:rPr>
                <w:noProof/>
                <w:color w:val="000000" w:themeColor="text1"/>
                <w:sz w:val="18"/>
              </w:rPr>
              <w:t>Liczba</w:t>
            </w:r>
          </w:p>
        </w:tc>
        <w:tc>
          <w:tcPr>
            <w:tcW w:w="720" w:type="dxa"/>
            <w:gridSpan w:val="2"/>
            <w:tcBorders>
              <w:left w:val="dashSmallGap" w:sz="4" w:space="0" w:color="auto"/>
            </w:tcBorders>
            <w:shd w:val="pct10" w:color="auto" w:fill="auto"/>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Koszt</w:t>
            </w:r>
          </w:p>
        </w:tc>
        <w:tc>
          <w:tcPr>
            <w:tcW w:w="540" w:type="dxa"/>
            <w:tcBorders>
              <w:right w:val="dashSmallGap" w:sz="4" w:space="0" w:color="auto"/>
            </w:tcBorders>
            <w:shd w:val="pct10" w:color="auto" w:fill="auto"/>
            <w:textDirection w:val="btLr"/>
            <w:vAlign w:val="center"/>
          </w:tcPr>
          <w:p w:rsidR="00BE0A2F" w:rsidRPr="00610401" w:rsidRDefault="00BE0A2F" w:rsidP="00BE0A2F">
            <w:pPr>
              <w:ind w:left="113" w:right="113"/>
              <w:jc w:val="center"/>
              <w:rPr>
                <w:noProof/>
                <w:color w:val="000000" w:themeColor="text1"/>
                <w:sz w:val="18"/>
                <w:szCs w:val="18"/>
              </w:rPr>
            </w:pPr>
            <w:r w:rsidRPr="00610401">
              <w:rPr>
                <w:noProof/>
                <w:color w:val="000000" w:themeColor="text1"/>
                <w:sz w:val="18"/>
              </w:rPr>
              <w:t>Liczba</w:t>
            </w:r>
          </w:p>
        </w:tc>
        <w:tc>
          <w:tcPr>
            <w:tcW w:w="648" w:type="dxa"/>
            <w:tcBorders>
              <w:left w:val="dashSmallGap" w:sz="4" w:space="0" w:color="auto"/>
            </w:tcBorders>
            <w:shd w:val="pct10" w:color="auto" w:fill="auto"/>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Koszt</w:t>
            </w:r>
          </w:p>
        </w:tc>
        <w:tc>
          <w:tcPr>
            <w:tcW w:w="432" w:type="dxa"/>
            <w:tcBorders>
              <w:right w:val="dashSmallGap" w:sz="4" w:space="0" w:color="auto"/>
            </w:tcBorders>
            <w:shd w:val="pct10" w:color="auto" w:fill="auto"/>
            <w:textDirection w:val="btLr"/>
            <w:vAlign w:val="center"/>
          </w:tcPr>
          <w:p w:rsidR="00BE0A2F" w:rsidRPr="00610401" w:rsidRDefault="00BE0A2F" w:rsidP="00BE0A2F">
            <w:pPr>
              <w:ind w:left="113" w:right="113"/>
              <w:jc w:val="center"/>
              <w:rPr>
                <w:noProof/>
                <w:color w:val="000000" w:themeColor="text1"/>
                <w:sz w:val="18"/>
                <w:szCs w:val="18"/>
              </w:rPr>
            </w:pPr>
            <w:r w:rsidRPr="00610401">
              <w:rPr>
                <w:noProof/>
                <w:color w:val="000000" w:themeColor="text1"/>
                <w:sz w:val="18"/>
              </w:rPr>
              <w:t>Liczba</w:t>
            </w:r>
          </w:p>
        </w:tc>
        <w:tc>
          <w:tcPr>
            <w:tcW w:w="720" w:type="dxa"/>
            <w:tcBorders>
              <w:left w:val="dashSmallGap" w:sz="4" w:space="0" w:color="auto"/>
            </w:tcBorders>
            <w:shd w:val="pct10" w:color="auto" w:fill="auto"/>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Koszt</w:t>
            </w:r>
          </w:p>
        </w:tc>
        <w:tc>
          <w:tcPr>
            <w:tcW w:w="540" w:type="dxa"/>
            <w:tcBorders>
              <w:right w:val="dashSmallGap" w:sz="4" w:space="0" w:color="auto"/>
            </w:tcBorders>
            <w:shd w:val="pct10" w:color="auto" w:fill="auto"/>
            <w:textDirection w:val="btLr"/>
            <w:vAlign w:val="center"/>
          </w:tcPr>
          <w:p w:rsidR="00BE0A2F" w:rsidRPr="00610401" w:rsidRDefault="00BE0A2F" w:rsidP="00BE0A2F">
            <w:pPr>
              <w:ind w:left="113" w:right="113"/>
              <w:jc w:val="center"/>
              <w:rPr>
                <w:noProof/>
                <w:color w:val="000000" w:themeColor="text1"/>
                <w:sz w:val="18"/>
                <w:szCs w:val="18"/>
              </w:rPr>
            </w:pPr>
            <w:r w:rsidRPr="00610401">
              <w:rPr>
                <w:noProof/>
                <w:color w:val="000000" w:themeColor="text1"/>
                <w:sz w:val="18"/>
              </w:rPr>
              <w:t>Liczba</w:t>
            </w:r>
          </w:p>
        </w:tc>
        <w:tc>
          <w:tcPr>
            <w:tcW w:w="720" w:type="dxa"/>
            <w:tcBorders>
              <w:left w:val="dashSmallGap" w:sz="4" w:space="0" w:color="auto"/>
            </w:tcBorders>
            <w:shd w:val="pct10" w:color="auto" w:fill="auto"/>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Koszt</w:t>
            </w:r>
          </w:p>
        </w:tc>
        <w:tc>
          <w:tcPr>
            <w:tcW w:w="720" w:type="dxa"/>
            <w:tcBorders>
              <w:right w:val="dashSmallGap" w:sz="4" w:space="0" w:color="auto"/>
            </w:tcBorders>
            <w:shd w:val="pct10" w:color="auto" w:fill="auto"/>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Liczba ogółem</w:t>
            </w:r>
          </w:p>
        </w:tc>
        <w:tc>
          <w:tcPr>
            <w:tcW w:w="900" w:type="dxa"/>
            <w:tcBorders>
              <w:left w:val="dashSmallGap" w:sz="4" w:space="0" w:color="auto"/>
            </w:tcBorders>
            <w:shd w:val="pct10" w:color="auto" w:fill="auto"/>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Koszt ogółem</w:t>
            </w:r>
          </w:p>
        </w:tc>
      </w:tr>
      <w:tr w:rsidR="00BE0A2F" w:rsidRPr="00610401" w:rsidTr="00BE0A2F">
        <w:trPr>
          <w:jc w:val="center"/>
        </w:trPr>
        <w:tc>
          <w:tcPr>
            <w:tcW w:w="2844" w:type="dxa"/>
            <w:gridSpan w:val="3"/>
            <w:vAlign w:val="center"/>
          </w:tcPr>
          <w:p w:rsidR="00BE0A2F" w:rsidRPr="00610401" w:rsidRDefault="00BE0A2F" w:rsidP="00BE0A2F">
            <w:pPr>
              <w:spacing w:before="60" w:after="60"/>
              <w:ind w:right="-29"/>
              <w:jc w:val="center"/>
              <w:rPr>
                <w:noProof/>
                <w:color w:val="000000" w:themeColor="text1"/>
                <w:sz w:val="18"/>
                <w:szCs w:val="18"/>
              </w:rPr>
            </w:pPr>
            <w:r w:rsidRPr="00610401">
              <w:rPr>
                <w:noProof/>
                <w:color w:val="000000" w:themeColor="text1"/>
                <w:sz w:val="18"/>
              </w:rPr>
              <w:t>CEL SZCZEGÓŁOWY nr</w:t>
            </w:r>
            <w:r w:rsidR="00610401" w:rsidRPr="00610401">
              <w:rPr>
                <w:noProof/>
                <w:color w:val="000000" w:themeColor="text1"/>
                <w:sz w:val="18"/>
              </w:rPr>
              <w:t> </w:t>
            </w:r>
            <w:r w:rsidRPr="00610401">
              <w:rPr>
                <w:noProof/>
                <w:color w:val="000000" w:themeColor="text1"/>
                <w:sz w:val="18"/>
              </w:rPr>
              <w:t>1</w:t>
            </w:r>
            <w:r w:rsidRPr="00610401">
              <w:rPr>
                <w:rStyle w:val="FootnoteReference"/>
                <w:noProof/>
              </w:rPr>
              <w:footnoteReference w:id="124"/>
            </w:r>
            <w:r w:rsidRPr="00610401">
              <w:rPr>
                <w:noProof/>
                <w:color w:val="000000" w:themeColor="text1"/>
                <w:sz w:val="18"/>
              </w:rPr>
              <w:t>...</w:t>
            </w:r>
          </w:p>
        </w:tc>
        <w:tc>
          <w:tcPr>
            <w:tcW w:w="504"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gridSpan w:val="2"/>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648"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432"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r>
      <w:tr w:rsidR="00BE0A2F" w:rsidRPr="00610401" w:rsidTr="00BE0A2F">
        <w:trPr>
          <w:trHeight w:hRule="exact" w:val="369"/>
          <w:jc w:val="center"/>
        </w:trPr>
        <w:tc>
          <w:tcPr>
            <w:tcW w:w="1423" w:type="dxa"/>
          </w:tcPr>
          <w:p w:rsidR="00BE0A2F" w:rsidRPr="00610401" w:rsidRDefault="00BE0A2F" w:rsidP="00BE0A2F">
            <w:pPr>
              <w:ind w:right="-29"/>
              <w:jc w:val="center"/>
              <w:rPr>
                <w:noProof/>
                <w:color w:val="000000" w:themeColor="text1"/>
                <w:sz w:val="18"/>
                <w:szCs w:val="18"/>
              </w:rPr>
            </w:pPr>
            <w:r w:rsidRPr="00610401">
              <w:rPr>
                <w:noProof/>
                <w:color w:val="000000" w:themeColor="text1"/>
                <w:sz w:val="18"/>
              </w:rPr>
              <w:t>– Produkt</w:t>
            </w:r>
          </w:p>
        </w:tc>
        <w:tc>
          <w:tcPr>
            <w:tcW w:w="720" w:type="dxa"/>
          </w:tcPr>
          <w:p w:rsidR="00BE0A2F" w:rsidRPr="00610401" w:rsidRDefault="00BE0A2F" w:rsidP="00BE0A2F">
            <w:pPr>
              <w:ind w:right="-29"/>
              <w:jc w:val="center"/>
              <w:rPr>
                <w:noProof/>
                <w:color w:val="000000" w:themeColor="text1"/>
                <w:sz w:val="18"/>
                <w:szCs w:val="18"/>
              </w:rPr>
            </w:pPr>
          </w:p>
        </w:tc>
        <w:tc>
          <w:tcPr>
            <w:tcW w:w="701" w:type="dxa"/>
          </w:tcPr>
          <w:p w:rsidR="00BE0A2F" w:rsidRPr="00610401" w:rsidRDefault="00BE0A2F" w:rsidP="00BE0A2F">
            <w:pPr>
              <w:ind w:right="-29"/>
              <w:jc w:val="center"/>
              <w:rPr>
                <w:noProof/>
                <w:color w:val="000000" w:themeColor="text1"/>
                <w:sz w:val="18"/>
                <w:szCs w:val="18"/>
              </w:rPr>
            </w:pPr>
          </w:p>
        </w:tc>
        <w:tc>
          <w:tcPr>
            <w:tcW w:w="504"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900"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gridSpan w:val="2"/>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648"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432"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900" w:type="dxa"/>
          </w:tcPr>
          <w:p w:rsidR="00BE0A2F" w:rsidRPr="00610401" w:rsidRDefault="00BE0A2F" w:rsidP="00BE0A2F">
            <w:pPr>
              <w:ind w:right="-29"/>
              <w:jc w:val="center"/>
              <w:rPr>
                <w:noProof/>
                <w:color w:val="000000" w:themeColor="text1"/>
                <w:sz w:val="18"/>
                <w:szCs w:val="18"/>
              </w:rPr>
            </w:pPr>
          </w:p>
        </w:tc>
      </w:tr>
      <w:tr w:rsidR="00BE0A2F" w:rsidRPr="00610401" w:rsidTr="00BE0A2F">
        <w:trPr>
          <w:trHeight w:hRule="exact" w:val="369"/>
          <w:jc w:val="center"/>
        </w:trPr>
        <w:tc>
          <w:tcPr>
            <w:tcW w:w="1423" w:type="dxa"/>
          </w:tcPr>
          <w:p w:rsidR="00BE0A2F" w:rsidRPr="00610401" w:rsidRDefault="00BE0A2F" w:rsidP="00BE0A2F">
            <w:pPr>
              <w:ind w:right="-29"/>
              <w:jc w:val="center"/>
              <w:rPr>
                <w:noProof/>
                <w:color w:val="000000" w:themeColor="text1"/>
                <w:sz w:val="18"/>
                <w:szCs w:val="18"/>
              </w:rPr>
            </w:pPr>
            <w:r w:rsidRPr="00610401">
              <w:rPr>
                <w:noProof/>
                <w:color w:val="000000" w:themeColor="text1"/>
                <w:sz w:val="18"/>
              </w:rPr>
              <w:t>– Produkt</w:t>
            </w:r>
          </w:p>
        </w:tc>
        <w:tc>
          <w:tcPr>
            <w:tcW w:w="720" w:type="dxa"/>
          </w:tcPr>
          <w:p w:rsidR="00BE0A2F" w:rsidRPr="00610401" w:rsidRDefault="00BE0A2F" w:rsidP="00BE0A2F">
            <w:pPr>
              <w:ind w:right="-29"/>
              <w:jc w:val="center"/>
              <w:rPr>
                <w:noProof/>
                <w:color w:val="000000" w:themeColor="text1"/>
                <w:sz w:val="18"/>
                <w:szCs w:val="18"/>
              </w:rPr>
            </w:pPr>
          </w:p>
        </w:tc>
        <w:tc>
          <w:tcPr>
            <w:tcW w:w="701" w:type="dxa"/>
          </w:tcPr>
          <w:p w:rsidR="00BE0A2F" w:rsidRPr="00610401" w:rsidRDefault="00BE0A2F" w:rsidP="00BE0A2F">
            <w:pPr>
              <w:ind w:right="-29"/>
              <w:jc w:val="center"/>
              <w:rPr>
                <w:noProof/>
                <w:color w:val="000000" w:themeColor="text1"/>
                <w:sz w:val="18"/>
                <w:szCs w:val="18"/>
              </w:rPr>
            </w:pPr>
          </w:p>
        </w:tc>
        <w:tc>
          <w:tcPr>
            <w:tcW w:w="504"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900"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gridSpan w:val="2"/>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648"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432"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900" w:type="dxa"/>
          </w:tcPr>
          <w:p w:rsidR="00BE0A2F" w:rsidRPr="00610401" w:rsidRDefault="00BE0A2F" w:rsidP="00BE0A2F">
            <w:pPr>
              <w:ind w:right="-29"/>
              <w:jc w:val="center"/>
              <w:rPr>
                <w:noProof/>
                <w:color w:val="000000" w:themeColor="text1"/>
                <w:sz w:val="18"/>
                <w:szCs w:val="18"/>
              </w:rPr>
            </w:pPr>
          </w:p>
        </w:tc>
      </w:tr>
      <w:tr w:rsidR="00BE0A2F" w:rsidRPr="00610401" w:rsidTr="00BE0A2F">
        <w:trPr>
          <w:trHeight w:hRule="exact" w:val="369"/>
          <w:jc w:val="center"/>
        </w:trPr>
        <w:tc>
          <w:tcPr>
            <w:tcW w:w="1423" w:type="dxa"/>
          </w:tcPr>
          <w:p w:rsidR="00BE0A2F" w:rsidRPr="00610401" w:rsidRDefault="00BE0A2F" w:rsidP="00BE0A2F">
            <w:pPr>
              <w:ind w:right="-29"/>
              <w:jc w:val="center"/>
              <w:rPr>
                <w:noProof/>
                <w:color w:val="000000" w:themeColor="text1"/>
                <w:sz w:val="18"/>
                <w:szCs w:val="18"/>
              </w:rPr>
            </w:pPr>
            <w:r w:rsidRPr="00610401">
              <w:rPr>
                <w:noProof/>
                <w:color w:val="000000" w:themeColor="text1"/>
                <w:sz w:val="18"/>
              </w:rPr>
              <w:t>– Produkt</w:t>
            </w:r>
          </w:p>
        </w:tc>
        <w:tc>
          <w:tcPr>
            <w:tcW w:w="720" w:type="dxa"/>
          </w:tcPr>
          <w:p w:rsidR="00BE0A2F" w:rsidRPr="00610401" w:rsidRDefault="00BE0A2F" w:rsidP="00BE0A2F">
            <w:pPr>
              <w:ind w:right="-29"/>
              <w:jc w:val="center"/>
              <w:rPr>
                <w:noProof/>
                <w:color w:val="000000" w:themeColor="text1"/>
                <w:sz w:val="18"/>
                <w:szCs w:val="18"/>
              </w:rPr>
            </w:pPr>
          </w:p>
        </w:tc>
        <w:tc>
          <w:tcPr>
            <w:tcW w:w="701" w:type="dxa"/>
          </w:tcPr>
          <w:p w:rsidR="00BE0A2F" w:rsidRPr="00610401" w:rsidRDefault="00BE0A2F" w:rsidP="00BE0A2F">
            <w:pPr>
              <w:ind w:right="-29"/>
              <w:jc w:val="center"/>
              <w:rPr>
                <w:noProof/>
                <w:color w:val="000000" w:themeColor="text1"/>
                <w:sz w:val="18"/>
                <w:szCs w:val="18"/>
              </w:rPr>
            </w:pPr>
          </w:p>
        </w:tc>
        <w:tc>
          <w:tcPr>
            <w:tcW w:w="504"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540"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900" w:type="dxa"/>
          </w:tcPr>
          <w:p w:rsidR="00BE0A2F" w:rsidRPr="00610401" w:rsidRDefault="00BE0A2F" w:rsidP="00BE0A2F">
            <w:pPr>
              <w:ind w:right="-29"/>
              <w:jc w:val="center"/>
              <w:rPr>
                <w:noProof/>
                <w:color w:val="000000" w:themeColor="text1"/>
                <w:sz w:val="18"/>
                <w:szCs w:val="18"/>
              </w:rPr>
            </w:pPr>
          </w:p>
        </w:tc>
        <w:tc>
          <w:tcPr>
            <w:tcW w:w="720" w:type="dxa"/>
            <w:gridSpan w:val="2"/>
          </w:tcPr>
          <w:p w:rsidR="00BE0A2F" w:rsidRPr="00610401" w:rsidRDefault="00BE0A2F" w:rsidP="00BE0A2F">
            <w:pPr>
              <w:ind w:right="-29"/>
              <w:jc w:val="center"/>
              <w:rPr>
                <w:noProof/>
                <w:color w:val="000000" w:themeColor="text1"/>
                <w:sz w:val="18"/>
                <w:szCs w:val="18"/>
              </w:rPr>
            </w:pPr>
          </w:p>
        </w:tc>
        <w:tc>
          <w:tcPr>
            <w:tcW w:w="540" w:type="dxa"/>
          </w:tcPr>
          <w:p w:rsidR="00BE0A2F" w:rsidRPr="00610401" w:rsidRDefault="00BE0A2F" w:rsidP="00BE0A2F">
            <w:pPr>
              <w:ind w:right="-29"/>
              <w:jc w:val="center"/>
              <w:rPr>
                <w:noProof/>
                <w:color w:val="000000" w:themeColor="text1"/>
                <w:sz w:val="18"/>
                <w:szCs w:val="18"/>
              </w:rPr>
            </w:pPr>
          </w:p>
        </w:tc>
        <w:tc>
          <w:tcPr>
            <w:tcW w:w="648" w:type="dxa"/>
          </w:tcPr>
          <w:p w:rsidR="00BE0A2F" w:rsidRPr="00610401" w:rsidRDefault="00BE0A2F" w:rsidP="00BE0A2F">
            <w:pPr>
              <w:ind w:right="-29"/>
              <w:jc w:val="center"/>
              <w:rPr>
                <w:noProof/>
                <w:color w:val="000000" w:themeColor="text1"/>
                <w:sz w:val="18"/>
                <w:szCs w:val="18"/>
              </w:rPr>
            </w:pPr>
          </w:p>
        </w:tc>
        <w:tc>
          <w:tcPr>
            <w:tcW w:w="432"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540"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900" w:type="dxa"/>
          </w:tcPr>
          <w:p w:rsidR="00BE0A2F" w:rsidRPr="00610401" w:rsidRDefault="00BE0A2F" w:rsidP="00BE0A2F">
            <w:pPr>
              <w:ind w:right="-29"/>
              <w:jc w:val="center"/>
              <w:rPr>
                <w:noProof/>
                <w:color w:val="000000" w:themeColor="text1"/>
                <w:sz w:val="18"/>
                <w:szCs w:val="18"/>
              </w:rPr>
            </w:pPr>
          </w:p>
        </w:tc>
      </w:tr>
      <w:tr w:rsidR="00BE0A2F" w:rsidRPr="00610401" w:rsidTr="00BE0A2F">
        <w:trPr>
          <w:trHeight w:val="77"/>
          <w:jc w:val="center"/>
        </w:trPr>
        <w:tc>
          <w:tcPr>
            <w:tcW w:w="2844" w:type="dxa"/>
            <w:gridSpan w:val="3"/>
            <w:tcBorders>
              <w:bottom w:val="single" w:sz="12" w:space="0" w:color="auto"/>
            </w:tcBorders>
            <w:vAlign w:val="center"/>
          </w:tcPr>
          <w:p w:rsidR="00BE0A2F" w:rsidRPr="00610401" w:rsidRDefault="00BE0A2F" w:rsidP="00BE0A2F">
            <w:pPr>
              <w:ind w:right="-29"/>
              <w:jc w:val="center"/>
              <w:rPr>
                <w:noProof/>
                <w:color w:val="000000" w:themeColor="text1"/>
                <w:sz w:val="18"/>
                <w:szCs w:val="18"/>
              </w:rPr>
            </w:pPr>
            <w:r w:rsidRPr="00610401">
              <w:rPr>
                <w:noProof/>
                <w:color w:val="000000" w:themeColor="text1"/>
                <w:sz w:val="18"/>
              </w:rPr>
              <w:t>Cel szczegółowy nr</w:t>
            </w:r>
            <w:r w:rsidR="00610401" w:rsidRPr="00610401">
              <w:rPr>
                <w:noProof/>
                <w:color w:val="000000" w:themeColor="text1"/>
                <w:sz w:val="18"/>
              </w:rPr>
              <w:t> </w:t>
            </w:r>
            <w:r w:rsidRPr="00610401">
              <w:rPr>
                <w:noProof/>
                <w:color w:val="000000" w:themeColor="text1"/>
                <w:sz w:val="18"/>
              </w:rPr>
              <w:t>1 – suma cząstkowa</w:t>
            </w:r>
          </w:p>
        </w:tc>
        <w:tc>
          <w:tcPr>
            <w:tcW w:w="504"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90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gridSpan w:val="2"/>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648"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432"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90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r>
      <w:tr w:rsidR="00BE0A2F" w:rsidRPr="00610401" w:rsidTr="00BE0A2F">
        <w:trPr>
          <w:jc w:val="center"/>
        </w:trPr>
        <w:tc>
          <w:tcPr>
            <w:tcW w:w="2844" w:type="dxa"/>
            <w:gridSpan w:val="3"/>
            <w:vAlign w:val="center"/>
          </w:tcPr>
          <w:p w:rsidR="00BE0A2F" w:rsidRPr="00610401" w:rsidRDefault="00BE0A2F" w:rsidP="00BE0A2F">
            <w:pPr>
              <w:spacing w:before="60" w:after="60"/>
              <w:ind w:right="-29"/>
              <w:jc w:val="center"/>
              <w:rPr>
                <w:noProof/>
                <w:color w:val="000000" w:themeColor="text1"/>
                <w:sz w:val="18"/>
                <w:szCs w:val="18"/>
              </w:rPr>
            </w:pPr>
            <w:r w:rsidRPr="00610401">
              <w:rPr>
                <w:noProof/>
                <w:color w:val="000000" w:themeColor="text1"/>
                <w:sz w:val="18"/>
              </w:rPr>
              <w:t>CEL SZCZEGÓŁOWY nr</w:t>
            </w:r>
            <w:r w:rsidR="00610401" w:rsidRPr="00610401">
              <w:rPr>
                <w:noProof/>
                <w:color w:val="000000" w:themeColor="text1"/>
                <w:sz w:val="18"/>
              </w:rPr>
              <w:t> </w:t>
            </w:r>
            <w:r w:rsidRPr="00610401">
              <w:rPr>
                <w:noProof/>
                <w:color w:val="000000" w:themeColor="text1"/>
                <w:sz w:val="18"/>
              </w:rPr>
              <w:t>2 ...</w:t>
            </w:r>
          </w:p>
        </w:tc>
        <w:tc>
          <w:tcPr>
            <w:tcW w:w="504"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gridSpan w:val="2"/>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648"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432"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610401" w:rsidRDefault="00BE0A2F" w:rsidP="00BE0A2F">
            <w:pPr>
              <w:spacing w:before="60" w:after="60"/>
              <w:ind w:right="-29"/>
              <w:jc w:val="center"/>
              <w:rPr>
                <w:noProof/>
                <w:color w:val="000000" w:themeColor="text1"/>
                <w:sz w:val="18"/>
                <w:szCs w:val="18"/>
              </w:rPr>
            </w:pPr>
          </w:p>
        </w:tc>
      </w:tr>
      <w:tr w:rsidR="00BE0A2F" w:rsidRPr="00610401" w:rsidTr="00BE0A2F">
        <w:trPr>
          <w:trHeight w:hRule="exact" w:val="369"/>
          <w:jc w:val="center"/>
        </w:trPr>
        <w:tc>
          <w:tcPr>
            <w:tcW w:w="1423" w:type="dxa"/>
          </w:tcPr>
          <w:p w:rsidR="00BE0A2F" w:rsidRPr="00610401" w:rsidRDefault="00BE0A2F" w:rsidP="00BE0A2F">
            <w:pPr>
              <w:ind w:right="-29"/>
              <w:jc w:val="center"/>
              <w:rPr>
                <w:noProof/>
                <w:color w:val="000000" w:themeColor="text1"/>
                <w:sz w:val="18"/>
                <w:szCs w:val="18"/>
              </w:rPr>
            </w:pPr>
            <w:r w:rsidRPr="00610401">
              <w:rPr>
                <w:noProof/>
                <w:color w:val="000000" w:themeColor="text1"/>
                <w:sz w:val="18"/>
              </w:rPr>
              <w:t>– Produkt</w:t>
            </w:r>
          </w:p>
        </w:tc>
        <w:tc>
          <w:tcPr>
            <w:tcW w:w="720" w:type="dxa"/>
          </w:tcPr>
          <w:p w:rsidR="00BE0A2F" w:rsidRPr="00610401" w:rsidRDefault="00BE0A2F" w:rsidP="00BE0A2F">
            <w:pPr>
              <w:ind w:right="-29"/>
              <w:jc w:val="center"/>
              <w:rPr>
                <w:noProof/>
                <w:color w:val="000000" w:themeColor="text1"/>
                <w:sz w:val="18"/>
                <w:szCs w:val="18"/>
              </w:rPr>
            </w:pPr>
          </w:p>
        </w:tc>
        <w:tc>
          <w:tcPr>
            <w:tcW w:w="701" w:type="dxa"/>
          </w:tcPr>
          <w:p w:rsidR="00BE0A2F" w:rsidRPr="00610401" w:rsidRDefault="00BE0A2F" w:rsidP="00BE0A2F">
            <w:pPr>
              <w:ind w:right="-29"/>
              <w:jc w:val="center"/>
              <w:rPr>
                <w:noProof/>
                <w:color w:val="000000" w:themeColor="text1"/>
                <w:sz w:val="18"/>
                <w:szCs w:val="18"/>
              </w:rPr>
            </w:pPr>
          </w:p>
        </w:tc>
        <w:tc>
          <w:tcPr>
            <w:tcW w:w="504"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540"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900" w:type="dxa"/>
          </w:tcPr>
          <w:p w:rsidR="00BE0A2F" w:rsidRPr="00610401" w:rsidRDefault="00BE0A2F" w:rsidP="00BE0A2F">
            <w:pPr>
              <w:ind w:right="-29"/>
              <w:jc w:val="center"/>
              <w:rPr>
                <w:noProof/>
                <w:color w:val="000000" w:themeColor="text1"/>
                <w:sz w:val="18"/>
                <w:szCs w:val="18"/>
              </w:rPr>
            </w:pPr>
          </w:p>
        </w:tc>
        <w:tc>
          <w:tcPr>
            <w:tcW w:w="720" w:type="dxa"/>
            <w:gridSpan w:val="2"/>
          </w:tcPr>
          <w:p w:rsidR="00BE0A2F" w:rsidRPr="00610401" w:rsidRDefault="00BE0A2F" w:rsidP="00BE0A2F">
            <w:pPr>
              <w:ind w:right="-29"/>
              <w:jc w:val="center"/>
              <w:rPr>
                <w:noProof/>
                <w:color w:val="000000" w:themeColor="text1"/>
                <w:sz w:val="18"/>
                <w:szCs w:val="18"/>
              </w:rPr>
            </w:pPr>
          </w:p>
        </w:tc>
        <w:tc>
          <w:tcPr>
            <w:tcW w:w="540" w:type="dxa"/>
          </w:tcPr>
          <w:p w:rsidR="00BE0A2F" w:rsidRPr="00610401" w:rsidRDefault="00BE0A2F" w:rsidP="00BE0A2F">
            <w:pPr>
              <w:ind w:right="-29"/>
              <w:jc w:val="center"/>
              <w:rPr>
                <w:noProof/>
                <w:color w:val="000000" w:themeColor="text1"/>
                <w:sz w:val="18"/>
                <w:szCs w:val="18"/>
              </w:rPr>
            </w:pPr>
          </w:p>
        </w:tc>
        <w:tc>
          <w:tcPr>
            <w:tcW w:w="648" w:type="dxa"/>
          </w:tcPr>
          <w:p w:rsidR="00BE0A2F" w:rsidRPr="00610401" w:rsidRDefault="00BE0A2F" w:rsidP="00BE0A2F">
            <w:pPr>
              <w:ind w:right="-29"/>
              <w:jc w:val="center"/>
              <w:rPr>
                <w:noProof/>
                <w:color w:val="000000" w:themeColor="text1"/>
                <w:sz w:val="18"/>
                <w:szCs w:val="18"/>
              </w:rPr>
            </w:pPr>
          </w:p>
        </w:tc>
        <w:tc>
          <w:tcPr>
            <w:tcW w:w="432"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540"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720" w:type="dxa"/>
          </w:tcPr>
          <w:p w:rsidR="00BE0A2F" w:rsidRPr="00610401" w:rsidRDefault="00BE0A2F" w:rsidP="00BE0A2F">
            <w:pPr>
              <w:ind w:right="-29"/>
              <w:jc w:val="center"/>
              <w:rPr>
                <w:noProof/>
                <w:color w:val="000000" w:themeColor="text1"/>
                <w:sz w:val="18"/>
                <w:szCs w:val="18"/>
              </w:rPr>
            </w:pPr>
          </w:p>
        </w:tc>
        <w:tc>
          <w:tcPr>
            <w:tcW w:w="900" w:type="dxa"/>
          </w:tcPr>
          <w:p w:rsidR="00BE0A2F" w:rsidRPr="00610401" w:rsidRDefault="00BE0A2F" w:rsidP="00BE0A2F">
            <w:pPr>
              <w:ind w:right="-29"/>
              <w:jc w:val="center"/>
              <w:rPr>
                <w:noProof/>
                <w:color w:val="000000" w:themeColor="text1"/>
                <w:sz w:val="18"/>
                <w:szCs w:val="18"/>
              </w:rPr>
            </w:pPr>
          </w:p>
        </w:tc>
      </w:tr>
      <w:tr w:rsidR="00BE0A2F" w:rsidRPr="00610401" w:rsidTr="00BE0A2F">
        <w:trPr>
          <w:jc w:val="center"/>
        </w:trPr>
        <w:tc>
          <w:tcPr>
            <w:tcW w:w="2844" w:type="dxa"/>
            <w:gridSpan w:val="3"/>
            <w:tcBorders>
              <w:bottom w:val="single" w:sz="12" w:space="0" w:color="auto"/>
            </w:tcBorders>
            <w:vAlign w:val="center"/>
          </w:tcPr>
          <w:p w:rsidR="00BE0A2F" w:rsidRPr="00610401" w:rsidRDefault="00BE0A2F" w:rsidP="00BE0A2F">
            <w:pPr>
              <w:jc w:val="center"/>
              <w:rPr>
                <w:noProof/>
                <w:color w:val="000000" w:themeColor="text1"/>
                <w:sz w:val="18"/>
                <w:szCs w:val="18"/>
              </w:rPr>
            </w:pPr>
            <w:r w:rsidRPr="00610401">
              <w:rPr>
                <w:noProof/>
                <w:color w:val="000000" w:themeColor="text1"/>
                <w:sz w:val="18"/>
              </w:rPr>
              <w:t>Cel szczegółowy nr</w:t>
            </w:r>
            <w:r w:rsidR="00610401" w:rsidRPr="00610401">
              <w:rPr>
                <w:noProof/>
                <w:color w:val="000000" w:themeColor="text1"/>
                <w:sz w:val="18"/>
              </w:rPr>
              <w:t> </w:t>
            </w:r>
            <w:r w:rsidRPr="00610401">
              <w:rPr>
                <w:noProof/>
                <w:color w:val="000000" w:themeColor="text1"/>
                <w:sz w:val="18"/>
              </w:rPr>
              <w:t>2 – suma cząstkowa</w:t>
            </w:r>
          </w:p>
        </w:tc>
        <w:tc>
          <w:tcPr>
            <w:tcW w:w="504"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951" w:type="dxa"/>
            <w:gridSpan w:val="2"/>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669"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648"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432"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c>
          <w:tcPr>
            <w:tcW w:w="900" w:type="dxa"/>
            <w:tcBorders>
              <w:bottom w:val="single" w:sz="12" w:space="0" w:color="auto"/>
            </w:tcBorders>
          </w:tcPr>
          <w:p w:rsidR="00BE0A2F" w:rsidRPr="00610401" w:rsidRDefault="00BE0A2F" w:rsidP="00BE0A2F">
            <w:pPr>
              <w:ind w:right="-29"/>
              <w:jc w:val="center"/>
              <w:rPr>
                <w:noProof/>
                <w:color w:val="000000" w:themeColor="text1"/>
                <w:sz w:val="18"/>
                <w:szCs w:val="18"/>
              </w:rPr>
            </w:pPr>
          </w:p>
        </w:tc>
      </w:tr>
      <w:tr w:rsidR="00BE0A2F" w:rsidRPr="00610401" w:rsidTr="00BE0A2F">
        <w:trPr>
          <w:jc w:val="center"/>
        </w:trPr>
        <w:tc>
          <w:tcPr>
            <w:tcW w:w="2844" w:type="dxa"/>
            <w:gridSpan w:val="3"/>
            <w:tcBorders>
              <w:top w:val="single" w:sz="12" w:space="0" w:color="auto"/>
              <w:left w:val="single" w:sz="12" w:space="0" w:color="auto"/>
              <w:bottom w:val="single" w:sz="12" w:space="0" w:color="auto"/>
            </w:tcBorders>
            <w:vAlign w:val="center"/>
          </w:tcPr>
          <w:p w:rsidR="00BE0A2F" w:rsidRPr="00610401" w:rsidRDefault="00BE0A2F" w:rsidP="00BE0A2F">
            <w:pPr>
              <w:ind w:right="-29"/>
              <w:jc w:val="center"/>
              <w:rPr>
                <w:noProof/>
                <w:color w:val="000000" w:themeColor="text1"/>
                <w:sz w:val="18"/>
                <w:szCs w:val="18"/>
              </w:rPr>
            </w:pPr>
            <w:r w:rsidRPr="00610401">
              <w:rPr>
                <w:b/>
                <w:noProof/>
                <w:color w:val="000000" w:themeColor="text1"/>
                <w:sz w:val="18"/>
              </w:rPr>
              <w:t>OGÓŁEM</w:t>
            </w:r>
          </w:p>
        </w:tc>
        <w:tc>
          <w:tcPr>
            <w:tcW w:w="504"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900"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720" w:type="dxa"/>
            <w:gridSpan w:val="2"/>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648"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432"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c>
          <w:tcPr>
            <w:tcW w:w="900" w:type="dxa"/>
            <w:tcBorders>
              <w:top w:val="single" w:sz="12" w:space="0" w:color="auto"/>
              <w:bottom w:val="single" w:sz="12" w:space="0" w:color="auto"/>
              <w:right w:val="single" w:sz="12" w:space="0" w:color="auto"/>
            </w:tcBorders>
          </w:tcPr>
          <w:p w:rsidR="00BE0A2F" w:rsidRPr="00610401" w:rsidRDefault="00BE0A2F" w:rsidP="00BE0A2F">
            <w:pPr>
              <w:spacing w:before="180" w:after="180"/>
              <w:ind w:right="-29"/>
              <w:jc w:val="center"/>
              <w:rPr>
                <w:noProof/>
                <w:color w:val="000000" w:themeColor="text1"/>
                <w:sz w:val="18"/>
                <w:szCs w:val="18"/>
              </w:rPr>
            </w:pPr>
          </w:p>
        </w:tc>
      </w:tr>
    </w:tbl>
    <w:p w:rsidR="00BE0A2F" w:rsidRPr="00610401" w:rsidRDefault="00BE0A2F" w:rsidP="00BE0A2F">
      <w:pPr>
        <w:rPr>
          <w:noProof/>
          <w:color w:val="000000" w:themeColor="text1"/>
        </w:rPr>
      </w:pPr>
    </w:p>
    <w:p w:rsidR="00BE0A2F" w:rsidRPr="00610401" w:rsidRDefault="00BE0A2F" w:rsidP="00BE0A2F">
      <w:pPr>
        <w:spacing w:before="0" w:after="200" w:line="276" w:lineRule="auto"/>
        <w:jc w:val="left"/>
        <w:rPr>
          <w:noProof/>
          <w:color w:val="000000" w:themeColor="text1"/>
        </w:rPr>
      </w:pPr>
      <w:r w:rsidRPr="00610401">
        <w:rPr>
          <w:noProof/>
        </w:rPr>
        <w:br w:type="page"/>
      </w:r>
    </w:p>
    <w:p w:rsidR="00BE0A2F" w:rsidRPr="00610401" w:rsidRDefault="009F5C98" w:rsidP="009F5C98">
      <w:pPr>
        <w:pStyle w:val="ManualHeading3"/>
        <w:rPr>
          <w:noProof/>
        </w:rPr>
      </w:pPr>
      <w:r w:rsidRPr="009F5C98">
        <w:t>3.2.3.</w:t>
      </w:r>
      <w:r w:rsidRPr="009F5C98">
        <w:tab/>
      </w:r>
      <w:r w:rsidR="00BE0A2F" w:rsidRPr="00610401">
        <w:rPr>
          <w:noProof/>
        </w:rPr>
        <w:t>Podsumowanie szacunkowego wpływu na zasoby ludzkie</w:t>
      </w:r>
    </w:p>
    <w:p w:rsidR="00BE0A2F" w:rsidRPr="00610401" w:rsidRDefault="00BE0A2F" w:rsidP="00B0251E">
      <w:pPr>
        <w:keepNext/>
        <w:outlineLvl w:val="3"/>
        <w:rPr>
          <w:i/>
          <w:noProof/>
          <w:color w:val="000000" w:themeColor="text1"/>
          <w:szCs w:val="24"/>
        </w:rPr>
      </w:pPr>
      <w:r w:rsidRPr="00610401">
        <w:rPr>
          <w:i/>
          <w:noProof/>
          <w:color w:val="000000" w:themeColor="text1"/>
        </w:rPr>
        <w:t>W EEA</w:t>
      </w:r>
    </w:p>
    <w:p w:rsidR="00BE0A2F" w:rsidRPr="00610401" w:rsidRDefault="00BE0A2F" w:rsidP="00B0251E">
      <w:pPr>
        <w:pStyle w:val="ListDash1"/>
        <w:rPr>
          <w:noProof/>
        </w:rPr>
      </w:pPr>
      <w:r w:rsidRPr="00610401">
        <w:rPr>
          <w:noProof/>
        </w:rPr>
        <w:sym w:font="Wingdings" w:char="F0A8"/>
      </w:r>
      <w:r w:rsidRPr="00610401">
        <w:rPr>
          <w:noProof/>
        </w:rPr>
        <w:tab/>
        <w:t>Wniosek/inicjatywa nie wiąże się</w:t>
      </w:r>
      <w:r w:rsidR="00610401" w:rsidRPr="00610401">
        <w:rPr>
          <w:noProof/>
        </w:rPr>
        <w:t xml:space="preserve"> z kon</w:t>
      </w:r>
      <w:r w:rsidRPr="00610401">
        <w:rPr>
          <w:noProof/>
        </w:rPr>
        <w:t xml:space="preserve">iecznością wykorzystania środków administracyjnych </w:t>
      </w:r>
    </w:p>
    <w:p w:rsidR="00BE0A2F" w:rsidRPr="00610401" w:rsidRDefault="00BE0A2F" w:rsidP="00B0251E">
      <w:pPr>
        <w:pStyle w:val="ListDash1"/>
        <w:rPr>
          <w:noProof/>
        </w:rPr>
      </w:pPr>
      <w:r w:rsidRPr="00610401">
        <w:rPr>
          <w:noProof/>
        </w:rPr>
        <w:sym w:font="Wingdings" w:char="F0FE"/>
      </w:r>
      <w:r w:rsidRPr="00610401">
        <w:rPr>
          <w:noProof/>
        </w:rPr>
        <w:tab/>
        <w:t>Wniosek/inicjatywa wiąże się</w:t>
      </w:r>
      <w:r w:rsidR="00610401" w:rsidRPr="00610401">
        <w:rPr>
          <w:noProof/>
        </w:rPr>
        <w:t xml:space="preserve"> z kon</w:t>
      </w:r>
      <w:r w:rsidRPr="00610401">
        <w:rPr>
          <w:noProof/>
        </w:rPr>
        <w:t>iecznością wykorzystania środków administracyjnych, jak określono poniżej:</w:t>
      </w:r>
    </w:p>
    <w:p w:rsidR="00BE0A2F" w:rsidRPr="00610401" w:rsidRDefault="00BE0A2F" w:rsidP="00BE0A2F">
      <w:pPr>
        <w:rPr>
          <w:b/>
          <w:noProof/>
          <w:color w:val="000000" w:themeColor="text1"/>
        </w:rPr>
      </w:pPr>
      <w:r w:rsidRPr="00610401">
        <w:rPr>
          <w:noProof/>
          <w:color w:val="000000" w:themeColor="text1"/>
        </w:rPr>
        <w:t xml:space="preserve"> </w:t>
      </w:r>
    </w:p>
    <w:p w:rsidR="00BE0A2F" w:rsidRPr="00610401" w:rsidRDefault="00BE0A2F" w:rsidP="00BE0A2F">
      <w:pPr>
        <w:tabs>
          <w:tab w:val="num" w:pos="1134"/>
        </w:tabs>
        <w:ind w:left="1134" w:hanging="283"/>
        <w:rPr>
          <w:rFonts w:eastAsia="Times New Roman"/>
          <w:b/>
          <w:noProof/>
          <w:color w:val="000000" w:themeColor="text1"/>
        </w:rPr>
      </w:pPr>
      <w:r w:rsidRPr="00610401">
        <w:rPr>
          <w:b/>
          <w:noProof/>
          <w:color w:val="000000" w:themeColor="text1"/>
        </w:rPr>
        <w:t>Wymogi dotyczące personelu w EEA (w mln EUR (do trzech miejsc po przecinku))</w:t>
      </w:r>
    </w:p>
    <w:tbl>
      <w:tblPr>
        <w:tblW w:w="1148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4"/>
        <w:gridCol w:w="992"/>
        <w:gridCol w:w="993"/>
        <w:gridCol w:w="1134"/>
        <w:gridCol w:w="1019"/>
        <w:gridCol w:w="1151"/>
        <w:gridCol w:w="9"/>
        <w:gridCol w:w="10"/>
        <w:gridCol w:w="1213"/>
        <w:gridCol w:w="2268"/>
      </w:tblGrid>
      <w:tr w:rsidR="00BE0A2F" w:rsidRPr="00610401" w:rsidTr="00BE0A2F">
        <w:trPr>
          <w:trHeight w:val="585"/>
        </w:trPr>
        <w:tc>
          <w:tcPr>
            <w:tcW w:w="2694" w:type="dxa"/>
          </w:tcPr>
          <w:p w:rsidR="00BE0A2F" w:rsidRPr="00610401" w:rsidRDefault="00BE0A2F" w:rsidP="00BE0A2F">
            <w:pPr>
              <w:spacing w:before="40" w:after="40"/>
              <w:rPr>
                <w:rFonts w:eastAsia="Calibri"/>
                <w:noProof/>
                <w:color w:val="000000" w:themeColor="text1"/>
                <w:sz w:val="18"/>
                <w:szCs w:val="18"/>
              </w:rPr>
            </w:pPr>
          </w:p>
        </w:tc>
        <w:tc>
          <w:tcPr>
            <w:tcW w:w="992" w:type="dxa"/>
            <w:vAlign w:val="center"/>
          </w:tcPr>
          <w:p w:rsidR="00BE0A2F" w:rsidRPr="00610401" w:rsidRDefault="00BE0A2F" w:rsidP="00BE0A2F">
            <w:pPr>
              <w:spacing w:before="40" w:after="40"/>
              <w:jc w:val="center"/>
              <w:rPr>
                <w:rFonts w:eastAsia="Calibri"/>
                <w:b/>
                <w:noProof/>
                <w:color w:val="000000" w:themeColor="text1"/>
                <w:sz w:val="18"/>
                <w:szCs w:val="18"/>
              </w:rPr>
            </w:pPr>
            <w:r w:rsidRPr="00610401">
              <w:rPr>
                <w:b/>
                <w:noProof/>
                <w:color w:val="000000" w:themeColor="text1"/>
                <w:sz w:val="18"/>
              </w:rPr>
              <w:t>2022</w:t>
            </w:r>
          </w:p>
        </w:tc>
        <w:tc>
          <w:tcPr>
            <w:tcW w:w="993" w:type="dxa"/>
            <w:vAlign w:val="center"/>
          </w:tcPr>
          <w:p w:rsidR="00BE0A2F" w:rsidRPr="00610401" w:rsidRDefault="00BE0A2F" w:rsidP="00BE0A2F">
            <w:pPr>
              <w:spacing w:before="40" w:after="40"/>
              <w:jc w:val="center"/>
              <w:rPr>
                <w:rFonts w:eastAsia="Calibri"/>
                <w:b/>
                <w:noProof/>
                <w:color w:val="000000" w:themeColor="text1"/>
                <w:sz w:val="18"/>
                <w:szCs w:val="18"/>
              </w:rPr>
            </w:pPr>
            <w:r w:rsidRPr="00610401">
              <w:rPr>
                <w:b/>
                <w:noProof/>
                <w:color w:val="000000" w:themeColor="text1"/>
                <w:sz w:val="18"/>
              </w:rPr>
              <w:t>2023</w:t>
            </w:r>
          </w:p>
        </w:tc>
        <w:tc>
          <w:tcPr>
            <w:tcW w:w="1134" w:type="dxa"/>
            <w:vAlign w:val="center"/>
          </w:tcPr>
          <w:p w:rsidR="00BE0A2F" w:rsidRPr="00610401" w:rsidRDefault="00BE0A2F" w:rsidP="00BE0A2F">
            <w:pPr>
              <w:spacing w:before="40" w:after="40"/>
              <w:jc w:val="center"/>
              <w:rPr>
                <w:rFonts w:eastAsia="Calibri"/>
                <w:b/>
                <w:noProof/>
                <w:color w:val="000000" w:themeColor="text1"/>
                <w:sz w:val="18"/>
                <w:szCs w:val="18"/>
              </w:rPr>
            </w:pPr>
            <w:r w:rsidRPr="00610401">
              <w:rPr>
                <w:b/>
                <w:noProof/>
                <w:color w:val="000000" w:themeColor="text1"/>
                <w:sz w:val="18"/>
              </w:rPr>
              <w:t>2024</w:t>
            </w:r>
          </w:p>
        </w:tc>
        <w:tc>
          <w:tcPr>
            <w:tcW w:w="1019" w:type="dxa"/>
            <w:vAlign w:val="center"/>
          </w:tcPr>
          <w:p w:rsidR="00BE0A2F" w:rsidRPr="00610401" w:rsidRDefault="00BE0A2F" w:rsidP="00BE0A2F">
            <w:pPr>
              <w:spacing w:before="40" w:after="40"/>
              <w:jc w:val="center"/>
              <w:rPr>
                <w:rFonts w:eastAsia="Calibri"/>
                <w:b/>
                <w:noProof/>
                <w:color w:val="000000" w:themeColor="text1"/>
                <w:sz w:val="18"/>
                <w:szCs w:val="18"/>
              </w:rPr>
            </w:pPr>
            <w:r w:rsidRPr="00610401">
              <w:rPr>
                <w:b/>
                <w:noProof/>
                <w:color w:val="000000" w:themeColor="text1"/>
                <w:sz w:val="18"/>
              </w:rPr>
              <w:t>2025</w:t>
            </w:r>
          </w:p>
        </w:tc>
        <w:tc>
          <w:tcPr>
            <w:tcW w:w="1170" w:type="dxa"/>
            <w:gridSpan w:val="3"/>
            <w:vAlign w:val="center"/>
          </w:tcPr>
          <w:p w:rsidR="00BE0A2F" w:rsidRPr="00610401" w:rsidRDefault="00BE0A2F" w:rsidP="00BE0A2F">
            <w:pPr>
              <w:spacing w:before="40" w:after="40"/>
              <w:jc w:val="center"/>
              <w:rPr>
                <w:rFonts w:eastAsia="Calibri"/>
                <w:b/>
                <w:noProof/>
                <w:color w:val="000000" w:themeColor="text1"/>
                <w:sz w:val="18"/>
                <w:szCs w:val="18"/>
              </w:rPr>
            </w:pPr>
            <w:r w:rsidRPr="00610401">
              <w:rPr>
                <w:b/>
                <w:noProof/>
                <w:color w:val="000000" w:themeColor="text1"/>
                <w:sz w:val="18"/>
              </w:rPr>
              <w:t>2026</w:t>
            </w:r>
          </w:p>
        </w:tc>
        <w:tc>
          <w:tcPr>
            <w:tcW w:w="1213" w:type="dxa"/>
            <w:vAlign w:val="center"/>
          </w:tcPr>
          <w:p w:rsidR="00BE0A2F" w:rsidRPr="00610401" w:rsidRDefault="00BE0A2F" w:rsidP="00BE0A2F">
            <w:pPr>
              <w:spacing w:before="40" w:after="40"/>
              <w:jc w:val="center"/>
              <w:rPr>
                <w:rFonts w:eastAsia="Calibri"/>
                <w:b/>
                <w:noProof/>
                <w:color w:val="000000" w:themeColor="text1"/>
                <w:sz w:val="18"/>
                <w:szCs w:val="18"/>
              </w:rPr>
            </w:pPr>
            <w:r w:rsidRPr="00610401">
              <w:rPr>
                <w:b/>
                <w:noProof/>
                <w:color w:val="000000" w:themeColor="text1"/>
                <w:sz w:val="18"/>
              </w:rPr>
              <w:t>2027</w:t>
            </w:r>
          </w:p>
        </w:tc>
        <w:tc>
          <w:tcPr>
            <w:tcW w:w="2268" w:type="dxa"/>
            <w:vAlign w:val="center"/>
          </w:tcPr>
          <w:p w:rsidR="00BE0A2F" w:rsidRPr="00610401" w:rsidRDefault="00BE0A2F" w:rsidP="00BE0A2F">
            <w:pPr>
              <w:spacing w:before="40" w:after="40"/>
              <w:jc w:val="center"/>
              <w:rPr>
                <w:rFonts w:eastAsia="Calibri"/>
                <w:b/>
                <w:noProof/>
                <w:color w:val="000000" w:themeColor="text1"/>
                <w:sz w:val="18"/>
                <w:szCs w:val="18"/>
              </w:rPr>
            </w:pPr>
            <w:r w:rsidRPr="00610401">
              <w:rPr>
                <w:b/>
                <w:noProof/>
                <w:color w:val="000000" w:themeColor="text1"/>
                <w:sz w:val="18"/>
              </w:rPr>
              <w:t>OGÓŁEM</w:t>
            </w:r>
          </w:p>
        </w:tc>
      </w:tr>
      <w:tr w:rsidR="004B7DAE" w:rsidRPr="00610401" w:rsidTr="00BE0A2F">
        <w:trPr>
          <w:trHeight w:val="585"/>
        </w:trPr>
        <w:tc>
          <w:tcPr>
            <w:tcW w:w="2694" w:type="dxa"/>
            <w:shd w:val="clear" w:color="auto" w:fill="D9D9D9"/>
            <w:vAlign w:val="center"/>
          </w:tcPr>
          <w:p w:rsidR="00BE0A2F" w:rsidRPr="00610401" w:rsidRDefault="00BE0A2F" w:rsidP="00BE0A2F">
            <w:pPr>
              <w:spacing w:before="40" w:after="40"/>
              <w:jc w:val="center"/>
              <w:rPr>
                <w:rFonts w:eastAsia="Calibri"/>
                <w:noProof/>
                <w:color w:val="000000" w:themeColor="text1"/>
                <w:sz w:val="18"/>
                <w:szCs w:val="18"/>
              </w:rPr>
            </w:pPr>
            <w:r w:rsidRPr="00610401">
              <w:rPr>
                <w:noProof/>
                <w:color w:val="000000" w:themeColor="text1"/>
                <w:sz w:val="18"/>
              </w:rPr>
              <w:t>Pracownicy zatrudnieni na czas określony (grupa funkcyjna AD)</w:t>
            </w:r>
          </w:p>
        </w:tc>
        <w:tc>
          <w:tcPr>
            <w:tcW w:w="992" w:type="dxa"/>
            <w:tcBorders>
              <w:top w:val="single" w:sz="4" w:space="0" w:color="auto"/>
              <w:left w:val="single" w:sz="4" w:space="0" w:color="auto"/>
              <w:bottom w:val="single" w:sz="4" w:space="0" w:color="auto"/>
              <w:right w:val="single" w:sz="4" w:space="0" w:color="auto"/>
            </w:tcBorders>
            <w:vAlign w:val="center"/>
          </w:tcPr>
          <w:p w:rsidR="00BE0A2F" w:rsidRPr="00610401" w:rsidRDefault="00BE0A2F" w:rsidP="00BE0A2F">
            <w:pPr>
              <w:spacing w:before="40" w:after="40"/>
              <w:jc w:val="center"/>
              <w:rPr>
                <w:rFonts w:eastAsia="Calibri"/>
                <w:noProof/>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E0A2F" w:rsidRPr="00610401" w:rsidRDefault="00D14556" w:rsidP="00BE0A2F">
            <w:pPr>
              <w:jc w:val="center"/>
              <w:rPr>
                <w:noProof/>
                <w:sz w:val="18"/>
              </w:rPr>
            </w:pPr>
            <w:r w:rsidRPr="00610401">
              <w:rPr>
                <w:noProof/>
                <w:sz w:val="18"/>
              </w:rPr>
              <w:t>0,632</w:t>
            </w:r>
          </w:p>
        </w:tc>
        <w:tc>
          <w:tcPr>
            <w:tcW w:w="1134" w:type="dxa"/>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jc w:val="center"/>
              <w:rPr>
                <w:noProof/>
                <w:sz w:val="18"/>
              </w:rPr>
            </w:pPr>
            <w:r w:rsidRPr="00610401">
              <w:rPr>
                <w:noProof/>
                <w:sz w:val="18"/>
              </w:rPr>
              <w:t>1,289</w:t>
            </w:r>
          </w:p>
        </w:tc>
        <w:tc>
          <w:tcPr>
            <w:tcW w:w="1019" w:type="dxa"/>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jc w:val="center"/>
              <w:rPr>
                <w:noProof/>
                <w:sz w:val="18"/>
              </w:rPr>
            </w:pPr>
            <w:r w:rsidRPr="00610401">
              <w:rPr>
                <w:noProof/>
                <w:sz w:val="18"/>
              </w:rPr>
              <w:t>1,315</w:t>
            </w:r>
          </w:p>
        </w:tc>
        <w:tc>
          <w:tcPr>
            <w:tcW w:w="1151" w:type="dxa"/>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jc w:val="center"/>
              <w:rPr>
                <w:noProof/>
                <w:sz w:val="18"/>
              </w:rPr>
            </w:pPr>
            <w:r w:rsidRPr="00610401">
              <w:rPr>
                <w:noProof/>
                <w:sz w:val="18"/>
              </w:rPr>
              <w:t>1,342</w:t>
            </w:r>
          </w:p>
        </w:tc>
        <w:tc>
          <w:tcPr>
            <w:tcW w:w="1232" w:type="dxa"/>
            <w:gridSpan w:val="3"/>
            <w:tcBorders>
              <w:top w:val="single" w:sz="4" w:space="0" w:color="auto"/>
              <w:left w:val="nil"/>
              <w:bottom w:val="single" w:sz="4" w:space="0" w:color="auto"/>
              <w:right w:val="single" w:sz="4" w:space="0" w:color="auto"/>
            </w:tcBorders>
            <w:shd w:val="clear" w:color="auto" w:fill="auto"/>
            <w:vAlign w:val="bottom"/>
          </w:tcPr>
          <w:p w:rsidR="00BE0A2F" w:rsidRPr="00610401" w:rsidRDefault="00BE0A2F" w:rsidP="00BE0A2F">
            <w:pPr>
              <w:jc w:val="center"/>
              <w:rPr>
                <w:noProof/>
                <w:sz w:val="18"/>
              </w:rPr>
            </w:pPr>
            <w:r w:rsidRPr="00610401">
              <w:rPr>
                <w:noProof/>
                <w:sz w:val="18"/>
              </w:rPr>
              <w:t>1,368</w:t>
            </w:r>
          </w:p>
        </w:tc>
        <w:tc>
          <w:tcPr>
            <w:tcW w:w="2268" w:type="dxa"/>
            <w:tcBorders>
              <w:top w:val="single" w:sz="4" w:space="0" w:color="auto"/>
              <w:left w:val="nil"/>
              <w:bottom w:val="single" w:sz="4" w:space="0" w:color="auto"/>
              <w:right w:val="single" w:sz="8" w:space="0" w:color="auto"/>
            </w:tcBorders>
            <w:shd w:val="clear" w:color="auto" w:fill="auto"/>
            <w:vAlign w:val="bottom"/>
          </w:tcPr>
          <w:p w:rsidR="00BE0A2F" w:rsidRPr="00610401" w:rsidRDefault="00D14556" w:rsidP="00BE0A2F">
            <w:pPr>
              <w:spacing w:before="40" w:after="40"/>
              <w:jc w:val="center"/>
              <w:rPr>
                <w:b/>
                <w:noProof/>
                <w:sz w:val="18"/>
              </w:rPr>
            </w:pPr>
            <w:r w:rsidRPr="00610401">
              <w:rPr>
                <w:noProof/>
                <w:sz w:val="18"/>
              </w:rPr>
              <w:t>5,947</w:t>
            </w:r>
          </w:p>
        </w:tc>
      </w:tr>
      <w:tr w:rsidR="004B7DAE" w:rsidRPr="00610401" w:rsidTr="00BE0A2F">
        <w:trPr>
          <w:trHeight w:val="393"/>
        </w:trPr>
        <w:tc>
          <w:tcPr>
            <w:tcW w:w="2694" w:type="dxa"/>
            <w:shd w:val="clear" w:color="auto" w:fill="BFBFBF"/>
            <w:vAlign w:val="center"/>
          </w:tcPr>
          <w:p w:rsidR="00BE0A2F" w:rsidRPr="00610401" w:rsidRDefault="00BE0A2F" w:rsidP="00BE0A2F">
            <w:pPr>
              <w:spacing w:before="40" w:after="40"/>
              <w:ind w:left="72"/>
              <w:rPr>
                <w:rFonts w:eastAsia="Calibri"/>
                <w:noProof/>
                <w:color w:val="000000" w:themeColor="text1"/>
                <w:sz w:val="18"/>
                <w:szCs w:val="18"/>
              </w:rPr>
            </w:pPr>
            <w:r w:rsidRPr="00610401">
              <w:rPr>
                <w:noProof/>
                <w:color w:val="000000" w:themeColor="text1"/>
                <w:sz w:val="18"/>
              </w:rPr>
              <w:t>Pracownicy zatrudnieni na czas określony (grupa funkcyjna AST)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A2F" w:rsidRPr="00610401" w:rsidRDefault="00BE0A2F" w:rsidP="00BE0A2F">
            <w:pPr>
              <w:spacing w:before="40" w:after="40"/>
              <w:jc w:val="center"/>
              <w:rPr>
                <w:rFonts w:eastAsia="Calibri"/>
                <w:noProof/>
                <w:color w:val="000000" w:themeColor="text1"/>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bottom"/>
          </w:tcPr>
          <w:p w:rsidR="00BE0A2F" w:rsidRPr="00610401" w:rsidRDefault="00D14556" w:rsidP="00BE0A2F">
            <w:pPr>
              <w:jc w:val="center"/>
              <w:rPr>
                <w:noProof/>
                <w:sz w:val="18"/>
              </w:rPr>
            </w:pPr>
            <w:r w:rsidRPr="00610401">
              <w:rPr>
                <w:noProof/>
                <w:sz w:val="18"/>
              </w:rPr>
              <w:t>0,105</w:t>
            </w:r>
          </w:p>
        </w:tc>
        <w:tc>
          <w:tcPr>
            <w:tcW w:w="1134" w:type="dxa"/>
            <w:tcBorders>
              <w:top w:val="nil"/>
              <w:left w:val="nil"/>
              <w:bottom w:val="single" w:sz="4" w:space="0" w:color="auto"/>
              <w:right w:val="single" w:sz="4" w:space="0" w:color="auto"/>
            </w:tcBorders>
            <w:shd w:val="clear" w:color="auto" w:fill="auto"/>
            <w:vAlign w:val="bottom"/>
          </w:tcPr>
          <w:p w:rsidR="00BE0A2F" w:rsidRPr="00610401" w:rsidRDefault="00BE0A2F" w:rsidP="00BE0A2F">
            <w:pPr>
              <w:jc w:val="center"/>
              <w:rPr>
                <w:noProof/>
                <w:sz w:val="18"/>
              </w:rPr>
            </w:pPr>
            <w:r w:rsidRPr="00610401">
              <w:rPr>
                <w:noProof/>
                <w:sz w:val="18"/>
              </w:rPr>
              <w:t>0,215</w:t>
            </w:r>
          </w:p>
        </w:tc>
        <w:tc>
          <w:tcPr>
            <w:tcW w:w="1019" w:type="dxa"/>
            <w:tcBorders>
              <w:top w:val="nil"/>
              <w:left w:val="nil"/>
              <w:bottom w:val="single" w:sz="4" w:space="0" w:color="auto"/>
              <w:right w:val="single" w:sz="4" w:space="0" w:color="auto"/>
            </w:tcBorders>
            <w:shd w:val="clear" w:color="auto" w:fill="auto"/>
            <w:vAlign w:val="bottom"/>
          </w:tcPr>
          <w:p w:rsidR="00BE0A2F" w:rsidRPr="00610401" w:rsidRDefault="00BE0A2F" w:rsidP="00BE0A2F">
            <w:pPr>
              <w:jc w:val="center"/>
              <w:rPr>
                <w:b/>
                <w:noProof/>
                <w:sz w:val="18"/>
              </w:rPr>
            </w:pPr>
            <w:r w:rsidRPr="00610401">
              <w:rPr>
                <w:noProof/>
                <w:sz w:val="18"/>
              </w:rPr>
              <w:t>0,219</w:t>
            </w:r>
          </w:p>
        </w:tc>
        <w:tc>
          <w:tcPr>
            <w:tcW w:w="1151" w:type="dxa"/>
            <w:tcBorders>
              <w:top w:val="nil"/>
              <w:left w:val="nil"/>
              <w:bottom w:val="single" w:sz="4" w:space="0" w:color="auto"/>
              <w:right w:val="single" w:sz="4" w:space="0" w:color="auto"/>
            </w:tcBorders>
            <w:shd w:val="clear" w:color="auto" w:fill="auto"/>
            <w:vAlign w:val="bottom"/>
          </w:tcPr>
          <w:p w:rsidR="00BE0A2F" w:rsidRPr="00610401" w:rsidRDefault="00BE0A2F" w:rsidP="00BE0A2F">
            <w:pPr>
              <w:jc w:val="center"/>
              <w:rPr>
                <w:b/>
                <w:noProof/>
                <w:sz w:val="18"/>
              </w:rPr>
            </w:pPr>
            <w:r w:rsidRPr="00610401">
              <w:rPr>
                <w:noProof/>
                <w:sz w:val="18"/>
              </w:rPr>
              <w:t>0,224</w:t>
            </w:r>
          </w:p>
        </w:tc>
        <w:tc>
          <w:tcPr>
            <w:tcW w:w="1232" w:type="dxa"/>
            <w:gridSpan w:val="3"/>
            <w:tcBorders>
              <w:top w:val="nil"/>
              <w:left w:val="nil"/>
              <w:bottom w:val="single" w:sz="4" w:space="0" w:color="auto"/>
              <w:right w:val="single" w:sz="4" w:space="0" w:color="auto"/>
            </w:tcBorders>
            <w:shd w:val="clear" w:color="auto" w:fill="auto"/>
            <w:vAlign w:val="bottom"/>
          </w:tcPr>
          <w:p w:rsidR="00BE0A2F" w:rsidRPr="00610401" w:rsidRDefault="00BE0A2F" w:rsidP="00BE0A2F">
            <w:pPr>
              <w:jc w:val="center"/>
              <w:rPr>
                <w:b/>
                <w:noProof/>
                <w:sz w:val="18"/>
              </w:rPr>
            </w:pPr>
            <w:r w:rsidRPr="00610401">
              <w:rPr>
                <w:noProof/>
                <w:sz w:val="18"/>
              </w:rPr>
              <w:t>0,228</w:t>
            </w:r>
          </w:p>
        </w:tc>
        <w:tc>
          <w:tcPr>
            <w:tcW w:w="2268" w:type="dxa"/>
            <w:tcBorders>
              <w:top w:val="nil"/>
              <w:left w:val="nil"/>
              <w:bottom w:val="single" w:sz="4" w:space="0" w:color="auto"/>
              <w:right w:val="single" w:sz="8" w:space="0" w:color="auto"/>
            </w:tcBorders>
            <w:shd w:val="clear" w:color="auto" w:fill="auto"/>
            <w:vAlign w:val="bottom"/>
          </w:tcPr>
          <w:p w:rsidR="00BE0A2F" w:rsidRPr="00610401" w:rsidRDefault="00D14556" w:rsidP="00BE0A2F">
            <w:pPr>
              <w:spacing w:before="40" w:after="40"/>
              <w:jc w:val="center"/>
              <w:rPr>
                <w:b/>
                <w:noProof/>
                <w:sz w:val="18"/>
              </w:rPr>
            </w:pPr>
            <w:r w:rsidRPr="00610401">
              <w:rPr>
                <w:noProof/>
                <w:sz w:val="18"/>
              </w:rPr>
              <w:t>0,991</w:t>
            </w:r>
          </w:p>
        </w:tc>
      </w:tr>
      <w:tr w:rsidR="004B7DAE" w:rsidRPr="00610401" w:rsidTr="00BE0A2F">
        <w:trPr>
          <w:trHeight w:val="585"/>
        </w:trPr>
        <w:tc>
          <w:tcPr>
            <w:tcW w:w="2694" w:type="dxa"/>
            <w:shd w:val="clear" w:color="auto" w:fill="BFBFBF"/>
            <w:vAlign w:val="center"/>
          </w:tcPr>
          <w:p w:rsidR="00BE0A2F" w:rsidRPr="00610401" w:rsidRDefault="00BE0A2F" w:rsidP="00BE0A2F">
            <w:pPr>
              <w:spacing w:before="40" w:after="40"/>
              <w:ind w:left="72"/>
              <w:rPr>
                <w:rFonts w:eastAsia="Calibri"/>
                <w:noProof/>
                <w:color w:val="000000" w:themeColor="text1"/>
                <w:sz w:val="18"/>
                <w:szCs w:val="18"/>
              </w:rPr>
            </w:pPr>
            <w:r w:rsidRPr="00610401">
              <w:rPr>
                <w:noProof/>
                <w:color w:val="000000" w:themeColor="text1"/>
                <w:sz w:val="18"/>
              </w:rPr>
              <w:t>Personel kontraktowy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A2F" w:rsidRPr="00610401" w:rsidRDefault="00BE0A2F" w:rsidP="00BE0A2F">
            <w:pPr>
              <w:spacing w:before="40" w:after="40"/>
              <w:jc w:val="center"/>
              <w:rPr>
                <w:rFonts w:eastAsia="Calibri"/>
                <w:noProof/>
                <w:color w:val="000000" w:themeColor="text1"/>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bottom"/>
          </w:tcPr>
          <w:p w:rsidR="00BE0A2F" w:rsidRPr="00610401" w:rsidRDefault="00D14556" w:rsidP="00BE0A2F">
            <w:pPr>
              <w:jc w:val="center"/>
              <w:rPr>
                <w:noProof/>
                <w:sz w:val="18"/>
              </w:rPr>
            </w:pPr>
            <w:r w:rsidRPr="00610401">
              <w:rPr>
                <w:noProof/>
                <w:sz w:val="18"/>
              </w:rPr>
              <w:t>0,285</w:t>
            </w:r>
          </w:p>
        </w:tc>
        <w:tc>
          <w:tcPr>
            <w:tcW w:w="1134" w:type="dxa"/>
            <w:tcBorders>
              <w:top w:val="nil"/>
              <w:left w:val="nil"/>
              <w:bottom w:val="single" w:sz="4" w:space="0" w:color="auto"/>
              <w:right w:val="single" w:sz="4" w:space="0" w:color="auto"/>
            </w:tcBorders>
            <w:shd w:val="clear" w:color="auto" w:fill="auto"/>
            <w:vAlign w:val="bottom"/>
          </w:tcPr>
          <w:p w:rsidR="00BE0A2F" w:rsidRPr="00610401" w:rsidRDefault="00BE0A2F" w:rsidP="00BE0A2F">
            <w:pPr>
              <w:jc w:val="center"/>
              <w:rPr>
                <w:noProof/>
                <w:sz w:val="18"/>
              </w:rPr>
            </w:pPr>
            <w:r w:rsidRPr="00610401">
              <w:rPr>
                <w:noProof/>
                <w:sz w:val="18"/>
              </w:rPr>
              <w:t>0,582</w:t>
            </w:r>
          </w:p>
        </w:tc>
        <w:tc>
          <w:tcPr>
            <w:tcW w:w="1019" w:type="dxa"/>
            <w:tcBorders>
              <w:top w:val="nil"/>
              <w:left w:val="nil"/>
              <w:bottom w:val="single" w:sz="4" w:space="0" w:color="auto"/>
              <w:right w:val="single" w:sz="4" w:space="0" w:color="auto"/>
            </w:tcBorders>
            <w:shd w:val="clear" w:color="auto" w:fill="auto"/>
            <w:vAlign w:val="bottom"/>
          </w:tcPr>
          <w:p w:rsidR="00BE0A2F" w:rsidRPr="00610401" w:rsidRDefault="00BE0A2F" w:rsidP="00BE0A2F">
            <w:pPr>
              <w:jc w:val="center"/>
              <w:rPr>
                <w:noProof/>
                <w:sz w:val="18"/>
              </w:rPr>
            </w:pPr>
            <w:r w:rsidRPr="00610401">
              <w:rPr>
                <w:noProof/>
                <w:sz w:val="18"/>
              </w:rPr>
              <w:t>0,593</w:t>
            </w:r>
          </w:p>
        </w:tc>
        <w:tc>
          <w:tcPr>
            <w:tcW w:w="1151" w:type="dxa"/>
            <w:tcBorders>
              <w:top w:val="nil"/>
              <w:left w:val="nil"/>
              <w:bottom w:val="single" w:sz="4" w:space="0" w:color="auto"/>
              <w:right w:val="single" w:sz="4" w:space="0" w:color="auto"/>
            </w:tcBorders>
            <w:shd w:val="clear" w:color="auto" w:fill="auto"/>
            <w:vAlign w:val="bottom"/>
          </w:tcPr>
          <w:p w:rsidR="00BE0A2F" w:rsidRPr="00610401" w:rsidRDefault="00BE0A2F" w:rsidP="00BE0A2F">
            <w:pPr>
              <w:jc w:val="center"/>
              <w:rPr>
                <w:noProof/>
                <w:sz w:val="18"/>
              </w:rPr>
            </w:pPr>
            <w:r w:rsidRPr="00610401">
              <w:rPr>
                <w:noProof/>
                <w:sz w:val="18"/>
              </w:rPr>
              <w:t>0,605</w:t>
            </w:r>
          </w:p>
        </w:tc>
        <w:tc>
          <w:tcPr>
            <w:tcW w:w="1232" w:type="dxa"/>
            <w:gridSpan w:val="3"/>
            <w:tcBorders>
              <w:top w:val="nil"/>
              <w:left w:val="nil"/>
              <w:bottom w:val="single" w:sz="4" w:space="0" w:color="auto"/>
              <w:right w:val="single" w:sz="4" w:space="0" w:color="auto"/>
            </w:tcBorders>
            <w:shd w:val="clear" w:color="auto" w:fill="auto"/>
            <w:vAlign w:val="bottom"/>
          </w:tcPr>
          <w:p w:rsidR="00BE0A2F" w:rsidRPr="00610401" w:rsidRDefault="00BE0A2F" w:rsidP="00BE0A2F">
            <w:pPr>
              <w:jc w:val="center"/>
              <w:rPr>
                <w:noProof/>
                <w:sz w:val="18"/>
              </w:rPr>
            </w:pPr>
            <w:r w:rsidRPr="00610401">
              <w:rPr>
                <w:noProof/>
                <w:sz w:val="18"/>
              </w:rPr>
              <w:t>0,617</w:t>
            </w:r>
          </w:p>
        </w:tc>
        <w:tc>
          <w:tcPr>
            <w:tcW w:w="2268" w:type="dxa"/>
            <w:tcBorders>
              <w:top w:val="nil"/>
              <w:left w:val="nil"/>
              <w:bottom w:val="single" w:sz="4" w:space="0" w:color="auto"/>
              <w:right w:val="single" w:sz="8" w:space="0" w:color="auto"/>
            </w:tcBorders>
            <w:shd w:val="clear" w:color="auto" w:fill="auto"/>
            <w:vAlign w:val="bottom"/>
          </w:tcPr>
          <w:p w:rsidR="00BE0A2F" w:rsidRPr="00610401" w:rsidRDefault="00D14556" w:rsidP="00BE0A2F">
            <w:pPr>
              <w:spacing w:before="40" w:after="40"/>
              <w:jc w:val="center"/>
              <w:rPr>
                <w:b/>
                <w:noProof/>
                <w:sz w:val="18"/>
              </w:rPr>
            </w:pPr>
            <w:r w:rsidRPr="00610401">
              <w:rPr>
                <w:noProof/>
                <w:sz w:val="18"/>
              </w:rPr>
              <w:t>2,683</w:t>
            </w:r>
          </w:p>
        </w:tc>
      </w:tr>
      <w:tr w:rsidR="00BE0A2F" w:rsidRPr="00610401" w:rsidTr="00BE0A2F">
        <w:trPr>
          <w:trHeight w:val="339"/>
        </w:trPr>
        <w:tc>
          <w:tcPr>
            <w:tcW w:w="2694" w:type="dxa"/>
            <w:shd w:val="clear" w:color="auto" w:fill="CCCCCC"/>
            <w:vAlign w:val="center"/>
          </w:tcPr>
          <w:p w:rsidR="00BE0A2F" w:rsidRPr="00610401" w:rsidRDefault="00BE0A2F" w:rsidP="00BE0A2F">
            <w:pPr>
              <w:spacing w:before="40" w:after="40"/>
              <w:jc w:val="center"/>
              <w:rPr>
                <w:rFonts w:eastAsia="Calibri"/>
                <w:noProof/>
                <w:color w:val="000000" w:themeColor="text1"/>
                <w:sz w:val="18"/>
                <w:szCs w:val="18"/>
              </w:rPr>
            </w:pPr>
            <w:r w:rsidRPr="00610401">
              <w:rPr>
                <w:noProof/>
                <w:color w:val="000000" w:themeColor="text1"/>
                <w:sz w:val="18"/>
              </w:rPr>
              <w:t>Oddelegowani eksperci krajowi</w:t>
            </w:r>
          </w:p>
        </w:tc>
        <w:tc>
          <w:tcPr>
            <w:tcW w:w="992" w:type="dxa"/>
            <w:tcBorders>
              <w:top w:val="single" w:sz="4" w:space="0" w:color="auto"/>
            </w:tcBorders>
            <w:vAlign w:val="center"/>
          </w:tcPr>
          <w:p w:rsidR="00BE0A2F" w:rsidRPr="00610401" w:rsidRDefault="00BE0A2F" w:rsidP="00BE0A2F">
            <w:pPr>
              <w:spacing w:before="40" w:after="40"/>
              <w:jc w:val="right"/>
              <w:rPr>
                <w:rFonts w:eastAsia="Calibri"/>
                <w:noProof/>
                <w:color w:val="000000" w:themeColor="text1"/>
                <w:sz w:val="18"/>
                <w:szCs w:val="18"/>
              </w:rPr>
            </w:pPr>
          </w:p>
        </w:tc>
        <w:tc>
          <w:tcPr>
            <w:tcW w:w="993" w:type="dxa"/>
            <w:tcBorders>
              <w:top w:val="single" w:sz="4" w:space="0" w:color="auto"/>
            </w:tcBorders>
            <w:vAlign w:val="center"/>
          </w:tcPr>
          <w:p w:rsidR="00BE0A2F" w:rsidRPr="00610401" w:rsidRDefault="00BE0A2F" w:rsidP="00BE0A2F">
            <w:pPr>
              <w:spacing w:before="40" w:after="40"/>
              <w:ind w:right="-179"/>
              <w:jc w:val="right"/>
              <w:rPr>
                <w:noProof/>
                <w:sz w:val="18"/>
              </w:rPr>
            </w:pPr>
          </w:p>
        </w:tc>
        <w:tc>
          <w:tcPr>
            <w:tcW w:w="1134" w:type="dxa"/>
            <w:tcBorders>
              <w:top w:val="single" w:sz="4" w:space="0" w:color="auto"/>
            </w:tcBorders>
            <w:vAlign w:val="center"/>
          </w:tcPr>
          <w:p w:rsidR="00BE0A2F" w:rsidRPr="00610401" w:rsidRDefault="00BE0A2F" w:rsidP="00BE0A2F">
            <w:pPr>
              <w:spacing w:before="40" w:after="40"/>
              <w:jc w:val="right"/>
              <w:rPr>
                <w:noProof/>
                <w:sz w:val="18"/>
              </w:rPr>
            </w:pPr>
          </w:p>
        </w:tc>
        <w:tc>
          <w:tcPr>
            <w:tcW w:w="1019" w:type="dxa"/>
            <w:tcBorders>
              <w:top w:val="single" w:sz="4" w:space="0" w:color="auto"/>
            </w:tcBorders>
            <w:vAlign w:val="center"/>
          </w:tcPr>
          <w:p w:rsidR="00BE0A2F" w:rsidRPr="00610401" w:rsidRDefault="00BE0A2F" w:rsidP="00BE0A2F">
            <w:pPr>
              <w:spacing w:before="40" w:after="40"/>
              <w:jc w:val="right"/>
              <w:rPr>
                <w:b/>
                <w:noProof/>
                <w:sz w:val="18"/>
              </w:rPr>
            </w:pPr>
          </w:p>
        </w:tc>
        <w:tc>
          <w:tcPr>
            <w:tcW w:w="1151" w:type="dxa"/>
            <w:tcBorders>
              <w:top w:val="single" w:sz="4" w:space="0" w:color="auto"/>
            </w:tcBorders>
          </w:tcPr>
          <w:p w:rsidR="00BE0A2F" w:rsidRPr="00610401" w:rsidRDefault="00BE0A2F" w:rsidP="00BE0A2F">
            <w:pPr>
              <w:spacing w:before="40" w:after="40"/>
              <w:jc w:val="center"/>
              <w:rPr>
                <w:b/>
                <w:noProof/>
                <w:sz w:val="18"/>
              </w:rPr>
            </w:pPr>
          </w:p>
        </w:tc>
        <w:tc>
          <w:tcPr>
            <w:tcW w:w="1232" w:type="dxa"/>
            <w:gridSpan w:val="3"/>
            <w:tcBorders>
              <w:top w:val="single" w:sz="4" w:space="0" w:color="auto"/>
            </w:tcBorders>
          </w:tcPr>
          <w:p w:rsidR="00BE0A2F" w:rsidRPr="00610401" w:rsidRDefault="00BE0A2F" w:rsidP="00BE0A2F">
            <w:pPr>
              <w:spacing w:before="40" w:after="40"/>
              <w:jc w:val="center"/>
              <w:rPr>
                <w:b/>
                <w:noProof/>
                <w:sz w:val="18"/>
              </w:rPr>
            </w:pPr>
          </w:p>
        </w:tc>
        <w:tc>
          <w:tcPr>
            <w:tcW w:w="2268" w:type="dxa"/>
            <w:tcBorders>
              <w:top w:val="single" w:sz="4" w:space="0" w:color="auto"/>
            </w:tcBorders>
            <w:vAlign w:val="center"/>
          </w:tcPr>
          <w:p w:rsidR="00BE0A2F" w:rsidRPr="00610401" w:rsidRDefault="00BE0A2F" w:rsidP="00BE0A2F">
            <w:pPr>
              <w:spacing w:before="40" w:after="40"/>
              <w:jc w:val="center"/>
              <w:rPr>
                <w:b/>
                <w:noProof/>
                <w:sz w:val="18"/>
              </w:rPr>
            </w:pPr>
          </w:p>
        </w:tc>
      </w:tr>
      <w:tr w:rsidR="004B7DAE" w:rsidRPr="00610401" w:rsidTr="00BE0A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2694" w:type="dxa"/>
            <w:tcBorders>
              <w:top w:val="single" w:sz="12" w:space="0" w:color="auto"/>
              <w:left w:val="single" w:sz="12" w:space="0" w:color="auto"/>
              <w:bottom w:val="single" w:sz="12" w:space="0" w:color="auto"/>
              <w:right w:val="single" w:sz="2" w:space="0" w:color="auto"/>
            </w:tcBorders>
            <w:vAlign w:val="center"/>
          </w:tcPr>
          <w:p w:rsidR="00BE0A2F" w:rsidRPr="00610401" w:rsidRDefault="00BE0A2F" w:rsidP="00BE0A2F">
            <w:pPr>
              <w:spacing w:before="40" w:after="40"/>
              <w:jc w:val="center"/>
              <w:rPr>
                <w:rFonts w:eastAsia="Calibri"/>
                <w:noProof/>
                <w:color w:val="000000" w:themeColor="text1"/>
                <w:sz w:val="18"/>
                <w:szCs w:val="18"/>
              </w:rPr>
            </w:pPr>
            <w:r w:rsidRPr="00610401">
              <w:rPr>
                <w:b/>
                <w:noProof/>
                <w:color w:val="000000" w:themeColor="text1"/>
                <w:sz w:val="18"/>
              </w:rPr>
              <w:t>OGÓŁEM</w:t>
            </w: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610401" w:rsidRDefault="00BE0A2F" w:rsidP="00BE0A2F">
            <w:pPr>
              <w:spacing w:before="40" w:after="40"/>
              <w:jc w:val="center"/>
              <w:rPr>
                <w:rFonts w:eastAsia="Calibri"/>
                <w:b/>
                <w:noProof/>
                <w:color w:val="000000" w:themeColor="text1"/>
                <w:sz w:val="18"/>
                <w:szCs w:val="18"/>
              </w:rPr>
            </w:pPr>
          </w:p>
        </w:tc>
        <w:tc>
          <w:tcPr>
            <w:tcW w:w="993" w:type="dxa"/>
            <w:tcBorders>
              <w:top w:val="single" w:sz="8" w:space="0" w:color="auto"/>
              <w:left w:val="single" w:sz="4" w:space="0" w:color="auto"/>
              <w:bottom w:val="single" w:sz="8" w:space="0" w:color="auto"/>
              <w:right w:val="single" w:sz="4" w:space="0" w:color="auto"/>
            </w:tcBorders>
            <w:shd w:val="clear" w:color="000000" w:fill="DDEBF7"/>
            <w:vAlign w:val="bottom"/>
          </w:tcPr>
          <w:p w:rsidR="00BE0A2F" w:rsidRPr="00610401" w:rsidRDefault="00D14556" w:rsidP="00BE0A2F">
            <w:pPr>
              <w:spacing w:before="40" w:after="40"/>
              <w:jc w:val="center"/>
              <w:rPr>
                <w:b/>
                <w:noProof/>
                <w:sz w:val="18"/>
              </w:rPr>
            </w:pPr>
            <w:r w:rsidRPr="00610401">
              <w:rPr>
                <w:b/>
                <w:noProof/>
                <w:sz w:val="18"/>
              </w:rPr>
              <w:t>1,023</w:t>
            </w:r>
          </w:p>
        </w:tc>
        <w:tc>
          <w:tcPr>
            <w:tcW w:w="1134" w:type="dxa"/>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40" w:after="40"/>
              <w:jc w:val="center"/>
              <w:rPr>
                <w:b/>
                <w:noProof/>
                <w:sz w:val="18"/>
              </w:rPr>
            </w:pPr>
            <w:r w:rsidRPr="00610401">
              <w:rPr>
                <w:b/>
                <w:noProof/>
                <w:sz w:val="18"/>
              </w:rPr>
              <w:t>2,086</w:t>
            </w:r>
          </w:p>
        </w:tc>
        <w:tc>
          <w:tcPr>
            <w:tcW w:w="1019" w:type="dxa"/>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40" w:after="40"/>
              <w:jc w:val="center"/>
              <w:rPr>
                <w:b/>
                <w:noProof/>
                <w:sz w:val="18"/>
              </w:rPr>
            </w:pPr>
            <w:r w:rsidRPr="00610401">
              <w:rPr>
                <w:b/>
                <w:noProof/>
                <w:sz w:val="18"/>
              </w:rPr>
              <w:t>2,128</w:t>
            </w:r>
          </w:p>
        </w:tc>
        <w:tc>
          <w:tcPr>
            <w:tcW w:w="1160"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40" w:after="40"/>
              <w:jc w:val="center"/>
              <w:rPr>
                <w:b/>
                <w:noProof/>
                <w:sz w:val="18"/>
              </w:rPr>
            </w:pPr>
            <w:r w:rsidRPr="00610401">
              <w:rPr>
                <w:b/>
                <w:noProof/>
                <w:sz w:val="18"/>
              </w:rPr>
              <w:t>2,170</w:t>
            </w:r>
          </w:p>
        </w:tc>
        <w:tc>
          <w:tcPr>
            <w:tcW w:w="1223"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610401" w:rsidRDefault="00BE0A2F" w:rsidP="00BE0A2F">
            <w:pPr>
              <w:spacing w:before="40" w:after="40"/>
              <w:jc w:val="center"/>
              <w:rPr>
                <w:b/>
                <w:noProof/>
                <w:sz w:val="18"/>
              </w:rPr>
            </w:pPr>
            <w:r w:rsidRPr="00610401">
              <w:rPr>
                <w:b/>
                <w:noProof/>
                <w:sz w:val="18"/>
              </w:rPr>
              <w:t>2,214</w:t>
            </w:r>
          </w:p>
        </w:tc>
        <w:tc>
          <w:tcPr>
            <w:tcW w:w="2268" w:type="dxa"/>
            <w:tcBorders>
              <w:top w:val="single" w:sz="8" w:space="0" w:color="auto"/>
              <w:left w:val="nil"/>
              <w:bottom w:val="single" w:sz="8" w:space="0" w:color="auto"/>
              <w:right w:val="single" w:sz="8" w:space="0" w:color="auto"/>
            </w:tcBorders>
            <w:shd w:val="clear" w:color="000000" w:fill="DDEBF7"/>
            <w:vAlign w:val="bottom"/>
          </w:tcPr>
          <w:p w:rsidR="00BE0A2F" w:rsidRPr="00610401" w:rsidRDefault="00D14556" w:rsidP="00BE0A2F">
            <w:pPr>
              <w:spacing w:before="40" w:after="40"/>
              <w:jc w:val="center"/>
              <w:rPr>
                <w:b/>
                <w:noProof/>
                <w:sz w:val="18"/>
              </w:rPr>
            </w:pPr>
            <w:r w:rsidRPr="00610401">
              <w:rPr>
                <w:b/>
                <w:noProof/>
                <w:sz w:val="18"/>
              </w:rPr>
              <w:t>9,621</w:t>
            </w:r>
          </w:p>
        </w:tc>
      </w:tr>
    </w:tbl>
    <w:p w:rsidR="00BE0A2F" w:rsidRPr="00610401" w:rsidRDefault="00BE0A2F" w:rsidP="00BE0A2F">
      <w:pPr>
        <w:rPr>
          <w:noProof/>
          <w:color w:val="000000" w:themeColor="text1"/>
        </w:rPr>
      </w:pPr>
      <w:r w:rsidRPr="00610401">
        <w:rPr>
          <w:noProof/>
          <w:color w:val="000000" w:themeColor="text1"/>
        </w:rPr>
        <w:t>Koszty</w:t>
      </w:r>
      <w:r w:rsidR="00610401" w:rsidRPr="00610401">
        <w:rPr>
          <w:noProof/>
          <w:color w:val="000000" w:themeColor="text1"/>
        </w:rPr>
        <w:t xml:space="preserve"> w prz</w:t>
      </w:r>
      <w:r w:rsidRPr="00610401">
        <w:rPr>
          <w:noProof/>
          <w:color w:val="000000" w:themeColor="text1"/>
        </w:rPr>
        <w:t>eliczeniu na EPC obliczono</w:t>
      </w:r>
      <w:r w:rsidR="00610401" w:rsidRPr="00610401">
        <w:rPr>
          <w:noProof/>
          <w:color w:val="000000" w:themeColor="text1"/>
        </w:rPr>
        <w:t xml:space="preserve"> w nas</w:t>
      </w:r>
      <w:r w:rsidRPr="00610401">
        <w:rPr>
          <w:noProof/>
          <w:color w:val="000000" w:themeColor="text1"/>
        </w:rPr>
        <w:t>tępujący sposób:</w:t>
      </w:r>
    </w:p>
    <w:p w:rsidR="00BE0A2F" w:rsidRPr="00610401" w:rsidRDefault="00BE0A2F" w:rsidP="00633D25">
      <w:pPr>
        <w:pStyle w:val="Tiret0"/>
        <w:rPr>
          <w:noProof/>
        </w:rPr>
      </w:pPr>
      <w:r w:rsidRPr="00610401">
        <w:rPr>
          <w:noProof/>
        </w:rPr>
        <w:t>w przypadku pracowników zatrudnionych na czas określony (grupa funkcyjna AD/AST) na podstawie średniego kosztu personelu wynoszącego 157 000 EUR/rok pomnożonego przez 1,342 (współczynnik kosztów utrzymania</w:t>
      </w:r>
      <w:r w:rsidR="00610401" w:rsidRPr="00610401">
        <w:rPr>
          <w:noProof/>
        </w:rPr>
        <w:t xml:space="preserve"> w Kop</w:t>
      </w:r>
      <w:r w:rsidRPr="00610401">
        <w:rPr>
          <w:noProof/>
        </w:rPr>
        <w:t xml:space="preserve">enhadze); </w:t>
      </w:r>
    </w:p>
    <w:p w:rsidR="00BE0A2F" w:rsidRPr="00610401" w:rsidRDefault="00BE0A2F" w:rsidP="00633D25">
      <w:pPr>
        <w:pStyle w:val="Tiret0"/>
        <w:rPr>
          <w:noProof/>
        </w:rPr>
      </w:pPr>
      <w:r w:rsidRPr="00610401">
        <w:rPr>
          <w:noProof/>
        </w:rPr>
        <w:t>w przypadku pracowników kontraktowych na podstawie średniego kosztu personelu wynoszącego 85 000 EUR/rok pomnożonego przez 1,342;</w:t>
      </w:r>
    </w:p>
    <w:p w:rsidR="00D14556" w:rsidRPr="00610401" w:rsidRDefault="00D14556" w:rsidP="00633D25">
      <w:pPr>
        <w:pStyle w:val="Tiret0"/>
        <w:rPr>
          <w:noProof/>
        </w:rPr>
      </w:pPr>
      <w:r w:rsidRPr="00610401">
        <w:rPr>
          <w:noProof/>
        </w:rPr>
        <w:t>w pierwszym roku (2023) koszty personelu są liczone tylko za pół roku, co wynika</w:t>
      </w:r>
      <w:r w:rsidR="00610401" w:rsidRPr="00610401">
        <w:rPr>
          <w:noProof/>
        </w:rPr>
        <w:t xml:space="preserve"> z zał</w:t>
      </w:r>
      <w:r w:rsidRPr="00610401">
        <w:rPr>
          <w:noProof/>
        </w:rPr>
        <w:t>ożenia, że nie wszyscy pracownicy zostaną zatrudnieni już</w:t>
      </w:r>
      <w:r w:rsidR="00610401" w:rsidRPr="00610401">
        <w:rPr>
          <w:noProof/>
        </w:rPr>
        <w:t xml:space="preserve"> w sty</w:t>
      </w:r>
      <w:r w:rsidRPr="00610401">
        <w:rPr>
          <w:noProof/>
        </w:rPr>
        <w:t>czniu 2023</w:t>
      </w:r>
      <w:r w:rsidR="00610401" w:rsidRPr="00610401">
        <w:rPr>
          <w:noProof/>
        </w:rPr>
        <w:t> </w:t>
      </w:r>
      <w:r w:rsidRPr="00610401">
        <w:rPr>
          <w:noProof/>
        </w:rPr>
        <w:t>r.</w:t>
      </w:r>
    </w:p>
    <w:p w:rsidR="00BE0A2F" w:rsidRPr="00610401" w:rsidRDefault="00BE0A2F" w:rsidP="00BE0A2F">
      <w:pPr>
        <w:rPr>
          <w:noProof/>
          <w:color w:val="000000" w:themeColor="text1"/>
        </w:rPr>
      </w:pPr>
    </w:p>
    <w:p w:rsidR="00BE0A2F" w:rsidRPr="00610401" w:rsidRDefault="00BE0A2F" w:rsidP="00BE0A2F">
      <w:pPr>
        <w:tabs>
          <w:tab w:val="num" w:pos="1134"/>
        </w:tabs>
        <w:ind w:left="1134" w:hanging="283"/>
        <w:rPr>
          <w:rFonts w:eastAsia="Times New Roman"/>
          <w:b/>
          <w:noProof/>
          <w:color w:val="000000" w:themeColor="text1"/>
        </w:rPr>
      </w:pPr>
      <w:r w:rsidRPr="00610401">
        <w:rPr>
          <w:b/>
          <w:noProof/>
          <w:color w:val="000000" w:themeColor="text1"/>
        </w:rPr>
        <w:t>Wymogi dotyczące personelu w EEA (w EPC):</w:t>
      </w:r>
    </w:p>
    <w:tbl>
      <w:tblPr>
        <w:tblW w:w="11908"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45"/>
        <w:gridCol w:w="1134"/>
        <w:gridCol w:w="992"/>
        <w:gridCol w:w="992"/>
        <w:gridCol w:w="992"/>
        <w:gridCol w:w="993"/>
        <w:gridCol w:w="1134"/>
        <w:gridCol w:w="2126"/>
      </w:tblGrid>
      <w:tr w:rsidR="00BE0A2F" w:rsidRPr="00610401" w:rsidTr="00BE0A2F">
        <w:trPr>
          <w:trHeight w:val="585"/>
        </w:trPr>
        <w:tc>
          <w:tcPr>
            <w:tcW w:w="3545" w:type="dxa"/>
          </w:tcPr>
          <w:p w:rsidR="00BE0A2F" w:rsidRPr="00610401" w:rsidRDefault="00BE0A2F" w:rsidP="00BE0A2F">
            <w:pPr>
              <w:spacing w:before="40" w:after="40"/>
              <w:rPr>
                <w:rFonts w:eastAsia="Calibri"/>
                <w:noProof/>
                <w:color w:val="000000" w:themeColor="text1"/>
                <w:sz w:val="20"/>
              </w:rPr>
            </w:pPr>
          </w:p>
        </w:tc>
        <w:tc>
          <w:tcPr>
            <w:tcW w:w="1134" w:type="dxa"/>
            <w:vAlign w:val="center"/>
          </w:tcPr>
          <w:p w:rsidR="00BE0A2F" w:rsidRPr="00610401" w:rsidRDefault="00BE0A2F" w:rsidP="00BE0A2F">
            <w:pPr>
              <w:spacing w:before="40" w:after="40"/>
              <w:jc w:val="center"/>
              <w:rPr>
                <w:rFonts w:eastAsia="Calibri"/>
                <w:b/>
                <w:noProof/>
                <w:color w:val="000000" w:themeColor="text1"/>
                <w:sz w:val="20"/>
                <w:szCs w:val="20"/>
              </w:rPr>
            </w:pPr>
            <w:r w:rsidRPr="00610401">
              <w:rPr>
                <w:b/>
                <w:noProof/>
                <w:color w:val="000000" w:themeColor="text1"/>
                <w:sz w:val="20"/>
              </w:rPr>
              <w:t>2022</w:t>
            </w:r>
          </w:p>
        </w:tc>
        <w:tc>
          <w:tcPr>
            <w:tcW w:w="992" w:type="dxa"/>
            <w:vAlign w:val="center"/>
          </w:tcPr>
          <w:p w:rsidR="00BE0A2F" w:rsidRPr="00610401" w:rsidRDefault="00BE0A2F" w:rsidP="00BE0A2F">
            <w:pPr>
              <w:spacing w:before="40" w:after="40"/>
              <w:jc w:val="center"/>
              <w:rPr>
                <w:rFonts w:eastAsia="Calibri"/>
                <w:b/>
                <w:noProof/>
                <w:color w:val="000000" w:themeColor="text1"/>
                <w:sz w:val="20"/>
                <w:szCs w:val="20"/>
              </w:rPr>
            </w:pPr>
            <w:r w:rsidRPr="00610401">
              <w:rPr>
                <w:b/>
                <w:noProof/>
                <w:color w:val="000000" w:themeColor="text1"/>
                <w:sz w:val="20"/>
              </w:rPr>
              <w:t>2023</w:t>
            </w:r>
          </w:p>
        </w:tc>
        <w:tc>
          <w:tcPr>
            <w:tcW w:w="992" w:type="dxa"/>
            <w:vAlign w:val="center"/>
          </w:tcPr>
          <w:p w:rsidR="00BE0A2F" w:rsidRPr="00610401" w:rsidRDefault="00BE0A2F" w:rsidP="00BE0A2F">
            <w:pPr>
              <w:spacing w:before="40" w:after="40"/>
              <w:jc w:val="center"/>
              <w:rPr>
                <w:rFonts w:eastAsia="Calibri"/>
                <w:b/>
                <w:noProof/>
                <w:color w:val="000000" w:themeColor="text1"/>
                <w:sz w:val="20"/>
                <w:szCs w:val="20"/>
              </w:rPr>
            </w:pPr>
            <w:r w:rsidRPr="00610401">
              <w:rPr>
                <w:b/>
                <w:noProof/>
                <w:color w:val="000000" w:themeColor="text1"/>
                <w:sz w:val="20"/>
              </w:rPr>
              <w:t>2024</w:t>
            </w:r>
          </w:p>
        </w:tc>
        <w:tc>
          <w:tcPr>
            <w:tcW w:w="992" w:type="dxa"/>
            <w:vAlign w:val="center"/>
          </w:tcPr>
          <w:p w:rsidR="00BE0A2F" w:rsidRPr="00610401" w:rsidRDefault="00BE0A2F" w:rsidP="00BE0A2F">
            <w:pPr>
              <w:spacing w:before="40" w:after="40"/>
              <w:jc w:val="center"/>
              <w:rPr>
                <w:rFonts w:eastAsia="Calibri"/>
                <w:b/>
                <w:noProof/>
                <w:color w:val="000000" w:themeColor="text1"/>
                <w:sz w:val="20"/>
                <w:szCs w:val="20"/>
              </w:rPr>
            </w:pPr>
            <w:r w:rsidRPr="00610401">
              <w:rPr>
                <w:b/>
                <w:noProof/>
                <w:color w:val="000000" w:themeColor="text1"/>
                <w:sz w:val="20"/>
              </w:rPr>
              <w:t>2025</w:t>
            </w:r>
          </w:p>
        </w:tc>
        <w:tc>
          <w:tcPr>
            <w:tcW w:w="993" w:type="dxa"/>
            <w:vAlign w:val="center"/>
          </w:tcPr>
          <w:p w:rsidR="00BE0A2F" w:rsidRPr="00610401" w:rsidRDefault="00BE0A2F" w:rsidP="00BE0A2F">
            <w:pPr>
              <w:spacing w:before="40" w:after="40"/>
              <w:jc w:val="center"/>
              <w:rPr>
                <w:rFonts w:eastAsia="Calibri"/>
                <w:b/>
                <w:noProof/>
                <w:color w:val="000000" w:themeColor="text1"/>
                <w:sz w:val="20"/>
                <w:szCs w:val="20"/>
              </w:rPr>
            </w:pPr>
            <w:r w:rsidRPr="00610401">
              <w:rPr>
                <w:b/>
                <w:noProof/>
                <w:color w:val="000000" w:themeColor="text1"/>
                <w:sz w:val="20"/>
              </w:rPr>
              <w:t>2026</w:t>
            </w:r>
          </w:p>
        </w:tc>
        <w:tc>
          <w:tcPr>
            <w:tcW w:w="1134" w:type="dxa"/>
            <w:vAlign w:val="center"/>
          </w:tcPr>
          <w:p w:rsidR="00BE0A2F" w:rsidRPr="00610401" w:rsidRDefault="00BE0A2F" w:rsidP="00BE0A2F">
            <w:pPr>
              <w:spacing w:before="40" w:after="40"/>
              <w:jc w:val="center"/>
              <w:rPr>
                <w:rFonts w:eastAsia="Calibri"/>
                <w:b/>
                <w:noProof/>
                <w:color w:val="000000" w:themeColor="text1"/>
                <w:sz w:val="20"/>
                <w:szCs w:val="20"/>
              </w:rPr>
            </w:pPr>
            <w:r w:rsidRPr="00610401">
              <w:rPr>
                <w:b/>
                <w:noProof/>
                <w:color w:val="000000" w:themeColor="text1"/>
                <w:sz w:val="20"/>
              </w:rPr>
              <w:t>2027</w:t>
            </w:r>
          </w:p>
        </w:tc>
        <w:tc>
          <w:tcPr>
            <w:tcW w:w="2126" w:type="dxa"/>
            <w:vAlign w:val="center"/>
          </w:tcPr>
          <w:p w:rsidR="00BE0A2F" w:rsidRPr="00610401" w:rsidRDefault="00BE0A2F" w:rsidP="00BE0A2F">
            <w:pPr>
              <w:spacing w:before="40" w:after="40"/>
              <w:jc w:val="center"/>
              <w:rPr>
                <w:rFonts w:eastAsia="Calibri"/>
                <w:b/>
                <w:noProof/>
                <w:color w:val="000000" w:themeColor="text1"/>
                <w:sz w:val="20"/>
              </w:rPr>
            </w:pPr>
            <w:r w:rsidRPr="00610401">
              <w:rPr>
                <w:b/>
                <w:noProof/>
                <w:color w:val="000000" w:themeColor="text1"/>
                <w:sz w:val="20"/>
              </w:rPr>
              <w:t>OGÓŁEM</w:t>
            </w:r>
          </w:p>
        </w:tc>
      </w:tr>
      <w:tr w:rsidR="00BE0A2F" w:rsidRPr="00610401" w:rsidTr="00BE0A2F">
        <w:trPr>
          <w:trHeight w:val="585"/>
        </w:trPr>
        <w:tc>
          <w:tcPr>
            <w:tcW w:w="3545" w:type="dxa"/>
            <w:shd w:val="clear" w:color="auto" w:fill="D9D9D9"/>
            <w:vAlign w:val="center"/>
          </w:tcPr>
          <w:p w:rsidR="00BE0A2F" w:rsidRPr="00610401" w:rsidRDefault="00BE0A2F" w:rsidP="00BE0A2F">
            <w:pPr>
              <w:spacing w:before="40" w:after="40"/>
              <w:jc w:val="center"/>
              <w:rPr>
                <w:rFonts w:eastAsia="Calibri"/>
                <w:noProof/>
                <w:color w:val="000000" w:themeColor="text1"/>
                <w:sz w:val="18"/>
              </w:rPr>
            </w:pPr>
            <w:r w:rsidRPr="00610401">
              <w:rPr>
                <w:noProof/>
                <w:color w:val="000000" w:themeColor="text1"/>
                <w:sz w:val="18"/>
              </w:rPr>
              <w:t xml:space="preserve">Personel zatrudniony na czas określony </w:t>
            </w:r>
          </w:p>
          <w:p w:rsidR="00BE0A2F" w:rsidRPr="00610401" w:rsidRDefault="00BE0A2F" w:rsidP="00BE0A2F">
            <w:pPr>
              <w:spacing w:before="40" w:after="40"/>
              <w:jc w:val="center"/>
              <w:rPr>
                <w:rFonts w:eastAsia="Calibri"/>
                <w:noProof/>
                <w:color w:val="000000" w:themeColor="text1"/>
              </w:rPr>
            </w:pPr>
            <w:r w:rsidRPr="00610401">
              <w:rPr>
                <w:noProof/>
                <w:color w:val="000000" w:themeColor="text1"/>
                <w:sz w:val="18"/>
              </w:rPr>
              <w:t>(1 grupa funkcyjna AD7 + 5 grupa funkcyjna AD6)</w:t>
            </w:r>
          </w:p>
        </w:tc>
        <w:tc>
          <w:tcPr>
            <w:tcW w:w="1134" w:type="dxa"/>
            <w:vAlign w:val="center"/>
          </w:tcPr>
          <w:p w:rsidR="00BE0A2F" w:rsidRPr="00610401" w:rsidRDefault="00BE0A2F" w:rsidP="00BE0A2F">
            <w:pPr>
              <w:spacing w:before="40" w:after="40"/>
              <w:jc w:val="center"/>
              <w:rPr>
                <w:rFonts w:eastAsia="Calibri"/>
                <w:noProof/>
                <w:color w:val="000000" w:themeColor="text1"/>
                <w:sz w:val="20"/>
              </w:rPr>
            </w:pPr>
          </w:p>
        </w:tc>
        <w:tc>
          <w:tcPr>
            <w:tcW w:w="992" w:type="dxa"/>
            <w:vAlign w:val="bottom"/>
          </w:tcPr>
          <w:p w:rsidR="00BE0A2F" w:rsidRPr="00610401" w:rsidRDefault="00BE0A2F" w:rsidP="00BE0A2F">
            <w:pPr>
              <w:spacing w:before="40" w:after="40"/>
              <w:ind w:right="-179"/>
              <w:jc w:val="center"/>
              <w:rPr>
                <w:rFonts w:eastAsia="Calibri"/>
                <w:noProof/>
                <w:color w:val="000000" w:themeColor="text1"/>
                <w:sz w:val="20"/>
              </w:rPr>
            </w:pPr>
            <w:r w:rsidRPr="00610401">
              <w:rPr>
                <w:noProof/>
                <w:color w:val="000000" w:themeColor="text1"/>
                <w:sz w:val="20"/>
              </w:rPr>
              <w:t>6</w:t>
            </w:r>
          </w:p>
        </w:tc>
        <w:tc>
          <w:tcPr>
            <w:tcW w:w="992" w:type="dxa"/>
            <w:vAlign w:val="bottom"/>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6</w:t>
            </w:r>
          </w:p>
        </w:tc>
        <w:tc>
          <w:tcPr>
            <w:tcW w:w="992" w:type="dxa"/>
            <w:vAlign w:val="bottom"/>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6</w:t>
            </w:r>
          </w:p>
        </w:tc>
        <w:tc>
          <w:tcPr>
            <w:tcW w:w="993" w:type="dxa"/>
            <w:vAlign w:val="bottom"/>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6</w:t>
            </w:r>
          </w:p>
        </w:tc>
        <w:tc>
          <w:tcPr>
            <w:tcW w:w="1134" w:type="dxa"/>
            <w:vAlign w:val="bottom"/>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6</w:t>
            </w:r>
          </w:p>
        </w:tc>
        <w:tc>
          <w:tcPr>
            <w:tcW w:w="2126" w:type="dxa"/>
            <w:vAlign w:val="center"/>
          </w:tcPr>
          <w:p w:rsidR="00BE0A2F" w:rsidRPr="00610401" w:rsidRDefault="00BE0A2F" w:rsidP="00BE0A2F">
            <w:pPr>
              <w:spacing w:before="40" w:after="40"/>
              <w:jc w:val="center"/>
              <w:rPr>
                <w:rFonts w:eastAsia="Calibri"/>
                <w:b/>
                <w:noProof/>
                <w:color w:val="000000" w:themeColor="text1"/>
                <w:sz w:val="20"/>
                <w:szCs w:val="20"/>
              </w:rPr>
            </w:pPr>
          </w:p>
        </w:tc>
      </w:tr>
      <w:tr w:rsidR="00BE0A2F" w:rsidRPr="00610401" w:rsidTr="00BE0A2F">
        <w:trPr>
          <w:trHeight w:val="585"/>
        </w:trPr>
        <w:tc>
          <w:tcPr>
            <w:tcW w:w="3545" w:type="dxa"/>
            <w:shd w:val="clear" w:color="auto" w:fill="BFBFBF"/>
            <w:vAlign w:val="center"/>
          </w:tcPr>
          <w:p w:rsidR="00BE0A2F" w:rsidRPr="00610401" w:rsidRDefault="00BE0A2F" w:rsidP="00BE0A2F">
            <w:pPr>
              <w:spacing w:before="40" w:after="40"/>
              <w:ind w:left="72"/>
              <w:rPr>
                <w:rFonts w:eastAsia="Calibri"/>
                <w:noProof/>
                <w:color w:val="000000" w:themeColor="text1"/>
              </w:rPr>
            </w:pPr>
            <w:r w:rsidRPr="00610401">
              <w:rPr>
                <w:noProof/>
                <w:color w:val="000000" w:themeColor="text1"/>
                <w:sz w:val="20"/>
              </w:rPr>
              <w:t>Pracownicy zatrudnieni na czas określony (grupa funkcyjna AST)</w:t>
            </w:r>
          </w:p>
        </w:tc>
        <w:tc>
          <w:tcPr>
            <w:tcW w:w="1134" w:type="dxa"/>
            <w:shd w:val="clear" w:color="auto" w:fill="auto"/>
            <w:vAlign w:val="center"/>
          </w:tcPr>
          <w:p w:rsidR="00BE0A2F" w:rsidRPr="00610401" w:rsidRDefault="00BE0A2F" w:rsidP="00BE0A2F">
            <w:pPr>
              <w:spacing w:before="40" w:after="40"/>
              <w:jc w:val="center"/>
              <w:rPr>
                <w:rFonts w:eastAsia="Calibri"/>
                <w:noProof/>
                <w:color w:val="000000" w:themeColor="text1"/>
                <w:sz w:val="20"/>
              </w:rPr>
            </w:pPr>
          </w:p>
        </w:tc>
        <w:tc>
          <w:tcPr>
            <w:tcW w:w="992" w:type="dxa"/>
            <w:vAlign w:val="center"/>
          </w:tcPr>
          <w:p w:rsidR="00BE0A2F" w:rsidRPr="00610401" w:rsidRDefault="00BE0A2F" w:rsidP="00BE0A2F">
            <w:pPr>
              <w:spacing w:before="40" w:after="40"/>
              <w:ind w:right="-179"/>
              <w:jc w:val="center"/>
              <w:rPr>
                <w:rFonts w:eastAsia="Calibri"/>
                <w:noProof/>
                <w:color w:val="000000" w:themeColor="text1"/>
                <w:sz w:val="20"/>
              </w:rPr>
            </w:pPr>
            <w:r w:rsidRPr="00610401">
              <w:rPr>
                <w:noProof/>
                <w:color w:val="000000" w:themeColor="text1"/>
                <w:sz w:val="20"/>
              </w:rPr>
              <w:t>1</w:t>
            </w:r>
          </w:p>
        </w:tc>
        <w:tc>
          <w:tcPr>
            <w:tcW w:w="992" w:type="dxa"/>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1</w:t>
            </w:r>
          </w:p>
        </w:tc>
        <w:tc>
          <w:tcPr>
            <w:tcW w:w="992" w:type="dxa"/>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1</w:t>
            </w:r>
          </w:p>
        </w:tc>
        <w:tc>
          <w:tcPr>
            <w:tcW w:w="993" w:type="dxa"/>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1</w:t>
            </w:r>
          </w:p>
        </w:tc>
        <w:tc>
          <w:tcPr>
            <w:tcW w:w="1134" w:type="dxa"/>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1</w:t>
            </w:r>
          </w:p>
        </w:tc>
        <w:tc>
          <w:tcPr>
            <w:tcW w:w="2126" w:type="dxa"/>
            <w:vAlign w:val="center"/>
          </w:tcPr>
          <w:p w:rsidR="00BE0A2F" w:rsidRPr="00610401" w:rsidRDefault="00BE0A2F" w:rsidP="00BE0A2F">
            <w:pPr>
              <w:spacing w:before="40" w:after="40"/>
              <w:jc w:val="center"/>
              <w:rPr>
                <w:rFonts w:eastAsia="Calibri"/>
                <w:b/>
                <w:noProof/>
                <w:color w:val="000000" w:themeColor="text1"/>
                <w:sz w:val="20"/>
                <w:szCs w:val="20"/>
              </w:rPr>
            </w:pPr>
          </w:p>
        </w:tc>
      </w:tr>
      <w:tr w:rsidR="00BE0A2F" w:rsidRPr="00610401" w:rsidTr="00BE0A2F">
        <w:trPr>
          <w:trHeight w:val="585"/>
        </w:trPr>
        <w:tc>
          <w:tcPr>
            <w:tcW w:w="3545" w:type="dxa"/>
            <w:shd w:val="clear" w:color="auto" w:fill="BFBFBF"/>
            <w:vAlign w:val="center"/>
          </w:tcPr>
          <w:p w:rsidR="00BE0A2F" w:rsidRPr="00610401" w:rsidRDefault="00BE0A2F" w:rsidP="00BE0A2F">
            <w:pPr>
              <w:spacing w:before="40" w:after="40"/>
              <w:ind w:left="72"/>
              <w:rPr>
                <w:rFonts w:eastAsia="Calibri"/>
                <w:noProof/>
                <w:color w:val="000000" w:themeColor="text1"/>
                <w:sz w:val="20"/>
              </w:rPr>
            </w:pPr>
            <w:r w:rsidRPr="00610401">
              <w:rPr>
                <w:noProof/>
                <w:color w:val="000000" w:themeColor="text1"/>
                <w:sz w:val="20"/>
              </w:rPr>
              <w:t xml:space="preserve">Personel kontraktowy </w:t>
            </w:r>
          </w:p>
          <w:p w:rsidR="00BE0A2F" w:rsidRPr="00610401" w:rsidRDefault="00BE0A2F" w:rsidP="00BE0A2F">
            <w:pPr>
              <w:spacing w:before="40" w:after="40"/>
              <w:ind w:left="72"/>
              <w:rPr>
                <w:rFonts w:eastAsia="Calibri"/>
                <w:noProof/>
                <w:color w:val="000000" w:themeColor="text1"/>
              </w:rPr>
            </w:pPr>
            <w:r w:rsidRPr="00610401">
              <w:rPr>
                <w:noProof/>
                <w:color w:val="000000" w:themeColor="text1"/>
                <w:sz w:val="20"/>
              </w:rPr>
              <w:t>(3 GF-4</w:t>
            </w:r>
            <w:r w:rsidR="00610401" w:rsidRPr="00610401">
              <w:rPr>
                <w:noProof/>
                <w:color w:val="000000" w:themeColor="text1"/>
                <w:sz w:val="20"/>
              </w:rPr>
              <w:t xml:space="preserve"> i 1</w:t>
            </w:r>
            <w:r w:rsidRPr="00610401">
              <w:rPr>
                <w:noProof/>
                <w:color w:val="000000" w:themeColor="text1"/>
                <w:sz w:val="20"/>
              </w:rPr>
              <w:t xml:space="preserve"> GF-3)</w:t>
            </w:r>
          </w:p>
        </w:tc>
        <w:tc>
          <w:tcPr>
            <w:tcW w:w="1134" w:type="dxa"/>
            <w:shd w:val="clear" w:color="auto" w:fill="auto"/>
            <w:vAlign w:val="center"/>
          </w:tcPr>
          <w:p w:rsidR="00BE0A2F" w:rsidRPr="00610401" w:rsidRDefault="00BE0A2F" w:rsidP="00BE0A2F">
            <w:pPr>
              <w:spacing w:before="40" w:after="40"/>
              <w:jc w:val="center"/>
              <w:rPr>
                <w:rFonts w:eastAsia="Calibri"/>
                <w:noProof/>
                <w:color w:val="000000" w:themeColor="text1"/>
                <w:sz w:val="20"/>
              </w:rPr>
            </w:pPr>
          </w:p>
        </w:tc>
        <w:tc>
          <w:tcPr>
            <w:tcW w:w="992" w:type="dxa"/>
            <w:shd w:val="clear" w:color="auto" w:fill="auto"/>
            <w:vAlign w:val="center"/>
          </w:tcPr>
          <w:p w:rsidR="00BE0A2F" w:rsidRPr="00610401" w:rsidRDefault="00BE0A2F" w:rsidP="00BE0A2F">
            <w:pPr>
              <w:spacing w:before="40" w:after="40"/>
              <w:ind w:right="-179"/>
              <w:jc w:val="center"/>
              <w:rPr>
                <w:rFonts w:eastAsia="Calibri"/>
                <w:noProof/>
                <w:color w:val="000000" w:themeColor="text1"/>
                <w:sz w:val="20"/>
              </w:rPr>
            </w:pPr>
            <w:r w:rsidRPr="00610401">
              <w:rPr>
                <w:noProof/>
                <w:color w:val="000000" w:themeColor="text1"/>
                <w:sz w:val="20"/>
              </w:rPr>
              <w:t>5</w:t>
            </w:r>
          </w:p>
        </w:tc>
        <w:tc>
          <w:tcPr>
            <w:tcW w:w="992" w:type="dxa"/>
            <w:shd w:val="clear" w:color="auto" w:fill="auto"/>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5</w:t>
            </w:r>
          </w:p>
        </w:tc>
        <w:tc>
          <w:tcPr>
            <w:tcW w:w="992" w:type="dxa"/>
            <w:shd w:val="clear" w:color="auto" w:fill="auto"/>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5</w:t>
            </w:r>
          </w:p>
        </w:tc>
        <w:tc>
          <w:tcPr>
            <w:tcW w:w="993" w:type="dxa"/>
            <w:shd w:val="clear" w:color="auto" w:fill="auto"/>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5</w:t>
            </w:r>
          </w:p>
        </w:tc>
        <w:tc>
          <w:tcPr>
            <w:tcW w:w="1134" w:type="dxa"/>
            <w:shd w:val="clear" w:color="auto" w:fill="auto"/>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5</w:t>
            </w:r>
          </w:p>
        </w:tc>
        <w:tc>
          <w:tcPr>
            <w:tcW w:w="2126" w:type="dxa"/>
            <w:shd w:val="clear" w:color="auto" w:fill="auto"/>
            <w:vAlign w:val="center"/>
          </w:tcPr>
          <w:p w:rsidR="00BE0A2F" w:rsidRPr="00610401" w:rsidRDefault="00BE0A2F" w:rsidP="00BE0A2F">
            <w:pPr>
              <w:spacing w:before="40" w:after="40"/>
              <w:jc w:val="center"/>
              <w:rPr>
                <w:rFonts w:eastAsia="Calibri"/>
                <w:noProof/>
                <w:color w:val="000000" w:themeColor="text1"/>
                <w:sz w:val="20"/>
              </w:rPr>
            </w:pPr>
          </w:p>
        </w:tc>
      </w:tr>
      <w:tr w:rsidR="00BE0A2F" w:rsidRPr="00610401" w:rsidTr="00BE0A2F">
        <w:trPr>
          <w:trHeight w:val="585"/>
        </w:trPr>
        <w:tc>
          <w:tcPr>
            <w:tcW w:w="3545" w:type="dxa"/>
            <w:shd w:val="clear" w:color="auto" w:fill="CCCCCC"/>
            <w:vAlign w:val="center"/>
          </w:tcPr>
          <w:p w:rsidR="00BE0A2F" w:rsidRPr="00610401" w:rsidRDefault="00BE0A2F" w:rsidP="00BE0A2F">
            <w:pPr>
              <w:spacing w:before="40" w:after="40"/>
              <w:jc w:val="center"/>
              <w:rPr>
                <w:rFonts w:eastAsia="Calibri"/>
                <w:noProof/>
                <w:color w:val="000000" w:themeColor="text1"/>
              </w:rPr>
            </w:pPr>
            <w:r w:rsidRPr="00610401">
              <w:rPr>
                <w:noProof/>
                <w:color w:val="000000" w:themeColor="text1"/>
                <w:sz w:val="18"/>
              </w:rPr>
              <w:t>Oddelegowani eksperci krajowi</w:t>
            </w:r>
          </w:p>
        </w:tc>
        <w:tc>
          <w:tcPr>
            <w:tcW w:w="1134" w:type="dxa"/>
            <w:vAlign w:val="center"/>
          </w:tcPr>
          <w:p w:rsidR="00BE0A2F" w:rsidRPr="00610401" w:rsidRDefault="00BE0A2F" w:rsidP="00BE0A2F">
            <w:pPr>
              <w:spacing w:before="40" w:after="40"/>
              <w:jc w:val="center"/>
              <w:rPr>
                <w:rFonts w:eastAsia="Calibri"/>
                <w:noProof/>
                <w:color w:val="000000" w:themeColor="text1"/>
              </w:rPr>
            </w:pPr>
          </w:p>
        </w:tc>
        <w:tc>
          <w:tcPr>
            <w:tcW w:w="992" w:type="dxa"/>
            <w:vAlign w:val="center"/>
          </w:tcPr>
          <w:p w:rsidR="00BE0A2F" w:rsidRPr="00610401" w:rsidRDefault="00BE0A2F" w:rsidP="00BE0A2F">
            <w:pPr>
              <w:spacing w:before="40" w:after="40"/>
              <w:ind w:right="-179"/>
              <w:jc w:val="center"/>
              <w:rPr>
                <w:rFonts w:eastAsia="Calibri"/>
                <w:noProof/>
                <w:color w:val="000000" w:themeColor="text1"/>
              </w:rPr>
            </w:pPr>
          </w:p>
        </w:tc>
        <w:tc>
          <w:tcPr>
            <w:tcW w:w="992" w:type="dxa"/>
            <w:vAlign w:val="center"/>
          </w:tcPr>
          <w:p w:rsidR="00BE0A2F" w:rsidRPr="00610401" w:rsidRDefault="00BE0A2F" w:rsidP="00BE0A2F">
            <w:pPr>
              <w:spacing w:before="40" w:after="40"/>
              <w:jc w:val="center"/>
              <w:rPr>
                <w:rFonts w:eastAsia="Calibri"/>
                <w:noProof/>
                <w:color w:val="000000" w:themeColor="text1"/>
              </w:rPr>
            </w:pPr>
          </w:p>
        </w:tc>
        <w:tc>
          <w:tcPr>
            <w:tcW w:w="992" w:type="dxa"/>
            <w:vAlign w:val="center"/>
          </w:tcPr>
          <w:p w:rsidR="00BE0A2F" w:rsidRPr="00610401" w:rsidRDefault="00BE0A2F" w:rsidP="00BE0A2F">
            <w:pPr>
              <w:spacing w:before="40" w:after="40"/>
              <w:jc w:val="center"/>
              <w:rPr>
                <w:rFonts w:eastAsia="Calibri"/>
                <w:noProof/>
                <w:color w:val="000000" w:themeColor="text1"/>
              </w:rPr>
            </w:pPr>
          </w:p>
        </w:tc>
        <w:tc>
          <w:tcPr>
            <w:tcW w:w="993" w:type="dxa"/>
          </w:tcPr>
          <w:p w:rsidR="00BE0A2F" w:rsidRPr="00610401" w:rsidRDefault="00BE0A2F" w:rsidP="00BE0A2F">
            <w:pPr>
              <w:spacing w:before="40" w:after="40"/>
              <w:jc w:val="center"/>
              <w:rPr>
                <w:rFonts w:eastAsia="Calibri"/>
                <w:noProof/>
                <w:color w:val="000000" w:themeColor="text1"/>
              </w:rPr>
            </w:pPr>
          </w:p>
        </w:tc>
        <w:tc>
          <w:tcPr>
            <w:tcW w:w="1134" w:type="dxa"/>
          </w:tcPr>
          <w:p w:rsidR="00BE0A2F" w:rsidRPr="00610401" w:rsidRDefault="00BE0A2F" w:rsidP="00BE0A2F">
            <w:pPr>
              <w:spacing w:before="40" w:after="40"/>
              <w:jc w:val="center"/>
              <w:rPr>
                <w:rFonts w:eastAsia="Calibri"/>
                <w:noProof/>
                <w:color w:val="000000" w:themeColor="text1"/>
              </w:rPr>
            </w:pPr>
          </w:p>
        </w:tc>
        <w:tc>
          <w:tcPr>
            <w:tcW w:w="2126" w:type="dxa"/>
            <w:vAlign w:val="center"/>
          </w:tcPr>
          <w:p w:rsidR="00BE0A2F" w:rsidRPr="00610401" w:rsidRDefault="00BE0A2F" w:rsidP="00BE0A2F">
            <w:pPr>
              <w:spacing w:before="40" w:after="40"/>
              <w:jc w:val="center"/>
              <w:rPr>
                <w:rFonts w:eastAsia="Calibri"/>
                <w:b/>
                <w:noProof/>
                <w:color w:val="000000" w:themeColor="text1"/>
                <w:sz w:val="20"/>
              </w:rPr>
            </w:pPr>
          </w:p>
        </w:tc>
      </w:tr>
      <w:tr w:rsidR="00BE0A2F" w:rsidRPr="00610401" w:rsidTr="00BE0A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3545" w:type="dxa"/>
            <w:tcBorders>
              <w:top w:val="single" w:sz="12" w:space="0" w:color="auto"/>
              <w:left w:val="single" w:sz="12" w:space="0" w:color="auto"/>
              <w:bottom w:val="single" w:sz="12" w:space="0" w:color="auto"/>
              <w:right w:val="single" w:sz="2" w:space="0" w:color="auto"/>
            </w:tcBorders>
            <w:vAlign w:val="center"/>
          </w:tcPr>
          <w:p w:rsidR="00BE0A2F" w:rsidRPr="00610401" w:rsidRDefault="00BE0A2F" w:rsidP="00BE0A2F">
            <w:pPr>
              <w:spacing w:before="40" w:after="40"/>
              <w:jc w:val="center"/>
              <w:rPr>
                <w:rFonts w:eastAsia="Calibri"/>
                <w:noProof/>
                <w:color w:val="000000" w:themeColor="text1"/>
                <w:sz w:val="20"/>
              </w:rPr>
            </w:pPr>
            <w:r w:rsidRPr="00610401">
              <w:rPr>
                <w:b/>
                <w:noProof/>
                <w:color w:val="000000" w:themeColor="text1"/>
                <w:sz w:val="20"/>
              </w:rPr>
              <w:t>OGÓŁEM</w:t>
            </w:r>
          </w:p>
        </w:tc>
        <w:tc>
          <w:tcPr>
            <w:tcW w:w="1134" w:type="dxa"/>
            <w:tcBorders>
              <w:top w:val="single" w:sz="12" w:space="0" w:color="auto"/>
              <w:left w:val="single" w:sz="2" w:space="0" w:color="auto"/>
              <w:bottom w:val="single" w:sz="12" w:space="0" w:color="auto"/>
              <w:right w:val="single" w:sz="2" w:space="0" w:color="auto"/>
            </w:tcBorders>
            <w:vAlign w:val="center"/>
          </w:tcPr>
          <w:p w:rsidR="00BE0A2F" w:rsidRPr="00610401" w:rsidRDefault="00BE0A2F" w:rsidP="00BE0A2F">
            <w:pPr>
              <w:spacing w:before="40" w:after="40"/>
              <w:jc w:val="center"/>
              <w:rPr>
                <w:rFonts w:eastAsia="Calibri"/>
                <w:noProof/>
                <w:color w:val="000000" w:themeColor="text1"/>
                <w:sz w:val="20"/>
              </w:rPr>
            </w:pP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12</w:t>
            </w: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12</w:t>
            </w: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12</w:t>
            </w:r>
          </w:p>
        </w:tc>
        <w:tc>
          <w:tcPr>
            <w:tcW w:w="993" w:type="dxa"/>
            <w:tcBorders>
              <w:top w:val="single" w:sz="12" w:space="0" w:color="auto"/>
              <w:left w:val="single" w:sz="2" w:space="0" w:color="auto"/>
              <w:bottom w:val="single" w:sz="12" w:space="0" w:color="auto"/>
              <w:right w:val="single" w:sz="2" w:space="0" w:color="auto"/>
            </w:tcBorders>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12</w:t>
            </w:r>
          </w:p>
        </w:tc>
        <w:tc>
          <w:tcPr>
            <w:tcW w:w="1134" w:type="dxa"/>
            <w:tcBorders>
              <w:top w:val="single" w:sz="12" w:space="0" w:color="auto"/>
              <w:left w:val="single" w:sz="2" w:space="0" w:color="auto"/>
              <w:bottom w:val="single" w:sz="12" w:space="0" w:color="auto"/>
              <w:right w:val="single" w:sz="2" w:space="0" w:color="auto"/>
            </w:tcBorders>
            <w:vAlign w:val="center"/>
          </w:tcPr>
          <w:p w:rsidR="00BE0A2F" w:rsidRPr="00610401" w:rsidRDefault="00BE0A2F" w:rsidP="00BE0A2F">
            <w:pPr>
              <w:spacing w:before="40" w:after="40"/>
              <w:jc w:val="center"/>
              <w:rPr>
                <w:rFonts w:eastAsia="Calibri"/>
                <w:noProof/>
                <w:color w:val="000000" w:themeColor="text1"/>
                <w:sz w:val="20"/>
              </w:rPr>
            </w:pPr>
            <w:r w:rsidRPr="00610401">
              <w:rPr>
                <w:noProof/>
                <w:color w:val="000000" w:themeColor="text1"/>
                <w:sz w:val="20"/>
              </w:rPr>
              <w:t>12</w:t>
            </w:r>
          </w:p>
        </w:tc>
        <w:tc>
          <w:tcPr>
            <w:tcW w:w="2126" w:type="dxa"/>
            <w:tcBorders>
              <w:top w:val="single" w:sz="12" w:space="0" w:color="auto"/>
              <w:left w:val="single" w:sz="2" w:space="0" w:color="auto"/>
              <w:bottom w:val="single" w:sz="12" w:space="0" w:color="auto"/>
              <w:right w:val="single" w:sz="2" w:space="0" w:color="auto"/>
            </w:tcBorders>
            <w:vAlign w:val="center"/>
          </w:tcPr>
          <w:p w:rsidR="00BE0A2F" w:rsidRPr="00610401" w:rsidRDefault="00BE0A2F" w:rsidP="00BE0A2F">
            <w:pPr>
              <w:spacing w:before="40" w:after="40"/>
              <w:jc w:val="center"/>
              <w:rPr>
                <w:rFonts w:eastAsia="Calibri"/>
                <w:b/>
                <w:noProof/>
                <w:color w:val="000000" w:themeColor="text1"/>
                <w:sz w:val="20"/>
                <w:szCs w:val="20"/>
              </w:rPr>
            </w:pPr>
          </w:p>
        </w:tc>
      </w:tr>
    </w:tbl>
    <w:p w:rsidR="00BE0A2F" w:rsidRPr="00610401" w:rsidRDefault="00BE0A2F" w:rsidP="00BE0A2F">
      <w:pPr>
        <w:rPr>
          <w:noProof/>
          <w:color w:val="000000" w:themeColor="text1"/>
        </w:rPr>
        <w:sectPr w:rsidR="00BE0A2F" w:rsidRPr="00610401" w:rsidSect="003C0B66">
          <w:headerReference w:type="default" r:id="rId30"/>
          <w:footerReference w:type="default" r:id="rId31"/>
          <w:headerReference w:type="first" r:id="rId32"/>
          <w:footerReference w:type="first" r:id="rId33"/>
          <w:pgSz w:w="16840" w:h="11907" w:orient="landscape" w:code="9"/>
          <w:pgMar w:top="1134" w:right="1418" w:bottom="567" w:left="1418" w:header="709" w:footer="709" w:gutter="0"/>
          <w:cols w:space="708"/>
          <w:docGrid w:linePitch="360"/>
        </w:sectPr>
      </w:pPr>
    </w:p>
    <w:p w:rsidR="00BE0A2F" w:rsidRPr="00610401" w:rsidRDefault="00BE0A2F" w:rsidP="00B0251E">
      <w:pPr>
        <w:keepNext/>
        <w:outlineLvl w:val="3"/>
        <w:rPr>
          <w:i/>
          <w:noProof/>
          <w:color w:val="000000" w:themeColor="text1"/>
        </w:rPr>
      </w:pPr>
      <w:r w:rsidRPr="00610401">
        <w:rPr>
          <w:i/>
          <w:noProof/>
          <w:color w:val="000000" w:themeColor="text1"/>
        </w:rPr>
        <w:t>W Komisji</w:t>
      </w:r>
    </w:p>
    <w:p w:rsidR="00BE0A2F" w:rsidRPr="00610401" w:rsidRDefault="00BE0A2F" w:rsidP="00B0251E">
      <w:pPr>
        <w:pStyle w:val="Tiret0"/>
        <w:rPr>
          <w:noProof/>
        </w:rPr>
      </w:pPr>
      <w:r w:rsidRPr="00610401">
        <w:rPr>
          <w:noProof/>
        </w:rPr>
        <w:sym w:font="Wingdings" w:char="F0A8"/>
      </w:r>
      <w:r w:rsidRPr="00610401">
        <w:rPr>
          <w:noProof/>
        </w:rPr>
        <w:tab/>
        <w:t>Wniosek/inicjatywa nie wiąże się</w:t>
      </w:r>
      <w:r w:rsidR="00610401" w:rsidRPr="00610401">
        <w:rPr>
          <w:noProof/>
        </w:rPr>
        <w:t xml:space="preserve"> z kon</w:t>
      </w:r>
      <w:r w:rsidRPr="00610401">
        <w:rPr>
          <w:noProof/>
        </w:rPr>
        <w:t xml:space="preserve">iecznością wykorzystania zasobów ludzkich. </w:t>
      </w:r>
    </w:p>
    <w:p w:rsidR="00BE0A2F" w:rsidRPr="00610401" w:rsidRDefault="00BE0A2F" w:rsidP="00B0251E">
      <w:pPr>
        <w:pStyle w:val="Tiret0"/>
        <w:rPr>
          <w:noProof/>
        </w:rPr>
      </w:pPr>
      <w:r w:rsidRPr="00610401">
        <w:rPr>
          <w:noProof/>
        </w:rPr>
        <w:sym w:font="Wingdings" w:char="F078"/>
      </w:r>
      <w:r w:rsidRPr="00610401">
        <w:rPr>
          <w:noProof/>
        </w:rPr>
        <w:t xml:space="preserve"> Wniosek/inicjatywa wiąże się</w:t>
      </w:r>
      <w:r w:rsidR="00610401" w:rsidRPr="00610401">
        <w:rPr>
          <w:noProof/>
        </w:rPr>
        <w:t xml:space="preserve"> z kon</w:t>
      </w:r>
      <w:r w:rsidRPr="00610401">
        <w:rPr>
          <w:noProof/>
        </w:rPr>
        <w:t>iecznością wykorzystania zasobów ludzkich, jak określono poniżej:</w:t>
      </w:r>
    </w:p>
    <w:p w:rsidR="00BE0A2F" w:rsidRPr="00610401" w:rsidRDefault="00BE0A2F" w:rsidP="00BE0A2F">
      <w:pPr>
        <w:spacing w:after="60"/>
        <w:jc w:val="right"/>
        <w:rPr>
          <w:i/>
          <w:noProof/>
          <w:color w:val="000000" w:themeColor="text1"/>
          <w:sz w:val="20"/>
        </w:rPr>
      </w:pPr>
      <w:r w:rsidRPr="00610401">
        <w:rPr>
          <w:i/>
          <w:noProof/>
          <w:color w:val="000000" w:themeColor="text1"/>
          <w:sz w:val="20"/>
        </w:rPr>
        <w:t>Wartości szacunkowe należy wyrazić</w:t>
      </w:r>
      <w:r w:rsidR="00610401" w:rsidRPr="00610401">
        <w:rPr>
          <w:i/>
          <w:noProof/>
          <w:color w:val="000000" w:themeColor="text1"/>
          <w:sz w:val="20"/>
        </w:rPr>
        <w:t xml:space="preserve"> w ekw</w:t>
      </w:r>
      <w:r w:rsidRPr="00610401">
        <w:rPr>
          <w:i/>
          <w:noProof/>
          <w:color w:val="000000" w:themeColor="text1"/>
          <w:sz w:val="20"/>
        </w:rPr>
        <w:t>iwalentach pełnego czasu pracy</w:t>
      </w:r>
    </w:p>
    <w:tbl>
      <w:tblPr>
        <w:tblW w:w="11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716"/>
        <w:gridCol w:w="15"/>
        <w:gridCol w:w="716"/>
        <w:gridCol w:w="15"/>
        <w:gridCol w:w="914"/>
        <w:gridCol w:w="2378"/>
        <w:gridCol w:w="731"/>
        <w:gridCol w:w="731"/>
        <w:gridCol w:w="731"/>
        <w:gridCol w:w="731"/>
        <w:gridCol w:w="731"/>
        <w:gridCol w:w="731"/>
        <w:gridCol w:w="731"/>
        <w:gridCol w:w="731"/>
        <w:gridCol w:w="731"/>
      </w:tblGrid>
      <w:tr w:rsidR="00BE0A2F" w:rsidRPr="00610401" w:rsidTr="00BE0A2F">
        <w:trPr>
          <w:gridBefore w:val="1"/>
          <w:wBefore w:w="15" w:type="dxa"/>
          <w:trHeight w:val="289"/>
          <w:jc w:val="center"/>
        </w:trPr>
        <w:tc>
          <w:tcPr>
            <w:tcW w:w="4754" w:type="dxa"/>
            <w:gridSpan w:val="6"/>
            <w:shd w:val="clear" w:color="auto" w:fill="auto"/>
          </w:tcPr>
          <w:p w:rsidR="00BE0A2F" w:rsidRPr="00610401" w:rsidRDefault="00BE0A2F" w:rsidP="00B0251E">
            <w:pPr>
              <w:spacing w:before="40" w:after="40"/>
              <w:jc w:val="center"/>
              <w:rPr>
                <w:i/>
                <w:noProof/>
                <w:color w:val="000000" w:themeColor="text1"/>
                <w:sz w:val="16"/>
                <w:szCs w:val="16"/>
              </w:rPr>
            </w:pPr>
          </w:p>
        </w:tc>
        <w:tc>
          <w:tcPr>
            <w:tcW w:w="731" w:type="dxa"/>
            <w:vAlign w:val="center"/>
          </w:tcPr>
          <w:p w:rsidR="00BE0A2F" w:rsidRPr="00610401" w:rsidRDefault="00BE0A2F" w:rsidP="00BE0A2F">
            <w:pPr>
              <w:spacing w:before="20" w:after="20"/>
              <w:jc w:val="center"/>
              <w:rPr>
                <w:noProof/>
                <w:color w:val="000000" w:themeColor="text1"/>
                <w:sz w:val="16"/>
              </w:rPr>
            </w:pPr>
            <w:r w:rsidRPr="00610401">
              <w:rPr>
                <w:noProof/>
                <w:color w:val="000000" w:themeColor="text1"/>
                <w:sz w:val="16"/>
              </w:rPr>
              <w:t>Rok</w:t>
            </w:r>
            <w:r w:rsidRPr="00610401">
              <w:rPr>
                <w:noProof/>
              </w:rPr>
              <w:t xml:space="preserve"> </w:t>
            </w:r>
            <w:r w:rsidRPr="00610401">
              <w:rPr>
                <w:noProof/>
              </w:rPr>
              <w:br/>
            </w:r>
            <w:r w:rsidRPr="00610401">
              <w:rPr>
                <w:b/>
                <w:noProof/>
                <w:color w:val="000000" w:themeColor="text1"/>
                <w:sz w:val="16"/>
              </w:rPr>
              <w:t>2022</w:t>
            </w:r>
          </w:p>
        </w:tc>
        <w:tc>
          <w:tcPr>
            <w:tcW w:w="731" w:type="dxa"/>
            <w:vAlign w:val="center"/>
          </w:tcPr>
          <w:p w:rsidR="00BE0A2F" w:rsidRPr="00610401" w:rsidRDefault="00BE0A2F" w:rsidP="00BE0A2F">
            <w:pPr>
              <w:spacing w:before="20" w:after="20"/>
              <w:jc w:val="center"/>
              <w:rPr>
                <w:noProof/>
                <w:color w:val="000000" w:themeColor="text1"/>
                <w:sz w:val="16"/>
              </w:rPr>
            </w:pPr>
            <w:r w:rsidRPr="00610401">
              <w:rPr>
                <w:noProof/>
                <w:color w:val="000000" w:themeColor="text1"/>
                <w:sz w:val="16"/>
              </w:rPr>
              <w:t>Rok</w:t>
            </w:r>
            <w:r w:rsidRPr="00610401">
              <w:rPr>
                <w:noProof/>
              </w:rPr>
              <w:t xml:space="preserve"> </w:t>
            </w:r>
            <w:r w:rsidRPr="00610401">
              <w:rPr>
                <w:noProof/>
              </w:rPr>
              <w:br/>
            </w:r>
            <w:r w:rsidRPr="00610401">
              <w:rPr>
                <w:b/>
                <w:noProof/>
                <w:color w:val="000000" w:themeColor="text1"/>
                <w:sz w:val="16"/>
              </w:rPr>
              <w:t>2023</w:t>
            </w:r>
          </w:p>
        </w:tc>
        <w:tc>
          <w:tcPr>
            <w:tcW w:w="731" w:type="dxa"/>
            <w:shd w:val="clear" w:color="auto" w:fill="auto"/>
            <w:vAlign w:val="center"/>
          </w:tcPr>
          <w:p w:rsidR="00BE0A2F" w:rsidRPr="00610401" w:rsidRDefault="00BE0A2F" w:rsidP="00BE0A2F">
            <w:pPr>
              <w:spacing w:before="20" w:after="20"/>
              <w:jc w:val="center"/>
              <w:rPr>
                <w:noProof/>
                <w:color w:val="000000" w:themeColor="text1"/>
                <w:sz w:val="16"/>
                <w:szCs w:val="16"/>
              </w:rPr>
            </w:pPr>
            <w:r w:rsidRPr="00610401">
              <w:rPr>
                <w:noProof/>
                <w:color w:val="000000" w:themeColor="text1"/>
                <w:sz w:val="16"/>
              </w:rPr>
              <w:t>Rok</w:t>
            </w:r>
            <w:r w:rsidRPr="00610401">
              <w:rPr>
                <w:noProof/>
              </w:rPr>
              <w:t xml:space="preserve"> </w:t>
            </w:r>
            <w:r w:rsidRPr="00610401">
              <w:rPr>
                <w:noProof/>
              </w:rPr>
              <w:br/>
            </w:r>
            <w:r w:rsidRPr="00610401">
              <w:rPr>
                <w:b/>
                <w:noProof/>
                <w:color w:val="000000" w:themeColor="text1"/>
                <w:sz w:val="16"/>
              </w:rPr>
              <w:t>2024</w:t>
            </w:r>
          </w:p>
        </w:tc>
        <w:tc>
          <w:tcPr>
            <w:tcW w:w="731" w:type="dxa"/>
            <w:shd w:val="clear" w:color="auto" w:fill="auto"/>
            <w:vAlign w:val="center"/>
          </w:tcPr>
          <w:p w:rsidR="00BE0A2F" w:rsidRPr="00610401" w:rsidRDefault="00BE0A2F" w:rsidP="00BE0A2F">
            <w:pPr>
              <w:spacing w:before="20" w:after="20"/>
              <w:jc w:val="center"/>
              <w:rPr>
                <w:noProof/>
                <w:color w:val="000000" w:themeColor="text1"/>
                <w:sz w:val="16"/>
                <w:szCs w:val="16"/>
              </w:rPr>
            </w:pPr>
            <w:r w:rsidRPr="00610401">
              <w:rPr>
                <w:noProof/>
                <w:color w:val="000000" w:themeColor="text1"/>
                <w:sz w:val="16"/>
              </w:rPr>
              <w:t>Rok</w:t>
            </w:r>
            <w:r w:rsidRPr="00610401">
              <w:rPr>
                <w:noProof/>
              </w:rPr>
              <w:t xml:space="preserve"> </w:t>
            </w:r>
            <w:r w:rsidRPr="00610401">
              <w:rPr>
                <w:noProof/>
              </w:rPr>
              <w:br/>
            </w:r>
            <w:r w:rsidRPr="00610401">
              <w:rPr>
                <w:b/>
                <w:noProof/>
                <w:color w:val="000000" w:themeColor="text1"/>
                <w:sz w:val="16"/>
              </w:rPr>
              <w:t>2025</w:t>
            </w:r>
          </w:p>
        </w:tc>
        <w:tc>
          <w:tcPr>
            <w:tcW w:w="731" w:type="dxa"/>
            <w:shd w:val="clear" w:color="auto" w:fill="auto"/>
            <w:vAlign w:val="center"/>
          </w:tcPr>
          <w:p w:rsidR="00BE0A2F" w:rsidRPr="00610401" w:rsidRDefault="00BE0A2F" w:rsidP="00BE0A2F">
            <w:pPr>
              <w:spacing w:before="20" w:after="20"/>
              <w:jc w:val="center"/>
              <w:rPr>
                <w:noProof/>
                <w:color w:val="000000" w:themeColor="text1"/>
                <w:sz w:val="16"/>
                <w:szCs w:val="16"/>
              </w:rPr>
            </w:pPr>
            <w:r w:rsidRPr="00610401">
              <w:rPr>
                <w:noProof/>
                <w:color w:val="000000" w:themeColor="text1"/>
                <w:sz w:val="16"/>
              </w:rPr>
              <w:t xml:space="preserve">Rok </w:t>
            </w:r>
            <w:r w:rsidRPr="00610401">
              <w:rPr>
                <w:b/>
                <w:noProof/>
                <w:color w:val="000000" w:themeColor="text1"/>
                <w:sz w:val="16"/>
              </w:rPr>
              <w:t>2026</w:t>
            </w:r>
          </w:p>
        </w:tc>
        <w:tc>
          <w:tcPr>
            <w:tcW w:w="731" w:type="dxa"/>
            <w:shd w:val="clear" w:color="auto" w:fill="auto"/>
            <w:vAlign w:val="center"/>
          </w:tcPr>
          <w:p w:rsidR="00BE0A2F" w:rsidRPr="00610401" w:rsidRDefault="00BE0A2F" w:rsidP="00BE0A2F">
            <w:pPr>
              <w:spacing w:before="20" w:after="20"/>
              <w:jc w:val="center"/>
              <w:rPr>
                <w:noProof/>
                <w:color w:val="000000" w:themeColor="text1"/>
                <w:sz w:val="16"/>
                <w:szCs w:val="16"/>
              </w:rPr>
            </w:pPr>
            <w:r w:rsidRPr="00610401">
              <w:rPr>
                <w:noProof/>
                <w:color w:val="000000" w:themeColor="text1"/>
                <w:sz w:val="16"/>
              </w:rPr>
              <w:t xml:space="preserve">Rok </w:t>
            </w:r>
            <w:r w:rsidRPr="00610401">
              <w:rPr>
                <w:b/>
                <w:noProof/>
                <w:color w:val="000000" w:themeColor="text1"/>
                <w:sz w:val="16"/>
              </w:rPr>
              <w:t>2027</w:t>
            </w:r>
          </w:p>
        </w:tc>
        <w:tc>
          <w:tcPr>
            <w:tcW w:w="2193" w:type="dxa"/>
            <w:gridSpan w:val="3"/>
            <w:shd w:val="clear" w:color="auto" w:fill="auto"/>
            <w:vAlign w:val="center"/>
          </w:tcPr>
          <w:p w:rsidR="00BE0A2F" w:rsidRPr="00610401" w:rsidRDefault="00BE0A2F" w:rsidP="00BE0A2F">
            <w:pPr>
              <w:jc w:val="center"/>
              <w:rPr>
                <w:b/>
                <w:noProof/>
                <w:color w:val="000000" w:themeColor="text1"/>
                <w:sz w:val="16"/>
                <w:szCs w:val="16"/>
              </w:rPr>
            </w:pPr>
            <w:r w:rsidRPr="00610401">
              <w:rPr>
                <w:noProof/>
                <w:color w:val="000000" w:themeColor="text1"/>
                <w:sz w:val="16"/>
              </w:rPr>
              <w:t>Wprowadzić taką liczbę kolumn dla poszczególnych lat, jaka jest niezbędna, by odzwierciedlić cały okres wpływu (por. pkt</w:t>
            </w:r>
            <w:r w:rsidR="00610401" w:rsidRPr="00610401">
              <w:rPr>
                <w:noProof/>
                <w:color w:val="000000" w:themeColor="text1"/>
                <w:sz w:val="16"/>
              </w:rPr>
              <w:t> </w:t>
            </w:r>
            <w:r w:rsidRPr="00610401">
              <w:rPr>
                <w:noProof/>
                <w:color w:val="000000" w:themeColor="text1"/>
                <w:sz w:val="16"/>
              </w:rPr>
              <w:t>1.6)</w:t>
            </w:r>
          </w:p>
        </w:tc>
      </w:tr>
      <w:tr w:rsidR="00BE0A2F" w:rsidRPr="00610401" w:rsidTr="00BE0A2F">
        <w:trPr>
          <w:gridBefore w:val="1"/>
          <w:wBefore w:w="15" w:type="dxa"/>
          <w:trHeight w:val="289"/>
          <w:jc w:val="center"/>
        </w:trPr>
        <w:tc>
          <w:tcPr>
            <w:tcW w:w="731" w:type="dxa"/>
            <w:gridSpan w:val="2"/>
          </w:tcPr>
          <w:p w:rsidR="00BE0A2F" w:rsidRPr="00610401" w:rsidRDefault="00BE0A2F" w:rsidP="00BE0A2F">
            <w:pPr>
              <w:jc w:val="left"/>
              <w:rPr>
                <w:b/>
                <w:noProof/>
                <w:color w:val="000000" w:themeColor="text1"/>
                <w:sz w:val="16"/>
              </w:rPr>
            </w:pPr>
          </w:p>
        </w:tc>
        <w:tc>
          <w:tcPr>
            <w:tcW w:w="731" w:type="dxa"/>
            <w:gridSpan w:val="2"/>
          </w:tcPr>
          <w:p w:rsidR="00BE0A2F" w:rsidRPr="00610401" w:rsidRDefault="00BE0A2F" w:rsidP="00BE0A2F">
            <w:pPr>
              <w:jc w:val="left"/>
              <w:rPr>
                <w:b/>
                <w:noProof/>
                <w:color w:val="000000" w:themeColor="text1"/>
                <w:sz w:val="16"/>
              </w:rPr>
            </w:pPr>
          </w:p>
        </w:tc>
        <w:tc>
          <w:tcPr>
            <w:tcW w:w="9871" w:type="dxa"/>
            <w:gridSpan w:val="11"/>
            <w:shd w:val="clear" w:color="auto" w:fill="auto"/>
          </w:tcPr>
          <w:p w:rsidR="00BE0A2F" w:rsidRPr="00610401" w:rsidRDefault="00BE0A2F" w:rsidP="00BE0A2F">
            <w:pPr>
              <w:jc w:val="left"/>
              <w:rPr>
                <w:noProof/>
                <w:color w:val="000000" w:themeColor="text1"/>
                <w:sz w:val="16"/>
                <w:szCs w:val="16"/>
              </w:rPr>
            </w:pPr>
            <w:r w:rsidRPr="00610401">
              <w:rPr>
                <w:b/>
                <w:noProof/>
                <w:color w:val="000000" w:themeColor="text1"/>
                <w:sz w:val="16"/>
              </w:rPr>
              <w:sym w:font="Wingdings" w:char="F09F"/>
            </w:r>
            <w:r w:rsidRPr="00610401">
              <w:rPr>
                <w:b/>
                <w:noProof/>
                <w:color w:val="000000" w:themeColor="text1"/>
                <w:sz w:val="16"/>
              </w:rPr>
              <w:t xml:space="preserve"> Stanowiska przewidziane</w:t>
            </w:r>
            <w:r w:rsidR="00610401" w:rsidRPr="00610401">
              <w:rPr>
                <w:b/>
                <w:noProof/>
                <w:color w:val="000000" w:themeColor="text1"/>
                <w:sz w:val="16"/>
              </w:rPr>
              <w:t xml:space="preserve"> w pla</w:t>
            </w:r>
            <w:r w:rsidRPr="00610401">
              <w:rPr>
                <w:b/>
                <w:noProof/>
                <w:color w:val="000000" w:themeColor="text1"/>
                <w:sz w:val="16"/>
              </w:rPr>
              <w:t>nie zatrudnienia (stanowiska urzędników</w:t>
            </w:r>
            <w:r w:rsidR="00610401" w:rsidRPr="00610401">
              <w:rPr>
                <w:b/>
                <w:noProof/>
                <w:color w:val="000000" w:themeColor="text1"/>
                <w:sz w:val="16"/>
              </w:rPr>
              <w:t xml:space="preserve"> i pra</w:t>
            </w:r>
            <w:r w:rsidRPr="00610401">
              <w:rPr>
                <w:b/>
                <w:noProof/>
                <w:color w:val="000000" w:themeColor="text1"/>
                <w:sz w:val="16"/>
              </w:rPr>
              <w:t>cowników zatrudnionych na czas określony)</w:t>
            </w:r>
          </w:p>
        </w:tc>
      </w:tr>
      <w:tr w:rsidR="00BE0A2F" w:rsidRPr="00610401" w:rsidTr="00BE0A2F">
        <w:trPr>
          <w:gridBefore w:val="1"/>
          <w:wBefore w:w="15" w:type="dxa"/>
          <w:trHeight w:val="289"/>
          <w:jc w:val="center"/>
        </w:trPr>
        <w:tc>
          <w:tcPr>
            <w:tcW w:w="4754" w:type="dxa"/>
            <w:gridSpan w:val="6"/>
            <w:shd w:val="clear" w:color="auto" w:fill="auto"/>
            <w:vAlign w:val="center"/>
          </w:tcPr>
          <w:p w:rsidR="00BE0A2F" w:rsidRPr="00610401" w:rsidRDefault="00BE0A2F" w:rsidP="00B0251E">
            <w:pPr>
              <w:spacing w:beforeLines="20" w:before="48" w:afterLines="20" w:after="48"/>
              <w:ind w:left="134"/>
              <w:jc w:val="left"/>
              <w:rPr>
                <w:b/>
                <w:noProof/>
                <w:color w:val="000000" w:themeColor="text1"/>
                <w:sz w:val="16"/>
                <w:szCs w:val="16"/>
              </w:rPr>
            </w:pPr>
            <w:r w:rsidRPr="00610401">
              <w:rPr>
                <w:noProof/>
                <w:color w:val="000000" w:themeColor="text1"/>
                <w:sz w:val="16"/>
              </w:rPr>
              <w:t>20 01 02 01 (w centrali</w:t>
            </w:r>
            <w:r w:rsidR="00610401" w:rsidRPr="00610401">
              <w:rPr>
                <w:noProof/>
                <w:color w:val="000000" w:themeColor="text1"/>
                <w:sz w:val="16"/>
              </w:rPr>
              <w:t xml:space="preserve"> i w biu</w:t>
            </w:r>
            <w:r w:rsidRPr="00610401">
              <w:rPr>
                <w:noProof/>
                <w:color w:val="000000" w:themeColor="text1"/>
                <w:sz w:val="16"/>
              </w:rPr>
              <w:t>rach przedstawicielstw Komisji)</w:t>
            </w:r>
          </w:p>
        </w:tc>
        <w:tc>
          <w:tcPr>
            <w:tcW w:w="731" w:type="dxa"/>
            <w:vAlign w:val="center"/>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vAlign w:val="center"/>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gridBefore w:val="1"/>
          <w:wBefore w:w="15" w:type="dxa"/>
          <w:trHeight w:val="289"/>
          <w:jc w:val="center"/>
        </w:trPr>
        <w:tc>
          <w:tcPr>
            <w:tcW w:w="4754" w:type="dxa"/>
            <w:gridSpan w:val="6"/>
            <w:shd w:val="clear" w:color="auto" w:fill="auto"/>
            <w:vAlign w:val="center"/>
          </w:tcPr>
          <w:p w:rsidR="00BE0A2F" w:rsidRPr="00610401" w:rsidRDefault="00BE0A2F" w:rsidP="00B0251E">
            <w:pPr>
              <w:spacing w:beforeLines="20" w:before="48" w:afterLines="20" w:after="48"/>
              <w:ind w:left="134"/>
              <w:jc w:val="left"/>
              <w:rPr>
                <w:noProof/>
                <w:color w:val="000000" w:themeColor="text1"/>
                <w:sz w:val="16"/>
              </w:rPr>
            </w:pPr>
            <w:r w:rsidRPr="00610401">
              <w:rPr>
                <w:noProof/>
                <w:color w:val="000000" w:themeColor="text1"/>
                <w:sz w:val="16"/>
              </w:rPr>
              <w:t>20 01 02 03 (w delegaturach)</w:t>
            </w:r>
          </w:p>
        </w:tc>
        <w:tc>
          <w:tcPr>
            <w:tcW w:w="731" w:type="dxa"/>
          </w:tcPr>
          <w:p w:rsidR="00BE0A2F" w:rsidRPr="00610401" w:rsidRDefault="00BE0A2F" w:rsidP="00BE0A2F">
            <w:pPr>
              <w:spacing w:before="60" w:after="60"/>
              <w:jc w:val="center"/>
              <w:rPr>
                <w:rFonts w:eastAsia="Calibri"/>
                <w:noProof/>
                <w:color w:val="000000" w:themeColor="text1"/>
                <w:sz w:val="18"/>
              </w:rPr>
            </w:pPr>
          </w:p>
        </w:tc>
        <w:tc>
          <w:tcPr>
            <w:tcW w:w="731" w:type="dxa"/>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gridBefore w:val="1"/>
          <w:wBefore w:w="15" w:type="dxa"/>
          <w:trHeight w:val="289"/>
          <w:jc w:val="center"/>
        </w:trPr>
        <w:tc>
          <w:tcPr>
            <w:tcW w:w="4754" w:type="dxa"/>
            <w:gridSpan w:val="6"/>
            <w:shd w:val="clear" w:color="auto" w:fill="auto"/>
            <w:vAlign w:val="center"/>
          </w:tcPr>
          <w:p w:rsidR="00BE0A2F" w:rsidRPr="00610401" w:rsidRDefault="00BE0A2F" w:rsidP="00B0251E">
            <w:pPr>
              <w:spacing w:beforeLines="20" w:before="48" w:afterLines="20" w:after="48"/>
              <w:ind w:left="134"/>
              <w:jc w:val="left"/>
              <w:rPr>
                <w:noProof/>
                <w:color w:val="000000" w:themeColor="text1"/>
                <w:sz w:val="16"/>
                <w:szCs w:val="16"/>
              </w:rPr>
            </w:pPr>
            <w:r w:rsidRPr="00610401">
              <w:rPr>
                <w:noProof/>
                <w:color w:val="000000" w:themeColor="text1"/>
                <w:sz w:val="16"/>
              </w:rPr>
              <w:t>01 01 01 01</w:t>
            </w:r>
            <w:r w:rsidR="00610401" w:rsidRPr="00610401">
              <w:rPr>
                <w:rFonts w:ascii="Arial Narrow" w:hAnsi="Arial Narrow"/>
                <w:noProof/>
                <w:color w:val="000000" w:themeColor="text1"/>
                <w:sz w:val="20"/>
              </w:rPr>
              <w:t xml:space="preserve"> </w:t>
            </w:r>
            <w:r w:rsidRPr="00610401">
              <w:rPr>
                <w:noProof/>
                <w:color w:val="000000" w:themeColor="text1"/>
                <w:sz w:val="16"/>
              </w:rPr>
              <w:t>(pośrednie badania naukowe)</w:t>
            </w:r>
          </w:p>
        </w:tc>
        <w:tc>
          <w:tcPr>
            <w:tcW w:w="731" w:type="dxa"/>
          </w:tcPr>
          <w:p w:rsidR="00BE0A2F" w:rsidRPr="00610401" w:rsidRDefault="00BE0A2F" w:rsidP="00BE0A2F">
            <w:pPr>
              <w:spacing w:before="60" w:after="60"/>
              <w:jc w:val="center"/>
              <w:rPr>
                <w:rFonts w:eastAsia="Calibri"/>
                <w:noProof/>
                <w:color w:val="000000" w:themeColor="text1"/>
                <w:sz w:val="18"/>
              </w:rPr>
            </w:pPr>
          </w:p>
        </w:tc>
        <w:tc>
          <w:tcPr>
            <w:tcW w:w="731" w:type="dxa"/>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gridBefore w:val="1"/>
          <w:wBefore w:w="15" w:type="dxa"/>
          <w:trHeight w:val="289"/>
          <w:jc w:val="center"/>
        </w:trPr>
        <w:tc>
          <w:tcPr>
            <w:tcW w:w="4754" w:type="dxa"/>
            <w:gridSpan w:val="6"/>
            <w:shd w:val="clear" w:color="auto" w:fill="auto"/>
            <w:vAlign w:val="center"/>
          </w:tcPr>
          <w:p w:rsidR="00BE0A2F" w:rsidRPr="00610401" w:rsidRDefault="00BE0A2F" w:rsidP="00B0251E">
            <w:pPr>
              <w:spacing w:beforeLines="20" w:before="48" w:afterLines="20" w:after="48"/>
              <w:ind w:left="134"/>
              <w:jc w:val="left"/>
              <w:rPr>
                <w:noProof/>
                <w:color w:val="000000" w:themeColor="text1"/>
                <w:sz w:val="16"/>
                <w:szCs w:val="16"/>
              </w:rPr>
            </w:pPr>
            <w:r w:rsidRPr="00610401">
              <w:rPr>
                <w:noProof/>
                <w:color w:val="000000" w:themeColor="text1"/>
                <w:sz w:val="16"/>
              </w:rPr>
              <w:t xml:space="preserve"> 01 01 01 11 (bezpośrednie badania naukowe)</w:t>
            </w:r>
          </w:p>
        </w:tc>
        <w:tc>
          <w:tcPr>
            <w:tcW w:w="731" w:type="dxa"/>
          </w:tcPr>
          <w:p w:rsidR="00BE0A2F" w:rsidRPr="00610401" w:rsidRDefault="00BE0A2F" w:rsidP="00BE0A2F">
            <w:pPr>
              <w:spacing w:before="60" w:after="60"/>
              <w:jc w:val="center"/>
              <w:rPr>
                <w:rFonts w:eastAsia="Calibri"/>
                <w:noProof/>
                <w:color w:val="000000" w:themeColor="text1"/>
                <w:sz w:val="18"/>
              </w:rPr>
            </w:pPr>
          </w:p>
        </w:tc>
        <w:tc>
          <w:tcPr>
            <w:tcW w:w="731" w:type="dxa"/>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gridBefore w:val="1"/>
          <w:wBefore w:w="15" w:type="dxa"/>
          <w:trHeight w:val="289"/>
          <w:jc w:val="center"/>
        </w:trPr>
        <w:tc>
          <w:tcPr>
            <w:tcW w:w="4754" w:type="dxa"/>
            <w:gridSpan w:val="6"/>
            <w:shd w:val="clear" w:color="auto" w:fill="auto"/>
            <w:vAlign w:val="center"/>
          </w:tcPr>
          <w:p w:rsidR="00BE0A2F" w:rsidRPr="00610401" w:rsidRDefault="00BE0A2F" w:rsidP="00B0251E">
            <w:pPr>
              <w:spacing w:beforeLines="20" w:before="48" w:afterLines="20" w:after="48"/>
              <w:jc w:val="left"/>
              <w:rPr>
                <w:noProof/>
                <w:color w:val="000000" w:themeColor="text1"/>
                <w:sz w:val="16"/>
              </w:rPr>
            </w:pPr>
          </w:p>
        </w:tc>
        <w:tc>
          <w:tcPr>
            <w:tcW w:w="731" w:type="dxa"/>
            <w:vAlign w:val="center"/>
          </w:tcPr>
          <w:p w:rsidR="00BE0A2F" w:rsidRPr="00610401" w:rsidRDefault="00BE0A2F" w:rsidP="00BE0A2F">
            <w:pPr>
              <w:spacing w:before="60" w:after="60"/>
              <w:jc w:val="center"/>
              <w:rPr>
                <w:rFonts w:eastAsia="Calibri"/>
                <w:noProof/>
                <w:color w:val="000000" w:themeColor="text1"/>
                <w:sz w:val="18"/>
              </w:rPr>
            </w:pPr>
          </w:p>
        </w:tc>
        <w:tc>
          <w:tcPr>
            <w:tcW w:w="731" w:type="dxa"/>
          </w:tcPr>
          <w:p w:rsidR="00BE0A2F" w:rsidRPr="00610401" w:rsidRDefault="00BE0A2F" w:rsidP="00BE0A2F">
            <w:pPr>
              <w:spacing w:before="60" w:after="60"/>
              <w:rPr>
                <w:rFonts w:eastAsia="Calibri"/>
                <w:noProof/>
                <w:color w:val="000000" w:themeColor="text1"/>
                <w:sz w:val="18"/>
              </w:rPr>
            </w:pPr>
          </w:p>
        </w:tc>
        <w:tc>
          <w:tcPr>
            <w:tcW w:w="731" w:type="dxa"/>
            <w:shd w:val="clear" w:color="auto" w:fill="auto"/>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trHeight w:val="248"/>
          <w:jc w:val="center"/>
        </w:trPr>
        <w:tc>
          <w:tcPr>
            <w:tcW w:w="731" w:type="dxa"/>
            <w:gridSpan w:val="2"/>
          </w:tcPr>
          <w:p w:rsidR="00BE0A2F" w:rsidRPr="00610401" w:rsidRDefault="00BE0A2F" w:rsidP="00B0251E">
            <w:pPr>
              <w:spacing w:before="60" w:after="60"/>
              <w:jc w:val="left"/>
              <w:rPr>
                <w:b/>
                <w:noProof/>
                <w:color w:val="000000" w:themeColor="text1"/>
                <w:sz w:val="16"/>
              </w:rPr>
            </w:pPr>
          </w:p>
        </w:tc>
        <w:tc>
          <w:tcPr>
            <w:tcW w:w="731" w:type="dxa"/>
            <w:gridSpan w:val="2"/>
          </w:tcPr>
          <w:p w:rsidR="00BE0A2F" w:rsidRPr="00610401" w:rsidRDefault="00BE0A2F" w:rsidP="00B0251E">
            <w:pPr>
              <w:spacing w:before="60" w:after="60"/>
              <w:jc w:val="left"/>
              <w:rPr>
                <w:b/>
                <w:noProof/>
                <w:color w:val="000000" w:themeColor="text1"/>
                <w:sz w:val="16"/>
              </w:rPr>
            </w:pPr>
          </w:p>
        </w:tc>
        <w:tc>
          <w:tcPr>
            <w:tcW w:w="9886" w:type="dxa"/>
            <w:gridSpan w:val="12"/>
            <w:shd w:val="clear" w:color="auto" w:fill="auto"/>
            <w:vAlign w:val="center"/>
          </w:tcPr>
          <w:p w:rsidR="00BE0A2F" w:rsidRPr="00610401" w:rsidRDefault="00BE0A2F" w:rsidP="00B0251E">
            <w:pPr>
              <w:spacing w:before="60" w:after="60"/>
              <w:jc w:val="left"/>
              <w:rPr>
                <w:b/>
                <w:noProof/>
                <w:color w:val="000000" w:themeColor="text1"/>
                <w:sz w:val="16"/>
                <w:szCs w:val="16"/>
              </w:rPr>
            </w:pPr>
            <w:r w:rsidRPr="00610401">
              <w:rPr>
                <w:b/>
                <w:noProof/>
                <w:color w:val="000000" w:themeColor="text1"/>
                <w:sz w:val="16"/>
              </w:rPr>
              <w:sym w:font="Wingdings" w:char="F09F"/>
            </w:r>
            <w:r w:rsidRPr="00610401">
              <w:rPr>
                <w:b/>
                <w:noProof/>
                <w:color w:val="000000" w:themeColor="text1"/>
                <w:sz w:val="16"/>
              </w:rPr>
              <w:t xml:space="preserve"> Personel zewnętrzny (w ekwiwalentach pełnego czasu pracy:</w:t>
            </w:r>
            <w:r w:rsidR="00610401" w:rsidRPr="00610401">
              <w:rPr>
                <w:b/>
                <w:noProof/>
                <w:color w:val="000000" w:themeColor="text1"/>
                <w:sz w:val="16"/>
              </w:rPr>
              <w:t xml:space="preserve"> </w:t>
            </w:r>
            <w:r w:rsidRPr="00610401">
              <w:rPr>
                <w:b/>
                <w:noProof/>
                <w:color w:val="000000" w:themeColor="text1"/>
                <w:sz w:val="16"/>
              </w:rPr>
              <w:t>EPC)</w:t>
            </w:r>
            <w:r w:rsidRPr="00610401">
              <w:rPr>
                <w:rStyle w:val="FootnoteReference"/>
                <w:noProof/>
              </w:rPr>
              <w:footnoteReference w:id="125"/>
            </w:r>
          </w:p>
          <w:p w:rsidR="00BE0A2F" w:rsidRPr="00610401" w:rsidRDefault="00BE0A2F" w:rsidP="00B0251E">
            <w:pPr>
              <w:spacing w:before="0" w:after="0"/>
              <w:jc w:val="left"/>
              <w:rPr>
                <w:noProof/>
                <w:color w:val="000000" w:themeColor="text1"/>
                <w:sz w:val="16"/>
                <w:szCs w:val="16"/>
              </w:rPr>
            </w:pPr>
          </w:p>
        </w:tc>
      </w:tr>
      <w:tr w:rsidR="00BE0A2F" w:rsidRPr="00610401" w:rsidTr="00BE0A2F">
        <w:trPr>
          <w:gridBefore w:val="1"/>
          <w:wBefore w:w="15" w:type="dxa"/>
          <w:trHeight w:val="289"/>
          <w:jc w:val="center"/>
        </w:trPr>
        <w:tc>
          <w:tcPr>
            <w:tcW w:w="4754" w:type="dxa"/>
            <w:gridSpan w:val="6"/>
            <w:shd w:val="clear" w:color="auto" w:fill="auto"/>
            <w:vAlign w:val="center"/>
          </w:tcPr>
          <w:p w:rsidR="00BE0A2F" w:rsidRPr="00610401" w:rsidRDefault="00BE0A2F" w:rsidP="00B0251E">
            <w:pPr>
              <w:spacing w:beforeLines="20" w:before="48" w:afterLines="20" w:after="48"/>
              <w:ind w:left="136"/>
              <w:jc w:val="left"/>
              <w:rPr>
                <w:b/>
                <w:noProof/>
                <w:color w:val="000000" w:themeColor="text1"/>
                <w:sz w:val="16"/>
                <w:szCs w:val="16"/>
              </w:rPr>
            </w:pPr>
            <w:r w:rsidRPr="00610401">
              <w:rPr>
                <w:noProof/>
                <w:color w:val="000000" w:themeColor="text1"/>
                <w:sz w:val="16"/>
              </w:rPr>
              <w:t>20 02 01</w:t>
            </w:r>
            <w:r w:rsidRPr="00610401">
              <w:rPr>
                <w:rFonts w:ascii="Arial Narrow" w:hAnsi="Arial Narrow"/>
                <w:noProof/>
                <w:color w:val="000000" w:themeColor="text1"/>
                <w:sz w:val="20"/>
              </w:rPr>
              <w:t xml:space="preserve"> </w:t>
            </w:r>
            <w:r w:rsidRPr="00610401">
              <w:rPr>
                <w:noProof/>
                <w:color w:val="000000" w:themeColor="text1"/>
                <w:sz w:val="16"/>
              </w:rPr>
              <w:t>(CA, SNE, INT</w:t>
            </w:r>
            <w:r w:rsidR="00610401" w:rsidRPr="00610401">
              <w:rPr>
                <w:noProof/>
                <w:color w:val="000000" w:themeColor="text1"/>
                <w:sz w:val="16"/>
              </w:rPr>
              <w:t xml:space="preserve"> z glo</w:t>
            </w:r>
            <w:r w:rsidRPr="00610401">
              <w:rPr>
                <w:noProof/>
                <w:color w:val="000000" w:themeColor="text1"/>
                <w:sz w:val="16"/>
              </w:rPr>
              <w:t>balnej koperty finansowej)</w:t>
            </w:r>
          </w:p>
        </w:tc>
        <w:tc>
          <w:tcPr>
            <w:tcW w:w="731" w:type="dxa"/>
          </w:tcPr>
          <w:p w:rsidR="00BE0A2F" w:rsidRPr="00610401" w:rsidRDefault="00BE0A2F" w:rsidP="00BE0A2F">
            <w:pPr>
              <w:spacing w:beforeLines="20" w:before="48" w:afterLines="20" w:after="48"/>
              <w:jc w:val="center"/>
              <w:rPr>
                <w:noProof/>
                <w:color w:val="000000" w:themeColor="text1"/>
                <w:sz w:val="16"/>
                <w:szCs w:val="16"/>
              </w:rPr>
            </w:pPr>
          </w:p>
        </w:tc>
        <w:tc>
          <w:tcPr>
            <w:tcW w:w="731" w:type="dxa"/>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gridBefore w:val="1"/>
          <w:wBefore w:w="15" w:type="dxa"/>
          <w:trHeight w:val="289"/>
          <w:jc w:val="center"/>
        </w:trPr>
        <w:tc>
          <w:tcPr>
            <w:tcW w:w="4754" w:type="dxa"/>
            <w:gridSpan w:val="6"/>
            <w:shd w:val="clear" w:color="auto" w:fill="auto"/>
            <w:vAlign w:val="center"/>
          </w:tcPr>
          <w:p w:rsidR="00BE0A2F" w:rsidRPr="00610401" w:rsidRDefault="00BE0A2F" w:rsidP="00B0251E">
            <w:pPr>
              <w:spacing w:beforeLines="20" w:before="48" w:afterLines="20" w:after="48"/>
              <w:ind w:left="136"/>
              <w:jc w:val="left"/>
              <w:rPr>
                <w:noProof/>
                <w:color w:val="000000" w:themeColor="text1"/>
                <w:sz w:val="16"/>
              </w:rPr>
            </w:pPr>
            <w:r w:rsidRPr="00610401">
              <w:rPr>
                <w:noProof/>
                <w:color w:val="000000" w:themeColor="text1"/>
                <w:sz w:val="16"/>
              </w:rPr>
              <w:t>20 02 03 (CA, LA, SNE, INT i JPD</w:t>
            </w:r>
            <w:r w:rsidR="00610401" w:rsidRPr="00610401">
              <w:rPr>
                <w:noProof/>
                <w:color w:val="000000" w:themeColor="text1"/>
                <w:sz w:val="16"/>
              </w:rPr>
              <w:t xml:space="preserve"> w del</w:t>
            </w:r>
            <w:r w:rsidRPr="00610401">
              <w:rPr>
                <w:noProof/>
                <w:color w:val="000000" w:themeColor="text1"/>
                <w:sz w:val="16"/>
              </w:rPr>
              <w:t>egaturach)</w:t>
            </w:r>
          </w:p>
        </w:tc>
        <w:tc>
          <w:tcPr>
            <w:tcW w:w="731" w:type="dxa"/>
          </w:tcPr>
          <w:p w:rsidR="00BE0A2F" w:rsidRPr="00610401" w:rsidRDefault="00BE0A2F" w:rsidP="00BE0A2F">
            <w:pPr>
              <w:spacing w:beforeLines="20" w:before="48" w:afterLines="20" w:after="48"/>
              <w:jc w:val="center"/>
              <w:rPr>
                <w:noProof/>
                <w:color w:val="000000" w:themeColor="text1"/>
                <w:sz w:val="16"/>
                <w:szCs w:val="16"/>
              </w:rPr>
            </w:pPr>
          </w:p>
        </w:tc>
        <w:tc>
          <w:tcPr>
            <w:tcW w:w="731" w:type="dxa"/>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gridBefore w:val="1"/>
          <w:wBefore w:w="15" w:type="dxa"/>
          <w:trHeight w:val="289"/>
          <w:jc w:val="center"/>
        </w:trPr>
        <w:tc>
          <w:tcPr>
            <w:tcW w:w="2376" w:type="dxa"/>
            <w:gridSpan w:val="5"/>
            <w:vMerge w:val="restart"/>
            <w:shd w:val="clear" w:color="auto" w:fill="auto"/>
            <w:vAlign w:val="center"/>
          </w:tcPr>
          <w:p w:rsidR="00BE0A2F" w:rsidRPr="00610401" w:rsidRDefault="00BE0A2F" w:rsidP="00B0251E">
            <w:pPr>
              <w:spacing w:beforeLines="20" w:before="48" w:afterLines="20" w:after="48"/>
              <w:ind w:left="136"/>
              <w:jc w:val="left"/>
              <w:rPr>
                <w:b/>
                <w:noProof/>
                <w:color w:val="000000" w:themeColor="text1"/>
                <w:sz w:val="16"/>
                <w:szCs w:val="16"/>
              </w:rPr>
            </w:pPr>
            <w:r w:rsidRPr="00610401">
              <w:rPr>
                <w:b/>
                <w:noProof/>
                <w:color w:val="000000" w:themeColor="text1"/>
                <w:sz w:val="16"/>
              </w:rPr>
              <w:t>XX</w:t>
            </w:r>
            <w:r w:rsidRPr="00610401">
              <w:rPr>
                <w:noProof/>
                <w:color w:val="000000" w:themeColor="text1"/>
                <w:sz w:val="16"/>
              </w:rPr>
              <w:t xml:space="preserve"> 01 xx </w:t>
            </w:r>
            <w:r w:rsidRPr="00610401">
              <w:rPr>
                <w:b/>
                <w:noProof/>
                <w:color w:val="000000" w:themeColor="text1"/>
                <w:sz w:val="16"/>
              </w:rPr>
              <w:t>yy zz</w:t>
            </w:r>
            <w:r w:rsidR="00610401" w:rsidRPr="00610401">
              <w:rPr>
                <w:b/>
                <w:noProof/>
                <w:color w:val="000000" w:themeColor="text1"/>
                <w:sz w:val="16"/>
              </w:rPr>
              <w:t xml:space="preserve"> </w:t>
            </w:r>
            <w:r w:rsidRPr="00610401">
              <w:rPr>
                <w:rStyle w:val="FootnoteReference"/>
                <w:noProof/>
              </w:rPr>
              <w:footnoteReference w:id="126"/>
            </w:r>
          </w:p>
          <w:p w:rsidR="00BE0A2F" w:rsidRPr="00610401" w:rsidRDefault="00BE0A2F" w:rsidP="00B0251E">
            <w:pPr>
              <w:spacing w:beforeLines="20" w:before="48" w:afterLines="20" w:after="48"/>
              <w:ind w:left="136"/>
              <w:jc w:val="left"/>
              <w:rPr>
                <w:b/>
                <w:noProof/>
                <w:color w:val="000000" w:themeColor="text1"/>
                <w:sz w:val="16"/>
                <w:szCs w:val="16"/>
              </w:rPr>
            </w:pPr>
          </w:p>
        </w:tc>
        <w:tc>
          <w:tcPr>
            <w:tcW w:w="2378" w:type="dxa"/>
            <w:shd w:val="clear" w:color="auto" w:fill="auto"/>
            <w:vAlign w:val="center"/>
          </w:tcPr>
          <w:p w:rsidR="00BE0A2F" w:rsidRPr="00610401" w:rsidRDefault="00BE0A2F" w:rsidP="00B0251E">
            <w:pPr>
              <w:spacing w:beforeLines="20" w:before="48" w:afterLines="20" w:after="48"/>
              <w:ind w:left="136"/>
              <w:jc w:val="left"/>
              <w:rPr>
                <w:b/>
                <w:noProof/>
                <w:color w:val="000000" w:themeColor="text1"/>
                <w:sz w:val="16"/>
                <w:szCs w:val="16"/>
              </w:rPr>
            </w:pPr>
            <w:r w:rsidRPr="00610401">
              <w:rPr>
                <w:noProof/>
                <w:color w:val="000000" w:themeColor="text1"/>
                <w:sz w:val="16"/>
              </w:rPr>
              <w:t>-</w:t>
            </w:r>
            <w:r w:rsidR="00610401" w:rsidRPr="00610401">
              <w:rPr>
                <w:noProof/>
                <w:color w:val="000000" w:themeColor="text1"/>
                <w:sz w:val="16"/>
              </w:rPr>
              <w:t xml:space="preserve"> w cen</w:t>
            </w:r>
            <w:r w:rsidRPr="00610401">
              <w:rPr>
                <w:noProof/>
                <w:color w:val="000000" w:themeColor="text1"/>
                <w:sz w:val="16"/>
              </w:rPr>
              <w:t>trali</w:t>
            </w:r>
          </w:p>
          <w:p w:rsidR="00BE0A2F" w:rsidRPr="00610401" w:rsidRDefault="00BE0A2F" w:rsidP="00B0251E">
            <w:pPr>
              <w:spacing w:beforeLines="20" w:before="48" w:afterLines="20" w:after="48"/>
              <w:ind w:left="136"/>
              <w:jc w:val="left"/>
              <w:rPr>
                <w:b/>
                <w:noProof/>
                <w:color w:val="000000" w:themeColor="text1"/>
                <w:sz w:val="16"/>
                <w:szCs w:val="16"/>
              </w:rPr>
            </w:pPr>
          </w:p>
        </w:tc>
        <w:tc>
          <w:tcPr>
            <w:tcW w:w="731" w:type="dxa"/>
          </w:tcPr>
          <w:p w:rsidR="00BE0A2F" w:rsidRPr="00610401" w:rsidRDefault="00BE0A2F" w:rsidP="00B0251E">
            <w:pPr>
              <w:spacing w:beforeLines="20" w:before="48" w:afterLines="20" w:after="48"/>
              <w:rPr>
                <w:noProof/>
                <w:color w:val="000000" w:themeColor="text1"/>
                <w:sz w:val="16"/>
                <w:szCs w:val="16"/>
              </w:rPr>
            </w:pPr>
          </w:p>
        </w:tc>
        <w:tc>
          <w:tcPr>
            <w:tcW w:w="731" w:type="dxa"/>
          </w:tcPr>
          <w:p w:rsidR="00BE0A2F" w:rsidRPr="00610401"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610401"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gridBefore w:val="1"/>
          <w:wBefore w:w="15" w:type="dxa"/>
          <w:trHeight w:val="289"/>
          <w:jc w:val="center"/>
        </w:trPr>
        <w:tc>
          <w:tcPr>
            <w:tcW w:w="2376" w:type="dxa"/>
            <w:gridSpan w:val="5"/>
            <w:vMerge/>
            <w:shd w:val="clear" w:color="auto" w:fill="auto"/>
            <w:vAlign w:val="center"/>
          </w:tcPr>
          <w:p w:rsidR="00BE0A2F" w:rsidRPr="00610401" w:rsidRDefault="00BE0A2F" w:rsidP="00B0251E">
            <w:pPr>
              <w:spacing w:beforeLines="20" w:before="48" w:afterLines="20" w:after="48"/>
              <w:ind w:left="136"/>
              <w:jc w:val="left"/>
              <w:rPr>
                <w:b/>
                <w:noProof/>
                <w:color w:val="000000" w:themeColor="text1"/>
                <w:sz w:val="16"/>
                <w:szCs w:val="16"/>
              </w:rPr>
            </w:pPr>
          </w:p>
        </w:tc>
        <w:tc>
          <w:tcPr>
            <w:tcW w:w="2378" w:type="dxa"/>
            <w:shd w:val="clear" w:color="auto" w:fill="auto"/>
            <w:vAlign w:val="center"/>
          </w:tcPr>
          <w:p w:rsidR="00BE0A2F" w:rsidRPr="00610401" w:rsidRDefault="00BE0A2F" w:rsidP="00B0251E">
            <w:pPr>
              <w:spacing w:beforeLines="20" w:before="48" w:afterLines="20" w:after="48"/>
              <w:ind w:left="136"/>
              <w:jc w:val="left"/>
              <w:rPr>
                <w:b/>
                <w:noProof/>
                <w:color w:val="000000" w:themeColor="text1"/>
                <w:sz w:val="16"/>
                <w:szCs w:val="16"/>
              </w:rPr>
            </w:pPr>
            <w:r w:rsidRPr="00610401">
              <w:rPr>
                <w:noProof/>
                <w:color w:val="000000" w:themeColor="text1"/>
                <w:sz w:val="16"/>
              </w:rPr>
              <w:t>-</w:t>
            </w:r>
            <w:r w:rsidR="00610401" w:rsidRPr="00610401">
              <w:rPr>
                <w:noProof/>
                <w:color w:val="000000" w:themeColor="text1"/>
                <w:sz w:val="16"/>
              </w:rPr>
              <w:t xml:space="preserve"> w del</w:t>
            </w:r>
            <w:r w:rsidRPr="00610401">
              <w:rPr>
                <w:noProof/>
                <w:color w:val="000000" w:themeColor="text1"/>
                <w:sz w:val="16"/>
              </w:rPr>
              <w:t xml:space="preserve">egaturach </w:t>
            </w:r>
          </w:p>
        </w:tc>
        <w:tc>
          <w:tcPr>
            <w:tcW w:w="731" w:type="dxa"/>
          </w:tcPr>
          <w:p w:rsidR="00BE0A2F" w:rsidRPr="00610401" w:rsidRDefault="00BE0A2F" w:rsidP="00B0251E">
            <w:pPr>
              <w:spacing w:beforeLines="20" w:before="48" w:afterLines="20" w:after="48"/>
              <w:rPr>
                <w:noProof/>
                <w:color w:val="000000" w:themeColor="text1"/>
                <w:sz w:val="16"/>
                <w:szCs w:val="16"/>
              </w:rPr>
            </w:pPr>
          </w:p>
        </w:tc>
        <w:tc>
          <w:tcPr>
            <w:tcW w:w="731" w:type="dxa"/>
          </w:tcPr>
          <w:p w:rsidR="00BE0A2F" w:rsidRPr="00610401"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610401"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gridBefore w:val="1"/>
          <w:wBefore w:w="15" w:type="dxa"/>
          <w:trHeight w:val="289"/>
          <w:jc w:val="center"/>
        </w:trPr>
        <w:tc>
          <w:tcPr>
            <w:tcW w:w="4754" w:type="dxa"/>
            <w:gridSpan w:val="6"/>
            <w:shd w:val="clear" w:color="auto" w:fill="auto"/>
            <w:vAlign w:val="center"/>
          </w:tcPr>
          <w:p w:rsidR="00BE0A2F" w:rsidRPr="00610401" w:rsidRDefault="00BE0A2F" w:rsidP="00B0251E">
            <w:pPr>
              <w:spacing w:beforeLines="20" w:before="48" w:afterLines="20" w:after="48"/>
              <w:ind w:left="136"/>
              <w:jc w:val="left"/>
              <w:rPr>
                <w:noProof/>
                <w:color w:val="000000" w:themeColor="text1"/>
                <w:sz w:val="16"/>
                <w:szCs w:val="16"/>
              </w:rPr>
            </w:pPr>
            <w:r w:rsidRPr="00610401">
              <w:rPr>
                <w:noProof/>
                <w:color w:val="000000" w:themeColor="text1"/>
                <w:sz w:val="16"/>
              </w:rPr>
              <w:t>01 01 01 02</w:t>
            </w:r>
            <w:r w:rsidRPr="00610401">
              <w:rPr>
                <w:rFonts w:ascii="Arial Narrow" w:hAnsi="Arial Narrow"/>
                <w:noProof/>
                <w:color w:val="000000" w:themeColor="text1"/>
                <w:sz w:val="20"/>
              </w:rPr>
              <w:t xml:space="preserve"> </w:t>
            </w:r>
            <w:r w:rsidRPr="00610401">
              <w:rPr>
                <w:noProof/>
                <w:color w:val="000000" w:themeColor="text1"/>
                <w:sz w:val="16"/>
              </w:rPr>
              <w:t>(CA, SNE, INT – pośrednie badania naukowe)</w:t>
            </w:r>
          </w:p>
        </w:tc>
        <w:tc>
          <w:tcPr>
            <w:tcW w:w="731" w:type="dxa"/>
          </w:tcPr>
          <w:p w:rsidR="00BE0A2F" w:rsidRPr="00610401" w:rsidRDefault="00BE0A2F" w:rsidP="00BE0A2F">
            <w:pPr>
              <w:spacing w:beforeLines="20" w:before="48" w:afterLines="20" w:after="48"/>
              <w:jc w:val="center"/>
              <w:rPr>
                <w:noProof/>
                <w:color w:val="000000" w:themeColor="text1"/>
                <w:sz w:val="16"/>
                <w:szCs w:val="16"/>
              </w:rPr>
            </w:pPr>
          </w:p>
        </w:tc>
        <w:tc>
          <w:tcPr>
            <w:tcW w:w="731" w:type="dxa"/>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gridBefore w:val="1"/>
          <w:wBefore w:w="15" w:type="dxa"/>
          <w:trHeight w:val="289"/>
          <w:jc w:val="center"/>
        </w:trPr>
        <w:tc>
          <w:tcPr>
            <w:tcW w:w="4754" w:type="dxa"/>
            <w:gridSpan w:val="6"/>
            <w:shd w:val="clear" w:color="auto" w:fill="auto"/>
            <w:vAlign w:val="center"/>
          </w:tcPr>
          <w:p w:rsidR="00BE0A2F" w:rsidRPr="00610401" w:rsidRDefault="00BE0A2F" w:rsidP="00B0251E">
            <w:pPr>
              <w:spacing w:beforeLines="20" w:before="48" w:afterLines="20" w:after="48"/>
              <w:ind w:left="136"/>
              <w:jc w:val="left"/>
              <w:rPr>
                <w:noProof/>
                <w:color w:val="000000" w:themeColor="text1"/>
                <w:sz w:val="16"/>
                <w:szCs w:val="16"/>
              </w:rPr>
            </w:pPr>
            <w:r w:rsidRPr="00610401">
              <w:rPr>
                <w:noProof/>
                <w:color w:val="000000" w:themeColor="text1"/>
                <w:sz w:val="16"/>
              </w:rPr>
              <w:t xml:space="preserve"> 01 01 01 12 (CA, INT, SNE – bezpośrednie badania naukowe)</w:t>
            </w:r>
          </w:p>
        </w:tc>
        <w:tc>
          <w:tcPr>
            <w:tcW w:w="731" w:type="dxa"/>
          </w:tcPr>
          <w:p w:rsidR="00BE0A2F" w:rsidRPr="00610401" w:rsidRDefault="00BE0A2F" w:rsidP="00BE0A2F">
            <w:pPr>
              <w:spacing w:beforeLines="20" w:before="48" w:afterLines="20" w:after="48"/>
              <w:jc w:val="center"/>
              <w:rPr>
                <w:noProof/>
                <w:color w:val="000000" w:themeColor="text1"/>
                <w:sz w:val="16"/>
                <w:szCs w:val="16"/>
              </w:rPr>
            </w:pPr>
          </w:p>
        </w:tc>
        <w:tc>
          <w:tcPr>
            <w:tcW w:w="731" w:type="dxa"/>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gridBefore w:val="1"/>
          <w:wBefore w:w="15" w:type="dxa"/>
          <w:trHeight w:val="289"/>
          <w:jc w:val="center"/>
        </w:trPr>
        <w:tc>
          <w:tcPr>
            <w:tcW w:w="4754" w:type="dxa"/>
            <w:gridSpan w:val="6"/>
            <w:shd w:val="clear" w:color="auto" w:fill="auto"/>
            <w:vAlign w:val="center"/>
          </w:tcPr>
          <w:p w:rsidR="00BE0A2F" w:rsidRPr="00610401" w:rsidRDefault="00BE0A2F" w:rsidP="00B0251E">
            <w:pPr>
              <w:spacing w:beforeLines="20" w:before="48" w:afterLines="20" w:after="48"/>
              <w:ind w:left="136"/>
              <w:jc w:val="left"/>
              <w:rPr>
                <w:noProof/>
                <w:color w:val="000000" w:themeColor="text1"/>
                <w:sz w:val="16"/>
              </w:rPr>
            </w:pPr>
          </w:p>
        </w:tc>
        <w:tc>
          <w:tcPr>
            <w:tcW w:w="731" w:type="dxa"/>
          </w:tcPr>
          <w:p w:rsidR="00BE0A2F" w:rsidRPr="00610401" w:rsidRDefault="00BE0A2F" w:rsidP="00BE0A2F">
            <w:pPr>
              <w:spacing w:before="60" w:after="60"/>
              <w:jc w:val="center"/>
              <w:rPr>
                <w:rFonts w:eastAsia="Calibri"/>
                <w:noProof/>
                <w:color w:val="000000" w:themeColor="text1"/>
                <w:sz w:val="18"/>
              </w:rPr>
            </w:pPr>
          </w:p>
        </w:tc>
        <w:tc>
          <w:tcPr>
            <w:tcW w:w="731" w:type="dxa"/>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610401"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610401" w:rsidRDefault="00BE0A2F" w:rsidP="00BE0A2F">
            <w:pPr>
              <w:spacing w:beforeLines="20" w:before="48" w:afterLines="20" w:after="48"/>
              <w:jc w:val="center"/>
              <w:rPr>
                <w:noProof/>
                <w:color w:val="000000" w:themeColor="text1"/>
                <w:sz w:val="16"/>
                <w:szCs w:val="16"/>
              </w:rPr>
            </w:pPr>
          </w:p>
        </w:tc>
      </w:tr>
      <w:tr w:rsidR="00BE0A2F" w:rsidRPr="00610401" w:rsidTr="00BE0A2F">
        <w:trPr>
          <w:gridBefore w:val="1"/>
          <w:wBefore w:w="15" w:type="dxa"/>
          <w:trHeight w:val="289"/>
          <w:jc w:val="center"/>
        </w:trPr>
        <w:tc>
          <w:tcPr>
            <w:tcW w:w="4754" w:type="dxa"/>
            <w:gridSpan w:val="6"/>
            <w:tcBorders>
              <w:top w:val="double" w:sz="4" w:space="0" w:color="auto"/>
            </w:tcBorders>
            <w:shd w:val="clear" w:color="auto" w:fill="auto"/>
            <w:vAlign w:val="center"/>
          </w:tcPr>
          <w:p w:rsidR="00BE0A2F" w:rsidRPr="00610401" w:rsidRDefault="00BE0A2F" w:rsidP="00B0251E">
            <w:pPr>
              <w:spacing w:beforeLines="20" w:before="48" w:afterLines="20" w:after="48"/>
              <w:ind w:left="136"/>
              <w:jc w:val="left"/>
              <w:rPr>
                <w:noProof/>
                <w:color w:val="000000" w:themeColor="text1"/>
                <w:sz w:val="16"/>
                <w:szCs w:val="16"/>
              </w:rPr>
            </w:pPr>
            <w:r w:rsidRPr="00610401">
              <w:rPr>
                <w:b/>
                <w:noProof/>
                <w:color w:val="000000" w:themeColor="text1"/>
                <w:sz w:val="16"/>
              </w:rPr>
              <w:t>OGÓŁEM</w:t>
            </w:r>
          </w:p>
        </w:tc>
        <w:tc>
          <w:tcPr>
            <w:tcW w:w="731" w:type="dxa"/>
            <w:tcBorders>
              <w:top w:val="double" w:sz="4" w:space="0" w:color="auto"/>
            </w:tcBorders>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tcBorders>
              <w:top w:val="double" w:sz="4" w:space="0" w:color="auto"/>
            </w:tcBorders>
            <w:vAlign w:val="center"/>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tcBorders>
              <w:top w:val="double" w:sz="4" w:space="0" w:color="auto"/>
            </w:tcBorders>
            <w:shd w:val="clear" w:color="auto" w:fill="auto"/>
            <w:vAlign w:val="center"/>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tcBorders>
              <w:top w:val="double" w:sz="4" w:space="0" w:color="auto"/>
            </w:tcBorders>
            <w:shd w:val="clear" w:color="auto" w:fill="auto"/>
            <w:vAlign w:val="center"/>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tcBorders>
              <w:top w:val="double" w:sz="4" w:space="0" w:color="auto"/>
            </w:tcBorders>
            <w:shd w:val="clear" w:color="auto" w:fill="auto"/>
            <w:vAlign w:val="center"/>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tcBorders>
              <w:top w:val="double" w:sz="4" w:space="0" w:color="auto"/>
            </w:tcBorders>
            <w:shd w:val="clear" w:color="auto" w:fill="auto"/>
            <w:vAlign w:val="center"/>
          </w:tcPr>
          <w:p w:rsidR="00BE0A2F" w:rsidRPr="00610401" w:rsidRDefault="00BE0A2F" w:rsidP="00BE0A2F">
            <w:pPr>
              <w:spacing w:before="60" w:after="60"/>
              <w:jc w:val="center"/>
              <w:rPr>
                <w:rFonts w:eastAsia="Calibri"/>
                <w:noProof/>
                <w:color w:val="000000" w:themeColor="text1"/>
                <w:sz w:val="18"/>
              </w:rPr>
            </w:pPr>
            <w:r w:rsidRPr="00610401">
              <w:rPr>
                <w:noProof/>
                <w:color w:val="000000" w:themeColor="text1"/>
                <w:sz w:val="18"/>
              </w:rPr>
              <w:t>65,0</w:t>
            </w:r>
          </w:p>
        </w:tc>
        <w:tc>
          <w:tcPr>
            <w:tcW w:w="731" w:type="dxa"/>
            <w:tcBorders>
              <w:top w:val="double" w:sz="4" w:space="0" w:color="auto"/>
            </w:tcBorders>
            <w:shd w:val="clear" w:color="auto" w:fill="auto"/>
            <w:vAlign w:val="center"/>
          </w:tcPr>
          <w:p w:rsidR="00BE0A2F" w:rsidRPr="00610401" w:rsidRDefault="00BE0A2F" w:rsidP="00BE0A2F">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rsidR="00BE0A2F" w:rsidRPr="00610401" w:rsidRDefault="00BE0A2F" w:rsidP="00BE0A2F">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rsidR="00BE0A2F" w:rsidRPr="00610401" w:rsidRDefault="00BE0A2F" w:rsidP="00BE0A2F">
            <w:pPr>
              <w:spacing w:beforeLines="20" w:before="48" w:afterLines="20" w:after="48"/>
              <w:jc w:val="center"/>
              <w:rPr>
                <w:b/>
                <w:noProof/>
                <w:color w:val="000000" w:themeColor="text1"/>
                <w:sz w:val="16"/>
                <w:szCs w:val="16"/>
              </w:rPr>
            </w:pPr>
          </w:p>
        </w:tc>
      </w:tr>
    </w:tbl>
    <w:p w:rsidR="00BE0A2F" w:rsidRPr="00610401" w:rsidRDefault="00BE0A2F" w:rsidP="00B0251E">
      <w:pPr>
        <w:ind w:left="850"/>
        <w:rPr>
          <w:noProof/>
          <w:color w:val="000000" w:themeColor="text1"/>
          <w:sz w:val="18"/>
          <w:szCs w:val="18"/>
        </w:rPr>
      </w:pPr>
      <w:r w:rsidRPr="00610401">
        <w:rPr>
          <w:noProof/>
          <w:color w:val="000000" w:themeColor="text1"/>
          <w:sz w:val="18"/>
        </w:rPr>
        <w:t>Potrzeby</w:t>
      </w:r>
      <w:r w:rsidR="00610401" w:rsidRPr="00610401">
        <w:rPr>
          <w:noProof/>
          <w:color w:val="000000" w:themeColor="text1"/>
          <w:sz w:val="18"/>
        </w:rPr>
        <w:t xml:space="preserve"> w zak</w:t>
      </w:r>
      <w:r w:rsidRPr="00610401">
        <w:rPr>
          <w:noProof/>
          <w:color w:val="000000" w:themeColor="text1"/>
          <w:sz w:val="18"/>
        </w:rPr>
        <w:t>resie zasobów ludzkich zostaną pokryte</w:t>
      </w:r>
      <w:r w:rsidR="00610401" w:rsidRPr="00610401">
        <w:rPr>
          <w:noProof/>
          <w:color w:val="000000" w:themeColor="text1"/>
          <w:sz w:val="18"/>
        </w:rPr>
        <w:t xml:space="preserve"> z zas</w:t>
      </w:r>
      <w:r w:rsidRPr="00610401">
        <w:rPr>
          <w:noProof/>
          <w:color w:val="000000" w:themeColor="text1"/>
          <w:sz w:val="18"/>
        </w:rPr>
        <w:t>obów DG już przydzielonych na zarządzanie tym działaniem lub przesuniętych</w:t>
      </w:r>
      <w:r w:rsidR="00610401" w:rsidRPr="00610401">
        <w:rPr>
          <w:noProof/>
          <w:color w:val="000000" w:themeColor="text1"/>
          <w:sz w:val="18"/>
        </w:rPr>
        <w:t xml:space="preserve"> w ram</w:t>
      </w:r>
      <w:r w:rsidRPr="00610401">
        <w:rPr>
          <w:noProof/>
          <w:color w:val="000000" w:themeColor="text1"/>
          <w:sz w:val="18"/>
        </w:rPr>
        <w:t>ach DG, uzupełnionych</w:t>
      </w:r>
      <w:r w:rsidR="00610401" w:rsidRPr="00610401">
        <w:rPr>
          <w:noProof/>
          <w:color w:val="000000" w:themeColor="text1"/>
          <w:sz w:val="18"/>
        </w:rPr>
        <w:t xml:space="preserve"> w raz</w:t>
      </w:r>
      <w:r w:rsidRPr="00610401">
        <w:rPr>
          <w:noProof/>
          <w:color w:val="000000" w:themeColor="text1"/>
          <w:sz w:val="18"/>
        </w:rPr>
        <w:t>ie potrzeby wszelkimi dodatkowymi zasobami, które mogą zostać przydzielone zarządzającej DG</w:t>
      </w:r>
      <w:r w:rsidR="00610401" w:rsidRPr="00610401">
        <w:rPr>
          <w:noProof/>
          <w:color w:val="000000" w:themeColor="text1"/>
          <w:sz w:val="18"/>
        </w:rPr>
        <w:t xml:space="preserve"> w ram</w:t>
      </w:r>
      <w:r w:rsidRPr="00610401">
        <w:rPr>
          <w:noProof/>
          <w:color w:val="000000" w:themeColor="text1"/>
          <w:sz w:val="18"/>
        </w:rPr>
        <w:t>ach procedury rocznego przydziału środków oraz</w:t>
      </w:r>
      <w:r w:rsidR="00610401" w:rsidRPr="00610401">
        <w:rPr>
          <w:noProof/>
          <w:color w:val="000000" w:themeColor="text1"/>
          <w:sz w:val="18"/>
        </w:rPr>
        <w:t xml:space="preserve"> w świ</w:t>
      </w:r>
      <w:r w:rsidRPr="00610401">
        <w:rPr>
          <w:noProof/>
          <w:color w:val="000000" w:themeColor="text1"/>
          <w:sz w:val="18"/>
        </w:rPr>
        <w:t>etle istniejących ograniczeń budżetowych.</w:t>
      </w:r>
    </w:p>
    <w:p w:rsidR="00BE0A2F" w:rsidRPr="00610401" w:rsidRDefault="00BE0A2F" w:rsidP="00BE0A2F">
      <w:pPr>
        <w:rPr>
          <w:noProof/>
          <w:color w:val="000000" w:themeColor="text1"/>
          <w:sz w:val="20"/>
        </w:rPr>
      </w:pPr>
      <w:r w:rsidRPr="00610401">
        <w:rPr>
          <w:noProof/>
          <w:color w:val="000000" w:themeColor="text1"/>
          <w:sz w:val="20"/>
        </w:rPr>
        <w:t>Opis zadań do wykonania: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E0A2F" w:rsidRPr="00610401" w:rsidTr="00BE0A2F">
        <w:tc>
          <w:tcPr>
            <w:tcW w:w="3240" w:type="dxa"/>
          </w:tcPr>
          <w:p w:rsidR="00BE0A2F" w:rsidRPr="00610401" w:rsidRDefault="00BE0A2F" w:rsidP="00BE0A2F">
            <w:pPr>
              <w:rPr>
                <w:noProof/>
                <w:color w:val="000000" w:themeColor="text1"/>
                <w:sz w:val="20"/>
              </w:rPr>
            </w:pPr>
            <w:r w:rsidRPr="00610401">
              <w:rPr>
                <w:noProof/>
                <w:color w:val="000000" w:themeColor="text1"/>
                <w:sz w:val="20"/>
              </w:rPr>
              <w:t>Urzędnicy</w:t>
            </w:r>
            <w:r w:rsidR="00610401" w:rsidRPr="00610401">
              <w:rPr>
                <w:noProof/>
                <w:color w:val="000000" w:themeColor="text1"/>
                <w:sz w:val="20"/>
              </w:rPr>
              <w:t xml:space="preserve"> i pra</w:t>
            </w:r>
            <w:r w:rsidRPr="00610401">
              <w:rPr>
                <w:noProof/>
                <w:color w:val="000000" w:themeColor="text1"/>
                <w:sz w:val="20"/>
              </w:rPr>
              <w:t>cownicy zatrudnieni na czas określony</w:t>
            </w:r>
          </w:p>
        </w:tc>
        <w:tc>
          <w:tcPr>
            <w:tcW w:w="7200" w:type="dxa"/>
          </w:tcPr>
          <w:p w:rsidR="00BE0A2F" w:rsidRPr="00610401" w:rsidRDefault="00BE0A2F" w:rsidP="00BE0A2F">
            <w:pPr>
              <w:rPr>
                <w:noProof/>
                <w:color w:val="000000" w:themeColor="text1"/>
                <w:sz w:val="20"/>
              </w:rPr>
            </w:pPr>
            <w:r w:rsidRPr="00610401">
              <w:rPr>
                <w:noProof/>
                <w:color w:val="000000" w:themeColor="text1"/>
                <w:sz w:val="20"/>
              </w:rPr>
              <w:t>W przypadku DG ENV niezbędne są</w:t>
            </w:r>
            <w:r w:rsidR="00610401" w:rsidRPr="00610401">
              <w:rPr>
                <w:noProof/>
                <w:color w:val="000000" w:themeColor="text1"/>
                <w:sz w:val="20"/>
              </w:rPr>
              <w:t> </w:t>
            </w:r>
            <w:r w:rsidRPr="00610401">
              <w:rPr>
                <w:noProof/>
                <w:color w:val="000000" w:themeColor="text1"/>
                <w:sz w:val="20"/>
              </w:rPr>
              <w:t>4 dodatkowe stanowiska AD na potrzeby ogólnego wykonania rozporządzenia oraz zapewnienia ciągłości procedur przygotowywania, sporządzania</w:t>
            </w:r>
            <w:r w:rsidR="00610401" w:rsidRPr="00610401">
              <w:rPr>
                <w:noProof/>
                <w:color w:val="000000" w:themeColor="text1"/>
                <w:sz w:val="20"/>
              </w:rPr>
              <w:t xml:space="preserve"> i zat</w:t>
            </w:r>
            <w:r w:rsidRPr="00610401">
              <w:rPr>
                <w:noProof/>
                <w:color w:val="000000" w:themeColor="text1"/>
                <w:sz w:val="20"/>
              </w:rPr>
              <w:t>wierdzania wniosków dotyczących prawa wtórnego zgodnie</w:t>
            </w:r>
            <w:r w:rsidR="00610401" w:rsidRPr="00610401">
              <w:rPr>
                <w:noProof/>
                <w:color w:val="000000" w:themeColor="text1"/>
                <w:sz w:val="20"/>
              </w:rPr>
              <w:t xml:space="preserve"> z ter</w:t>
            </w:r>
            <w:r w:rsidRPr="00610401">
              <w:rPr>
                <w:noProof/>
                <w:color w:val="000000" w:themeColor="text1"/>
                <w:sz w:val="20"/>
              </w:rPr>
              <w:t>minami zaproponowanymi</w:t>
            </w:r>
            <w:r w:rsidR="00610401" w:rsidRPr="00610401">
              <w:rPr>
                <w:noProof/>
                <w:color w:val="000000" w:themeColor="text1"/>
                <w:sz w:val="20"/>
              </w:rPr>
              <w:t xml:space="preserve"> w roz</w:t>
            </w:r>
            <w:r w:rsidRPr="00610401">
              <w:rPr>
                <w:noProof/>
                <w:color w:val="000000" w:themeColor="text1"/>
                <w:sz w:val="20"/>
              </w:rPr>
              <w:t xml:space="preserve">porządzeniu. </w:t>
            </w:r>
          </w:p>
          <w:p w:rsidR="00BE0A2F" w:rsidRPr="00610401" w:rsidRDefault="00BE0A2F" w:rsidP="00BE0A2F">
            <w:pPr>
              <w:rPr>
                <w:noProof/>
                <w:color w:val="000000" w:themeColor="text1"/>
                <w:sz w:val="20"/>
              </w:rPr>
            </w:pPr>
            <w:r w:rsidRPr="00610401">
              <w:rPr>
                <w:noProof/>
                <w:color w:val="000000" w:themeColor="text1"/>
                <w:sz w:val="20"/>
              </w:rPr>
              <w:t xml:space="preserve">Dodatkowo niezbędne jest 1 stanowisko AST na potrzeby wsparcia ogólnego wykonania prawodawstwa. </w:t>
            </w:r>
          </w:p>
        </w:tc>
      </w:tr>
      <w:tr w:rsidR="00BE0A2F" w:rsidRPr="00610401" w:rsidTr="00BE0A2F">
        <w:tc>
          <w:tcPr>
            <w:tcW w:w="3240" w:type="dxa"/>
          </w:tcPr>
          <w:p w:rsidR="00BE0A2F" w:rsidRPr="00610401" w:rsidRDefault="00BE0A2F" w:rsidP="00BE0A2F">
            <w:pPr>
              <w:spacing w:before="60" w:after="60"/>
              <w:rPr>
                <w:noProof/>
                <w:color w:val="000000" w:themeColor="text1"/>
                <w:sz w:val="20"/>
              </w:rPr>
            </w:pPr>
            <w:r w:rsidRPr="00610401">
              <w:rPr>
                <w:noProof/>
                <w:color w:val="000000" w:themeColor="text1"/>
                <w:sz w:val="20"/>
              </w:rPr>
              <w:t>Personel zewnętrzny</w:t>
            </w:r>
          </w:p>
        </w:tc>
        <w:tc>
          <w:tcPr>
            <w:tcW w:w="7200" w:type="dxa"/>
          </w:tcPr>
          <w:p w:rsidR="00BE0A2F" w:rsidRPr="00610401" w:rsidRDefault="000B03DA" w:rsidP="00BE0A2F">
            <w:pPr>
              <w:rPr>
                <w:noProof/>
                <w:color w:val="000000" w:themeColor="text1"/>
                <w:sz w:val="20"/>
              </w:rPr>
            </w:pPr>
            <w:r w:rsidRPr="00610401">
              <w:rPr>
                <w:noProof/>
                <w:color w:val="000000" w:themeColor="text1"/>
                <w:sz w:val="20"/>
              </w:rPr>
              <w:t>nd.</w:t>
            </w:r>
          </w:p>
        </w:tc>
      </w:tr>
    </w:tbl>
    <w:p w:rsidR="00BE0A2F" w:rsidRPr="00610401" w:rsidRDefault="00BE0A2F" w:rsidP="00BE0A2F">
      <w:pPr>
        <w:rPr>
          <w:noProof/>
          <w:color w:val="000000" w:themeColor="text1"/>
        </w:rPr>
        <w:sectPr w:rsidR="00BE0A2F" w:rsidRPr="00610401" w:rsidSect="003C0B66">
          <w:headerReference w:type="default" r:id="rId34"/>
          <w:footerReference w:type="default" r:id="rId35"/>
          <w:headerReference w:type="first" r:id="rId36"/>
          <w:footerReference w:type="first" r:id="rId37"/>
          <w:pgSz w:w="11907" w:h="16840"/>
          <w:pgMar w:top="1134" w:right="1418" w:bottom="1134" w:left="1418" w:header="709" w:footer="709" w:gutter="0"/>
          <w:cols w:space="708"/>
          <w:docGrid w:linePitch="360"/>
        </w:sectPr>
      </w:pPr>
    </w:p>
    <w:p w:rsidR="00BE0A2F" w:rsidRPr="00610401" w:rsidRDefault="00BE0A2F" w:rsidP="00B0251E">
      <w:pPr>
        <w:keepNext/>
        <w:outlineLvl w:val="2"/>
        <w:rPr>
          <w:noProof/>
          <w:color w:val="000000" w:themeColor="text1"/>
        </w:rPr>
      </w:pPr>
      <w:bookmarkStart w:id="55" w:name="_Toc514938056"/>
      <w:bookmarkStart w:id="56" w:name="_Toc520485055"/>
      <w:r w:rsidRPr="00610401">
        <w:rPr>
          <w:i/>
          <w:noProof/>
          <w:color w:val="000000" w:themeColor="text1"/>
        </w:rPr>
        <w:t>Zgodność</w:t>
      </w:r>
      <w:r w:rsidR="00610401" w:rsidRPr="00610401">
        <w:rPr>
          <w:i/>
          <w:noProof/>
          <w:color w:val="000000" w:themeColor="text1"/>
        </w:rPr>
        <w:t xml:space="preserve"> z obo</w:t>
      </w:r>
      <w:r w:rsidRPr="00610401">
        <w:rPr>
          <w:i/>
          <w:noProof/>
          <w:color w:val="000000" w:themeColor="text1"/>
        </w:rPr>
        <w:t>wiązującymi wieloletnimi ramami finansowymi</w:t>
      </w:r>
      <w:bookmarkEnd w:id="55"/>
      <w:bookmarkEnd w:id="56"/>
      <w:r w:rsidRPr="00610401">
        <w:rPr>
          <w:i/>
          <w:noProof/>
          <w:color w:val="000000" w:themeColor="text1"/>
        </w:rPr>
        <w:t xml:space="preserve"> </w:t>
      </w:r>
    </w:p>
    <w:p w:rsidR="00BE0A2F" w:rsidRPr="00610401" w:rsidRDefault="00BE0A2F" w:rsidP="00B0251E">
      <w:pPr>
        <w:ind w:left="850"/>
        <w:rPr>
          <w:noProof/>
          <w:color w:val="000000" w:themeColor="text1"/>
        </w:rPr>
      </w:pPr>
      <w:r w:rsidRPr="00610401">
        <w:rPr>
          <w:noProof/>
          <w:color w:val="000000" w:themeColor="text1"/>
        </w:rPr>
        <w:t>Wniosek/inicjatywa:</w:t>
      </w:r>
    </w:p>
    <w:p w:rsidR="00BE0A2F" w:rsidRPr="00610401" w:rsidRDefault="00BE0A2F" w:rsidP="00B0251E">
      <w:pPr>
        <w:pStyle w:val="Tiret0"/>
        <w:rPr>
          <w:noProof/>
        </w:rPr>
      </w:pPr>
      <w:r w:rsidRPr="00610401">
        <w:rPr>
          <w:noProof/>
        </w:rPr>
        <w:sym w:font="Wingdings" w:char="F078"/>
      </w:r>
      <w:r w:rsidRPr="00610401">
        <w:rPr>
          <w:noProof/>
        </w:rPr>
        <w:tab/>
        <w:t>może zostać</w:t>
      </w:r>
      <w:r w:rsidR="00610401" w:rsidRPr="00610401">
        <w:rPr>
          <w:noProof/>
        </w:rPr>
        <w:t xml:space="preserve"> w peł</w:t>
      </w:r>
      <w:r w:rsidRPr="00610401">
        <w:rPr>
          <w:noProof/>
        </w:rPr>
        <w:t>ni sfinansowany(a) przez przegrupowanie środków</w:t>
      </w:r>
      <w:r w:rsidR="00610401" w:rsidRPr="00610401">
        <w:rPr>
          <w:noProof/>
        </w:rPr>
        <w:t xml:space="preserve"> w ram</w:t>
      </w:r>
      <w:r w:rsidRPr="00610401">
        <w:rPr>
          <w:noProof/>
        </w:rPr>
        <w:t>ach odpowiedniego działu wieloletnich ram finansowych (WRF).</w:t>
      </w:r>
    </w:p>
    <w:p w:rsidR="00BE0A2F" w:rsidRPr="00610401" w:rsidRDefault="00BE0A2F" w:rsidP="00BE0A2F">
      <w:pPr>
        <w:rPr>
          <w:noProof/>
          <w:color w:val="000000" w:themeColor="text1"/>
        </w:rPr>
      </w:pP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610401">
        <w:rPr>
          <w:noProof/>
          <w:color w:val="000000" w:themeColor="text1"/>
          <w:sz w:val="20"/>
        </w:rPr>
        <w:t>Dodatkowe zadania, jakie Komisja ma wykonać, wiążą się</w:t>
      </w:r>
      <w:r w:rsidR="00610401" w:rsidRPr="00610401">
        <w:rPr>
          <w:noProof/>
          <w:color w:val="000000" w:themeColor="text1"/>
          <w:sz w:val="20"/>
        </w:rPr>
        <w:t xml:space="preserve"> z dod</w:t>
      </w:r>
      <w:r w:rsidRPr="00610401">
        <w:rPr>
          <w:noProof/>
          <w:color w:val="000000" w:themeColor="text1"/>
          <w:sz w:val="20"/>
        </w:rPr>
        <w:t>atkowym zapotrzebowaniem na zasoby, jeśli chodzi</w:t>
      </w:r>
      <w:r w:rsidR="00610401" w:rsidRPr="00610401">
        <w:rPr>
          <w:noProof/>
          <w:color w:val="000000" w:themeColor="text1"/>
          <w:sz w:val="20"/>
        </w:rPr>
        <w:t xml:space="preserve"> o kwo</w:t>
      </w:r>
      <w:r w:rsidRPr="00610401">
        <w:rPr>
          <w:noProof/>
          <w:color w:val="000000" w:themeColor="text1"/>
          <w:sz w:val="20"/>
        </w:rPr>
        <w:t>tę wkładu Unii oraz stanowiska wskazane</w:t>
      </w:r>
      <w:r w:rsidR="00610401" w:rsidRPr="00610401">
        <w:rPr>
          <w:noProof/>
          <w:color w:val="000000" w:themeColor="text1"/>
          <w:sz w:val="20"/>
        </w:rPr>
        <w:t xml:space="preserve"> w pla</w:t>
      </w:r>
      <w:r w:rsidRPr="00610401">
        <w:rPr>
          <w:noProof/>
          <w:color w:val="000000" w:themeColor="text1"/>
          <w:sz w:val="20"/>
        </w:rPr>
        <w:t>nie zatrudnienia Europejskiej Agencji Środowiska. Będą one finansowane</w:t>
      </w:r>
      <w:r w:rsidR="00610401" w:rsidRPr="00610401">
        <w:rPr>
          <w:noProof/>
          <w:color w:val="000000" w:themeColor="text1"/>
          <w:sz w:val="20"/>
        </w:rPr>
        <w:t xml:space="preserve"> z lin</w:t>
      </w:r>
      <w:r w:rsidRPr="00610401">
        <w:rPr>
          <w:noProof/>
          <w:color w:val="000000" w:themeColor="text1"/>
          <w:sz w:val="20"/>
        </w:rPr>
        <w:t>ii budżetowej programu LIFE 09.0201 – „Przyroda</w:t>
      </w:r>
      <w:r w:rsidR="00610401" w:rsidRPr="00610401">
        <w:rPr>
          <w:noProof/>
          <w:color w:val="000000" w:themeColor="text1"/>
          <w:sz w:val="20"/>
        </w:rPr>
        <w:t xml:space="preserve"> i róż</w:t>
      </w:r>
      <w:r w:rsidRPr="00610401">
        <w:rPr>
          <w:noProof/>
          <w:color w:val="000000" w:themeColor="text1"/>
          <w:sz w:val="20"/>
        </w:rPr>
        <w:t>norodność biologiczna”.</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610401">
        <w:rPr>
          <w:noProof/>
          <w:color w:val="000000" w:themeColor="text1"/>
          <w:sz w:val="20"/>
        </w:rPr>
        <w:t>Koszty przewidziane</w:t>
      </w:r>
      <w:r w:rsidR="00610401" w:rsidRPr="00610401">
        <w:rPr>
          <w:noProof/>
          <w:color w:val="000000" w:themeColor="text1"/>
          <w:sz w:val="20"/>
        </w:rPr>
        <w:t xml:space="preserve"> w lin</w:t>
      </w:r>
      <w:r w:rsidRPr="00610401">
        <w:rPr>
          <w:noProof/>
          <w:color w:val="000000" w:themeColor="text1"/>
          <w:sz w:val="20"/>
        </w:rPr>
        <w:t>ii budżetowej 09 02 01 zostaną poniesione</w:t>
      </w:r>
      <w:r w:rsidR="00610401" w:rsidRPr="00610401">
        <w:rPr>
          <w:noProof/>
          <w:color w:val="000000" w:themeColor="text1"/>
          <w:sz w:val="20"/>
        </w:rPr>
        <w:t xml:space="preserve"> w ram</w:t>
      </w:r>
      <w:r w:rsidRPr="00610401">
        <w:rPr>
          <w:noProof/>
          <w:color w:val="000000" w:themeColor="text1"/>
          <w:sz w:val="20"/>
        </w:rPr>
        <w:t>ach programu LIFE</w:t>
      </w:r>
      <w:r w:rsidR="00610401" w:rsidRPr="00610401">
        <w:rPr>
          <w:noProof/>
          <w:color w:val="000000" w:themeColor="text1"/>
          <w:sz w:val="20"/>
        </w:rPr>
        <w:t xml:space="preserve"> i zos</w:t>
      </w:r>
      <w:r w:rsidRPr="00610401">
        <w:rPr>
          <w:noProof/>
          <w:color w:val="000000" w:themeColor="text1"/>
          <w:sz w:val="20"/>
        </w:rPr>
        <w:t>taną zaplanowane</w:t>
      </w:r>
      <w:r w:rsidR="00610401" w:rsidRPr="00610401">
        <w:rPr>
          <w:noProof/>
          <w:color w:val="000000" w:themeColor="text1"/>
          <w:sz w:val="20"/>
        </w:rPr>
        <w:t xml:space="preserve"> w roc</w:t>
      </w:r>
      <w:r w:rsidRPr="00610401">
        <w:rPr>
          <w:noProof/>
          <w:color w:val="000000" w:themeColor="text1"/>
          <w:sz w:val="20"/>
        </w:rPr>
        <w:t>znym planie zarządzania DG ENV. Potrzeby</w:t>
      </w:r>
      <w:r w:rsidR="00610401" w:rsidRPr="00610401">
        <w:rPr>
          <w:noProof/>
          <w:color w:val="000000" w:themeColor="text1"/>
          <w:sz w:val="20"/>
        </w:rPr>
        <w:t xml:space="preserve"> w zak</w:t>
      </w:r>
      <w:r w:rsidRPr="00610401">
        <w:rPr>
          <w:noProof/>
          <w:color w:val="000000" w:themeColor="text1"/>
          <w:sz w:val="20"/>
        </w:rPr>
        <w:t>resie zasobów ludzkich zostaną najlepiej zaspokojone poprzez dodatkowy przydział środków</w:t>
      </w:r>
      <w:r w:rsidR="00610401" w:rsidRPr="00610401">
        <w:rPr>
          <w:noProof/>
          <w:color w:val="000000" w:themeColor="text1"/>
          <w:sz w:val="20"/>
        </w:rPr>
        <w:t xml:space="preserve"> w ram</w:t>
      </w:r>
      <w:r w:rsidRPr="00610401">
        <w:rPr>
          <w:noProof/>
          <w:color w:val="000000" w:themeColor="text1"/>
          <w:sz w:val="20"/>
        </w:rPr>
        <w:t>ach procedury rocznego przydziału zasobów ludzkich.</w:t>
      </w:r>
    </w:p>
    <w:p w:rsidR="00BE0A2F" w:rsidRPr="00610401" w:rsidRDefault="00BE0A2F" w:rsidP="00B0251E">
      <w:pPr>
        <w:pStyle w:val="Tiret0"/>
        <w:rPr>
          <w:noProof/>
        </w:rPr>
      </w:pPr>
      <w:r w:rsidRPr="00610401">
        <w:rPr>
          <w:noProof/>
        </w:rPr>
        <w:sym w:font="Wingdings" w:char="F0A8"/>
      </w:r>
      <w:r w:rsidRPr="00610401">
        <w:rPr>
          <w:noProof/>
        </w:rPr>
        <w:tab/>
        <w:t>wymaga zastosowania nieprzydzielonego marginesu środków</w:t>
      </w:r>
      <w:r w:rsidR="00610401" w:rsidRPr="00610401">
        <w:rPr>
          <w:noProof/>
        </w:rPr>
        <w:t xml:space="preserve"> w ram</w:t>
      </w:r>
      <w:r w:rsidRPr="00610401">
        <w:rPr>
          <w:noProof/>
        </w:rPr>
        <w:t>ach odpowiedniego działu WRF lub zastosowania specjalnych instrumentów zdefiniowanych</w:t>
      </w:r>
      <w:r w:rsidR="00610401" w:rsidRPr="00610401">
        <w:rPr>
          <w:noProof/>
        </w:rPr>
        <w:t xml:space="preserve"> w roz</w:t>
      </w:r>
      <w:r w:rsidRPr="00610401">
        <w:rPr>
          <w:noProof/>
        </w:rPr>
        <w:t>porządzeniu</w:t>
      </w:r>
      <w:r w:rsidR="00610401" w:rsidRPr="00610401">
        <w:rPr>
          <w:noProof/>
        </w:rPr>
        <w:t xml:space="preserve"> w spr</w:t>
      </w:r>
      <w:r w:rsidRPr="00610401">
        <w:rPr>
          <w:noProof/>
        </w:rPr>
        <w:t>awie WRF.</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610401">
        <w:rPr>
          <w:noProof/>
          <w:color w:val="000000" w:themeColor="text1"/>
          <w:sz w:val="20"/>
        </w:rPr>
        <w:t>Należy wyjaśnić, który wariant jest konieczny, określając działy</w:t>
      </w:r>
      <w:r w:rsidR="00610401" w:rsidRPr="00610401">
        <w:rPr>
          <w:noProof/>
          <w:color w:val="000000" w:themeColor="text1"/>
          <w:sz w:val="20"/>
        </w:rPr>
        <w:t xml:space="preserve"> i lin</w:t>
      </w:r>
      <w:r w:rsidRPr="00610401">
        <w:rPr>
          <w:noProof/>
          <w:color w:val="000000" w:themeColor="text1"/>
          <w:sz w:val="20"/>
        </w:rPr>
        <w:t>ie budżetowe, których ma dotyczyć, odpowiadające im kwoty oraz proponowane instrumenty, które należy zastosować.</w:t>
      </w:r>
    </w:p>
    <w:p w:rsidR="00BE0A2F" w:rsidRPr="00610401" w:rsidRDefault="00BE0A2F" w:rsidP="00B0251E">
      <w:pPr>
        <w:pStyle w:val="Tiret0"/>
        <w:rPr>
          <w:noProof/>
        </w:rPr>
      </w:pPr>
      <w:r w:rsidRPr="00610401">
        <w:rPr>
          <w:noProof/>
        </w:rPr>
        <w:sym w:font="Wingdings" w:char="F0A8"/>
      </w:r>
      <w:r w:rsidRPr="00610401">
        <w:rPr>
          <w:noProof/>
        </w:rPr>
        <w:tab/>
        <w:t>wymaga rewizji WRF.</w:t>
      </w:r>
    </w:p>
    <w:p w:rsidR="00BE0A2F" w:rsidRPr="00610401"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610401">
        <w:rPr>
          <w:noProof/>
          <w:color w:val="000000" w:themeColor="text1"/>
          <w:sz w:val="20"/>
        </w:rPr>
        <w:t>Należy wyjaśnić, który wariant jest konieczny, określając linie budżetowe, których ma on dotyczyć, oraz podając odpowiednie kwoty.</w:t>
      </w:r>
    </w:p>
    <w:p w:rsidR="00BE0A2F" w:rsidRPr="00610401" w:rsidRDefault="00BE0A2F" w:rsidP="00B0251E">
      <w:pPr>
        <w:keepNext/>
        <w:outlineLvl w:val="2"/>
        <w:rPr>
          <w:noProof/>
          <w:color w:val="000000" w:themeColor="text1"/>
        </w:rPr>
      </w:pPr>
      <w:bookmarkStart w:id="57" w:name="_Toc514938058"/>
      <w:bookmarkStart w:id="58" w:name="_Toc520485056"/>
      <w:r w:rsidRPr="00610401">
        <w:rPr>
          <w:i/>
          <w:noProof/>
          <w:color w:val="000000" w:themeColor="text1"/>
        </w:rPr>
        <w:t>Udział osób trzecich</w:t>
      </w:r>
      <w:r w:rsidR="00610401" w:rsidRPr="00610401">
        <w:rPr>
          <w:i/>
          <w:noProof/>
          <w:color w:val="000000" w:themeColor="text1"/>
        </w:rPr>
        <w:t xml:space="preserve"> w fin</w:t>
      </w:r>
      <w:r w:rsidRPr="00610401">
        <w:rPr>
          <w:i/>
          <w:noProof/>
          <w:color w:val="000000" w:themeColor="text1"/>
        </w:rPr>
        <w:t>ansowaniu</w:t>
      </w:r>
      <w:bookmarkEnd w:id="57"/>
      <w:bookmarkEnd w:id="58"/>
      <w:r w:rsidRPr="00610401">
        <w:rPr>
          <w:i/>
          <w:noProof/>
          <w:color w:val="000000" w:themeColor="text1"/>
        </w:rPr>
        <w:t xml:space="preserve"> </w:t>
      </w:r>
    </w:p>
    <w:p w:rsidR="00BE0A2F" w:rsidRPr="00610401" w:rsidRDefault="00BE0A2F" w:rsidP="00B0251E">
      <w:pPr>
        <w:ind w:left="850"/>
        <w:rPr>
          <w:noProof/>
          <w:color w:val="000000" w:themeColor="text1"/>
        </w:rPr>
      </w:pPr>
      <w:r w:rsidRPr="00610401">
        <w:rPr>
          <w:noProof/>
          <w:color w:val="000000" w:themeColor="text1"/>
        </w:rPr>
        <w:t>Wniosek/inicjatywa:</w:t>
      </w:r>
    </w:p>
    <w:p w:rsidR="00BE0A2F" w:rsidRPr="00610401" w:rsidRDefault="00BE0A2F" w:rsidP="00B0251E">
      <w:pPr>
        <w:pStyle w:val="Tiret0"/>
        <w:rPr>
          <w:noProof/>
        </w:rPr>
      </w:pPr>
      <w:r w:rsidRPr="00610401">
        <w:rPr>
          <w:noProof/>
        </w:rPr>
        <w:sym w:font="Wingdings" w:char="F078"/>
      </w:r>
      <w:r w:rsidRPr="00610401">
        <w:rPr>
          <w:noProof/>
        </w:rPr>
        <w:tab/>
        <w:t>nie przewiduje współfinansowania ze strony osób trzecich</w:t>
      </w:r>
    </w:p>
    <w:p w:rsidR="00BE0A2F" w:rsidRPr="00610401" w:rsidRDefault="00BE0A2F" w:rsidP="00B0251E">
      <w:pPr>
        <w:pStyle w:val="Tiret0"/>
        <w:rPr>
          <w:noProof/>
        </w:rPr>
      </w:pPr>
      <w:r w:rsidRPr="00610401">
        <w:rPr>
          <w:noProof/>
        </w:rPr>
        <w:sym w:font="Wingdings" w:char="F0A8"/>
      </w:r>
      <w:r w:rsidRPr="00610401">
        <w:rPr>
          <w:noProof/>
        </w:rPr>
        <w:tab/>
        <w:t>przewiduje współfinansowanie ze strony osób trzecich szacowane zgodnie</w:t>
      </w:r>
      <w:r w:rsidR="00610401" w:rsidRPr="00610401">
        <w:rPr>
          <w:noProof/>
        </w:rPr>
        <w:t xml:space="preserve"> z pon</w:t>
      </w:r>
      <w:r w:rsidRPr="00610401">
        <w:rPr>
          <w:noProof/>
        </w:rPr>
        <w:t>iższymi szacunkami:</w:t>
      </w:r>
    </w:p>
    <w:p w:rsidR="00BE0A2F" w:rsidRPr="00610401" w:rsidRDefault="00BE0A2F" w:rsidP="00BE0A2F">
      <w:pPr>
        <w:jc w:val="right"/>
        <w:rPr>
          <w:noProof/>
          <w:color w:val="000000" w:themeColor="text1"/>
          <w:sz w:val="20"/>
        </w:rPr>
      </w:pPr>
      <w:r w:rsidRPr="00610401">
        <w:rPr>
          <w:noProof/>
          <w:color w:val="000000" w:themeColor="text1"/>
          <w:sz w:val="20"/>
        </w:rPr>
        <w:t>Środki</w:t>
      </w:r>
      <w:r w:rsidR="00610401" w:rsidRPr="00610401">
        <w:rPr>
          <w:noProof/>
          <w:color w:val="000000" w:themeColor="text1"/>
          <w:sz w:val="20"/>
        </w:rPr>
        <w:t xml:space="preserve"> w mln</w:t>
      </w:r>
      <w:r w:rsidRPr="00610401">
        <w:rPr>
          <w:noProof/>
          <w:color w:val="000000" w:themeColor="text1"/>
          <w:sz w:val="20"/>
        </w:rPr>
        <w:t xml:space="preserve"> EUR (do trzech miejsc po przecinku)</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E0A2F" w:rsidRPr="00610401" w:rsidTr="00BE0A2F">
        <w:trPr>
          <w:cantSplit/>
        </w:trPr>
        <w:tc>
          <w:tcPr>
            <w:tcW w:w="2340" w:type="dxa"/>
          </w:tcPr>
          <w:p w:rsidR="00BE0A2F" w:rsidRPr="00610401" w:rsidRDefault="00BE0A2F" w:rsidP="00BE0A2F">
            <w:pPr>
              <w:spacing w:before="60" w:after="60"/>
              <w:rPr>
                <w:noProof/>
                <w:color w:val="000000" w:themeColor="text1"/>
                <w:sz w:val="20"/>
              </w:rPr>
            </w:pPr>
          </w:p>
        </w:tc>
        <w:tc>
          <w:tcPr>
            <w:tcW w:w="964"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N</w:t>
            </w:r>
            <w:r w:rsidRPr="00610401">
              <w:rPr>
                <w:rStyle w:val="FootnoteReference"/>
                <w:noProof/>
              </w:rPr>
              <w:footnoteReference w:id="127"/>
            </w:r>
          </w:p>
        </w:tc>
        <w:tc>
          <w:tcPr>
            <w:tcW w:w="964"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N+1</w:t>
            </w:r>
          </w:p>
        </w:tc>
        <w:tc>
          <w:tcPr>
            <w:tcW w:w="964"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N+2</w:t>
            </w:r>
          </w:p>
        </w:tc>
        <w:tc>
          <w:tcPr>
            <w:tcW w:w="964" w:type="dxa"/>
            <w:vAlign w:val="center"/>
          </w:tcPr>
          <w:p w:rsidR="00BE0A2F" w:rsidRPr="00610401" w:rsidRDefault="00BE0A2F" w:rsidP="00BE0A2F">
            <w:pPr>
              <w:jc w:val="center"/>
              <w:rPr>
                <w:noProof/>
                <w:color w:val="000000" w:themeColor="text1"/>
                <w:sz w:val="20"/>
              </w:rPr>
            </w:pPr>
            <w:r w:rsidRPr="00610401">
              <w:rPr>
                <w:noProof/>
                <w:color w:val="000000" w:themeColor="text1"/>
                <w:sz w:val="20"/>
              </w:rPr>
              <w:t>Rok</w:t>
            </w:r>
            <w:r w:rsidRPr="00610401">
              <w:rPr>
                <w:noProof/>
              </w:rPr>
              <w:t xml:space="preserve"> </w:t>
            </w:r>
            <w:r w:rsidRPr="00610401">
              <w:rPr>
                <w:noProof/>
              </w:rPr>
              <w:br/>
            </w:r>
            <w:r w:rsidRPr="00610401">
              <w:rPr>
                <w:b/>
                <w:noProof/>
                <w:color w:val="000000" w:themeColor="text1"/>
                <w:sz w:val="20"/>
              </w:rPr>
              <w:t>N+3</w:t>
            </w:r>
          </w:p>
        </w:tc>
        <w:tc>
          <w:tcPr>
            <w:tcW w:w="2892" w:type="dxa"/>
            <w:gridSpan w:val="3"/>
            <w:vAlign w:val="center"/>
          </w:tcPr>
          <w:p w:rsidR="00BE0A2F" w:rsidRPr="00610401" w:rsidRDefault="00BE0A2F" w:rsidP="00BE0A2F">
            <w:pPr>
              <w:jc w:val="center"/>
              <w:rPr>
                <w:b/>
                <w:noProof/>
                <w:color w:val="000000" w:themeColor="text1"/>
                <w:sz w:val="20"/>
              </w:rPr>
            </w:pPr>
            <w:r w:rsidRPr="00610401">
              <w:rPr>
                <w:noProof/>
                <w:color w:val="000000" w:themeColor="text1"/>
                <w:sz w:val="20"/>
              </w:rPr>
              <w:t>Wprowadzić taką liczbę kolumn dla poszczególnych lat, jaka jest niezbędna, by odzwierciedlić cały okres wpływu (por. pkt</w:t>
            </w:r>
            <w:r w:rsidR="00610401" w:rsidRPr="00610401">
              <w:rPr>
                <w:noProof/>
                <w:color w:val="000000" w:themeColor="text1"/>
                <w:sz w:val="20"/>
              </w:rPr>
              <w:t> </w:t>
            </w:r>
            <w:r w:rsidRPr="00610401">
              <w:rPr>
                <w:noProof/>
                <w:color w:val="000000" w:themeColor="text1"/>
                <w:sz w:val="20"/>
              </w:rPr>
              <w:t>1.6)</w:t>
            </w:r>
          </w:p>
        </w:tc>
        <w:tc>
          <w:tcPr>
            <w:tcW w:w="1158" w:type="dxa"/>
            <w:vAlign w:val="center"/>
          </w:tcPr>
          <w:p w:rsidR="00BE0A2F" w:rsidRPr="00610401" w:rsidRDefault="00BE0A2F" w:rsidP="00BE0A2F">
            <w:pPr>
              <w:spacing w:before="60" w:after="60"/>
              <w:jc w:val="center"/>
              <w:rPr>
                <w:noProof/>
                <w:color w:val="000000" w:themeColor="text1"/>
                <w:sz w:val="20"/>
              </w:rPr>
            </w:pPr>
            <w:r w:rsidRPr="00610401">
              <w:rPr>
                <w:noProof/>
                <w:color w:val="000000" w:themeColor="text1"/>
                <w:sz w:val="20"/>
              </w:rPr>
              <w:t>Ogółem</w:t>
            </w:r>
          </w:p>
        </w:tc>
      </w:tr>
      <w:tr w:rsidR="00BE0A2F" w:rsidRPr="00610401" w:rsidTr="00BE0A2F">
        <w:trPr>
          <w:cantSplit/>
        </w:trPr>
        <w:tc>
          <w:tcPr>
            <w:tcW w:w="2340" w:type="dxa"/>
          </w:tcPr>
          <w:p w:rsidR="00BE0A2F" w:rsidRPr="00610401" w:rsidRDefault="00BE0A2F" w:rsidP="00BE0A2F">
            <w:pPr>
              <w:rPr>
                <w:noProof/>
                <w:color w:val="000000" w:themeColor="text1"/>
              </w:rPr>
            </w:pPr>
            <w:r w:rsidRPr="00610401">
              <w:rPr>
                <w:noProof/>
                <w:color w:val="000000" w:themeColor="text1"/>
                <w:sz w:val="20"/>
              </w:rPr>
              <w:t>Określić organ współfinansujący</w:t>
            </w:r>
            <w:r w:rsidRPr="00610401">
              <w:rPr>
                <w:i/>
                <w:noProof/>
                <w:color w:val="000000" w:themeColor="text1"/>
                <w:sz w:val="20"/>
              </w:rPr>
              <w:t xml:space="preserve"> </w:t>
            </w: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1158" w:type="dxa"/>
            <w:vAlign w:val="center"/>
          </w:tcPr>
          <w:p w:rsidR="00BE0A2F" w:rsidRPr="00610401" w:rsidRDefault="00BE0A2F" w:rsidP="00BE0A2F">
            <w:pPr>
              <w:spacing w:before="60" w:after="60"/>
              <w:jc w:val="center"/>
              <w:rPr>
                <w:noProof/>
                <w:color w:val="000000" w:themeColor="text1"/>
                <w:sz w:val="20"/>
              </w:rPr>
            </w:pPr>
          </w:p>
        </w:tc>
      </w:tr>
      <w:tr w:rsidR="00BE0A2F" w:rsidRPr="00610401" w:rsidTr="00BE0A2F">
        <w:trPr>
          <w:cantSplit/>
        </w:trPr>
        <w:tc>
          <w:tcPr>
            <w:tcW w:w="2340" w:type="dxa"/>
          </w:tcPr>
          <w:p w:rsidR="00BE0A2F" w:rsidRPr="00610401" w:rsidRDefault="00BE0A2F" w:rsidP="00BE0A2F">
            <w:pPr>
              <w:spacing w:before="60" w:after="60"/>
              <w:jc w:val="left"/>
              <w:rPr>
                <w:noProof/>
                <w:color w:val="000000" w:themeColor="text1"/>
                <w:sz w:val="20"/>
              </w:rPr>
            </w:pPr>
            <w:r w:rsidRPr="00610401">
              <w:rPr>
                <w:noProof/>
                <w:color w:val="000000" w:themeColor="text1"/>
                <w:sz w:val="20"/>
              </w:rPr>
              <w:t xml:space="preserve">OGÓŁEM środki objęte współfinansowaniem </w:t>
            </w: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964" w:type="dxa"/>
            <w:vAlign w:val="center"/>
          </w:tcPr>
          <w:p w:rsidR="00BE0A2F" w:rsidRPr="00610401" w:rsidRDefault="00BE0A2F" w:rsidP="00BE0A2F">
            <w:pPr>
              <w:spacing w:before="60" w:after="60"/>
              <w:jc w:val="center"/>
              <w:rPr>
                <w:noProof/>
                <w:color w:val="000000" w:themeColor="text1"/>
                <w:sz w:val="20"/>
              </w:rPr>
            </w:pPr>
          </w:p>
        </w:tc>
        <w:tc>
          <w:tcPr>
            <w:tcW w:w="1158" w:type="dxa"/>
            <w:vAlign w:val="center"/>
          </w:tcPr>
          <w:p w:rsidR="00BE0A2F" w:rsidRPr="00610401" w:rsidRDefault="00BE0A2F" w:rsidP="00BE0A2F">
            <w:pPr>
              <w:spacing w:before="60" w:after="60"/>
              <w:jc w:val="center"/>
              <w:rPr>
                <w:noProof/>
                <w:color w:val="000000" w:themeColor="text1"/>
                <w:sz w:val="20"/>
              </w:rPr>
            </w:pPr>
          </w:p>
        </w:tc>
      </w:tr>
    </w:tbl>
    <w:p w:rsidR="00BE0A2F" w:rsidRPr="00610401" w:rsidRDefault="00BE0A2F" w:rsidP="00BE0A2F">
      <w:pPr>
        <w:rPr>
          <w:noProof/>
          <w:color w:val="000000" w:themeColor="text1"/>
        </w:rPr>
      </w:pPr>
      <w:r w:rsidRPr="00610401">
        <w:rPr>
          <w:noProof/>
        </w:rPr>
        <w:t xml:space="preserve"> </w:t>
      </w:r>
      <w:r w:rsidRPr="00610401">
        <w:rPr>
          <w:noProof/>
        </w:rPr>
        <w:br/>
      </w:r>
    </w:p>
    <w:p w:rsidR="00BE0A2F" w:rsidRPr="00610401" w:rsidRDefault="00BE0A2F" w:rsidP="009F5C98">
      <w:pPr>
        <w:pStyle w:val="ManualHeading2"/>
        <w:rPr>
          <w:noProof/>
        </w:rPr>
      </w:pPr>
      <w:r w:rsidRPr="00610401">
        <w:rPr>
          <w:noProof/>
        </w:rPr>
        <w:br w:type="page"/>
      </w:r>
      <w:bookmarkStart w:id="59" w:name="_Toc514938059"/>
      <w:bookmarkStart w:id="60" w:name="_Toc520485057"/>
      <w:r w:rsidR="009F5C98" w:rsidRPr="009F5C98">
        <w:t>3.3.</w:t>
      </w:r>
      <w:r w:rsidR="009F5C98" w:rsidRPr="009F5C98">
        <w:tab/>
      </w:r>
      <w:r w:rsidRPr="00610401">
        <w:rPr>
          <w:noProof/>
        </w:rPr>
        <w:t>Szacunkowy wpływ na dochody</w:t>
      </w:r>
      <w:bookmarkEnd w:id="59"/>
      <w:bookmarkEnd w:id="60"/>
      <w:r w:rsidRPr="00610401">
        <w:rPr>
          <w:noProof/>
        </w:rPr>
        <w:t xml:space="preserve"> </w:t>
      </w:r>
    </w:p>
    <w:p w:rsidR="00BE0A2F" w:rsidRPr="00610401" w:rsidRDefault="00BE0A2F" w:rsidP="00B0251E">
      <w:pPr>
        <w:pStyle w:val="ListDash1"/>
        <w:rPr>
          <w:noProof/>
        </w:rPr>
      </w:pPr>
      <w:r w:rsidRPr="00610401">
        <w:rPr>
          <w:noProof/>
        </w:rPr>
        <w:sym w:font="Wingdings" w:char="F078"/>
      </w:r>
      <w:r w:rsidRPr="00610401">
        <w:rPr>
          <w:noProof/>
        </w:rPr>
        <w:tab/>
        <w:t>Wniosek/inicjatywa nie ma wpływu finansowego na dochody</w:t>
      </w:r>
    </w:p>
    <w:p w:rsidR="00BE0A2F" w:rsidRPr="00610401" w:rsidRDefault="00BE0A2F" w:rsidP="00B0251E">
      <w:pPr>
        <w:pStyle w:val="ListDash1"/>
        <w:rPr>
          <w:noProof/>
        </w:rPr>
      </w:pPr>
      <w:r w:rsidRPr="00610401">
        <w:rPr>
          <w:noProof/>
        </w:rPr>
        <w:sym w:font="Wingdings" w:char="F0A8"/>
      </w:r>
      <w:r w:rsidRPr="00610401">
        <w:rPr>
          <w:noProof/>
        </w:rPr>
        <w:tab/>
        <w:t>Wniosek/inicjatywa ma wpływ finansowy określony poniżej:</w:t>
      </w:r>
    </w:p>
    <w:p w:rsidR="00BE0A2F" w:rsidRPr="00610401" w:rsidRDefault="00BE0A2F" w:rsidP="002C1AD1">
      <w:pPr>
        <w:pStyle w:val="ListNumberLevel3"/>
        <w:rPr>
          <w:noProof/>
        </w:rPr>
      </w:pPr>
      <w:r w:rsidRPr="00610401">
        <w:rPr>
          <w:noProof/>
        </w:rPr>
        <w:sym w:font="Wingdings" w:char="F0A8"/>
      </w:r>
      <w:r w:rsidRPr="00610401">
        <w:rPr>
          <w:noProof/>
        </w:rPr>
        <w:tab/>
        <w:t xml:space="preserve">wpływ na zasoby własne </w:t>
      </w:r>
    </w:p>
    <w:p w:rsidR="00BE0A2F" w:rsidRPr="00610401" w:rsidRDefault="00BE0A2F" w:rsidP="002C1AD1">
      <w:pPr>
        <w:pStyle w:val="ListNumberLevel3"/>
        <w:rPr>
          <w:noProof/>
        </w:rPr>
      </w:pPr>
      <w:r w:rsidRPr="00610401">
        <w:rPr>
          <w:noProof/>
        </w:rPr>
        <w:sym w:font="Wingdings" w:char="F0A8"/>
      </w:r>
      <w:r w:rsidRPr="00610401">
        <w:rPr>
          <w:noProof/>
        </w:rPr>
        <w:tab/>
        <w:t>wpływ na dochody inne</w:t>
      </w:r>
    </w:p>
    <w:p w:rsidR="00BE0A2F" w:rsidRPr="00610401" w:rsidRDefault="00BE0A2F" w:rsidP="002C1AD1">
      <w:pPr>
        <w:pStyle w:val="ListNumberLevel3"/>
        <w:rPr>
          <w:noProof/>
        </w:rPr>
      </w:pPr>
      <w:r w:rsidRPr="00610401">
        <w:rPr>
          <w:noProof/>
        </w:rPr>
        <w:t xml:space="preserve">Wskazać, czy dochody są przypisane do linii budżetowej po stronie wydatków </w:t>
      </w:r>
      <w:r w:rsidRPr="00610401">
        <w:rPr>
          <w:noProof/>
        </w:rPr>
        <w:sym w:font="Wingdings" w:char="F0A8"/>
      </w:r>
      <w:r w:rsidRPr="00610401">
        <w:rPr>
          <w:noProof/>
        </w:rPr>
        <w:tab/>
      </w:r>
    </w:p>
    <w:p w:rsidR="00BE0A2F" w:rsidRPr="00610401" w:rsidRDefault="00BE0A2F" w:rsidP="00B0251E">
      <w:pPr>
        <w:pStyle w:val="ListNumberLevel3"/>
        <w:rPr>
          <w:i/>
          <w:noProof/>
          <w:sz w:val="20"/>
        </w:rPr>
      </w:pPr>
      <w:r w:rsidRPr="00610401">
        <w:rPr>
          <w:noProof/>
        </w:rPr>
        <w:t xml:space="preserve">    </w:t>
      </w:r>
      <w:r w:rsidR="00610401" w:rsidRPr="00610401">
        <w:rPr>
          <w:noProof/>
        </w:rPr>
        <w:t xml:space="preserve"> w mln</w:t>
      </w:r>
      <w:r w:rsidRPr="00610401">
        <w:rPr>
          <w:noProof/>
        </w:rPr>
        <w:t xml:space="preserve"> EUR (do trzech miejsc po przecinku)</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BE0A2F" w:rsidRPr="00610401" w:rsidTr="00BE0A2F">
        <w:trPr>
          <w:trHeight w:val="388"/>
        </w:trPr>
        <w:tc>
          <w:tcPr>
            <w:tcW w:w="2144" w:type="dxa"/>
            <w:vMerge w:val="restart"/>
            <w:vAlign w:val="center"/>
          </w:tcPr>
          <w:p w:rsidR="00BE0A2F" w:rsidRPr="00610401" w:rsidRDefault="00BE0A2F" w:rsidP="00BE0A2F">
            <w:pPr>
              <w:spacing w:before="40" w:after="40"/>
              <w:rPr>
                <w:noProof/>
                <w:color w:val="000000" w:themeColor="text1"/>
                <w:sz w:val="18"/>
              </w:rPr>
            </w:pPr>
            <w:r w:rsidRPr="00610401">
              <w:rPr>
                <w:noProof/>
                <w:color w:val="000000" w:themeColor="text1"/>
                <w:sz w:val="18"/>
              </w:rPr>
              <w:t>Linia budżetowa po stronie dochodów</w:t>
            </w:r>
          </w:p>
        </w:tc>
        <w:tc>
          <w:tcPr>
            <w:tcW w:w="1325" w:type="dxa"/>
            <w:vMerge w:val="restart"/>
            <w:vAlign w:val="center"/>
          </w:tcPr>
          <w:p w:rsidR="00BE0A2F" w:rsidRPr="00610401" w:rsidRDefault="00BE0A2F" w:rsidP="00BE0A2F">
            <w:pPr>
              <w:jc w:val="center"/>
              <w:rPr>
                <w:noProof/>
                <w:color w:val="000000" w:themeColor="text1"/>
                <w:sz w:val="18"/>
              </w:rPr>
            </w:pPr>
            <w:r w:rsidRPr="00610401">
              <w:rPr>
                <w:noProof/>
                <w:color w:val="000000" w:themeColor="text1"/>
                <w:sz w:val="18"/>
              </w:rPr>
              <w:t>Środki zapisane</w:t>
            </w:r>
            <w:r w:rsidR="00610401" w:rsidRPr="00610401">
              <w:rPr>
                <w:noProof/>
                <w:color w:val="000000" w:themeColor="text1"/>
                <w:sz w:val="18"/>
              </w:rPr>
              <w:t xml:space="preserve"> w bud</w:t>
            </w:r>
            <w:r w:rsidRPr="00610401">
              <w:rPr>
                <w:noProof/>
                <w:color w:val="000000" w:themeColor="text1"/>
                <w:sz w:val="18"/>
              </w:rPr>
              <w:t>żecie na bieżący rok budżetowy</w:t>
            </w:r>
          </w:p>
        </w:tc>
        <w:tc>
          <w:tcPr>
            <w:tcW w:w="7151" w:type="dxa"/>
            <w:gridSpan w:val="7"/>
            <w:vAlign w:val="center"/>
          </w:tcPr>
          <w:p w:rsidR="00BE0A2F" w:rsidRPr="00610401" w:rsidRDefault="00BE0A2F" w:rsidP="00BE0A2F">
            <w:pPr>
              <w:jc w:val="center"/>
              <w:rPr>
                <w:noProof/>
                <w:color w:val="000000" w:themeColor="text1"/>
                <w:sz w:val="18"/>
              </w:rPr>
            </w:pPr>
            <w:r w:rsidRPr="00610401">
              <w:rPr>
                <w:noProof/>
                <w:color w:val="000000" w:themeColor="text1"/>
                <w:sz w:val="18"/>
              </w:rPr>
              <w:t>Wpływ wniosku/inicjatywy</w:t>
            </w:r>
            <w:r w:rsidRPr="00610401">
              <w:rPr>
                <w:rStyle w:val="FootnoteReference"/>
                <w:noProof/>
              </w:rPr>
              <w:footnoteReference w:id="128"/>
            </w:r>
          </w:p>
        </w:tc>
      </w:tr>
      <w:tr w:rsidR="00BE0A2F" w:rsidRPr="00610401" w:rsidTr="00BE0A2F">
        <w:trPr>
          <w:trHeight w:val="388"/>
        </w:trPr>
        <w:tc>
          <w:tcPr>
            <w:tcW w:w="2144" w:type="dxa"/>
            <w:vMerge/>
          </w:tcPr>
          <w:p w:rsidR="00BE0A2F" w:rsidRPr="00610401" w:rsidRDefault="00BE0A2F" w:rsidP="00BE0A2F">
            <w:pPr>
              <w:spacing w:before="40" w:after="40"/>
              <w:rPr>
                <w:noProof/>
                <w:color w:val="000000" w:themeColor="text1"/>
                <w:sz w:val="18"/>
              </w:rPr>
            </w:pPr>
          </w:p>
        </w:tc>
        <w:tc>
          <w:tcPr>
            <w:tcW w:w="1325" w:type="dxa"/>
            <w:vMerge/>
          </w:tcPr>
          <w:p w:rsidR="00BE0A2F" w:rsidRPr="00610401" w:rsidRDefault="00BE0A2F" w:rsidP="00BE0A2F">
            <w:pPr>
              <w:spacing w:beforeLines="40" w:before="96" w:afterLines="40" w:after="96"/>
              <w:rPr>
                <w:i/>
                <w:noProof/>
                <w:color w:val="000000" w:themeColor="text1"/>
                <w:sz w:val="18"/>
              </w:rPr>
            </w:pPr>
          </w:p>
        </w:tc>
        <w:tc>
          <w:tcPr>
            <w:tcW w:w="1031" w:type="dxa"/>
            <w:vAlign w:val="center"/>
          </w:tcPr>
          <w:p w:rsidR="00BE0A2F" w:rsidRPr="00610401" w:rsidRDefault="00BE0A2F" w:rsidP="00BE0A2F">
            <w:pPr>
              <w:jc w:val="center"/>
              <w:rPr>
                <w:noProof/>
                <w:color w:val="000000" w:themeColor="text1"/>
                <w:sz w:val="18"/>
              </w:rPr>
            </w:pPr>
            <w:r w:rsidRPr="00610401">
              <w:rPr>
                <w:noProof/>
                <w:color w:val="000000" w:themeColor="text1"/>
                <w:sz w:val="18"/>
              </w:rPr>
              <w:t>Rok</w:t>
            </w:r>
            <w:r w:rsidRPr="00610401">
              <w:rPr>
                <w:noProof/>
              </w:rPr>
              <w:t xml:space="preserve"> </w:t>
            </w:r>
            <w:r w:rsidRPr="00610401">
              <w:rPr>
                <w:noProof/>
              </w:rPr>
              <w:br/>
            </w:r>
            <w:r w:rsidRPr="00610401">
              <w:rPr>
                <w:b/>
                <w:noProof/>
                <w:color w:val="000000" w:themeColor="text1"/>
                <w:sz w:val="18"/>
              </w:rPr>
              <w:t>N</w:t>
            </w:r>
          </w:p>
        </w:tc>
        <w:tc>
          <w:tcPr>
            <w:tcW w:w="900" w:type="dxa"/>
            <w:vAlign w:val="center"/>
          </w:tcPr>
          <w:p w:rsidR="00BE0A2F" w:rsidRPr="00610401" w:rsidRDefault="00BE0A2F" w:rsidP="00BE0A2F">
            <w:pPr>
              <w:jc w:val="center"/>
              <w:rPr>
                <w:noProof/>
                <w:color w:val="000000" w:themeColor="text1"/>
                <w:sz w:val="18"/>
              </w:rPr>
            </w:pPr>
            <w:r w:rsidRPr="00610401">
              <w:rPr>
                <w:noProof/>
                <w:color w:val="000000" w:themeColor="text1"/>
                <w:sz w:val="18"/>
              </w:rPr>
              <w:t>Rok</w:t>
            </w:r>
            <w:r w:rsidRPr="00610401">
              <w:rPr>
                <w:noProof/>
              </w:rPr>
              <w:t xml:space="preserve"> </w:t>
            </w:r>
            <w:r w:rsidRPr="00610401">
              <w:rPr>
                <w:noProof/>
              </w:rPr>
              <w:br/>
            </w:r>
            <w:r w:rsidRPr="00610401">
              <w:rPr>
                <w:b/>
                <w:noProof/>
                <w:color w:val="000000" w:themeColor="text1"/>
                <w:sz w:val="18"/>
              </w:rPr>
              <w:t>N+1</w:t>
            </w:r>
          </w:p>
        </w:tc>
        <w:tc>
          <w:tcPr>
            <w:tcW w:w="900" w:type="dxa"/>
            <w:vAlign w:val="center"/>
          </w:tcPr>
          <w:p w:rsidR="00BE0A2F" w:rsidRPr="00610401" w:rsidRDefault="00BE0A2F" w:rsidP="00BE0A2F">
            <w:pPr>
              <w:jc w:val="center"/>
              <w:rPr>
                <w:noProof/>
                <w:color w:val="000000" w:themeColor="text1"/>
                <w:sz w:val="18"/>
              </w:rPr>
            </w:pPr>
            <w:r w:rsidRPr="00610401">
              <w:rPr>
                <w:noProof/>
                <w:color w:val="000000" w:themeColor="text1"/>
                <w:sz w:val="18"/>
              </w:rPr>
              <w:t>Rok</w:t>
            </w:r>
            <w:r w:rsidRPr="00610401">
              <w:rPr>
                <w:noProof/>
              </w:rPr>
              <w:t xml:space="preserve"> </w:t>
            </w:r>
            <w:r w:rsidRPr="00610401">
              <w:rPr>
                <w:noProof/>
              </w:rPr>
              <w:br/>
            </w:r>
            <w:r w:rsidRPr="00610401">
              <w:rPr>
                <w:b/>
                <w:noProof/>
                <w:color w:val="000000" w:themeColor="text1"/>
                <w:sz w:val="18"/>
              </w:rPr>
              <w:t>N+2</w:t>
            </w:r>
          </w:p>
        </w:tc>
        <w:tc>
          <w:tcPr>
            <w:tcW w:w="1080" w:type="dxa"/>
            <w:vAlign w:val="center"/>
          </w:tcPr>
          <w:p w:rsidR="00BE0A2F" w:rsidRPr="00610401" w:rsidRDefault="00BE0A2F" w:rsidP="00BE0A2F">
            <w:pPr>
              <w:jc w:val="center"/>
              <w:rPr>
                <w:noProof/>
                <w:color w:val="000000" w:themeColor="text1"/>
                <w:sz w:val="18"/>
              </w:rPr>
            </w:pPr>
            <w:r w:rsidRPr="00610401">
              <w:rPr>
                <w:noProof/>
                <w:color w:val="000000" w:themeColor="text1"/>
                <w:sz w:val="18"/>
              </w:rPr>
              <w:t>Rok</w:t>
            </w:r>
            <w:r w:rsidRPr="00610401">
              <w:rPr>
                <w:noProof/>
              </w:rPr>
              <w:t xml:space="preserve"> </w:t>
            </w:r>
            <w:r w:rsidRPr="00610401">
              <w:rPr>
                <w:noProof/>
              </w:rPr>
              <w:br/>
            </w:r>
            <w:r w:rsidRPr="00610401">
              <w:rPr>
                <w:b/>
                <w:noProof/>
                <w:color w:val="000000" w:themeColor="text1"/>
                <w:sz w:val="18"/>
              </w:rPr>
              <w:t>N+3</w:t>
            </w:r>
          </w:p>
        </w:tc>
        <w:tc>
          <w:tcPr>
            <w:tcW w:w="3240" w:type="dxa"/>
            <w:gridSpan w:val="3"/>
            <w:vAlign w:val="center"/>
          </w:tcPr>
          <w:p w:rsidR="00BE0A2F" w:rsidRPr="00610401" w:rsidRDefault="00BE0A2F" w:rsidP="00BE0A2F">
            <w:pPr>
              <w:jc w:val="center"/>
              <w:rPr>
                <w:b/>
                <w:noProof/>
                <w:color w:val="000000" w:themeColor="text1"/>
                <w:sz w:val="18"/>
              </w:rPr>
            </w:pPr>
            <w:r w:rsidRPr="00610401">
              <w:rPr>
                <w:noProof/>
                <w:color w:val="000000" w:themeColor="text1"/>
                <w:sz w:val="18"/>
              </w:rPr>
              <w:t>Wprowadzić taką liczbę kolumn dla poszczególnych lat, jaka jest niezbędna, by odzwierciedlić cały okres wpływu (por. pkt</w:t>
            </w:r>
            <w:r w:rsidR="00610401" w:rsidRPr="00610401">
              <w:rPr>
                <w:noProof/>
                <w:color w:val="000000" w:themeColor="text1"/>
                <w:sz w:val="18"/>
              </w:rPr>
              <w:t> </w:t>
            </w:r>
            <w:r w:rsidRPr="00610401">
              <w:rPr>
                <w:noProof/>
                <w:color w:val="000000" w:themeColor="text1"/>
                <w:sz w:val="18"/>
              </w:rPr>
              <w:t>1.6)</w:t>
            </w:r>
          </w:p>
        </w:tc>
      </w:tr>
      <w:tr w:rsidR="00BE0A2F" w:rsidRPr="00610401" w:rsidTr="00BE0A2F">
        <w:trPr>
          <w:trHeight w:val="388"/>
        </w:trPr>
        <w:tc>
          <w:tcPr>
            <w:tcW w:w="2144" w:type="dxa"/>
            <w:vAlign w:val="center"/>
          </w:tcPr>
          <w:p w:rsidR="00BE0A2F" w:rsidRPr="00610401" w:rsidRDefault="00BE0A2F" w:rsidP="00BE0A2F">
            <w:pPr>
              <w:spacing w:before="40" w:after="40"/>
              <w:rPr>
                <w:noProof/>
                <w:color w:val="000000" w:themeColor="text1"/>
                <w:sz w:val="18"/>
              </w:rPr>
            </w:pPr>
            <w:r w:rsidRPr="00610401">
              <w:rPr>
                <w:noProof/>
                <w:color w:val="000000" w:themeColor="text1"/>
                <w:sz w:val="18"/>
              </w:rPr>
              <w:t>Artykuł …</w:t>
            </w:r>
          </w:p>
        </w:tc>
        <w:tc>
          <w:tcPr>
            <w:tcW w:w="1325" w:type="dxa"/>
          </w:tcPr>
          <w:p w:rsidR="00BE0A2F" w:rsidRPr="00610401" w:rsidRDefault="00BE0A2F" w:rsidP="00BE0A2F">
            <w:pPr>
              <w:spacing w:beforeLines="40" w:before="96" w:afterLines="40" w:after="96"/>
              <w:jc w:val="center"/>
              <w:rPr>
                <w:i/>
                <w:noProof/>
                <w:color w:val="000000" w:themeColor="text1"/>
                <w:sz w:val="18"/>
              </w:rPr>
            </w:pPr>
          </w:p>
        </w:tc>
        <w:tc>
          <w:tcPr>
            <w:tcW w:w="1031" w:type="dxa"/>
          </w:tcPr>
          <w:p w:rsidR="00BE0A2F" w:rsidRPr="00610401" w:rsidRDefault="00BE0A2F" w:rsidP="00BE0A2F">
            <w:pPr>
              <w:spacing w:beforeLines="40" w:before="96" w:afterLines="40" w:after="96"/>
              <w:jc w:val="center"/>
              <w:rPr>
                <w:noProof/>
                <w:color w:val="000000" w:themeColor="text1"/>
                <w:sz w:val="18"/>
              </w:rPr>
            </w:pPr>
          </w:p>
        </w:tc>
        <w:tc>
          <w:tcPr>
            <w:tcW w:w="900" w:type="dxa"/>
          </w:tcPr>
          <w:p w:rsidR="00BE0A2F" w:rsidRPr="00610401" w:rsidRDefault="00BE0A2F" w:rsidP="00BE0A2F">
            <w:pPr>
              <w:spacing w:beforeLines="40" w:before="96" w:afterLines="40" w:after="96"/>
              <w:jc w:val="center"/>
              <w:rPr>
                <w:noProof/>
                <w:color w:val="000000" w:themeColor="text1"/>
                <w:sz w:val="18"/>
              </w:rPr>
            </w:pPr>
          </w:p>
        </w:tc>
        <w:tc>
          <w:tcPr>
            <w:tcW w:w="900" w:type="dxa"/>
          </w:tcPr>
          <w:p w:rsidR="00BE0A2F" w:rsidRPr="00610401" w:rsidRDefault="00BE0A2F" w:rsidP="00BE0A2F">
            <w:pPr>
              <w:spacing w:beforeLines="40" w:before="96" w:afterLines="40" w:after="96"/>
              <w:jc w:val="center"/>
              <w:rPr>
                <w:noProof/>
                <w:color w:val="000000" w:themeColor="text1"/>
                <w:sz w:val="18"/>
              </w:rPr>
            </w:pPr>
          </w:p>
        </w:tc>
        <w:tc>
          <w:tcPr>
            <w:tcW w:w="1080" w:type="dxa"/>
          </w:tcPr>
          <w:p w:rsidR="00BE0A2F" w:rsidRPr="00610401" w:rsidRDefault="00BE0A2F" w:rsidP="00BE0A2F">
            <w:pPr>
              <w:spacing w:beforeLines="40" w:before="96" w:afterLines="40" w:after="96"/>
              <w:jc w:val="center"/>
              <w:rPr>
                <w:noProof/>
                <w:color w:val="000000" w:themeColor="text1"/>
                <w:sz w:val="18"/>
              </w:rPr>
            </w:pPr>
          </w:p>
        </w:tc>
        <w:tc>
          <w:tcPr>
            <w:tcW w:w="1080" w:type="dxa"/>
          </w:tcPr>
          <w:p w:rsidR="00BE0A2F" w:rsidRPr="00610401" w:rsidRDefault="00BE0A2F" w:rsidP="00BE0A2F">
            <w:pPr>
              <w:spacing w:beforeLines="40" w:before="96" w:afterLines="40" w:after="96"/>
              <w:jc w:val="center"/>
              <w:rPr>
                <w:noProof/>
                <w:color w:val="000000" w:themeColor="text1"/>
                <w:sz w:val="18"/>
              </w:rPr>
            </w:pPr>
          </w:p>
        </w:tc>
        <w:tc>
          <w:tcPr>
            <w:tcW w:w="1080" w:type="dxa"/>
          </w:tcPr>
          <w:p w:rsidR="00BE0A2F" w:rsidRPr="00610401" w:rsidRDefault="00BE0A2F" w:rsidP="00BE0A2F">
            <w:pPr>
              <w:spacing w:beforeLines="40" w:before="96" w:afterLines="40" w:after="96"/>
              <w:jc w:val="center"/>
              <w:rPr>
                <w:noProof/>
                <w:color w:val="000000" w:themeColor="text1"/>
                <w:sz w:val="18"/>
              </w:rPr>
            </w:pPr>
          </w:p>
        </w:tc>
        <w:tc>
          <w:tcPr>
            <w:tcW w:w="1080" w:type="dxa"/>
          </w:tcPr>
          <w:p w:rsidR="00BE0A2F" w:rsidRPr="00610401" w:rsidRDefault="00BE0A2F" w:rsidP="00BE0A2F">
            <w:pPr>
              <w:spacing w:beforeLines="40" w:before="96" w:afterLines="40" w:after="96"/>
              <w:jc w:val="center"/>
              <w:rPr>
                <w:noProof/>
                <w:color w:val="000000" w:themeColor="text1"/>
                <w:sz w:val="18"/>
              </w:rPr>
            </w:pPr>
          </w:p>
        </w:tc>
      </w:tr>
    </w:tbl>
    <w:p w:rsidR="00BE0A2F" w:rsidRPr="00610401" w:rsidRDefault="00BE0A2F" w:rsidP="002C1AD1">
      <w:pPr>
        <w:pStyle w:val="Text1"/>
        <w:rPr>
          <w:noProof/>
        </w:rPr>
      </w:pPr>
      <w:r w:rsidRPr="00610401">
        <w:rPr>
          <w:noProof/>
        </w:rPr>
        <w:t>W przypadku wpływu na dochody przeznaczone na określony cel należy wskazać linie budżetowe po stronie wydatków, które ten wpływ obejmie.</w:t>
      </w:r>
    </w:p>
    <w:p w:rsidR="00BE0A2F" w:rsidRPr="00610401" w:rsidRDefault="00BE0A2F" w:rsidP="00B0251E">
      <w:pPr>
        <w:pStyle w:val="Text1"/>
        <w:rPr>
          <w:noProof/>
        </w:rPr>
      </w:pPr>
      <w:r w:rsidRPr="00610401">
        <w:rPr>
          <w:noProof/>
        </w:rPr>
        <w:t>[...]</w:t>
      </w:r>
    </w:p>
    <w:p w:rsidR="00BE0A2F" w:rsidRPr="00610401" w:rsidRDefault="00BE0A2F" w:rsidP="002C1AD1">
      <w:pPr>
        <w:pStyle w:val="Text1"/>
        <w:rPr>
          <w:noProof/>
        </w:rPr>
      </w:pPr>
      <w:r w:rsidRPr="00610401">
        <w:rPr>
          <w:noProof/>
        </w:rPr>
        <w:t>Pozostałe uwagi (np. metoda/wzór użyte do obliczenia wpływu na dochody albo inne informacje).</w:t>
      </w:r>
    </w:p>
    <w:p w:rsidR="00BE0A2F" w:rsidRPr="00610401" w:rsidRDefault="00BE0A2F" w:rsidP="00B0251E">
      <w:pPr>
        <w:pStyle w:val="Text1"/>
        <w:rPr>
          <w:noProof/>
        </w:rPr>
      </w:pPr>
      <w:r w:rsidRPr="00610401">
        <w:rPr>
          <w:noProof/>
        </w:rPr>
        <w:t>[...]</w:t>
      </w:r>
    </w:p>
    <w:p w:rsidR="00BE0A2F" w:rsidRPr="00610401" w:rsidRDefault="00BE0A2F" w:rsidP="002C1AD1">
      <w:pPr>
        <w:pStyle w:val="Text1"/>
        <w:rPr>
          <w:noProof/>
        </w:rPr>
      </w:pPr>
    </w:p>
    <w:p w:rsidR="00BE0A2F" w:rsidRPr="00610401" w:rsidRDefault="00BE0A2F" w:rsidP="002C1AD1">
      <w:pPr>
        <w:pStyle w:val="Text1"/>
        <w:rPr>
          <w:noProof/>
        </w:rPr>
      </w:pPr>
    </w:p>
    <w:p w:rsidR="00C85BC9" w:rsidRPr="00610401" w:rsidRDefault="00C85BC9" w:rsidP="00B0251E">
      <w:pPr>
        <w:pStyle w:val="Text1"/>
        <w:rPr>
          <w:noProof/>
        </w:rPr>
      </w:pPr>
    </w:p>
    <w:sectPr w:rsidR="00C85BC9" w:rsidRPr="00610401" w:rsidSect="003C0B6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01" w:rsidRPr="00610401" w:rsidRDefault="00610401" w:rsidP="00EC044F">
      <w:pPr>
        <w:spacing w:before="0" w:after="0"/>
      </w:pPr>
      <w:r w:rsidRPr="00610401">
        <w:separator/>
      </w:r>
    </w:p>
  </w:endnote>
  <w:endnote w:type="continuationSeparator" w:id="0">
    <w:p w:rsidR="00610401" w:rsidRPr="00610401" w:rsidRDefault="00610401" w:rsidP="00EC044F">
      <w:pPr>
        <w:spacing w:before="0" w:after="0"/>
      </w:pPr>
      <w:r w:rsidRPr="00610401">
        <w:continuationSeparator/>
      </w:r>
    </w:p>
  </w:endnote>
  <w:endnote w:type="continuationNotice" w:id="1">
    <w:p w:rsidR="00610401" w:rsidRPr="00610401" w:rsidRDefault="006104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01" w:rsidRPr="003C0B66" w:rsidRDefault="003C0B66" w:rsidP="003C0B66">
    <w:pPr>
      <w:pStyle w:val="Footer"/>
      <w:rPr>
        <w:rFonts w:ascii="Arial" w:hAnsi="Arial" w:cs="Arial"/>
        <w:b/>
        <w:sz w:val="48"/>
      </w:rPr>
    </w:pPr>
    <w:r w:rsidRPr="003C0B66">
      <w:rPr>
        <w:rFonts w:ascii="Arial" w:hAnsi="Arial" w:cs="Arial"/>
        <w:b/>
        <w:sz w:val="48"/>
      </w:rPr>
      <w:t>PL</w:t>
    </w:r>
    <w:r w:rsidRPr="003C0B66">
      <w:rPr>
        <w:rFonts w:ascii="Arial" w:hAnsi="Arial" w:cs="Arial"/>
        <w:b/>
        <w:sz w:val="48"/>
      </w:rPr>
      <w:tab/>
    </w:r>
    <w:r w:rsidRPr="003C0B66">
      <w:rPr>
        <w:rFonts w:ascii="Arial" w:hAnsi="Arial" w:cs="Arial"/>
        <w:b/>
        <w:sz w:val="48"/>
      </w:rPr>
      <w:tab/>
    </w:r>
    <w:r w:rsidRPr="003C0B66">
      <w:tab/>
    </w:r>
    <w:r w:rsidRPr="003C0B66">
      <w:rPr>
        <w:rFonts w:ascii="Arial" w:hAnsi="Arial" w:cs="Arial"/>
        <w:b/>
        <w:sz w:val="48"/>
      </w:rPr>
      <w:t>PL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40" w:rsidRPr="003C0B66" w:rsidRDefault="003C0B66" w:rsidP="003C0B66">
    <w:pPr>
      <w:pStyle w:val="Footer"/>
      <w:rPr>
        <w:rFonts w:ascii="Arial" w:hAnsi="Arial" w:cs="Arial"/>
        <w:b/>
        <w:sz w:val="48"/>
      </w:rPr>
    </w:pPr>
    <w:r w:rsidRPr="003C0B66">
      <w:rPr>
        <w:rFonts w:ascii="Arial" w:hAnsi="Arial" w:cs="Arial"/>
        <w:b/>
        <w:sz w:val="48"/>
      </w:rPr>
      <w:t>PL</w:t>
    </w:r>
    <w:r w:rsidRPr="003C0B6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C0B66">
      <w:tab/>
    </w:r>
    <w:r w:rsidRPr="003C0B66">
      <w:rPr>
        <w:rFonts w:ascii="Arial" w:hAnsi="Arial" w:cs="Arial"/>
        <w:b/>
        <w:sz w:val="48"/>
      </w:rPr>
      <w:t>PL</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Footer"/>
      <w:rPr>
        <w:rFonts w:ascii="Arial" w:hAnsi="Arial" w:cs="Arial"/>
        <w:b/>
        <w:sz w:val="48"/>
      </w:rPr>
    </w:pPr>
    <w:r w:rsidRPr="003C0B66">
      <w:rPr>
        <w:rFonts w:ascii="Arial" w:hAnsi="Arial" w:cs="Arial"/>
        <w:b/>
        <w:sz w:val="48"/>
      </w:rPr>
      <w:t>PL</w:t>
    </w:r>
    <w:r w:rsidRPr="003C0B66">
      <w:rPr>
        <w:rFonts w:ascii="Arial" w:hAnsi="Arial" w:cs="Arial"/>
        <w:b/>
        <w:sz w:val="48"/>
      </w:rPr>
      <w:tab/>
    </w:r>
    <w:r>
      <w:fldChar w:fldCharType="begin"/>
    </w:r>
    <w:r>
      <w:instrText xml:space="preserve"> PAGE  \* MERGEFORMAT </w:instrText>
    </w:r>
    <w:r>
      <w:fldChar w:fldCharType="separate"/>
    </w:r>
    <w:r w:rsidR="00641931">
      <w:rPr>
        <w:noProof/>
      </w:rPr>
      <w:t>57</w:t>
    </w:r>
    <w:r>
      <w:fldChar w:fldCharType="end"/>
    </w:r>
    <w:r>
      <w:tab/>
    </w:r>
    <w:r w:rsidRPr="003C0B66">
      <w:tab/>
    </w:r>
    <w:r w:rsidRPr="003C0B66">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FooterLandscape"/>
      <w:rPr>
        <w:rFonts w:ascii="Arial" w:hAnsi="Arial" w:cs="Arial"/>
        <w:b/>
        <w:sz w:val="48"/>
      </w:rPr>
    </w:pPr>
    <w:r w:rsidRPr="003C0B66">
      <w:rPr>
        <w:rFonts w:ascii="Arial" w:hAnsi="Arial" w:cs="Arial"/>
        <w:b/>
        <w:sz w:val="48"/>
      </w:rPr>
      <w:t>PL</w:t>
    </w:r>
    <w:r w:rsidRPr="003C0B6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C0B66">
      <w:tab/>
    </w:r>
    <w:r w:rsidRPr="003C0B66">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01" w:rsidRPr="003C0B66" w:rsidRDefault="003C0B66" w:rsidP="003C0B66">
    <w:pPr>
      <w:pStyle w:val="Footer"/>
      <w:rPr>
        <w:rFonts w:ascii="Arial" w:hAnsi="Arial" w:cs="Arial"/>
        <w:b/>
        <w:sz w:val="48"/>
      </w:rPr>
    </w:pPr>
    <w:r w:rsidRPr="003C0B66">
      <w:rPr>
        <w:rFonts w:ascii="Arial" w:hAnsi="Arial" w:cs="Arial"/>
        <w:b/>
        <w:sz w:val="48"/>
      </w:rPr>
      <w:t>PL</w:t>
    </w:r>
    <w:r w:rsidRPr="003C0B6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C0B66">
      <w:tab/>
    </w:r>
    <w:r w:rsidRPr="003C0B66">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FooterLandscape"/>
      <w:rPr>
        <w:rFonts w:ascii="Arial" w:hAnsi="Arial" w:cs="Arial"/>
        <w:b/>
        <w:sz w:val="48"/>
      </w:rPr>
    </w:pPr>
    <w:r w:rsidRPr="003C0B66">
      <w:rPr>
        <w:rFonts w:ascii="Arial" w:hAnsi="Arial" w:cs="Arial"/>
        <w:b/>
        <w:sz w:val="48"/>
      </w:rPr>
      <w:t>PL</w:t>
    </w:r>
    <w:r w:rsidRPr="003C0B6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C0B66">
      <w:tab/>
    </w:r>
    <w:r w:rsidRPr="003C0B66">
      <w:rPr>
        <w:rFonts w:ascii="Arial" w:hAnsi="Arial" w:cs="Arial"/>
        <w:b/>
        <w:sz w:val="48"/>
      </w:rPr>
      <w:t>PL</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01" w:rsidRPr="00610401" w:rsidRDefault="00610401" w:rsidP="00EC044F">
      <w:pPr>
        <w:spacing w:before="0" w:after="0"/>
      </w:pPr>
      <w:r w:rsidRPr="00610401">
        <w:separator/>
      </w:r>
    </w:p>
  </w:footnote>
  <w:footnote w:type="continuationSeparator" w:id="0">
    <w:p w:rsidR="00610401" w:rsidRPr="00610401" w:rsidRDefault="00610401" w:rsidP="00EC044F">
      <w:pPr>
        <w:spacing w:before="0" w:after="0"/>
      </w:pPr>
      <w:r w:rsidRPr="00610401">
        <w:continuationSeparator/>
      </w:r>
    </w:p>
  </w:footnote>
  <w:footnote w:type="continuationNotice" w:id="1">
    <w:p w:rsidR="00610401" w:rsidRPr="00610401" w:rsidRDefault="00610401">
      <w:pPr>
        <w:spacing w:before="0" w:after="0"/>
      </w:pPr>
    </w:p>
  </w:footnote>
  <w:footnote w:id="2">
    <w:p w:rsidR="00610401" w:rsidRPr="00610401" w:rsidRDefault="00610401" w:rsidP="00CD623F">
      <w:pPr>
        <w:pStyle w:val="FootnoteText"/>
        <w:ind w:left="142" w:hanging="142"/>
      </w:pPr>
      <w:r w:rsidRPr="00610401">
        <w:rPr>
          <w:rStyle w:val="FootnoteReference"/>
        </w:rPr>
        <w:footnoteRef/>
      </w:r>
      <w:r w:rsidRPr="00610401">
        <w:tab/>
        <w:t xml:space="preserve">Międzyrządowy Zespół ds. Zmian Klimatu (IPCC): raport specjalny na temat wpływu globalnego ocieplenia o 1,5 °C, dostępny pod adresem: </w:t>
      </w:r>
      <w:hyperlink r:id="rId1" w:history="1">
        <w:r w:rsidRPr="00610401">
          <w:rPr>
            <w:rStyle w:val="Hyperlink"/>
          </w:rPr>
          <w:t>https://www.ipcc.ch/sr15/</w:t>
        </w:r>
      </w:hyperlink>
      <w:r w:rsidRPr="00610401">
        <w:rPr>
          <w:rStyle w:val="Hyperlink"/>
        </w:rPr>
        <w:t xml:space="preserve">, </w:t>
      </w:r>
      <w:r w:rsidRPr="00610401">
        <w:t xml:space="preserve">oraz szóste sprawozdanie oceniające IPCC pt. </w:t>
      </w:r>
      <w:hyperlink r:id="rId2" w:history="1">
        <w:r w:rsidRPr="00610401">
          <w:rPr>
            <w:rStyle w:val="Hyperlink"/>
          </w:rPr>
          <w:t>„Climate Change 2022:</w:t>
        </w:r>
      </w:hyperlink>
      <w:hyperlink r:id="rId3" w:history="1">
        <w:r w:rsidRPr="00610401">
          <w:rPr>
            <w:rStyle w:val="Hyperlink"/>
          </w:rPr>
          <w:t xml:space="preserve"> Impacts, Adaptation and Vulnerability [„Zmiana klimatu 2022: jej skutki, przystosowanie się do niej i wrażliwość na nią”] |</w:t>
        </w:r>
      </w:hyperlink>
      <w:hyperlink r:id="rId4" w:history="1">
        <w:r w:rsidRPr="00610401">
          <w:rPr>
            <w:rStyle w:val="Hyperlink"/>
          </w:rPr>
          <w:t xml:space="preserve"> Climate Change 2022:</w:t>
        </w:r>
      </w:hyperlink>
      <w:hyperlink r:id="rId5" w:history="1">
        <w:r w:rsidRPr="00610401">
          <w:rPr>
            <w:rStyle w:val="Hyperlink"/>
          </w:rPr>
          <w:t xml:space="preserve"> „Impacts, Adaptation and Vulnerability” [„Zmiana klimatu 2022: wpływ, adaptacja i podatność”] (ipcc.ch)</w:t>
        </w:r>
      </w:hyperlink>
    </w:p>
  </w:footnote>
  <w:footnote w:id="3">
    <w:p w:rsidR="00610401" w:rsidRPr="00610401" w:rsidRDefault="00610401" w:rsidP="00CD623F">
      <w:pPr>
        <w:pStyle w:val="FootnoteText"/>
        <w:ind w:left="142" w:hanging="142"/>
      </w:pPr>
      <w:r w:rsidRPr="00610401">
        <w:rPr>
          <w:rStyle w:val="FootnoteReference"/>
        </w:rPr>
        <w:footnoteRef/>
      </w:r>
      <w:r w:rsidRPr="00610401">
        <w:tab/>
        <w:t xml:space="preserve">Międzyrządowa Platforma Naukowo-Polityczna w sprawie Różnorodności Biologicznej i Funkcjonowania Ekosystemów: sprawozdanie na temat globalnej oceny różnorodności biologicznej i usług ekosystemowych z 2019 r., dostępne pod adresem: </w:t>
      </w:r>
      <w:r w:rsidRPr="00610401">
        <w:rPr>
          <w:color w:val="333333"/>
          <w:shd w:val="clear" w:color="auto" w:fill="F5F5F5"/>
        </w:rPr>
        <w:t>https://doi.org/10.5281/zenodo.5657041</w:t>
      </w:r>
    </w:p>
  </w:footnote>
  <w:footnote w:id="4">
    <w:p w:rsidR="00610401" w:rsidRPr="00610401" w:rsidRDefault="00610401" w:rsidP="00CD623F">
      <w:pPr>
        <w:pStyle w:val="FootnoteText"/>
        <w:ind w:left="142" w:hanging="142"/>
      </w:pPr>
      <w:r w:rsidRPr="00610401">
        <w:rPr>
          <w:rStyle w:val="FootnoteReference"/>
        </w:rPr>
        <w:footnoteRef/>
      </w:r>
      <w:r w:rsidRPr="00610401">
        <w:tab/>
        <w:t xml:space="preserve">Konwencja o różnorodności biologicznej, dostępna pod adresem: </w:t>
      </w:r>
      <w:hyperlink r:id="rId6" w:history="1">
        <w:r w:rsidRPr="00610401">
          <w:rPr>
            <w:rStyle w:val="Hyperlink"/>
          </w:rPr>
          <w:t>https://www.cbd.int/convention/text/</w:t>
        </w:r>
      </w:hyperlink>
      <w:r w:rsidRPr="00610401">
        <w:t>.</w:t>
      </w:r>
    </w:p>
  </w:footnote>
  <w:footnote w:id="5">
    <w:p w:rsidR="00610401" w:rsidRPr="00610401" w:rsidRDefault="00610401" w:rsidP="00CD623F">
      <w:pPr>
        <w:pStyle w:val="FootnoteText"/>
        <w:ind w:left="142" w:hanging="142"/>
      </w:pPr>
      <w:r w:rsidRPr="00610401">
        <w:rPr>
          <w:rStyle w:val="FootnoteReference"/>
        </w:rPr>
        <w:footnoteRef/>
      </w:r>
      <w:r w:rsidRPr="00610401">
        <w:tab/>
        <w:t xml:space="preserve">Profesor Sir Partha Dasgupta, sprawozdanie końcowe z niezależnego przeglądu dotyczącego ekonomiki różnorodności biologicznej, 2 lutego 2021 r., dostępne pod adresem: </w:t>
      </w:r>
      <w:hyperlink r:id="rId7" w:history="1">
        <w:r w:rsidRPr="00610401">
          <w:rPr>
            <w:rStyle w:val="Hyperlink"/>
          </w:rPr>
          <w:t>https://www.gov.uk/government/publications/final-report-the-economics-of-biodiversity-the-dasgupta-review</w:t>
        </w:r>
      </w:hyperlink>
    </w:p>
  </w:footnote>
  <w:footnote w:id="6">
    <w:p w:rsidR="00610401" w:rsidRPr="00610401" w:rsidRDefault="00610401" w:rsidP="00FA6BEC">
      <w:pPr>
        <w:pStyle w:val="FootnoteText"/>
      </w:pPr>
      <w:r w:rsidRPr="00610401">
        <w:rPr>
          <w:rStyle w:val="FootnoteReference"/>
        </w:rPr>
        <w:footnoteRef/>
      </w:r>
      <w:r w:rsidRPr="00610401">
        <w:tab/>
        <w:t xml:space="preserve">Komunikat Komisji do Parlamentu Europejskiego, Rady, Europejskiego Komitetu Ekonomiczno-Społecznego i Komitetu Regionów: Zapewnienie bezpieczeństwa żywnościowego i zwiększenie odporności systemów żywnościowych, COM(2022) 133 final. </w:t>
      </w:r>
    </w:p>
  </w:footnote>
  <w:footnote w:id="7">
    <w:p w:rsidR="00610401" w:rsidRPr="00610401" w:rsidRDefault="00610401" w:rsidP="00D804F3">
      <w:pPr>
        <w:pStyle w:val="FootnoteText"/>
      </w:pPr>
      <w:r w:rsidRPr="00610401">
        <w:rPr>
          <w:rStyle w:val="FootnoteReference"/>
        </w:rPr>
        <w:footnoteRef/>
      </w:r>
      <w:r w:rsidRPr="00610401">
        <w:tab/>
      </w:r>
      <w:r w:rsidRPr="00610401">
        <w:rPr>
          <w:shd w:val="clear" w:color="auto" w:fill="FFFFFF"/>
        </w:rPr>
        <w:t xml:space="preserve">Konferencja w sprawie przyszłości Europy trwała od kwietnia 2021 do maja 2022. Był to wyjątkowy, zainicjowany przez obywateli </w:t>
      </w:r>
      <w:r w:rsidRPr="00610401">
        <w:t>przejaw demokracji deliberatywnej na szczeblu paneuropejskim, w którym udział wzięło tysiące obywateli europejskich, a także podmioty polityczne, partnerzy społeczni, przedstawiciele społeczeństwa obywatelskiego i najważniejsze zainteresowane strony</w:t>
      </w:r>
      <w:r w:rsidRPr="00610401">
        <w:rPr>
          <w:shd w:val="clear" w:color="auto" w:fill="FFFFFF"/>
        </w:rPr>
        <w:t>.</w:t>
      </w:r>
    </w:p>
  </w:footnote>
  <w:footnote w:id="8">
    <w:p w:rsidR="00610401" w:rsidRPr="00610401" w:rsidRDefault="00610401" w:rsidP="00D804F3">
      <w:pPr>
        <w:pStyle w:val="FootnoteText"/>
      </w:pPr>
      <w:r w:rsidRPr="00610401">
        <w:rPr>
          <w:rStyle w:val="FootnoteReference"/>
        </w:rPr>
        <w:footnoteRef/>
      </w:r>
      <w:r w:rsidRPr="00610401">
        <w:tab/>
      </w:r>
      <w:r w:rsidRPr="00610401">
        <w:rPr>
          <w:i/>
        </w:rPr>
        <w:t>Konferencja w sprawie przyszłości Europy, sprawozdanie z ostatecznych wyników</w:t>
      </w:r>
      <w:r w:rsidRPr="00610401">
        <w:t>, maj 2022 r., propozycja 2, s. 44 i propozycja 6, s. 48.</w:t>
      </w:r>
    </w:p>
  </w:footnote>
  <w:footnote w:id="9">
    <w:p w:rsidR="00610401" w:rsidRPr="00610401" w:rsidRDefault="00610401" w:rsidP="00CD623F">
      <w:pPr>
        <w:pStyle w:val="FootnoteText"/>
        <w:spacing w:line="276" w:lineRule="auto"/>
        <w:ind w:left="142" w:hanging="142"/>
      </w:pPr>
      <w:r w:rsidRPr="00610401">
        <w:rPr>
          <w:rStyle w:val="FootnoteReference"/>
        </w:rPr>
        <w:footnoteRef/>
      </w:r>
      <w:r w:rsidRPr="00610401">
        <w:tab/>
        <w:t>Komunikat Komisji do Parlamentu Europejskiego, Rady, Europejskiego Komitetu Ekonomiczno-Społecznego i Komitetu Regionów, Europejski Zielony Ład, COM(2019) 640 final</w:t>
      </w:r>
      <w:hyperlink r:id="rId8" w:history="1">
        <w:r w:rsidRPr="00610401">
          <w:rPr>
            <w:rStyle w:val="Hyperlink"/>
          </w:rPr>
          <w:t>.</w:t>
        </w:r>
      </w:hyperlink>
    </w:p>
  </w:footnote>
  <w:footnote w:id="10">
    <w:p w:rsidR="00610401" w:rsidRPr="00610401" w:rsidRDefault="00610401" w:rsidP="00CD623F">
      <w:pPr>
        <w:pStyle w:val="FootnoteText"/>
        <w:spacing w:line="276" w:lineRule="auto"/>
        <w:ind w:left="142" w:hanging="142"/>
      </w:pPr>
      <w:r w:rsidRPr="00610401">
        <w:rPr>
          <w:rStyle w:val="FootnoteReference"/>
        </w:rPr>
        <w:footnoteRef/>
      </w:r>
      <w:r w:rsidRPr="00610401">
        <w:tab/>
      </w:r>
      <w:hyperlink r:id="rId9" w:anchor="the-business-case-for-biodiversity" w:history="1">
        <w:r w:rsidRPr="00610401">
          <w:rPr>
            <w:rStyle w:val="Hyperlink"/>
          </w:rPr>
          <w:t>https://ec.europa.eu/environment/strategy/biodiversity-strategy-2030_pl</w:t>
        </w:r>
      </w:hyperlink>
    </w:p>
  </w:footnote>
  <w:footnote w:id="11">
    <w:p w:rsidR="00610401" w:rsidRPr="00610401" w:rsidRDefault="00610401" w:rsidP="009C5FC4">
      <w:pPr>
        <w:pStyle w:val="FootnoteText"/>
        <w:spacing w:line="276" w:lineRule="auto"/>
        <w:ind w:left="142" w:hanging="142"/>
      </w:pPr>
      <w:r w:rsidRPr="00610401">
        <w:rPr>
          <w:rStyle w:val="FootnoteReference"/>
        </w:rPr>
        <w:footnoteRef/>
      </w:r>
      <w:r w:rsidRPr="00610401">
        <w:tab/>
        <w:t>Trinomics B.V. (2021), „Support to the evaluation of the EU Biodiversity Strategy to 2020” [„Badanie uzupełniające na potrzeby oceny realizacji unijnej strategii ochrony różnorodności biologicznej na okres do 2020 r.”] oraz następna publikacja: sprawozdanie końcowe z badania (Urząd Publikacji Unii Europejskiej, 2022). Podsumowanie najbardziej istotnych ustaleń: zob. załącznik IX do oceny skutków. Sprawozdanie Komisji na temat oceny realizacji unijnej strategii ochrony różnorodności biologicznej na okres do 2020 r. powinno być gotowe w kwietniu 2022 r.</w:t>
      </w:r>
    </w:p>
    <w:p w:rsidR="00610401" w:rsidRPr="00610401" w:rsidRDefault="00610401" w:rsidP="009C5FC4">
      <w:pPr>
        <w:pStyle w:val="FootnoteText"/>
        <w:spacing w:line="276" w:lineRule="auto"/>
        <w:ind w:left="142" w:hanging="142"/>
      </w:pPr>
    </w:p>
  </w:footnote>
  <w:footnote w:id="12">
    <w:p w:rsidR="00610401" w:rsidRPr="00610401" w:rsidRDefault="00610401" w:rsidP="00CD623F">
      <w:pPr>
        <w:pStyle w:val="FootnoteText"/>
        <w:spacing w:line="276" w:lineRule="auto"/>
        <w:ind w:left="142" w:hanging="142"/>
      </w:pPr>
      <w:r w:rsidRPr="00610401">
        <w:rPr>
          <w:rStyle w:val="FootnoteReference"/>
        </w:rPr>
        <w:footnoteRef/>
      </w:r>
      <w:r w:rsidRPr="00610401">
        <w:tab/>
        <w:t>Komunikat Komisji do Parlamentu Europejskiego, Rady, Europejskiego Komitetu Ekonomiczno-Społecznego i Komitetu Regionów: Nasze ubezpieczenie na życie i nasz kapitał naturalny – unijna strategia ochrony różnorodności biologicznej na okres do 2020 r., COM(2011) 244 final</w:t>
      </w:r>
      <w:hyperlink r:id="rId10" w:history="1">
        <w:r w:rsidRPr="00610401">
          <w:rPr>
            <w:rStyle w:val="Hyperlink"/>
          </w:rPr>
          <w:t>.</w:t>
        </w:r>
      </w:hyperlink>
    </w:p>
  </w:footnote>
  <w:footnote w:id="13">
    <w:p w:rsidR="00610401" w:rsidRPr="00610401" w:rsidRDefault="00610401" w:rsidP="00CD623F">
      <w:pPr>
        <w:pStyle w:val="FootnoteText"/>
        <w:spacing w:line="276" w:lineRule="auto"/>
        <w:ind w:left="0" w:firstLine="0"/>
        <w:rPr>
          <w:sz w:val="16"/>
          <w:szCs w:val="16"/>
        </w:rPr>
      </w:pPr>
      <w:r w:rsidRPr="00610401">
        <w:rPr>
          <w:rStyle w:val="FootnoteReference"/>
        </w:rPr>
        <w:footnoteRef/>
      </w:r>
      <w:r w:rsidRPr="00610401">
        <w:tab/>
        <w:t xml:space="preserve">W planie strategicznym na lata 2011–2020 przyjętym podczas posiedzenia Konwencji o różnorodności biologicznej zawarto 20 celów z Aichi w zakresie ochrony różnorodności biologicznej. Cel 15 brzmi „Do roku 2020 odporność ekosystemów i wkład różnorodności biologicznej w pochłanianie dwutlenku węgla zostaną zwiększone dzięki ochronie i odbudowie, w tym odtworzeniu co najmniej 15 % zdegradowanych ekosystemów, co pomoże złagodzić zmiany klimatu i przystosować się do nich oraz przeciwdziałać pustynnieniu” i jest dostępny pod adresem </w:t>
      </w:r>
      <w:hyperlink r:id="rId11" w:history="1">
        <w:r w:rsidRPr="00610401">
          <w:rPr>
            <w:rStyle w:val="Hyperlink"/>
          </w:rPr>
          <w:t>https://www.cbd.int/sp/targets/rationale/target-15/</w:t>
        </w:r>
      </w:hyperlink>
    </w:p>
  </w:footnote>
  <w:footnote w:id="14">
    <w:p w:rsidR="00610401" w:rsidRPr="00610401" w:rsidRDefault="00610401" w:rsidP="00CD623F">
      <w:pPr>
        <w:pStyle w:val="FootnoteText"/>
        <w:spacing w:line="276" w:lineRule="auto"/>
        <w:ind w:left="0" w:firstLine="0"/>
      </w:pPr>
      <w:r w:rsidRPr="00610401">
        <w:rPr>
          <w:rStyle w:val="FootnoteReference"/>
        </w:rPr>
        <w:footnoteRef/>
      </w:r>
      <w:r w:rsidRPr="00610401">
        <w:tab/>
        <w:t>Przygotowanie globalnych ram różnorodności biologicznej na okres po 2020 r., Konwencja o różnorodności biologicznej (CBD) – konkluzje Rady (15272/19) z dnia 19 grudnia 2019 r.</w:t>
      </w:r>
    </w:p>
  </w:footnote>
  <w:footnote w:id="15">
    <w:p w:rsidR="00610401" w:rsidRPr="00610401" w:rsidRDefault="00610401" w:rsidP="00CD623F">
      <w:pPr>
        <w:pStyle w:val="FootnoteText"/>
        <w:spacing w:line="276" w:lineRule="auto"/>
        <w:ind w:left="0" w:firstLine="0"/>
      </w:pPr>
      <w:r w:rsidRPr="00610401">
        <w:rPr>
          <w:rStyle w:val="FootnoteReference"/>
        </w:rPr>
        <w:footnoteRef/>
      </w:r>
      <w:r w:rsidRPr="00610401">
        <w:tab/>
        <w:t xml:space="preserve">Rezolucja Parlamentu Europejskiego z dnia 16 stycznia 2020 r. w sprawie 15. posiedzenia Konferencji Stron (COP15) Konwencji o różnorodności biologicznej (2019/2824(RSP)). </w:t>
      </w:r>
    </w:p>
  </w:footnote>
  <w:footnote w:id="16">
    <w:p w:rsidR="00610401" w:rsidRPr="00610401" w:rsidRDefault="00610401" w:rsidP="00CD623F">
      <w:pPr>
        <w:pStyle w:val="FootnoteText"/>
        <w:spacing w:line="276" w:lineRule="auto"/>
        <w:ind w:left="0" w:firstLine="0"/>
      </w:pPr>
      <w:r w:rsidRPr="00610401">
        <w:rPr>
          <w:rStyle w:val="FootnoteReference"/>
        </w:rPr>
        <w:footnoteRef/>
      </w:r>
      <w:r w:rsidRPr="00610401">
        <w:tab/>
        <w:t>Rezolucja Parlamentu Europejskiego z dnia 9 czerwca 2021 r. w sprawie unijnej strategii na rzecz bioróżnorodności 2030 – Przywracanie przyrody do naszego życia (2020/2273(INI)).</w:t>
      </w:r>
    </w:p>
  </w:footnote>
  <w:footnote w:id="17">
    <w:p w:rsidR="00610401" w:rsidRPr="00610401" w:rsidRDefault="00610401" w:rsidP="00CD623F">
      <w:pPr>
        <w:pStyle w:val="FootnoteText"/>
        <w:spacing w:line="276" w:lineRule="auto"/>
        <w:ind w:left="0" w:firstLine="0"/>
      </w:pPr>
      <w:r w:rsidRPr="00610401">
        <w:rPr>
          <w:rStyle w:val="FootnoteReference"/>
        </w:rPr>
        <w:footnoteRef/>
      </w:r>
      <w:r w:rsidRPr="00610401">
        <w:tab/>
        <w:t xml:space="preserve">Pierwszy projekt globalnych ram różnorodności biologicznej na okres po 2020 r., dostępny pod adresem </w:t>
      </w:r>
      <w:hyperlink r:id="rId12" w:history="1">
        <w:r w:rsidRPr="00610401">
          <w:rPr>
            <w:rStyle w:val="Hyperlink"/>
          </w:rPr>
          <w:t>https://www.cbd.int/doc/c/914a/eca3/24ad42235033f031badf61b1/wg2020-03-03-en.pdf</w:t>
        </w:r>
      </w:hyperlink>
    </w:p>
  </w:footnote>
  <w:footnote w:id="18">
    <w:p w:rsidR="00610401" w:rsidRPr="00610401" w:rsidRDefault="00610401" w:rsidP="00CD623F">
      <w:pPr>
        <w:pStyle w:val="FootnoteText"/>
        <w:spacing w:line="276" w:lineRule="auto"/>
        <w:ind w:left="0" w:firstLine="0"/>
      </w:pPr>
      <w:r w:rsidRPr="00610401">
        <w:rPr>
          <w:rStyle w:val="FootnoteReference"/>
        </w:rPr>
        <w:footnoteRef/>
      </w:r>
      <w:r w:rsidRPr="00610401">
        <w:tab/>
        <w:t xml:space="preserve">Konwencja Narodów Zjednoczonych w sprawie zwalczania pustynnienia w państwach dotkniętych poważnymi suszami i/lub pustynnieniem, zwłaszcza w Afryce (UNCCD), dostępna pod adresem </w:t>
      </w:r>
      <w:hyperlink r:id="rId13" w:history="1">
        <w:r w:rsidRPr="00610401">
          <w:rPr>
            <w:rStyle w:val="Hyperlink"/>
          </w:rPr>
          <w:t>https://www.unccd.int/sites/default/files/relevant-links/2017-01/UNCCD_Convention_ENG_0.pdf</w:t>
        </w:r>
      </w:hyperlink>
    </w:p>
  </w:footnote>
  <w:footnote w:id="19">
    <w:p w:rsidR="00610401" w:rsidRPr="00610401" w:rsidRDefault="00610401" w:rsidP="00CD623F">
      <w:pPr>
        <w:pStyle w:val="FootnoteText"/>
        <w:spacing w:line="276" w:lineRule="auto"/>
        <w:ind w:left="0" w:firstLine="0"/>
        <w:rPr>
          <w:color w:val="0000FF"/>
          <w:u w:val="single"/>
        </w:rPr>
      </w:pPr>
      <w:r w:rsidRPr="00610401">
        <w:rPr>
          <w:rStyle w:val="FootnoteReference"/>
        </w:rPr>
        <w:footnoteRef/>
      </w:r>
      <w:r w:rsidRPr="00610401">
        <w:tab/>
        <w:t xml:space="preserve">Organizacja Narodów Zjednoczonych: rezolucja przyjęta przez Zgromadzenie Ogólne w dniu 25 września 2015 r. – „Przekształcamy nasz świat: Agenda na rzecz zrównoważonego rozwoju 2030”, dostępna pod adresem </w:t>
      </w:r>
      <w:hyperlink r:id="rId14" w:history="1">
        <w:r w:rsidRPr="00610401">
          <w:rPr>
            <w:rStyle w:val="Hyperlink"/>
          </w:rPr>
          <w:t>https://www.unic.un.org.pl/files/164/Agenda%202030_pl_2016_ostateczna.pdf</w:t>
        </w:r>
      </w:hyperlink>
    </w:p>
  </w:footnote>
  <w:footnote w:id="20">
    <w:p w:rsidR="00610401" w:rsidRPr="00610401" w:rsidRDefault="00610401" w:rsidP="00CD623F">
      <w:pPr>
        <w:pStyle w:val="FootnoteText"/>
        <w:spacing w:line="276" w:lineRule="auto"/>
        <w:ind w:left="0" w:firstLine="0"/>
      </w:pPr>
      <w:r w:rsidRPr="00610401">
        <w:rPr>
          <w:rStyle w:val="FootnoteReference"/>
        </w:rPr>
        <w:footnoteRef/>
      </w:r>
      <w:r w:rsidRPr="00610401">
        <w:tab/>
        <w:t xml:space="preserve">Rezolucja przyjęta przez Zgromadzenie Ogólne w dniu 1 marca 2019 r. – Oenzetowska Dekada restytucji ekosystemów (2021–2030), dostępna pod adresem </w:t>
      </w:r>
      <w:hyperlink r:id="rId15" w:history="1">
        <w:r w:rsidRPr="00610401">
          <w:rPr>
            <w:rStyle w:val="Hyperlink"/>
          </w:rPr>
          <w:t>https://www.decadeonrestoration.org/about-un-decade</w:t>
        </w:r>
      </w:hyperlink>
    </w:p>
  </w:footnote>
  <w:footnote w:id="21">
    <w:p w:rsidR="00610401" w:rsidRPr="00610401" w:rsidRDefault="00610401" w:rsidP="00CD623F">
      <w:pPr>
        <w:pStyle w:val="FootnoteText"/>
        <w:spacing w:line="276" w:lineRule="auto"/>
        <w:ind w:left="0" w:firstLine="0"/>
      </w:pPr>
      <w:r w:rsidRPr="00610401">
        <w:rPr>
          <w:rStyle w:val="FootnoteReference"/>
        </w:rPr>
        <w:footnoteRef/>
      </w:r>
      <w:r w:rsidRPr="00610401">
        <w:tab/>
        <w:t xml:space="preserve">Porozumienie paryskie, dostępne pod adresem </w:t>
      </w:r>
      <w:hyperlink r:id="rId16" w:history="1">
        <w:r w:rsidRPr="00610401">
          <w:rPr>
            <w:rStyle w:val="Hyperlink"/>
          </w:rPr>
          <w:t>https://unfccc.int/sites/default/files/english_paris_agreement.pdf</w:t>
        </w:r>
      </w:hyperlink>
    </w:p>
  </w:footnote>
  <w:footnote w:id="22">
    <w:p w:rsidR="00610401" w:rsidRPr="00610401" w:rsidRDefault="00610401" w:rsidP="00CD623F">
      <w:pPr>
        <w:pStyle w:val="FootnoteText"/>
        <w:ind w:left="0" w:firstLine="0"/>
      </w:pPr>
      <w:r w:rsidRPr="00610401">
        <w:rPr>
          <w:rStyle w:val="FootnoteReference"/>
        </w:rPr>
        <w:footnoteRef/>
      </w:r>
      <w:r w:rsidRPr="00610401">
        <w:tab/>
        <w:t>Dyrektywa Parlamentu Europejskiego i Rady 2009/147/WE z dnia 30 listopada 2009 r. w sprawie ochrony dzikiego ptactwa (Dz.U. L 20 z 26.1.2010, s. 7).</w:t>
      </w:r>
    </w:p>
  </w:footnote>
  <w:footnote w:id="23">
    <w:p w:rsidR="00610401" w:rsidRPr="00610401" w:rsidRDefault="00610401" w:rsidP="00CD623F">
      <w:pPr>
        <w:pStyle w:val="FootnoteText"/>
        <w:ind w:left="0" w:hanging="11"/>
      </w:pPr>
      <w:r w:rsidRPr="00610401">
        <w:rPr>
          <w:rStyle w:val="FootnoteReference"/>
        </w:rPr>
        <w:footnoteRef/>
      </w:r>
      <w:r w:rsidRPr="00610401">
        <w:tab/>
        <w:t>Dyrektywa Rady 92/43/EWG z dnia 21 maja 1992 r. w sprawie ochrony siedlisk przyrodniczych oraz dzikiej fauny i flory (</w:t>
      </w:r>
      <w:r w:rsidRPr="00610401">
        <w:rPr>
          <w:color w:val="000000"/>
          <w:shd w:val="clear" w:color="auto" w:fill="FFFFFF"/>
        </w:rPr>
        <w:t>Dz.U. L 206 z 22.7.1992, s. 7).</w:t>
      </w:r>
    </w:p>
  </w:footnote>
  <w:footnote w:id="24">
    <w:p w:rsidR="00610401" w:rsidRPr="00610401" w:rsidRDefault="00610401" w:rsidP="00CD623F">
      <w:pPr>
        <w:pStyle w:val="FootnoteText"/>
        <w:ind w:left="0" w:firstLine="0"/>
      </w:pPr>
      <w:r w:rsidRPr="00610401">
        <w:rPr>
          <w:rStyle w:val="FootnoteReference"/>
        </w:rPr>
        <w:footnoteRef/>
      </w:r>
      <w:r w:rsidRPr="00610401">
        <w:tab/>
        <w:t>Dyrektywa 2000/60/WE Parlamentu Europejskiego i Rady z dnia 23 października 2000 r. ustanawiająca ramy wspólnotowego działania w dziedzinie polityki wodnej (Dz.U. L 327 z 22.12.2000, s. 1).</w:t>
      </w:r>
    </w:p>
  </w:footnote>
  <w:footnote w:id="25">
    <w:p w:rsidR="00610401" w:rsidRPr="00610401" w:rsidRDefault="00610401" w:rsidP="00CD623F">
      <w:pPr>
        <w:pStyle w:val="FootnoteText"/>
        <w:ind w:left="0" w:firstLine="0"/>
      </w:pPr>
      <w:r w:rsidRPr="00610401">
        <w:rPr>
          <w:rStyle w:val="FootnoteReference"/>
        </w:rPr>
        <w:footnoteRef/>
      </w:r>
      <w:r w:rsidRPr="00610401">
        <w:tab/>
        <w:t>Dyrektywa Parlamentu Europejskiego i Rady 2008/56/WE z dnia 17 czerwca 2008 r. ustanawiająca ramy działań Wspólnoty w dziedzinie polityki środowiska morskiego (Dz.U. L 164 z 25.6.2008, s. 19).</w:t>
      </w:r>
    </w:p>
  </w:footnote>
  <w:footnote w:id="26">
    <w:p w:rsidR="00610401" w:rsidRPr="00610401" w:rsidRDefault="00610401" w:rsidP="00CD623F">
      <w:pPr>
        <w:pStyle w:val="FootnoteText"/>
        <w:ind w:left="0" w:firstLine="0"/>
      </w:pPr>
      <w:r w:rsidRPr="00610401">
        <w:rPr>
          <w:rStyle w:val="FootnoteReference"/>
        </w:rPr>
        <w:footnoteRef/>
      </w:r>
      <w:r w:rsidRPr="00610401">
        <w:tab/>
        <w:t>Rozporządzenie Parlamentu Europejskiego i Rady (UE) nr 1143/2014 z dnia 22 października 2014 r. w sprawie działań zapobiegawczych i zaradczych w odniesieniu do wprowadzania i rozprzestrzeniania inwazyjnych gatunków obcych (Dz.U. L 317 z 4.11.2014, s. 35).</w:t>
      </w:r>
    </w:p>
  </w:footnote>
  <w:footnote w:id="27">
    <w:p w:rsidR="00610401" w:rsidRPr="00610401" w:rsidRDefault="00610401" w:rsidP="00CD623F">
      <w:pPr>
        <w:pStyle w:val="FootnoteText"/>
        <w:ind w:left="0" w:hanging="11"/>
      </w:pPr>
      <w:r w:rsidRPr="00610401">
        <w:rPr>
          <w:rStyle w:val="FootnoteReference"/>
        </w:rPr>
        <w:footnoteRef/>
      </w:r>
      <w:r w:rsidRPr="00610401">
        <w:tab/>
        <w:t>Komunikat Komisji do Parlamentu Europejskiego, Rady, Europejskiego Komitetu Ekonomiczno-Społecznego i Komitetu Regionów, Nowa strategia leśna UE 2030, COM(2021) 572 final.</w:t>
      </w:r>
    </w:p>
  </w:footnote>
  <w:footnote w:id="28">
    <w:p w:rsidR="00610401" w:rsidRPr="00610401" w:rsidRDefault="00610401" w:rsidP="00CD623F">
      <w:pPr>
        <w:pStyle w:val="FootnoteText"/>
        <w:ind w:left="0" w:firstLine="0"/>
      </w:pPr>
      <w:r w:rsidRPr="00610401">
        <w:rPr>
          <w:rStyle w:val="FootnoteReference"/>
        </w:rPr>
        <w:footnoteRef/>
      </w:r>
      <w:r w:rsidRPr="00610401">
        <w:tab/>
        <w:t>Komunikat Komisji do Parlamentu Europejskiego, Rady, Europejskiego Komitetu Ekonomiczno-Społecznego i Komitetu Regionów, Inicjatywa UE na rzecz owadów zapylających, COM(2018) 395 final.</w:t>
      </w:r>
    </w:p>
  </w:footnote>
  <w:footnote w:id="29">
    <w:p w:rsidR="00610401" w:rsidRPr="00610401" w:rsidRDefault="00610401" w:rsidP="00CD623F">
      <w:pPr>
        <w:pStyle w:val="FootnoteText"/>
        <w:ind w:left="0" w:firstLine="0"/>
      </w:pPr>
      <w:r w:rsidRPr="00610401">
        <w:rPr>
          <w:rStyle w:val="FootnoteReference"/>
        </w:rPr>
        <w:footnoteRef/>
      </w:r>
      <w:r w:rsidRPr="00610401">
        <w:tab/>
        <w:t>Komunikat Komisji do Parlamentu Europejskiego, Rady, Europejskiego Komitetu Ekonomiczno-Społecznego i Komitetu Regionów, Zielona infrastruktura — zwiększanie kapitału naturalnego Europy, COM(2013) 249 final.</w:t>
      </w:r>
    </w:p>
  </w:footnote>
  <w:footnote w:id="30">
    <w:p w:rsidR="00610401" w:rsidRPr="00610401" w:rsidRDefault="00610401" w:rsidP="00CD623F">
      <w:pPr>
        <w:pStyle w:val="FootnoteText"/>
        <w:ind w:left="0" w:firstLine="0"/>
      </w:pPr>
      <w:r w:rsidRPr="00610401">
        <w:rPr>
          <w:rStyle w:val="FootnoteReference"/>
        </w:rPr>
        <w:footnoteRef/>
      </w:r>
      <w:r w:rsidRPr="00610401">
        <w:tab/>
        <w:t>Komunikat Komisji do Parlamentu Europejskiego, Rady, Europejskiego Komitetu Ekonomiczno-Społecznego i Komitetu Regionów, Nowy plan działania UE dotyczący gospodarki o obiegu zamkniętym na rzecz czystszej i bardziej konkurencyjnej Europy, COM(2020) 98 final.</w:t>
      </w:r>
    </w:p>
  </w:footnote>
  <w:footnote w:id="31">
    <w:p w:rsidR="00610401" w:rsidRPr="00610401" w:rsidRDefault="00610401" w:rsidP="00CD623F">
      <w:pPr>
        <w:pStyle w:val="FootnoteText"/>
        <w:ind w:left="0" w:firstLine="0"/>
      </w:pPr>
      <w:r w:rsidRPr="00610401">
        <w:rPr>
          <w:rStyle w:val="FootnoteReference"/>
        </w:rPr>
        <w:footnoteRef/>
      </w:r>
      <w:r w:rsidRPr="00610401">
        <w:tab/>
        <w:t>Komunikat Komisji do Parlamentu Europejskiego, Rady, Europejskiego Komitetu Ekonomiczno-Społecznego i Komitetu Regionów, Droga do zdrowej planety dla wszystkich. Plan działania UE na rzecz eliminacji zanieczyszczeń wody, powietrza i gleby, COM(2021) 400 final.</w:t>
      </w:r>
    </w:p>
  </w:footnote>
  <w:footnote w:id="32">
    <w:p w:rsidR="00610401" w:rsidRPr="00610401" w:rsidRDefault="00610401" w:rsidP="009503BE">
      <w:pPr>
        <w:pStyle w:val="FootnoteText"/>
      </w:pPr>
      <w:r w:rsidRPr="00610401">
        <w:rPr>
          <w:rStyle w:val="FootnoteReference"/>
        </w:rPr>
        <w:footnoteRef/>
      </w:r>
      <w:r w:rsidRPr="00610401">
        <w:tab/>
        <w:t>Na podstawie wniosku Komisji dotyczącego zalecenia Rady w sprawie uczenia się na rzecz zrównoważenia środowiskowego, COM/2022/11 final.</w:t>
      </w:r>
    </w:p>
  </w:footnote>
  <w:footnote w:id="33">
    <w:p w:rsidR="00610401" w:rsidRPr="00610401" w:rsidRDefault="00610401" w:rsidP="00CD623F">
      <w:pPr>
        <w:pStyle w:val="FootnoteText"/>
        <w:rPr>
          <w:szCs w:val="24"/>
        </w:rPr>
      </w:pPr>
      <w:r w:rsidRPr="00610401">
        <w:rPr>
          <w:rStyle w:val="FootnoteReference"/>
          <w:szCs w:val="24"/>
        </w:rPr>
        <w:footnoteRef/>
      </w:r>
      <w:r w:rsidRPr="00610401">
        <w:tab/>
        <w:t>Rozporządzenie Parlamentu Europejskiego i Rady (UE) 2021/1119 z dnia 30 czerwca 2021 r. w sprawie ustanowienia ram na potrzeby osiągnięcia neutralności klimatycznej i zmiany rozporządzeń (WE) nr 401/2009 i (UE) 2018/1999.</w:t>
      </w:r>
    </w:p>
  </w:footnote>
  <w:footnote w:id="34">
    <w:p w:rsidR="00610401" w:rsidRPr="00610401" w:rsidRDefault="00610401" w:rsidP="00647444">
      <w:pPr>
        <w:pStyle w:val="FootnoteText"/>
      </w:pPr>
      <w:r w:rsidRPr="00610401">
        <w:rPr>
          <w:rStyle w:val="FootnoteReference"/>
        </w:rPr>
        <w:footnoteRef/>
      </w:r>
      <w:r w:rsidRPr="00610401">
        <w:tab/>
        <w:t>Wniosek dotyczący rozporządzenia Parlamentu Europejskiego i Rady zmieniającego rozporządzenie (UE) 2018/841 w odniesieniu do zakresu stosowania, uproszczenia przepisów dotyczących zgodności, określenia celów państw członkowskich na 2030 r. i zobowiązania do zbiorowego osiągnięcia neutralności klimatycznej do 2035 r. w sektorze użytkowania gruntów, leśnictwa i rolnictwa oraz rozporządzenie (UE) 2018/1999 w odniesieniu do poprawy monitorowania, sprawozdawczości, śledzenia postępów i przeglądu (COM(2021) 554 final).</w:t>
      </w:r>
    </w:p>
  </w:footnote>
  <w:footnote w:id="35">
    <w:p w:rsidR="00610401" w:rsidRPr="00610401" w:rsidRDefault="00610401" w:rsidP="00CD623F">
      <w:pPr>
        <w:pStyle w:val="FootnoteText"/>
        <w:ind w:left="0" w:firstLine="0"/>
      </w:pPr>
      <w:r w:rsidRPr="00610401">
        <w:rPr>
          <w:rStyle w:val="FootnoteReference"/>
        </w:rPr>
        <w:footnoteRef/>
      </w:r>
      <w:r w:rsidRPr="00610401">
        <w:tab/>
        <w:t xml:space="preserve">Komunikat Komisji do Parlamentu Europejskiego, Rady, Europejskiego Komitetu Ekonomiczno-Społecznego i Komitetu Regionów, Budując Europę odporną na zmianę klimatu – nowa Strategia w zakresie przystosowania do zmiany klimatu, COM(2021) 82 final. </w:t>
      </w:r>
    </w:p>
  </w:footnote>
  <w:footnote w:id="36">
    <w:p w:rsidR="00610401" w:rsidRPr="00610401" w:rsidRDefault="00610401" w:rsidP="00CD623F">
      <w:pPr>
        <w:ind w:right="4"/>
        <w:rPr>
          <w:color w:val="000000"/>
          <w:sz w:val="20"/>
          <w:szCs w:val="20"/>
        </w:rPr>
      </w:pPr>
      <w:r w:rsidRPr="00610401">
        <w:rPr>
          <w:rStyle w:val="FootnoteReference"/>
        </w:rPr>
        <w:footnoteRef/>
      </w:r>
      <w:r w:rsidRPr="00610401">
        <w:tab/>
      </w:r>
      <w:r w:rsidRPr="00610401">
        <w:rPr>
          <w:sz w:val="20"/>
        </w:rPr>
        <w:t>Decyzja Parlamentu Europejskiego i Rady nr 1313/2013/UE z dnia 17 grudnia 2013 r. w sprawie Unijnego Mechanizmu Ochrony Ludności, zmieniona decyzją (UE) 2019/420.</w:t>
      </w:r>
    </w:p>
  </w:footnote>
  <w:footnote w:id="37">
    <w:p w:rsidR="00610401" w:rsidRPr="00610401" w:rsidRDefault="00610401" w:rsidP="00CD623F">
      <w:pPr>
        <w:pStyle w:val="FootnoteText"/>
        <w:ind w:left="0" w:firstLine="0"/>
      </w:pPr>
      <w:r w:rsidRPr="00610401">
        <w:rPr>
          <w:rStyle w:val="FootnoteReference"/>
        </w:rPr>
        <w:footnoteRef/>
      </w:r>
      <w:r w:rsidRPr="00610401">
        <w:tab/>
        <w:t xml:space="preserve">Zob. plany strategiczne WPR, dostępne pod adresem </w:t>
      </w:r>
      <w:hyperlink r:id="rId17" w:history="1">
        <w:r w:rsidRPr="00610401">
          <w:rPr>
            <w:rStyle w:val="Hyperlink"/>
          </w:rPr>
          <w:t>https://ec.europa.eu/info/food-farming-fisheries/key-policies/common-agricultural-policy/cap-strategic-plans_en</w:t>
        </w:r>
      </w:hyperlink>
      <w:r w:rsidRPr="00610401">
        <w:t xml:space="preserve"> </w:t>
      </w:r>
    </w:p>
  </w:footnote>
  <w:footnote w:id="38">
    <w:p w:rsidR="00610401" w:rsidRPr="00610401" w:rsidRDefault="00610401" w:rsidP="00CD623F">
      <w:pPr>
        <w:pStyle w:val="FootnoteText"/>
        <w:ind w:left="0" w:firstLine="0"/>
      </w:pPr>
      <w:r w:rsidRPr="00610401">
        <w:rPr>
          <w:rStyle w:val="FootnoteReference"/>
        </w:rPr>
        <w:footnoteRef/>
      </w:r>
      <w:r w:rsidRPr="00610401">
        <w:tab/>
        <w:t>Komunikat Komisji do Parlamentu Europejskiego, Rady, Europejskiego Komitetu Ekonomiczno-Społecznego i Komitetu Regionów, Strategia „od pola do stołu” na rzecz sprawiedliwego, zdrowego i przyjaznego dla środowiska systemu żywnościowego, COM(2020) 381 final.</w:t>
      </w:r>
    </w:p>
  </w:footnote>
  <w:footnote w:id="39">
    <w:p w:rsidR="00610401" w:rsidRPr="00610401" w:rsidRDefault="00610401" w:rsidP="00CD623F">
      <w:pPr>
        <w:pStyle w:val="FootnoteText"/>
      </w:pPr>
      <w:r w:rsidRPr="00610401">
        <w:rPr>
          <w:rStyle w:val="FootnoteReference"/>
        </w:rPr>
        <w:footnoteRef/>
      </w:r>
      <w:r w:rsidRPr="00610401">
        <w:tab/>
        <w:t xml:space="preserve">Zob. Europejski Fundusz Rozwoju Regionalnego, informacje dostępne pod adresem </w:t>
      </w:r>
      <w:hyperlink r:id="rId18" w:history="1">
        <w:r w:rsidRPr="00610401">
          <w:rPr>
            <w:rStyle w:val="Hyperlink"/>
          </w:rPr>
          <w:t>https://ec.europa.eu/regional_policy/en/funding/erdf/</w:t>
        </w:r>
      </w:hyperlink>
      <w:r w:rsidRPr="00610401">
        <w:t xml:space="preserve">, oraz rozporządzenie Parlamentu Europejskiego i Rady (UE) 2021/1058 z dnia 24 czerwca 2021 r. w sprawie Europejskiego Funduszu Rozwoju Regionalnego i Funduszu Spójności, dostępne pod adresem </w:t>
      </w:r>
      <w:hyperlink r:id="rId19" w:history="1">
        <w:r w:rsidRPr="00610401">
          <w:rPr>
            <w:rStyle w:val="Hyperlink"/>
          </w:rPr>
          <w:t>https://eur-lex.europa.eu/legal-content/PL/TXT/?from=EN&amp;uri=CELEX%3A32021R1058</w:t>
        </w:r>
      </w:hyperlink>
      <w:r w:rsidRPr="00610401">
        <w:t xml:space="preserve"> </w:t>
      </w:r>
    </w:p>
  </w:footnote>
  <w:footnote w:id="40">
    <w:p w:rsidR="00610401" w:rsidRPr="00610401" w:rsidRDefault="00610401" w:rsidP="00CD623F">
      <w:pPr>
        <w:pStyle w:val="FootnoteText"/>
      </w:pPr>
      <w:r w:rsidRPr="00610401">
        <w:rPr>
          <w:rStyle w:val="FootnoteReference"/>
        </w:rPr>
        <w:footnoteRef/>
      </w:r>
      <w:r w:rsidRPr="00610401">
        <w:tab/>
        <w:t xml:space="preserve">Zob. polityka w dziedzinie badań nad różnorodnością biologiczną, informacje dostępne pod adresem </w:t>
      </w:r>
      <w:hyperlink r:id="rId20" w:history="1">
        <w:r w:rsidRPr="00610401">
          <w:rPr>
            <w:rStyle w:val="Hyperlink"/>
          </w:rPr>
          <w:t>https://ec.europa.eu/info/research-and-innovation/research-area/environment/biodiversity/biodiversity-research-policy_en</w:t>
        </w:r>
      </w:hyperlink>
      <w:r w:rsidRPr="00610401">
        <w:t xml:space="preserve"> </w:t>
      </w:r>
    </w:p>
    <w:p w:rsidR="00610401" w:rsidRPr="00610401" w:rsidRDefault="00610401" w:rsidP="00CD623F">
      <w:pPr>
        <w:pStyle w:val="FootnoteText"/>
      </w:pPr>
    </w:p>
  </w:footnote>
  <w:footnote w:id="41">
    <w:p w:rsidR="00610401" w:rsidRPr="00610401" w:rsidRDefault="00610401" w:rsidP="00CD623F">
      <w:pPr>
        <w:pBdr>
          <w:top w:val="nil"/>
          <w:left w:val="nil"/>
          <w:bottom w:val="nil"/>
          <w:right w:val="nil"/>
          <w:between w:val="nil"/>
          <w:bar w:val="nil"/>
        </w:pBdr>
        <w:spacing w:before="0" w:after="240"/>
        <w:rPr>
          <w:rFonts w:eastAsia="Calibri"/>
          <w:sz w:val="20"/>
          <w:szCs w:val="20"/>
        </w:rPr>
      </w:pPr>
      <w:r w:rsidRPr="00610401">
        <w:rPr>
          <w:rStyle w:val="FootnoteReference"/>
        </w:rPr>
        <w:footnoteRef/>
      </w:r>
      <w:r w:rsidRPr="00610401">
        <w:tab/>
      </w:r>
      <w:r w:rsidRPr="00610401">
        <w:rPr>
          <w:sz w:val="20"/>
        </w:rPr>
        <w:t>Przegląd stanu środowiska morskiego w Unii Europejskiej w kierunku zapewnienia czystych, zdrowych i urodzajnych oceanów i mórz, dołączony do sprawozdania Komisji dla Parlamentu Europejskiego i Rady z wdrażania dyrektywy ramowej w sprawie strategii morskiej (dyrektywa 2008/56/WE), SWD(2020) 61 final.</w:t>
      </w:r>
    </w:p>
  </w:footnote>
  <w:footnote w:id="42">
    <w:p w:rsidR="00610401" w:rsidRPr="00610401" w:rsidRDefault="00610401" w:rsidP="00834343">
      <w:pPr>
        <w:pStyle w:val="NormalWeb"/>
        <w:shd w:val="clear" w:color="auto" w:fill="FFFFFF"/>
        <w:spacing w:before="0" w:after="75"/>
        <w:rPr>
          <w:rFonts w:eastAsia="Times New Roman"/>
          <w:color w:val="444444"/>
          <w:sz w:val="21"/>
          <w:szCs w:val="21"/>
        </w:rPr>
      </w:pPr>
      <w:r w:rsidRPr="00610401">
        <w:rPr>
          <w:rStyle w:val="FootnoteReference"/>
        </w:rPr>
        <w:footnoteRef/>
      </w:r>
      <w:r w:rsidRPr="00610401">
        <w:tab/>
      </w:r>
      <w:r w:rsidRPr="00610401">
        <w:rPr>
          <w:color w:val="444444"/>
          <w:sz w:val="21"/>
        </w:rPr>
        <w:t>Rozporządzenie Parlamentu Europejskiego i Rady (UE) 2020/852 z dnia 18 czerwca 2020 r. w sprawie ustanowienia ram ułatwiających zrównoważone inwestycje, zmieniające rozporządzenie (UE) 2019/2088 (Dz.U. L 198 z 22.6.2020, s. 13).</w:t>
      </w:r>
    </w:p>
  </w:footnote>
  <w:footnote w:id="43">
    <w:p w:rsidR="00610401" w:rsidRPr="00610401" w:rsidRDefault="00610401" w:rsidP="00186DC5">
      <w:pPr>
        <w:pStyle w:val="FootnoteText"/>
      </w:pPr>
      <w:r w:rsidRPr="00610401">
        <w:rPr>
          <w:rStyle w:val="FootnoteReference"/>
        </w:rPr>
        <w:footnoteRef/>
      </w:r>
      <w:r w:rsidRPr="00610401">
        <w:tab/>
        <w:t>Dz.U. C […] z […], s. […].</w:t>
      </w:r>
    </w:p>
  </w:footnote>
  <w:footnote w:id="44">
    <w:p w:rsidR="00610401" w:rsidRPr="00610401" w:rsidRDefault="00610401" w:rsidP="00B76C20">
      <w:pPr>
        <w:pStyle w:val="FootnoteText"/>
      </w:pPr>
      <w:r w:rsidRPr="00610401">
        <w:rPr>
          <w:rStyle w:val="FootnoteReference"/>
        </w:rPr>
        <w:footnoteRef/>
      </w:r>
      <w:r w:rsidRPr="00610401">
        <w:tab/>
        <w:t>Komunikat Komisji do Parlamentu Europejskiego, Rady Europejskiej, Rady,</w:t>
      </w:r>
    </w:p>
    <w:p w:rsidR="00610401" w:rsidRPr="00610401" w:rsidRDefault="00610401" w:rsidP="00B76C20">
      <w:pPr>
        <w:pStyle w:val="FootnoteText"/>
        <w:ind w:firstLine="0"/>
      </w:pPr>
      <w:r w:rsidRPr="00610401">
        <w:t>Europejskiego Komitetu Ekonomiczno-Społecznego i Komitetu Regionów, Europejski Zielony</w:t>
      </w:r>
    </w:p>
    <w:p w:rsidR="00610401" w:rsidRPr="00610401" w:rsidRDefault="00610401" w:rsidP="0065238B">
      <w:pPr>
        <w:pStyle w:val="FootnoteText"/>
        <w:ind w:firstLine="0"/>
      </w:pPr>
      <w:r w:rsidRPr="00610401">
        <w:t>Ład (COM(2019) 640 final z 11.12.2019).</w:t>
      </w:r>
    </w:p>
  </w:footnote>
  <w:footnote w:id="45">
    <w:p w:rsidR="00610401" w:rsidRPr="00610401" w:rsidRDefault="00610401" w:rsidP="00D9253E">
      <w:pPr>
        <w:pStyle w:val="rfrenceinstitutionnelle"/>
        <w:shd w:val="clear" w:color="auto" w:fill="FFFFFF"/>
        <w:spacing w:before="0" w:beforeAutospacing="0" w:after="0" w:afterAutospacing="0"/>
        <w:jc w:val="both"/>
        <w:rPr>
          <w:color w:val="444444"/>
          <w:sz w:val="20"/>
        </w:rPr>
      </w:pPr>
      <w:r w:rsidRPr="00610401">
        <w:rPr>
          <w:rStyle w:val="FootnoteReference"/>
        </w:rPr>
        <w:footnoteRef/>
      </w:r>
      <w:r w:rsidRPr="00610401">
        <w:tab/>
      </w:r>
      <w:r w:rsidRPr="00610401">
        <w:rPr>
          <w:sz w:val="20"/>
        </w:rPr>
        <w:t xml:space="preserve">Komunikat Komisji do Parlamentu Europejskiego, Rady, Europejskiego Komitetu Ekonomiczno-Społecznego </w:t>
      </w:r>
      <w:r w:rsidRPr="00610401">
        <w:tab/>
      </w:r>
      <w:r w:rsidRPr="00610401">
        <w:rPr>
          <w:sz w:val="20"/>
        </w:rPr>
        <w:t xml:space="preserve">i Komitetu Regionów, </w:t>
      </w:r>
      <w:r w:rsidRPr="00610401">
        <w:rPr>
          <w:color w:val="444444"/>
          <w:sz w:val="20"/>
        </w:rPr>
        <w:t xml:space="preserve">Unijna strategia na rzecz bioróżnorodności 2030 – Przywracanie </w:t>
      </w:r>
      <w:r w:rsidRPr="00610401">
        <w:tab/>
      </w:r>
      <w:r w:rsidRPr="00610401">
        <w:rPr>
          <w:color w:val="444444"/>
          <w:sz w:val="20"/>
        </w:rPr>
        <w:t>przyrody do naszego życia, COM(2020) 380 final z 20.5.2020.</w:t>
      </w:r>
    </w:p>
  </w:footnote>
  <w:footnote w:id="46">
    <w:p w:rsidR="00610401" w:rsidRPr="00610401" w:rsidRDefault="00610401">
      <w:pPr>
        <w:pStyle w:val="FootnoteText"/>
      </w:pPr>
      <w:r w:rsidRPr="00610401">
        <w:rPr>
          <w:rStyle w:val="FootnoteReference"/>
        </w:rPr>
        <w:footnoteRef/>
      </w:r>
      <w:r w:rsidRPr="00610401">
        <w:tab/>
        <w:t>Decyzja Rady 93/626/EWG z dnia 25 października 1993 r. dotycząca zawarcia Konwencji o różnorodności biologicznej (Dz.U. L 309 z 13.12.1993, s. 1).</w:t>
      </w:r>
    </w:p>
  </w:footnote>
  <w:footnote w:id="47">
    <w:p w:rsidR="00610401" w:rsidRPr="00610401" w:rsidRDefault="00610401">
      <w:pPr>
        <w:pStyle w:val="FootnoteText"/>
      </w:pPr>
      <w:r w:rsidRPr="00610401">
        <w:rPr>
          <w:rStyle w:val="FootnoteReference"/>
        </w:rPr>
        <w:footnoteRef/>
      </w:r>
      <w:r w:rsidRPr="00610401">
        <w:tab/>
      </w:r>
      <w:hyperlink r:id="rId21" w:history="1">
        <w:r w:rsidRPr="00610401">
          <w:rPr>
            <w:rStyle w:val="Hyperlink"/>
          </w:rPr>
          <w:t>https://www.cbd.int/decision/cop/?id=12268</w:t>
        </w:r>
      </w:hyperlink>
    </w:p>
  </w:footnote>
  <w:footnote w:id="48">
    <w:p w:rsidR="00610401" w:rsidRPr="00610401" w:rsidRDefault="00610401" w:rsidP="0075764C">
      <w:pPr>
        <w:pStyle w:val="FootnoteText"/>
      </w:pPr>
      <w:r w:rsidRPr="00610401">
        <w:rPr>
          <w:rStyle w:val="FootnoteReference"/>
        </w:rPr>
        <w:footnoteRef/>
      </w:r>
      <w:r w:rsidRPr="00610401">
        <w:tab/>
      </w:r>
      <w:hyperlink r:id="rId22" w:history="1">
        <w:r w:rsidRPr="00610401">
          <w:rPr>
            <w:rStyle w:val="Hyperlink"/>
          </w:rPr>
          <w:t>Strona internetowa ONZ poświęcona zrównoważonemu rozwojowi, „17 Goals to Transform Our World”</w:t>
        </w:r>
      </w:hyperlink>
      <w:r w:rsidRPr="00610401">
        <w:t xml:space="preserve"> [„17 celów, które zmienią nasz świat”].</w:t>
      </w:r>
    </w:p>
  </w:footnote>
  <w:footnote w:id="49">
    <w:p w:rsidR="00610401" w:rsidRPr="00610401" w:rsidRDefault="00610401" w:rsidP="00C92898">
      <w:pPr>
        <w:pStyle w:val="FootnoteText"/>
        <w:rPr>
          <w:rFonts w:eastAsia="Calibri"/>
        </w:rPr>
      </w:pPr>
      <w:r w:rsidRPr="00610401">
        <w:rPr>
          <w:rStyle w:val="FootnoteReference"/>
          <w:rFonts w:eastAsia="Calibri"/>
        </w:rPr>
        <w:footnoteRef/>
      </w:r>
      <w:r w:rsidRPr="00610401">
        <w:tab/>
        <w:t>Rezolucja 73/284 z dnia 1 marca 2019 r. – Oenzetowska Dekada restytucji ekosystemów (2021–2030).</w:t>
      </w:r>
    </w:p>
  </w:footnote>
  <w:footnote w:id="50">
    <w:p w:rsidR="00610401" w:rsidRPr="00610401" w:rsidRDefault="00610401" w:rsidP="000C1A3B">
      <w:pPr>
        <w:pStyle w:val="FootnoteText"/>
      </w:pPr>
      <w:r w:rsidRPr="00610401">
        <w:rPr>
          <w:rStyle w:val="FootnoteReference"/>
        </w:rPr>
        <w:footnoteRef/>
      </w:r>
      <w:r w:rsidRPr="00610401">
        <w:tab/>
        <w:t>Rezolucja Parlamentu Europejskiego z dnia 9 czerwca 2021 r. w sprawie unijnej strategii na rzecz bioróżnorodności 2030 – Przywracanie przyrody do naszego życia (2020/2273(INI)).</w:t>
      </w:r>
    </w:p>
  </w:footnote>
  <w:footnote w:id="51">
    <w:p w:rsidR="00610401" w:rsidRPr="00610401" w:rsidRDefault="00610401" w:rsidP="00F52EFB">
      <w:pPr>
        <w:pStyle w:val="FootnoteText"/>
      </w:pPr>
      <w:r w:rsidRPr="00610401">
        <w:rPr>
          <w:rStyle w:val="FootnoteReference"/>
        </w:rPr>
        <w:footnoteRef/>
      </w:r>
      <w:r w:rsidRPr="00610401">
        <w:tab/>
        <w:t>Konkluzje Rady o różnorodności biologicznej – potrzeba podjęcia pilnych działań, 12210/20.</w:t>
      </w:r>
    </w:p>
  </w:footnote>
  <w:footnote w:id="52">
    <w:p w:rsidR="00610401" w:rsidRPr="00610401" w:rsidRDefault="00610401" w:rsidP="001112B3">
      <w:pPr>
        <w:pStyle w:val="FootnoteText"/>
      </w:pPr>
      <w:r w:rsidRPr="00610401">
        <w:rPr>
          <w:rStyle w:val="FootnoteReference"/>
        </w:rPr>
        <w:footnoteRef/>
      </w:r>
      <w:r w:rsidRPr="00610401">
        <w:tab/>
        <w:t>Dokument roboczy służb Komisji, Kryteria i wytyczne w zakresie wyznaczania obszarów chronionych (SWD(2022) 23 final).</w:t>
      </w:r>
    </w:p>
  </w:footnote>
  <w:footnote w:id="53">
    <w:p w:rsidR="00610401" w:rsidRPr="00610401" w:rsidRDefault="00610401">
      <w:pPr>
        <w:pStyle w:val="FootnoteText"/>
      </w:pPr>
      <w:r w:rsidRPr="00610401">
        <w:rPr>
          <w:rStyle w:val="FootnoteReference"/>
        </w:rPr>
        <w:footnoteRef/>
      </w:r>
      <w:r w:rsidRPr="00610401">
        <w:tab/>
        <w:t xml:space="preserve">Dostępne pod adresem: </w:t>
      </w:r>
      <w:hyperlink r:id="rId23" w:history="1">
        <w:r w:rsidRPr="00610401">
          <w:rPr>
            <w:rStyle w:val="Hyperlink"/>
          </w:rPr>
          <w:t>Circabc (europa.eu)</w:t>
        </w:r>
      </w:hyperlink>
      <w:r w:rsidRPr="00610401">
        <w:t xml:space="preserve"> [Odniesienie do uzupełnienia].</w:t>
      </w:r>
    </w:p>
  </w:footnote>
  <w:footnote w:id="54">
    <w:p w:rsidR="00610401" w:rsidRPr="00610401" w:rsidRDefault="00610401" w:rsidP="00D06994">
      <w:pPr>
        <w:pStyle w:val="FootnoteText"/>
      </w:pPr>
      <w:r w:rsidRPr="00610401">
        <w:rPr>
          <w:rStyle w:val="FootnoteReference"/>
        </w:rPr>
        <w:footnoteRef/>
      </w:r>
      <w:r w:rsidRPr="00610401">
        <w:tab/>
        <w:t>Sprawozdanie Komisji dla Parlamentu Europejskiego, Rady i Europejskiego Komitetu Ekonomiczno-Społecznego, Stan przyrody w Unii Europejskiej. Sprawozdanie na temat stanu gatunków i typów siedlisk chronionych na podstawie dyrektywy siedliskowej i dyrektywy ptasiej oraz tendencji w tym zakresie w latach 2013–2018, COM(2020) 635 final.</w:t>
      </w:r>
    </w:p>
  </w:footnote>
  <w:footnote w:id="55">
    <w:p w:rsidR="00610401" w:rsidRPr="00610401" w:rsidRDefault="00610401">
      <w:pPr>
        <w:pStyle w:val="FootnoteText"/>
      </w:pPr>
      <w:r w:rsidRPr="00610401">
        <w:rPr>
          <w:rStyle w:val="FootnoteReference"/>
        </w:rPr>
        <w:footnoteRef/>
      </w:r>
      <w:r w:rsidRPr="00610401">
        <w:tab/>
      </w:r>
      <w:hyperlink r:id="rId24" w:history="1">
        <w:r w:rsidRPr="00610401">
          <w:rPr>
            <w:rStyle w:val="Hyperlink"/>
          </w:rPr>
          <w:t>https://seea.un.org/sites/seea.un.org/files/documents/EA/seea_ea_white_cover_final.pdf</w:t>
        </w:r>
      </w:hyperlink>
    </w:p>
  </w:footnote>
  <w:footnote w:id="56">
    <w:p w:rsidR="00610401" w:rsidRPr="00610401" w:rsidRDefault="00610401" w:rsidP="00EC6FCD">
      <w:pPr>
        <w:pStyle w:val="FootnoteText"/>
      </w:pPr>
      <w:r w:rsidRPr="00610401">
        <w:rPr>
          <w:rStyle w:val="FootnoteReference"/>
        </w:rPr>
        <w:footnoteRef/>
      </w:r>
      <w:r w:rsidRPr="00610401">
        <w:tab/>
        <w:t xml:space="preserve">Międzyrządowy Zespół ds. Zmian Klimatu (IPCC): „Special Report on the impacts of global warming of 1.5°C and related global greenhouse gas emission pathways, in the context of strengthening the global response to the threat of climate change, sustainable development, and efforts to eradicate poverty” [„Raport specjalny na temat wpływu globalnego ocieplenia o 1,5 °C i związanych z nim globalnych scenariuszy emisji gazów cieplarnianych w kontekście wzmocnienia globalnej reakcji na zagrożenie zmianą klimatu, zrównoważonego rozwoju i działań na rzecz likwidacji ubóstwa”] [Masson-Delmotte, V., P. Zhai, H.-O. Pörtner, D. Roberts, J. Skea, P.R. Shukla, A. Pirani, W. Moufouma-Okia, C. Péan, R. Pidcock, S. Connors, J.B.R. Matthews, Y. Chen, X. Zhou, M.I. Gomis, E. Lonnoy, T. Maycock, M. Tignor i T. Waterfield (red.)]. </w:t>
      </w:r>
      <w:hyperlink r:id="rId25" w:history="1">
        <w:r w:rsidRPr="00610401">
          <w:rPr>
            <w:rStyle w:val="Hyperlink"/>
          </w:rPr>
          <w:t>https://www.ipcc.ch/sr15/</w:t>
        </w:r>
      </w:hyperlink>
      <w:r w:rsidRPr="00610401">
        <w:rPr>
          <w:rStyle w:val="Hyperlink"/>
        </w:rPr>
        <w:t xml:space="preserve"> </w:t>
      </w:r>
    </w:p>
  </w:footnote>
  <w:footnote w:id="57">
    <w:p w:rsidR="00610401" w:rsidRPr="00610401" w:rsidRDefault="00610401">
      <w:pPr>
        <w:pStyle w:val="FootnoteText"/>
      </w:pPr>
      <w:r w:rsidRPr="00610401">
        <w:rPr>
          <w:rStyle w:val="FootnoteReference"/>
        </w:rPr>
        <w:footnoteRef/>
      </w:r>
      <w:r w:rsidRPr="00610401">
        <w:tab/>
      </w:r>
      <w:hyperlink r:id="rId26" w:history="1">
        <w:r w:rsidRPr="00610401">
          <w:rPr>
            <w:rStyle w:val="Hyperlink"/>
          </w:rPr>
          <w:t>Climate Change 2022:</w:t>
        </w:r>
      </w:hyperlink>
      <w:hyperlink r:id="rId27" w:history="1">
        <w:r w:rsidRPr="00610401">
          <w:rPr>
            <w:rStyle w:val="Hyperlink"/>
          </w:rPr>
          <w:t xml:space="preserve"> Impacts, Adaptation and Vulnerability [„Zmiana klimatu 2022: jej skutki, przystosowanie się do niej i wrażliwość na nią”] |</w:t>
        </w:r>
      </w:hyperlink>
      <w:hyperlink r:id="rId28" w:history="1">
        <w:r w:rsidRPr="00610401">
          <w:rPr>
            <w:rStyle w:val="Hyperlink"/>
          </w:rPr>
          <w:t xml:space="preserve"> Climate Change 2022:</w:t>
        </w:r>
      </w:hyperlink>
      <w:hyperlink r:id="rId29" w:history="1">
        <w:r w:rsidRPr="00610401">
          <w:rPr>
            <w:rStyle w:val="Hyperlink"/>
          </w:rPr>
          <w:t xml:space="preserve"> Impacts, Adaptation and Vulnerability (ipcc.ch) [„Zmiana klimatu 2022: jej skutki, przystosowanie się do niej i wrażliwość na nią”]</w:t>
        </w:r>
      </w:hyperlink>
    </w:p>
  </w:footnote>
  <w:footnote w:id="58">
    <w:p w:rsidR="00610401" w:rsidRPr="00610401" w:rsidRDefault="00610401">
      <w:pPr>
        <w:pStyle w:val="FootnoteText"/>
      </w:pPr>
      <w:r w:rsidRPr="00610401">
        <w:rPr>
          <w:rStyle w:val="FootnoteReference"/>
        </w:rPr>
        <w:footnoteRef/>
      </w:r>
      <w:r w:rsidRPr="00610401">
        <w:tab/>
      </w:r>
      <w:r w:rsidRPr="00610401">
        <w:rPr>
          <w:shd w:val="clear" w:color="auto" w:fill="FFFFFF"/>
        </w:rPr>
        <w:t>IPBES (2019): Sprawozdanie na temat globalnej oceny różnorodności biologicznej i usług ekosystemowych opublikowane przez Międzyrządową Platformę Naukowo-Polityczną w sprawie Różnorodności Biologicznej i Funkcjonowania Ekosystemów, Brondizio, E. S., Settele, J., Díaz, S. i Ngo, H. T. (red.), Sekretariat IPBES, Bonn, Niemcy, 1148 stron.  </w:t>
      </w:r>
      <w:hyperlink r:id="rId30" w:tgtFrame="_blank" w:history="1">
        <w:r w:rsidRPr="00610401">
          <w:rPr>
            <w:rStyle w:val="Hyperlink"/>
            <w:color w:val="009390"/>
            <w:shd w:val="clear" w:color="auto" w:fill="FFFFFF"/>
          </w:rPr>
          <w:t>https://doi.org/10.5281/zenodo.3831673</w:t>
        </w:r>
      </w:hyperlink>
      <w:r w:rsidRPr="00610401">
        <w:t>.</w:t>
      </w:r>
    </w:p>
  </w:footnote>
  <w:footnote w:id="59">
    <w:p w:rsidR="00610401" w:rsidRPr="00610401" w:rsidRDefault="00610401" w:rsidP="001C1CF1">
      <w:pPr>
        <w:pStyle w:val="NormalWeb"/>
        <w:shd w:val="clear" w:color="auto" w:fill="FFFFFF"/>
        <w:spacing w:before="0" w:after="75"/>
        <w:ind w:left="709" w:hanging="709"/>
        <w:rPr>
          <w:rFonts w:eastAsia="Times New Roman"/>
          <w:color w:val="444444"/>
          <w:sz w:val="20"/>
          <w:szCs w:val="20"/>
        </w:rPr>
      </w:pPr>
      <w:r w:rsidRPr="00610401">
        <w:rPr>
          <w:rStyle w:val="FootnoteReference"/>
        </w:rPr>
        <w:footnoteRef/>
      </w:r>
      <w:r w:rsidRPr="00610401">
        <w:tab/>
      </w:r>
      <w:r w:rsidRPr="00610401">
        <w:rPr>
          <w:color w:val="000000" w:themeColor="text1"/>
          <w:sz w:val="20"/>
        </w:rPr>
        <w:t xml:space="preserve">Rozporządzenie Parlamentu Europejskiego i Rady (UE) 2021/1119 z dnia 30 czerwca 2021 r. w sprawie ustanowienia ram na potrzeby osiągnięcia neutralności klimatycznej i zmiany rozporządzeń (WE) nr 401/2009 i (UE) 2018/1999 (Europejskie prawo o klimacie) (Dz.U. </w:t>
      </w:r>
      <w:r w:rsidRPr="00610401">
        <w:tab/>
      </w:r>
      <w:r w:rsidRPr="00610401">
        <w:rPr>
          <w:color w:val="000000" w:themeColor="text1"/>
          <w:sz w:val="20"/>
        </w:rPr>
        <w:t>243 z 9.7.2021, s. 1).</w:t>
      </w:r>
    </w:p>
  </w:footnote>
  <w:footnote w:id="60">
    <w:p w:rsidR="00610401" w:rsidRPr="00610401" w:rsidRDefault="00610401" w:rsidP="0045435C">
      <w:pPr>
        <w:pStyle w:val="FootnoteText"/>
      </w:pPr>
      <w:r w:rsidRPr="00610401">
        <w:rPr>
          <w:rStyle w:val="FootnoteReference"/>
        </w:rPr>
        <w:footnoteRef/>
      </w:r>
      <w:r w:rsidRPr="00610401">
        <w:tab/>
        <w:t>Rozwiązania oparte na przyrodzie to rozwiązania, które powstały z inspiracji przyrodą lub są realizowane przy jej pomocy, a ponadto są opłacalne i zapewniają jednocześnie korzyści środowiskowe, społeczne i gospodarcze oraz pomagają w zwiększaniu odporności. Takie rozwiązania za pomocą systemowych, dostosowanych do lokalnych warunków i efektywnie wykorzystujących zasoby działań wprowadzają do miast oraz krajobrazu lądowego i morskiego coraz bardziej zróżnicowane, naturalne i wykorzystujące przyrodę elementy i procesy. W związku z tym rozwiązania oparte na przyrodzie muszą wpływać korzystnie na bioróżnorodność i wspierają świadczenie szeregu usług ekosystemowych.</w:t>
      </w:r>
    </w:p>
  </w:footnote>
  <w:footnote w:id="61">
    <w:p w:rsidR="00610401" w:rsidRPr="00610401" w:rsidRDefault="00610401" w:rsidP="00B0251E">
      <w:pPr>
        <w:rPr>
          <w:rFonts w:eastAsia="Times New Roman"/>
          <w:sz w:val="16"/>
          <w:szCs w:val="16"/>
        </w:rPr>
      </w:pPr>
      <w:r w:rsidRPr="00610401">
        <w:rPr>
          <w:rStyle w:val="FootnoteReference"/>
        </w:rPr>
        <w:footnoteRef/>
      </w:r>
      <w:r w:rsidRPr="00610401">
        <w:tab/>
      </w:r>
      <w:r w:rsidRPr="00610401">
        <w:rPr>
          <w:sz w:val="20"/>
        </w:rPr>
        <w:t>Komunikat Komisji Europejskiej do Parlamentu Europejskiego, Rady, Europejskiego Komitetu Ekonomiczno-Społecznego i Komitetu Regionów, Budując Europę odporną na zmianę klimatu – nowa Strategia w zakresie przystosowania do zmiany klimatu, (COM/2021/82 final).</w:t>
      </w:r>
    </w:p>
  </w:footnote>
  <w:footnote w:id="62">
    <w:p w:rsidR="00610401" w:rsidRPr="00610401" w:rsidRDefault="00610401" w:rsidP="00B0251E">
      <w:pPr>
        <w:pStyle w:val="FootnoteText"/>
        <w:ind w:left="0" w:firstLine="0"/>
      </w:pPr>
      <w:r w:rsidRPr="00610401">
        <w:rPr>
          <w:rStyle w:val="FootnoteReference"/>
        </w:rPr>
        <w:footnoteRef/>
      </w:r>
      <w:r w:rsidRPr="00610401">
        <w:tab/>
        <w:t>Wniosek dotyczący rozporządzenia Parlamentu Europejskiego i Rady zmieniającego rozporządzenie (UE) 2018/841 w odniesieniu do zakresu stosowania, uproszczenia przepisów dotyczących zgodności, określenia celów państw członkowskich na 2030 r. i zobowiązania do zbiorowego osiągnięcia neutralności klimatycznej do 2035 r. w sektorze użytkowania gruntów, leśnictwa i rolnictwa oraz rozporządzenie (UE) 2018/1999 w odniesieniu do poprawy monitorowania, sprawozdawczości, śledzenia postępów i przeglądu (COM(2021) 554 final).</w:t>
      </w:r>
    </w:p>
  </w:footnote>
  <w:footnote w:id="63">
    <w:p w:rsidR="00610401" w:rsidRPr="00610401" w:rsidRDefault="00610401" w:rsidP="00210EC1">
      <w:pPr>
        <w:pStyle w:val="FootnoteText"/>
      </w:pPr>
      <w:r w:rsidRPr="00610401">
        <w:rPr>
          <w:rStyle w:val="FootnoteReference"/>
        </w:rPr>
        <w:footnoteRef/>
      </w:r>
      <w:r w:rsidRPr="00610401">
        <w:tab/>
        <w:t xml:space="preserve">Komunikat Komisji do Parlamentu Europejskiego, Rady, Europejskiego Komitetu Ekonomiczno-Społecznego i Komitetu Regionów: Zapewnienie bezpieczeństwa żywnościowego i zwiększenie odporności systemów żywnościowych, COM(2022) 133 final. </w:t>
      </w:r>
    </w:p>
  </w:footnote>
  <w:footnote w:id="64">
    <w:p w:rsidR="00610401" w:rsidRPr="00610401" w:rsidRDefault="00610401" w:rsidP="00D804F3">
      <w:pPr>
        <w:pStyle w:val="FootnoteText"/>
      </w:pPr>
      <w:r w:rsidRPr="00610401">
        <w:rPr>
          <w:rStyle w:val="FootnoteReference"/>
        </w:rPr>
        <w:footnoteRef/>
      </w:r>
      <w:r w:rsidRPr="00610401">
        <w:tab/>
      </w:r>
      <w:r w:rsidRPr="00610401">
        <w:rPr>
          <w:i/>
        </w:rPr>
        <w:t>Konferencja w sprawie przyszłości Europy, sprawozdanie z ostatecznych wyników</w:t>
      </w:r>
      <w:r w:rsidRPr="00610401">
        <w:t>, maj 2022 r., propozycja 2 (1, 4, 5), s. 44 i propozycja 6 (6), s. 48.</w:t>
      </w:r>
    </w:p>
  </w:footnote>
  <w:footnote w:id="65">
    <w:p w:rsidR="00610401" w:rsidRPr="00610401" w:rsidRDefault="00610401" w:rsidP="00B80697">
      <w:pPr>
        <w:pStyle w:val="FootnoteText"/>
      </w:pPr>
      <w:r w:rsidRPr="00610401">
        <w:rPr>
          <w:rStyle w:val="FootnoteReference"/>
        </w:rPr>
        <w:footnoteRef/>
      </w:r>
      <w:r w:rsidRPr="00610401">
        <w:tab/>
        <w:t>Komunikat Komisji do Parlamentu Europejskiego, Rady, Europejskiego Komitetu Ekonomiczno-Społecznego i Komitetu Regionów, Strategia UE na rzecz ochrony gleb 2030. Korzyści ze zdrowych gleb dla ludzi, żywności, przyrody i klimatu</w:t>
      </w:r>
    </w:p>
    <w:p w:rsidR="00610401" w:rsidRPr="00610401" w:rsidRDefault="00610401" w:rsidP="00B80697">
      <w:pPr>
        <w:pStyle w:val="FootnoteText"/>
      </w:pPr>
      <w:r w:rsidRPr="00610401">
        <w:tab/>
        <w:t>(COM(2021) 699 final).</w:t>
      </w:r>
    </w:p>
  </w:footnote>
  <w:footnote w:id="66">
    <w:p w:rsidR="00610401" w:rsidRPr="00610401" w:rsidRDefault="00610401" w:rsidP="00E01AEC">
      <w:pPr>
        <w:pStyle w:val="FootnoteText"/>
      </w:pPr>
      <w:r w:rsidRPr="00610401">
        <w:rPr>
          <w:rStyle w:val="FootnoteReference"/>
        </w:rPr>
        <w:footnoteRef/>
      </w:r>
      <w:r w:rsidRPr="00610401">
        <w:tab/>
        <w:t>Dyrektywa Rady 92/43/EWG z dnia 21 maja 1992 r. w sprawie ochrony siedlisk przyrodniczych oraz dzikiej fauny i flory (Dz.U. L 206 z 22.7.1992, s. 7).</w:t>
      </w:r>
    </w:p>
  </w:footnote>
  <w:footnote w:id="67">
    <w:p w:rsidR="00610401" w:rsidRPr="00610401" w:rsidRDefault="00610401" w:rsidP="002579B8">
      <w:pPr>
        <w:pStyle w:val="FootnoteText"/>
      </w:pPr>
      <w:r w:rsidRPr="00610401">
        <w:rPr>
          <w:rStyle w:val="FootnoteReference"/>
        </w:rPr>
        <w:footnoteRef/>
      </w:r>
      <w:r w:rsidRPr="00610401">
        <w:tab/>
        <w:t>Dyrektywa Parlamentu Europejskiego i Rady 2009/147/WE z dnia 30 listopada 2009 r. w sprawie ochrony dzikiego ptactwa (Dz.U. L 20 z 26.1.2010, s. 7).</w:t>
      </w:r>
    </w:p>
  </w:footnote>
  <w:footnote w:id="68">
    <w:p w:rsidR="00610401" w:rsidRPr="00610401" w:rsidRDefault="00610401" w:rsidP="00426E2F">
      <w:pPr>
        <w:pStyle w:val="FootnoteText"/>
      </w:pPr>
      <w:r w:rsidRPr="00610401">
        <w:rPr>
          <w:rStyle w:val="FootnoteReference"/>
        </w:rPr>
        <w:footnoteRef/>
      </w:r>
      <w:r w:rsidRPr="00610401">
        <w:tab/>
        <w:t>Dyrekcja Generalna ds. Środowiska, 2017, „Reporting under Article 17 of the Habitats Directive: Explanatory Notes and Guidelines for the period 2013–2018” [„Sprawozdawczość na mocy art. 17 dyrektywy siedliskowej: uwagi i wskazówki wyjaśniające na lata 2013–2018”] oraz Dyrekcja Generalna ds. Środowiska, 2013, „Podręcznik interpretacji siedlisk naturalnych w Unii Europejskiej – UE 28”.</w:t>
      </w:r>
    </w:p>
  </w:footnote>
  <w:footnote w:id="69">
    <w:p w:rsidR="00610401" w:rsidRPr="00610401" w:rsidRDefault="00610401" w:rsidP="008C2681">
      <w:pPr>
        <w:pStyle w:val="FootnoteText"/>
      </w:pPr>
      <w:r w:rsidRPr="00610401">
        <w:rPr>
          <w:rStyle w:val="FootnoteReference"/>
        </w:rPr>
        <w:footnoteRef/>
      </w:r>
      <w:r w:rsidRPr="00610401">
        <w:tab/>
        <w:t>Rozporządzenie Parlamentu Europejskiego i Rady (UE) nr 1380/2013 z dnia 11 grudnia 2013 r. w sprawie wspólnej polityki rybołówstwa, zmieniające rozporządzenia Rady (WE) nr 1954/2003 i (WE) nr 1224/2009 oraz uchylające rozporządzenia Rady (WE) nr 2371/2002 i (WE) nr 639/2004 oraz decyzję Rady 2004/585/WE (Dz.U. L 354 z 28.12.2013, s. 22).</w:t>
      </w:r>
    </w:p>
    <w:p w:rsidR="00610401" w:rsidRPr="00610401" w:rsidRDefault="00610401" w:rsidP="008C2681">
      <w:pPr>
        <w:pStyle w:val="FootnoteText"/>
      </w:pPr>
    </w:p>
  </w:footnote>
  <w:footnote w:id="70">
    <w:p w:rsidR="00610401" w:rsidRPr="00610401" w:rsidRDefault="00610401" w:rsidP="00C9630F">
      <w:pPr>
        <w:pStyle w:val="FootnoteText"/>
      </w:pPr>
      <w:r w:rsidRPr="00610401">
        <w:rPr>
          <w:rStyle w:val="FootnoteReference"/>
        </w:rPr>
        <w:footnoteRef/>
      </w:r>
      <w:r w:rsidRPr="00610401">
        <w:tab/>
        <w:t>Konwencja o ochronie środowiska morskiego obszaru północno-wschodniego Atlantyku z 1992 r. – konwencja OSPAR (OSPAR), Konwencja o ochronie środowiska morskiego obszaru Morza Bałtyckiego z 1992 r. – konwencja helsińska (HELCOM), Konwencja o ochronie środowiska morskiego i regionu przybrzeżnego Morza Śródziemnego z 1995 r. – konwencja barcelońska (UNEP-MAP) oraz Konwencja w sprawie ochrony Morza Czarnego przez zanieczyszczeniem z 1992 r. – konwencja bukareszteńska.</w:t>
      </w:r>
    </w:p>
  </w:footnote>
  <w:footnote w:id="71">
    <w:p w:rsidR="00610401" w:rsidRPr="00610401" w:rsidRDefault="00610401" w:rsidP="00586816">
      <w:pPr>
        <w:pStyle w:val="FootnoteText"/>
        <w:rPr>
          <w:color w:val="000000" w:themeColor="text1"/>
        </w:rPr>
      </w:pPr>
      <w:r w:rsidRPr="00610401">
        <w:rPr>
          <w:rStyle w:val="FootnoteReference"/>
        </w:rPr>
        <w:footnoteRef/>
      </w:r>
      <w:r w:rsidRPr="00610401">
        <w:tab/>
        <w:t xml:space="preserve">Vysna, V., Maes, J., Petersen, J.E., La Notte, A., Vallecillo, S., Aizpurua, N., Ivits, E., Teller, A., „Accounting for ecosystems and their services in the European Union (INCA) [„Rachunkowość ekosystemowa i usługi ekosystemowe w Unii Europejskiej (projekt INCA)”] – sprawozdanie końcowe z fazy II projektu INCA </w:t>
      </w:r>
      <w:r w:rsidRPr="00610401">
        <w:rPr>
          <w:color w:val="000000" w:themeColor="text1"/>
        </w:rPr>
        <w:t>mającego na celu opracowanie pilotażowego zintegrowanego systemu rachunków ekosystemowych w UE. Sprawozdanie statystyczne. Urząd Publikacji Unii Europejskiej, Luksemburg, 2021.</w:t>
      </w:r>
    </w:p>
  </w:footnote>
  <w:footnote w:id="72">
    <w:p w:rsidR="00610401" w:rsidRPr="00610401" w:rsidRDefault="00610401" w:rsidP="00586816">
      <w:pPr>
        <w:pStyle w:val="FootnoteText"/>
        <w:rPr>
          <w:color w:val="000000" w:themeColor="text1"/>
        </w:rPr>
      </w:pPr>
      <w:r w:rsidRPr="00610401">
        <w:rPr>
          <w:rStyle w:val="FootnoteReference"/>
        </w:rPr>
        <w:footnoteRef/>
      </w:r>
      <w:r w:rsidRPr="00610401">
        <w:tab/>
      </w:r>
      <w:r w:rsidRPr="00610401">
        <w:rPr>
          <w:color w:val="000000" w:themeColor="text1"/>
          <w:shd w:val="clear" w:color="auto" w:fill="FFFFFF"/>
        </w:rPr>
        <w:t xml:space="preserve">Komunikat Komisji do Parlamentu Europejskiego, Rady, Europejskiego Komitetu Ekonomiczno-Społecznego i Komitetu Regionów. Inicjatywa UE na rzecz owadów zapylających </w:t>
      </w:r>
      <w:r w:rsidRPr="00610401">
        <w:rPr>
          <w:color w:val="000000" w:themeColor="text1"/>
        </w:rPr>
        <w:t>(COM(2018) 395 final).</w:t>
      </w:r>
    </w:p>
  </w:footnote>
  <w:footnote w:id="73">
    <w:p w:rsidR="00610401" w:rsidRPr="00610401" w:rsidRDefault="00610401" w:rsidP="00586816">
      <w:pPr>
        <w:pStyle w:val="FootnoteText"/>
        <w:rPr>
          <w:color w:val="000000" w:themeColor="text1"/>
        </w:rPr>
      </w:pPr>
      <w:r w:rsidRPr="00610401">
        <w:rPr>
          <w:rStyle w:val="FootnoteReference"/>
        </w:rPr>
        <w:footnoteRef/>
      </w:r>
      <w:r w:rsidRPr="00610401">
        <w:tab/>
      </w:r>
      <w:r w:rsidRPr="00610401">
        <w:rPr>
          <w:color w:val="000000" w:themeColor="text1"/>
        </w:rPr>
        <w:t>Sprawozdanie Komisji dla Parlamentu Europejskiego, Rady, Europejskiego Komitetu Ekonomiczno-Społecznego i Komitetu Regionów, Postępy we wdrażaniu inicjatywy UE na rzecz owadów zapylających</w:t>
      </w:r>
      <w:r w:rsidRPr="00610401">
        <w:rPr>
          <w:i/>
          <w:color w:val="000000" w:themeColor="text1"/>
        </w:rPr>
        <w:t xml:space="preserve"> (</w:t>
      </w:r>
      <w:r w:rsidRPr="00610401">
        <w:rPr>
          <w:color w:val="000000" w:themeColor="text1"/>
        </w:rPr>
        <w:t>COM/2021/261 final).</w:t>
      </w:r>
    </w:p>
  </w:footnote>
  <w:footnote w:id="74">
    <w:p w:rsidR="00610401" w:rsidRPr="00610401" w:rsidRDefault="00610401" w:rsidP="00CC1539">
      <w:pPr>
        <w:pStyle w:val="FootnoteText"/>
        <w:rPr>
          <w:color w:val="000000" w:themeColor="text1"/>
        </w:rPr>
      </w:pPr>
      <w:r w:rsidRPr="00610401">
        <w:rPr>
          <w:rStyle w:val="FootnoteReference"/>
        </w:rPr>
        <w:footnoteRef/>
      </w:r>
      <w:r w:rsidRPr="00610401">
        <w:tab/>
      </w:r>
      <w:r w:rsidRPr="00610401">
        <w:rPr>
          <w:color w:val="000000" w:themeColor="text1"/>
        </w:rPr>
        <w:t xml:space="preserve">Rezolucja Parlamentu Europejskiego z dnia 9 czerwca 2021 r. w sprawie unijnej strategii na rzecz bioróżnorodności 2030 – Przywracanie przyrody do naszego życia (2020/2273(INI)), dostępna pod adresem: https://www.europarl.europa.eu/doceo/document/TA-9-2021-0277_PL.pdf   </w:t>
      </w:r>
    </w:p>
  </w:footnote>
  <w:footnote w:id="75">
    <w:p w:rsidR="00610401" w:rsidRPr="00610401" w:rsidRDefault="00610401" w:rsidP="005E1366">
      <w:pPr>
        <w:pStyle w:val="FootnoteText"/>
        <w:rPr>
          <w:color w:val="000000" w:themeColor="text1"/>
        </w:rPr>
      </w:pPr>
      <w:r w:rsidRPr="00610401">
        <w:rPr>
          <w:rStyle w:val="FootnoteReference"/>
        </w:rPr>
        <w:footnoteRef/>
      </w:r>
      <w:r w:rsidRPr="00610401">
        <w:tab/>
      </w:r>
      <w:r w:rsidRPr="00610401">
        <w:rPr>
          <w:color w:val="000000" w:themeColor="text1"/>
        </w:rPr>
        <w:t xml:space="preserve"> Konkluzje Rady z 17 grudnia 2020 r. w sprawie sprawozdania specjalnego nr 15/2020 Europejskiego Trybunału Obrachunkowego pt. „Ochrona dzikich owadów zapylających w UE – inicjatywy Komisji nie zaowocowały poprawą sytuacji (14168/20).</w:t>
      </w:r>
    </w:p>
  </w:footnote>
  <w:footnote w:id="76">
    <w:p w:rsidR="00610401" w:rsidRPr="00610401" w:rsidRDefault="00610401" w:rsidP="00586816">
      <w:pPr>
        <w:pStyle w:val="FootnoteText"/>
      </w:pPr>
      <w:r w:rsidRPr="00610401">
        <w:rPr>
          <w:rStyle w:val="FootnoteReference"/>
        </w:rPr>
        <w:footnoteRef/>
      </w:r>
      <w:r w:rsidRPr="00610401">
        <w:tab/>
        <w:t xml:space="preserve">Sprawozdanie specjalne nr 15/2020, </w:t>
      </w:r>
      <w:hyperlink r:id="rId31" w:history="1">
        <w:r w:rsidRPr="00610401">
          <w:rPr>
            <w:rStyle w:val="Hyperlink"/>
          </w:rPr>
          <w:t>https://www.eca.europa.eu/Lists/ECADocuments/SR20_15/SR_Pollinators_PL.pdf</w:t>
        </w:r>
      </w:hyperlink>
      <w:r w:rsidRPr="00610401">
        <w:t xml:space="preserve"> </w:t>
      </w:r>
    </w:p>
  </w:footnote>
  <w:footnote w:id="77">
    <w:p w:rsidR="00610401" w:rsidRPr="00610401" w:rsidRDefault="00610401">
      <w:pPr>
        <w:pStyle w:val="FootnoteText"/>
      </w:pPr>
      <w:r w:rsidRPr="00610401">
        <w:rPr>
          <w:rStyle w:val="FootnoteReference"/>
        </w:rPr>
        <w:footnoteRef/>
      </w:r>
      <w:r w:rsidRPr="00610401">
        <w:tab/>
      </w:r>
      <w:hyperlink r:id="rId32" w:history="1">
        <w:r w:rsidRPr="00610401">
          <w:rPr>
            <w:rStyle w:val="Hyperlink"/>
          </w:rPr>
          <w:t>Europejska Czerwona Księga – Środowisko – Komisja Europejska (europa.eu)</w:t>
        </w:r>
      </w:hyperlink>
    </w:p>
  </w:footnote>
  <w:footnote w:id="78">
    <w:p w:rsidR="00610401" w:rsidRPr="00610401" w:rsidRDefault="00610401" w:rsidP="00D14943">
      <w:pPr>
        <w:pStyle w:val="FootnoteText"/>
      </w:pPr>
      <w:r w:rsidRPr="00610401">
        <w:rPr>
          <w:rStyle w:val="FootnoteReference"/>
        </w:rPr>
        <w:footnoteRef/>
      </w:r>
      <w:r w:rsidRPr="00610401">
        <w:tab/>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Dz.U. L 435 z 6.12.2021, s. 1.</w:t>
      </w:r>
    </w:p>
  </w:footnote>
  <w:footnote w:id="79">
    <w:p w:rsidR="00610401" w:rsidRPr="00610401" w:rsidRDefault="00610401" w:rsidP="00D14943">
      <w:pPr>
        <w:pStyle w:val="FootnoteText"/>
      </w:pPr>
      <w:r w:rsidRPr="00610401">
        <w:rPr>
          <w:rStyle w:val="FootnoteReference"/>
        </w:rPr>
        <w:footnoteRef/>
      </w:r>
      <w:r w:rsidRPr="00610401">
        <w:tab/>
        <w:t>W przypadku gdy rolnik, w ramach bardziej zaawansowanego ekoschematu, zobowiązuje się przeznaczyć co najmniej 7 % swoich gruntów ornych na obszary lub elementy nieproduktywne, w tym na grunty ugorowane, lub jeżeli co najmniej 7 % gruntów ornych na poziomie gospodarstwa rolnego obejmuje również międzyplony lub uprawy wiążące azot uprawiane bez stosowania środków ochrony roślin.</w:t>
      </w:r>
    </w:p>
  </w:footnote>
  <w:footnote w:id="80">
    <w:p w:rsidR="00610401" w:rsidRPr="00610401" w:rsidRDefault="00610401" w:rsidP="00272A2A">
      <w:pPr>
        <w:pStyle w:val="FootnoteText"/>
      </w:pPr>
      <w:r w:rsidRPr="00610401">
        <w:rPr>
          <w:rStyle w:val="FootnoteReference"/>
        </w:rPr>
        <w:footnoteRef/>
      </w:r>
      <w:r w:rsidRPr="00610401">
        <w:tab/>
        <w:t xml:space="preserve">Ponowne nawadnianie to proces przekształcania osuszonej gleby w glebę nawodnioną. Rozdział I </w:t>
      </w:r>
      <w:r w:rsidRPr="00610401">
        <w:rPr>
          <w:sz w:val="18"/>
        </w:rPr>
        <w:t>IPCC 2014, 2013 i Suplement do wytycznych IPCC z 2006 r. dotyczących krajowych wykazów gazów cieplarnianych: tereny podmokłe, Hiraishi, T., Krug, T., Tanabe, K., Srivastava, N., Baasansuren, J., Fukuda, M. i Troxler, T.G. (red.).</w:t>
      </w:r>
    </w:p>
  </w:footnote>
  <w:footnote w:id="81">
    <w:p w:rsidR="00610401" w:rsidRPr="00610401" w:rsidRDefault="00610401" w:rsidP="00272A2A">
      <w:pPr>
        <w:pStyle w:val="FootnoteText"/>
        <w:rPr>
          <w:sz w:val="18"/>
          <w:szCs w:val="18"/>
        </w:rPr>
      </w:pPr>
      <w:r w:rsidRPr="00610401">
        <w:rPr>
          <w:rStyle w:val="FootnoteReference"/>
        </w:rPr>
        <w:footnoteRef/>
      </w:r>
      <w:r w:rsidRPr="00610401">
        <w:tab/>
        <w:t>Pojęcie „gleba organiczna” zdefiniowano w </w:t>
      </w:r>
      <w:r w:rsidRPr="00610401">
        <w:rPr>
          <w:sz w:val="18"/>
        </w:rPr>
        <w:t>wytycznych IPCC z 2006 r. dotyczących krajowych wykazów gazów cieplarnianych przygotowanych w ramach programu krajowych wykazów gazów cieplarnianych, Eggleston H.S., Buendia L., Miwa K., Ngara T. i Tanabe K. (red.).</w:t>
      </w:r>
    </w:p>
  </w:footnote>
  <w:footnote w:id="82">
    <w:p w:rsidR="00610401" w:rsidRPr="00610401" w:rsidRDefault="00610401" w:rsidP="00586816">
      <w:pPr>
        <w:pStyle w:val="FootnoteText"/>
        <w:ind w:left="0" w:firstLine="0"/>
      </w:pPr>
      <w:r w:rsidRPr="00610401">
        <w:rPr>
          <w:rStyle w:val="FootnoteReference"/>
        </w:rPr>
        <w:footnoteRef/>
      </w:r>
      <w:r w:rsidRPr="00610401">
        <w:tab/>
        <w:t xml:space="preserve">Komunikat Komisji do Parlamentu Europejskiego, Rady, Europejskiego Komitetu Ekonomiczno-Społecznego </w:t>
      </w:r>
      <w:r w:rsidRPr="00610401">
        <w:tab/>
        <w:t xml:space="preserve">i Komitetu Regionów, Nowa strategia leśna UE 2030 (COM(2021) 572 final). </w:t>
      </w:r>
    </w:p>
  </w:footnote>
  <w:footnote w:id="83">
    <w:p w:rsidR="00610401" w:rsidRPr="00610401" w:rsidRDefault="00610401">
      <w:pPr>
        <w:pStyle w:val="FootnoteText"/>
        <w:rPr>
          <w:color w:val="000000" w:themeColor="text1"/>
        </w:rPr>
      </w:pPr>
      <w:r w:rsidRPr="00610401">
        <w:rPr>
          <w:rStyle w:val="FootnoteReference"/>
        </w:rPr>
        <w:footnoteRef/>
      </w:r>
      <w:r w:rsidRPr="00610401">
        <w:tab/>
      </w:r>
      <w:hyperlink r:id="rId33" w:anchor=":~:text=Common%20bird%20index%20%28EU%20aggregate%29%20The%20indicator%20is,and%20all%20common%20birds%29%20is%20a%20composite%2C%20" w:history="1">
        <w:r w:rsidRPr="00610401">
          <w:rPr>
            <w:rStyle w:val="Hyperlink"/>
            <w:color w:val="000000" w:themeColor="text1"/>
          </w:rPr>
          <w:t>Wskaźnik liczebności pospolitych gatunków ptaków (zagregowane dane unijne) – Zbiór danych – Eurostat (europa.eu)</w:t>
        </w:r>
      </w:hyperlink>
      <w:r w:rsidRPr="00610401">
        <w:rPr>
          <w:color w:val="000000" w:themeColor="text1"/>
        </w:rPr>
        <w:t>.</w:t>
      </w:r>
    </w:p>
  </w:footnote>
  <w:footnote w:id="84">
    <w:p w:rsidR="00610401" w:rsidRPr="00610401" w:rsidRDefault="00610401" w:rsidP="00D84029">
      <w:pPr>
        <w:pStyle w:val="NormalWeb"/>
        <w:shd w:val="clear" w:color="auto" w:fill="FFFFFF"/>
        <w:spacing w:before="0" w:after="75"/>
        <w:ind w:left="709" w:hanging="709"/>
        <w:rPr>
          <w:rFonts w:eastAsia="Times New Roman"/>
          <w:color w:val="000000" w:themeColor="text1"/>
          <w:sz w:val="20"/>
          <w:szCs w:val="20"/>
        </w:rPr>
      </w:pPr>
      <w:r w:rsidRPr="00610401">
        <w:rPr>
          <w:rStyle w:val="FootnoteReference"/>
        </w:rPr>
        <w:footnoteRef/>
      </w:r>
      <w:r w:rsidRPr="00610401">
        <w:tab/>
      </w:r>
      <w:r w:rsidRPr="00610401">
        <w:rPr>
          <w:color w:val="000000" w:themeColor="text1"/>
          <w:sz w:val="20"/>
        </w:rPr>
        <w:t>Rozporządzenie Parlamentu Europejskiego i Rady (UE) 2019/1241 z dnia 20 czerwca 2019 r. w sprawie zachowania zasobów rybnych i ochrony ekosystemów morskich za pomocą środków technicznych, zmieniające rozporządzenia Rady (WE) nr 1967/2006, (WE) nr 1224/2009 i rozporządzenia Parlamentu Europejskiego i Rady (UE) nr 1380/2013, (UE) 2016/1139, (UE) 2018/973, (UE) 2019/472 i (UE) 2019/1022 oraz uchylające rozporządzenia Rady (WE) nr 894/97, (WE) nr 850/98, (WE) nr 2549/2000, (WE) nr 254/2002, (WE) nr 812/2004 i (WE) nr 2187/2005 (Dz.U. L 198 z 25.7.2019, s. 105).</w:t>
      </w:r>
    </w:p>
  </w:footnote>
  <w:footnote w:id="85">
    <w:p w:rsidR="00610401" w:rsidRPr="00610401" w:rsidRDefault="00610401" w:rsidP="00D84029">
      <w:pPr>
        <w:pStyle w:val="FootnoteText"/>
        <w:ind w:left="709" w:hanging="709"/>
      </w:pPr>
      <w:r w:rsidRPr="00610401">
        <w:rPr>
          <w:rStyle w:val="FootnoteReference"/>
        </w:rPr>
        <w:footnoteRef/>
      </w:r>
      <w:r w:rsidRPr="00610401">
        <w:tab/>
      </w:r>
      <w:r w:rsidRPr="00610401">
        <w:rPr>
          <w:color w:val="000000" w:themeColor="text1"/>
        </w:rPr>
        <w:t>Dyrektywa Parlamentu Europejskiego i Rady (UE) 2018/2001 z dnia 11 grudnia 2018 r. w sprawie promowania stosowania energii ze źródeł odnawialnych (Dz.U. L 328 z 21.12.2018, s. 82).</w:t>
      </w:r>
    </w:p>
  </w:footnote>
  <w:footnote w:id="86">
    <w:p w:rsidR="00610401" w:rsidRPr="00610401" w:rsidRDefault="00610401" w:rsidP="00D84029">
      <w:pPr>
        <w:pStyle w:val="NormalWeb"/>
        <w:shd w:val="clear" w:color="auto" w:fill="FFFFFF"/>
        <w:spacing w:before="0" w:after="75"/>
        <w:ind w:left="709" w:hanging="709"/>
        <w:rPr>
          <w:rFonts w:eastAsia="Times New Roman"/>
          <w:color w:val="000000" w:themeColor="text1"/>
          <w:sz w:val="20"/>
          <w:szCs w:val="20"/>
        </w:rPr>
      </w:pPr>
      <w:r w:rsidRPr="00610401">
        <w:rPr>
          <w:rStyle w:val="FootnoteReference"/>
        </w:rPr>
        <w:footnoteRef/>
      </w:r>
      <w:r w:rsidRPr="00610401">
        <w:tab/>
      </w:r>
      <w:r w:rsidRPr="00610401">
        <w:rPr>
          <w:color w:val="000000" w:themeColor="text1"/>
          <w:sz w:val="20"/>
        </w:rPr>
        <w:t>Rozporządzenie Parlamentu Europejskiego i Rady (UE) 2018/1999 z dnia 11 grudnia 2018 r. w sprawie zarządzania unią energetyczną i działaniami w dziedzinie klimatu, zmiany rozporządzeń Parlamentu Europejskiego i Rady (WE) nr 663/2009 i (WE) nr 715/2009, dyrektyw Parlamentu Europejskiego i Rady 94/22/WE, 98/70/WE, 2009/31/WE, 2009/73/WE, 2010/31/UE, 2012/27/UE i 2013/30/UE, dyrektyw Rady 2009/119/WE i (UE) 2015/652 oraz uchylenia rozporządzenia Parlamentu Europejskiego i Rady (UE) nr 525/2013 (Dz.U. L 328 z 21.12.2018, s. 1).</w:t>
      </w:r>
    </w:p>
  </w:footnote>
  <w:footnote w:id="87">
    <w:p w:rsidR="00610401" w:rsidRPr="00610401" w:rsidRDefault="00610401" w:rsidP="00D84029">
      <w:pPr>
        <w:pStyle w:val="NormalWeb"/>
        <w:shd w:val="clear" w:color="auto" w:fill="FFFFFF"/>
        <w:spacing w:before="0" w:after="75"/>
        <w:ind w:left="709" w:hanging="709"/>
        <w:rPr>
          <w:rFonts w:ascii="Roboto" w:hAnsi="Roboto"/>
          <w:color w:val="000000" w:themeColor="text1"/>
          <w:sz w:val="20"/>
          <w:szCs w:val="20"/>
        </w:rPr>
      </w:pPr>
      <w:r w:rsidRPr="00610401">
        <w:rPr>
          <w:rStyle w:val="FootnoteReference"/>
        </w:rPr>
        <w:footnoteRef/>
      </w:r>
      <w:r w:rsidRPr="00610401">
        <w:tab/>
      </w:r>
      <w:r w:rsidRPr="00610401">
        <w:rPr>
          <w:color w:val="000000" w:themeColor="text1"/>
          <w:sz w:val="20"/>
        </w:rPr>
        <w:t>Dyrektywa 98/70/WE Parlamentu Europejskiego i Rady z dnia 13 października 1998 r. odnosząca się do jakości benzyny i olejów napędowych oraz zmieniająca dyrektywę Rady 93/12/EWG (</w:t>
      </w:r>
      <w:r w:rsidRPr="00610401">
        <w:rPr>
          <w:rStyle w:val="Emphasis"/>
          <w:i w:val="0"/>
          <w:color w:val="000000" w:themeColor="text1"/>
          <w:sz w:val="20"/>
        </w:rPr>
        <w:t>Dz.U. L 350 z 28.12.1998, s. 58).</w:t>
      </w:r>
    </w:p>
  </w:footnote>
  <w:footnote w:id="88">
    <w:p w:rsidR="00610401" w:rsidRPr="00610401" w:rsidRDefault="00610401" w:rsidP="00D84029">
      <w:pPr>
        <w:pStyle w:val="NormalWeb"/>
        <w:shd w:val="clear" w:color="auto" w:fill="FFFFFF"/>
        <w:spacing w:before="0" w:after="75"/>
        <w:ind w:left="709" w:hanging="709"/>
        <w:rPr>
          <w:color w:val="000000" w:themeColor="text1"/>
          <w:sz w:val="20"/>
          <w:szCs w:val="20"/>
        </w:rPr>
      </w:pPr>
      <w:r w:rsidRPr="00610401">
        <w:rPr>
          <w:rStyle w:val="FootnoteReference"/>
        </w:rPr>
        <w:footnoteRef/>
      </w:r>
      <w:r w:rsidRPr="00610401">
        <w:tab/>
      </w:r>
      <w:r w:rsidRPr="00610401">
        <w:rPr>
          <w:color w:val="000000" w:themeColor="text1"/>
          <w:sz w:val="20"/>
        </w:rPr>
        <w:t>Komunikat Komisji do Parlamentu Europejskiego, Rady Europejskiej, Rady, Europejskiego Komitetu Ekonomiczno-Społecznego i Komitetu Regionów, REPowerEU: Wspólne europejskie działania w kierunku bezpiecznej i zrównoważonej energii po przystępnej cenie (COM/2022/108 final).</w:t>
      </w:r>
    </w:p>
    <w:p w:rsidR="00610401" w:rsidRPr="00610401" w:rsidRDefault="00610401" w:rsidP="00D84029">
      <w:pPr>
        <w:pStyle w:val="FootnoteText"/>
        <w:ind w:left="709" w:hanging="709"/>
        <w:rPr>
          <w:sz w:val="18"/>
        </w:rPr>
      </w:pPr>
    </w:p>
  </w:footnote>
  <w:footnote w:id="89">
    <w:p w:rsidR="00610401" w:rsidRPr="00610401" w:rsidRDefault="00610401" w:rsidP="00D84029">
      <w:pPr>
        <w:pStyle w:val="title-bold"/>
        <w:shd w:val="clear" w:color="auto" w:fill="FFFFFF"/>
        <w:spacing w:before="0" w:beforeAutospacing="0" w:after="75" w:afterAutospacing="0"/>
        <w:ind w:left="709" w:hanging="709"/>
        <w:rPr>
          <w:bCs/>
          <w:color w:val="333333"/>
          <w:sz w:val="21"/>
          <w:szCs w:val="21"/>
        </w:rPr>
      </w:pPr>
      <w:r w:rsidRPr="00610401">
        <w:rPr>
          <w:rStyle w:val="FootnoteReference"/>
        </w:rPr>
        <w:footnoteRef/>
      </w:r>
      <w:r w:rsidRPr="00610401">
        <w:tab/>
      </w:r>
      <w:r w:rsidRPr="00610401">
        <w:rPr>
          <w:color w:val="333333"/>
          <w:sz w:val="21"/>
        </w:rPr>
        <w:t>Wniosek dotyczący dyrektywy Parlamentu Europejskiego i Rady zmieniającej dyrektywę (UE) 2018/2001 w sprawie promowania stosowania energii ze źródeł odnawialnych, dyrektywę 2010/31/UE w sprawie charakterystyki energetycznej budynków i dyrektywę 2012/27/UE w sprawie efektywności energetycznej, COM/2022/222 final.</w:t>
      </w:r>
    </w:p>
  </w:footnote>
  <w:footnote w:id="90">
    <w:p w:rsidR="00610401" w:rsidRPr="00610401" w:rsidRDefault="00610401" w:rsidP="00BF79F9">
      <w:pPr>
        <w:pStyle w:val="FootnoteText"/>
      </w:pPr>
      <w:r w:rsidRPr="00610401">
        <w:rPr>
          <w:rStyle w:val="FootnoteReference"/>
        </w:rPr>
        <w:footnoteRef/>
      </w:r>
      <w:r w:rsidRPr="00610401">
        <w:tab/>
        <w:t xml:space="preserve">Zalecenie Komisji </w:t>
      </w:r>
      <w:r w:rsidRPr="00610401">
        <w:rPr>
          <w:color w:val="333333"/>
          <w:sz w:val="21"/>
          <w:shd w:val="clear" w:color="auto" w:fill="FFFFFF"/>
        </w:rPr>
        <w:t>w</w:t>
      </w:r>
      <w:r w:rsidRPr="00610401">
        <w:t> </w:t>
      </w:r>
      <w:r w:rsidRPr="00610401">
        <w:rPr>
          <w:color w:val="333333"/>
          <w:sz w:val="21"/>
          <w:shd w:val="clear" w:color="auto" w:fill="FFFFFF"/>
        </w:rPr>
        <w:t xml:space="preserve">sprawie przyspieszenia procedur wydawania zezwoleń na projekty dotyczące energii odnawialnej oraz ułatwienia zawierania umów zakupu energii elektrycznej, </w:t>
      </w:r>
      <w:r w:rsidRPr="00610401">
        <w:t xml:space="preserve">C(2022) 3219 final. </w:t>
      </w:r>
    </w:p>
  </w:footnote>
  <w:footnote w:id="91">
    <w:p w:rsidR="00610401" w:rsidRPr="00610401" w:rsidRDefault="00610401" w:rsidP="00B32E01">
      <w:pPr>
        <w:pStyle w:val="FootnoteText"/>
      </w:pPr>
      <w:r w:rsidRPr="00610401">
        <w:rPr>
          <w:rStyle w:val="FootnoteReference"/>
        </w:rPr>
        <w:footnoteRef/>
      </w:r>
      <w:r w:rsidRPr="00610401">
        <w:tab/>
        <w:t>Dyrektywa Rady 92/43/EWG z dnia 21 maja 1992 r. w sprawie ochrony siedlisk przyrodniczych oraz dzikiej fauny i flory (Dz.U. L 206 z 22.7.1992, s. 7).</w:t>
      </w:r>
    </w:p>
  </w:footnote>
  <w:footnote w:id="92">
    <w:p w:rsidR="00610401" w:rsidRPr="00610401" w:rsidRDefault="00610401" w:rsidP="0073109D">
      <w:pPr>
        <w:spacing w:before="0"/>
        <w:ind w:left="709" w:hanging="709"/>
        <w:rPr>
          <w:sz w:val="20"/>
          <w:szCs w:val="20"/>
        </w:rPr>
      </w:pPr>
      <w:r w:rsidRPr="00610401">
        <w:rPr>
          <w:rStyle w:val="FootnoteReference"/>
        </w:rPr>
        <w:footnoteRef/>
      </w:r>
      <w:r w:rsidRPr="00610401">
        <w:tab/>
      </w:r>
      <w:r w:rsidRPr="00610401">
        <w:rPr>
          <w:sz w:val="20"/>
        </w:rPr>
        <w:t>Komunikat Komisji do Parlamentu Europejskiego, Rady, Europejskiego Komitetu Ekonomiczno-Społecznego i Komitetu Regionów w sprawie misji europejskich, COM(2021) 609 final.</w:t>
      </w:r>
    </w:p>
    <w:p w:rsidR="00610401" w:rsidRPr="00610401" w:rsidRDefault="00610401" w:rsidP="00B0251E">
      <w:pPr>
        <w:pStyle w:val="FootnoteText"/>
        <w:ind w:left="0" w:firstLine="0"/>
      </w:pPr>
    </w:p>
  </w:footnote>
  <w:footnote w:id="93">
    <w:p w:rsidR="00610401" w:rsidRPr="00610401" w:rsidRDefault="00610401" w:rsidP="00AC748E">
      <w:pPr>
        <w:pStyle w:val="FootnoteText"/>
      </w:pPr>
      <w:r w:rsidRPr="00610401">
        <w:rPr>
          <w:rStyle w:val="FootnoteReference"/>
        </w:rPr>
        <w:footnoteRef/>
      </w:r>
      <w:r w:rsidRPr="00610401">
        <w:tab/>
        <w:t>Dyrektywa 2003/4/WE Parlamentu Europejskiego i Rady z dnia 28 stycznia 2003 r. w sprawie publicznego dostępu do informacji dotyczących środowiska i uchylająca dyrektywę Rady 90/313/EWG (Dz.U. L 41 z 14.2.2003, s. 26).</w:t>
      </w:r>
    </w:p>
  </w:footnote>
  <w:footnote w:id="94">
    <w:p w:rsidR="00610401" w:rsidRPr="00610401" w:rsidRDefault="00610401" w:rsidP="00A15E7F">
      <w:pPr>
        <w:pStyle w:val="FootnoteText"/>
      </w:pPr>
      <w:r w:rsidRPr="00610401">
        <w:rPr>
          <w:rStyle w:val="FootnoteReference"/>
        </w:rPr>
        <w:footnoteRef/>
      </w:r>
      <w:r w:rsidRPr="00610401">
        <w:tab/>
        <w:t>Dyrektywa 2007/2/WE Parlamentu Europejskiego i Rady z dnia 14 marca 2007 r. ustanawiająca infrastrukturę informacji przestrzennej we Wspólnocie Europejskiej (INSPIRE) (Dz.U. L 108 z 25.4.2007, s. 1).</w:t>
      </w:r>
    </w:p>
  </w:footnote>
  <w:footnote w:id="95">
    <w:p w:rsidR="00610401" w:rsidRPr="00610401" w:rsidRDefault="00610401" w:rsidP="00AC748E">
      <w:pPr>
        <w:pStyle w:val="FootnoteText"/>
      </w:pPr>
      <w:r w:rsidRPr="00610401">
        <w:rPr>
          <w:rStyle w:val="FootnoteReference"/>
        </w:rPr>
        <w:footnoteRef/>
      </w:r>
      <w:r w:rsidRPr="00610401">
        <w:tab/>
        <w:t>Dyrektywa Parlamentu Europejskiego i Rady (UE) 2019/1024 z dnia 20 czerwca 2019 r. w sprawie otwartych danych i ponownego wykorzystywania informacji sektora publicznego (Dz.U. L 172 z 26.6.2019, s. 56).</w:t>
      </w:r>
    </w:p>
  </w:footnote>
  <w:footnote w:id="96">
    <w:p w:rsidR="00610401" w:rsidRPr="00610401" w:rsidRDefault="00610401" w:rsidP="00B82114">
      <w:pPr>
        <w:pStyle w:val="FootnoteText"/>
      </w:pPr>
      <w:r w:rsidRPr="00610401">
        <w:rPr>
          <w:rStyle w:val="FootnoteReference"/>
        </w:rPr>
        <w:footnoteRef/>
      </w:r>
      <w:r w:rsidRPr="00610401">
        <w:tab/>
        <w:t>Rozporządzenie Parlamentu Europejskiego i Rady (UE) 2021/240</w:t>
      </w:r>
      <w:r w:rsidRPr="00610401">
        <w:rPr>
          <w:color w:val="000000"/>
          <w:shd w:val="clear" w:color="auto" w:fill="FFFFFF"/>
        </w:rPr>
        <w:t xml:space="preserve"> z dnia 10 lutego 2021 r. ustanawiające Instrument Wsparcia Technicznego (</w:t>
      </w:r>
      <w:r w:rsidRPr="00610401">
        <w:rPr>
          <w:rStyle w:val="Emphasis"/>
          <w:i w:val="0"/>
          <w:color w:val="444444"/>
          <w:shd w:val="clear" w:color="auto" w:fill="FFFFFF"/>
        </w:rPr>
        <w:t>Dz.U. L 57 z 18.2.2021, s. 1).</w:t>
      </w:r>
    </w:p>
  </w:footnote>
  <w:footnote w:id="97">
    <w:p w:rsidR="00610401" w:rsidRPr="00610401" w:rsidRDefault="00610401" w:rsidP="00FB6FA4">
      <w:pPr>
        <w:pStyle w:val="FootnoteText"/>
      </w:pPr>
      <w:r w:rsidRPr="00610401">
        <w:rPr>
          <w:rStyle w:val="FootnoteReference"/>
        </w:rPr>
        <w:footnoteRef/>
      </w:r>
      <w:r w:rsidRPr="00610401">
        <w:tab/>
        <w:t>Rozporządzenie Parlamentu Europejskiego i Rady (UE) 2021/783 z dnia 29 kwietnia 2021 r. ustanawiające Program działań na rzecz środowiska i klimatu (LIFE) i uchylające rozporządzenie (UE) nr 1293/2013 (Dz.U. L 172 z 17.5.2021, s. 53).</w:t>
      </w:r>
    </w:p>
  </w:footnote>
  <w:footnote w:id="98">
    <w:p w:rsidR="00610401" w:rsidRPr="00610401" w:rsidRDefault="00610401" w:rsidP="00FB6FA4">
      <w:pPr>
        <w:pStyle w:val="FootnoteText"/>
      </w:pPr>
      <w:r w:rsidRPr="00610401">
        <w:rPr>
          <w:rStyle w:val="FootnoteReference"/>
        </w:rPr>
        <w:footnoteRef/>
      </w:r>
      <w:r w:rsidRPr="00610401">
        <w:tab/>
        <w:t>Rozporządzenie Parlamentu Europejskiego i Rady (UE) 2021/1139 z dnia 7 lipca 2021 r. ustanawiające Europejski Fundusz Morski, Rybacki i Akwakultury oraz zmieniające rozporządzenie (UE) 2017/1004 (Dz.U. L 247 z 13.7.2021, s. 1).</w:t>
      </w:r>
    </w:p>
  </w:footnote>
  <w:footnote w:id="99">
    <w:p w:rsidR="00610401" w:rsidRPr="00610401" w:rsidRDefault="00610401" w:rsidP="00170244">
      <w:pPr>
        <w:pStyle w:val="FootnoteText"/>
      </w:pPr>
      <w:r w:rsidRPr="00610401">
        <w:rPr>
          <w:rStyle w:val="FootnoteReference"/>
        </w:rPr>
        <w:footnoteRef/>
      </w:r>
      <w:r w:rsidRPr="00610401">
        <w:tab/>
        <w:t xml:space="preserve">Rozporządzenie Parlamentu Europejskiego i Rady (UE) 2020/2220 z dnia 23 grudnia 2020 r. ustanawiające niektóre przepisy przejściowe dotyczące wsparcia z Europejskiego Funduszu Rolnego na rzecz Rozwoju Obszarów Wiejskich (EFRROW) i z Europejskiego Funduszu Rolniczego Gwarancji (EFRG) w latach 2021 i 2022 oraz zmieniające rozporządzenia (UE) nr 1305/2013, (UE) nr 1306/2013 i (UE) nr 1307/2013 w odniesieniu do zasobów i stosowania w latach 2021 i 2022 oraz rozporządzenie (UE) nr 1308/2013 w odniesieniu do zasobów i rozdziału takiego wsparcia na lata 2021 i 2022 (Dz.U. L 437 z 28.12.2020, s. 1). </w:t>
      </w:r>
    </w:p>
  </w:footnote>
  <w:footnote w:id="100">
    <w:p w:rsidR="00610401" w:rsidRPr="00610401" w:rsidRDefault="00610401" w:rsidP="00DE622E">
      <w:pPr>
        <w:pStyle w:val="FootnoteText"/>
      </w:pPr>
      <w:r w:rsidRPr="00610401">
        <w:rPr>
          <w:rStyle w:val="FootnoteReference"/>
        </w:rPr>
        <w:footnoteRef/>
      </w:r>
      <w:r w:rsidRPr="00610401">
        <w:tab/>
        <w:t>Rozporządzenie Parlamentu Europejskiego i Rady (UE) 2021/1058 z dnia 24 czerwca 2021 r. w sprawie Europejskiego Funduszu Rozwoju Regionalnego i Funduszu Spójności (Dz.U. L 231 z 30.6.2021, s. 60).</w:t>
      </w:r>
    </w:p>
  </w:footnote>
  <w:footnote w:id="101">
    <w:p w:rsidR="00610401" w:rsidRPr="00610401" w:rsidRDefault="00610401">
      <w:pPr>
        <w:pStyle w:val="FootnoteText"/>
      </w:pPr>
      <w:r w:rsidRPr="00610401">
        <w:rPr>
          <w:rStyle w:val="FootnoteReference"/>
        </w:rPr>
        <w:footnoteRef/>
      </w:r>
      <w:r w:rsidRPr="00610401">
        <w:tab/>
        <w:t>Rozporządzenie Parlamentu Europejskiego i Rady (UE) 2021/1056 z dnia 24 czerwca 2021 r. ustanawiające Fundusz na rzecz Sprawiedliwej Transformacji (Dz.U. L 231 z 30.6.2021, s. 1).</w:t>
      </w:r>
    </w:p>
  </w:footnote>
  <w:footnote w:id="102">
    <w:p w:rsidR="00610401" w:rsidRPr="00610401" w:rsidRDefault="00610401" w:rsidP="00737DB0">
      <w:pPr>
        <w:pStyle w:val="FootnoteText"/>
      </w:pPr>
      <w:r w:rsidRPr="00610401">
        <w:rPr>
          <w:rStyle w:val="FootnoteReference"/>
        </w:rPr>
        <w:footnoteRef/>
      </w:r>
      <w:r w:rsidRPr="00610401">
        <w:tab/>
        <w:t xml:space="preserve">Rozporządzenie Parlamentu Europejskiego i Rady (UE) 2021/695 z dnia 28 kwietnia 2021 r. ustanawiające program ramowy w zakresie badań naukowych i innowacji „Horyzont Europa” oraz zasady uczestnictwa i upowszechniania obowiązujące w tym programie oraz uchylające rozporządzenia (UE) nr 1290/2013 i (UE) nr 1291/2013 </w:t>
      </w:r>
    </w:p>
    <w:p w:rsidR="00610401" w:rsidRPr="00610401" w:rsidRDefault="00610401" w:rsidP="008D6A36">
      <w:pPr>
        <w:pStyle w:val="FootnoteText"/>
        <w:ind w:left="0" w:firstLine="720"/>
      </w:pPr>
      <w:r w:rsidRPr="00610401">
        <w:t>(Dz.U. L 170 z 12.5.2021, s. 1).</w:t>
      </w:r>
    </w:p>
  </w:footnote>
  <w:footnote w:id="103">
    <w:p w:rsidR="00610401" w:rsidRPr="00610401" w:rsidRDefault="00610401" w:rsidP="002D41A0">
      <w:pPr>
        <w:pStyle w:val="FootnoteText"/>
      </w:pPr>
      <w:r w:rsidRPr="00610401">
        <w:rPr>
          <w:rStyle w:val="FootnoteReference"/>
        </w:rPr>
        <w:footnoteRef/>
      </w:r>
      <w:r w:rsidRPr="00610401">
        <w:tab/>
        <w:t xml:space="preserve">Rozporządzenie Rady (UE, Euratom) 2020/2093 z dnia 17 grudnia 2020 r. określające wieloletnie ramy finansowe na lata 2021–2027 (Dz.U. L 433I z 22.12.2020, s. 11). </w:t>
      </w:r>
    </w:p>
  </w:footnote>
  <w:footnote w:id="104">
    <w:p w:rsidR="00610401" w:rsidRPr="00610401" w:rsidRDefault="00610401" w:rsidP="003F15C0">
      <w:pPr>
        <w:pStyle w:val="FootnoteText"/>
      </w:pPr>
      <w:r w:rsidRPr="00610401">
        <w:rPr>
          <w:rStyle w:val="FootnoteReference"/>
        </w:rPr>
        <w:footnoteRef/>
      </w:r>
      <w:r w:rsidRPr="00610401">
        <w:tab/>
        <w:t>Rozporządzenie Parlamentu Europejskiego i Rady (UE) 2021/241 z dnia 12 lutego 2021 r. ustanawiające Instrument na rzecz Odbudowy i Zwiększania Odporności (Dz.U. L 57 z 18.2.2021, s. 17).</w:t>
      </w:r>
    </w:p>
  </w:footnote>
  <w:footnote w:id="105">
    <w:p w:rsidR="00610401" w:rsidRPr="00610401" w:rsidRDefault="00610401" w:rsidP="0061410D">
      <w:pPr>
        <w:pStyle w:val="FootnoteText"/>
      </w:pPr>
      <w:r w:rsidRPr="00610401">
        <w:rPr>
          <w:rStyle w:val="FootnoteReference"/>
        </w:rPr>
        <w:footnoteRef/>
      </w:r>
      <w:r w:rsidRPr="00610401">
        <w:tab/>
      </w:r>
      <w:r w:rsidRPr="00610401">
        <w:rPr>
          <w:color w:val="444444"/>
          <w:shd w:val="clear" w:color="auto" w:fill="FFFFFF"/>
        </w:rPr>
        <w:t>Rozporządzenie Parlamentu Europejskiego i Rady (UE) 2021/523 z dnia 24 marca 2021 r. ustanawiające Program InvestEU i zmieniające rozporządzenie (UE) 2015/1017 (</w:t>
      </w:r>
      <w:r w:rsidRPr="00610401">
        <w:rPr>
          <w:rStyle w:val="Emphasis"/>
          <w:i w:val="0"/>
          <w:color w:val="444444"/>
          <w:shd w:val="clear" w:color="auto" w:fill="FFFFFF"/>
        </w:rPr>
        <w:t>Dz.U. L 107 z 26.3.2021, s. 30).</w:t>
      </w:r>
    </w:p>
  </w:footnote>
  <w:footnote w:id="106">
    <w:p w:rsidR="00610401" w:rsidRPr="00610401" w:rsidRDefault="00610401" w:rsidP="008856A7">
      <w:pPr>
        <w:pStyle w:val="FootnoteText"/>
      </w:pPr>
      <w:r w:rsidRPr="00610401">
        <w:rPr>
          <w:rStyle w:val="FootnoteReference"/>
        </w:rPr>
        <w:footnoteRef/>
      </w:r>
      <w:r w:rsidRPr="00610401">
        <w:tab/>
        <w:t>Komunikat Komisji do Parlamentu Europejskiego i Rady, Zrównoważony obieg węgla (COM(2021) 800 final).</w:t>
      </w:r>
    </w:p>
  </w:footnote>
  <w:footnote w:id="107">
    <w:p w:rsidR="00610401" w:rsidRPr="00610401" w:rsidRDefault="00610401" w:rsidP="00565D4A">
      <w:pPr>
        <w:pStyle w:val="FootnoteText"/>
      </w:pPr>
      <w:r w:rsidRPr="00610401">
        <w:rPr>
          <w:rStyle w:val="FootnoteReference"/>
        </w:rPr>
        <w:footnoteRef/>
      </w:r>
      <w:r w:rsidRPr="00610401">
        <w:tab/>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footnote>
  <w:footnote w:id="108">
    <w:p w:rsidR="00610401" w:rsidRPr="00610401" w:rsidRDefault="00610401">
      <w:pPr>
        <w:pStyle w:val="FootnoteText"/>
      </w:pPr>
      <w:r w:rsidRPr="00610401">
        <w:rPr>
          <w:rStyle w:val="FootnoteReference"/>
        </w:rPr>
        <w:footnoteRef/>
      </w:r>
      <w:r w:rsidRPr="00610401">
        <w:tab/>
        <w:t xml:space="preserve">[Należy dodać źródło po opublikowaniu 8. unijnego programu działań w zakresie środowiska (EAP)]. </w:t>
      </w:r>
    </w:p>
  </w:footnote>
  <w:footnote w:id="109">
    <w:p w:rsidR="00610401" w:rsidRPr="00610401" w:rsidRDefault="00610401" w:rsidP="00A579E0">
      <w:pPr>
        <w:pStyle w:val="FootnoteText"/>
      </w:pPr>
      <w:r w:rsidRPr="00610401">
        <w:rPr>
          <w:rStyle w:val="FootnoteReference"/>
        </w:rPr>
        <w:footnoteRef/>
      </w:r>
      <w:r w:rsidRPr="00610401">
        <w:tab/>
        <w:t>Rozporządzenie Parlamentu Europejskiego i Rady (UE) nr 182/2011 z dnia 16 lutego 2011 r. ustanawiające przepisy i zasady ogólne dotyczące trybu kontroli przez państwa członkowskie wykonywania uprawnień wykonawczych przez Komisję (Dz.U. L 55 z 28.2.2011, s. 13).</w:t>
      </w:r>
    </w:p>
  </w:footnote>
  <w:footnote w:id="110">
    <w:p w:rsidR="00610401" w:rsidRPr="00610401" w:rsidRDefault="00610401" w:rsidP="009E21CA">
      <w:pPr>
        <w:pStyle w:val="FootnoteText"/>
        <w:ind w:left="0" w:firstLine="0"/>
      </w:pPr>
      <w:r w:rsidRPr="00610401">
        <w:rPr>
          <w:rStyle w:val="FootnoteReference"/>
        </w:rPr>
        <w:footnoteRef/>
      </w:r>
      <w:r w:rsidRPr="00610401">
        <w:tab/>
      </w:r>
      <w:r w:rsidRPr="00610401">
        <w:rPr>
          <w:color w:val="000000"/>
          <w:shd w:val="clear" w:color="auto" w:fill="FFFFFF"/>
        </w:rPr>
        <w:t xml:space="preserve">Rozporządzenie (WE) nr 1059/2003 Parlamentu Europejskiego i Rady z dnia 26 maja 2003 r. w sprawie </w:t>
      </w:r>
      <w:r w:rsidRPr="00610401">
        <w:tab/>
      </w:r>
      <w:r w:rsidRPr="00610401">
        <w:rPr>
          <w:color w:val="000000"/>
          <w:shd w:val="clear" w:color="auto" w:fill="FFFFFF"/>
        </w:rPr>
        <w:t>ustalenia wspólnej klasyfikacji Jednostek Terytorialnych do Celów Statystycznych (NUTS)</w:t>
      </w:r>
      <w:r w:rsidRPr="00610401">
        <w:rPr>
          <w:rStyle w:val="Emphasis"/>
          <w:i w:val="0"/>
          <w:color w:val="444444"/>
          <w:sz w:val="21"/>
          <w:shd w:val="clear" w:color="auto" w:fill="FFFFFF"/>
        </w:rPr>
        <w:t xml:space="preserve"> (Dz.U. L 154 z 21.6.2003, s. 1).</w:t>
      </w:r>
    </w:p>
  </w:footnote>
  <w:footnote w:id="111">
    <w:p w:rsidR="00610401" w:rsidRPr="00610401" w:rsidRDefault="00610401" w:rsidP="001C09A2">
      <w:pPr>
        <w:pStyle w:val="FootnoteText"/>
      </w:pPr>
      <w:r w:rsidRPr="00610401">
        <w:rPr>
          <w:rStyle w:val="FootnoteReference"/>
        </w:rPr>
        <w:footnoteRef/>
      </w:r>
      <w:r w:rsidRPr="00610401">
        <w:tab/>
        <w:t>Rozporządzenie Parlamentu Europejskiego i Rady (UE) 2021/696 z dnia 28 kwietnia 2021 r. ustanawiające Unijny program kosmiczny i Agencję Unii Europejskiej ds. Programu Kosmicznego oraz uchylające rozporządzenia (UE) nr 912/2010, (UE) nr 1285/2013 i (UE) nr 377/2014 oraz decyzję nr 541/2014/UE (Dz.U. L 170 z 12.5.2021, s. 69)</w:t>
      </w:r>
      <w:r w:rsidRPr="00610401">
        <w:rPr>
          <w:color w:val="444444"/>
        </w:rPr>
        <w:t xml:space="preserve">. </w:t>
      </w:r>
    </w:p>
  </w:footnote>
  <w:footnote w:id="112">
    <w:p w:rsidR="00610401" w:rsidRPr="00610401" w:rsidRDefault="00610401" w:rsidP="00EF4EC2">
      <w:pPr>
        <w:pStyle w:val="Point0number"/>
        <w:numPr>
          <w:ilvl w:val="0"/>
          <w:numId w:val="0"/>
        </w:numPr>
        <w:ind w:left="709" w:hanging="709"/>
      </w:pPr>
      <w:r w:rsidRPr="00610401">
        <w:rPr>
          <w:rStyle w:val="FootnoteReference"/>
        </w:rPr>
        <w:footnoteRef/>
      </w:r>
      <w:r w:rsidRPr="00610401">
        <w:tab/>
      </w:r>
      <w:r w:rsidRPr="00610401">
        <w:rPr>
          <w:sz w:val="20"/>
        </w:rPr>
        <w:t>Wniosek dotyczący dyrektywy Parlamentu Europejskiego i Rady zmieniającej dyrektywę (UE) 2018/2001 w sprawie promowania stosowania energii ze źródeł odnawialnych, dyrektywę 2010/31/UE w sprawie charakterystyki energetycznej budynków i dyrektywę 2012/27/UE w sprawie efektywności energetycznej, COM(2022)222 final.</w:t>
      </w:r>
      <w:r w:rsidRPr="00610401">
        <w:t xml:space="preserve"> </w:t>
      </w:r>
    </w:p>
    <w:p w:rsidR="00610401" w:rsidRPr="00610401" w:rsidRDefault="00610401" w:rsidP="00E51EFA">
      <w:pPr>
        <w:pStyle w:val="FootnoteText"/>
      </w:pPr>
    </w:p>
  </w:footnote>
  <w:footnote w:id="113">
    <w:p w:rsidR="00610401" w:rsidRPr="00610401" w:rsidRDefault="00610401" w:rsidP="00FA5692">
      <w:pPr>
        <w:pStyle w:val="FootnoteText"/>
        <w:rPr>
          <w:rFonts w:ascii="Roboto" w:hAnsi="Roboto"/>
          <w:color w:val="444444"/>
        </w:rPr>
      </w:pPr>
      <w:r w:rsidRPr="00610401">
        <w:rPr>
          <w:rStyle w:val="FootnoteReference"/>
        </w:rPr>
        <w:footnoteRef/>
      </w:r>
      <w:r w:rsidRPr="00610401">
        <w:tab/>
        <w:t>Dyrektywa 2007/2/WE Parlamentu Europejskiego i Rady z dnia 14 marca 2007 r. ustanawiająca infrastrukturę informacji przestrzennej we Wspólnocie Europejskiej (INSPIRE) (Dz.U. L 108 z 25.4.2007, s. 1).</w:t>
      </w:r>
    </w:p>
  </w:footnote>
  <w:footnote w:id="114">
    <w:p w:rsidR="00610401" w:rsidRPr="00610401" w:rsidRDefault="00610401" w:rsidP="00171635">
      <w:pPr>
        <w:pStyle w:val="FootnoteText"/>
      </w:pPr>
      <w:r w:rsidRPr="00610401">
        <w:rPr>
          <w:rStyle w:val="FootnoteReference"/>
        </w:rPr>
        <w:footnoteRef/>
      </w:r>
      <w:r w:rsidRPr="00610401">
        <w:tab/>
        <w:t>Porozumienie międzyinstytucjonalne pomiędzy Parlamentem Europejskim, Radą Unii Europejskiej a Komisją Europejską w sprawie lepszego stanowienia prawa (Dz.U. L 123 z 12.5.2016, s. 1).</w:t>
      </w:r>
    </w:p>
    <w:p w:rsidR="00610401" w:rsidRPr="00610401" w:rsidRDefault="00610401">
      <w:pPr>
        <w:pStyle w:val="FootnoteText"/>
      </w:pPr>
    </w:p>
  </w:footnote>
  <w:footnote w:id="115">
    <w:p w:rsidR="00610401" w:rsidRPr="00610401" w:rsidRDefault="00610401" w:rsidP="00BE0A2F">
      <w:pPr>
        <w:pStyle w:val="FootnoteText"/>
        <w:rPr>
          <w:szCs w:val="24"/>
        </w:rPr>
      </w:pPr>
      <w:r w:rsidRPr="00610401">
        <w:rPr>
          <w:rStyle w:val="FootnoteReference"/>
        </w:rPr>
        <w:footnoteRef/>
      </w:r>
      <w:r w:rsidRPr="00610401">
        <w:tab/>
        <w:t>O którym mowa w art. 58 ust. 2 lit. a) lub b) rozporządzenia finansowego.</w:t>
      </w:r>
    </w:p>
  </w:footnote>
  <w:footnote w:id="116">
    <w:p w:rsidR="00610401" w:rsidRPr="00610401" w:rsidRDefault="00610401" w:rsidP="00BE0A2F">
      <w:pPr>
        <w:pStyle w:val="FootnoteText"/>
      </w:pPr>
      <w:r w:rsidRPr="00610401">
        <w:rPr>
          <w:rStyle w:val="FootnoteReference"/>
        </w:rPr>
        <w:footnoteRef/>
      </w:r>
      <w:r w:rsidRPr="00610401">
        <w:tab/>
        <w:t>W zależności od tego, kiedy rozporządzenie wejdzie w życie, co z kolei zależy od daty jego przyjęcia.</w:t>
      </w:r>
    </w:p>
  </w:footnote>
  <w:footnote w:id="117">
    <w:p w:rsidR="00610401" w:rsidRPr="00610401" w:rsidRDefault="00610401" w:rsidP="00BE0A2F">
      <w:pPr>
        <w:pStyle w:val="FootnoteText"/>
        <w:jc w:val="left"/>
        <w:rPr>
          <w:szCs w:val="24"/>
        </w:rPr>
      </w:pPr>
      <w:r w:rsidRPr="00610401">
        <w:rPr>
          <w:rStyle w:val="FootnoteReference"/>
        </w:rPr>
        <w:footnoteRef/>
      </w:r>
      <w:r w:rsidRPr="00610401">
        <w:tab/>
        <w:t xml:space="preserve">Wyjaśnienia dotyczące trybów zarządzania oraz odniesienia do rozporządzenia finansowego znajdują się na stronie: </w:t>
      </w:r>
      <w:hyperlink r:id="rId34" w:history="1">
        <w:r w:rsidRPr="00610401">
          <w:rPr>
            <w:rStyle w:val="Hyperlink"/>
          </w:rPr>
          <w:t>https://myintracomm.ec.europa.eu/budgweb/EN/man/budgmanag/Pages/budgmanag.aspx</w:t>
        </w:r>
      </w:hyperlink>
      <w:r w:rsidRPr="00610401">
        <w:t xml:space="preserve"> </w:t>
      </w:r>
    </w:p>
  </w:footnote>
  <w:footnote w:id="118">
    <w:p w:rsidR="00610401" w:rsidRPr="00610401" w:rsidRDefault="00610401" w:rsidP="00BE0A2F">
      <w:pPr>
        <w:pStyle w:val="FootnoteText"/>
        <w:rPr>
          <w:szCs w:val="24"/>
        </w:rPr>
      </w:pPr>
      <w:r w:rsidRPr="00610401">
        <w:rPr>
          <w:rStyle w:val="FootnoteReference"/>
        </w:rPr>
        <w:footnoteRef/>
      </w:r>
      <w:r w:rsidRPr="00610401">
        <w:tab/>
        <w:t>Zróżn. = Środki zróżnicowane/niezróżn. = środki niezróżnicowane.</w:t>
      </w:r>
    </w:p>
  </w:footnote>
  <w:footnote w:id="119">
    <w:p w:rsidR="00610401" w:rsidRPr="00610401" w:rsidRDefault="00610401" w:rsidP="00BE0A2F">
      <w:pPr>
        <w:pStyle w:val="FootnoteText"/>
        <w:rPr>
          <w:szCs w:val="24"/>
        </w:rPr>
      </w:pPr>
      <w:r w:rsidRPr="00610401">
        <w:rPr>
          <w:rStyle w:val="FootnoteReference"/>
        </w:rPr>
        <w:footnoteRef/>
      </w:r>
      <w:r w:rsidRPr="00610401">
        <w:tab/>
        <w:t xml:space="preserve">EFTA: Europejskie Stowarzyszenie Wolnego Handlu. </w:t>
      </w:r>
    </w:p>
  </w:footnote>
  <w:footnote w:id="120">
    <w:p w:rsidR="00610401" w:rsidRPr="00610401" w:rsidRDefault="00610401" w:rsidP="00BE0A2F">
      <w:pPr>
        <w:pStyle w:val="FootnoteText"/>
        <w:rPr>
          <w:szCs w:val="24"/>
        </w:rPr>
      </w:pPr>
      <w:r w:rsidRPr="00610401">
        <w:rPr>
          <w:rStyle w:val="FootnoteReference"/>
        </w:rPr>
        <w:footnoteRef/>
      </w:r>
      <w:r w:rsidRPr="00610401">
        <w:tab/>
        <w:t>Kraje kandydujące oraz w stosownych przypadkach potencjalne kraje kandydujące Bałkanów Zachodnich.</w:t>
      </w:r>
    </w:p>
  </w:footnote>
  <w:footnote w:id="121">
    <w:p w:rsidR="00610401" w:rsidRPr="00610401" w:rsidRDefault="00610401" w:rsidP="00BE0A2F">
      <w:pPr>
        <w:pStyle w:val="FootnoteText"/>
        <w:rPr>
          <w:szCs w:val="24"/>
        </w:rPr>
      </w:pPr>
      <w:r w:rsidRPr="00610401">
        <w:rPr>
          <w:rStyle w:val="FootnoteReference"/>
        </w:rPr>
        <w:footnoteRef/>
      </w:r>
      <w:r w:rsidRPr="00610401">
        <w:tab/>
      </w:r>
      <w:r w:rsidRPr="00610401">
        <w:rPr>
          <w:sz w:val="18"/>
        </w:rPr>
        <w:t>Wsparcie techniczne lub administracyjne oraz wydatki na wsparcie realizacji programów lub działań UE (dawne linie „BA”), pośrednie badania naukowe, bezpośrednie badania naukowe.</w:t>
      </w:r>
    </w:p>
  </w:footnote>
  <w:footnote w:id="122">
    <w:p w:rsidR="00610401" w:rsidRPr="00610401" w:rsidRDefault="00610401" w:rsidP="00BE0A2F">
      <w:pPr>
        <w:pStyle w:val="FootnoteText"/>
        <w:ind w:left="142" w:hanging="142"/>
      </w:pPr>
      <w:r w:rsidRPr="00610401">
        <w:rPr>
          <w:rStyle w:val="FootnoteReference"/>
        </w:rPr>
        <w:footnoteRef/>
      </w:r>
      <w:r w:rsidRPr="00610401">
        <w:tab/>
        <w:t>Potrzeby w zakresie środków administracyjnych zostaną pokryte ze środków już przydzielonych na zarządzanie tym działaniem lub przesuniętych, uzupełnionych w razie potrzeby wszelkimi dodatkowymi zasobami, które mogą zostać przydzielone zarządzającej dyrekcji generalnej w ramach procedury rocznego przydziału środków oraz w świetle istniejących ograniczeń budżetowych.</w:t>
      </w:r>
    </w:p>
  </w:footnote>
  <w:footnote w:id="123">
    <w:p w:rsidR="00610401" w:rsidRPr="00610401" w:rsidRDefault="00610401" w:rsidP="00BE0A2F">
      <w:pPr>
        <w:pStyle w:val="FootnoteText"/>
        <w:rPr>
          <w:szCs w:val="24"/>
        </w:rPr>
      </w:pPr>
      <w:r w:rsidRPr="00610401">
        <w:rPr>
          <w:rStyle w:val="FootnoteReference"/>
        </w:rPr>
        <w:footnoteRef/>
      </w:r>
      <w:r w:rsidRPr="00610401">
        <w:tab/>
        <w:t>Produkty odnoszą się do produktów i usług, które mają zostać zapewnione (np. liczba sfinansowanych wymian studentów, liczba kilometrów zbudowanych dróg itp.).</w:t>
      </w:r>
    </w:p>
  </w:footnote>
  <w:footnote w:id="124">
    <w:p w:rsidR="00610401" w:rsidRPr="00610401" w:rsidRDefault="00610401" w:rsidP="00BE0A2F">
      <w:pPr>
        <w:pStyle w:val="FootnoteText"/>
        <w:rPr>
          <w:szCs w:val="24"/>
        </w:rPr>
      </w:pPr>
      <w:r w:rsidRPr="00610401">
        <w:rPr>
          <w:rStyle w:val="FootnoteReference"/>
        </w:rPr>
        <w:footnoteRef/>
      </w:r>
      <w:r w:rsidRPr="00610401">
        <w:tab/>
        <w:t xml:space="preserve">Zgodnie z opisem w pkt 1.4.2. „Cele szczegółowe …”. </w:t>
      </w:r>
    </w:p>
  </w:footnote>
  <w:footnote w:id="125">
    <w:p w:rsidR="00610401" w:rsidRPr="00610401" w:rsidRDefault="00610401" w:rsidP="00BE0A2F">
      <w:pPr>
        <w:pStyle w:val="FootnoteText"/>
        <w:rPr>
          <w:szCs w:val="24"/>
        </w:rPr>
      </w:pPr>
      <w:r w:rsidRPr="00610401">
        <w:rPr>
          <w:rStyle w:val="FootnoteReference"/>
        </w:rPr>
        <w:footnoteRef/>
      </w:r>
      <w:r w:rsidRPr="00610401">
        <w:tab/>
        <w:t xml:space="preserve">CA = personel kontraktowy; LA = personel miejscowy; SNE = oddelegowany ekspert krajowy; INT = personel tymczasowy; JPD = młodszy specjalista w delegaturze. </w:t>
      </w:r>
    </w:p>
  </w:footnote>
  <w:footnote w:id="126">
    <w:p w:rsidR="00610401" w:rsidRPr="00610401" w:rsidRDefault="00610401" w:rsidP="00BE0A2F">
      <w:pPr>
        <w:pStyle w:val="FootnoteText"/>
        <w:rPr>
          <w:szCs w:val="24"/>
        </w:rPr>
      </w:pPr>
      <w:r w:rsidRPr="00610401">
        <w:rPr>
          <w:rStyle w:val="FootnoteReference"/>
        </w:rPr>
        <w:footnoteRef/>
      </w:r>
      <w:r w:rsidRPr="00610401">
        <w:tab/>
        <w:t>W ramach podpułapu na personel zewnętrzny ze środków operacyjnych (dawne linie „BA”).</w:t>
      </w:r>
    </w:p>
  </w:footnote>
  <w:footnote w:id="127">
    <w:p w:rsidR="00610401" w:rsidRPr="00610401" w:rsidRDefault="00610401" w:rsidP="00BE0A2F">
      <w:pPr>
        <w:pStyle w:val="FootnoteText"/>
      </w:pPr>
      <w:r w:rsidRPr="00610401">
        <w:rPr>
          <w:rStyle w:val="FootnoteReference"/>
        </w:rPr>
        <w:footnoteRef/>
      </w:r>
      <w:r w:rsidRPr="00610401">
        <w:tab/>
        <w:t>Rok N jest rokiem, w którym rozpoczyna się wprowadzenie w życie wniosku/inicjatywy. „N” należy zastąpić oczekiwanym pierwszym rokiem realizacji (np.: 2021). Tak samo należy postąpić dla kolejnych lat.</w:t>
      </w:r>
    </w:p>
  </w:footnote>
  <w:footnote w:id="128">
    <w:p w:rsidR="00610401" w:rsidRPr="00610401" w:rsidRDefault="00610401" w:rsidP="00BE0A2F">
      <w:pPr>
        <w:pStyle w:val="FootnoteText"/>
        <w:rPr>
          <w:szCs w:val="24"/>
        </w:rPr>
      </w:pPr>
      <w:r w:rsidRPr="00610401">
        <w:rPr>
          <w:rStyle w:val="FootnoteReference"/>
        </w:rPr>
        <w:footnoteRef/>
      </w:r>
      <w:r w:rsidRPr="00610401">
        <w:tab/>
        <w:t>W przypadku tradycyjnych zasobów własnych (opłaty celne, opłaty wyrównawcze od cukru) należy wskazać kwoty netto, tzn. kwoty brutto po odliczeniu 20 % na poczet kosztów poboru.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01" w:rsidRPr="00670CAE" w:rsidRDefault="00610401" w:rsidP="003C0B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670CAE" w:rsidRDefault="003C0B66" w:rsidP="003C0B66">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40" w:rsidRPr="00670CAE" w:rsidRDefault="00940D40" w:rsidP="003C0B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66" w:rsidRPr="003C0B66" w:rsidRDefault="003C0B66" w:rsidP="003C0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AF42013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78749BC"/>
    <w:multiLevelType w:val="hybridMultilevel"/>
    <w:tmpl w:val="5B9A90D0"/>
    <w:lvl w:ilvl="0" w:tplc="074670F6">
      <w:start w:val="1"/>
      <w:numFmt w:val="decimal"/>
      <w:pStyle w:val="Revis"/>
      <w:lvlText w:val="%1."/>
      <w:lvlJc w:val="left"/>
      <w:pPr>
        <w:ind w:left="60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AD447FE6">
      <w:start w:val="1"/>
      <w:numFmt w:val="lowerRoman"/>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994F56"/>
    <w:multiLevelType w:val="hybridMultilevel"/>
    <w:tmpl w:val="D5DAB6CC"/>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C0E5955"/>
    <w:multiLevelType w:val="hybridMultilevel"/>
    <w:tmpl w:val="C62042A2"/>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15:restartNumberingAfterBreak="0">
    <w:nsid w:val="2F191641"/>
    <w:multiLevelType w:val="multilevel"/>
    <w:tmpl w:val="F9969EA0"/>
    <w:lvl w:ilvl="0">
      <w:start w:val="1"/>
      <w:numFmt w:val="decimal"/>
      <w:pStyle w:val="ListNumber3"/>
      <w:lvlText w:val="(%1)"/>
      <w:lvlJc w:val="left"/>
      <w:pPr>
        <w:tabs>
          <w:tab w:val="num" w:pos="1560"/>
        </w:tabs>
        <w:ind w:left="1560" w:hanging="709"/>
      </w:pPr>
      <w:rPr>
        <w:rFonts w:cs="Times New Roman" w:hint="default"/>
      </w:rPr>
    </w:lvl>
    <w:lvl w:ilvl="1">
      <w:start w:val="1"/>
      <w:numFmt w:val="lowerLetter"/>
      <w:pStyle w:val="ListNumber3Level2"/>
      <w:lvlText w:val="(%2)"/>
      <w:lvlJc w:val="left"/>
      <w:pPr>
        <w:tabs>
          <w:tab w:val="num" w:pos="2268"/>
        </w:tabs>
        <w:ind w:left="2268" w:hanging="708"/>
      </w:pPr>
      <w:rPr>
        <w:rFonts w:cs="Times New Roman" w:hint="default"/>
      </w:rPr>
    </w:lvl>
    <w:lvl w:ilvl="2">
      <w:start w:val="1"/>
      <w:numFmt w:val="bullet"/>
      <w:pStyle w:val="ListNumber3Level3"/>
      <w:lvlText w:val="–"/>
      <w:lvlJc w:val="left"/>
      <w:pPr>
        <w:tabs>
          <w:tab w:val="num" w:pos="2977"/>
        </w:tabs>
        <w:ind w:left="2977" w:hanging="709"/>
      </w:pPr>
      <w:rPr>
        <w:rFonts w:ascii="Times New Roman" w:hAnsi="Times New Roman" w:hint="default"/>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15:restartNumberingAfterBreak="0">
    <w:nsid w:val="398C015E"/>
    <w:multiLevelType w:val="multilevel"/>
    <w:tmpl w:val="1174FB0A"/>
    <w:name w:val="List Dash 4"/>
    <w:lvl w:ilvl="0">
      <w:start w:val="1"/>
      <w:numFmt w:val="decimal"/>
      <w:pStyle w:val="ListNumber2"/>
      <w:lvlText w:val="(%1)"/>
      <w:lvlJc w:val="left"/>
      <w:pPr>
        <w:tabs>
          <w:tab w:val="num" w:pos="1560"/>
        </w:tabs>
        <w:ind w:left="1560" w:hanging="709"/>
      </w:pPr>
      <w:rPr>
        <w:rFonts w:cs="Times New Roman" w:hint="default"/>
      </w:rPr>
    </w:lvl>
    <w:lvl w:ilvl="1">
      <w:start w:val="1"/>
      <w:numFmt w:val="lowerLetter"/>
      <w:pStyle w:val="ListNumber2Level2"/>
      <w:lvlText w:val="(%2)"/>
      <w:lvlJc w:val="left"/>
      <w:pPr>
        <w:tabs>
          <w:tab w:val="num" w:pos="2268"/>
        </w:tabs>
        <w:ind w:left="2268" w:hanging="708"/>
      </w:pPr>
      <w:rPr>
        <w:rFonts w:cs="Times New Roman" w:hint="default"/>
      </w:rPr>
    </w:lvl>
    <w:lvl w:ilvl="2">
      <w:start w:val="1"/>
      <w:numFmt w:val="bullet"/>
      <w:pStyle w:val="ListNumber2Level3"/>
      <w:lvlText w:val="–"/>
      <w:lvlJc w:val="left"/>
      <w:pPr>
        <w:tabs>
          <w:tab w:val="num" w:pos="2977"/>
        </w:tabs>
        <w:ind w:left="2977" w:hanging="709"/>
      </w:pPr>
      <w:rPr>
        <w:rFonts w:ascii="Times New Roman" w:hAnsi="Times New Roman" w:hint="default"/>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15:restartNumberingAfterBreak="0">
    <w:nsid w:val="4D0C058A"/>
    <w:multiLevelType w:val="singleLevel"/>
    <w:tmpl w:val="CE88B178"/>
    <w:name w:val="List Dash 1"/>
    <w:lvl w:ilvl="0">
      <w:start w:val="1"/>
      <w:numFmt w:val="bullet"/>
      <w:lvlRestart w:val="0"/>
      <w:pStyle w:val="ListDash1"/>
      <w:lvlText w:val="–"/>
      <w:lvlJc w:val="left"/>
      <w:pPr>
        <w:tabs>
          <w:tab w:val="num" w:pos="1133"/>
        </w:tabs>
        <w:ind w:left="1133" w:hanging="283"/>
      </w:pPr>
      <w:rPr>
        <w:rFonts w:ascii="Times New Roman" w:hAnsi="Times New Roman" w:cs="Times New Roman"/>
      </w:rPr>
    </w:lvl>
  </w:abstractNum>
  <w:abstractNum w:abstractNumId="20" w15:restartNumberingAfterBreak="0">
    <w:nsid w:val="542A1204"/>
    <w:multiLevelType w:val="multilevel"/>
    <w:tmpl w:val="6F9C0EEC"/>
    <w:lvl w:ilvl="0">
      <w:start w:val="1"/>
      <w:numFmt w:val="decimal"/>
      <w:pStyle w:val="ListNumber4"/>
      <w:lvlText w:val="(%1)"/>
      <w:lvlJc w:val="left"/>
      <w:pPr>
        <w:tabs>
          <w:tab w:val="num" w:pos="1560"/>
        </w:tabs>
        <w:ind w:left="1560" w:hanging="709"/>
      </w:pPr>
      <w:rPr>
        <w:rFonts w:cs="Times New Roman" w:hint="default"/>
      </w:rPr>
    </w:lvl>
    <w:lvl w:ilvl="1">
      <w:start w:val="1"/>
      <w:numFmt w:val="lowerRoman"/>
      <w:pStyle w:val="ListNumber4Level2"/>
      <w:lvlText w:val="(%2)"/>
      <w:lvlJc w:val="left"/>
      <w:pPr>
        <w:tabs>
          <w:tab w:val="num" w:pos="2268"/>
        </w:tabs>
        <w:ind w:left="2268" w:hanging="708"/>
      </w:pPr>
      <w:rPr>
        <w:rFonts w:ascii="Times New Roman" w:eastAsia="Times New Roman" w:hAnsi="Times New Roman" w:cs="Times New Roman"/>
      </w:rPr>
    </w:lvl>
    <w:lvl w:ilvl="2">
      <w:start w:val="1"/>
      <w:numFmt w:val="bullet"/>
      <w:pStyle w:val="ListNumber4Level3"/>
      <w:lvlText w:val="–"/>
      <w:lvlJc w:val="left"/>
      <w:pPr>
        <w:tabs>
          <w:tab w:val="num" w:pos="2977"/>
        </w:tabs>
        <w:ind w:left="2977" w:hanging="709"/>
      </w:pPr>
      <w:rPr>
        <w:rFonts w:ascii="Times New Roman" w:hAnsi="Times New Roman" w:hint="default"/>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9031C16"/>
    <w:multiLevelType w:val="hybridMultilevel"/>
    <w:tmpl w:val="3B36D5DE"/>
    <w:lvl w:ilvl="0" w:tplc="D138D2D2">
      <w:start w:val="1"/>
      <w:numFmt w:val="decimal"/>
      <w:lvlText w:val="%1."/>
      <w:lvlJc w:val="left"/>
      <w:pPr>
        <w:tabs>
          <w:tab w:val="num" w:pos="720"/>
        </w:tabs>
        <w:ind w:left="720" w:hanging="360"/>
      </w:pPr>
      <w:rPr>
        <w:rFonts w:cs="Times New Roman"/>
      </w:rPr>
    </w:lvl>
    <w:lvl w:ilvl="1" w:tplc="63FC49FE" w:tentative="1">
      <w:start w:val="1"/>
      <w:numFmt w:val="lowerLetter"/>
      <w:lvlText w:val="%2."/>
      <w:lvlJc w:val="left"/>
      <w:pPr>
        <w:tabs>
          <w:tab w:val="num" w:pos="1440"/>
        </w:tabs>
        <w:ind w:left="1440" w:hanging="360"/>
      </w:pPr>
      <w:rPr>
        <w:rFonts w:cs="Times New Roman"/>
      </w:rPr>
    </w:lvl>
    <w:lvl w:ilvl="2" w:tplc="00BC669E" w:tentative="1">
      <w:start w:val="1"/>
      <w:numFmt w:val="lowerRoman"/>
      <w:lvlText w:val="%3."/>
      <w:lvlJc w:val="right"/>
      <w:pPr>
        <w:tabs>
          <w:tab w:val="num" w:pos="2160"/>
        </w:tabs>
        <w:ind w:left="2160" w:hanging="180"/>
      </w:pPr>
      <w:rPr>
        <w:rFonts w:cs="Times New Roman"/>
      </w:rPr>
    </w:lvl>
    <w:lvl w:ilvl="3" w:tplc="4F164F92" w:tentative="1">
      <w:start w:val="1"/>
      <w:numFmt w:val="decimal"/>
      <w:lvlText w:val="%4."/>
      <w:lvlJc w:val="left"/>
      <w:pPr>
        <w:tabs>
          <w:tab w:val="num" w:pos="2880"/>
        </w:tabs>
        <w:ind w:left="2880" w:hanging="360"/>
      </w:pPr>
      <w:rPr>
        <w:rFonts w:cs="Times New Roman"/>
      </w:rPr>
    </w:lvl>
    <w:lvl w:ilvl="4" w:tplc="E6F26370" w:tentative="1">
      <w:start w:val="1"/>
      <w:numFmt w:val="lowerLetter"/>
      <w:lvlText w:val="%5."/>
      <w:lvlJc w:val="left"/>
      <w:pPr>
        <w:tabs>
          <w:tab w:val="num" w:pos="3600"/>
        </w:tabs>
        <w:ind w:left="3600" w:hanging="360"/>
      </w:pPr>
      <w:rPr>
        <w:rFonts w:cs="Times New Roman"/>
      </w:rPr>
    </w:lvl>
    <w:lvl w:ilvl="5" w:tplc="20DE3B18" w:tentative="1">
      <w:start w:val="1"/>
      <w:numFmt w:val="lowerRoman"/>
      <w:lvlText w:val="%6."/>
      <w:lvlJc w:val="right"/>
      <w:pPr>
        <w:tabs>
          <w:tab w:val="num" w:pos="4320"/>
        </w:tabs>
        <w:ind w:left="4320" w:hanging="180"/>
      </w:pPr>
      <w:rPr>
        <w:rFonts w:cs="Times New Roman"/>
      </w:rPr>
    </w:lvl>
    <w:lvl w:ilvl="6" w:tplc="50C62708" w:tentative="1">
      <w:start w:val="1"/>
      <w:numFmt w:val="decimal"/>
      <w:lvlText w:val="%7."/>
      <w:lvlJc w:val="left"/>
      <w:pPr>
        <w:tabs>
          <w:tab w:val="num" w:pos="5040"/>
        </w:tabs>
        <w:ind w:left="5040" w:hanging="360"/>
      </w:pPr>
      <w:rPr>
        <w:rFonts w:cs="Times New Roman"/>
      </w:rPr>
    </w:lvl>
    <w:lvl w:ilvl="7" w:tplc="B3241FA0" w:tentative="1">
      <w:start w:val="1"/>
      <w:numFmt w:val="lowerLetter"/>
      <w:lvlText w:val="%8."/>
      <w:lvlJc w:val="left"/>
      <w:pPr>
        <w:tabs>
          <w:tab w:val="num" w:pos="5760"/>
        </w:tabs>
        <w:ind w:left="5760" w:hanging="360"/>
      </w:pPr>
      <w:rPr>
        <w:rFonts w:cs="Times New Roman"/>
      </w:rPr>
    </w:lvl>
    <w:lvl w:ilvl="8" w:tplc="A8E4A074"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5B44EC"/>
    <w:multiLevelType w:val="hybridMultilevel"/>
    <w:tmpl w:val="4238C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71F06166"/>
    <w:multiLevelType w:val="multilevel"/>
    <w:tmpl w:val="DC1A7A22"/>
    <w:name w:val="0.6719891"/>
    <w:lvl w:ilvl="0">
      <w:start w:val="1"/>
      <w:numFmt w:val="decimal"/>
      <w:lvlRestart w:val="0"/>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rPr>
        <w:rFonts w:ascii="Times New Roman" w:hAnsi="Times New Roman" w:cs="Times New Roman" w:hint="default"/>
      </w:r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3"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3"/>
  </w:num>
  <w:num w:numId="3">
    <w:abstractNumId w:val="10"/>
  </w:num>
  <w:num w:numId="4">
    <w:abstractNumId w:val="19"/>
  </w:num>
  <w:num w:numId="5">
    <w:abstractNumId w:val="18"/>
  </w:num>
  <w:num w:numId="6">
    <w:abstractNumId w:val="31"/>
  </w:num>
  <w:num w:numId="7">
    <w:abstractNumId w:val="28"/>
  </w:num>
  <w:num w:numId="8">
    <w:abstractNumId w:val="32"/>
  </w:num>
  <w:num w:numId="9">
    <w:abstractNumId w:val="33"/>
  </w:num>
  <w:num w:numId="10">
    <w:abstractNumId w:val="1"/>
  </w:num>
  <w:num w:numId="11">
    <w:abstractNumId w:val="12"/>
  </w:num>
  <w:num w:numId="12">
    <w:abstractNumId w:val="2"/>
  </w:num>
  <w:num w:numId="13">
    <w:abstractNumId w:val="13"/>
  </w:num>
  <w:num w:numId="14">
    <w:abstractNumId w:val="11"/>
  </w:num>
  <w:num w:numId="15">
    <w:abstractNumId w:val="20"/>
  </w:num>
  <w:num w:numId="16">
    <w:abstractNumId w:val="3"/>
  </w:num>
  <w:num w:numId="17">
    <w:abstractNumId w:val="34"/>
  </w:num>
  <w:num w:numId="18">
    <w:abstractNumId w:val="34"/>
    <w:lvlOverride w:ilvl="0">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6"/>
  </w:num>
  <w:num w:numId="33">
    <w:abstractNumId w:val="7"/>
  </w:num>
  <w:num w:numId="34">
    <w:abstractNumId w:val="27"/>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4"/>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4"/>
  </w:num>
  <w:num w:numId="47">
    <w:abstractNumId w:val="30"/>
  </w:num>
  <w:num w:numId="48">
    <w:abstractNumId w:val="9"/>
  </w:num>
  <w:num w:numId="49">
    <w:abstractNumId w:val="15"/>
  </w:num>
  <w:num w:numId="50">
    <w:abstractNumId w:val="16"/>
  </w:num>
  <w:num w:numId="51">
    <w:abstractNumId w:val="5"/>
  </w:num>
  <w:num w:numId="52">
    <w:abstractNumId w:val="29"/>
  </w:num>
  <w:num w:numId="53">
    <w:abstractNumId w:val="4"/>
  </w:num>
  <w:num w:numId="54">
    <w:abstractNumId w:val="17"/>
  </w:num>
  <w:num w:numId="55">
    <w:abstractNumId w:val="24"/>
  </w:num>
  <w:num w:numId="56">
    <w:abstractNumId w:val="25"/>
  </w:num>
  <w:num w:numId="57">
    <w:abstractNumId w:val="8"/>
  </w:num>
  <w:num w:numId="58">
    <w:abstractNumId w:val="21"/>
  </w:num>
  <w:num w:numId="59">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da-DK"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27 19:20:58"/>
    <w:docVar w:name="DQCRepairStyles" w:val=";NumPar 1;Considérant;"/>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8B1D336E-E402-46E7-9729-F8DC473B2AFE"/>
    <w:docVar w:name="LW_COVERPAGE_TYPE" w:val="1"/>
    <w:docVar w:name="LW_CROSSREFERENCE" w:val="{SEC(2022) 256 final} - {SWD(2022) 167 final} - {SWD(2022) 168 final}"/>
    <w:docVar w:name="LW_DocType" w:val="COM"/>
    <w:docVar w:name="LW_EMISSION" w:val="22.6.2022"/>
    <w:docVar w:name="LW_EMISSION_ISODATE" w:val="2022-06-22"/>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EXP.MOTIFS.NEW" w:val="EM_PL_"/>
    <w:docVar w:name="LW_ID_STATUT" w:val="SJ-023"/>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195"/>
    <w:docVar w:name="LW_REF.II.NEW.CP_YEAR" w:val="2022"/>
    <w:docVar w:name="LW_REF.INST.NEW" w:val="COM"/>
    <w:docVar w:name="LW_REF.INST.NEW_ADOPTED" w:val="final"/>
    <w:docVar w:name="LW_REF.INST.NEW_TEXT" w:val="(2022)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odbudowy zasobów przyrodniczych"/>
    <w:docVar w:name="LW_TYPE.DOC.CP" w:val="ROZPORZĄDZENIE PARLAMENTU EUROPEJSKIEGO I RADY"/>
    <w:docVar w:name="LwApiVersions" w:val="LW4CoDe 1.23.2.0; LW 8.0, Build 20211117"/>
  </w:docVars>
  <w:rsids>
    <w:rsidRoot w:val="00EC044F"/>
    <w:rsid w:val="0000031E"/>
    <w:rsid w:val="000006E9"/>
    <w:rsid w:val="00000CF9"/>
    <w:rsid w:val="00000DD3"/>
    <w:rsid w:val="00001C71"/>
    <w:rsid w:val="00001F2C"/>
    <w:rsid w:val="00002C78"/>
    <w:rsid w:val="00003516"/>
    <w:rsid w:val="00003893"/>
    <w:rsid w:val="00003A2B"/>
    <w:rsid w:val="00004A03"/>
    <w:rsid w:val="000050C6"/>
    <w:rsid w:val="0000524A"/>
    <w:rsid w:val="000055C9"/>
    <w:rsid w:val="00005714"/>
    <w:rsid w:val="000078AE"/>
    <w:rsid w:val="00007BB3"/>
    <w:rsid w:val="0000FA78"/>
    <w:rsid w:val="00010232"/>
    <w:rsid w:val="000107F6"/>
    <w:rsid w:val="00011E12"/>
    <w:rsid w:val="0001259A"/>
    <w:rsid w:val="00012AB1"/>
    <w:rsid w:val="000132D5"/>
    <w:rsid w:val="00013712"/>
    <w:rsid w:val="000142EF"/>
    <w:rsid w:val="0001443F"/>
    <w:rsid w:val="00014EA8"/>
    <w:rsid w:val="000165A0"/>
    <w:rsid w:val="000168C3"/>
    <w:rsid w:val="0001794C"/>
    <w:rsid w:val="00020201"/>
    <w:rsid w:val="00020A82"/>
    <w:rsid w:val="00020AB3"/>
    <w:rsid w:val="00023BC7"/>
    <w:rsid w:val="00024680"/>
    <w:rsid w:val="000252A5"/>
    <w:rsid w:val="00025835"/>
    <w:rsid w:val="00026C7D"/>
    <w:rsid w:val="00027129"/>
    <w:rsid w:val="000279BE"/>
    <w:rsid w:val="00027F6A"/>
    <w:rsid w:val="000301C0"/>
    <w:rsid w:val="000304BB"/>
    <w:rsid w:val="000304FA"/>
    <w:rsid w:val="000308C2"/>
    <w:rsid w:val="00030D0B"/>
    <w:rsid w:val="00030DDD"/>
    <w:rsid w:val="00031CAB"/>
    <w:rsid w:val="0003287F"/>
    <w:rsid w:val="00032C27"/>
    <w:rsid w:val="0003302C"/>
    <w:rsid w:val="000331D0"/>
    <w:rsid w:val="000337FB"/>
    <w:rsid w:val="00033912"/>
    <w:rsid w:val="000342F0"/>
    <w:rsid w:val="00034605"/>
    <w:rsid w:val="00036129"/>
    <w:rsid w:val="00036245"/>
    <w:rsid w:val="00036B51"/>
    <w:rsid w:val="00037055"/>
    <w:rsid w:val="0003776F"/>
    <w:rsid w:val="00037D01"/>
    <w:rsid w:val="00037EBA"/>
    <w:rsid w:val="00041561"/>
    <w:rsid w:val="00041F34"/>
    <w:rsid w:val="00042190"/>
    <w:rsid w:val="00042373"/>
    <w:rsid w:val="0004293C"/>
    <w:rsid w:val="000435A7"/>
    <w:rsid w:val="000437D8"/>
    <w:rsid w:val="00044173"/>
    <w:rsid w:val="00044759"/>
    <w:rsid w:val="00045DCC"/>
    <w:rsid w:val="00046CFD"/>
    <w:rsid w:val="00046E3C"/>
    <w:rsid w:val="000470E9"/>
    <w:rsid w:val="000475F7"/>
    <w:rsid w:val="0005193F"/>
    <w:rsid w:val="00052705"/>
    <w:rsid w:val="00052C4D"/>
    <w:rsid w:val="00053A97"/>
    <w:rsid w:val="00053DED"/>
    <w:rsid w:val="00054154"/>
    <w:rsid w:val="000548D6"/>
    <w:rsid w:val="00054D9C"/>
    <w:rsid w:val="00055BC7"/>
    <w:rsid w:val="00056050"/>
    <w:rsid w:val="00056585"/>
    <w:rsid w:val="00056941"/>
    <w:rsid w:val="000570CE"/>
    <w:rsid w:val="00057C95"/>
    <w:rsid w:val="00062770"/>
    <w:rsid w:val="00062AF6"/>
    <w:rsid w:val="00062D6F"/>
    <w:rsid w:val="00063A57"/>
    <w:rsid w:val="0006487C"/>
    <w:rsid w:val="000648E4"/>
    <w:rsid w:val="000713EE"/>
    <w:rsid w:val="00071E41"/>
    <w:rsid w:val="0007345A"/>
    <w:rsid w:val="0007356B"/>
    <w:rsid w:val="0007460B"/>
    <w:rsid w:val="0007462E"/>
    <w:rsid w:val="000749FD"/>
    <w:rsid w:val="00075D4D"/>
    <w:rsid w:val="00075E43"/>
    <w:rsid w:val="00076301"/>
    <w:rsid w:val="00076446"/>
    <w:rsid w:val="00080E68"/>
    <w:rsid w:val="000810AB"/>
    <w:rsid w:val="000824C6"/>
    <w:rsid w:val="00082EE7"/>
    <w:rsid w:val="00082F5D"/>
    <w:rsid w:val="0008333B"/>
    <w:rsid w:val="00084450"/>
    <w:rsid w:val="00084501"/>
    <w:rsid w:val="000847C3"/>
    <w:rsid w:val="00084FAB"/>
    <w:rsid w:val="000850C6"/>
    <w:rsid w:val="0008598F"/>
    <w:rsid w:val="00085F2A"/>
    <w:rsid w:val="000869EC"/>
    <w:rsid w:val="0009048A"/>
    <w:rsid w:val="00093319"/>
    <w:rsid w:val="0009383B"/>
    <w:rsid w:val="000939CE"/>
    <w:rsid w:val="00093F47"/>
    <w:rsid w:val="00094BDF"/>
    <w:rsid w:val="00095189"/>
    <w:rsid w:val="00095D3F"/>
    <w:rsid w:val="000964CB"/>
    <w:rsid w:val="0009738D"/>
    <w:rsid w:val="00097CFE"/>
    <w:rsid w:val="000A00BD"/>
    <w:rsid w:val="000A02E9"/>
    <w:rsid w:val="000A12E6"/>
    <w:rsid w:val="000A143A"/>
    <w:rsid w:val="000A1D6C"/>
    <w:rsid w:val="000A1DCD"/>
    <w:rsid w:val="000A33D9"/>
    <w:rsid w:val="000A5C05"/>
    <w:rsid w:val="000A5D3A"/>
    <w:rsid w:val="000A73AB"/>
    <w:rsid w:val="000A7517"/>
    <w:rsid w:val="000A7819"/>
    <w:rsid w:val="000B03DA"/>
    <w:rsid w:val="000B0A41"/>
    <w:rsid w:val="000B0F91"/>
    <w:rsid w:val="000B3CD6"/>
    <w:rsid w:val="000B498B"/>
    <w:rsid w:val="000B4F2F"/>
    <w:rsid w:val="000B56CF"/>
    <w:rsid w:val="000B5868"/>
    <w:rsid w:val="000B7636"/>
    <w:rsid w:val="000C0B84"/>
    <w:rsid w:val="000C0DB6"/>
    <w:rsid w:val="000C14B9"/>
    <w:rsid w:val="000C1A3B"/>
    <w:rsid w:val="000C23EA"/>
    <w:rsid w:val="000C419F"/>
    <w:rsid w:val="000C56EB"/>
    <w:rsid w:val="000C67F4"/>
    <w:rsid w:val="000C688E"/>
    <w:rsid w:val="000C7075"/>
    <w:rsid w:val="000C7215"/>
    <w:rsid w:val="000C755F"/>
    <w:rsid w:val="000C75F0"/>
    <w:rsid w:val="000C7853"/>
    <w:rsid w:val="000C7854"/>
    <w:rsid w:val="000C8E98"/>
    <w:rsid w:val="000D05DC"/>
    <w:rsid w:val="000D0E79"/>
    <w:rsid w:val="000D1459"/>
    <w:rsid w:val="000D157F"/>
    <w:rsid w:val="000D183C"/>
    <w:rsid w:val="000D1BC2"/>
    <w:rsid w:val="000D3324"/>
    <w:rsid w:val="000D41C4"/>
    <w:rsid w:val="000D4959"/>
    <w:rsid w:val="000D4BB8"/>
    <w:rsid w:val="000D4F0E"/>
    <w:rsid w:val="000D56EA"/>
    <w:rsid w:val="000D6883"/>
    <w:rsid w:val="000D7095"/>
    <w:rsid w:val="000D71A6"/>
    <w:rsid w:val="000E0097"/>
    <w:rsid w:val="000E063D"/>
    <w:rsid w:val="000E0DD1"/>
    <w:rsid w:val="000E0F07"/>
    <w:rsid w:val="000E103B"/>
    <w:rsid w:val="000E139E"/>
    <w:rsid w:val="000E1493"/>
    <w:rsid w:val="000E198E"/>
    <w:rsid w:val="000E1E02"/>
    <w:rsid w:val="000E6287"/>
    <w:rsid w:val="000E68F8"/>
    <w:rsid w:val="000F1033"/>
    <w:rsid w:val="000F1071"/>
    <w:rsid w:val="000F2B97"/>
    <w:rsid w:val="000F302C"/>
    <w:rsid w:val="000F3933"/>
    <w:rsid w:val="000F3CE0"/>
    <w:rsid w:val="000F41CE"/>
    <w:rsid w:val="000F4C6B"/>
    <w:rsid w:val="000F55D5"/>
    <w:rsid w:val="000F5912"/>
    <w:rsid w:val="000F6753"/>
    <w:rsid w:val="000F6FE2"/>
    <w:rsid w:val="00100094"/>
    <w:rsid w:val="00100A32"/>
    <w:rsid w:val="00100CE6"/>
    <w:rsid w:val="00101638"/>
    <w:rsid w:val="001018DE"/>
    <w:rsid w:val="00101B58"/>
    <w:rsid w:val="00102E63"/>
    <w:rsid w:val="00104FCC"/>
    <w:rsid w:val="0010563E"/>
    <w:rsid w:val="001056E8"/>
    <w:rsid w:val="001059C5"/>
    <w:rsid w:val="00105D13"/>
    <w:rsid w:val="00106973"/>
    <w:rsid w:val="0010E6BB"/>
    <w:rsid w:val="00111153"/>
    <w:rsid w:val="001112B3"/>
    <w:rsid w:val="00111E58"/>
    <w:rsid w:val="00111FF6"/>
    <w:rsid w:val="0011284D"/>
    <w:rsid w:val="00113719"/>
    <w:rsid w:val="00114BF5"/>
    <w:rsid w:val="00115EEC"/>
    <w:rsid w:val="00116625"/>
    <w:rsid w:val="0011779A"/>
    <w:rsid w:val="0012002E"/>
    <w:rsid w:val="001204A9"/>
    <w:rsid w:val="00120F30"/>
    <w:rsid w:val="00121DF9"/>
    <w:rsid w:val="00122964"/>
    <w:rsid w:val="00122E2A"/>
    <w:rsid w:val="00122EC4"/>
    <w:rsid w:val="00123F80"/>
    <w:rsid w:val="0012583A"/>
    <w:rsid w:val="00126288"/>
    <w:rsid w:val="001279FE"/>
    <w:rsid w:val="00130EE7"/>
    <w:rsid w:val="001324B9"/>
    <w:rsid w:val="001327CD"/>
    <w:rsid w:val="00132BF4"/>
    <w:rsid w:val="00134AEC"/>
    <w:rsid w:val="00134FFD"/>
    <w:rsid w:val="00135185"/>
    <w:rsid w:val="00135AE9"/>
    <w:rsid w:val="001362E6"/>
    <w:rsid w:val="0014092C"/>
    <w:rsid w:val="00141327"/>
    <w:rsid w:val="00142167"/>
    <w:rsid w:val="00142752"/>
    <w:rsid w:val="001428A2"/>
    <w:rsid w:val="001428B1"/>
    <w:rsid w:val="00142926"/>
    <w:rsid w:val="00142DD5"/>
    <w:rsid w:val="001436A1"/>
    <w:rsid w:val="001442C3"/>
    <w:rsid w:val="00145A9B"/>
    <w:rsid w:val="00145AD5"/>
    <w:rsid w:val="00145E24"/>
    <w:rsid w:val="00147657"/>
    <w:rsid w:val="00147C75"/>
    <w:rsid w:val="00147D2E"/>
    <w:rsid w:val="00150F93"/>
    <w:rsid w:val="00152648"/>
    <w:rsid w:val="0015361A"/>
    <w:rsid w:val="001538B9"/>
    <w:rsid w:val="00153A7C"/>
    <w:rsid w:val="00154520"/>
    <w:rsid w:val="00154C5A"/>
    <w:rsid w:val="0015523E"/>
    <w:rsid w:val="00155EDB"/>
    <w:rsid w:val="00156773"/>
    <w:rsid w:val="001569C7"/>
    <w:rsid w:val="00157190"/>
    <w:rsid w:val="001574B6"/>
    <w:rsid w:val="00160863"/>
    <w:rsid w:val="00160FCA"/>
    <w:rsid w:val="0016184A"/>
    <w:rsid w:val="0016217C"/>
    <w:rsid w:val="00162303"/>
    <w:rsid w:val="001632AE"/>
    <w:rsid w:val="00163432"/>
    <w:rsid w:val="00166297"/>
    <w:rsid w:val="001668B6"/>
    <w:rsid w:val="00166CCB"/>
    <w:rsid w:val="0016706F"/>
    <w:rsid w:val="001674F9"/>
    <w:rsid w:val="00170244"/>
    <w:rsid w:val="001703D8"/>
    <w:rsid w:val="00171635"/>
    <w:rsid w:val="00171F01"/>
    <w:rsid w:val="0017266B"/>
    <w:rsid w:val="001735E9"/>
    <w:rsid w:val="001737B4"/>
    <w:rsid w:val="00173E2A"/>
    <w:rsid w:val="001740C6"/>
    <w:rsid w:val="001747E3"/>
    <w:rsid w:val="00174DE1"/>
    <w:rsid w:val="00175160"/>
    <w:rsid w:val="001753BB"/>
    <w:rsid w:val="00175922"/>
    <w:rsid w:val="00175B79"/>
    <w:rsid w:val="001762DD"/>
    <w:rsid w:val="00176499"/>
    <w:rsid w:val="0017677C"/>
    <w:rsid w:val="00176D5E"/>
    <w:rsid w:val="001772BD"/>
    <w:rsid w:val="00177769"/>
    <w:rsid w:val="00177A84"/>
    <w:rsid w:val="0017DF3C"/>
    <w:rsid w:val="00180210"/>
    <w:rsid w:val="00180351"/>
    <w:rsid w:val="0018073E"/>
    <w:rsid w:val="00180A27"/>
    <w:rsid w:val="00180A5D"/>
    <w:rsid w:val="00181784"/>
    <w:rsid w:val="00181EA4"/>
    <w:rsid w:val="00182F2F"/>
    <w:rsid w:val="0018333B"/>
    <w:rsid w:val="00183DF2"/>
    <w:rsid w:val="001846B4"/>
    <w:rsid w:val="0018483E"/>
    <w:rsid w:val="0018484E"/>
    <w:rsid w:val="00184A16"/>
    <w:rsid w:val="00184F44"/>
    <w:rsid w:val="001855AC"/>
    <w:rsid w:val="00186C31"/>
    <w:rsid w:val="00186DC5"/>
    <w:rsid w:val="00187628"/>
    <w:rsid w:val="001903B2"/>
    <w:rsid w:val="0019168E"/>
    <w:rsid w:val="0019321E"/>
    <w:rsid w:val="00193CD3"/>
    <w:rsid w:val="0019405C"/>
    <w:rsid w:val="00194F00"/>
    <w:rsid w:val="00195885"/>
    <w:rsid w:val="00196F18"/>
    <w:rsid w:val="00197564"/>
    <w:rsid w:val="001A053E"/>
    <w:rsid w:val="001A18DE"/>
    <w:rsid w:val="001A268A"/>
    <w:rsid w:val="001A2749"/>
    <w:rsid w:val="001A30FD"/>
    <w:rsid w:val="001A4281"/>
    <w:rsid w:val="001A5DA5"/>
    <w:rsid w:val="001A6237"/>
    <w:rsid w:val="001A7B88"/>
    <w:rsid w:val="001A7F91"/>
    <w:rsid w:val="001B0264"/>
    <w:rsid w:val="001B0C95"/>
    <w:rsid w:val="001B14F1"/>
    <w:rsid w:val="001B1C4D"/>
    <w:rsid w:val="001B1E3C"/>
    <w:rsid w:val="001B24D3"/>
    <w:rsid w:val="001B2B48"/>
    <w:rsid w:val="001B4032"/>
    <w:rsid w:val="001B5018"/>
    <w:rsid w:val="001B529F"/>
    <w:rsid w:val="001B52C5"/>
    <w:rsid w:val="001B6480"/>
    <w:rsid w:val="001B64A4"/>
    <w:rsid w:val="001B737E"/>
    <w:rsid w:val="001B7BF0"/>
    <w:rsid w:val="001C0627"/>
    <w:rsid w:val="001C09A2"/>
    <w:rsid w:val="001C0F3F"/>
    <w:rsid w:val="001C1A2E"/>
    <w:rsid w:val="001C1CF1"/>
    <w:rsid w:val="001C2816"/>
    <w:rsid w:val="001C3324"/>
    <w:rsid w:val="001C35F7"/>
    <w:rsid w:val="001C3DB5"/>
    <w:rsid w:val="001C5B8B"/>
    <w:rsid w:val="001C692B"/>
    <w:rsid w:val="001C6B83"/>
    <w:rsid w:val="001D019E"/>
    <w:rsid w:val="001D055F"/>
    <w:rsid w:val="001D202C"/>
    <w:rsid w:val="001D2814"/>
    <w:rsid w:val="001D2B70"/>
    <w:rsid w:val="001D2CEA"/>
    <w:rsid w:val="001D4A54"/>
    <w:rsid w:val="001D5ADD"/>
    <w:rsid w:val="001D5FDB"/>
    <w:rsid w:val="001D63EB"/>
    <w:rsid w:val="001D64DA"/>
    <w:rsid w:val="001D65B6"/>
    <w:rsid w:val="001D6A8D"/>
    <w:rsid w:val="001D6C67"/>
    <w:rsid w:val="001D716C"/>
    <w:rsid w:val="001D7C6E"/>
    <w:rsid w:val="001E119A"/>
    <w:rsid w:val="001E21BF"/>
    <w:rsid w:val="001E2FA5"/>
    <w:rsid w:val="001E3DE6"/>
    <w:rsid w:val="001E40D6"/>
    <w:rsid w:val="001E43DB"/>
    <w:rsid w:val="001E4B51"/>
    <w:rsid w:val="001E52F3"/>
    <w:rsid w:val="001E54A7"/>
    <w:rsid w:val="001E58C0"/>
    <w:rsid w:val="001E5C10"/>
    <w:rsid w:val="001E5F64"/>
    <w:rsid w:val="001E6202"/>
    <w:rsid w:val="001E6406"/>
    <w:rsid w:val="001E75A7"/>
    <w:rsid w:val="001E7981"/>
    <w:rsid w:val="001F16F7"/>
    <w:rsid w:val="001F1763"/>
    <w:rsid w:val="001F2014"/>
    <w:rsid w:val="001F2923"/>
    <w:rsid w:val="001F29CD"/>
    <w:rsid w:val="001F2E1A"/>
    <w:rsid w:val="001F3EC3"/>
    <w:rsid w:val="001F40B0"/>
    <w:rsid w:val="001F56EA"/>
    <w:rsid w:val="001F581D"/>
    <w:rsid w:val="001F582D"/>
    <w:rsid w:val="001F584C"/>
    <w:rsid w:val="001F5C4D"/>
    <w:rsid w:val="001F5FF3"/>
    <w:rsid w:val="001F6215"/>
    <w:rsid w:val="001F6700"/>
    <w:rsid w:val="00201468"/>
    <w:rsid w:val="00201732"/>
    <w:rsid w:val="00201F3D"/>
    <w:rsid w:val="0020251E"/>
    <w:rsid w:val="00202F96"/>
    <w:rsid w:val="00203956"/>
    <w:rsid w:val="00203C6E"/>
    <w:rsid w:val="0020408A"/>
    <w:rsid w:val="002040AE"/>
    <w:rsid w:val="00204336"/>
    <w:rsid w:val="00204A2C"/>
    <w:rsid w:val="00205223"/>
    <w:rsid w:val="00205A7F"/>
    <w:rsid w:val="00207006"/>
    <w:rsid w:val="002074D3"/>
    <w:rsid w:val="00207CD0"/>
    <w:rsid w:val="0021050E"/>
    <w:rsid w:val="00210E3A"/>
    <w:rsid w:val="00210EC1"/>
    <w:rsid w:val="002116F5"/>
    <w:rsid w:val="002122D8"/>
    <w:rsid w:val="00212358"/>
    <w:rsid w:val="0021347F"/>
    <w:rsid w:val="00214536"/>
    <w:rsid w:val="00215E19"/>
    <w:rsid w:val="002164A5"/>
    <w:rsid w:val="00216DB2"/>
    <w:rsid w:val="002173A6"/>
    <w:rsid w:val="00217851"/>
    <w:rsid w:val="002178A6"/>
    <w:rsid w:val="00217F73"/>
    <w:rsid w:val="00220099"/>
    <w:rsid w:val="00220F4B"/>
    <w:rsid w:val="00221994"/>
    <w:rsid w:val="002222DF"/>
    <w:rsid w:val="00223C58"/>
    <w:rsid w:val="00223F54"/>
    <w:rsid w:val="0022436D"/>
    <w:rsid w:val="00224484"/>
    <w:rsid w:val="00225B35"/>
    <w:rsid w:val="002260E2"/>
    <w:rsid w:val="00226D97"/>
    <w:rsid w:val="00227400"/>
    <w:rsid w:val="00230E9A"/>
    <w:rsid w:val="002316FD"/>
    <w:rsid w:val="002319B1"/>
    <w:rsid w:val="00232072"/>
    <w:rsid w:val="002324EA"/>
    <w:rsid w:val="00232E98"/>
    <w:rsid w:val="00233064"/>
    <w:rsid w:val="00234087"/>
    <w:rsid w:val="00234D78"/>
    <w:rsid w:val="002354DE"/>
    <w:rsid w:val="00235ED7"/>
    <w:rsid w:val="0023770E"/>
    <w:rsid w:val="00237EDF"/>
    <w:rsid w:val="002400F2"/>
    <w:rsid w:val="002404C2"/>
    <w:rsid w:val="00240902"/>
    <w:rsid w:val="0024092B"/>
    <w:rsid w:val="0024241E"/>
    <w:rsid w:val="0024277C"/>
    <w:rsid w:val="00242C75"/>
    <w:rsid w:val="00243652"/>
    <w:rsid w:val="0024409E"/>
    <w:rsid w:val="002441AF"/>
    <w:rsid w:val="00244BDE"/>
    <w:rsid w:val="00246308"/>
    <w:rsid w:val="00246715"/>
    <w:rsid w:val="00246BBB"/>
    <w:rsid w:val="00246F8F"/>
    <w:rsid w:val="002479CC"/>
    <w:rsid w:val="00247BC2"/>
    <w:rsid w:val="002504BF"/>
    <w:rsid w:val="002505BE"/>
    <w:rsid w:val="00250646"/>
    <w:rsid w:val="00250760"/>
    <w:rsid w:val="00251834"/>
    <w:rsid w:val="002519AE"/>
    <w:rsid w:val="002521F1"/>
    <w:rsid w:val="00252A74"/>
    <w:rsid w:val="0025313A"/>
    <w:rsid w:val="0025315F"/>
    <w:rsid w:val="00253CBB"/>
    <w:rsid w:val="00254BF4"/>
    <w:rsid w:val="00254E7A"/>
    <w:rsid w:val="002559C1"/>
    <w:rsid w:val="0025626C"/>
    <w:rsid w:val="0025671C"/>
    <w:rsid w:val="00256836"/>
    <w:rsid w:val="00257175"/>
    <w:rsid w:val="00257381"/>
    <w:rsid w:val="002579B8"/>
    <w:rsid w:val="00260B33"/>
    <w:rsid w:val="00260D20"/>
    <w:rsid w:val="0026363E"/>
    <w:rsid w:val="00264702"/>
    <w:rsid w:val="002654F3"/>
    <w:rsid w:val="002659B9"/>
    <w:rsid w:val="00266231"/>
    <w:rsid w:val="00266F29"/>
    <w:rsid w:val="002673C6"/>
    <w:rsid w:val="002677FD"/>
    <w:rsid w:val="00267866"/>
    <w:rsid w:val="00270602"/>
    <w:rsid w:val="00271B1E"/>
    <w:rsid w:val="00272070"/>
    <w:rsid w:val="00272A2A"/>
    <w:rsid w:val="002731CA"/>
    <w:rsid w:val="00274442"/>
    <w:rsid w:val="00275839"/>
    <w:rsid w:val="0027681F"/>
    <w:rsid w:val="00277B8D"/>
    <w:rsid w:val="00277F2B"/>
    <w:rsid w:val="00277F90"/>
    <w:rsid w:val="002803A6"/>
    <w:rsid w:val="002806CC"/>
    <w:rsid w:val="00280893"/>
    <w:rsid w:val="00281281"/>
    <w:rsid w:val="00281795"/>
    <w:rsid w:val="002817B1"/>
    <w:rsid w:val="002818EE"/>
    <w:rsid w:val="0028222F"/>
    <w:rsid w:val="00282508"/>
    <w:rsid w:val="00282BF1"/>
    <w:rsid w:val="00282D13"/>
    <w:rsid w:val="00282DE9"/>
    <w:rsid w:val="0028380D"/>
    <w:rsid w:val="00285A63"/>
    <w:rsid w:val="00286262"/>
    <w:rsid w:val="00286468"/>
    <w:rsid w:val="00286606"/>
    <w:rsid w:val="002873E2"/>
    <w:rsid w:val="002877FA"/>
    <w:rsid w:val="0029010A"/>
    <w:rsid w:val="0029035D"/>
    <w:rsid w:val="00291A09"/>
    <w:rsid w:val="00292CBD"/>
    <w:rsid w:val="00293C8E"/>
    <w:rsid w:val="00294009"/>
    <w:rsid w:val="00295B94"/>
    <w:rsid w:val="00297AD1"/>
    <w:rsid w:val="002A0BFF"/>
    <w:rsid w:val="002A0C41"/>
    <w:rsid w:val="002A125E"/>
    <w:rsid w:val="002A153A"/>
    <w:rsid w:val="002A19BD"/>
    <w:rsid w:val="002A1F82"/>
    <w:rsid w:val="002A203D"/>
    <w:rsid w:val="002A2ADB"/>
    <w:rsid w:val="002A2B31"/>
    <w:rsid w:val="002A2C2B"/>
    <w:rsid w:val="002A58C0"/>
    <w:rsid w:val="002A5CF1"/>
    <w:rsid w:val="002A5F3A"/>
    <w:rsid w:val="002A6428"/>
    <w:rsid w:val="002A6DBF"/>
    <w:rsid w:val="002A7199"/>
    <w:rsid w:val="002A74E0"/>
    <w:rsid w:val="002A7B89"/>
    <w:rsid w:val="002A7EA6"/>
    <w:rsid w:val="002B0789"/>
    <w:rsid w:val="002B07E3"/>
    <w:rsid w:val="002B08FE"/>
    <w:rsid w:val="002B0AA5"/>
    <w:rsid w:val="002B0AEC"/>
    <w:rsid w:val="002B1428"/>
    <w:rsid w:val="002B1A22"/>
    <w:rsid w:val="002B1CC2"/>
    <w:rsid w:val="002B20A3"/>
    <w:rsid w:val="002B2320"/>
    <w:rsid w:val="002B306F"/>
    <w:rsid w:val="002B3786"/>
    <w:rsid w:val="002B3B13"/>
    <w:rsid w:val="002B3E7B"/>
    <w:rsid w:val="002B3F9A"/>
    <w:rsid w:val="002B4643"/>
    <w:rsid w:val="002B49D9"/>
    <w:rsid w:val="002B4DCB"/>
    <w:rsid w:val="002B5B53"/>
    <w:rsid w:val="002B6462"/>
    <w:rsid w:val="002B6499"/>
    <w:rsid w:val="002B657E"/>
    <w:rsid w:val="002B6BEC"/>
    <w:rsid w:val="002B7623"/>
    <w:rsid w:val="002B7A30"/>
    <w:rsid w:val="002C15BC"/>
    <w:rsid w:val="002C1AD1"/>
    <w:rsid w:val="002C1B0D"/>
    <w:rsid w:val="002C2A3C"/>
    <w:rsid w:val="002C2B2A"/>
    <w:rsid w:val="002C2F37"/>
    <w:rsid w:val="002C3868"/>
    <w:rsid w:val="002C4441"/>
    <w:rsid w:val="002C45E8"/>
    <w:rsid w:val="002C6584"/>
    <w:rsid w:val="002C6BF8"/>
    <w:rsid w:val="002C71D9"/>
    <w:rsid w:val="002C7FEF"/>
    <w:rsid w:val="002CA661"/>
    <w:rsid w:val="002D014A"/>
    <w:rsid w:val="002D02F4"/>
    <w:rsid w:val="002D070A"/>
    <w:rsid w:val="002D0731"/>
    <w:rsid w:val="002D154C"/>
    <w:rsid w:val="002D17EB"/>
    <w:rsid w:val="002D2115"/>
    <w:rsid w:val="002D2581"/>
    <w:rsid w:val="002D41A0"/>
    <w:rsid w:val="002D45C1"/>
    <w:rsid w:val="002D47F6"/>
    <w:rsid w:val="002D49D9"/>
    <w:rsid w:val="002D4ADA"/>
    <w:rsid w:val="002D5194"/>
    <w:rsid w:val="002D6B48"/>
    <w:rsid w:val="002D7773"/>
    <w:rsid w:val="002D7C9D"/>
    <w:rsid w:val="002E001E"/>
    <w:rsid w:val="002E0082"/>
    <w:rsid w:val="002E016C"/>
    <w:rsid w:val="002E027C"/>
    <w:rsid w:val="002E06AE"/>
    <w:rsid w:val="002E07FB"/>
    <w:rsid w:val="002E098E"/>
    <w:rsid w:val="002E1ABD"/>
    <w:rsid w:val="002E1AD2"/>
    <w:rsid w:val="002E55EA"/>
    <w:rsid w:val="002E5DDA"/>
    <w:rsid w:val="002E6000"/>
    <w:rsid w:val="002E61AD"/>
    <w:rsid w:val="002E648B"/>
    <w:rsid w:val="002E6CE3"/>
    <w:rsid w:val="002E7160"/>
    <w:rsid w:val="002F0812"/>
    <w:rsid w:val="002F11AC"/>
    <w:rsid w:val="002F1676"/>
    <w:rsid w:val="002F1685"/>
    <w:rsid w:val="002F1C3F"/>
    <w:rsid w:val="002F25F1"/>
    <w:rsid w:val="002F2CC4"/>
    <w:rsid w:val="002F2D27"/>
    <w:rsid w:val="002F531E"/>
    <w:rsid w:val="002F57AB"/>
    <w:rsid w:val="002F6997"/>
    <w:rsid w:val="002F6C57"/>
    <w:rsid w:val="002F7421"/>
    <w:rsid w:val="002F7B1A"/>
    <w:rsid w:val="002F7CF0"/>
    <w:rsid w:val="002F7D18"/>
    <w:rsid w:val="00301046"/>
    <w:rsid w:val="003019B3"/>
    <w:rsid w:val="00303AA9"/>
    <w:rsid w:val="0030C3EE"/>
    <w:rsid w:val="00310555"/>
    <w:rsid w:val="0031173F"/>
    <w:rsid w:val="0031197F"/>
    <w:rsid w:val="00311FD0"/>
    <w:rsid w:val="0031214B"/>
    <w:rsid w:val="00314051"/>
    <w:rsid w:val="00314BD7"/>
    <w:rsid w:val="00314C25"/>
    <w:rsid w:val="00314DB5"/>
    <w:rsid w:val="003150B6"/>
    <w:rsid w:val="003150B8"/>
    <w:rsid w:val="003201CC"/>
    <w:rsid w:val="003208C0"/>
    <w:rsid w:val="00320EC6"/>
    <w:rsid w:val="00320F0E"/>
    <w:rsid w:val="00322253"/>
    <w:rsid w:val="003229DF"/>
    <w:rsid w:val="003230AA"/>
    <w:rsid w:val="00323BDC"/>
    <w:rsid w:val="003252B4"/>
    <w:rsid w:val="00326DF1"/>
    <w:rsid w:val="00327566"/>
    <w:rsid w:val="00327C4B"/>
    <w:rsid w:val="00330840"/>
    <w:rsid w:val="00330A15"/>
    <w:rsid w:val="00330A4F"/>
    <w:rsid w:val="00330F9C"/>
    <w:rsid w:val="003315CB"/>
    <w:rsid w:val="003321D1"/>
    <w:rsid w:val="0033269E"/>
    <w:rsid w:val="00332A1E"/>
    <w:rsid w:val="0033668D"/>
    <w:rsid w:val="0033687D"/>
    <w:rsid w:val="00336968"/>
    <w:rsid w:val="00336CB5"/>
    <w:rsid w:val="003371ED"/>
    <w:rsid w:val="00341D71"/>
    <w:rsid w:val="003421A1"/>
    <w:rsid w:val="0034242C"/>
    <w:rsid w:val="003425C9"/>
    <w:rsid w:val="00342B4C"/>
    <w:rsid w:val="003436C6"/>
    <w:rsid w:val="003442C8"/>
    <w:rsid w:val="00344E79"/>
    <w:rsid w:val="00344F2A"/>
    <w:rsid w:val="00345A8B"/>
    <w:rsid w:val="00345FC3"/>
    <w:rsid w:val="00346A48"/>
    <w:rsid w:val="0034771C"/>
    <w:rsid w:val="00350288"/>
    <w:rsid w:val="00351554"/>
    <w:rsid w:val="00351DC0"/>
    <w:rsid w:val="003522F7"/>
    <w:rsid w:val="003540D8"/>
    <w:rsid w:val="00354513"/>
    <w:rsid w:val="0035556F"/>
    <w:rsid w:val="0035557D"/>
    <w:rsid w:val="003555C7"/>
    <w:rsid w:val="00355A75"/>
    <w:rsid w:val="00356C64"/>
    <w:rsid w:val="0036034C"/>
    <w:rsid w:val="00360AB0"/>
    <w:rsid w:val="003617BB"/>
    <w:rsid w:val="00361AF5"/>
    <w:rsid w:val="0036289B"/>
    <w:rsid w:val="00364479"/>
    <w:rsid w:val="00364A23"/>
    <w:rsid w:val="003655B6"/>
    <w:rsid w:val="00367020"/>
    <w:rsid w:val="0036771E"/>
    <w:rsid w:val="00367D57"/>
    <w:rsid w:val="003703CF"/>
    <w:rsid w:val="00371418"/>
    <w:rsid w:val="00371733"/>
    <w:rsid w:val="003723AA"/>
    <w:rsid w:val="003737A1"/>
    <w:rsid w:val="00373BD7"/>
    <w:rsid w:val="0037406B"/>
    <w:rsid w:val="003743A1"/>
    <w:rsid w:val="00375063"/>
    <w:rsid w:val="00375360"/>
    <w:rsid w:val="003761C1"/>
    <w:rsid w:val="003764F1"/>
    <w:rsid w:val="00377DA9"/>
    <w:rsid w:val="00380033"/>
    <w:rsid w:val="00380088"/>
    <w:rsid w:val="0038161C"/>
    <w:rsid w:val="00382163"/>
    <w:rsid w:val="0038266C"/>
    <w:rsid w:val="00382781"/>
    <w:rsid w:val="00384C9B"/>
    <w:rsid w:val="00385224"/>
    <w:rsid w:val="00385692"/>
    <w:rsid w:val="00385CD2"/>
    <w:rsid w:val="003865EB"/>
    <w:rsid w:val="003866B6"/>
    <w:rsid w:val="003866F6"/>
    <w:rsid w:val="0038717A"/>
    <w:rsid w:val="003872C0"/>
    <w:rsid w:val="00387A06"/>
    <w:rsid w:val="00390608"/>
    <w:rsid w:val="003907F7"/>
    <w:rsid w:val="00391026"/>
    <w:rsid w:val="003929F2"/>
    <w:rsid w:val="00392EAB"/>
    <w:rsid w:val="0039354B"/>
    <w:rsid w:val="00393BE9"/>
    <w:rsid w:val="003946A2"/>
    <w:rsid w:val="003950E3"/>
    <w:rsid w:val="00396B03"/>
    <w:rsid w:val="00397CBF"/>
    <w:rsid w:val="003A06EA"/>
    <w:rsid w:val="003A1BE8"/>
    <w:rsid w:val="003A2369"/>
    <w:rsid w:val="003A24CC"/>
    <w:rsid w:val="003A2DE8"/>
    <w:rsid w:val="003A315A"/>
    <w:rsid w:val="003A552E"/>
    <w:rsid w:val="003A558B"/>
    <w:rsid w:val="003A60A2"/>
    <w:rsid w:val="003A63D3"/>
    <w:rsid w:val="003A6F04"/>
    <w:rsid w:val="003A7326"/>
    <w:rsid w:val="003A7B94"/>
    <w:rsid w:val="003B1390"/>
    <w:rsid w:val="003B26DA"/>
    <w:rsid w:val="003B2B14"/>
    <w:rsid w:val="003B2B36"/>
    <w:rsid w:val="003B32D4"/>
    <w:rsid w:val="003B4A9E"/>
    <w:rsid w:val="003B7475"/>
    <w:rsid w:val="003B7501"/>
    <w:rsid w:val="003B7B89"/>
    <w:rsid w:val="003C012B"/>
    <w:rsid w:val="003C04DA"/>
    <w:rsid w:val="003C0B66"/>
    <w:rsid w:val="003C0CDA"/>
    <w:rsid w:val="003C19DD"/>
    <w:rsid w:val="003C27F8"/>
    <w:rsid w:val="003C4419"/>
    <w:rsid w:val="003C645A"/>
    <w:rsid w:val="003C6563"/>
    <w:rsid w:val="003C687C"/>
    <w:rsid w:val="003C6A01"/>
    <w:rsid w:val="003C6E66"/>
    <w:rsid w:val="003C753E"/>
    <w:rsid w:val="003D0089"/>
    <w:rsid w:val="003D037F"/>
    <w:rsid w:val="003D050C"/>
    <w:rsid w:val="003D0C15"/>
    <w:rsid w:val="003D1D2A"/>
    <w:rsid w:val="003D1D5F"/>
    <w:rsid w:val="003D29FF"/>
    <w:rsid w:val="003D3EBB"/>
    <w:rsid w:val="003D48AD"/>
    <w:rsid w:val="003D509A"/>
    <w:rsid w:val="003D6458"/>
    <w:rsid w:val="003D6715"/>
    <w:rsid w:val="003DAFDA"/>
    <w:rsid w:val="003E0000"/>
    <w:rsid w:val="003E03D2"/>
    <w:rsid w:val="003E043A"/>
    <w:rsid w:val="003E0797"/>
    <w:rsid w:val="003E1B88"/>
    <w:rsid w:val="003E1E47"/>
    <w:rsid w:val="003E333A"/>
    <w:rsid w:val="003E45D0"/>
    <w:rsid w:val="003E5A6E"/>
    <w:rsid w:val="003E6140"/>
    <w:rsid w:val="003E635B"/>
    <w:rsid w:val="003E69CA"/>
    <w:rsid w:val="003E6DF8"/>
    <w:rsid w:val="003F08C1"/>
    <w:rsid w:val="003F094D"/>
    <w:rsid w:val="003F0D80"/>
    <w:rsid w:val="003F15C0"/>
    <w:rsid w:val="003F195B"/>
    <w:rsid w:val="003F2735"/>
    <w:rsid w:val="003F2940"/>
    <w:rsid w:val="003F2FD7"/>
    <w:rsid w:val="003F3E32"/>
    <w:rsid w:val="003F5C23"/>
    <w:rsid w:val="003F60CF"/>
    <w:rsid w:val="003F67E3"/>
    <w:rsid w:val="003F685F"/>
    <w:rsid w:val="003F72A7"/>
    <w:rsid w:val="003F951A"/>
    <w:rsid w:val="00400280"/>
    <w:rsid w:val="00400BF5"/>
    <w:rsid w:val="004017E9"/>
    <w:rsid w:val="00401FB6"/>
    <w:rsid w:val="0040245F"/>
    <w:rsid w:val="0040247F"/>
    <w:rsid w:val="00404548"/>
    <w:rsid w:val="004047B1"/>
    <w:rsid w:val="00406261"/>
    <w:rsid w:val="0040682F"/>
    <w:rsid w:val="004075C1"/>
    <w:rsid w:val="00407DF5"/>
    <w:rsid w:val="0041031E"/>
    <w:rsid w:val="004111EC"/>
    <w:rsid w:val="00412698"/>
    <w:rsid w:val="0041284E"/>
    <w:rsid w:val="00412C96"/>
    <w:rsid w:val="00412F7A"/>
    <w:rsid w:val="00413F28"/>
    <w:rsid w:val="00416239"/>
    <w:rsid w:val="00416FB8"/>
    <w:rsid w:val="00417699"/>
    <w:rsid w:val="00417A53"/>
    <w:rsid w:val="00417EE9"/>
    <w:rsid w:val="00420C79"/>
    <w:rsid w:val="00422085"/>
    <w:rsid w:val="00422B6F"/>
    <w:rsid w:val="00422BDB"/>
    <w:rsid w:val="00423B34"/>
    <w:rsid w:val="0042472C"/>
    <w:rsid w:val="004255A8"/>
    <w:rsid w:val="00425C8D"/>
    <w:rsid w:val="00425F2C"/>
    <w:rsid w:val="004268A4"/>
    <w:rsid w:val="00426E2F"/>
    <w:rsid w:val="00426E87"/>
    <w:rsid w:val="00427295"/>
    <w:rsid w:val="00430075"/>
    <w:rsid w:val="00430BF9"/>
    <w:rsid w:val="00430FFE"/>
    <w:rsid w:val="00432055"/>
    <w:rsid w:val="004326D1"/>
    <w:rsid w:val="00432B40"/>
    <w:rsid w:val="00433278"/>
    <w:rsid w:val="00433F85"/>
    <w:rsid w:val="00433FEA"/>
    <w:rsid w:val="004348F7"/>
    <w:rsid w:val="004358FE"/>
    <w:rsid w:val="00435DAB"/>
    <w:rsid w:val="00436038"/>
    <w:rsid w:val="00437E85"/>
    <w:rsid w:val="00437F36"/>
    <w:rsid w:val="00441B91"/>
    <w:rsid w:val="00443607"/>
    <w:rsid w:val="00444F74"/>
    <w:rsid w:val="0044514A"/>
    <w:rsid w:val="00445B2E"/>
    <w:rsid w:val="0044684C"/>
    <w:rsid w:val="00446CDC"/>
    <w:rsid w:val="0044772E"/>
    <w:rsid w:val="00447D9A"/>
    <w:rsid w:val="00450D1E"/>
    <w:rsid w:val="00451D83"/>
    <w:rsid w:val="00452193"/>
    <w:rsid w:val="00452195"/>
    <w:rsid w:val="00452B04"/>
    <w:rsid w:val="0045316E"/>
    <w:rsid w:val="00453282"/>
    <w:rsid w:val="00453F0F"/>
    <w:rsid w:val="004540CC"/>
    <w:rsid w:val="00454240"/>
    <w:rsid w:val="0045435C"/>
    <w:rsid w:val="004549FC"/>
    <w:rsid w:val="00455DE3"/>
    <w:rsid w:val="00456E81"/>
    <w:rsid w:val="004572C3"/>
    <w:rsid w:val="0045793A"/>
    <w:rsid w:val="00461033"/>
    <w:rsid w:val="004620A9"/>
    <w:rsid w:val="004632CA"/>
    <w:rsid w:val="00463EE3"/>
    <w:rsid w:val="00463FDD"/>
    <w:rsid w:val="00464F2F"/>
    <w:rsid w:val="004668BF"/>
    <w:rsid w:val="004673F2"/>
    <w:rsid w:val="00467434"/>
    <w:rsid w:val="00467577"/>
    <w:rsid w:val="00467A49"/>
    <w:rsid w:val="00470652"/>
    <w:rsid w:val="004709CE"/>
    <w:rsid w:val="0047189A"/>
    <w:rsid w:val="00471EE2"/>
    <w:rsid w:val="00471F40"/>
    <w:rsid w:val="004723E1"/>
    <w:rsid w:val="0047261A"/>
    <w:rsid w:val="00472E86"/>
    <w:rsid w:val="0047301B"/>
    <w:rsid w:val="0047390F"/>
    <w:rsid w:val="004739B1"/>
    <w:rsid w:val="00474086"/>
    <w:rsid w:val="004750DE"/>
    <w:rsid w:val="004755E4"/>
    <w:rsid w:val="00476C62"/>
    <w:rsid w:val="00477A15"/>
    <w:rsid w:val="00477E0A"/>
    <w:rsid w:val="004801DC"/>
    <w:rsid w:val="00480268"/>
    <w:rsid w:val="0048091F"/>
    <w:rsid w:val="00480C0C"/>
    <w:rsid w:val="00480F3C"/>
    <w:rsid w:val="004812CA"/>
    <w:rsid w:val="00482A1E"/>
    <w:rsid w:val="0048378F"/>
    <w:rsid w:val="00483A7F"/>
    <w:rsid w:val="0048413C"/>
    <w:rsid w:val="004846D7"/>
    <w:rsid w:val="00484AB4"/>
    <w:rsid w:val="00485850"/>
    <w:rsid w:val="004861DC"/>
    <w:rsid w:val="004904DB"/>
    <w:rsid w:val="004913C8"/>
    <w:rsid w:val="004913EE"/>
    <w:rsid w:val="0049161B"/>
    <w:rsid w:val="00493A68"/>
    <w:rsid w:val="004946F4"/>
    <w:rsid w:val="0049613F"/>
    <w:rsid w:val="004968F4"/>
    <w:rsid w:val="00497733"/>
    <w:rsid w:val="004A117A"/>
    <w:rsid w:val="004A1C7F"/>
    <w:rsid w:val="004A2AA4"/>
    <w:rsid w:val="004A2B92"/>
    <w:rsid w:val="004A2BA0"/>
    <w:rsid w:val="004A345D"/>
    <w:rsid w:val="004A35B5"/>
    <w:rsid w:val="004A38FD"/>
    <w:rsid w:val="004A4938"/>
    <w:rsid w:val="004A4D55"/>
    <w:rsid w:val="004A521B"/>
    <w:rsid w:val="004A53AB"/>
    <w:rsid w:val="004A6310"/>
    <w:rsid w:val="004A641F"/>
    <w:rsid w:val="004A7C4B"/>
    <w:rsid w:val="004B0E09"/>
    <w:rsid w:val="004B16A2"/>
    <w:rsid w:val="004B1E62"/>
    <w:rsid w:val="004B2A9C"/>
    <w:rsid w:val="004B3880"/>
    <w:rsid w:val="004B3E96"/>
    <w:rsid w:val="004B42A0"/>
    <w:rsid w:val="004B46DF"/>
    <w:rsid w:val="004B5672"/>
    <w:rsid w:val="004B6019"/>
    <w:rsid w:val="004B6476"/>
    <w:rsid w:val="004B7028"/>
    <w:rsid w:val="004B7DAE"/>
    <w:rsid w:val="004B91DF"/>
    <w:rsid w:val="004C0068"/>
    <w:rsid w:val="004C00F3"/>
    <w:rsid w:val="004C1A5E"/>
    <w:rsid w:val="004C3190"/>
    <w:rsid w:val="004C3A94"/>
    <w:rsid w:val="004C3F49"/>
    <w:rsid w:val="004C6826"/>
    <w:rsid w:val="004C73B4"/>
    <w:rsid w:val="004C7476"/>
    <w:rsid w:val="004C7B4F"/>
    <w:rsid w:val="004D1FBB"/>
    <w:rsid w:val="004D2894"/>
    <w:rsid w:val="004D2EF2"/>
    <w:rsid w:val="004D3083"/>
    <w:rsid w:val="004D33BD"/>
    <w:rsid w:val="004D4690"/>
    <w:rsid w:val="004D4773"/>
    <w:rsid w:val="004D4BB7"/>
    <w:rsid w:val="004D545E"/>
    <w:rsid w:val="004D61F7"/>
    <w:rsid w:val="004D6251"/>
    <w:rsid w:val="004D68A7"/>
    <w:rsid w:val="004D7121"/>
    <w:rsid w:val="004D7526"/>
    <w:rsid w:val="004D7564"/>
    <w:rsid w:val="004D759C"/>
    <w:rsid w:val="004D7939"/>
    <w:rsid w:val="004E0551"/>
    <w:rsid w:val="004E0E27"/>
    <w:rsid w:val="004E14D9"/>
    <w:rsid w:val="004E157B"/>
    <w:rsid w:val="004E17E9"/>
    <w:rsid w:val="004E1C3C"/>
    <w:rsid w:val="004E1F97"/>
    <w:rsid w:val="004E267A"/>
    <w:rsid w:val="004E2A3C"/>
    <w:rsid w:val="004E362F"/>
    <w:rsid w:val="004E371E"/>
    <w:rsid w:val="004E3836"/>
    <w:rsid w:val="004E38B7"/>
    <w:rsid w:val="004E3CDF"/>
    <w:rsid w:val="004E4415"/>
    <w:rsid w:val="004E55DA"/>
    <w:rsid w:val="004E588F"/>
    <w:rsid w:val="004E5B27"/>
    <w:rsid w:val="004E5E5D"/>
    <w:rsid w:val="004E7D57"/>
    <w:rsid w:val="004F02EB"/>
    <w:rsid w:val="004F1046"/>
    <w:rsid w:val="004F10E5"/>
    <w:rsid w:val="004F2720"/>
    <w:rsid w:val="004F31D6"/>
    <w:rsid w:val="004F338C"/>
    <w:rsid w:val="004F35B6"/>
    <w:rsid w:val="004F372A"/>
    <w:rsid w:val="004F44EB"/>
    <w:rsid w:val="004F4EE9"/>
    <w:rsid w:val="004F56DB"/>
    <w:rsid w:val="004F58AA"/>
    <w:rsid w:val="004F69FC"/>
    <w:rsid w:val="004F6C5D"/>
    <w:rsid w:val="004F75C4"/>
    <w:rsid w:val="004F7C4E"/>
    <w:rsid w:val="0050055D"/>
    <w:rsid w:val="00502F96"/>
    <w:rsid w:val="0050382B"/>
    <w:rsid w:val="00503C11"/>
    <w:rsid w:val="00503D98"/>
    <w:rsid w:val="00504D66"/>
    <w:rsid w:val="00505755"/>
    <w:rsid w:val="00505870"/>
    <w:rsid w:val="00505CB7"/>
    <w:rsid w:val="0050665C"/>
    <w:rsid w:val="00506B00"/>
    <w:rsid w:val="00506D53"/>
    <w:rsid w:val="00506EE2"/>
    <w:rsid w:val="00506F75"/>
    <w:rsid w:val="00507F5C"/>
    <w:rsid w:val="005109E7"/>
    <w:rsid w:val="00512C2F"/>
    <w:rsid w:val="00513808"/>
    <w:rsid w:val="0051380B"/>
    <w:rsid w:val="00515199"/>
    <w:rsid w:val="00515204"/>
    <w:rsid w:val="0051551E"/>
    <w:rsid w:val="00515E14"/>
    <w:rsid w:val="005164F8"/>
    <w:rsid w:val="0051C6D8"/>
    <w:rsid w:val="005200FD"/>
    <w:rsid w:val="00520A81"/>
    <w:rsid w:val="00520F45"/>
    <w:rsid w:val="0052111F"/>
    <w:rsid w:val="005213B7"/>
    <w:rsid w:val="005214C9"/>
    <w:rsid w:val="00521BCB"/>
    <w:rsid w:val="0052224F"/>
    <w:rsid w:val="00522FAF"/>
    <w:rsid w:val="0052314F"/>
    <w:rsid w:val="0052328C"/>
    <w:rsid w:val="005245B0"/>
    <w:rsid w:val="00524A86"/>
    <w:rsid w:val="00524CD1"/>
    <w:rsid w:val="0052507B"/>
    <w:rsid w:val="00525158"/>
    <w:rsid w:val="00525DC2"/>
    <w:rsid w:val="00526685"/>
    <w:rsid w:val="005274AA"/>
    <w:rsid w:val="00532829"/>
    <w:rsid w:val="00532E32"/>
    <w:rsid w:val="0053382E"/>
    <w:rsid w:val="00533D18"/>
    <w:rsid w:val="00533DA7"/>
    <w:rsid w:val="00533E46"/>
    <w:rsid w:val="005354FC"/>
    <w:rsid w:val="00535A71"/>
    <w:rsid w:val="00536016"/>
    <w:rsid w:val="0053629B"/>
    <w:rsid w:val="0054071E"/>
    <w:rsid w:val="0054090F"/>
    <w:rsid w:val="00541786"/>
    <w:rsid w:val="00541DBB"/>
    <w:rsid w:val="00542CCD"/>
    <w:rsid w:val="005432C1"/>
    <w:rsid w:val="0054378A"/>
    <w:rsid w:val="00543D91"/>
    <w:rsid w:val="00543FBB"/>
    <w:rsid w:val="0054430E"/>
    <w:rsid w:val="00544716"/>
    <w:rsid w:val="00544A4E"/>
    <w:rsid w:val="00546D2E"/>
    <w:rsid w:val="0054725B"/>
    <w:rsid w:val="005474C4"/>
    <w:rsid w:val="005500A5"/>
    <w:rsid w:val="005509BF"/>
    <w:rsid w:val="005518EF"/>
    <w:rsid w:val="00551E9D"/>
    <w:rsid w:val="00552676"/>
    <w:rsid w:val="00553051"/>
    <w:rsid w:val="005532C0"/>
    <w:rsid w:val="005533CD"/>
    <w:rsid w:val="0055344A"/>
    <w:rsid w:val="00553626"/>
    <w:rsid w:val="00553E89"/>
    <w:rsid w:val="00554426"/>
    <w:rsid w:val="00554B4D"/>
    <w:rsid w:val="00554D8E"/>
    <w:rsid w:val="00555383"/>
    <w:rsid w:val="00555C37"/>
    <w:rsid w:val="0055702A"/>
    <w:rsid w:val="005576C7"/>
    <w:rsid w:val="00557D4E"/>
    <w:rsid w:val="00561654"/>
    <w:rsid w:val="00561CFF"/>
    <w:rsid w:val="00561E56"/>
    <w:rsid w:val="005625A8"/>
    <w:rsid w:val="00562FA4"/>
    <w:rsid w:val="005633E5"/>
    <w:rsid w:val="0056432A"/>
    <w:rsid w:val="00564407"/>
    <w:rsid w:val="0056443B"/>
    <w:rsid w:val="00564954"/>
    <w:rsid w:val="00564E04"/>
    <w:rsid w:val="00565D4A"/>
    <w:rsid w:val="00566CBD"/>
    <w:rsid w:val="00567456"/>
    <w:rsid w:val="005677FE"/>
    <w:rsid w:val="00567AA9"/>
    <w:rsid w:val="00567C37"/>
    <w:rsid w:val="00567C55"/>
    <w:rsid w:val="00570299"/>
    <w:rsid w:val="00570347"/>
    <w:rsid w:val="005706E0"/>
    <w:rsid w:val="0057259A"/>
    <w:rsid w:val="005732F9"/>
    <w:rsid w:val="005739AE"/>
    <w:rsid w:val="00573BCA"/>
    <w:rsid w:val="005748D3"/>
    <w:rsid w:val="005748FD"/>
    <w:rsid w:val="00574FBD"/>
    <w:rsid w:val="0057529D"/>
    <w:rsid w:val="005771E6"/>
    <w:rsid w:val="005779DB"/>
    <w:rsid w:val="005779F9"/>
    <w:rsid w:val="00577F48"/>
    <w:rsid w:val="005811BB"/>
    <w:rsid w:val="00581750"/>
    <w:rsid w:val="005817C8"/>
    <w:rsid w:val="005819CD"/>
    <w:rsid w:val="0058243C"/>
    <w:rsid w:val="0058254A"/>
    <w:rsid w:val="00583EA8"/>
    <w:rsid w:val="0058429D"/>
    <w:rsid w:val="0058443A"/>
    <w:rsid w:val="005844B7"/>
    <w:rsid w:val="00585719"/>
    <w:rsid w:val="005857AA"/>
    <w:rsid w:val="00586816"/>
    <w:rsid w:val="00587D8F"/>
    <w:rsid w:val="00590B02"/>
    <w:rsid w:val="00591290"/>
    <w:rsid w:val="005919A7"/>
    <w:rsid w:val="00593737"/>
    <w:rsid w:val="00594A78"/>
    <w:rsid w:val="005961A4"/>
    <w:rsid w:val="005965DF"/>
    <w:rsid w:val="005977A3"/>
    <w:rsid w:val="00597A60"/>
    <w:rsid w:val="005A12E0"/>
    <w:rsid w:val="005A1682"/>
    <w:rsid w:val="005A2640"/>
    <w:rsid w:val="005A2795"/>
    <w:rsid w:val="005A28BF"/>
    <w:rsid w:val="005A3422"/>
    <w:rsid w:val="005A3A6D"/>
    <w:rsid w:val="005A48BA"/>
    <w:rsid w:val="005A4A06"/>
    <w:rsid w:val="005A4F01"/>
    <w:rsid w:val="005A51D1"/>
    <w:rsid w:val="005A5269"/>
    <w:rsid w:val="005A526E"/>
    <w:rsid w:val="005A6036"/>
    <w:rsid w:val="005A7CE7"/>
    <w:rsid w:val="005B02BC"/>
    <w:rsid w:val="005B03D6"/>
    <w:rsid w:val="005B0D7D"/>
    <w:rsid w:val="005B1117"/>
    <w:rsid w:val="005B16EA"/>
    <w:rsid w:val="005B1DA5"/>
    <w:rsid w:val="005B28BE"/>
    <w:rsid w:val="005B45F1"/>
    <w:rsid w:val="005B52EA"/>
    <w:rsid w:val="005B62FF"/>
    <w:rsid w:val="005B6BF1"/>
    <w:rsid w:val="005BAF00"/>
    <w:rsid w:val="005C0168"/>
    <w:rsid w:val="005C12F5"/>
    <w:rsid w:val="005C148B"/>
    <w:rsid w:val="005C1CE1"/>
    <w:rsid w:val="005C2C67"/>
    <w:rsid w:val="005C33B3"/>
    <w:rsid w:val="005C3D8A"/>
    <w:rsid w:val="005C52C2"/>
    <w:rsid w:val="005C5950"/>
    <w:rsid w:val="005C5A87"/>
    <w:rsid w:val="005C5C05"/>
    <w:rsid w:val="005C7CE0"/>
    <w:rsid w:val="005C7FCA"/>
    <w:rsid w:val="005D10B1"/>
    <w:rsid w:val="005D13F1"/>
    <w:rsid w:val="005D21C5"/>
    <w:rsid w:val="005D2204"/>
    <w:rsid w:val="005D28BB"/>
    <w:rsid w:val="005D3504"/>
    <w:rsid w:val="005D3B43"/>
    <w:rsid w:val="005D50BD"/>
    <w:rsid w:val="005D58C3"/>
    <w:rsid w:val="005D6A2F"/>
    <w:rsid w:val="005D6BF3"/>
    <w:rsid w:val="005D74F0"/>
    <w:rsid w:val="005D759D"/>
    <w:rsid w:val="005E0772"/>
    <w:rsid w:val="005E0D0C"/>
    <w:rsid w:val="005E0E29"/>
    <w:rsid w:val="005E1366"/>
    <w:rsid w:val="005E1740"/>
    <w:rsid w:val="005E2B12"/>
    <w:rsid w:val="005E2E6C"/>
    <w:rsid w:val="005E313D"/>
    <w:rsid w:val="005E5572"/>
    <w:rsid w:val="005E57B1"/>
    <w:rsid w:val="005E5897"/>
    <w:rsid w:val="005E5AF1"/>
    <w:rsid w:val="005E699E"/>
    <w:rsid w:val="005E6A9E"/>
    <w:rsid w:val="005E6D5A"/>
    <w:rsid w:val="005E6E8D"/>
    <w:rsid w:val="005E7ADF"/>
    <w:rsid w:val="005E7B1E"/>
    <w:rsid w:val="005F101C"/>
    <w:rsid w:val="005F1256"/>
    <w:rsid w:val="005F14F3"/>
    <w:rsid w:val="005F1CAA"/>
    <w:rsid w:val="005F290F"/>
    <w:rsid w:val="005F322B"/>
    <w:rsid w:val="005F4335"/>
    <w:rsid w:val="005F4E97"/>
    <w:rsid w:val="005F66C7"/>
    <w:rsid w:val="005F7F36"/>
    <w:rsid w:val="006005A9"/>
    <w:rsid w:val="00600962"/>
    <w:rsid w:val="00600DBA"/>
    <w:rsid w:val="00600EC4"/>
    <w:rsid w:val="00602914"/>
    <w:rsid w:val="006033F2"/>
    <w:rsid w:val="00603F3C"/>
    <w:rsid w:val="006060C6"/>
    <w:rsid w:val="00606D48"/>
    <w:rsid w:val="006070F5"/>
    <w:rsid w:val="0060717C"/>
    <w:rsid w:val="0060722F"/>
    <w:rsid w:val="00607671"/>
    <w:rsid w:val="00610401"/>
    <w:rsid w:val="00610D58"/>
    <w:rsid w:val="006117D5"/>
    <w:rsid w:val="00611E21"/>
    <w:rsid w:val="006134C9"/>
    <w:rsid w:val="0061410D"/>
    <w:rsid w:val="00614660"/>
    <w:rsid w:val="006152F3"/>
    <w:rsid w:val="006156B3"/>
    <w:rsid w:val="006160C1"/>
    <w:rsid w:val="00616A1B"/>
    <w:rsid w:val="00620118"/>
    <w:rsid w:val="006204B1"/>
    <w:rsid w:val="00620999"/>
    <w:rsid w:val="006215DB"/>
    <w:rsid w:val="0062190E"/>
    <w:rsid w:val="00621CA5"/>
    <w:rsid w:val="006227E8"/>
    <w:rsid w:val="006234A2"/>
    <w:rsid w:val="0062393B"/>
    <w:rsid w:val="00623DBD"/>
    <w:rsid w:val="00624199"/>
    <w:rsid w:val="00625A5D"/>
    <w:rsid w:val="00627B43"/>
    <w:rsid w:val="006312DC"/>
    <w:rsid w:val="00631542"/>
    <w:rsid w:val="00631700"/>
    <w:rsid w:val="00631A9B"/>
    <w:rsid w:val="00631C78"/>
    <w:rsid w:val="0063284E"/>
    <w:rsid w:val="00633085"/>
    <w:rsid w:val="00633A13"/>
    <w:rsid w:val="00633D25"/>
    <w:rsid w:val="006342DA"/>
    <w:rsid w:val="006379EC"/>
    <w:rsid w:val="00637C87"/>
    <w:rsid w:val="006414D6"/>
    <w:rsid w:val="0064192D"/>
    <w:rsid w:val="00641931"/>
    <w:rsid w:val="00641D95"/>
    <w:rsid w:val="006450AB"/>
    <w:rsid w:val="00645D97"/>
    <w:rsid w:val="006463FA"/>
    <w:rsid w:val="00647444"/>
    <w:rsid w:val="00650128"/>
    <w:rsid w:val="006517BA"/>
    <w:rsid w:val="0065238B"/>
    <w:rsid w:val="00652495"/>
    <w:rsid w:val="006532E9"/>
    <w:rsid w:val="00653F5C"/>
    <w:rsid w:val="006540B4"/>
    <w:rsid w:val="006553CD"/>
    <w:rsid w:val="00655E22"/>
    <w:rsid w:val="00660359"/>
    <w:rsid w:val="00660477"/>
    <w:rsid w:val="006608D1"/>
    <w:rsid w:val="00660E0C"/>
    <w:rsid w:val="00661031"/>
    <w:rsid w:val="00661B4D"/>
    <w:rsid w:val="00662A1F"/>
    <w:rsid w:val="006639E5"/>
    <w:rsid w:val="00664295"/>
    <w:rsid w:val="00664B5A"/>
    <w:rsid w:val="00664E22"/>
    <w:rsid w:val="00665223"/>
    <w:rsid w:val="006654F0"/>
    <w:rsid w:val="006662C2"/>
    <w:rsid w:val="00667013"/>
    <w:rsid w:val="00667721"/>
    <w:rsid w:val="00670CAE"/>
    <w:rsid w:val="00670EB5"/>
    <w:rsid w:val="006710AE"/>
    <w:rsid w:val="00671618"/>
    <w:rsid w:val="00672DA6"/>
    <w:rsid w:val="006733A2"/>
    <w:rsid w:val="00673CA3"/>
    <w:rsid w:val="00673CA6"/>
    <w:rsid w:val="00674B04"/>
    <w:rsid w:val="00675102"/>
    <w:rsid w:val="0067623E"/>
    <w:rsid w:val="00676FCB"/>
    <w:rsid w:val="006776FC"/>
    <w:rsid w:val="00681C7A"/>
    <w:rsid w:val="00681F7D"/>
    <w:rsid w:val="00683253"/>
    <w:rsid w:val="0068330E"/>
    <w:rsid w:val="006834BB"/>
    <w:rsid w:val="00684057"/>
    <w:rsid w:val="00684491"/>
    <w:rsid w:val="00684C06"/>
    <w:rsid w:val="0068548B"/>
    <w:rsid w:val="00685D92"/>
    <w:rsid w:val="0068658A"/>
    <w:rsid w:val="00686DFF"/>
    <w:rsid w:val="00687B25"/>
    <w:rsid w:val="006918CA"/>
    <w:rsid w:val="0069196A"/>
    <w:rsid w:val="00695B43"/>
    <w:rsid w:val="006969A6"/>
    <w:rsid w:val="00696C90"/>
    <w:rsid w:val="00697E32"/>
    <w:rsid w:val="006A073D"/>
    <w:rsid w:val="006A0785"/>
    <w:rsid w:val="006A1528"/>
    <w:rsid w:val="006A2704"/>
    <w:rsid w:val="006A2A69"/>
    <w:rsid w:val="006A3062"/>
    <w:rsid w:val="006A3C0E"/>
    <w:rsid w:val="006A40E2"/>
    <w:rsid w:val="006A6764"/>
    <w:rsid w:val="006B221F"/>
    <w:rsid w:val="006B2426"/>
    <w:rsid w:val="006B328D"/>
    <w:rsid w:val="006B3595"/>
    <w:rsid w:val="006B3F95"/>
    <w:rsid w:val="006B44C8"/>
    <w:rsid w:val="006B4538"/>
    <w:rsid w:val="006B4910"/>
    <w:rsid w:val="006B4E38"/>
    <w:rsid w:val="006B4FBB"/>
    <w:rsid w:val="006B5F49"/>
    <w:rsid w:val="006B633C"/>
    <w:rsid w:val="006B6977"/>
    <w:rsid w:val="006B6E7E"/>
    <w:rsid w:val="006B7526"/>
    <w:rsid w:val="006B7BF7"/>
    <w:rsid w:val="006BF472"/>
    <w:rsid w:val="006C0AC7"/>
    <w:rsid w:val="006C0AFB"/>
    <w:rsid w:val="006C105F"/>
    <w:rsid w:val="006C1410"/>
    <w:rsid w:val="006C15D3"/>
    <w:rsid w:val="006C2E61"/>
    <w:rsid w:val="006C34CC"/>
    <w:rsid w:val="006C5A6B"/>
    <w:rsid w:val="006C6F43"/>
    <w:rsid w:val="006C6F94"/>
    <w:rsid w:val="006D2D76"/>
    <w:rsid w:val="006D5239"/>
    <w:rsid w:val="006D5C53"/>
    <w:rsid w:val="006D6CB1"/>
    <w:rsid w:val="006D6E50"/>
    <w:rsid w:val="006D7D9F"/>
    <w:rsid w:val="006D7E2C"/>
    <w:rsid w:val="006E0C5E"/>
    <w:rsid w:val="006E0FD9"/>
    <w:rsid w:val="006E2C43"/>
    <w:rsid w:val="006E2D47"/>
    <w:rsid w:val="006E313D"/>
    <w:rsid w:val="006E5CFD"/>
    <w:rsid w:val="006F12C5"/>
    <w:rsid w:val="006F15FF"/>
    <w:rsid w:val="006F166C"/>
    <w:rsid w:val="006F16E2"/>
    <w:rsid w:val="006F229A"/>
    <w:rsid w:val="006F3295"/>
    <w:rsid w:val="006F43B2"/>
    <w:rsid w:val="006F5021"/>
    <w:rsid w:val="006F599C"/>
    <w:rsid w:val="006F6BEB"/>
    <w:rsid w:val="006F7550"/>
    <w:rsid w:val="006F7D14"/>
    <w:rsid w:val="007000FA"/>
    <w:rsid w:val="007007F7"/>
    <w:rsid w:val="0070128F"/>
    <w:rsid w:val="0070204F"/>
    <w:rsid w:val="0070297A"/>
    <w:rsid w:val="00703212"/>
    <w:rsid w:val="00703B46"/>
    <w:rsid w:val="00704795"/>
    <w:rsid w:val="007057EA"/>
    <w:rsid w:val="00705F22"/>
    <w:rsid w:val="00705FAC"/>
    <w:rsid w:val="00706371"/>
    <w:rsid w:val="00710159"/>
    <w:rsid w:val="00710314"/>
    <w:rsid w:val="007113FC"/>
    <w:rsid w:val="00713A6E"/>
    <w:rsid w:val="00713B61"/>
    <w:rsid w:val="00714751"/>
    <w:rsid w:val="00717195"/>
    <w:rsid w:val="00717961"/>
    <w:rsid w:val="00720815"/>
    <w:rsid w:val="00720C5E"/>
    <w:rsid w:val="00721347"/>
    <w:rsid w:val="00721B5F"/>
    <w:rsid w:val="007229F3"/>
    <w:rsid w:val="00722D1B"/>
    <w:rsid w:val="00722EF1"/>
    <w:rsid w:val="0072366B"/>
    <w:rsid w:val="00723D7A"/>
    <w:rsid w:val="00724208"/>
    <w:rsid w:val="00724E3F"/>
    <w:rsid w:val="00725F02"/>
    <w:rsid w:val="00726250"/>
    <w:rsid w:val="00727275"/>
    <w:rsid w:val="00730578"/>
    <w:rsid w:val="00730A5F"/>
    <w:rsid w:val="00730D30"/>
    <w:rsid w:val="0073109D"/>
    <w:rsid w:val="00731465"/>
    <w:rsid w:val="00731733"/>
    <w:rsid w:val="0073271D"/>
    <w:rsid w:val="00733637"/>
    <w:rsid w:val="00733CAB"/>
    <w:rsid w:val="007340D0"/>
    <w:rsid w:val="007349A7"/>
    <w:rsid w:val="007349BC"/>
    <w:rsid w:val="00734D25"/>
    <w:rsid w:val="0073502F"/>
    <w:rsid w:val="00737B2C"/>
    <w:rsid w:val="00737DB0"/>
    <w:rsid w:val="00741348"/>
    <w:rsid w:val="00741613"/>
    <w:rsid w:val="00741EFE"/>
    <w:rsid w:val="00742076"/>
    <w:rsid w:val="0074340C"/>
    <w:rsid w:val="007453CD"/>
    <w:rsid w:val="00746112"/>
    <w:rsid w:val="00746A1F"/>
    <w:rsid w:val="0074AE1B"/>
    <w:rsid w:val="00750123"/>
    <w:rsid w:val="0075060A"/>
    <w:rsid w:val="007516D2"/>
    <w:rsid w:val="00751C59"/>
    <w:rsid w:val="0075247D"/>
    <w:rsid w:val="00752FE1"/>
    <w:rsid w:val="00753671"/>
    <w:rsid w:val="0075368E"/>
    <w:rsid w:val="007537A3"/>
    <w:rsid w:val="00754048"/>
    <w:rsid w:val="00754721"/>
    <w:rsid w:val="00755BBB"/>
    <w:rsid w:val="00755BF8"/>
    <w:rsid w:val="0075660E"/>
    <w:rsid w:val="00756A1E"/>
    <w:rsid w:val="0075764C"/>
    <w:rsid w:val="00757866"/>
    <w:rsid w:val="00757E7B"/>
    <w:rsid w:val="00757FE6"/>
    <w:rsid w:val="007604BB"/>
    <w:rsid w:val="007616FC"/>
    <w:rsid w:val="0076290B"/>
    <w:rsid w:val="00762AFA"/>
    <w:rsid w:val="00763587"/>
    <w:rsid w:val="0076394B"/>
    <w:rsid w:val="007669EF"/>
    <w:rsid w:val="007674FF"/>
    <w:rsid w:val="00767DAD"/>
    <w:rsid w:val="00771695"/>
    <w:rsid w:val="00771FDA"/>
    <w:rsid w:val="00772428"/>
    <w:rsid w:val="00772CAF"/>
    <w:rsid w:val="00773BFA"/>
    <w:rsid w:val="00774574"/>
    <w:rsid w:val="00774583"/>
    <w:rsid w:val="00774838"/>
    <w:rsid w:val="00774D13"/>
    <w:rsid w:val="00776856"/>
    <w:rsid w:val="00776C70"/>
    <w:rsid w:val="007774D4"/>
    <w:rsid w:val="00777CE7"/>
    <w:rsid w:val="00780244"/>
    <w:rsid w:val="00781894"/>
    <w:rsid w:val="00782034"/>
    <w:rsid w:val="00782DB7"/>
    <w:rsid w:val="00783C56"/>
    <w:rsid w:val="00784EBA"/>
    <w:rsid w:val="00784FDE"/>
    <w:rsid w:val="007865B0"/>
    <w:rsid w:val="00786DF0"/>
    <w:rsid w:val="007915C5"/>
    <w:rsid w:val="00791BA1"/>
    <w:rsid w:val="00791D31"/>
    <w:rsid w:val="0079646A"/>
    <w:rsid w:val="0079742F"/>
    <w:rsid w:val="00797445"/>
    <w:rsid w:val="007A0ABE"/>
    <w:rsid w:val="007A0B03"/>
    <w:rsid w:val="007A0FCA"/>
    <w:rsid w:val="007A15BA"/>
    <w:rsid w:val="007A18CC"/>
    <w:rsid w:val="007A2389"/>
    <w:rsid w:val="007A2982"/>
    <w:rsid w:val="007A2E33"/>
    <w:rsid w:val="007A35FA"/>
    <w:rsid w:val="007A3BEA"/>
    <w:rsid w:val="007A4313"/>
    <w:rsid w:val="007A4336"/>
    <w:rsid w:val="007A49D8"/>
    <w:rsid w:val="007A5F6D"/>
    <w:rsid w:val="007A628E"/>
    <w:rsid w:val="007A6924"/>
    <w:rsid w:val="007A6C40"/>
    <w:rsid w:val="007B0311"/>
    <w:rsid w:val="007B0CCB"/>
    <w:rsid w:val="007B12D1"/>
    <w:rsid w:val="007B1B33"/>
    <w:rsid w:val="007B2C7C"/>
    <w:rsid w:val="007B3628"/>
    <w:rsid w:val="007B395C"/>
    <w:rsid w:val="007B4974"/>
    <w:rsid w:val="007B58E6"/>
    <w:rsid w:val="007B61BE"/>
    <w:rsid w:val="007B6540"/>
    <w:rsid w:val="007B79DE"/>
    <w:rsid w:val="007B7DB9"/>
    <w:rsid w:val="007B7F6D"/>
    <w:rsid w:val="007C0340"/>
    <w:rsid w:val="007C059F"/>
    <w:rsid w:val="007C06F6"/>
    <w:rsid w:val="007C075F"/>
    <w:rsid w:val="007C13CF"/>
    <w:rsid w:val="007C17AE"/>
    <w:rsid w:val="007C1AC9"/>
    <w:rsid w:val="007C286C"/>
    <w:rsid w:val="007C2B2C"/>
    <w:rsid w:val="007C2BB7"/>
    <w:rsid w:val="007C4C4D"/>
    <w:rsid w:val="007C4D9F"/>
    <w:rsid w:val="007C5003"/>
    <w:rsid w:val="007C5221"/>
    <w:rsid w:val="007C5389"/>
    <w:rsid w:val="007C5A0E"/>
    <w:rsid w:val="007C5DB8"/>
    <w:rsid w:val="007C6112"/>
    <w:rsid w:val="007C65E2"/>
    <w:rsid w:val="007C6AA6"/>
    <w:rsid w:val="007C70D3"/>
    <w:rsid w:val="007C72CC"/>
    <w:rsid w:val="007C7688"/>
    <w:rsid w:val="007C7A55"/>
    <w:rsid w:val="007CDC33"/>
    <w:rsid w:val="007D025B"/>
    <w:rsid w:val="007D0842"/>
    <w:rsid w:val="007D2173"/>
    <w:rsid w:val="007D26D0"/>
    <w:rsid w:val="007D2F04"/>
    <w:rsid w:val="007D3561"/>
    <w:rsid w:val="007D38E4"/>
    <w:rsid w:val="007D48C9"/>
    <w:rsid w:val="007D5221"/>
    <w:rsid w:val="007D6619"/>
    <w:rsid w:val="007D73A0"/>
    <w:rsid w:val="007D7EBD"/>
    <w:rsid w:val="007E0155"/>
    <w:rsid w:val="007E03B1"/>
    <w:rsid w:val="007E1F73"/>
    <w:rsid w:val="007E2159"/>
    <w:rsid w:val="007E282C"/>
    <w:rsid w:val="007E338E"/>
    <w:rsid w:val="007E3E24"/>
    <w:rsid w:val="007E4D19"/>
    <w:rsid w:val="007E5A95"/>
    <w:rsid w:val="007E60B1"/>
    <w:rsid w:val="007E6160"/>
    <w:rsid w:val="007E6321"/>
    <w:rsid w:val="007E6402"/>
    <w:rsid w:val="007E6BA2"/>
    <w:rsid w:val="007E720F"/>
    <w:rsid w:val="007EE1CA"/>
    <w:rsid w:val="007F209B"/>
    <w:rsid w:val="007F2320"/>
    <w:rsid w:val="007F28CF"/>
    <w:rsid w:val="007F28D4"/>
    <w:rsid w:val="007F3AD7"/>
    <w:rsid w:val="007F43BD"/>
    <w:rsid w:val="007F4B33"/>
    <w:rsid w:val="007F5607"/>
    <w:rsid w:val="007F562B"/>
    <w:rsid w:val="007F681C"/>
    <w:rsid w:val="008002B3"/>
    <w:rsid w:val="00800808"/>
    <w:rsid w:val="00801226"/>
    <w:rsid w:val="008025F4"/>
    <w:rsid w:val="008032A0"/>
    <w:rsid w:val="008035E4"/>
    <w:rsid w:val="00804537"/>
    <w:rsid w:val="00805567"/>
    <w:rsid w:val="00805886"/>
    <w:rsid w:val="00806399"/>
    <w:rsid w:val="008102EA"/>
    <w:rsid w:val="008135CB"/>
    <w:rsid w:val="00813CCB"/>
    <w:rsid w:val="00813F7E"/>
    <w:rsid w:val="00813FB4"/>
    <w:rsid w:val="0081416E"/>
    <w:rsid w:val="008150AF"/>
    <w:rsid w:val="008153C2"/>
    <w:rsid w:val="00815C15"/>
    <w:rsid w:val="00817E6D"/>
    <w:rsid w:val="008209C7"/>
    <w:rsid w:val="00821E7B"/>
    <w:rsid w:val="0082292A"/>
    <w:rsid w:val="00823860"/>
    <w:rsid w:val="00826B53"/>
    <w:rsid w:val="00826E17"/>
    <w:rsid w:val="008270D0"/>
    <w:rsid w:val="008275A5"/>
    <w:rsid w:val="00827E2D"/>
    <w:rsid w:val="00830051"/>
    <w:rsid w:val="008315BF"/>
    <w:rsid w:val="00832B58"/>
    <w:rsid w:val="00832E8C"/>
    <w:rsid w:val="00834162"/>
    <w:rsid w:val="00834343"/>
    <w:rsid w:val="00834572"/>
    <w:rsid w:val="008355F8"/>
    <w:rsid w:val="008358B3"/>
    <w:rsid w:val="00835DB6"/>
    <w:rsid w:val="008400EF"/>
    <w:rsid w:val="00840AD7"/>
    <w:rsid w:val="00840B8F"/>
    <w:rsid w:val="00840C9C"/>
    <w:rsid w:val="008414FA"/>
    <w:rsid w:val="008415D3"/>
    <w:rsid w:val="0084181B"/>
    <w:rsid w:val="00842DC3"/>
    <w:rsid w:val="00843242"/>
    <w:rsid w:val="00843D36"/>
    <w:rsid w:val="008440E7"/>
    <w:rsid w:val="008455EE"/>
    <w:rsid w:val="00846035"/>
    <w:rsid w:val="00847081"/>
    <w:rsid w:val="0084735D"/>
    <w:rsid w:val="008476DC"/>
    <w:rsid w:val="00847C8C"/>
    <w:rsid w:val="00847DBC"/>
    <w:rsid w:val="0084B9C1"/>
    <w:rsid w:val="00851C97"/>
    <w:rsid w:val="00851DB6"/>
    <w:rsid w:val="0085295E"/>
    <w:rsid w:val="00852C0F"/>
    <w:rsid w:val="00853EE5"/>
    <w:rsid w:val="008546A0"/>
    <w:rsid w:val="008557A1"/>
    <w:rsid w:val="00855E3B"/>
    <w:rsid w:val="00856183"/>
    <w:rsid w:val="00856DE9"/>
    <w:rsid w:val="00857508"/>
    <w:rsid w:val="008576B2"/>
    <w:rsid w:val="0086001C"/>
    <w:rsid w:val="00860434"/>
    <w:rsid w:val="00860990"/>
    <w:rsid w:val="00863584"/>
    <w:rsid w:val="00863E61"/>
    <w:rsid w:val="0086422C"/>
    <w:rsid w:val="00865D3B"/>
    <w:rsid w:val="00866343"/>
    <w:rsid w:val="0086670D"/>
    <w:rsid w:val="00867574"/>
    <w:rsid w:val="00867AF5"/>
    <w:rsid w:val="00871AAB"/>
    <w:rsid w:val="00871FB6"/>
    <w:rsid w:val="008723AE"/>
    <w:rsid w:val="008734F2"/>
    <w:rsid w:val="00873B47"/>
    <w:rsid w:val="00873FCD"/>
    <w:rsid w:val="008744DC"/>
    <w:rsid w:val="00875C7E"/>
    <w:rsid w:val="0087677C"/>
    <w:rsid w:val="008768F6"/>
    <w:rsid w:val="00876ABC"/>
    <w:rsid w:val="00877BD9"/>
    <w:rsid w:val="008800DA"/>
    <w:rsid w:val="00881454"/>
    <w:rsid w:val="00881880"/>
    <w:rsid w:val="00881D79"/>
    <w:rsid w:val="00882AE7"/>
    <w:rsid w:val="00882E68"/>
    <w:rsid w:val="00882F6F"/>
    <w:rsid w:val="008831C3"/>
    <w:rsid w:val="008833F4"/>
    <w:rsid w:val="00883C4A"/>
    <w:rsid w:val="00884C19"/>
    <w:rsid w:val="008856A7"/>
    <w:rsid w:val="00885C35"/>
    <w:rsid w:val="00885C89"/>
    <w:rsid w:val="00885EDF"/>
    <w:rsid w:val="00886D4F"/>
    <w:rsid w:val="00886E3A"/>
    <w:rsid w:val="00886F48"/>
    <w:rsid w:val="008871EF"/>
    <w:rsid w:val="00887277"/>
    <w:rsid w:val="0088755C"/>
    <w:rsid w:val="00889E95"/>
    <w:rsid w:val="00891F88"/>
    <w:rsid w:val="008929C4"/>
    <w:rsid w:val="00892B05"/>
    <w:rsid w:val="00893932"/>
    <w:rsid w:val="008956BF"/>
    <w:rsid w:val="008968E9"/>
    <w:rsid w:val="00896AA3"/>
    <w:rsid w:val="00896C6E"/>
    <w:rsid w:val="008A0253"/>
    <w:rsid w:val="008A097E"/>
    <w:rsid w:val="008A0D20"/>
    <w:rsid w:val="008A1D8E"/>
    <w:rsid w:val="008A1FE5"/>
    <w:rsid w:val="008A4697"/>
    <w:rsid w:val="008A72B9"/>
    <w:rsid w:val="008A796A"/>
    <w:rsid w:val="008A7EFB"/>
    <w:rsid w:val="008B193A"/>
    <w:rsid w:val="008B1CCE"/>
    <w:rsid w:val="008B2183"/>
    <w:rsid w:val="008B2252"/>
    <w:rsid w:val="008B24B1"/>
    <w:rsid w:val="008B453C"/>
    <w:rsid w:val="008B533F"/>
    <w:rsid w:val="008B5549"/>
    <w:rsid w:val="008B5592"/>
    <w:rsid w:val="008B55DE"/>
    <w:rsid w:val="008B562B"/>
    <w:rsid w:val="008B6117"/>
    <w:rsid w:val="008B674A"/>
    <w:rsid w:val="008B6FDA"/>
    <w:rsid w:val="008C08E3"/>
    <w:rsid w:val="008C0C11"/>
    <w:rsid w:val="008C1D21"/>
    <w:rsid w:val="008C2681"/>
    <w:rsid w:val="008C324F"/>
    <w:rsid w:val="008C36AC"/>
    <w:rsid w:val="008C3ADC"/>
    <w:rsid w:val="008C57C1"/>
    <w:rsid w:val="008C6BB4"/>
    <w:rsid w:val="008C7027"/>
    <w:rsid w:val="008D0129"/>
    <w:rsid w:val="008D0359"/>
    <w:rsid w:val="008D0801"/>
    <w:rsid w:val="008D14EF"/>
    <w:rsid w:val="008D1FCB"/>
    <w:rsid w:val="008D269F"/>
    <w:rsid w:val="008D4094"/>
    <w:rsid w:val="008D41D7"/>
    <w:rsid w:val="008D50B1"/>
    <w:rsid w:val="008D5347"/>
    <w:rsid w:val="008D6030"/>
    <w:rsid w:val="008D61FE"/>
    <w:rsid w:val="008D66D3"/>
    <w:rsid w:val="008D6709"/>
    <w:rsid w:val="008D6A36"/>
    <w:rsid w:val="008D7233"/>
    <w:rsid w:val="008D763E"/>
    <w:rsid w:val="008D77C5"/>
    <w:rsid w:val="008D77DF"/>
    <w:rsid w:val="008D7D5C"/>
    <w:rsid w:val="008E0B82"/>
    <w:rsid w:val="008E1A5A"/>
    <w:rsid w:val="008E1CE4"/>
    <w:rsid w:val="008E235C"/>
    <w:rsid w:val="008E2ED6"/>
    <w:rsid w:val="008E43A9"/>
    <w:rsid w:val="008E4A1A"/>
    <w:rsid w:val="008E634F"/>
    <w:rsid w:val="008E7175"/>
    <w:rsid w:val="008E72E8"/>
    <w:rsid w:val="008E7531"/>
    <w:rsid w:val="008E78A8"/>
    <w:rsid w:val="008F21F4"/>
    <w:rsid w:val="008F2582"/>
    <w:rsid w:val="008F2FC4"/>
    <w:rsid w:val="008F3DFF"/>
    <w:rsid w:val="008F3ED3"/>
    <w:rsid w:val="008F4576"/>
    <w:rsid w:val="008F5548"/>
    <w:rsid w:val="008F5FE0"/>
    <w:rsid w:val="008F7C39"/>
    <w:rsid w:val="00900221"/>
    <w:rsid w:val="009002F3"/>
    <w:rsid w:val="0090039D"/>
    <w:rsid w:val="00900C4D"/>
    <w:rsid w:val="00900F40"/>
    <w:rsid w:val="00902351"/>
    <w:rsid w:val="009026B1"/>
    <w:rsid w:val="00903821"/>
    <w:rsid w:val="009045DB"/>
    <w:rsid w:val="00906001"/>
    <w:rsid w:val="00906287"/>
    <w:rsid w:val="00906551"/>
    <w:rsid w:val="00906A2C"/>
    <w:rsid w:val="00907BB8"/>
    <w:rsid w:val="00907FDB"/>
    <w:rsid w:val="009101EB"/>
    <w:rsid w:val="00910F4A"/>
    <w:rsid w:val="009114B7"/>
    <w:rsid w:val="009123AE"/>
    <w:rsid w:val="00912711"/>
    <w:rsid w:val="009131D9"/>
    <w:rsid w:val="0091367E"/>
    <w:rsid w:val="0091379E"/>
    <w:rsid w:val="00913E50"/>
    <w:rsid w:val="00914525"/>
    <w:rsid w:val="009149E8"/>
    <w:rsid w:val="00914D96"/>
    <w:rsid w:val="00914FB7"/>
    <w:rsid w:val="00915C26"/>
    <w:rsid w:val="00916422"/>
    <w:rsid w:val="0091661B"/>
    <w:rsid w:val="009177F8"/>
    <w:rsid w:val="00917910"/>
    <w:rsid w:val="00920553"/>
    <w:rsid w:val="00922014"/>
    <w:rsid w:val="00922C9E"/>
    <w:rsid w:val="00923011"/>
    <w:rsid w:val="00923052"/>
    <w:rsid w:val="00923301"/>
    <w:rsid w:val="009242C3"/>
    <w:rsid w:val="009243E6"/>
    <w:rsid w:val="009244D7"/>
    <w:rsid w:val="00925555"/>
    <w:rsid w:val="009260D2"/>
    <w:rsid w:val="00927166"/>
    <w:rsid w:val="009274CC"/>
    <w:rsid w:val="0092787A"/>
    <w:rsid w:val="009305DA"/>
    <w:rsid w:val="009309DB"/>
    <w:rsid w:val="00930DF1"/>
    <w:rsid w:val="009316E8"/>
    <w:rsid w:val="009318A6"/>
    <w:rsid w:val="009323B4"/>
    <w:rsid w:val="00933541"/>
    <w:rsid w:val="00933E85"/>
    <w:rsid w:val="009348E9"/>
    <w:rsid w:val="00934CE4"/>
    <w:rsid w:val="00935011"/>
    <w:rsid w:val="00935FFD"/>
    <w:rsid w:val="00936B70"/>
    <w:rsid w:val="00936BC9"/>
    <w:rsid w:val="00937EB1"/>
    <w:rsid w:val="00940206"/>
    <w:rsid w:val="00940343"/>
    <w:rsid w:val="00940B3F"/>
    <w:rsid w:val="00940D40"/>
    <w:rsid w:val="0094186D"/>
    <w:rsid w:val="00943175"/>
    <w:rsid w:val="00943203"/>
    <w:rsid w:val="00943756"/>
    <w:rsid w:val="00943B5A"/>
    <w:rsid w:val="00943C69"/>
    <w:rsid w:val="00943D4E"/>
    <w:rsid w:val="00943F07"/>
    <w:rsid w:val="00944471"/>
    <w:rsid w:val="00944D1D"/>
    <w:rsid w:val="00945078"/>
    <w:rsid w:val="009457A8"/>
    <w:rsid w:val="009459D8"/>
    <w:rsid w:val="0094744A"/>
    <w:rsid w:val="0094754F"/>
    <w:rsid w:val="009476FB"/>
    <w:rsid w:val="00947E62"/>
    <w:rsid w:val="009503BE"/>
    <w:rsid w:val="009519CC"/>
    <w:rsid w:val="00951D27"/>
    <w:rsid w:val="009524B2"/>
    <w:rsid w:val="009533B4"/>
    <w:rsid w:val="0095370A"/>
    <w:rsid w:val="00954463"/>
    <w:rsid w:val="00954F3C"/>
    <w:rsid w:val="0095503D"/>
    <w:rsid w:val="00955085"/>
    <w:rsid w:val="00955835"/>
    <w:rsid w:val="00960465"/>
    <w:rsid w:val="0096116A"/>
    <w:rsid w:val="00961179"/>
    <w:rsid w:val="00962849"/>
    <w:rsid w:val="00962D20"/>
    <w:rsid w:val="0096316E"/>
    <w:rsid w:val="00963542"/>
    <w:rsid w:val="00963750"/>
    <w:rsid w:val="009645F6"/>
    <w:rsid w:val="00965A4F"/>
    <w:rsid w:val="00965E23"/>
    <w:rsid w:val="00966061"/>
    <w:rsid w:val="009667C2"/>
    <w:rsid w:val="00966808"/>
    <w:rsid w:val="00967261"/>
    <w:rsid w:val="00970720"/>
    <w:rsid w:val="00970A79"/>
    <w:rsid w:val="00970E21"/>
    <w:rsid w:val="00970F81"/>
    <w:rsid w:val="00972AC5"/>
    <w:rsid w:val="00972B57"/>
    <w:rsid w:val="00972F2D"/>
    <w:rsid w:val="00973930"/>
    <w:rsid w:val="00974801"/>
    <w:rsid w:val="0097507C"/>
    <w:rsid w:val="009750F0"/>
    <w:rsid w:val="0097ADEA"/>
    <w:rsid w:val="00980A4C"/>
    <w:rsid w:val="00981614"/>
    <w:rsid w:val="009816A5"/>
    <w:rsid w:val="00981C9C"/>
    <w:rsid w:val="00982E40"/>
    <w:rsid w:val="00983DEF"/>
    <w:rsid w:val="00986461"/>
    <w:rsid w:val="00986B33"/>
    <w:rsid w:val="00986DAF"/>
    <w:rsid w:val="00987AD5"/>
    <w:rsid w:val="009907D2"/>
    <w:rsid w:val="00991417"/>
    <w:rsid w:val="00991B22"/>
    <w:rsid w:val="00992F0F"/>
    <w:rsid w:val="00993470"/>
    <w:rsid w:val="00993841"/>
    <w:rsid w:val="009943AA"/>
    <w:rsid w:val="0099473F"/>
    <w:rsid w:val="0099481C"/>
    <w:rsid w:val="00994F70"/>
    <w:rsid w:val="00995731"/>
    <w:rsid w:val="00995859"/>
    <w:rsid w:val="0099667C"/>
    <w:rsid w:val="00997DEB"/>
    <w:rsid w:val="009A023A"/>
    <w:rsid w:val="009A0DFB"/>
    <w:rsid w:val="009A106D"/>
    <w:rsid w:val="009A1898"/>
    <w:rsid w:val="009A1A30"/>
    <w:rsid w:val="009A2651"/>
    <w:rsid w:val="009A4739"/>
    <w:rsid w:val="009A53D9"/>
    <w:rsid w:val="009A58AF"/>
    <w:rsid w:val="009A6231"/>
    <w:rsid w:val="009A7100"/>
    <w:rsid w:val="009A7903"/>
    <w:rsid w:val="009A8F52"/>
    <w:rsid w:val="009B055D"/>
    <w:rsid w:val="009B0F75"/>
    <w:rsid w:val="009B13E2"/>
    <w:rsid w:val="009B1AEB"/>
    <w:rsid w:val="009B1E62"/>
    <w:rsid w:val="009B3183"/>
    <w:rsid w:val="009B3857"/>
    <w:rsid w:val="009B45EC"/>
    <w:rsid w:val="009B6166"/>
    <w:rsid w:val="009B6480"/>
    <w:rsid w:val="009B682B"/>
    <w:rsid w:val="009B6B66"/>
    <w:rsid w:val="009B6BBF"/>
    <w:rsid w:val="009B703D"/>
    <w:rsid w:val="009B7138"/>
    <w:rsid w:val="009B7F5D"/>
    <w:rsid w:val="009B7FCD"/>
    <w:rsid w:val="009C0641"/>
    <w:rsid w:val="009C0813"/>
    <w:rsid w:val="009C08C2"/>
    <w:rsid w:val="009C0B0F"/>
    <w:rsid w:val="009C1A4F"/>
    <w:rsid w:val="009C2EF2"/>
    <w:rsid w:val="009C3409"/>
    <w:rsid w:val="009C3E53"/>
    <w:rsid w:val="009C4A6D"/>
    <w:rsid w:val="009C4D61"/>
    <w:rsid w:val="009C5FC4"/>
    <w:rsid w:val="009C652B"/>
    <w:rsid w:val="009C68A7"/>
    <w:rsid w:val="009C6E90"/>
    <w:rsid w:val="009C781E"/>
    <w:rsid w:val="009C78F1"/>
    <w:rsid w:val="009C79DC"/>
    <w:rsid w:val="009C7CF5"/>
    <w:rsid w:val="009D09AB"/>
    <w:rsid w:val="009D13DD"/>
    <w:rsid w:val="009D168A"/>
    <w:rsid w:val="009D2273"/>
    <w:rsid w:val="009D33E5"/>
    <w:rsid w:val="009D3E7C"/>
    <w:rsid w:val="009D4D0A"/>
    <w:rsid w:val="009D4E94"/>
    <w:rsid w:val="009D6844"/>
    <w:rsid w:val="009E005A"/>
    <w:rsid w:val="009E158A"/>
    <w:rsid w:val="009E21CA"/>
    <w:rsid w:val="009E2A1A"/>
    <w:rsid w:val="009E4C7E"/>
    <w:rsid w:val="009E5E47"/>
    <w:rsid w:val="009E6558"/>
    <w:rsid w:val="009E7252"/>
    <w:rsid w:val="009E7752"/>
    <w:rsid w:val="009E7A88"/>
    <w:rsid w:val="009E7B63"/>
    <w:rsid w:val="009F01BA"/>
    <w:rsid w:val="009F0687"/>
    <w:rsid w:val="009F2CAC"/>
    <w:rsid w:val="009F39E5"/>
    <w:rsid w:val="009F3B0F"/>
    <w:rsid w:val="009F41AA"/>
    <w:rsid w:val="009F495B"/>
    <w:rsid w:val="009F499A"/>
    <w:rsid w:val="009F4C9D"/>
    <w:rsid w:val="009F584F"/>
    <w:rsid w:val="009F5956"/>
    <w:rsid w:val="009F5C98"/>
    <w:rsid w:val="009F7AAB"/>
    <w:rsid w:val="00A00998"/>
    <w:rsid w:val="00A01800"/>
    <w:rsid w:val="00A02A70"/>
    <w:rsid w:val="00A03145"/>
    <w:rsid w:val="00A0460B"/>
    <w:rsid w:val="00A052A8"/>
    <w:rsid w:val="00A06577"/>
    <w:rsid w:val="00A07C01"/>
    <w:rsid w:val="00A1023C"/>
    <w:rsid w:val="00A10A0C"/>
    <w:rsid w:val="00A11FEA"/>
    <w:rsid w:val="00A12107"/>
    <w:rsid w:val="00A128DB"/>
    <w:rsid w:val="00A12B11"/>
    <w:rsid w:val="00A12CDD"/>
    <w:rsid w:val="00A12DFA"/>
    <w:rsid w:val="00A136A9"/>
    <w:rsid w:val="00A1566C"/>
    <w:rsid w:val="00A159C7"/>
    <w:rsid w:val="00A15BA3"/>
    <w:rsid w:val="00A15E7F"/>
    <w:rsid w:val="00A15E9F"/>
    <w:rsid w:val="00A166D6"/>
    <w:rsid w:val="00A16739"/>
    <w:rsid w:val="00A20A27"/>
    <w:rsid w:val="00A21361"/>
    <w:rsid w:val="00A21380"/>
    <w:rsid w:val="00A220B2"/>
    <w:rsid w:val="00A22826"/>
    <w:rsid w:val="00A228C9"/>
    <w:rsid w:val="00A22B31"/>
    <w:rsid w:val="00A22E53"/>
    <w:rsid w:val="00A23515"/>
    <w:rsid w:val="00A23676"/>
    <w:rsid w:val="00A24D4C"/>
    <w:rsid w:val="00A24DC9"/>
    <w:rsid w:val="00A2659C"/>
    <w:rsid w:val="00A26929"/>
    <w:rsid w:val="00A27148"/>
    <w:rsid w:val="00A30949"/>
    <w:rsid w:val="00A32958"/>
    <w:rsid w:val="00A33B96"/>
    <w:rsid w:val="00A33D81"/>
    <w:rsid w:val="00A35A23"/>
    <w:rsid w:val="00A35BD7"/>
    <w:rsid w:val="00A3635E"/>
    <w:rsid w:val="00A36F3F"/>
    <w:rsid w:val="00A36FCC"/>
    <w:rsid w:val="00A37196"/>
    <w:rsid w:val="00A378A6"/>
    <w:rsid w:val="00A41191"/>
    <w:rsid w:val="00A429A0"/>
    <w:rsid w:val="00A445DE"/>
    <w:rsid w:val="00A467F9"/>
    <w:rsid w:val="00A46FA8"/>
    <w:rsid w:val="00A47920"/>
    <w:rsid w:val="00A50789"/>
    <w:rsid w:val="00A52219"/>
    <w:rsid w:val="00A524F5"/>
    <w:rsid w:val="00A526E3"/>
    <w:rsid w:val="00A537A6"/>
    <w:rsid w:val="00A550B4"/>
    <w:rsid w:val="00A55F9E"/>
    <w:rsid w:val="00A57735"/>
    <w:rsid w:val="00A579E0"/>
    <w:rsid w:val="00A60664"/>
    <w:rsid w:val="00A60AB3"/>
    <w:rsid w:val="00A630E6"/>
    <w:rsid w:val="00A633CC"/>
    <w:rsid w:val="00A63628"/>
    <w:rsid w:val="00A63BCA"/>
    <w:rsid w:val="00A63D1F"/>
    <w:rsid w:val="00A64594"/>
    <w:rsid w:val="00A6557A"/>
    <w:rsid w:val="00A65BA8"/>
    <w:rsid w:val="00A65EA5"/>
    <w:rsid w:val="00A66090"/>
    <w:rsid w:val="00A67049"/>
    <w:rsid w:val="00A67723"/>
    <w:rsid w:val="00A67EE9"/>
    <w:rsid w:val="00A70750"/>
    <w:rsid w:val="00A71641"/>
    <w:rsid w:val="00A71DEE"/>
    <w:rsid w:val="00A71FF8"/>
    <w:rsid w:val="00A73057"/>
    <w:rsid w:val="00A73408"/>
    <w:rsid w:val="00A7391C"/>
    <w:rsid w:val="00A74351"/>
    <w:rsid w:val="00A75481"/>
    <w:rsid w:val="00A76920"/>
    <w:rsid w:val="00A76A50"/>
    <w:rsid w:val="00A77AD1"/>
    <w:rsid w:val="00A8176C"/>
    <w:rsid w:val="00A821B9"/>
    <w:rsid w:val="00A82E42"/>
    <w:rsid w:val="00A83B12"/>
    <w:rsid w:val="00A8477D"/>
    <w:rsid w:val="00A84A7F"/>
    <w:rsid w:val="00A8633B"/>
    <w:rsid w:val="00A8645C"/>
    <w:rsid w:val="00A86A7A"/>
    <w:rsid w:val="00A87364"/>
    <w:rsid w:val="00A87735"/>
    <w:rsid w:val="00A914A6"/>
    <w:rsid w:val="00A9179A"/>
    <w:rsid w:val="00A92C99"/>
    <w:rsid w:val="00A94A55"/>
    <w:rsid w:val="00A97A80"/>
    <w:rsid w:val="00AA01D2"/>
    <w:rsid w:val="00AA0B8D"/>
    <w:rsid w:val="00AA388A"/>
    <w:rsid w:val="00AA3A16"/>
    <w:rsid w:val="00AA483E"/>
    <w:rsid w:val="00AA51FE"/>
    <w:rsid w:val="00AA55A5"/>
    <w:rsid w:val="00AA73E8"/>
    <w:rsid w:val="00AB053F"/>
    <w:rsid w:val="00AB15BA"/>
    <w:rsid w:val="00AB2432"/>
    <w:rsid w:val="00AB48D1"/>
    <w:rsid w:val="00AB522D"/>
    <w:rsid w:val="00ABBEF0"/>
    <w:rsid w:val="00AC10CE"/>
    <w:rsid w:val="00AC1294"/>
    <w:rsid w:val="00AC190E"/>
    <w:rsid w:val="00AC1CF1"/>
    <w:rsid w:val="00AC20EE"/>
    <w:rsid w:val="00AC2F14"/>
    <w:rsid w:val="00AC3DA2"/>
    <w:rsid w:val="00AC43DA"/>
    <w:rsid w:val="00AC4F03"/>
    <w:rsid w:val="00AC672F"/>
    <w:rsid w:val="00AC748E"/>
    <w:rsid w:val="00AD0244"/>
    <w:rsid w:val="00AD2EF2"/>
    <w:rsid w:val="00AD37FC"/>
    <w:rsid w:val="00AD391E"/>
    <w:rsid w:val="00AD5375"/>
    <w:rsid w:val="00AD592A"/>
    <w:rsid w:val="00AD5A8C"/>
    <w:rsid w:val="00AD5F47"/>
    <w:rsid w:val="00AD6E27"/>
    <w:rsid w:val="00AD7118"/>
    <w:rsid w:val="00AE0130"/>
    <w:rsid w:val="00AE0716"/>
    <w:rsid w:val="00AE18FA"/>
    <w:rsid w:val="00AE1E08"/>
    <w:rsid w:val="00AE25C5"/>
    <w:rsid w:val="00AE37F5"/>
    <w:rsid w:val="00AE39EA"/>
    <w:rsid w:val="00AE3AB9"/>
    <w:rsid w:val="00AE3FB7"/>
    <w:rsid w:val="00AE4B88"/>
    <w:rsid w:val="00AE56F8"/>
    <w:rsid w:val="00AE6546"/>
    <w:rsid w:val="00AE69B7"/>
    <w:rsid w:val="00AF05CD"/>
    <w:rsid w:val="00AF1126"/>
    <w:rsid w:val="00AF14A5"/>
    <w:rsid w:val="00AF1B3B"/>
    <w:rsid w:val="00AF20B0"/>
    <w:rsid w:val="00AF2849"/>
    <w:rsid w:val="00AF2FF6"/>
    <w:rsid w:val="00AF33FE"/>
    <w:rsid w:val="00AF422D"/>
    <w:rsid w:val="00AF4A6F"/>
    <w:rsid w:val="00AF4B9C"/>
    <w:rsid w:val="00AF4EA7"/>
    <w:rsid w:val="00AF4FC0"/>
    <w:rsid w:val="00AF5434"/>
    <w:rsid w:val="00AF639A"/>
    <w:rsid w:val="00AF68D7"/>
    <w:rsid w:val="00AF7682"/>
    <w:rsid w:val="00AF7BDA"/>
    <w:rsid w:val="00B00020"/>
    <w:rsid w:val="00B0044A"/>
    <w:rsid w:val="00B016A4"/>
    <w:rsid w:val="00B0251E"/>
    <w:rsid w:val="00B02E3A"/>
    <w:rsid w:val="00B03157"/>
    <w:rsid w:val="00B03FCF"/>
    <w:rsid w:val="00B0403D"/>
    <w:rsid w:val="00B043A7"/>
    <w:rsid w:val="00B0478D"/>
    <w:rsid w:val="00B04DA2"/>
    <w:rsid w:val="00B04F8C"/>
    <w:rsid w:val="00B0500D"/>
    <w:rsid w:val="00B05132"/>
    <w:rsid w:val="00B060EA"/>
    <w:rsid w:val="00B06118"/>
    <w:rsid w:val="00B061D4"/>
    <w:rsid w:val="00B062F5"/>
    <w:rsid w:val="00B07C6A"/>
    <w:rsid w:val="00B07D12"/>
    <w:rsid w:val="00B07FA4"/>
    <w:rsid w:val="00B10243"/>
    <w:rsid w:val="00B1060F"/>
    <w:rsid w:val="00B109F3"/>
    <w:rsid w:val="00B10E3A"/>
    <w:rsid w:val="00B122D8"/>
    <w:rsid w:val="00B126F8"/>
    <w:rsid w:val="00B13078"/>
    <w:rsid w:val="00B13B10"/>
    <w:rsid w:val="00B140F8"/>
    <w:rsid w:val="00B14588"/>
    <w:rsid w:val="00B1489D"/>
    <w:rsid w:val="00B151A4"/>
    <w:rsid w:val="00B16337"/>
    <w:rsid w:val="00B1645C"/>
    <w:rsid w:val="00B169ED"/>
    <w:rsid w:val="00B16ACE"/>
    <w:rsid w:val="00B16B21"/>
    <w:rsid w:val="00B17A24"/>
    <w:rsid w:val="00B17A7C"/>
    <w:rsid w:val="00B2038D"/>
    <w:rsid w:val="00B2196B"/>
    <w:rsid w:val="00B22423"/>
    <w:rsid w:val="00B229F9"/>
    <w:rsid w:val="00B22C5E"/>
    <w:rsid w:val="00B22D30"/>
    <w:rsid w:val="00B23BEC"/>
    <w:rsid w:val="00B24327"/>
    <w:rsid w:val="00B2472A"/>
    <w:rsid w:val="00B24B84"/>
    <w:rsid w:val="00B25CB9"/>
    <w:rsid w:val="00B26079"/>
    <w:rsid w:val="00B26276"/>
    <w:rsid w:val="00B276CE"/>
    <w:rsid w:val="00B277E7"/>
    <w:rsid w:val="00B27C82"/>
    <w:rsid w:val="00B3020D"/>
    <w:rsid w:val="00B305B6"/>
    <w:rsid w:val="00B30F9A"/>
    <w:rsid w:val="00B31369"/>
    <w:rsid w:val="00B3225A"/>
    <w:rsid w:val="00B323CD"/>
    <w:rsid w:val="00B32E01"/>
    <w:rsid w:val="00B33410"/>
    <w:rsid w:val="00B33576"/>
    <w:rsid w:val="00B342A4"/>
    <w:rsid w:val="00B34637"/>
    <w:rsid w:val="00B347AD"/>
    <w:rsid w:val="00B34A87"/>
    <w:rsid w:val="00B34DDF"/>
    <w:rsid w:val="00B367C6"/>
    <w:rsid w:val="00B3693E"/>
    <w:rsid w:val="00B37471"/>
    <w:rsid w:val="00B4085B"/>
    <w:rsid w:val="00B40BBD"/>
    <w:rsid w:val="00B416DA"/>
    <w:rsid w:val="00B42938"/>
    <w:rsid w:val="00B4310D"/>
    <w:rsid w:val="00B44618"/>
    <w:rsid w:val="00B454E2"/>
    <w:rsid w:val="00B46566"/>
    <w:rsid w:val="00B465C9"/>
    <w:rsid w:val="00B47BBF"/>
    <w:rsid w:val="00B50228"/>
    <w:rsid w:val="00B505B5"/>
    <w:rsid w:val="00B5064B"/>
    <w:rsid w:val="00B50E4A"/>
    <w:rsid w:val="00B513E3"/>
    <w:rsid w:val="00B516F9"/>
    <w:rsid w:val="00B51D0E"/>
    <w:rsid w:val="00B523CA"/>
    <w:rsid w:val="00B535DD"/>
    <w:rsid w:val="00B54039"/>
    <w:rsid w:val="00B548AE"/>
    <w:rsid w:val="00B55AE4"/>
    <w:rsid w:val="00B55E29"/>
    <w:rsid w:val="00B60414"/>
    <w:rsid w:val="00B604DC"/>
    <w:rsid w:val="00B61AC9"/>
    <w:rsid w:val="00B61FC0"/>
    <w:rsid w:val="00B62BA7"/>
    <w:rsid w:val="00B63A9C"/>
    <w:rsid w:val="00B640D2"/>
    <w:rsid w:val="00B64582"/>
    <w:rsid w:val="00B6508C"/>
    <w:rsid w:val="00B657B7"/>
    <w:rsid w:val="00B66673"/>
    <w:rsid w:val="00B6780E"/>
    <w:rsid w:val="00B6CD1F"/>
    <w:rsid w:val="00B70097"/>
    <w:rsid w:val="00B701E8"/>
    <w:rsid w:val="00B706A4"/>
    <w:rsid w:val="00B7078E"/>
    <w:rsid w:val="00B7093D"/>
    <w:rsid w:val="00B70A2D"/>
    <w:rsid w:val="00B70BBC"/>
    <w:rsid w:val="00B714D3"/>
    <w:rsid w:val="00B71546"/>
    <w:rsid w:val="00B7184A"/>
    <w:rsid w:val="00B7287D"/>
    <w:rsid w:val="00B73095"/>
    <w:rsid w:val="00B733CE"/>
    <w:rsid w:val="00B73F83"/>
    <w:rsid w:val="00B75620"/>
    <w:rsid w:val="00B756EC"/>
    <w:rsid w:val="00B75E7C"/>
    <w:rsid w:val="00B76C20"/>
    <w:rsid w:val="00B76F49"/>
    <w:rsid w:val="00B80697"/>
    <w:rsid w:val="00B809D9"/>
    <w:rsid w:val="00B80FD1"/>
    <w:rsid w:val="00B81679"/>
    <w:rsid w:val="00B82114"/>
    <w:rsid w:val="00B826B4"/>
    <w:rsid w:val="00B82BF1"/>
    <w:rsid w:val="00B83E0B"/>
    <w:rsid w:val="00B83E77"/>
    <w:rsid w:val="00B87152"/>
    <w:rsid w:val="00B87E16"/>
    <w:rsid w:val="00B912A3"/>
    <w:rsid w:val="00B91421"/>
    <w:rsid w:val="00B920E0"/>
    <w:rsid w:val="00B95119"/>
    <w:rsid w:val="00B95519"/>
    <w:rsid w:val="00B960B7"/>
    <w:rsid w:val="00B9631E"/>
    <w:rsid w:val="00B96B95"/>
    <w:rsid w:val="00B96D0E"/>
    <w:rsid w:val="00BA0584"/>
    <w:rsid w:val="00BA0EC7"/>
    <w:rsid w:val="00BA16EE"/>
    <w:rsid w:val="00BA241F"/>
    <w:rsid w:val="00BA2552"/>
    <w:rsid w:val="00BA366E"/>
    <w:rsid w:val="00BA380A"/>
    <w:rsid w:val="00BA43C4"/>
    <w:rsid w:val="00BA47B2"/>
    <w:rsid w:val="00BA4BC7"/>
    <w:rsid w:val="00BA5786"/>
    <w:rsid w:val="00BA5C51"/>
    <w:rsid w:val="00BA5EFB"/>
    <w:rsid w:val="00BA6537"/>
    <w:rsid w:val="00BA6B4B"/>
    <w:rsid w:val="00BA75A8"/>
    <w:rsid w:val="00BA7671"/>
    <w:rsid w:val="00BA7B6F"/>
    <w:rsid w:val="00BA7E9A"/>
    <w:rsid w:val="00BA7FC7"/>
    <w:rsid w:val="00BB014F"/>
    <w:rsid w:val="00BB017E"/>
    <w:rsid w:val="00BB2D8C"/>
    <w:rsid w:val="00BB3FC9"/>
    <w:rsid w:val="00BB5A29"/>
    <w:rsid w:val="00BB5DFE"/>
    <w:rsid w:val="00BB5FDE"/>
    <w:rsid w:val="00BB61DC"/>
    <w:rsid w:val="00BB6970"/>
    <w:rsid w:val="00BB6CB2"/>
    <w:rsid w:val="00BB791A"/>
    <w:rsid w:val="00BB7F95"/>
    <w:rsid w:val="00BC16C0"/>
    <w:rsid w:val="00BC26FD"/>
    <w:rsid w:val="00BC2737"/>
    <w:rsid w:val="00BC31EC"/>
    <w:rsid w:val="00BC440F"/>
    <w:rsid w:val="00BC57B4"/>
    <w:rsid w:val="00BC5B4B"/>
    <w:rsid w:val="00BC5DE5"/>
    <w:rsid w:val="00BC6293"/>
    <w:rsid w:val="00BC79A9"/>
    <w:rsid w:val="00BC7F78"/>
    <w:rsid w:val="00BD0B56"/>
    <w:rsid w:val="00BD0FA4"/>
    <w:rsid w:val="00BD1395"/>
    <w:rsid w:val="00BD15A6"/>
    <w:rsid w:val="00BD1AB3"/>
    <w:rsid w:val="00BD299B"/>
    <w:rsid w:val="00BD317E"/>
    <w:rsid w:val="00BD3A1E"/>
    <w:rsid w:val="00BD4062"/>
    <w:rsid w:val="00BD41B8"/>
    <w:rsid w:val="00BD4ABA"/>
    <w:rsid w:val="00BD4BBF"/>
    <w:rsid w:val="00BD4CE4"/>
    <w:rsid w:val="00BD56B5"/>
    <w:rsid w:val="00BD7529"/>
    <w:rsid w:val="00BD7AE5"/>
    <w:rsid w:val="00BE0A2F"/>
    <w:rsid w:val="00BE0B3D"/>
    <w:rsid w:val="00BE23A9"/>
    <w:rsid w:val="00BE23F3"/>
    <w:rsid w:val="00BE246D"/>
    <w:rsid w:val="00BE428A"/>
    <w:rsid w:val="00BE54AE"/>
    <w:rsid w:val="00BE6E4F"/>
    <w:rsid w:val="00BE7DAD"/>
    <w:rsid w:val="00BF04CF"/>
    <w:rsid w:val="00BF0E00"/>
    <w:rsid w:val="00BF11F7"/>
    <w:rsid w:val="00BF17AA"/>
    <w:rsid w:val="00BF1847"/>
    <w:rsid w:val="00BF21D1"/>
    <w:rsid w:val="00BF26D0"/>
    <w:rsid w:val="00BF2D78"/>
    <w:rsid w:val="00BF2EE1"/>
    <w:rsid w:val="00BF2FEF"/>
    <w:rsid w:val="00BF3117"/>
    <w:rsid w:val="00BF4855"/>
    <w:rsid w:val="00BF5BE7"/>
    <w:rsid w:val="00BF75BD"/>
    <w:rsid w:val="00BF79F9"/>
    <w:rsid w:val="00C007E5"/>
    <w:rsid w:val="00C00DA8"/>
    <w:rsid w:val="00C01070"/>
    <w:rsid w:val="00C02CA8"/>
    <w:rsid w:val="00C03576"/>
    <w:rsid w:val="00C0373B"/>
    <w:rsid w:val="00C03ADE"/>
    <w:rsid w:val="00C04EF4"/>
    <w:rsid w:val="00C053BE"/>
    <w:rsid w:val="00C0581B"/>
    <w:rsid w:val="00C0593D"/>
    <w:rsid w:val="00C065D6"/>
    <w:rsid w:val="00C0780F"/>
    <w:rsid w:val="00C11D81"/>
    <w:rsid w:val="00C12AED"/>
    <w:rsid w:val="00C13240"/>
    <w:rsid w:val="00C14C8B"/>
    <w:rsid w:val="00C20BA0"/>
    <w:rsid w:val="00C21131"/>
    <w:rsid w:val="00C21192"/>
    <w:rsid w:val="00C23A74"/>
    <w:rsid w:val="00C24143"/>
    <w:rsid w:val="00C24556"/>
    <w:rsid w:val="00C24CDA"/>
    <w:rsid w:val="00C24ECF"/>
    <w:rsid w:val="00C254F7"/>
    <w:rsid w:val="00C26442"/>
    <w:rsid w:val="00C27242"/>
    <w:rsid w:val="00C30955"/>
    <w:rsid w:val="00C31204"/>
    <w:rsid w:val="00C32B6D"/>
    <w:rsid w:val="00C3315D"/>
    <w:rsid w:val="00C3324C"/>
    <w:rsid w:val="00C3518E"/>
    <w:rsid w:val="00C35796"/>
    <w:rsid w:val="00C3592D"/>
    <w:rsid w:val="00C36C05"/>
    <w:rsid w:val="00C36D6E"/>
    <w:rsid w:val="00C37389"/>
    <w:rsid w:val="00C3740B"/>
    <w:rsid w:val="00C37412"/>
    <w:rsid w:val="00C37662"/>
    <w:rsid w:val="00C3804E"/>
    <w:rsid w:val="00C40CBD"/>
    <w:rsid w:val="00C4205A"/>
    <w:rsid w:val="00C426FD"/>
    <w:rsid w:val="00C4449B"/>
    <w:rsid w:val="00C4499B"/>
    <w:rsid w:val="00C4648E"/>
    <w:rsid w:val="00C50092"/>
    <w:rsid w:val="00C511B8"/>
    <w:rsid w:val="00C514BE"/>
    <w:rsid w:val="00C522AA"/>
    <w:rsid w:val="00C52ABC"/>
    <w:rsid w:val="00C52EEA"/>
    <w:rsid w:val="00C53968"/>
    <w:rsid w:val="00C541C6"/>
    <w:rsid w:val="00C543C4"/>
    <w:rsid w:val="00C54E89"/>
    <w:rsid w:val="00C551B7"/>
    <w:rsid w:val="00C554BF"/>
    <w:rsid w:val="00C55F6A"/>
    <w:rsid w:val="00C5652D"/>
    <w:rsid w:val="00C573B1"/>
    <w:rsid w:val="00C57542"/>
    <w:rsid w:val="00C5777F"/>
    <w:rsid w:val="00C57A49"/>
    <w:rsid w:val="00C57B8C"/>
    <w:rsid w:val="00C57D78"/>
    <w:rsid w:val="00C60459"/>
    <w:rsid w:val="00C61E2F"/>
    <w:rsid w:val="00C61EDB"/>
    <w:rsid w:val="00C62043"/>
    <w:rsid w:val="00C646A1"/>
    <w:rsid w:val="00C64A66"/>
    <w:rsid w:val="00C64C3C"/>
    <w:rsid w:val="00C6591F"/>
    <w:rsid w:val="00C65DD7"/>
    <w:rsid w:val="00C6728C"/>
    <w:rsid w:val="00C67718"/>
    <w:rsid w:val="00C67DF0"/>
    <w:rsid w:val="00C70439"/>
    <w:rsid w:val="00C70B07"/>
    <w:rsid w:val="00C711D2"/>
    <w:rsid w:val="00C713DD"/>
    <w:rsid w:val="00C71796"/>
    <w:rsid w:val="00C719E8"/>
    <w:rsid w:val="00C7222D"/>
    <w:rsid w:val="00C72488"/>
    <w:rsid w:val="00C74310"/>
    <w:rsid w:val="00C745E5"/>
    <w:rsid w:val="00C74886"/>
    <w:rsid w:val="00C74F6A"/>
    <w:rsid w:val="00C7500B"/>
    <w:rsid w:val="00C75416"/>
    <w:rsid w:val="00C759A9"/>
    <w:rsid w:val="00C75ABB"/>
    <w:rsid w:val="00C75C67"/>
    <w:rsid w:val="00C75CFC"/>
    <w:rsid w:val="00C762B7"/>
    <w:rsid w:val="00C76D45"/>
    <w:rsid w:val="00C80F12"/>
    <w:rsid w:val="00C81A94"/>
    <w:rsid w:val="00C8265F"/>
    <w:rsid w:val="00C85451"/>
    <w:rsid w:val="00C85BC9"/>
    <w:rsid w:val="00C87CB7"/>
    <w:rsid w:val="00C87CD6"/>
    <w:rsid w:val="00C90E1B"/>
    <w:rsid w:val="00C90E87"/>
    <w:rsid w:val="00C90F60"/>
    <w:rsid w:val="00C91D45"/>
    <w:rsid w:val="00C91EA2"/>
    <w:rsid w:val="00C925CB"/>
    <w:rsid w:val="00C9288F"/>
    <w:rsid w:val="00C92898"/>
    <w:rsid w:val="00C94836"/>
    <w:rsid w:val="00C9630F"/>
    <w:rsid w:val="00C9653F"/>
    <w:rsid w:val="00C96EB3"/>
    <w:rsid w:val="00C96F3A"/>
    <w:rsid w:val="00C97F80"/>
    <w:rsid w:val="00CA0CA7"/>
    <w:rsid w:val="00CA15F4"/>
    <w:rsid w:val="00CA1730"/>
    <w:rsid w:val="00CA1A39"/>
    <w:rsid w:val="00CA2922"/>
    <w:rsid w:val="00CA2B04"/>
    <w:rsid w:val="00CA2FA5"/>
    <w:rsid w:val="00CA3544"/>
    <w:rsid w:val="00CA43DE"/>
    <w:rsid w:val="00CA4605"/>
    <w:rsid w:val="00CA4A9B"/>
    <w:rsid w:val="00CA6CE7"/>
    <w:rsid w:val="00CA7399"/>
    <w:rsid w:val="00CAAF5F"/>
    <w:rsid w:val="00CB129D"/>
    <w:rsid w:val="00CB21AA"/>
    <w:rsid w:val="00CB24D1"/>
    <w:rsid w:val="00CB2719"/>
    <w:rsid w:val="00CB316D"/>
    <w:rsid w:val="00CB379D"/>
    <w:rsid w:val="00CB3845"/>
    <w:rsid w:val="00CB424F"/>
    <w:rsid w:val="00CB4327"/>
    <w:rsid w:val="00CB4CB8"/>
    <w:rsid w:val="00CB4E02"/>
    <w:rsid w:val="00CB4FD8"/>
    <w:rsid w:val="00CB545C"/>
    <w:rsid w:val="00CB579D"/>
    <w:rsid w:val="00CB5897"/>
    <w:rsid w:val="00CB7214"/>
    <w:rsid w:val="00CB7221"/>
    <w:rsid w:val="00CB7EE1"/>
    <w:rsid w:val="00CC12D5"/>
    <w:rsid w:val="00CC1539"/>
    <w:rsid w:val="00CC1CDA"/>
    <w:rsid w:val="00CC1E19"/>
    <w:rsid w:val="00CC1E60"/>
    <w:rsid w:val="00CC21CB"/>
    <w:rsid w:val="00CC23A9"/>
    <w:rsid w:val="00CC267C"/>
    <w:rsid w:val="00CC2A6E"/>
    <w:rsid w:val="00CC2EC8"/>
    <w:rsid w:val="00CC3209"/>
    <w:rsid w:val="00CC378B"/>
    <w:rsid w:val="00CC4A29"/>
    <w:rsid w:val="00CC50C4"/>
    <w:rsid w:val="00CC56CB"/>
    <w:rsid w:val="00CC5F4B"/>
    <w:rsid w:val="00CC616F"/>
    <w:rsid w:val="00CC6384"/>
    <w:rsid w:val="00CC66C2"/>
    <w:rsid w:val="00CC729B"/>
    <w:rsid w:val="00CC7FAD"/>
    <w:rsid w:val="00CD0DFE"/>
    <w:rsid w:val="00CD1348"/>
    <w:rsid w:val="00CD3B29"/>
    <w:rsid w:val="00CD5107"/>
    <w:rsid w:val="00CD57D0"/>
    <w:rsid w:val="00CD623F"/>
    <w:rsid w:val="00CD66D6"/>
    <w:rsid w:val="00CD6EE0"/>
    <w:rsid w:val="00CD6F58"/>
    <w:rsid w:val="00CD774F"/>
    <w:rsid w:val="00CD787B"/>
    <w:rsid w:val="00CD7A78"/>
    <w:rsid w:val="00CD7BBA"/>
    <w:rsid w:val="00CD7DA0"/>
    <w:rsid w:val="00CDE837"/>
    <w:rsid w:val="00CE0D21"/>
    <w:rsid w:val="00CE0F85"/>
    <w:rsid w:val="00CE511E"/>
    <w:rsid w:val="00CE5282"/>
    <w:rsid w:val="00CE6A4F"/>
    <w:rsid w:val="00CE6FAC"/>
    <w:rsid w:val="00CE704A"/>
    <w:rsid w:val="00CE7CC2"/>
    <w:rsid w:val="00CE7EEE"/>
    <w:rsid w:val="00CF00B9"/>
    <w:rsid w:val="00CF01CD"/>
    <w:rsid w:val="00CF060E"/>
    <w:rsid w:val="00CF0882"/>
    <w:rsid w:val="00CF0F21"/>
    <w:rsid w:val="00CF1C48"/>
    <w:rsid w:val="00CF23CB"/>
    <w:rsid w:val="00CF23E2"/>
    <w:rsid w:val="00CF3727"/>
    <w:rsid w:val="00CF3D63"/>
    <w:rsid w:val="00CF50B8"/>
    <w:rsid w:val="00CF5BF7"/>
    <w:rsid w:val="00CF660C"/>
    <w:rsid w:val="00CF6DD4"/>
    <w:rsid w:val="00CF7670"/>
    <w:rsid w:val="00CF7EB7"/>
    <w:rsid w:val="00D00212"/>
    <w:rsid w:val="00D01C78"/>
    <w:rsid w:val="00D04435"/>
    <w:rsid w:val="00D04532"/>
    <w:rsid w:val="00D05542"/>
    <w:rsid w:val="00D057A8"/>
    <w:rsid w:val="00D06994"/>
    <w:rsid w:val="00D07CC7"/>
    <w:rsid w:val="00D07E82"/>
    <w:rsid w:val="00D09A76"/>
    <w:rsid w:val="00D10203"/>
    <w:rsid w:val="00D1033D"/>
    <w:rsid w:val="00D10D79"/>
    <w:rsid w:val="00D11809"/>
    <w:rsid w:val="00D11D17"/>
    <w:rsid w:val="00D12347"/>
    <w:rsid w:val="00D14556"/>
    <w:rsid w:val="00D1464A"/>
    <w:rsid w:val="00D14943"/>
    <w:rsid w:val="00D15067"/>
    <w:rsid w:val="00D1537A"/>
    <w:rsid w:val="00D158E9"/>
    <w:rsid w:val="00D15994"/>
    <w:rsid w:val="00D1741E"/>
    <w:rsid w:val="00D17534"/>
    <w:rsid w:val="00D17FC6"/>
    <w:rsid w:val="00D2063B"/>
    <w:rsid w:val="00D216EA"/>
    <w:rsid w:val="00D22E96"/>
    <w:rsid w:val="00D234AB"/>
    <w:rsid w:val="00D2395A"/>
    <w:rsid w:val="00D23B0E"/>
    <w:rsid w:val="00D24927"/>
    <w:rsid w:val="00D24984"/>
    <w:rsid w:val="00D25695"/>
    <w:rsid w:val="00D26717"/>
    <w:rsid w:val="00D27011"/>
    <w:rsid w:val="00D3056F"/>
    <w:rsid w:val="00D30EFE"/>
    <w:rsid w:val="00D31421"/>
    <w:rsid w:val="00D31B22"/>
    <w:rsid w:val="00D32F64"/>
    <w:rsid w:val="00D330CC"/>
    <w:rsid w:val="00D33B5F"/>
    <w:rsid w:val="00D33C69"/>
    <w:rsid w:val="00D33E8F"/>
    <w:rsid w:val="00D345C5"/>
    <w:rsid w:val="00D34963"/>
    <w:rsid w:val="00D34CC1"/>
    <w:rsid w:val="00D352D5"/>
    <w:rsid w:val="00D36AB3"/>
    <w:rsid w:val="00D40385"/>
    <w:rsid w:val="00D408D9"/>
    <w:rsid w:val="00D40A29"/>
    <w:rsid w:val="00D4142B"/>
    <w:rsid w:val="00D41975"/>
    <w:rsid w:val="00D41E0F"/>
    <w:rsid w:val="00D42A2A"/>
    <w:rsid w:val="00D42A76"/>
    <w:rsid w:val="00D42F4C"/>
    <w:rsid w:val="00D430BB"/>
    <w:rsid w:val="00D44934"/>
    <w:rsid w:val="00D4531B"/>
    <w:rsid w:val="00D4612C"/>
    <w:rsid w:val="00D46552"/>
    <w:rsid w:val="00D4726A"/>
    <w:rsid w:val="00D47689"/>
    <w:rsid w:val="00D4784E"/>
    <w:rsid w:val="00D500A3"/>
    <w:rsid w:val="00D50102"/>
    <w:rsid w:val="00D50F51"/>
    <w:rsid w:val="00D52264"/>
    <w:rsid w:val="00D5240F"/>
    <w:rsid w:val="00D52769"/>
    <w:rsid w:val="00D52C29"/>
    <w:rsid w:val="00D52DE7"/>
    <w:rsid w:val="00D53945"/>
    <w:rsid w:val="00D540C3"/>
    <w:rsid w:val="00D541E3"/>
    <w:rsid w:val="00D55DBF"/>
    <w:rsid w:val="00D57D7E"/>
    <w:rsid w:val="00D6010F"/>
    <w:rsid w:val="00D611E6"/>
    <w:rsid w:val="00D6144B"/>
    <w:rsid w:val="00D61C96"/>
    <w:rsid w:val="00D62184"/>
    <w:rsid w:val="00D627F6"/>
    <w:rsid w:val="00D62B43"/>
    <w:rsid w:val="00D62F0B"/>
    <w:rsid w:val="00D636D2"/>
    <w:rsid w:val="00D638F7"/>
    <w:rsid w:val="00D64377"/>
    <w:rsid w:val="00D646D8"/>
    <w:rsid w:val="00D6589D"/>
    <w:rsid w:val="00D65AE5"/>
    <w:rsid w:val="00D66C91"/>
    <w:rsid w:val="00D670D0"/>
    <w:rsid w:val="00D71155"/>
    <w:rsid w:val="00D71F2C"/>
    <w:rsid w:val="00D71F95"/>
    <w:rsid w:val="00D7283A"/>
    <w:rsid w:val="00D72B4C"/>
    <w:rsid w:val="00D72C9A"/>
    <w:rsid w:val="00D74310"/>
    <w:rsid w:val="00D744B7"/>
    <w:rsid w:val="00D77A41"/>
    <w:rsid w:val="00D77C3E"/>
    <w:rsid w:val="00D8015F"/>
    <w:rsid w:val="00D804F3"/>
    <w:rsid w:val="00D80DB1"/>
    <w:rsid w:val="00D811F4"/>
    <w:rsid w:val="00D817EC"/>
    <w:rsid w:val="00D81856"/>
    <w:rsid w:val="00D826D9"/>
    <w:rsid w:val="00D829AD"/>
    <w:rsid w:val="00D8335A"/>
    <w:rsid w:val="00D838A7"/>
    <w:rsid w:val="00D84029"/>
    <w:rsid w:val="00D84893"/>
    <w:rsid w:val="00D85DC6"/>
    <w:rsid w:val="00D86182"/>
    <w:rsid w:val="00D86A43"/>
    <w:rsid w:val="00D87746"/>
    <w:rsid w:val="00D87A5C"/>
    <w:rsid w:val="00D87FC7"/>
    <w:rsid w:val="00D912AF"/>
    <w:rsid w:val="00D915F9"/>
    <w:rsid w:val="00D918C6"/>
    <w:rsid w:val="00D919B8"/>
    <w:rsid w:val="00D9253E"/>
    <w:rsid w:val="00D92834"/>
    <w:rsid w:val="00D92AB9"/>
    <w:rsid w:val="00D9404E"/>
    <w:rsid w:val="00D9424E"/>
    <w:rsid w:val="00D95A00"/>
    <w:rsid w:val="00D95F87"/>
    <w:rsid w:val="00D96659"/>
    <w:rsid w:val="00D9675F"/>
    <w:rsid w:val="00D96D56"/>
    <w:rsid w:val="00DA107F"/>
    <w:rsid w:val="00DA14B3"/>
    <w:rsid w:val="00DA1653"/>
    <w:rsid w:val="00DA1AD9"/>
    <w:rsid w:val="00DA38C7"/>
    <w:rsid w:val="00DA5687"/>
    <w:rsid w:val="00DA5B0C"/>
    <w:rsid w:val="00DA5C67"/>
    <w:rsid w:val="00DA6D1A"/>
    <w:rsid w:val="00DA73B7"/>
    <w:rsid w:val="00DB0679"/>
    <w:rsid w:val="00DB078C"/>
    <w:rsid w:val="00DB16C4"/>
    <w:rsid w:val="00DB39AC"/>
    <w:rsid w:val="00DB3C35"/>
    <w:rsid w:val="00DB4A12"/>
    <w:rsid w:val="00DB504E"/>
    <w:rsid w:val="00DB61D2"/>
    <w:rsid w:val="00DB6B8D"/>
    <w:rsid w:val="00DB7024"/>
    <w:rsid w:val="00DB739D"/>
    <w:rsid w:val="00DB7B70"/>
    <w:rsid w:val="00DB7D1D"/>
    <w:rsid w:val="00DC030A"/>
    <w:rsid w:val="00DC0D08"/>
    <w:rsid w:val="00DC1C61"/>
    <w:rsid w:val="00DC268C"/>
    <w:rsid w:val="00DC2A5E"/>
    <w:rsid w:val="00DC2AF5"/>
    <w:rsid w:val="00DC345F"/>
    <w:rsid w:val="00DC3BF6"/>
    <w:rsid w:val="00DC490E"/>
    <w:rsid w:val="00DC4A22"/>
    <w:rsid w:val="00DC5A1F"/>
    <w:rsid w:val="00DC6D99"/>
    <w:rsid w:val="00DC7313"/>
    <w:rsid w:val="00DC73DA"/>
    <w:rsid w:val="00DC763C"/>
    <w:rsid w:val="00DC7890"/>
    <w:rsid w:val="00DD091B"/>
    <w:rsid w:val="00DD13D2"/>
    <w:rsid w:val="00DD2354"/>
    <w:rsid w:val="00DD2CB4"/>
    <w:rsid w:val="00DD4F84"/>
    <w:rsid w:val="00DD536E"/>
    <w:rsid w:val="00DD6519"/>
    <w:rsid w:val="00DD6855"/>
    <w:rsid w:val="00DD69EC"/>
    <w:rsid w:val="00DD6BD8"/>
    <w:rsid w:val="00DD773C"/>
    <w:rsid w:val="00DD7D62"/>
    <w:rsid w:val="00DE0213"/>
    <w:rsid w:val="00DE04F8"/>
    <w:rsid w:val="00DE155B"/>
    <w:rsid w:val="00DE1BB5"/>
    <w:rsid w:val="00DE272A"/>
    <w:rsid w:val="00DE298F"/>
    <w:rsid w:val="00DE2FF6"/>
    <w:rsid w:val="00DE30DF"/>
    <w:rsid w:val="00DE3330"/>
    <w:rsid w:val="00DE38D1"/>
    <w:rsid w:val="00DE3ABE"/>
    <w:rsid w:val="00DE4DD0"/>
    <w:rsid w:val="00DE5066"/>
    <w:rsid w:val="00DE595E"/>
    <w:rsid w:val="00DE5AB7"/>
    <w:rsid w:val="00DE622E"/>
    <w:rsid w:val="00DE70B4"/>
    <w:rsid w:val="00DE7909"/>
    <w:rsid w:val="00DF022C"/>
    <w:rsid w:val="00DF05AC"/>
    <w:rsid w:val="00DF0C2A"/>
    <w:rsid w:val="00DF149C"/>
    <w:rsid w:val="00DF184C"/>
    <w:rsid w:val="00DF1BC5"/>
    <w:rsid w:val="00DF1CC5"/>
    <w:rsid w:val="00DF2D68"/>
    <w:rsid w:val="00DF4418"/>
    <w:rsid w:val="00DF4873"/>
    <w:rsid w:val="00DF5952"/>
    <w:rsid w:val="00DF62FF"/>
    <w:rsid w:val="00E00253"/>
    <w:rsid w:val="00E01153"/>
    <w:rsid w:val="00E01461"/>
    <w:rsid w:val="00E01AEC"/>
    <w:rsid w:val="00E01CC6"/>
    <w:rsid w:val="00E030F4"/>
    <w:rsid w:val="00E03108"/>
    <w:rsid w:val="00E0317F"/>
    <w:rsid w:val="00E03F1E"/>
    <w:rsid w:val="00E04937"/>
    <w:rsid w:val="00E053F4"/>
    <w:rsid w:val="00E0F209"/>
    <w:rsid w:val="00E11CDB"/>
    <w:rsid w:val="00E125EE"/>
    <w:rsid w:val="00E13B6A"/>
    <w:rsid w:val="00E13F68"/>
    <w:rsid w:val="00E14EBA"/>
    <w:rsid w:val="00E15422"/>
    <w:rsid w:val="00E15899"/>
    <w:rsid w:val="00E15DA9"/>
    <w:rsid w:val="00E164EC"/>
    <w:rsid w:val="00E16AA3"/>
    <w:rsid w:val="00E16C29"/>
    <w:rsid w:val="00E177EE"/>
    <w:rsid w:val="00E20397"/>
    <w:rsid w:val="00E217F5"/>
    <w:rsid w:val="00E223AA"/>
    <w:rsid w:val="00E2268A"/>
    <w:rsid w:val="00E22748"/>
    <w:rsid w:val="00E228D3"/>
    <w:rsid w:val="00E2760A"/>
    <w:rsid w:val="00E27BAF"/>
    <w:rsid w:val="00E316DC"/>
    <w:rsid w:val="00E326D8"/>
    <w:rsid w:val="00E32900"/>
    <w:rsid w:val="00E32C3F"/>
    <w:rsid w:val="00E32E4B"/>
    <w:rsid w:val="00E33C4A"/>
    <w:rsid w:val="00E34008"/>
    <w:rsid w:val="00E342B5"/>
    <w:rsid w:val="00E34A22"/>
    <w:rsid w:val="00E34FEA"/>
    <w:rsid w:val="00E3617F"/>
    <w:rsid w:val="00E361AA"/>
    <w:rsid w:val="00E366A3"/>
    <w:rsid w:val="00E36E0C"/>
    <w:rsid w:val="00E40E6A"/>
    <w:rsid w:val="00E412AA"/>
    <w:rsid w:val="00E418B7"/>
    <w:rsid w:val="00E419CE"/>
    <w:rsid w:val="00E4262B"/>
    <w:rsid w:val="00E44E34"/>
    <w:rsid w:val="00E451E2"/>
    <w:rsid w:val="00E454D5"/>
    <w:rsid w:val="00E45A9E"/>
    <w:rsid w:val="00E462C2"/>
    <w:rsid w:val="00E46318"/>
    <w:rsid w:val="00E50088"/>
    <w:rsid w:val="00E50A49"/>
    <w:rsid w:val="00E50DEB"/>
    <w:rsid w:val="00E51EFA"/>
    <w:rsid w:val="00E522C1"/>
    <w:rsid w:val="00E541E9"/>
    <w:rsid w:val="00E54788"/>
    <w:rsid w:val="00E555DD"/>
    <w:rsid w:val="00E55CCE"/>
    <w:rsid w:val="00E55D13"/>
    <w:rsid w:val="00E56A85"/>
    <w:rsid w:val="00E6018A"/>
    <w:rsid w:val="00E6057D"/>
    <w:rsid w:val="00E605D7"/>
    <w:rsid w:val="00E60F67"/>
    <w:rsid w:val="00E62C40"/>
    <w:rsid w:val="00E62F84"/>
    <w:rsid w:val="00E638F5"/>
    <w:rsid w:val="00E640BE"/>
    <w:rsid w:val="00E64723"/>
    <w:rsid w:val="00E64FAB"/>
    <w:rsid w:val="00E6632B"/>
    <w:rsid w:val="00E66798"/>
    <w:rsid w:val="00E66ADD"/>
    <w:rsid w:val="00E67068"/>
    <w:rsid w:val="00E6CF64"/>
    <w:rsid w:val="00E71945"/>
    <w:rsid w:val="00E720DB"/>
    <w:rsid w:val="00E721CB"/>
    <w:rsid w:val="00E725D1"/>
    <w:rsid w:val="00E72CB0"/>
    <w:rsid w:val="00E74455"/>
    <w:rsid w:val="00E747AC"/>
    <w:rsid w:val="00E75DAB"/>
    <w:rsid w:val="00E75E56"/>
    <w:rsid w:val="00E76E7A"/>
    <w:rsid w:val="00E76E99"/>
    <w:rsid w:val="00E7719E"/>
    <w:rsid w:val="00E802E5"/>
    <w:rsid w:val="00E80833"/>
    <w:rsid w:val="00E80A18"/>
    <w:rsid w:val="00E81444"/>
    <w:rsid w:val="00E8158B"/>
    <w:rsid w:val="00E815E4"/>
    <w:rsid w:val="00E81D73"/>
    <w:rsid w:val="00E81DB9"/>
    <w:rsid w:val="00E81F67"/>
    <w:rsid w:val="00E8250B"/>
    <w:rsid w:val="00E82DC4"/>
    <w:rsid w:val="00E83047"/>
    <w:rsid w:val="00E8517B"/>
    <w:rsid w:val="00E85789"/>
    <w:rsid w:val="00E85DC5"/>
    <w:rsid w:val="00E86410"/>
    <w:rsid w:val="00E86BB6"/>
    <w:rsid w:val="00E86DD2"/>
    <w:rsid w:val="00E87845"/>
    <w:rsid w:val="00E87995"/>
    <w:rsid w:val="00E8A07B"/>
    <w:rsid w:val="00E901D8"/>
    <w:rsid w:val="00E9062B"/>
    <w:rsid w:val="00E9266B"/>
    <w:rsid w:val="00E947EA"/>
    <w:rsid w:val="00E954B6"/>
    <w:rsid w:val="00E96169"/>
    <w:rsid w:val="00E96DC2"/>
    <w:rsid w:val="00EA072E"/>
    <w:rsid w:val="00EA079A"/>
    <w:rsid w:val="00EA0D57"/>
    <w:rsid w:val="00EA183C"/>
    <w:rsid w:val="00EA1BE6"/>
    <w:rsid w:val="00EA2289"/>
    <w:rsid w:val="00EA2C10"/>
    <w:rsid w:val="00EA2FB2"/>
    <w:rsid w:val="00EA3233"/>
    <w:rsid w:val="00EA44B5"/>
    <w:rsid w:val="00EA4A0D"/>
    <w:rsid w:val="00EA4F8F"/>
    <w:rsid w:val="00EA5F76"/>
    <w:rsid w:val="00EA7CAC"/>
    <w:rsid w:val="00EB003B"/>
    <w:rsid w:val="00EB0A5A"/>
    <w:rsid w:val="00EB0C16"/>
    <w:rsid w:val="00EB0D68"/>
    <w:rsid w:val="00EB130F"/>
    <w:rsid w:val="00EB13B4"/>
    <w:rsid w:val="00EB14A2"/>
    <w:rsid w:val="00EB1E48"/>
    <w:rsid w:val="00EB298F"/>
    <w:rsid w:val="00EB307D"/>
    <w:rsid w:val="00EB4834"/>
    <w:rsid w:val="00EB48E5"/>
    <w:rsid w:val="00EB4B40"/>
    <w:rsid w:val="00EB4B5C"/>
    <w:rsid w:val="00EB50F7"/>
    <w:rsid w:val="00EB76BD"/>
    <w:rsid w:val="00EB798B"/>
    <w:rsid w:val="00EC044F"/>
    <w:rsid w:val="00EC20C8"/>
    <w:rsid w:val="00EC38D9"/>
    <w:rsid w:val="00EC3B59"/>
    <w:rsid w:val="00EC46CF"/>
    <w:rsid w:val="00EC4B41"/>
    <w:rsid w:val="00EC4D1A"/>
    <w:rsid w:val="00EC552E"/>
    <w:rsid w:val="00EC5AFA"/>
    <w:rsid w:val="00EC6FCD"/>
    <w:rsid w:val="00EC70EF"/>
    <w:rsid w:val="00EC79AB"/>
    <w:rsid w:val="00ED178D"/>
    <w:rsid w:val="00ED1B03"/>
    <w:rsid w:val="00ED2560"/>
    <w:rsid w:val="00ED3F94"/>
    <w:rsid w:val="00ED4C0F"/>
    <w:rsid w:val="00ED645E"/>
    <w:rsid w:val="00ED724D"/>
    <w:rsid w:val="00ED755D"/>
    <w:rsid w:val="00EE12B0"/>
    <w:rsid w:val="00EE186C"/>
    <w:rsid w:val="00EE21E2"/>
    <w:rsid w:val="00EE2C82"/>
    <w:rsid w:val="00EE2DB0"/>
    <w:rsid w:val="00EE3008"/>
    <w:rsid w:val="00EE42C5"/>
    <w:rsid w:val="00EE4AC4"/>
    <w:rsid w:val="00EE618A"/>
    <w:rsid w:val="00EE77E6"/>
    <w:rsid w:val="00EEC293"/>
    <w:rsid w:val="00EF0A28"/>
    <w:rsid w:val="00EF1042"/>
    <w:rsid w:val="00EF12B7"/>
    <w:rsid w:val="00EF19F0"/>
    <w:rsid w:val="00EF1C14"/>
    <w:rsid w:val="00EF244A"/>
    <w:rsid w:val="00EF4D89"/>
    <w:rsid w:val="00EF4EC2"/>
    <w:rsid w:val="00EF54A3"/>
    <w:rsid w:val="00F01584"/>
    <w:rsid w:val="00F01EBF"/>
    <w:rsid w:val="00F0266F"/>
    <w:rsid w:val="00F0310D"/>
    <w:rsid w:val="00F0440C"/>
    <w:rsid w:val="00F04676"/>
    <w:rsid w:val="00F04954"/>
    <w:rsid w:val="00F04A0F"/>
    <w:rsid w:val="00F04AFD"/>
    <w:rsid w:val="00F04CA7"/>
    <w:rsid w:val="00F06771"/>
    <w:rsid w:val="00F06BF0"/>
    <w:rsid w:val="00F06C4C"/>
    <w:rsid w:val="00F078DF"/>
    <w:rsid w:val="00F10575"/>
    <w:rsid w:val="00F105F3"/>
    <w:rsid w:val="00F10D14"/>
    <w:rsid w:val="00F10DF0"/>
    <w:rsid w:val="00F11A3C"/>
    <w:rsid w:val="00F11A71"/>
    <w:rsid w:val="00F11D17"/>
    <w:rsid w:val="00F11E64"/>
    <w:rsid w:val="00F12E37"/>
    <w:rsid w:val="00F12F9E"/>
    <w:rsid w:val="00F133E1"/>
    <w:rsid w:val="00F1388F"/>
    <w:rsid w:val="00F138EB"/>
    <w:rsid w:val="00F14141"/>
    <w:rsid w:val="00F14264"/>
    <w:rsid w:val="00F152EA"/>
    <w:rsid w:val="00F17A30"/>
    <w:rsid w:val="00F1E1BB"/>
    <w:rsid w:val="00F20062"/>
    <w:rsid w:val="00F20948"/>
    <w:rsid w:val="00F20CE8"/>
    <w:rsid w:val="00F211CB"/>
    <w:rsid w:val="00F224DE"/>
    <w:rsid w:val="00F23739"/>
    <w:rsid w:val="00F23CF5"/>
    <w:rsid w:val="00F240C1"/>
    <w:rsid w:val="00F2482C"/>
    <w:rsid w:val="00F2490D"/>
    <w:rsid w:val="00F24E3D"/>
    <w:rsid w:val="00F25003"/>
    <w:rsid w:val="00F25660"/>
    <w:rsid w:val="00F279AF"/>
    <w:rsid w:val="00F27E24"/>
    <w:rsid w:val="00F30BFC"/>
    <w:rsid w:val="00F3111A"/>
    <w:rsid w:val="00F31353"/>
    <w:rsid w:val="00F32F9F"/>
    <w:rsid w:val="00F33695"/>
    <w:rsid w:val="00F3431D"/>
    <w:rsid w:val="00F34BF9"/>
    <w:rsid w:val="00F360A7"/>
    <w:rsid w:val="00F36EC5"/>
    <w:rsid w:val="00F37EF0"/>
    <w:rsid w:val="00F408AD"/>
    <w:rsid w:val="00F41004"/>
    <w:rsid w:val="00F438B1"/>
    <w:rsid w:val="00F45F39"/>
    <w:rsid w:val="00F47ED1"/>
    <w:rsid w:val="00F505EC"/>
    <w:rsid w:val="00F507FB"/>
    <w:rsid w:val="00F51B3B"/>
    <w:rsid w:val="00F52B0B"/>
    <w:rsid w:val="00F52EFB"/>
    <w:rsid w:val="00F54DD1"/>
    <w:rsid w:val="00F55847"/>
    <w:rsid w:val="00F55A13"/>
    <w:rsid w:val="00F560A5"/>
    <w:rsid w:val="00F57096"/>
    <w:rsid w:val="00F570E2"/>
    <w:rsid w:val="00F570FA"/>
    <w:rsid w:val="00F5774C"/>
    <w:rsid w:val="00F60B2D"/>
    <w:rsid w:val="00F61A2F"/>
    <w:rsid w:val="00F61F35"/>
    <w:rsid w:val="00F62F59"/>
    <w:rsid w:val="00F63034"/>
    <w:rsid w:val="00F6316C"/>
    <w:rsid w:val="00F63841"/>
    <w:rsid w:val="00F63A9F"/>
    <w:rsid w:val="00F63B28"/>
    <w:rsid w:val="00F63F06"/>
    <w:rsid w:val="00F652F3"/>
    <w:rsid w:val="00F6534E"/>
    <w:rsid w:val="00F66DEA"/>
    <w:rsid w:val="00F67544"/>
    <w:rsid w:val="00F67B0A"/>
    <w:rsid w:val="00F67D2A"/>
    <w:rsid w:val="00F703BD"/>
    <w:rsid w:val="00F71122"/>
    <w:rsid w:val="00F71CD9"/>
    <w:rsid w:val="00F7404E"/>
    <w:rsid w:val="00F749C8"/>
    <w:rsid w:val="00F75AFC"/>
    <w:rsid w:val="00F76423"/>
    <w:rsid w:val="00F76916"/>
    <w:rsid w:val="00F81AF0"/>
    <w:rsid w:val="00F821E0"/>
    <w:rsid w:val="00F8223C"/>
    <w:rsid w:val="00F8242F"/>
    <w:rsid w:val="00F83172"/>
    <w:rsid w:val="00F86300"/>
    <w:rsid w:val="00F86378"/>
    <w:rsid w:val="00F87294"/>
    <w:rsid w:val="00F87E58"/>
    <w:rsid w:val="00F92B57"/>
    <w:rsid w:val="00F936CB"/>
    <w:rsid w:val="00F962B1"/>
    <w:rsid w:val="00F97955"/>
    <w:rsid w:val="00FA017F"/>
    <w:rsid w:val="00FA06FA"/>
    <w:rsid w:val="00FA07EE"/>
    <w:rsid w:val="00FA0ADF"/>
    <w:rsid w:val="00FA0FD8"/>
    <w:rsid w:val="00FA112E"/>
    <w:rsid w:val="00FA1A7A"/>
    <w:rsid w:val="00FA1B45"/>
    <w:rsid w:val="00FA1DF7"/>
    <w:rsid w:val="00FA254C"/>
    <w:rsid w:val="00FA25B2"/>
    <w:rsid w:val="00FA2B2E"/>
    <w:rsid w:val="00FA2D33"/>
    <w:rsid w:val="00FA30D7"/>
    <w:rsid w:val="00FA33A1"/>
    <w:rsid w:val="00FA47A9"/>
    <w:rsid w:val="00FA4931"/>
    <w:rsid w:val="00FA53BB"/>
    <w:rsid w:val="00FA5692"/>
    <w:rsid w:val="00FA5B72"/>
    <w:rsid w:val="00FA6502"/>
    <w:rsid w:val="00FA6BEC"/>
    <w:rsid w:val="00FB19C7"/>
    <w:rsid w:val="00FB2AE2"/>
    <w:rsid w:val="00FB31CD"/>
    <w:rsid w:val="00FB3EF7"/>
    <w:rsid w:val="00FB5054"/>
    <w:rsid w:val="00FB5058"/>
    <w:rsid w:val="00FB688C"/>
    <w:rsid w:val="00FB6DF3"/>
    <w:rsid w:val="00FB6FA4"/>
    <w:rsid w:val="00FB736A"/>
    <w:rsid w:val="00FB74C6"/>
    <w:rsid w:val="00FB7B70"/>
    <w:rsid w:val="00FC0144"/>
    <w:rsid w:val="00FC04AF"/>
    <w:rsid w:val="00FC073E"/>
    <w:rsid w:val="00FC082B"/>
    <w:rsid w:val="00FC0D33"/>
    <w:rsid w:val="00FC171F"/>
    <w:rsid w:val="00FC2A28"/>
    <w:rsid w:val="00FC2F95"/>
    <w:rsid w:val="00FC40BB"/>
    <w:rsid w:val="00FC4249"/>
    <w:rsid w:val="00FC4319"/>
    <w:rsid w:val="00FC4763"/>
    <w:rsid w:val="00FC4E47"/>
    <w:rsid w:val="00FC520F"/>
    <w:rsid w:val="00FC5A44"/>
    <w:rsid w:val="00FC5A83"/>
    <w:rsid w:val="00FC62AD"/>
    <w:rsid w:val="00FC7A2E"/>
    <w:rsid w:val="00FD0A12"/>
    <w:rsid w:val="00FD1E73"/>
    <w:rsid w:val="00FD221C"/>
    <w:rsid w:val="00FD2871"/>
    <w:rsid w:val="00FD56A2"/>
    <w:rsid w:val="00FD5B72"/>
    <w:rsid w:val="00FD675F"/>
    <w:rsid w:val="00FD6F56"/>
    <w:rsid w:val="00FD714D"/>
    <w:rsid w:val="00FE02C3"/>
    <w:rsid w:val="00FE041D"/>
    <w:rsid w:val="00FE07D5"/>
    <w:rsid w:val="00FE214C"/>
    <w:rsid w:val="00FE2AA2"/>
    <w:rsid w:val="00FE4882"/>
    <w:rsid w:val="00FE4F93"/>
    <w:rsid w:val="00FE5042"/>
    <w:rsid w:val="00FE5B40"/>
    <w:rsid w:val="00FE61C1"/>
    <w:rsid w:val="00FE6F52"/>
    <w:rsid w:val="00FF09F5"/>
    <w:rsid w:val="00FF0DB0"/>
    <w:rsid w:val="00FF2138"/>
    <w:rsid w:val="00FF2FF8"/>
    <w:rsid w:val="00FF4E1D"/>
    <w:rsid w:val="00FF5108"/>
    <w:rsid w:val="00FF70F9"/>
    <w:rsid w:val="00FF7288"/>
    <w:rsid w:val="00FF7321"/>
    <w:rsid w:val="00FF7530"/>
    <w:rsid w:val="0100180F"/>
    <w:rsid w:val="01036A3B"/>
    <w:rsid w:val="010C7BA2"/>
    <w:rsid w:val="010CB2C0"/>
    <w:rsid w:val="010D7ECA"/>
    <w:rsid w:val="010E309F"/>
    <w:rsid w:val="010EF8E7"/>
    <w:rsid w:val="010F7983"/>
    <w:rsid w:val="0111D645"/>
    <w:rsid w:val="01191CEE"/>
    <w:rsid w:val="011E0C55"/>
    <w:rsid w:val="011F5CA7"/>
    <w:rsid w:val="0121E83D"/>
    <w:rsid w:val="0125D334"/>
    <w:rsid w:val="013BAC93"/>
    <w:rsid w:val="013BE0E3"/>
    <w:rsid w:val="013C40AA"/>
    <w:rsid w:val="013D6C74"/>
    <w:rsid w:val="013E6B3F"/>
    <w:rsid w:val="01411149"/>
    <w:rsid w:val="0142C92B"/>
    <w:rsid w:val="0143F94A"/>
    <w:rsid w:val="01479AB1"/>
    <w:rsid w:val="015A5248"/>
    <w:rsid w:val="015C942E"/>
    <w:rsid w:val="015D8332"/>
    <w:rsid w:val="0160D0EE"/>
    <w:rsid w:val="0178CAA4"/>
    <w:rsid w:val="017B7010"/>
    <w:rsid w:val="0184EEE6"/>
    <w:rsid w:val="0185B1A1"/>
    <w:rsid w:val="018687D0"/>
    <w:rsid w:val="01877F58"/>
    <w:rsid w:val="0189FE99"/>
    <w:rsid w:val="018A4034"/>
    <w:rsid w:val="018AD65C"/>
    <w:rsid w:val="018B5CEA"/>
    <w:rsid w:val="018BC501"/>
    <w:rsid w:val="0190FBDA"/>
    <w:rsid w:val="019198CA"/>
    <w:rsid w:val="01962B07"/>
    <w:rsid w:val="019CA2C3"/>
    <w:rsid w:val="019E266D"/>
    <w:rsid w:val="01A0C3C6"/>
    <w:rsid w:val="01AD1D0F"/>
    <w:rsid w:val="01B65EB3"/>
    <w:rsid w:val="01BEAFB8"/>
    <w:rsid w:val="01C5C905"/>
    <w:rsid w:val="01C65858"/>
    <w:rsid w:val="01CF8983"/>
    <w:rsid w:val="01D0D4B7"/>
    <w:rsid w:val="01D7C321"/>
    <w:rsid w:val="01D8E4EF"/>
    <w:rsid w:val="01D92ABE"/>
    <w:rsid w:val="01E0DFE6"/>
    <w:rsid w:val="01E0EFDC"/>
    <w:rsid w:val="01E624EC"/>
    <w:rsid w:val="01E794A0"/>
    <w:rsid w:val="01E7C9A9"/>
    <w:rsid w:val="01E7E159"/>
    <w:rsid w:val="01E822CD"/>
    <w:rsid w:val="01E92314"/>
    <w:rsid w:val="01EA0328"/>
    <w:rsid w:val="01EAAEB4"/>
    <w:rsid w:val="01ED20CE"/>
    <w:rsid w:val="01F19693"/>
    <w:rsid w:val="01F2FECE"/>
    <w:rsid w:val="01F3CB34"/>
    <w:rsid w:val="02000598"/>
    <w:rsid w:val="02024D1F"/>
    <w:rsid w:val="0203730A"/>
    <w:rsid w:val="020CEE8A"/>
    <w:rsid w:val="020D63C1"/>
    <w:rsid w:val="02160E28"/>
    <w:rsid w:val="02195DCA"/>
    <w:rsid w:val="02266EFA"/>
    <w:rsid w:val="02270E71"/>
    <w:rsid w:val="0227E63A"/>
    <w:rsid w:val="0229002A"/>
    <w:rsid w:val="022EE81D"/>
    <w:rsid w:val="02304E02"/>
    <w:rsid w:val="0232A96F"/>
    <w:rsid w:val="02366B7C"/>
    <w:rsid w:val="0238D1D5"/>
    <w:rsid w:val="024D2BCB"/>
    <w:rsid w:val="024EA2BE"/>
    <w:rsid w:val="02543F20"/>
    <w:rsid w:val="0256BA62"/>
    <w:rsid w:val="025C139C"/>
    <w:rsid w:val="02604EF9"/>
    <w:rsid w:val="0263157D"/>
    <w:rsid w:val="0265764A"/>
    <w:rsid w:val="02672C38"/>
    <w:rsid w:val="026749BE"/>
    <w:rsid w:val="026821D1"/>
    <w:rsid w:val="026988AC"/>
    <w:rsid w:val="0269F53B"/>
    <w:rsid w:val="026BD1C7"/>
    <w:rsid w:val="02734E59"/>
    <w:rsid w:val="0276D022"/>
    <w:rsid w:val="027B8295"/>
    <w:rsid w:val="027BDFCD"/>
    <w:rsid w:val="027E1481"/>
    <w:rsid w:val="027E3E6C"/>
    <w:rsid w:val="0289DFED"/>
    <w:rsid w:val="028CA3A1"/>
    <w:rsid w:val="02925564"/>
    <w:rsid w:val="029A5639"/>
    <w:rsid w:val="02A2BD7A"/>
    <w:rsid w:val="02A81A20"/>
    <w:rsid w:val="02AB7A3B"/>
    <w:rsid w:val="02B09728"/>
    <w:rsid w:val="02B44B03"/>
    <w:rsid w:val="02BEF2C3"/>
    <w:rsid w:val="02C102FF"/>
    <w:rsid w:val="02CAC513"/>
    <w:rsid w:val="02CBE3DC"/>
    <w:rsid w:val="02CC51B1"/>
    <w:rsid w:val="02CDD9B2"/>
    <w:rsid w:val="02CE9152"/>
    <w:rsid w:val="02D18E4E"/>
    <w:rsid w:val="02D867FA"/>
    <w:rsid w:val="02D8B4C2"/>
    <w:rsid w:val="02EAE850"/>
    <w:rsid w:val="02EB9F66"/>
    <w:rsid w:val="02ED0492"/>
    <w:rsid w:val="02F56881"/>
    <w:rsid w:val="02F63804"/>
    <w:rsid w:val="02F741EE"/>
    <w:rsid w:val="02FA196E"/>
    <w:rsid w:val="02FCE0C0"/>
    <w:rsid w:val="02FDBAD2"/>
    <w:rsid w:val="0300A382"/>
    <w:rsid w:val="03018A30"/>
    <w:rsid w:val="03042A88"/>
    <w:rsid w:val="0308321F"/>
    <w:rsid w:val="030BE0B7"/>
    <w:rsid w:val="030BED82"/>
    <w:rsid w:val="030FE2FA"/>
    <w:rsid w:val="0314DD44"/>
    <w:rsid w:val="0315D4DF"/>
    <w:rsid w:val="03179C01"/>
    <w:rsid w:val="031BC9DD"/>
    <w:rsid w:val="031BED0A"/>
    <w:rsid w:val="032D4FC4"/>
    <w:rsid w:val="032DBE37"/>
    <w:rsid w:val="0335E0EC"/>
    <w:rsid w:val="0336DC16"/>
    <w:rsid w:val="03386CCC"/>
    <w:rsid w:val="033B6E20"/>
    <w:rsid w:val="033CB426"/>
    <w:rsid w:val="0340148D"/>
    <w:rsid w:val="0344703E"/>
    <w:rsid w:val="034A61C9"/>
    <w:rsid w:val="034D90C9"/>
    <w:rsid w:val="034DCA0D"/>
    <w:rsid w:val="034F5E40"/>
    <w:rsid w:val="0350660A"/>
    <w:rsid w:val="03521631"/>
    <w:rsid w:val="0358F9C1"/>
    <w:rsid w:val="035B73D4"/>
    <w:rsid w:val="035EA0D5"/>
    <w:rsid w:val="035F196A"/>
    <w:rsid w:val="03616A76"/>
    <w:rsid w:val="036378AA"/>
    <w:rsid w:val="0367C10A"/>
    <w:rsid w:val="0369CFA8"/>
    <w:rsid w:val="037BA0E1"/>
    <w:rsid w:val="037BDD02"/>
    <w:rsid w:val="037E8205"/>
    <w:rsid w:val="0380C08E"/>
    <w:rsid w:val="0382385B"/>
    <w:rsid w:val="038256B0"/>
    <w:rsid w:val="03830CC6"/>
    <w:rsid w:val="03874AA5"/>
    <w:rsid w:val="038F095E"/>
    <w:rsid w:val="038FBB11"/>
    <w:rsid w:val="0399B0B3"/>
    <w:rsid w:val="039C34C4"/>
    <w:rsid w:val="03A486CC"/>
    <w:rsid w:val="03A5C2CC"/>
    <w:rsid w:val="03A9D867"/>
    <w:rsid w:val="03B25164"/>
    <w:rsid w:val="03B2F8AD"/>
    <w:rsid w:val="03B49C3F"/>
    <w:rsid w:val="03B7108F"/>
    <w:rsid w:val="03B77F37"/>
    <w:rsid w:val="03BDF346"/>
    <w:rsid w:val="03BFA5D1"/>
    <w:rsid w:val="03C0F0C2"/>
    <w:rsid w:val="03C16166"/>
    <w:rsid w:val="03C2372D"/>
    <w:rsid w:val="03C4FD75"/>
    <w:rsid w:val="03D37AC1"/>
    <w:rsid w:val="03D3EEA2"/>
    <w:rsid w:val="03D9352F"/>
    <w:rsid w:val="03DC92C1"/>
    <w:rsid w:val="03E0A439"/>
    <w:rsid w:val="03E21649"/>
    <w:rsid w:val="03E8E72E"/>
    <w:rsid w:val="03E98F6A"/>
    <w:rsid w:val="03E9FF1F"/>
    <w:rsid w:val="03F02EAD"/>
    <w:rsid w:val="03F1B5CE"/>
    <w:rsid w:val="03F45BE7"/>
    <w:rsid w:val="03F64760"/>
    <w:rsid w:val="03F89A4D"/>
    <w:rsid w:val="03FCC625"/>
    <w:rsid w:val="040B0DF0"/>
    <w:rsid w:val="041310AE"/>
    <w:rsid w:val="04134B2C"/>
    <w:rsid w:val="0415E48F"/>
    <w:rsid w:val="0416F390"/>
    <w:rsid w:val="04194C9E"/>
    <w:rsid w:val="041F3A8C"/>
    <w:rsid w:val="04208064"/>
    <w:rsid w:val="0421C282"/>
    <w:rsid w:val="0426BA59"/>
    <w:rsid w:val="042C32C8"/>
    <w:rsid w:val="043D9E80"/>
    <w:rsid w:val="04471A45"/>
    <w:rsid w:val="04472B65"/>
    <w:rsid w:val="04498361"/>
    <w:rsid w:val="044B4DB2"/>
    <w:rsid w:val="04505FA7"/>
    <w:rsid w:val="045B526B"/>
    <w:rsid w:val="0460BEFA"/>
    <w:rsid w:val="04618D0A"/>
    <w:rsid w:val="0462F3A1"/>
    <w:rsid w:val="046788A7"/>
    <w:rsid w:val="04689164"/>
    <w:rsid w:val="0468FE81"/>
    <w:rsid w:val="046CCF8B"/>
    <w:rsid w:val="046F1406"/>
    <w:rsid w:val="047248A8"/>
    <w:rsid w:val="0477265C"/>
    <w:rsid w:val="047D4E31"/>
    <w:rsid w:val="0480BBF3"/>
    <w:rsid w:val="04901A22"/>
    <w:rsid w:val="0496FD53"/>
    <w:rsid w:val="049729FB"/>
    <w:rsid w:val="049CE886"/>
    <w:rsid w:val="04A0A8EB"/>
    <w:rsid w:val="04A104FD"/>
    <w:rsid w:val="04A4E222"/>
    <w:rsid w:val="04A4F2F3"/>
    <w:rsid w:val="04A5C1B2"/>
    <w:rsid w:val="04A7C1C0"/>
    <w:rsid w:val="04AC8E77"/>
    <w:rsid w:val="04B55142"/>
    <w:rsid w:val="04B6AF33"/>
    <w:rsid w:val="04BA2346"/>
    <w:rsid w:val="04BCC083"/>
    <w:rsid w:val="04C10767"/>
    <w:rsid w:val="04C347D2"/>
    <w:rsid w:val="04D5E471"/>
    <w:rsid w:val="04D633B4"/>
    <w:rsid w:val="04D8A051"/>
    <w:rsid w:val="04E7D99C"/>
    <w:rsid w:val="04EB2DEC"/>
    <w:rsid w:val="04EDD74A"/>
    <w:rsid w:val="04F053D5"/>
    <w:rsid w:val="04F6AC99"/>
    <w:rsid w:val="04F989AC"/>
    <w:rsid w:val="04FD3472"/>
    <w:rsid w:val="04FE8677"/>
    <w:rsid w:val="050AA964"/>
    <w:rsid w:val="050FF69C"/>
    <w:rsid w:val="051F5A3B"/>
    <w:rsid w:val="05231189"/>
    <w:rsid w:val="05272FF1"/>
    <w:rsid w:val="0528AD1C"/>
    <w:rsid w:val="052AD1AA"/>
    <w:rsid w:val="052CB9DF"/>
    <w:rsid w:val="052E1C43"/>
    <w:rsid w:val="053312F4"/>
    <w:rsid w:val="053368D2"/>
    <w:rsid w:val="053E7CA7"/>
    <w:rsid w:val="053F3B62"/>
    <w:rsid w:val="053F54A1"/>
    <w:rsid w:val="0540C86D"/>
    <w:rsid w:val="05414EA9"/>
    <w:rsid w:val="054BDFFD"/>
    <w:rsid w:val="054C0688"/>
    <w:rsid w:val="0550060F"/>
    <w:rsid w:val="0557725C"/>
    <w:rsid w:val="0562CBFF"/>
    <w:rsid w:val="05632D5D"/>
    <w:rsid w:val="0568137F"/>
    <w:rsid w:val="056FB0C0"/>
    <w:rsid w:val="05707DE2"/>
    <w:rsid w:val="057C8DF4"/>
    <w:rsid w:val="057E6B2A"/>
    <w:rsid w:val="057EAA8D"/>
    <w:rsid w:val="05820B0F"/>
    <w:rsid w:val="058439C7"/>
    <w:rsid w:val="05861B93"/>
    <w:rsid w:val="059A3FE8"/>
    <w:rsid w:val="05A34C2E"/>
    <w:rsid w:val="05B23979"/>
    <w:rsid w:val="05B28697"/>
    <w:rsid w:val="05B595EF"/>
    <w:rsid w:val="05B5DD74"/>
    <w:rsid w:val="05B725A8"/>
    <w:rsid w:val="05BBE4C8"/>
    <w:rsid w:val="05BF6239"/>
    <w:rsid w:val="05C391CE"/>
    <w:rsid w:val="05C61CA3"/>
    <w:rsid w:val="05C714DE"/>
    <w:rsid w:val="05C91E6D"/>
    <w:rsid w:val="05CA76FC"/>
    <w:rsid w:val="05DAFF27"/>
    <w:rsid w:val="05E231BE"/>
    <w:rsid w:val="05E2462D"/>
    <w:rsid w:val="05E59BA5"/>
    <w:rsid w:val="05EAA5D3"/>
    <w:rsid w:val="05EE2F8D"/>
    <w:rsid w:val="05EF915B"/>
    <w:rsid w:val="05F32384"/>
    <w:rsid w:val="05F386F2"/>
    <w:rsid w:val="05F78D4C"/>
    <w:rsid w:val="05F7A403"/>
    <w:rsid w:val="05F94055"/>
    <w:rsid w:val="05F992A2"/>
    <w:rsid w:val="05FFC872"/>
    <w:rsid w:val="06024FCF"/>
    <w:rsid w:val="0608EA8E"/>
    <w:rsid w:val="06126239"/>
    <w:rsid w:val="0614A9C1"/>
    <w:rsid w:val="0619DDD3"/>
    <w:rsid w:val="061F93AE"/>
    <w:rsid w:val="06223848"/>
    <w:rsid w:val="06231BD1"/>
    <w:rsid w:val="06258241"/>
    <w:rsid w:val="0625CF95"/>
    <w:rsid w:val="0628031A"/>
    <w:rsid w:val="062C1E4F"/>
    <w:rsid w:val="0634FBC8"/>
    <w:rsid w:val="06371E27"/>
    <w:rsid w:val="0638DAFE"/>
    <w:rsid w:val="063C5925"/>
    <w:rsid w:val="0640C354"/>
    <w:rsid w:val="0642E37F"/>
    <w:rsid w:val="06456AA0"/>
    <w:rsid w:val="06475D1C"/>
    <w:rsid w:val="064A45C8"/>
    <w:rsid w:val="064C55D6"/>
    <w:rsid w:val="066622CB"/>
    <w:rsid w:val="06691710"/>
    <w:rsid w:val="0669C993"/>
    <w:rsid w:val="066D81AE"/>
    <w:rsid w:val="0672C2C8"/>
    <w:rsid w:val="067732BC"/>
    <w:rsid w:val="067B4078"/>
    <w:rsid w:val="06802AD8"/>
    <w:rsid w:val="0680411B"/>
    <w:rsid w:val="06806F26"/>
    <w:rsid w:val="06846FC0"/>
    <w:rsid w:val="068C12FD"/>
    <w:rsid w:val="068DD398"/>
    <w:rsid w:val="06951242"/>
    <w:rsid w:val="0698C548"/>
    <w:rsid w:val="069C872C"/>
    <w:rsid w:val="069D86AB"/>
    <w:rsid w:val="069F3A8B"/>
    <w:rsid w:val="06A06207"/>
    <w:rsid w:val="06A21821"/>
    <w:rsid w:val="06AA2264"/>
    <w:rsid w:val="06ABC619"/>
    <w:rsid w:val="06ACE294"/>
    <w:rsid w:val="06B09994"/>
    <w:rsid w:val="06B68563"/>
    <w:rsid w:val="06B9868D"/>
    <w:rsid w:val="06BB1602"/>
    <w:rsid w:val="06C5DB0E"/>
    <w:rsid w:val="06CB747E"/>
    <w:rsid w:val="06CEB1B7"/>
    <w:rsid w:val="06CFF30F"/>
    <w:rsid w:val="06DAB4B3"/>
    <w:rsid w:val="06DE1011"/>
    <w:rsid w:val="06DE240E"/>
    <w:rsid w:val="06EE227F"/>
    <w:rsid w:val="06F32F9F"/>
    <w:rsid w:val="06F42722"/>
    <w:rsid w:val="06F7FDB7"/>
    <w:rsid w:val="06FFFDCB"/>
    <w:rsid w:val="07031DCE"/>
    <w:rsid w:val="07067C1B"/>
    <w:rsid w:val="0709C746"/>
    <w:rsid w:val="070A0797"/>
    <w:rsid w:val="070A6CF1"/>
    <w:rsid w:val="070DB7E1"/>
    <w:rsid w:val="070DCF73"/>
    <w:rsid w:val="0711B14D"/>
    <w:rsid w:val="0716AD2A"/>
    <w:rsid w:val="0717F9F2"/>
    <w:rsid w:val="071A8EA9"/>
    <w:rsid w:val="071E9324"/>
    <w:rsid w:val="07216E08"/>
    <w:rsid w:val="07246063"/>
    <w:rsid w:val="072723C8"/>
    <w:rsid w:val="072AD6FD"/>
    <w:rsid w:val="072C03EE"/>
    <w:rsid w:val="072C820C"/>
    <w:rsid w:val="0730FE8F"/>
    <w:rsid w:val="0731B556"/>
    <w:rsid w:val="0735C02E"/>
    <w:rsid w:val="0738C1C1"/>
    <w:rsid w:val="073DFE9C"/>
    <w:rsid w:val="07413B2C"/>
    <w:rsid w:val="0743BF97"/>
    <w:rsid w:val="0744B709"/>
    <w:rsid w:val="07458E4E"/>
    <w:rsid w:val="074719C2"/>
    <w:rsid w:val="0750ED60"/>
    <w:rsid w:val="07533030"/>
    <w:rsid w:val="07560C4F"/>
    <w:rsid w:val="0757351E"/>
    <w:rsid w:val="0757B475"/>
    <w:rsid w:val="075CAB96"/>
    <w:rsid w:val="075E2067"/>
    <w:rsid w:val="07620891"/>
    <w:rsid w:val="0764EEFA"/>
    <w:rsid w:val="07679B1E"/>
    <w:rsid w:val="076B1F49"/>
    <w:rsid w:val="0771705A"/>
    <w:rsid w:val="0771A19E"/>
    <w:rsid w:val="077E5485"/>
    <w:rsid w:val="078B04B1"/>
    <w:rsid w:val="078CAD4C"/>
    <w:rsid w:val="0796ACD2"/>
    <w:rsid w:val="079F2039"/>
    <w:rsid w:val="079FD475"/>
    <w:rsid w:val="07A15726"/>
    <w:rsid w:val="07A77C19"/>
    <w:rsid w:val="07A78825"/>
    <w:rsid w:val="07AAEC69"/>
    <w:rsid w:val="07ADA54C"/>
    <w:rsid w:val="07AF24E4"/>
    <w:rsid w:val="07B401CE"/>
    <w:rsid w:val="07B46D04"/>
    <w:rsid w:val="07BB2633"/>
    <w:rsid w:val="07BB9638"/>
    <w:rsid w:val="07BCD871"/>
    <w:rsid w:val="07C1359D"/>
    <w:rsid w:val="07C14895"/>
    <w:rsid w:val="07C5A0C9"/>
    <w:rsid w:val="07CB900F"/>
    <w:rsid w:val="07CE2F17"/>
    <w:rsid w:val="07D43D5A"/>
    <w:rsid w:val="07D68722"/>
    <w:rsid w:val="07D83A25"/>
    <w:rsid w:val="07D8872E"/>
    <w:rsid w:val="07DB4873"/>
    <w:rsid w:val="07DB6C9B"/>
    <w:rsid w:val="07DCAC94"/>
    <w:rsid w:val="07E07BFD"/>
    <w:rsid w:val="07E55805"/>
    <w:rsid w:val="07EBA88C"/>
    <w:rsid w:val="07EC16D4"/>
    <w:rsid w:val="07F2EC39"/>
    <w:rsid w:val="07FF3510"/>
    <w:rsid w:val="08070AAD"/>
    <w:rsid w:val="080B651B"/>
    <w:rsid w:val="080C4154"/>
    <w:rsid w:val="081493A3"/>
    <w:rsid w:val="0818D615"/>
    <w:rsid w:val="081DF769"/>
    <w:rsid w:val="0822A812"/>
    <w:rsid w:val="082A868A"/>
    <w:rsid w:val="083177DC"/>
    <w:rsid w:val="08357765"/>
    <w:rsid w:val="08398D0C"/>
    <w:rsid w:val="083A0BC3"/>
    <w:rsid w:val="083B9F3B"/>
    <w:rsid w:val="0840815F"/>
    <w:rsid w:val="0844D1FB"/>
    <w:rsid w:val="084532F4"/>
    <w:rsid w:val="0848D71D"/>
    <w:rsid w:val="084A2A42"/>
    <w:rsid w:val="084AF959"/>
    <w:rsid w:val="084B8CF2"/>
    <w:rsid w:val="084DEE50"/>
    <w:rsid w:val="084DF857"/>
    <w:rsid w:val="084E77BD"/>
    <w:rsid w:val="0850F2D9"/>
    <w:rsid w:val="0852D78C"/>
    <w:rsid w:val="0854FF68"/>
    <w:rsid w:val="08551E04"/>
    <w:rsid w:val="085DE0AA"/>
    <w:rsid w:val="08624CB0"/>
    <w:rsid w:val="0867C3F2"/>
    <w:rsid w:val="08686863"/>
    <w:rsid w:val="086FA5E7"/>
    <w:rsid w:val="0876DE54"/>
    <w:rsid w:val="0878229B"/>
    <w:rsid w:val="087A3A23"/>
    <w:rsid w:val="087AC696"/>
    <w:rsid w:val="08830D5D"/>
    <w:rsid w:val="0883C8AA"/>
    <w:rsid w:val="0884FD27"/>
    <w:rsid w:val="0889B5B5"/>
    <w:rsid w:val="088F7C45"/>
    <w:rsid w:val="08943662"/>
    <w:rsid w:val="08985FF2"/>
    <w:rsid w:val="08994A3F"/>
    <w:rsid w:val="089A0515"/>
    <w:rsid w:val="089D14B3"/>
    <w:rsid w:val="089EEFC0"/>
    <w:rsid w:val="08A6565C"/>
    <w:rsid w:val="08AF6C76"/>
    <w:rsid w:val="08B2C267"/>
    <w:rsid w:val="08B2CBBB"/>
    <w:rsid w:val="08B4F278"/>
    <w:rsid w:val="08B6A56A"/>
    <w:rsid w:val="08BD83CA"/>
    <w:rsid w:val="08C8B1A4"/>
    <w:rsid w:val="08C92B9E"/>
    <w:rsid w:val="08CEA922"/>
    <w:rsid w:val="08CF412B"/>
    <w:rsid w:val="08CF97DB"/>
    <w:rsid w:val="08D0EB38"/>
    <w:rsid w:val="08D262F1"/>
    <w:rsid w:val="08D2CC9C"/>
    <w:rsid w:val="08D5A828"/>
    <w:rsid w:val="08DBB6FC"/>
    <w:rsid w:val="08DC5878"/>
    <w:rsid w:val="08DD40D0"/>
    <w:rsid w:val="08E00814"/>
    <w:rsid w:val="08E13343"/>
    <w:rsid w:val="08EC7D48"/>
    <w:rsid w:val="08F72A92"/>
    <w:rsid w:val="08F83CF2"/>
    <w:rsid w:val="08F8B3D2"/>
    <w:rsid w:val="090171BE"/>
    <w:rsid w:val="090DFEED"/>
    <w:rsid w:val="091075BD"/>
    <w:rsid w:val="09121FEB"/>
    <w:rsid w:val="09129D88"/>
    <w:rsid w:val="09146FEB"/>
    <w:rsid w:val="091496E2"/>
    <w:rsid w:val="0917F0D5"/>
    <w:rsid w:val="091977D1"/>
    <w:rsid w:val="09206C87"/>
    <w:rsid w:val="09275689"/>
    <w:rsid w:val="092867C9"/>
    <w:rsid w:val="09288F16"/>
    <w:rsid w:val="092C5FB9"/>
    <w:rsid w:val="09325204"/>
    <w:rsid w:val="093FD0BE"/>
    <w:rsid w:val="094073F1"/>
    <w:rsid w:val="094C8C0D"/>
    <w:rsid w:val="094C99A1"/>
    <w:rsid w:val="094EF8E5"/>
    <w:rsid w:val="0957CA3A"/>
    <w:rsid w:val="09583776"/>
    <w:rsid w:val="095E2F67"/>
    <w:rsid w:val="09603673"/>
    <w:rsid w:val="0969ED8A"/>
    <w:rsid w:val="096DD47E"/>
    <w:rsid w:val="09798EAF"/>
    <w:rsid w:val="097D6009"/>
    <w:rsid w:val="097D9C86"/>
    <w:rsid w:val="097E6BFD"/>
    <w:rsid w:val="097F1BFF"/>
    <w:rsid w:val="09802AEC"/>
    <w:rsid w:val="09803592"/>
    <w:rsid w:val="098245F8"/>
    <w:rsid w:val="098518FB"/>
    <w:rsid w:val="0985D875"/>
    <w:rsid w:val="09875DD3"/>
    <w:rsid w:val="098888DD"/>
    <w:rsid w:val="09903B6B"/>
    <w:rsid w:val="0993994B"/>
    <w:rsid w:val="0995C936"/>
    <w:rsid w:val="0996F7F6"/>
    <w:rsid w:val="09A0958B"/>
    <w:rsid w:val="09A689B1"/>
    <w:rsid w:val="09A73378"/>
    <w:rsid w:val="09A98A5C"/>
    <w:rsid w:val="09B6F4C8"/>
    <w:rsid w:val="09BAD55E"/>
    <w:rsid w:val="09BC50BE"/>
    <w:rsid w:val="09C44680"/>
    <w:rsid w:val="09C4B0C4"/>
    <w:rsid w:val="09CD911D"/>
    <w:rsid w:val="09CDAF91"/>
    <w:rsid w:val="09D06921"/>
    <w:rsid w:val="09D0C97A"/>
    <w:rsid w:val="09D3DDA9"/>
    <w:rsid w:val="09D6BB81"/>
    <w:rsid w:val="09D7A2CF"/>
    <w:rsid w:val="09DB5202"/>
    <w:rsid w:val="09DC53C8"/>
    <w:rsid w:val="09DD0951"/>
    <w:rsid w:val="09E2FFA6"/>
    <w:rsid w:val="09EDAE1D"/>
    <w:rsid w:val="09F02182"/>
    <w:rsid w:val="09F03E50"/>
    <w:rsid w:val="09F1DA92"/>
    <w:rsid w:val="09F206A0"/>
    <w:rsid w:val="09F3BCF9"/>
    <w:rsid w:val="09F42E2B"/>
    <w:rsid w:val="09F8233B"/>
    <w:rsid w:val="09F8E6DD"/>
    <w:rsid w:val="09F963A5"/>
    <w:rsid w:val="0A02A78A"/>
    <w:rsid w:val="0A04F9CF"/>
    <w:rsid w:val="0A0656D4"/>
    <w:rsid w:val="0A0AD399"/>
    <w:rsid w:val="0A191276"/>
    <w:rsid w:val="0A1B752C"/>
    <w:rsid w:val="0A1CA260"/>
    <w:rsid w:val="0A1D0092"/>
    <w:rsid w:val="0A1F0391"/>
    <w:rsid w:val="0A289849"/>
    <w:rsid w:val="0A2E85C1"/>
    <w:rsid w:val="0A3396DF"/>
    <w:rsid w:val="0A34C21F"/>
    <w:rsid w:val="0A36C096"/>
    <w:rsid w:val="0A394375"/>
    <w:rsid w:val="0A3FAABA"/>
    <w:rsid w:val="0A4226BD"/>
    <w:rsid w:val="0A471587"/>
    <w:rsid w:val="0A539745"/>
    <w:rsid w:val="0A556A33"/>
    <w:rsid w:val="0A594C61"/>
    <w:rsid w:val="0A673CB0"/>
    <w:rsid w:val="0A6A72AA"/>
    <w:rsid w:val="0A716BA3"/>
    <w:rsid w:val="0A71B56C"/>
    <w:rsid w:val="0A7206CD"/>
    <w:rsid w:val="0A75E794"/>
    <w:rsid w:val="0A77EB2D"/>
    <w:rsid w:val="0A7B7FCA"/>
    <w:rsid w:val="0A7C3057"/>
    <w:rsid w:val="0A827850"/>
    <w:rsid w:val="0A85F516"/>
    <w:rsid w:val="0A90E643"/>
    <w:rsid w:val="0A942F7A"/>
    <w:rsid w:val="0A968BD8"/>
    <w:rsid w:val="0A975AF6"/>
    <w:rsid w:val="0A9FA36C"/>
    <w:rsid w:val="0AA9057A"/>
    <w:rsid w:val="0AAC19BB"/>
    <w:rsid w:val="0AAC40DA"/>
    <w:rsid w:val="0AAE1314"/>
    <w:rsid w:val="0AAE3B54"/>
    <w:rsid w:val="0AAEACE6"/>
    <w:rsid w:val="0AAF603C"/>
    <w:rsid w:val="0AB1BEC1"/>
    <w:rsid w:val="0AB2F6BC"/>
    <w:rsid w:val="0AB30EAB"/>
    <w:rsid w:val="0AB436F5"/>
    <w:rsid w:val="0AB49A40"/>
    <w:rsid w:val="0AB5F195"/>
    <w:rsid w:val="0ABCB213"/>
    <w:rsid w:val="0ABEC671"/>
    <w:rsid w:val="0ABF7A49"/>
    <w:rsid w:val="0AC24011"/>
    <w:rsid w:val="0AC30691"/>
    <w:rsid w:val="0AC6E454"/>
    <w:rsid w:val="0ACA5625"/>
    <w:rsid w:val="0AD6D977"/>
    <w:rsid w:val="0ADB76AE"/>
    <w:rsid w:val="0ADD1842"/>
    <w:rsid w:val="0ADE4184"/>
    <w:rsid w:val="0ADEA10D"/>
    <w:rsid w:val="0AED7E7C"/>
    <w:rsid w:val="0AF2323B"/>
    <w:rsid w:val="0AF5A1BF"/>
    <w:rsid w:val="0AF6F404"/>
    <w:rsid w:val="0B0D0056"/>
    <w:rsid w:val="0B212EEE"/>
    <w:rsid w:val="0B2168AF"/>
    <w:rsid w:val="0B2910F2"/>
    <w:rsid w:val="0B291350"/>
    <w:rsid w:val="0B2D3E8C"/>
    <w:rsid w:val="0B3108DF"/>
    <w:rsid w:val="0B32B8A9"/>
    <w:rsid w:val="0B342DA3"/>
    <w:rsid w:val="0B358E7A"/>
    <w:rsid w:val="0B35AAC7"/>
    <w:rsid w:val="0B3C18C1"/>
    <w:rsid w:val="0B422321"/>
    <w:rsid w:val="0B4B1F69"/>
    <w:rsid w:val="0B4EB1C0"/>
    <w:rsid w:val="0B507550"/>
    <w:rsid w:val="0B56EA45"/>
    <w:rsid w:val="0B5EC767"/>
    <w:rsid w:val="0B69F9A3"/>
    <w:rsid w:val="0B6E0D29"/>
    <w:rsid w:val="0B7051B3"/>
    <w:rsid w:val="0B74C8D5"/>
    <w:rsid w:val="0B7B4074"/>
    <w:rsid w:val="0B7B5B31"/>
    <w:rsid w:val="0B7D6323"/>
    <w:rsid w:val="0B7DEDE6"/>
    <w:rsid w:val="0B83D8A8"/>
    <w:rsid w:val="0B8525F2"/>
    <w:rsid w:val="0B8C20E4"/>
    <w:rsid w:val="0B92F10E"/>
    <w:rsid w:val="0B9F2F73"/>
    <w:rsid w:val="0BA3DE26"/>
    <w:rsid w:val="0BA4C2D2"/>
    <w:rsid w:val="0BA58C46"/>
    <w:rsid w:val="0BA68890"/>
    <w:rsid w:val="0BA9FA4A"/>
    <w:rsid w:val="0BAA8E7E"/>
    <w:rsid w:val="0BAB3F51"/>
    <w:rsid w:val="0BAB7832"/>
    <w:rsid w:val="0BAFF022"/>
    <w:rsid w:val="0BB0557F"/>
    <w:rsid w:val="0BB639BB"/>
    <w:rsid w:val="0BB7D50F"/>
    <w:rsid w:val="0BB85FC5"/>
    <w:rsid w:val="0BB8D81B"/>
    <w:rsid w:val="0BBFFDFF"/>
    <w:rsid w:val="0BC0EE2B"/>
    <w:rsid w:val="0BC61D0E"/>
    <w:rsid w:val="0BC64E53"/>
    <w:rsid w:val="0BC6C01E"/>
    <w:rsid w:val="0BCB804B"/>
    <w:rsid w:val="0BCE7938"/>
    <w:rsid w:val="0BD18CF7"/>
    <w:rsid w:val="0BD26EFA"/>
    <w:rsid w:val="0BDABF4A"/>
    <w:rsid w:val="0BDC0169"/>
    <w:rsid w:val="0BDFBF1B"/>
    <w:rsid w:val="0BE52CB9"/>
    <w:rsid w:val="0BE65D8B"/>
    <w:rsid w:val="0BE74753"/>
    <w:rsid w:val="0BE9B26F"/>
    <w:rsid w:val="0BE9B3BE"/>
    <w:rsid w:val="0BECB985"/>
    <w:rsid w:val="0BED4189"/>
    <w:rsid w:val="0BED7523"/>
    <w:rsid w:val="0BF17D4E"/>
    <w:rsid w:val="0BFDCE55"/>
    <w:rsid w:val="0C011C8B"/>
    <w:rsid w:val="0C1439DB"/>
    <w:rsid w:val="0C162DD5"/>
    <w:rsid w:val="0C167971"/>
    <w:rsid w:val="0C1BEB82"/>
    <w:rsid w:val="0C228EBD"/>
    <w:rsid w:val="0C258F8C"/>
    <w:rsid w:val="0C2E5C05"/>
    <w:rsid w:val="0C2EA341"/>
    <w:rsid w:val="0C31441E"/>
    <w:rsid w:val="0C34E69B"/>
    <w:rsid w:val="0C371F6C"/>
    <w:rsid w:val="0C374095"/>
    <w:rsid w:val="0C3B6147"/>
    <w:rsid w:val="0C3CB54C"/>
    <w:rsid w:val="0C41AAD1"/>
    <w:rsid w:val="0C429A0D"/>
    <w:rsid w:val="0C42EE8F"/>
    <w:rsid w:val="0C44A97D"/>
    <w:rsid w:val="0C461E61"/>
    <w:rsid w:val="0C496818"/>
    <w:rsid w:val="0C4B8279"/>
    <w:rsid w:val="0C50D454"/>
    <w:rsid w:val="0C522C2A"/>
    <w:rsid w:val="0C53EEA9"/>
    <w:rsid w:val="0C552F94"/>
    <w:rsid w:val="0C57E510"/>
    <w:rsid w:val="0C59DAB6"/>
    <w:rsid w:val="0C62B737"/>
    <w:rsid w:val="0C64B938"/>
    <w:rsid w:val="0C6B1207"/>
    <w:rsid w:val="0C6B54B3"/>
    <w:rsid w:val="0C6DEF7C"/>
    <w:rsid w:val="0C7243CA"/>
    <w:rsid w:val="0C76BBE5"/>
    <w:rsid w:val="0C87A2BB"/>
    <w:rsid w:val="0C8C4279"/>
    <w:rsid w:val="0C8D9E2E"/>
    <w:rsid w:val="0C8DBCFA"/>
    <w:rsid w:val="0C91FB17"/>
    <w:rsid w:val="0C9410CC"/>
    <w:rsid w:val="0C9572AE"/>
    <w:rsid w:val="0C983C06"/>
    <w:rsid w:val="0C991BBB"/>
    <w:rsid w:val="0C993285"/>
    <w:rsid w:val="0C99A818"/>
    <w:rsid w:val="0CA4606D"/>
    <w:rsid w:val="0CAA0C12"/>
    <w:rsid w:val="0CAD0856"/>
    <w:rsid w:val="0CAF1C26"/>
    <w:rsid w:val="0CB43554"/>
    <w:rsid w:val="0CBBE062"/>
    <w:rsid w:val="0CC07509"/>
    <w:rsid w:val="0CC44BD4"/>
    <w:rsid w:val="0CC823BC"/>
    <w:rsid w:val="0CC9F01F"/>
    <w:rsid w:val="0CCB422E"/>
    <w:rsid w:val="0CCCE75A"/>
    <w:rsid w:val="0CCEF6C1"/>
    <w:rsid w:val="0CD470E4"/>
    <w:rsid w:val="0CD9D6C3"/>
    <w:rsid w:val="0CDDF260"/>
    <w:rsid w:val="0CDEB2D7"/>
    <w:rsid w:val="0CE0D914"/>
    <w:rsid w:val="0CE114F9"/>
    <w:rsid w:val="0CE3FED1"/>
    <w:rsid w:val="0CE41532"/>
    <w:rsid w:val="0CE82C77"/>
    <w:rsid w:val="0CEC944A"/>
    <w:rsid w:val="0CEDA183"/>
    <w:rsid w:val="0CEE252A"/>
    <w:rsid w:val="0CF74C0C"/>
    <w:rsid w:val="0CFE71CA"/>
    <w:rsid w:val="0D040724"/>
    <w:rsid w:val="0D04A1FE"/>
    <w:rsid w:val="0D060325"/>
    <w:rsid w:val="0D077E05"/>
    <w:rsid w:val="0D092DB4"/>
    <w:rsid w:val="0D099C78"/>
    <w:rsid w:val="0D0BC391"/>
    <w:rsid w:val="0D0C5D29"/>
    <w:rsid w:val="0D0DBC5D"/>
    <w:rsid w:val="0D0DDEB7"/>
    <w:rsid w:val="0D0EAD3C"/>
    <w:rsid w:val="0D0EFAC4"/>
    <w:rsid w:val="0D168171"/>
    <w:rsid w:val="0D177F60"/>
    <w:rsid w:val="0D20F653"/>
    <w:rsid w:val="0D2B078D"/>
    <w:rsid w:val="0D2C092F"/>
    <w:rsid w:val="0D2E229E"/>
    <w:rsid w:val="0D328E31"/>
    <w:rsid w:val="0D34D7F1"/>
    <w:rsid w:val="0D3AA266"/>
    <w:rsid w:val="0D3B6804"/>
    <w:rsid w:val="0D43987F"/>
    <w:rsid w:val="0D43C872"/>
    <w:rsid w:val="0D47C9DD"/>
    <w:rsid w:val="0D48007C"/>
    <w:rsid w:val="0D488208"/>
    <w:rsid w:val="0D48D291"/>
    <w:rsid w:val="0D5B0E9C"/>
    <w:rsid w:val="0D5B31C0"/>
    <w:rsid w:val="0D5C681D"/>
    <w:rsid w:val="0D6D2A5F"/>
    <w:rsid w:val="0D6E0952"/>
    <w:rsid w:val="0D6F59DE"/>
    <w:rsid w:val="0D6F9854"/>
    <w:rsid w:val="0D7114D4"/>
    <w:rsid w:val="0D715DED"/>
    <w:rsid w:val="0D7525CE"/>
    <w:rsid w:val="0D79FAD2"/>
    <w:rsid w:val="0D7A6A57"/>
    <w:rsid w:val="0D7CCD8E"/>
    <w:rsid w:val="0D7D1500"/>
    <w:rsid w:val="0D83D624"/>
    <w:rsid w:val="0D83EEF6"/>
    <w:rsid w:val="0D84FDFB"/>
    <w:rsid w:val="0D857D6E"/>
    <w:rsid w:val="0D89CF47"/>
    <w:rsid w:val="0D8B4BDE"/>
    <w:rsid w:val="0D8E6C4A"/>
    <w:rsid w:val="0D8FDDFF"/>
    <w:rsid w:val="0D98C93B"/>
    <w:rsid w:val="0D9C6905"/>
    <w:rsid w:val="0D9D8418"/>
    <w:rsid w:val="0DA3F220"/>
    <w:rsid w:val="0DA74BF3"/>
    <w:rsid w:val="0DA87A8D"/>
    <w:rsid w:val="0DB61C30"/>
    <w:rsid w:val="0DBF5F06"/>
    <w:rsid w:val="0DBFCA90"/>
    <w:rsid w:val="0DC1E7FA"/>
    <w:rsid w:val="0DC41EFC"/>
    <w:rsid w:val="0DC8896A"/>
    <w:rsid w:val="0DCAFBD1"/>
    <w:rsid w:val="0DCE4869"/>
    <w:rsid w:val="0DD15840"/>
    <w:rsid w:val="0DD53326"/>
    <w:rsid w:val="0DD69C4A"/>
    <w:rsid w:val="0DD937B1"/>
    <w:rsid w:val="0DD946F2"/>
    <w:rsid w:val="0DE0A06E"/>
    <w:rsid w:val="0DE61646"/>
    <w:rsid w:val="0DEBAB4A"/>
    <w:rsid w:val="0DF31E7A"/>
    <w:rsid w:val="0DFE89A6"/>
    <w:rsid w:val="0DFEA15E"/>
    <w:rsid w:val="0E012698"/>
    <w:rsid w:val="0E04BC0D"/>
    <w:rsid w:val="0E0FFB33"/>
    <w:rsid w:val="0E103EC1"/>
    <w:rsid w:val="0E1489DA"/>
    <w:rsid w:val="0E1CA4A7"/>
    <w:rsid w:val="0E254827"/>
    <w:rsid w:val="0E259E5D"/>
    <w:rsid w:val="0E25C0A8"/>
    <w:rsid w:val="0E271CF2"/>
    <w:rsid w:val="0E2CCE8E"/>
    <w:rsid w:val="0E2DF24A"/>
    <w:rsid w:val="0E301F02"/>
    <w:rsid w:val="0E3057CB"/>
    <w:rsid w:val="0E32B829"/>
    <w:rsid w:val="0E32F78F"/>
    <w:rsid w:val="0E3864B6"/>
    <w:rsid w:val="0E3A5531"/>
    <w:rsid w:val="0E3BEBEC"/>
    <w:rsid w:val="0E3C93C3"/>
    <w:rsid w:val="0E3D0889"/>
    <w:rsid w:val="0E4045CA"/>
    <w:rsid w:val="0E41C11F"/>
    <w:rsid w:val="0E41F255"/>
    <w:rsid w:val="0E45C0CA"/>
    <w:rsid w:val="0E483168"/>
    <w:rsid w:val="0E4A5D4E"/>
    <w:rsid w:val="0E4A725B"/>
    <w:rsid w:val="0E5368CF"/>
    <w:rsid w:val="0E542290"/>
    <w:rsid w:val="0E549989"/>
    <w:rsid w:val="0E55F8AA"/>
    <w:rsid w:val="0E589AE3"/>
    <w:rsid w:val="0E58D9F7"/>
    <w:rsid w:val="0E59780E"/>
    <w:rsid w:val="0E5B8006"/>
    <w:rsid w:val="0E5CF25A"/>
    <w:rsid w:val="0E5D3784"/>
    <w:rsid w:val="0E696219"/>
    <w:rsid w:val="0E6B779A"/>
    <w:rsid w:val="0E6E1657"/>
    <w:rsid w:val="0E748121"/>
    <w:rsid w:val="0E7CB628"/>
    <w:rsid w:val="0E82E651"/>
    <w:rsid w:val="0E8496FB"/>
    <w:rsid w:val="0E87B2AD"/>
    <w:rsid w:val="0E88096D"/>
    <w:rsid w:val="0E897230"/>
    <w:rsid w:val="0E8DD3B2"/>
    <w:rsid w:val="0E955B54"/>
    <w:rsid w:val="0E9756BA"/>
    <w:rsid w:val="0E97907B"/>
    <w:rsid w:val="0E97A2F6"/>
    <w:rsid w:val="0E9B5C6C"/>
    <w:rsid w:val="0EA0BD42"/>
    <w:rsid w:val="0EAD6A8B"/>
    <w:rsid w:val="0EB30235"/>
    <w:rsid w:val="0EB6C161"/>
    <w:rsid w:val="0EB70396"/>
    <w:rsid w:val="0EBE4B22"/>
    <w:rsid w:val="0EC2BBDC"/>
    <w:rsid w:val="0EC32943"/>
    <w:rsid w:val="0ED0CB00"/>
    <w:rsid w:val="0ED26D41"/>
    <w:rsid w:val="0EDEE435"/>
    <w:rsid w:val="0EE004A9"/>
    <w:rsid w:val="0EE05E1C"/>
    <w:rsid w:val="0EF7D6ED"/>
    <w:rsid w:val="0F027C1D"/>
    <w:rsid w:val="0F0AC8D7"/>
    <w:rsid w:val="0F0F408F"/>
    <w:rsid w:val="0F12CC20"/>
    <w:rsid w:val="0F1460EB"/>
    <w:rsid w:val="0F1720EC"/>
    <w:rsid w:val="0F19D2EF"/>
    <w:rsid w:val="0F1B3E1E"/>
    <w:rsid w:val="0F1D1B6B"/>
    <w:rsid w:val="0F1DA146"/>
    <w:rsid w:val="0F257694"/>
    <w:rsid w:val="0F28BA04"/>
    <w:rsid w:val="0F2C6511"/>
    <w:rsid w:val="0F31AB3E"/>
    <w:rsid w:val="0F31B379"/>
    <w:rsid w:val="0F328CB2"/>
    <w:rsid w:val="0F389A1F"/>
    <w:rsid w:val="0F4198F0"/>
    <w:rsid w:val="0F43809C"/>
    <w:rsid w:val="0F442DB2"/>
    <w:rsid w:val="0F4A73A2"/>
    <w:rsid w:val="0F51D63D"/>
    <w:rsid w:val="0F52754F"/>
    <w:rsid w:val="0F6231AF"/>
    <w:rsid w:val="0F637E5F"/>
    <w:rsid w:val="0F638385"/>
    <w:rsid w:val="0F63994C"/>
    <w:rsid w:val="0F63BD4E"/>
    <w:rsid w:val="0F6DA7EF"/>
    <w:rsid w:val="0F6E67CC"/>
    <w:rsid w:val="0F92E2D8"/>
    <w:rsid w:val="0F962CCD"/>
    <w:rsid w:val="0F9E339F"/>
    <w:rsid w:val="0F9E5F17"/>
    <w:rsid w:val="0FA417CE"/>
    <w:rsid w:val="0FAA8619"/>
    <w:rsid w:val="0FAEBDF0"/>
    <w:rsid w:val="0FB095AA"/>
    <w:rsid w:val="0FB15F44"/>
    <w:rsid w:val="0FBC18AB"/>
    <w:rsid w:val="0FC352B2"/>
    <w:rsid w:val="0FC9AF31"/>
    <w:rsid w:val="0FCAF111"/>
    <w:rsid w:val="0FCE4F40"/>
    <w:rsid w:val="0FD4A2F9"/>
    <w:rsid w:val="0FD76212"/>
    <w:rsid w:val="0FE34B75"/>
    <w:rsid w:val="0FE3B8BA"/>
    <w:rsid w:val="0FF71C6E"/>
    <w:rsid w:val="0FF774B4"/>
    <w:rsid w:val="0FFB1A78"/>
    <w:rsid w:val="0FFF6A5E"/>
    <w:rsid w:val="1000BC7F"/>
    <w:rsid w:val="100ACBEE"/>
    <w:rsid w:val="100B87C3"/>
    <w:rsid w:val="100F2DBF"/>
    <w:rsid w:val="1017CB28"/>
    <w:rsid w:val="101B3A6A"/>
    <w:rsid w:val="101CCA8C"/>
    <w:rsid w:val="10246C88"/>
    <w:rsid w:val="10257EDB"/>
    <w:rsid w:val="102B7BFF"/>
    <w:rsid w:val="102C994A"/>
    <w:rsid w:val="102D03B9"/>
    <w:rsid w:val="10307B96"/>
    <w:rsid w:val="10307D06"/>
    <w:rsid w:val="10368579"/>
    <w:rsid w:val="1037900F"/>
    <w:rsid w:val="10394909"/>
    <w:rsid w:val="103E7398"/>
    <w:rsid w:val="1043B5EB"/>
    <w:rsid w:val="1043D135"/>
    <w:rsid w:val="1045959D"/>
    <w:rsid w:val="104D29F9"/>
    <w:rsid w:val="1059F3E3"/>
    <w:rsid w:val="105CC118"/>
    <w:rsid w:val="105F9C57"/>
    <w:rsid w:val="10611476"/>
    <w:rsid w:val="10624AEB"/>
    <w:rsid w:val="1070A2A1"/>
    <w:rsid w:val="10730004"/>
    <w:rsid w:val="1077874F"/>
    <w:rsid w:val="107ED213"/>
    <w:rsid w:val="107F18B6"/>
    <w:rsid w:val="1080B451"/>
    <w:rsid w:val="108568F5"/>
    <w:rsid w:val="1089193E"/>
    <w:rsid w:val="1091CF4F"/>
    <w:rsid w:val="10A6F113"/>
    <w:rsid w:val="10AAB88A"/>
    <w:rsid w:val="10ADDDCF"/>
    <w:rsid w:val="10ADDDE2"/>
    <w:rsid w:val="10AFDC10"/>
    <w:rsid w:val="10B29853"/>
    <w:rsid w:val="10B3D0B9"/>
    <w:rsid w:val="10BE4FCC"/>
    <w:rsid w:val="10C46EA0"/>
    <w:rsid w:val="10C4A80D"/>
    <w:rsid w:val="10C7FCAF"/>
    <w:rsid w:val="10CD5218"/>
    <w:rsid w:val="10D20C08"/>
    <w:rsid w:val="10D51924"/>
    <w:rsid w:val="10D53D39"/>
    <w:rsid w:val="10D6813F"/>
    <w:rsid w:val="10DC81C7"/>
    <w:rsid w:val="10DED1B9"/>
    <w:rsid w:val="10E14310"/>
    <w:rsid w:val="10E5596C"/>
    <w:rsid w:val="10E56112"/>
    <w:rsid w:val="10E61187"/>
    <w:rsid w:val="10E8BAEA"/>
    <w:rsid w:val="10EE6197"/>
    <w:rsid w:val="10F0EE5F"/>
    <w:rsid w:val="10F60B56"/>
    <w:rsid w:val="1100CC7E"/>
    <w:rsid w:val="11010133"/>
    <w:rsid w:val="11050D52"/>
    <w:rsid w:val="110BD8CC"/>
    <w:rsid w:val="110F56A6"/>
    <w:rsid w:val="1113257C"/>
    <w:rsid w:val="11158B80"/>
    <w:rsid w:val="1119FD58"/>
    <w:rsid w:val="111ED891"/>
    <w:rsid w:val="111EF6F2"/>
    <w:rsid w:val="111F9CA9"/>
    <w:rsid w:val="1127593D"/>
    <w:rsid w:val="11288E45"/>
    <w:rsid w:val="112959D3"/>
    <w:rsid w:val="11369B39"/>
    <w:rsid w:val="1139BC0E"/>
    <w:rsid w:val="113B5BAD"/>
    <w:rsid w:val="113E3FB3"/>
    <w:rsid w:val="1141D13E"/>
    <w:rsid w:val="1141F0E7"/>
    <w:rsid w:val="11450CAD"/>
    <w:rsid w:val="11456B42"/>
    <w:rsid w:val="114A4B9F"/>
    <w:rsid w:val="114CFA40"/>
    <w:rsid w:val="114EF403"/>
    <w:rsid w:val="114FCCE3"/>
    <w:rsid w:val="11515CE3"/>
    <w:rsid w:val="11566469"/>
    <w:rsid w:val="1156674D"/>
    <w:rsid w:val="1159F597"/>
    <w:rsid w:val="115CF921"/>
    <w:rsid w:val="1169F09C"/>
    <w:rsid w:val="116D1FD5"/>
    <w:rsid w:val="116F1028"/>
    <w:rsid w:val="11700225"/>
    <w:rsid w:val="117C1B9C"/>
    <w:rsid w:val="117E25F0"/>
    <w:rsid w:val="117F252E"/>
    <w:rsid w:val="11855A75"/>
    <w:rsid w:val="118B1181"/>
    <w:rsid w:val="118BA776"/>
    <w:rsid w:val="11900932"/>
    <w:rsid w:val="11937EE9"/>
    <w:rsid w:val="1196EAD9"/>
    <w:rsid w:val="1196F19F"/>
    <w:rsid w:val="119C43DD"/>
    <w:rsid w:val="119E9845"/>
    <w:rsid w:val="11A12AB3"/>
    <w:rsid w:val="11A80CAB"/>
    <w:rsid w:val="11A8633B"/>
    <w:rsid w:val="11A94525"/>
    <w:rsid w:val="11AAF189"/>
    <w:rsid w:val="11ADA782"/>
    <w:rsid w:val="11AEA39B"/>
    <w:rsid w:val="11AFBA7F"/>
    <w:rsid w:val="11B0675D"/>
    <w:rsid w:val="11B45F98"/>
    <w:rsid w:val="11B46781"/>
    <w:rsid w:val="11BAABA4"/>
    <w:rsid w:val="11C350A8"/>
    <w:rsid w:val="11C8A6EE"/>
    <w:rsid w:val="11CCBB9C"/>
    <w:rsid w:val="11CF237F"/>
    <w:rsid w:val="11D02C82"/>
    <w:rsid w:val="11D1B560"/>
    <w:rsid w:val="11D9A4F1"/>
    <w:rsid w:val="11DD617F"/>
    <w:rsid w:val="11DF3E52"/>
    <w:rsid w:val="11E3CEC7"/>
    <w:rsid w:val="11E7BE31"/>
    <w:rsid w:val="11E9DB7F"/>
    <w:rsid w:val="11FF12A4"/>
    <w:rsid w:val="1202C972"/>
    <w:rsid w:val="12069731"/>
    <w:rsid w:val="12090CC8"/>
    <w:rsid w:val="1209550E"/>
    <w:rsid w:val="1209D478"/>
    <w:rsid w:val="120BC713"/>
    <w:rsid w:val="120DDD46"/>
    <w:rsid w:val="120FBFC7"/>
    <w:rsid w:val="12123FB2"/>
    <w:rsid w:val="1217C56F"/>
    <w:rsid w:val="12189F65"/>
    <w:rsid w:val="121A0BFF"/>
    <w:rsid w:val="121B53EA"/>
    <w:rsid w:val="12251870"/>
    <w:rsid w:val="1226BBF1"/>
    <w:rsid w:val="122FB359"/>
    <w:rsid w:val="12305811"/>
    <w:rsid w:val="1230F16C"/>
    <w:rsid w:val="1233A106"/>
    <w:rsid w:val="12370C07"/>
    <w:rsid w:val="123FFE7D"/>
    <w:rsid w:val="124101DF"/>
    <w:rsid w:val="12495C0E"/>
    <w:rsid w:val="124A00CE"/>
    <w:rsid w:val="124A5859"/>
    <w:rsid w:val="1251DF4E"/>
    <w:rsid w:val="12527E27"/>
    <w:rsid w:val="125841F9"/>
    <w:rsid w:val="125AFAAA"/>
    <w:rsid w:val="125B8C73"/>
    <w:rsid w:val="125D27E3"/>
    <w:rsid w:val="125E7411"/>
    <w:rsid w:val="1261BF13"/>
    <w:rsid w:val="1267BF6E"/>
    <w:rsid w:val="1267FC4C"/>
    <w:rsid w:val="1268681A"/>
    <w:rsid w:val="127A40D6"/>
    <w:rsid w:val="127DF95E"/>
    <w:rsid w:val="127F97C8"/>
    <w:rsid w:val="12802A71"/>
    <w:rsid w:val="12835FC3"/>
    <w:rsid w:val="1287FA17"/>
    <w:rsid w:val="1288EDD5"/>
    <w:rsid w:val="128C62A5"/>
    <w:rsid w:val="12944ECF"/>
    <w:rsid w:val="129EB3C0"/>
    <w:rsid w:val="12A434BA"/>
    <w:rsid w:val="12AA42EA"/>
    <w:rsid w:val="12AABCD2"/>
    <w:rsid w:val="12B4F377"/>
    <w:rsid w:val="12B50375"/>
    <w:rsid w:val="12B65452"/>
    <w:rsid w:val="12B6E860"/>
    <w:rsid w:val="12BA5D16"/>
    <w:rsid w:val="12BBF032"/>
    <w:rsid w:val="12C2E546"/>
    <w:rsid w:val="12C48524"/>
    <w:rsid w:val="12D058CD"/>
    <w:rsid w:val="12D2B4E3"/>
    <w:rsid w:val="12D424E4"/>
    <w:rsid w:val="12D87FA1"/>
    <w:rsid w:val="12D8EF9C"/>
    <w:rsid w:val="12DB5A2E"/>
    <w:rsid w:val="12DCC52D"/>
    <w:rsid w:val="12E31CDA"/>
    <w:rsid w:val="12E6E943"/>
    <w:rsid w:val="12EF70DD"/>
    <w:rsid w:val="12EFD199"/>
    <w:rsid w:val="12F38C5E"/>
    <w:rsid w:val="12F5278D"/>
    <w:rsid w:val="13001B31"/>
    <w:rsid w:val="130202D0"/>
    <w:rsid w:val="13038ECF"/>
    <w:rsid w:val="130ECEF3"/>
    <w:rsid w:val="13105956"/>
    <w:rsid w:val="1311C9D1"/>
    <w:rsid w:val="1311FB4D"/>
    <w:rsid w:val="13120DC7"/>
    <w:rsid w:val="13138080"/>
    <w:rsid w:val="13297D67"/>
    <w:rsid w:val="132DB91A"/>
    <w:rsid w:val="132E9571"/>
    <w:rsid w:val="133658A7"/>
    <w:rsid w:val="134D50A0"/>
    <w:rsid w:val="134F225D"/>
    <w:rsid w:val="13508E07"/>
    <w:rsid w:val="135D24B3"/>
    <w:rsid w:val="135EA3D5"/>
    <w:rsid w:val="136071D7"/>
    <w:rsid w:val="1363541E"/>
    <w:rsid w:val="1363D51B"/>
    <w:rsid w:val="13648458"/>
    <w:rsid w:val="1365AD55"/>
    <w:rsid w:val="1367F09D"/>
    <w:rsid w:val="136A5C17"/>
    <w:rsid w:val="13718900"/>
    <w:rsid w:val="137732C1"/>
    <w:rsid w:val="137C12EB"/>
    <w:rsid w:val="137E707C"/>
    <w:rsid w:val="137F5E37"/>
    <w:rsid w:val="13810182"/>
    <w:rsid w:val="138A22DB"/>
    <w:rsid w:val="138A93E5"/>
    <w:rsid w:val="138DE4EB"/>
    <w:rsid w:val="13917F01"/>
    <w:rsid w:val="1399D0BE"/>
    <w:rsid w:val="139EA33B"/>
    <w:rsid w:val="13A6A4E3"/>
    <w:rsid w:val="13B4F2FC"/>
    <w:rsid w:val="13BB1496"/>
    <w:rsid w:val="13BDFD22"/>
    <w:rsid w:val="13D2D417"/>
    <w:rsid w:val="13DE368C"/>
    <w:rsid w:val="13E156D5"/>
    <w:rsid w:val="13E38132"/>
    <w:rsid w:val="13E56A90"/>
    <w:rsid w:val="13E69861"/>
    <w:rsid w:val="13E80C57"/>
    <w:rsid w:val="13EEE010"/>
    <w:rsid w:val="13F11D00"/>
    <w:rsid w:val="13F1C4E2"/>
    <w:rsid w:val="13F2DF5A"/>
    <w:rsid w:val="13F7E0FA"/>
    <w:rsid w:val="13F7EF63"/>
    <w:rsid w:val="13FB9A7D"/>
    <w:rsid w:val="13FD92E8"/>
    <w:rsid w:val="14006110"/>
    <w:rsid w:val="140C261E"/>
    <w:rsid w:val="14163354"/>
    <w:rsid w:val="14184809"/>
    <w:rsid w:val="141A507B"/>
    <w:rsid w:val="141F4CD6"/>
    <w:rsid w:val="141FB78C"/>
    <w:rsid w:val="14209B4A"/>
    <w:rsid w:val="1423E72D"/>
    <w:rsid w:val="1428A6F5"/>
    <w:rsid w:val="142C8F8C"/>
    <w:rsid w:val="142E6E3E"/>
    <w:rsid w:val="142EC537"/>
    <w:rsid w:val="1438FDFD"/>
    <w:rsid w:val="143BE7B0"/>
    <w:rsid w:val="14445488"/>
    <w:rsid w:val="14452F40"/>
    <w:rsid w:val="1447984F"/>
    <w:rsid w:val="144EC225"/>
    <w:rsid w:val="1453343A"/>
    <w:rsid w:val="14536889"/>
    <w:rsid w:val="1455ABD8"/>
    <w:rsid w:val="14669FE1"/>
    <w:rsid w:val="1467581F"/>
    <w:rsid w:val="146AA180"/>
    <w:rsid w:val="146B4C99"/>
    <w:rsid w:val="146C3EC6"/>
    <w:rsid w:val="14701EF0"/>
    <w:rsid w:val="1470C0BF"/>
    <w:rsid w:val="147522A0"/>
    <w:rsid w:val="147B2110"/>
    <w:rsid w:val="147F027D"/>
    <w:rsid w:val="1480CDC2"/>
    <w:rsid w:val="1482A25D"/>
    <w:rsid w:val="1487C651"/>
    <w:rsid w:val="148EFFF7"/>
    <w:rsid w:val="1490650D"/>
    <w:rsid w:val="1490AAC7"/>
    <w:rsid w:val="1490EABA"/>
    <w:rsid w:val="14980561"/>
    <w:rsid w:val="149C8231"/>
    <w:rsid w:val="14A309F9"/>
    <w:rsid w:val="14A3E906"/>
    <w:rsid w:val="14A85E92"/>
    <w:rsid w:val="14A8F15A"/>
    <w:rsid w:val="14ABB52F"/>
    <w:rsid w:val="14ADB018"/>
    <w:rsid w:val="14C00459"/>
    <w:rsid w:val="14C07CE7"/>
    <w:rsid w:val="14C4F2A3"/>
    <w:rsid w:val="14CC0C95"/>
    <w:rsid w:val="14CF0966"/>
    <w:rsid w:val="14D28B2F"/>
    <w:rsid w:val="14D7E31C"/>
    <w:rsid w:val="14D86D90"/>
    <w:rsid w:val="14D90247"/>
    <w:rsid w:val="14D9D653"/>
    <w:rsid w:val="14E34018"/>
    <w:rsid w:val="14E3FB4A"/>
    <w:rsid w:val="14E4C17A"/>
    <w:rsid w:val="14EB47A8"/>
    <w:rsid w:val="14EFC190"/>
    <w:rsid w:val="14F46D25"/>
    <w:rsid w:val="14F5D7FA"/>
    <w:rsid w:val="14F79A4D"/>
    <w:rsid w:val="14FDFAEB"/>
    <w:rsid w:val="150117A3"/>
    <w:rsid w:val="150343D2"/>
    <w:rsid w:val="1506DCA7"/>
    <w:rsid w:val="1508A51B"/>
    <w:rsid w:val="150DFE26"/>
    <w:rsid w:val="15101DD9"/>
    <w:rsid w:val="1510BCD9"/>
    <w:rsid w:val="1512D5D1"/>
    <w:rsid w:val="151DFA47"/>
    <w:rsid w:val="1524B2A2"/>
    <w:rsid w:val="152A45C5"/>
    <w:rsid w:val="152F8080"/>
    <w:rsid w:val="153204DF"/>
    <w:rsid w:val="153A956A"/>
    <w:rsid w:val="153C092E"/>
    <w:rsid w:val="153F1A7E"/>
    <w:rsid w:val="1540F240"/>
    <w:rsid w:val="1544C14C"/>
    <w:rsid w:val="154B9272"/>
    <w:rsid w:val="154BA8CA"/>
    <w:rsid w:val="154DB052"/>
    <w:rsid w:val="154E1DF1"/>
    <w:rsid w:val="154E28EF"/>
    <w:rsid w:val="1553E53C"/>
    <w:rsid w:val="155451C2"/>
    <w:rsid w:val="1555ACFE"/>
    <w:rsid w:val="1559AE58"/>
    <w:rsid w:val="155C7A01"/>
    <w:rsid w:val="155DDD1D"/>
    <w:rsid w:val="15614113"/>
    <w:rsid w:val="15672828"/>
    <w:rsid w:val="1567844E"/>
    <w:rsid w:val="1574F244"/>
    <w:rsid w:val="1575A26C"/>
    <w:rsid w:val="1577AE51"/>
    <w:rsid w:val="1586BFA2"/>
    <w:rsid w:val="158AFE5D"/>
    <w:rsid w:val="158F055A"/>
    <w:rsid w:val="159C26C2"/>
    <w:rsid w:val="15ADA8F6"/>
    <w:rsid w:val="15B37C2F"/>
    <w:rsid w:val="15B4631C"/>
    <w:rsid w:val="15B4996D"/>
    <w:rsid w:val="15BBF79C"/>
    <w:rsid w:val="15C0BF79"/>
    <w:rsid w:val="15C8FBFF"/>
    <w:rsid w:val="15C9A459"/>
    <w:rsid w:val="15CEE081"/>
    <w:rsid w:val="15D1E82A"/>
    <w:rsid w:val="15D6F9FD"/>
    <w:rsid w:val="15DCACCA"/>
    <w:rsid w:val="15DE93F4"/>
    <w:rsid w:val="15E15B1E"/>
    <w:rsid w:val="15E41564"/>
    <w:rsid w:val="15E72F09"/>
    <w:rsid w:val="15E7D991"/>
    <w:rsid w:val="15E7E6A2"/>
    <w:rsid w:val="15E96C10"/>
    <w:rsid w:val="15EB58D0"/>
    <w:rsid w:val="15EB6252"/>
    <w:rsid w:val="15F03DDB"/>
    <w:rsid w:val="15F25F93"/>
    <w:rsid w:val="15F3D460"/>
    <w:rsid w:val="15F463DC"/>
    <w:rsid w:val="15F98E0E"/>
    <w:rsid w:val="1602D697"/>
    <w:rsid w:val="1603A0B1"/>
    <w:rsid w:val="16045D86"/>
    <w:rsid w:val="16085066"/>
    <w:rsid w:val="160BB4AB"/>
    <w:rsid w:val="160C3585"/>
    <w:rsid w:val="160E3127"/>
    <w:rsid w:val="160E3842"/>
    <w:rsid w:val="160F23A0"/>
    <w:rsid w:val="1618DA6B"/>
    <w:rsid w:val="1620F341"/>
    <w:rsid w:val="16239303"/>
    <w:rsid w:val="16276257"/>
    <w:rsid w:val="1627657E"/>
    <w:rsid w:val="162E2628"/>
    <w:rsid w:val="163264AB"/>
    <w:rsid w:val="16393F24"/>
    <w:rsid w:val="163A05D4"/>
    <w:rsid w:val="1640BAD5"/>
    <w:rsid w:val="1644C399"/>
    <w:rsid w:val="16491933"/>
    <w:rsid w:val="164BEFAD"/>
    <w:rsid w:val="1650DF04"/>
    <w:rsid w:val="1651FA56"/>
    <w:rsid w:val="1653FE70"/>
    <w:rsid w:val="16544BFB"/>
    <w:rsid w:val="165946FB"/>
    <w:rsid w:val="165CE48C"/>
    <w:rsid w:val="165D71EE"/>
    <w:rsid w:val="16640135"/>
    <w:rsid w:val="16645407"/>
    <w:rsid w:val="166594D6"/>
    <w:rsid w:val="166743F2"/>
    <w:rsid w:val="16685721"/>
    <w:rsid w:val="166F523D"/>
    <w:rsid w:val="16726C0F"/>
    <w:rsid w:val="167D3670"/>
    <w:rsid w:val="1681FFD3"/>
    <w:rsid w:val="16834D5B"/>
    <w:rsid w:val="168690BA"/>
    <w:rsid w:val="1689C0C7"/>
    <w:rsid w:val="168D966A"/>
    <w:rsid w:val="1690091D"/>
    <w:rsid w:val="169364F2"/>
    <w:rsid w:val="1695AED4"/>
    <w:rsid w:val="169DEC1A"/>
    <w:rsid w:val="169F4416"/>
    <w:rsid w:val="16A847E8"/>
    <w:rsid w:val="16B0C7CC"/>
    <w:rsid w:val="16B0FAF4"/>
    <w:rsid w:val="16B3246A"/>
    <w:rsid w:val="16BAFA3A"/>
    <w:rsid w:val="16BB1467"/>
    <w:rsid w:val="16BD9C70"/>
    <w:rsid w:val="16BEA4FF"/>
    <w:rsid w:val="16C0F2A7"/>
    <w:rsid w:val="16C9D88A"/>
    <w:rsid w:val="16CAAB04"/>
    <w:rsid w:val="16D059AB"/>
    <w:rsid w:val="16D12B5E"/>
    <w:rsid w:val="16D2796E"/>
    <w:rsid w:val="16D4F958"/>
    <w:rsid w:val="16E2BC34"/>
    <w:rsid w:val="16E6B323"/>
    <w:rsid w:val="16E98A37"/>
    <w:rsid w:val="16EF8262"/>
    <w:rsid w:val="16F66658"/>
    <w:rsid w:val="1702F305"/>
    <w:rsid w:val="170795B6"/>
    <w:rsid w:val="17130A96"/>
    <w:rsid w:val="17149972"/>
    <w:rsid w:val="171993A5"/>
    <w:rsid w:val="171E3DCF"/>
    <w:rsid w:val="17222452"/>
    <w:rsid w:val="172307C2"/>
    <w:rsid w:val="1726F993"/>
    <w:rsid w:val="1727EF00"/>
    <w:rsid w:val="172835FB"/>
    <w:rsid w:val="172B3307"/>
    <w:rsid w:val="172CAD7A"/>
    <w:rsid w:val="172DDB4A"/>
    <w:rsid w:val="172F7AB3"/>
    <w:rsid w:val="1736E58A"/>
    <w:rsid w:val="1749D120"/>
    <w:rsid w:val="1751D56A"/>
    <w:rsid w:val="17528E98"/>
    <w:rsid w:val="17537301"/>
    <w:rsid w:val="175F0E09"/>
    <w:rsid w:val="176542BD"/>
    <w:rsid w:val="1777064B"/>
    <w:rsid w:val="177ACBB0"/>
    <w:rsid w:val="177F7087"/>
    <w:rsid w:val="17835D1D"/>
    <w:rsid w:val="17845329"/>
    <w:rsid w:val="1786ABD1"/>
    <w:rsid w:val="1787C774"/>
    <w:rsid w:val="178FF555"/>
    <w:rsid w:val="1791B8A7"/>
    <w:rsid w:val="1793DD88"/>
    <w:rsid w:val="179811C4"/>
    <w:rsid w:val="17A2ACFA"/>
    <w:rsid w:val="17AA6415"/>
    <w:rsid w:val="17AC6005"/>
    <w:rsid w:val="17B0CAD5"/>
    <w:rsid w:val="17BB4C95"/>
    <w:rsid w:val="17BC72A4"/>
    <w:rsid w:val="17BFC10C"/>
    <w:rsid w:val="17C0EF89"/>
    <w:rsid w:val="17C34AAE"/>
    <w:rsid w:val="17C96623"/>
    <w:rsid w:val="17CB2691"/>
    <w:rsid w:val="17CDA8E1"/>
    <w:rsid w:val="17CEE177"/>
    <w:rsid w:val="17CFAD0E"/>
    <w:rsid w:val="17D25DE6"/>
    <w:rsid w:val="17D906C8"/>
    <w:rsid w:val="17D958EA"/>
    <w:rsid w:val="17E44E0D"/>
    <w:rsid w:val="17E4AB13"/>
    <w:rsid w:val="17E9A0DD"/>
    <w:rsid w:val="17E9D424"/>
    <w:rsid w:val="17EA935C"/>
    <w:rsid w:val="17EAD1CB"/>
    <w:rsid w:val="17EC3CE1"/>
    <w:rsid w:val="17EDF191"/>
    <w:rsid w:val="17F0A55D"/>
    <w:rsid w:val="17F61D7E"/>
    <w:rsid w:val="17F75303"/>
    <w:rsid w:val="180586A3"/>
    <w:rsid w:val="18071B85"/>
    <w:rsid w:val="180A38AD"/>
    <w:rsid w:val="1814EB9E"/>
    <w:rsid w:val="18158052"/>
    <w:rsid w:val="181C4F7A"/>
    <w:rsid w:val="18225F41"/>
    <w:rsid w:val="18230449"/>
    <w:rsid w:val="1829EB6B"/>
    <w:rsid w:val="182B4309"/>
    <w:rsid w:val="182B7941"/>
    <w:rsid w:val="1830D832"/>
    <w:rsid w:val="18325977"/>
    <w:rsid w:val="18327D38"/>
    <w:rsid w:val="18330B8B"/>
    <w:rsid w:val="18367FA5"/>
    <w:rsid w:val="1838B865"/>
    <w:rsid w:val="183E2D2E"/>
    <w:rsid w:val="18441A50"/>
    <w:rsid w:val="1845D366"/>
    <w:rsid w:val="1855B355"/>
    <w:rsid w:val="185759DF"/>
    <w:rsid w:val="18577A73"/>
    <w:rsid w:val="185EDE24"/>
    <w:rsid w:val="1862AC89"/>
    <w:rsid w:val="18643689"/>
    <w:rsid w:val="18684034"/>
    <w:rsid w:val="186D2CEE"/>
    <w:rsid w:val="1870988C"/>
    <w:rsid w:val="187C798E"/>
    <w:rsid w:val="187DEC89"/>
    <w:rsid w:val="187E9004"/>
    <w:rsid w:val="1887A2CD"/>
    <w:rsid w:val="1888A1C4"/>
    <w:rsid w:val="188B52C3"/>
    <w:rsid w:val="188F0B5F"/>
    <w:rsid w:val="189442E0"/>
    <w:rsid w:val="189DF42A"/>
    <w:rsid w:val="189F9790"/>
    <w:rsid w:val="18A0ECBF"/>
    <w:rsid w:val="18A2A78A"/>
    <w:rsid w:val="18A3235B"/>
    <w:rsid w:val="18A511BE"/>
    <w:rsid w:val="18A593BB"/>
    <w:rsid w:val="18A79A95"/>
    <w:rsid w:val="18B35D04"/>
    <w:rsid w:val="18B4A753"/>
    <w:rsid w:val="18B5EF32"/>
    <w:rsid w:val="18BCB277"/>
    <w:rsid w:val="18BEE29E"/>
    <w:rsid w:val="18C0481C"/>
    <w:rsid w:val="18CD108A"/>
    <w:rsid w:val="18D8658D"/>
    <w:rsid w:val="18DB9DB3"/>
    <w:rsid w:val="18E16AE6"/>
    <w:rsid w:val="18E6EA89"/>
    <w:rsid w:val="18E7107F"/>
    <w:rsid w:val="18E8F066"/>
    <w:rsid w:val="18ECF8E5"/>
    <w:rsid w:val="18EE6EBE"/>
    <w:rsid w:val="18EF3F9A"/>
    <w:rsid w:val="18F5359C"/>
    <w:rsid w:val="18F6BEA6"/>
    <w:rsid w:val="18F71029"/>
    <w:rsid w:val="18F960D1"/>
    <w:rsid w:val="19045C7E"/>
    <w:rsid w:val="190560C7"/>
    <w:rsid w:val="1907758E"/>
    <w:rsid w:val="190DC391"/>
    <w:rsid w:val="1911173A"/>
    <w:rsid w:val="191320B4"/>
    <w:rsid w:val="1916DDDE"/>
    <w:rsid w:val="191A03AF"/>
    <w:rsid w:val="191B0233"/>
    <w:rsid w:val="191C5F7C"/>
    <w:rsid w:val="191E72BB"/>
    <w:rsid w:val="1921C460"/>
    <w:rsid w:val="1923CF75"/>
    <w:rsid w:val="192A4EAD"/>
    <w:rsid w:val="192DE160"/>
    <w:rsid w:val="19323665"/>
    <w:rsid w:val="19396BF6"/>
    <w:rsid w:val="19400968"/>
    <w:rsid w:val="19400F03"/>
    <w:rsid w:val="19414E09"/>
    <w:rsid w:val="1942074E"/>
    <w:rsid w:val="19458044"/>
    <w:rsid w:val="194709B2"/>
    <w:rsid w:val="194D0C0E"/>
    <w:rsid w:val="19504B32"/>
    <w:rsid w:val="1956A9EF"/>
    <w:rsid w:val="195D6CF0"/>
    <w:rsid w:val="1964C497"/>
    <w:rsid w:val="1968144B"/>
    <w:rsid w:val="196A84CE"/>
    <w:rsid w:val="196B58D1"/>
    <w:rsid w:val="1973B059"/>
    <w:rsid w:val="19774610"/>
    <w:rsid w:val="19788B0F"/>
    <w:rsid w:val="1978C372"/>
    <w:rsid w:val="19843303"/>
    <w:rsid w:val="198457A3"/>
    <w:rsid w:val="198D4187"/>
    <w:rsid w:val="198FE01A"/>
    <w:rsid w:val="1992F95E"/>
    <w:rsid w:val="19957B0B"/>
    <w:rsid w:val="1997EE67"/>
    <w:rsid w:val="199B9D0C"/>
    <w:rsid w:val="199C3271"/>
    <w:rsid w:val="199DCDE6"/>
    <w:rsid w:val="19A4FE44"/>
    <w:rsid w:val="19A84675"/>
    <w:rsid w:val="19A8CA43"/>
    <w:rsid w:val="19A94423"/>
    <w:rsid w:val="19AE601F"/>
    <w:rsid w:val="19AE85F4"/>
    <w:rsid w:val="19AFD7EA"/>
    <w:rsid w:val="19B0DCED"/>
    <w:rsid w:val="19B496F1"/>
    <w:rsid w:val="19B7EA02"/>
    <w:rsid w:val="19B9724C"/>
    <w:rsid w:val="19BF5C1C"/>
    <w:rsid w:val="19C2400C"/>
    <w:rsid w:val="19C55A58"/>
    <w:rsid w:val="19CE70B1"/>
    <w:rsid w:val="19DBDFB1"/>
    <w:rsid w:val="19DD14B5"/>
    <w:rsid w:val="19DDA41F"/>
    <w:rsid w:val="19DE1D89"/>
    <w:rsid w:val="19DF1D7A"/>
    <w:rsid w:val="19E0FE6A"/>
    <w:rsid w:val="19E1AE31"/>
    <w:rsid w:val="19E334C4"/>
    <w:rsid w:val="19E59CF1"/>
    <w:rsid w:val="19E74705"/>
    <w:rsid w:val="19E7A0B6"/>
    <w:rsid w:val="19EFF863"/>
    <w:rsid w:val="19F09264"/>
    <w:rsid w:val="19F3D0E5"/>
    <w:rsid w:val="19F52F06"/>
    <w:rsid w:val="19F9839D"/>
    <w:rsid w:val="1A01CA88"/>
    <w:rsid w:val="1A02EFBE"/>
    <w:rsid w:val="1A05A83F"/>
    <w:rsid w:val="1A099CB6"/>
    <w:rsid w:val="1A0DD8A3"/>
    <w:rsid w:val="1A151405"/>
    <w:rsid w:val="1A1A335E"/>
    <w:rsid w:val="1A1B9C43"/>
    <w:rsid w:val="1A246859"/>
    <w:rsid w:val="1A2684D1"/>
    <w:rsid w:val="1A26A060"/>
    <w:rsid w:val="1A27BC5E"/>
    <w:rsid w:val="1A2A7EE2"/>
    <w:rsid w:val="1A2BB625"/>
    <w:rsid w:val="1A2E262A"/>
    <w:rsid w:val="1A2EE75D"/>
    <w:rsid w:val="1A3036C8"/>
    <w:rsid w:val="1A30D443"/>
    <w:rsid w:val="1A32E2F8"/>
    <w:rsid w:val="1A3D905A"/>
    <w:rsid w:val="1A420EC5"/>
    <w:rsid w:val="1A42C7BD"/>
    <w:rsid w:val="1A44502C"/>
    <w:rsid w:val="1A454B07"/>
    <w:rsid w:val="1A46CE59"/>
    <w:rsid w:val="1A483191"/>
    <w:rsid w:val="1A49D66D"/>
    <w:rsid w:val="1A4C0579"/>
    <w:rsid w:val="1A4D2C3A"/>
    <w:rsid w:val="1A4F7641"/>
    <w:rsid w:val="1A51F30E"/>
    <w:rsid w:val="1A5420CA"/>
    <w:rsid w:val="1A54F5DE"/>
    <w:rsid w:val="1A570525"/>
    <w:rsid w:val="1A570CB5"/>
    <w:rsid w:val="1A577AD4"/>
    <w:rsid w:val="1A5B062A"/>
    <w:rsid w:val="1A61C9C1"/>
    <w:rsid w:val="1A651FF0"/>
    <w:rsid w:val="1A74415B"/>
    <w:rsid w:val="1A7BAEC3"/>
    <w:rsid w:val="1A7D452D"/>
    <w:rsid w:val="1A8F1A2F"/>
    <w:rsid w:val="1A905E20"/>
    <w:rsid w:val="1A912712"/>
    <w:rsid w:val="1A936C12"/>
    <w:rsid w:val="1A956C66"/>
    <w:rsid w:val="1A9AA4E1"/>
    <w:rsid w:val="1A9B8E19"/>
    <w:rsid w:val="1AA3570C"/>
    <w:rsid w:val="1AA46619"/>
    <w:rsid w:val="1AA47DED"/>
    <w:rsid w:val="1AA72C03"/>
    <w:rsid w:val="1AA735D6"/>
    <w:rsid w:val="1AB33C65"/>
    <w:rsid w:val="1AB5D802"/>
    <w:rsid w:val="1ABED675"/>
    <w:rsid w:val="1AC91C39"/>
    <w:rsid w:val="1ACA52E1"/>
    <w:rsid w:val="1ACC476C"/>
    <w:rsid w:val="1ACDDA7F"/>
    <w:rsid w:val="1AD2769D"/>
    <w:rsid w:val="1AD826A7"/>
    <w:rsid w:val="1ADAA998"/>
    <w:rsid w:val="1ADAF670"/>
    <w:rsid w:val="1ADC9CBA"/>
    <w:rsid w:val="1ADCF0AE"/>
    <w:rsid w:val="1ADF8D05"/>
    <w:rsid w:val="1AE3C227"/>
    <w:rsid w:val="1AE441B1"/>
    <w:rsid w:val="1AE5ADCB"/>
    <w:rsid w:val="1AEC91E8"/>
    <w:rsid w:val="1AF14E54"/>
    <w:rsid w:val="1AF27D3C"/>
    <w:rsid w:val="1B006633"/>
    <w:rsid w:val="1B061517"/>
    <w:rsid w:val="1B061F0F"/>
    <w:rsid w:val="1B0EAE59"/>
    <w:rsid w:val="1B14F673"/>
    <w:rsid w:val="1B1C38A4"/>
    <w:rsid w:val="1B1C5A67"/>
    <w:rsid w:val="1B1D2596"/>
    <w:rsid w:val="1B21839B"/>
    <w:rsid w:val="1B260B32"/>
    <w:rsid w:val="1B2A7C6C"/>
    <w:rsid w:val="1B2CE080"/>
    <w:rsid w:val="1B306958"/>
    <w:rsid w:val="1B3A719F"/>
    <w:rsid w:val="1B3B5A6D"/>
    <w:rsid w:val="1B3D18BB"/>
    <w:rsid w:val="1B3FD70F"/>
    <w:rsid w:val="1B41BE5D"/>
    <w:rsid w:val="1B42729B"/>
    <w:rsid w:val="1B46BB9F"/>
    <w:rsid w:val="1B473F92"/>
    <w:rsid w:val="1B485784"/>
    <w:rsid w:val="1B4A4596"/>
    <w:rsid w:val="1B4CD3C3"/>
    <w:rsid w:val="1B565732"/>
    <w:rsid w:val="1B585FD0"/>
    <w:rsid w:val="1B5B1028"/>
    <w:rsid w:val="1B5BF2EE"/>
    <w:rsid w:val="1B5C158A"/>
    <w:rsid w:val="1B5CC7F4"/>
    <w:rsid w:val="1B5EDBBA"/>
    <w:rsid w:val="1B631440"/>
    <w:rsid w:val="1B65069B"/>
    <w:rsid w:val="1B6C8705"/>
    <w:rsid w:val="1B6CEDB7"/>
    <w:rsid w:val="1B705A04"/>
    <w:rsid w:val="1B730BF8"/>
    <w:rsid w:val="1B7378E8"/>
    <w:rsid w:val="1B76CF97"/>
    <w:rsid w:val="1B781C75"/>
    <w:rsid w:val="1B79972C"/>
    <w:rsid w:val="1B7EA8A0"/>
    <w:rsid w:val="1B8B6BFF"/>
    <w:rsid w:val="1B8CBA1F"/>
    <w:rsid w:val="1B8D343B"/>
    <w:rsid w:val="1B8E0503"/>
    <w:rsid w:val="1B950F14"/>
    <w:rsid w:val="1B98597C"/>
    <w:rsid w:val="1B9B6869"/>
    <w:rsid w:val="1B9E77DA"/>
    <w:rsid w:val="1BA0AFD7"/>
    <w:rsid w:val="1BA35AF4"/>
    <w:rsid w:val="1BA4FAB6"/>
    <w:rsid w:val="1BA71A29"/>
    <w:rsid w:val="1BA8F72F"/>
    <w:rsid w:val="1BAA3207"/>
    <w:rsid w:val="1BAC7047"/>
    <w:rsid w:val="1BB02489"/>
    <w:rsid w:val="1BB7F8DA"/>
    <w:rsid w:val="1BBF40FB"/>
    <w:rsid w:val="1BCEE26E"/>
    <w:rsid w:val="1BD04070"/>
    <w:rsid w:val="1BD498A7"/>
    <w:rsid w:val="1BDBF1A7"/>
    <w:rsid w:val="1BE6F398"/>
    <w:rsid w:val="1BEA849B"/>
    <w:rsid w:val="1BEDA3D0"/>
    <w:rsid w:val="1BF3AF29"/>
    <w:rsid w:val="1BF4C9DC"/>
    <w:rsid w:val="1BF622BB"/>
    <w:rsid w:val="1BF9F28F"/>
    <w:rsid w:val="1BFAB558"/>
    <w:rsid w:val="1C011A04"/>
    <w:rsid w:val="1C048DA6"/>
    <w:rsid w:val="1C072C68"/>
    <w:rsid w:val="1C092B19"/>
    <w:rsid w:val="1C097D9E"/>
    <w:rsid w:val="1C0DD2FC"/>
    <w:rsid w:val="1C15554F"/>
    <w:rsid w:val="1C158622"/>
    <w:rsid w:val="1C1659A8"/>
    <w:rsid w:val="1C1818D4"/>
    <w:rsid w:val="1C21DD43"/>
    <w:rsid w:val="1C242905"/>
    <w:rsid w:val="1C2E646A"/>
    <w:rsid w:val="1C2ED0CC"/>
    <w:rsid w:val="1C358534"/>
    <w:rsid w:val="1C361C64"/>
    <w:rsid w:val="1C396851"/>
    <w:rsid w:val="1C39F236"/>
    <w:rsid w:val="1C3C97FC"/>
    <w:rsid w:val="1C3F276D"/>
    <w:rsid w:val="1C4632F3"/>
    <w:rsid w:val="1C4E7F28"/>
    <w:rsid w:val="1C4EECA8"/>
    <w:rsid w:val="1C50AD60"/>
    <w:rsid w:val="1C51C1B3"/>
    <w:rsid w:val="1C57E3D0"/>
    <w:rsid w:val="1C64AFC1"/>
    <w:rsid w:val="1C65AF93"/>
    <w:rsid w:val="1C65DF22"/>
    <w:rsid w:val="1C6AC17B"/>
    <w:rsid w:val="1C6D9CA1"/>
    <w:rsid w:val="1C736A93"/>
    <w:rsid w:val="1C797E86"/>
    <w:rsid w:val="1C7A2428"/>
    <w:rsid w:val="1C805563"/>
    <w:rsid w:val="1C901E18"/>
    <w:rsid w:val="1C98AB80"/>
    <w:rsid w:val="1C9C372F"/>
    <w:rsid w:val="1CA1FA64"/>
    <w:rsid w:val="1CA36E99"/>
    <w:rsid w:val="1CA8BDA0"/>
    <w:rsid w:val="1CA9F77D"/>
    <w:rsid w:val="1CAD3BEF"/>
    <w:rsid w:val="1CAF5B42"/>
    <w:rsid w:val="1CAFCD86"/>
    <w:rsid w:val="1CB32F45"/>
    <w:rsid w:val="1CB65151"/>
    <w:rsid w:val="1CB6DCAD"/>
    <w:rsid w:val="1CB9612F"/>
    <w:rsid w:val="1CB9BDA9"/>
    <w:rsid w:val="1CBB9123"/>
    <w:rsid w:val="1CC2A317"/>
    <w:rsid w:val="1CC64BE4"/>
    <w:rsid w:val="1CD07748"/>
    <w:rsid w:val="1CD0AD01"/>
    <w:rsid w:val="1CD376A8"/>
    <w:rsid w:val="1CD5311D"/>
    <w:rsid w:val="1CE4B8A8"/>
    <w:rsid w:val="1CE77A4A"/>
    <w:rsid w:val="1CE8F376"/>
    <w:rsid w:val="1CE99E79"/>
    <w:rsid w:val="1CE9BBEC"/>
    <w:rsid w:val="1CED1AEE"/>
    <w:rsid w:val="1CEF9B90"/>
    <w:rsid w:val="1CF2D00F"/>
    <w:rsid w:val="1CF453CE"/>
    <w:rsid w:val="1CF50CCC"/>
    <w:rsid w:val="1CF98568"/>
    <w:rsid w:val="1CFE1811"/>
    <w:rsid w:val="1CFE1AD2"/>
    <w:rsid w:val="1D0A8946"/>
    <w:rsid w:val="1D0A8A22"/>
    <w:rsid w:val="1D0BC918"/>
    <w:rsid w:val="1D0DE108"/>
    <w:rsid w:val="1D184A60"/>
    <w:rsid w:val="1D1CD74B"/>
    <w:rsid w:val="1D25E0FC"/>
    <w:rsid w:val="1D26401C"/>
    <w:rsid w:val="1D27FB1F"/>
    <w:rsid w:val="1D296B4B"/>
    <w:rsid w:val="1D30317D"/>
    <w:rsid w:val="1D313EB3"/>
    <w:rsid w:val="1D321D9E"/>
    <w:rsid w:val="1D401F0C"/>
    <w:rsid w:val="1D46F0BD"/>
    <w:rsid w:val="1D473812"/>
    <w:rsid w:val="1D4A99FD"/>
    <w:rsid w:val="1D4F19BD"/>
    <w:rsid w:val="1D55EBA5"/>
    <w:rsid w:val="1D590322"/>
    <w:rsid w:val="1D5C25DD"/>
    <w:rsid w:val="1D633F34"/>
    <w:rsid w:val="1D634B01"/>
    <w:rsid w:val="1D644579"/>
    <w:rsid w:val="1D67D733"/>
    <w:rsid w:val="1D69FF8B"/>
    <w:rsid w:val="1D6E92BD"/>
    <w:rsid w:val="1D7EB87C"/>
    <w:rsid w:val="1D7EC86F"/>
    <w:rsid w:val="1D809E18"/>
    <w:rsid w:val="1D8211D9"/>
    <w:rsid w:val="1D87F1AF"/>
    <w:rsid w:val="1D8B0611"/>
    <w:rsid w:val="1D8D4B48"/>
    <w:rsid w:val="1D8E6618"/>
    <w:rsid w:val="1D9BC307"/>
    <w:rsid w:val="1DA5B567"/>
    <w:rsid w:val="1DB1ED13"/>
    <w:rsid w:val="1DB22962"/>
    <w:rsid w:val="1DB7FF40"/>
    <w:rsid w:val="1DBCB2A3"/>
    <w:rsid w:val="1DC195D9"/>
    <w:rsid w:val="1DC1E8A4"/>
    <w:rsid w:val="1DC8946D"/>
    <w:rsid w:val="1DC94B9F"/>
    <w:rsid w:val="1DCEF1A0"/>
    <w:rsid w:val="1DDA0A7C"/>
    <w:rsid w:val="1DDC1C1E"/>
    <w:rsid w:val="1DDF38F0"/>
    <w:rsid w:val="1DE309D6"/>
    <w:rsid w:val="1DE3CB8E"/>
    <w:rsid w:val="1DE79CC7"/>
    <w:rsid w:val="1DECB83A"/>
    <w:rsid w:val="1DF7CB02"/>
    <w:rsid w:val="1DFD434D"/>
    <w:rsid w:val="1E026A35"/>
    <w:rsid w:val="1E131E2A"/>
    <w:rsid w:val="1E1E1EF6"/>
    <w:rsid w:val="1E1EDF9D"/>
    <w:rsid w:val="1E255839"/>
    <w:rsid w:val="1E25B44F"/>
    <w:rsid w:val="1E2C1329"/>
    <w:rsid w:val="1E31992E"/>
    <w:rsid w:val="1E31BF6F"/>
    <w:rsid w:val="1E33D56A"/>
    <w:rsid w:val="1E39CDB6"/>
    <w:rsid w:val="1E3E3E2C"/>
    <w:rsid w:val="1E40DD4F"/>
    <w:rsid w:val="1E41846C"/>
    <w:rsid w:val="1E492B47"/>
    <w:rsid w:val="1E4B4AD1"/>
    <w:rsid w:val="1E4E7AC8"/>
    <w:rsid w:val="1E5591A8"/>
    <w:rsid w:val="1E5619AA"/>
    <w:rsid w:val="1E5675A2"/>
    <w:rsid w:val="1E5D865C"/>
    <w:rsid w:val="1E5F8D68"/>
    <w:rsid w:val="1E61E46D"/>
    <w:rsid w:val="1E621B57"/>
    <w:rsid w:val="1E6DD873"/>
    <w:rsid w:val="1E6FB74A"/>
    <w:rsid w:val="1E70C0BB"/>
    <w:rsid w:val="1E7309AB"/>
    <w:rsid w:val="1E74DE5F"/>
    <w:rsid w:val="1E7BFE60"/>
    <w:rsid w:val="1E7F9E8E"/>
    <w:rsid w:val="1E81A2CD"/>
    <w:rsid w:val="1E84F6E9"/>
    <w:rsid w:val="1E8B37D3"/>
    <w:rsid w:val="1E9EBF10"/>
    <w:rsid w:val="1EA6A3E1"/>
    <w:rsid w:val="1EAB1945"/>
    <w:rsid w:val="1EAD6054"/>
    <w:rsid w:val="1EAEA6CF"/>
    <w:rsid w:val="1EB866BC"/>
    <w:rsid w:val="1EBE3F4C"/>
    <w:rsid w:val="1EC26EA0"/>
    <w:rsid w:val="1EC2FA88"/>
    <w:rsid w:val="1EC73240"/>
    <w:rsid w:val="1EC8CD5F"/>
    <w:rsid w:val="1ED50904"/>
    <w:rsid w:val="1EDE6C6A"/>
    <w:rsid w:val="1EE0A31A"/>
    <w:rsid w:val="1EE24700"/>
    <w:rsid w:val="1EE2A6EF"/>
    <w:rsid w:val="1EE3C96E"/>
    <w:rsid w:val="1EE6BAFB"/>
    <w:rsid w:val="1EE7A5E3"/>
    <w:rsid w:val="1EE7DFD0"/>
    <w:rsid w:val="1EEA399E"/>
    <w:rsid w:val="1EF14D39"/>
    <w:rsid w:val="1EF28633"/>
    <w:rsid w:val="1EF4CC86"/>
    <w:rsid w:val="1EF86827"/>
    <w:rsid w:val="1EF917DF"/>
    <w:rsid w:val="1F02ABBD"/>
    <w:rsid w:val="1F043128"/>
    <w:rsid w:val="1F08EFAE"/>
    <w:rsid w:val="1F093B4B"/>
    <w:rsid w:val="1F0E2D52"/>
    <w:rsid w:val="1F0E3D5A"/>
    <w:rsid w:val="1F0EFF0C"/>
    <w:rsid w:val="1F1080CE"/>
    <w:rsid w:val="1F12E116"/>
    <w:rsid w:val="1F14BA08"/>
    <w:rsid w:val="1F17FD01"/>
    <w:rsid w:val="1F1A2FA6"/>
    <w:rsid w:val="1F1AAA6F"/>
    <w:rsid w:val="1F1DB9B3"/>
    <w:rsid w:val="1F1FC64D"/>
    <w:rsid w:val="1F2FA6EF"/>
    <w:rsid w:val="1F3094E2"/>
    <w:rsid w:val="1F378381"/>
    <w:rsid w:val="1F3A0D64"/>
    <w:rsid w:val="1F3A733D"/>
    <w:rsid w:val="1F3C5906"/>
    <w:rsid w:val="1F3DBE60"/>
    <w:rsid w:val="1F402BAC"/>
    <w:rsid w:val="1F44FA65"/>
    <w:rsid w:val="1F48195D"/>
    <w:rsid w:val="1F4A1B01"/>
    <w:rsid w:val="1F52096E"/>
    <w:rsid w:val="1F5AFA85"/>
    <w:rsid w:val="1F5B31EE"/>
    <w:rsid w:val="1F5C49D1"/>
    <w:rsid w:val="1F663BA7"/>
    <w:rsid w:val="1F68E08D"/>
    <w:rsid w:val="1F6A02AD"/>
    <w:rsid w:val="1F6B9AF0"/>
    <w:rsid w:val="1F764ED8"/>
    <w:rsid w:val="1F77B908"/>
    <w:rsid w:val="1F784E65"/>
    <w:rsid w:val="1F798CE3"/>
    <w:rsid w:val="1F7FFD58"/>
    <w:rsid w:val="1F802888"/>
    <w:rsid w:val="1F859ED5"/>
    <w:rsid w:val="1F8B94F8"/>
    <w:rsid w:val="1F8B955B"/>
    <w:rsid w:val="1F8DC353"/>
    <w:rsid w:val="1F929DC5"/>
    <w:rsid w:val="1F98C28B"/>
    <w:rsid w:val="1F9953AD"/>
    <w:rsid w:val="1F9A056D"/>
    <w:rsid w:val="1F9A95F7"/>
    <w:rsid w:val="1FA66E99"/>
    <w:rsid w:val="1FA8C55B"/>
    <w:rsid w:val="1FABC955"/>
    <w:rsid w:val="1FB17C17"/>
    <w:rsid w:val="1FB1EDA4"/>
    <w:rsid w:val="1FC3AE05"/>
    <w:rsid w:val="1FC7F861"/>
    <w:rsid w:val="1FC8BF54"/>
    <w:rsid w:val="1FC9006F"/>
    <w:rsid w:val="1FCA25A3"/>
    <w:rsid w:val="1FCA3946"/>
    <w:rsid w:val="1FCF9D3E"/>
    <w:rsid w:val="1FD5D020"/>
    <w:rsid w:val="1FD7827F"/>
    <w:rsid w:val="1FDAE241"/>
    <w:rsid w:val="1FDC7300"/>
    <w:rsid w:val="1FE07EA9"/>
    <w:rsid w:val="1FE5789E"/>
    <w:rsid w:val="1FE64B4E"/>
    <w:rsid w:val="1FE70016"/>
    <w:rsid w:val="1FE7C081"/>
    <w:rsid w:val="1FEEADA0"/>
    <w:rsid w:val="1FEF7EBD"/>
    <w:rsid w:val="1FEF9FC9"/>
    <w:rsid w:val="1FEFCB8A"/>
    <w:rsid w:val="1FEFD4C9"/>
    <w:rsid w:val="1FF396C2"/>
    <w:rsid w:val="200423D0"/>
    <w:rsid w:val="2004CFCC"/>
    <w:rsid w:val="2007FBD2"/>
    <w:rsid w:val="200A894D"/>
    <w:rsid w:val="20172BFE"/>
    <w:rsid w:val="2019623E"/>
    <w:rsid w:val="201A1EB3"/>
    <w:rsid w:val="201B31C9"/>
    <w:rsid w:val="201E1FF8"/>
    <w:rsid w:val="202028C9"/>
    <w:rsid w:val="202160F8"/>
    <w:rsid w:val="2024B84E"/>
    <w:rsid w:val="2025781F"/>
    <w:rsid w:val="202E52E8"/>
    <w:rsid w:val="203151C0"/>
    <w:rsid w:val="2037E311"/>
    <w:rsid w:val="204193DB"/>
    <w:rsid w:val="20435395"/>
    <w:rsid w:val="20461E13"/>
    <w:rsid w:val="20490BEF"/>
    <w:rsid w:val="204BFE93"/>
    <w:rsid w:val="204CB0C7"/>
    <w:rsid w:val="2052292F"/>
    <w:rsid w:val="205F8853"/>
    <w:rsid w:val="206DEAB0"/>
    <w:rsid w:val="207286C6"/>
    <w:rsid w:val="20745579"/>
    <w:rsid w:val="207D540B"/>
    <w:rsid w:val="20816E2A"/>
    <w:rsid w:val="2081B46F"/>
    <w:rsid w:val="2099AD8D"/>
    <w:rsid w:val="209ADDE5"/>
    <w:rsid w:val="209C949C"/>
    <w:rsid w:val="20A38311"/>
    <w:rsid w:val="20AB6318"/>
    <w:rsid w:val="20B16465"/>
    <w:rsid w:val="20B80ABE"/>
    <w:rsid w:val="20C5B913"/>
    <w:rsid w:val="20C5D201"/>
    <w:rsid w:val="20C73DFC"/>
    <w:rsid w:val="20C82109"/>
    <w:rsid w:val="20DAD9EE"/>
    <w:rsid w:val="20DC07FC"/>
    <w:rsid w:val="20DC3250"/>
    <w:rsid w:val="20E0B5A2"/>
    <w:rsid w:val="20EC270C"/>
    <w:rsid w:val="20EEDA54"/>
    <w:rsid w:val="20F06A49"/>
    <w:rsid w:val="20F33C18"/>
    <w:rsid w:val="20F421C0"/>
    <w:rsid w:val="20F8DE91"/>
    <w:rsid w:val="20FE713F"/>
    <w:rsid w:val="210034DC"/>
    <w:rsid w:val="21069F0F"/>
    <w:rsid w:val="210FF08A"/>
    <w:rsid w:val="2112C91A"/>
    <w:rsid w:val="211C54E7"/>
    <w:rsid w:val="211D4C3E"/>
    <w:rsid w:val="211E4994"/>
    <w:rsid w:val="21242DDF"/>
    <w:rsid w:val="2129179A"/>
    <w:rsid w:val="2129E768"/>
    <w:rsid w:val="2137A601"/>
    <w:rsid w:val="213809D2"/>
    <w:rsid w:val="213B78BA"/>
    <w:rsid w:val="2143BCFB"/>
    <w:rsid w:val="21467F08"/>
    <w:rsid w:val="214C736C"/>
    <w:rsid w:val="214F5157"/>
    <w:rsid w:val="215208A0"/>
    <w:rsid w:val="21521476"/>
    <w:rsid w:val="215A264A"/>
    <w:rsid w:val="215BF751"/>
    <w:rsid w:val="215E2D56"/>
    <w:rsid w:val="215EA0A6"/>
    <w:rsid w:val="21661DE8"/>
    <w:rsid w:val="21665F44"/>
    <w:rsid w:val="216D7C45"/>
    <w:rsid w:val="2176FE52"/>
    <w:rsid w:val="2179A704"/>
    <w:rsid w:val="21804353"/>
    <w:rsid w:val="2182FBA5"/>
    <w:rsid w:val="21838448"/>
    <w:rsid w:val="2184D47C"/>
    <w:rsid w:val="21887873"/>
    <w:rsid w:val="218C2AF4"/>
    <w:rsid w:val="218E25DC"/>
    <w:rsid w:val="219CE504"/>
    <w:rsid w:val="21A900F8"/>
    <w:rsid w:val="21ABE0E1"/>
    <w:rsid w:val="21AE8C24"/>
    <w:rsid w:val="21B10619"/>
    <w:rsid w:val="21B58A61"/>
    <w:rsid w:val="21B71F12"/>
    <w:rsid w:val="21BAA367"/>
    <w:rsid w:val="21BF50E9"/>
    <w:rsid w:val="21C4F596"/>
    <w:rsid w:val="21C6F498"/>
    <w:rsid w:val="21CAEBFD"/>
    <w:rsid w:val="21CB7B24"/>
    <w:rsid w:val="21D84D24"/>
    <w:rsid w:val="21D9D87F"/>
    <w:rsid w:val="21DD21F4"/>
    <w:rsid w:val="21DF1B9C"/>
    <w:rsid w:val="21DF9B88"/>
    <w:rsid w:val="21E33658"/>
    <w:rsid w:val="21E6E46C"/>
    <w:rsid w:val="21E9BEB8"/>
    <w:rsid w:val="21EAC49F"/>
    <w:rsid w:val="21EADB78"/>
    <w:rsid w:val="21F1514D"/>
    <w:rsid w:val="21F7E8A8"/>
    <w:rsid w:val="21FC0C9D"/>
    <w:rsid w:val="21FCFB29"/>
    <w:rsid w:val="21FDFA7B"/>
    <w:rsid w:val="220229CD"/>
    <w:rsid w:val="220477EF"/>
    <w:rsid w:val="2204B708"/>
    <w:rsid w:val="22057069"/>
    <w:rsid w:val="22068BA6"/>
    <w:rsid w:val="2207DFAF"/>
    <w:rsid w:val="2213415F"/>
    <w:rsid w:val="22194A51"/>
    <w:rsid w:val="221C07FD"/>
    <w:rsid w:val="221CA739"/>
    <w:rsid w:val="221E869C"/>
    <w:rsid w:val="2228737B"/>
    <w:rsid w:val="22293A22"/>
    <w:rsid w:val="222CC3F3"/>
    <w:rsid w:val="222D36DD"/>
    <w:rsid w:val="222D855A"/>
    <w:rsid w:val="22322E1D"/>
    <w:rsid w:val="2232B05B"/>
    <w:rsid w:val="223329F3"/>
    <w:rsid w:val="2235EB01"/>
    <w:rsid w:val="22376D1D"/>
    <w:rsid w:val="223919C0"/>
    <w:rsid w:val="2239400A"/>
    <w:rsid w:val="223CA24A"/>
    <w:rsid w:val="223F2425"/>
    <w:rsid w:val="2253019B"/>
    <w:rsid w:val="22540A66"/>
    <w:rsid w:val="2255CFCC"/>
    <w:rsid w:val="225640EE"/>
    <w:rsid w:val="22650466"/>
    <w:rsid w:val="2265610D"/>
    <w:rsid w:val="22690C06"/>
    <w:rsid w:val="2269ABAB"/>
    <w:rsid w:val="226A1CDB"/>
    <w:rsid w:val="226EAC7F"/>
    <w:rsid w:val="2273ED19"/>
    <w:rsid w:val="2279F418"/>
    <w:rsid w:val="227CF8AB"/>
    <w:rsid w:val="227E97D5"/>
    <w:rsid w:val="227F5F9A"/>
    <w:rsid w:val="2283C686"/>
    <w:rsid w:val="22843556"/>
    <w:rsid w:val="22861B4E"/>
    <w:rsid w:val="2289B7B2"/>
    <w:rsid w:val="229AE076"/>
    <w:rsid w:val="229D936D"/>
    <w:rsid w:val="229E419D"/>
    <w:rsid w:val="22A2D719"/>
    <w:rsid w:val="22A4AB1F"/>
    <w:rsid w:val="22AA0A56"/>
    <w:rsid w:val="22ADE1C6"/>
    <w:rsid w:val="22B06793"/>
    <w:rsid w:val="22B2C99F"/>
    <w:rsid w:val="22B9ED28"/>
    <w:rsid w:val="22BDB01D"/>
    <w:rsid w:val="22C0F633"/>
    <w:rsid w:val="22C1EEE5"/>
    <w:rsid w:val="22C70C5E"/>
    <w:rsid w:val="22C9578D"/>
    <w:rsid w:val="22CB4047"/>
    <w:rsid w:val="22CC2818"/>
    <w:rsid w:val="22D105BE"/>
    <w:rsid w:val="22D712BD"/>
    <w:rsid w:val="22DF0CEC"/>
    <w:rsid w:val="22E537E4"/>
    <w:rsid w:val="22E58EF6"/>
    <w:rsid w:val="22E5B853"/>
    <w:rsid w:val="22E6D5AC"/>
    <w:rsid w:val="22E7F7F8"/>
    <w:rsid w:val="22E883B9"/>
    <w:rsid w:val="22EB949F"/>
    <w:rsid w:val="22EBAE0D"/>
    <w:rsid w:val="22EC291C"/>
    <w:rsid w:val="22F305D7"/>
    <w:rsid w:val="22F313C4"/>
    <w:rsid w:val="22FA595B"/>
    <w:rsid w:val="23014132"/>
    <w:rsid w:val="23031A96"/>
    <w:rsid w:val="2319501A"/>
    <w:rsid w:val="2319D26F"/>
    <w:rsid w:val="231F1DA2"/>
    <w:rsid w:val="231F6143"/>
    <w:rsid w:val="2325F7FC"/>
    <w:rsid w:val="232892ED"/>
    <w:rsid w:val="232C332A"/>
    <w:rsid w:val="232DC79E"/>
    <w:rsid w:val="23346D15"/>
    <w:rsid w:val="23355818"/>
    <w:rsid w:val="2338C0F6"/>
    <w:rsid w:val="233C2DB2"/>
    <w:rsid w:val="233C35D6"/>
    <w:rsid w:val="23444D0E"/>
    <w:rsid w:val="23449EC5"/>
    <w:rsid w:val="2344FBDF"/>
    <w:rsid w:val="2346492F"/>
    <w:rsid w:val="23466134"/>
    <w:rsid w:val="2346D140"/>
    <w:rsid w:val="23471838"/>
    <w:rsid w:val="23493B27"/>
    <w:rsid w:val="234ED151"/>
    <w:rsid w:val="234FA315"/>
    <w:rsid w:val="23515470"/>
    <w:rsid w:val="23519903"/>
    <w:rsid w:val="235AC1FC"/>
    <w:rsid w:val="235BBC57"/>
    <w:rsid w:val="235CF3FA"/>
    <w:rsid w:val="235DFBB2"/>
    <w:rsid w:val="235F09FA"/>
    <w:rsid w:val="235F67FB"/>
    <w:rsid w:val="23634883"/>
    <w:rsid w:val="23688807"/>
    <w:rsid w:val="236A3613"/>
    <w:rsid w:val="236AF080"/>
    <w:rsid w:val="23726F1B"/>
    <w:rsid w:val="2383F68E"/>
    <w:rsid w:val="23863840"/>
    <w:rsid w:val="238CA991"/>
    <w:rsid w:val="238D3ED7"/>
    <w:rsid w:val="23948670"/>
    <w:rsid w:val="2395ABC2"/>
    <w:rsid w:val="23A2E4BB"/>
    <w:rsid w:val="23A4B495"/>
    <w:rsid w:val="23A6858C"/>
    <w:rsid w:val="23A9D715"/>
    <w:rsid w:val="23AE4FA2"/>
    <w:rsid w:val="23B09CC4"/>
    <w:rsid w:val="23B6E2B6"/>
    <w:rsid w:val="23BABC3A"/>
    <w:rsid w:val="23BF2817"/>
    <w:rsid w:val="23CB913E"/>
    <w:rsid w:val="23CCF42F"/>
    <w:rsid w:val="23D38167"/>
    <w:rsid w:val="23D6E340"/>
    <w:rsid w:val="23D73DFB"/>
    <w:rsid w:val="23D98B52"/>
    <w:rsid w:val="23D9B423"/>
    <w:rsid w:val="23DA2A4E"/>
    <w:rsid w:val="23DB1E68"/>
    <w:rsid w:val="23DD168C"/>
    <w:rsid w:val="23E9ED4D"/>
    <w:rsid w:val="23ED88B2"/>
    <w:rsid w:val="23EE088E"/>
    <w:rsid w:val="23F408FE"/>
    <w:rsid w:val="23F41C4F"/>
    <w:rsid w:val="23F4E82D"/>
    <w:rsid w:val="23FC5C97"/>
    <w:rsid w:val="2401EA91"/>
    <w:rsid w:val="24042269"/>
    <w:rsid w:val="2405F40E"/>
    <w:rsid w:val="240C1071"/>
    <w:rsid w:val="241858B9"/>
    <w:rsid w:val="241F68B7"/>
    <w:rsid w:val="241FA914"/>
    <w:rsid w:val="2420718B"/>
    <w:rsid w:val="242959BE"/>
    <w:rsid w:val="2429B41A"/>
    <w:rsid w:val="242AB24A"/>
    <w:rsid w:val="242DF2CB"/>
    <w:rsid w:val="24301957"/>
    <w:rsid w:val="2431E572"/>
    <w:rsid w:val="24366E18"/>
    <w:rsid w:val="2439AB23"/>
    <w:rsid w:val="2447A168"/>
    <w:rsid w:val="244EE373"/>
    <w:rsid w:val="24523BF5"/>
    <w:rsid w:val="245492B4"/>
    <w:rsid w:val="24589C58"/>
    <w:rsid w:val="2458DAB8"/>
    <w:rsid w:val="2459D85F"/>
    <w:rsid w:val="245DF054"/>
    <w:rsid w:val="2467F79E"/>
    <w:rsid w:val="246BC873"/>
    <w:rsid w:val="2473E0E6"/>
    <w:rsid w:val="2477A9C6"/>
    <w:rsid w:val="247C675F"/>
    <w:rsid w:val="248315FD"/>
    <w:rsid w:val="24884A5A"/>
    <w:rsid w:val="248A151D"/>
    <w:rsid w:val="24904A4A"/>
    <w:rsid w:val="2490F4D8"/>
    <w:rsid w:val="2492946B"/>
    <w:rsid w:val="2499B5D9"/>
    <w:rsid w:val="2499E16B"/>
    <w:rsid w:val="249A87F9"/>
    <w:rsid w:val="24A0DEC3"/>
    <w:rsid w:val="24A44A69"/>
    <w:rsid w:val="24A894DC"/>
    <w:rsid w:val="24AA497F"/>
    <w:rsid w:val="24AC79EB"/>
    <w:rsid w:val="24ACCEFA"/>
    <w:rsid w:val="24B2326A"/>
    <w:rsid w:val="24B5D5AC"/>
    <w:rsid w:val="24BD0285"/>
    <w:rsid w:val="24C3FB8D"/>
    <w:rsid w:val="24C4BC52"/>
    <w:rsid w:val="24C5AD85"/>
    <w:rsid w:val="24C6C950"/>
    <w:rsid w:val="24C71892"/>
    <w:rsid w:val="24C870F2"/>
    <w:rsid w:val="24CBBB3B"/>
    <w:rsid w:val="24CC3684"/>
    <w:rsid w:val="24D5E49A"/>
    <w:rsid w:val="24D72007"/>
    <w:rsid w:val="24D9C763"/>
    <w:rsid w:val="24DB441C"/>
    <w:rsid w:val="24DB6835"/>
    <w:rsid w:val="24DDC576"/>
    <w:rsid w:val="24E09928"/>
    <w:rsid w:val="24E4C746"/>
    <w:rsid w:val="24EBD732"/>
    <w:rsid w:val="24EDEE11"/>
    <w:rsid w:val="24EE7421"/>
    <w:rsid w:val="24F93CE2"/>
    <w:rsid w:val="24FA5E7F"/>
    <w:rsid w:val="25063B5E"/>
    <w:rsid w:val="2511C98B"/>
    <w:rsid w:val="251296D5"/>
    <w:rsid w:val="2515E06A"/>
    <w:rsid w:val="2518A9D1"/>
    <w:rsid w:val="251CED5B"/>
    <w:rsid w:val="2521FBE1"/>
    <w:rsid w:val="2523D9D6"/>
    <w:rsid w:val="2525A184"/>
    <w:rsid w:val="252C2AFD"/>
    <w:rsid w:val="252C78C9"/>
    <w:rsid w:val="2534D856"/>
    <w:rsid w:val="253B532D"/>
    <w:rsid w:val="253E81AF"/>
    <w:rsid w:val="253EBC0F"/>
    <w:rsid w:val="254EA37B"/>
    <w:rsid w:val="2556E65C"/>
    <w:rsid w:val="255B5E15"/>
    <w:rsid w:val="25604D20"/>
    <w:rsid w:val="256F03B2"/>
    <w:rsid w:val="25703E0E"/>
    <w:rsid w:val="2578C3E9"/>
    <w:rsid w:val="258CC1E8"/>
    <w:rsid w:val="258CDC37"/>
    <w:rsid w:val="2596A9FC"/>
    <w:rsid w:val="25971AF4"/>
    <w:rsid w:val="259956D7"/>
    <w:rsid w:val="2599C543"/>
    <w:rsid w:val="259EFDE9"/>
    <w:rsid w:val="25A432AD"/>
    <w:rsid w:val="25A45D2C"/>
    <w:rsid w:val="25ADBE8D"/>
    <w:rsid w:val="25AEABA3"/>
    <w:rsid w:val="25B08874"/>
    <w:rsid w:val="25B20180"/>
    <w:rsid w:val="25B2B9A3"/>
    <w:rsid w:val="25B2D9F5"/>
    <w:rsid w:val="25B70FC0"/>
    <w:rsid w:val="25B83250"/>
    <w:rsid w:val="25BD114C"/>
    <w:rsid w:val="25C00BAE"/>
    <w:rsid w:val="25C035F9"/>
    <w:rsid w:val="25C369EB"/>
    <w:rsid w:val="25C6A5EE"/>
    <w:rsid w:val="25CA5FAC"/>
    <w:rsid w:val="25CE989F"/>
    <w:rsid w:val="25CF6AAA"/>
    <w:rsid w:val="25D081BB"/>
    <w:rsid w:val="25D1592F"/>
    <w:rsid w:val="25D1EC9F"/>
    <w:rsid w:val="25D37E13"/>
    <w:rsid w:val="25D80184"/>
    <w:rsid w:val="25DB1436"/>
    <w:rsid w:val="25E11830"/>
    <w:rsid w:val="25EA5A11"/>
    <w:rsid w:val="25EA8F68"/>
    <w:rsid w:val="25F025C6"/>
    <w:rsid w:val="25F55CD9"/>
    <w:rsid w:val="2600C163"/>
    <w:rsid w:val="26052355"/>
    <w:rsid w:val="260CABCE"/>
    <w:rsid w:val="26109BE8"/>
    <w:rsid w:val="26173CDD"/>
    <w:rsid w:val="26189805"/>
    <w:rsid w:val="2621006A"/>
    <w:rsid w:val="2627A3B7"/>
    <w:rsid w:val="263B60B0"/>
    <w:rsid w:val="263E9CA8"/>
    <w:rsid w:val="2651C3BC"/>
    <w:rsid w:val="2654BC89"/>
    <w:rsid w:val="2656F3A1"/>
    <w:rsid w:val="265BEDAB"/>
    <w:rsid w:val="265CB938"/>
    <w:rsid w:val="265D3843"/>
    <w:rsid w:val="265DDCB2"/>
    <w:rsid w:val="2662A50B"/>
    <w:rsid w:val="2662D580"/>
    <w:rsid w:val="2667904D"/>
    <w:rsid w:val="266CDD77"/>
    <w:rsid w:val="2670087C"/>
    <w:rsid w:val="267ED901"/>
    <w:rsid w:val="2680A68D"/>
    <w:rsid w:val="268583B8"/>
    <w:rsid w:val="2687D842"/>
    <w:rsid w:val="2692C20C"/>
    <w:rsid w:val="26936018"/>
    <w:rsid w:val="269B3516"/>
    <w:rsid w:val="269BA1D3"/>
    <w:rsid w:val="26A23E8B"/>
    <w:rsid w:val="26A26D8A"/>
    <w:rsid w:val="26A2DE6C"/>
    <w:rsid w:val="26A4EB57"/>
    <w:rsid w:val="26A8806B"/>
    <w:rsid w:val="26A8D796"/>
    <w:rsid w:val="26ADB6E8"/>
    <w:rsid w:val="26B14F02"/>
    <w:rsid w:val="26B9EBB2"/>
    <w:rsid w:val="26BB746C"/>
    <w:rsid w:val="26BCDD93"/>
    <w:rsid w:val="26BF629C"/>
    <w:rsid w:val="26C14CA6"/>
    <w:rsid w:val="26C3129E"/>
    <w:rsid w:val="26C6DD5A"/>
    <w:rsid w:val="26C6E88A"/>
    <w:rsid w:val="26CA0AB2"/>
    <w:rsid w:val="26CB7E11"/>
    <w:rsid w:val="26D02A51"/>
    <w:rsid w:val="26D6701D"/>
    <w:rsid w:val="26D6C888"/>
    <w:rsid w:val="26D9257A"/>
    <w:rsid w:val="26DB3D2E"/>
    <w:rsid w:val="26E012BE"/>
    <w:rsid w:val="26E1C714"/>
    <w:rsid w:val="26E3AAC3"/>
    <w:rsid w:val="26E70A0C"/>
    <w:rsid w:val="26E76D60"/>
    <w:rsid w:val="26EAFCCC"/>
    <w:rsid w:val="26EC0383"/>
    <w:rsid w:val="26EE2D32"/>
    <w:rsid w:val="26F6D17B"/>
    <w:rsid w:val="26FA96A4"/>
    <w:rsid w:val="26FBDD7F"/>
    <w:rsid w:val="26FF2B63"/>
    <w:rsid w:val="27027D3C"/>
    <w:rsid w:val="270BEEB5"/>
    <w:rsid w:val="271297DE"/>
    <w:rsid w:val="27131740"/>
    <w:rsid w:val="271577BF"/>
    <w:rsid w:val="2722BE02"/>
    <w:rsid w:val="2728DCE6"/>
    <w:rsid w:val="272A0001"/>
    <w:rsid w:val="273F962A"/>
    <w:rsid w:val="2740A8DB"/>
    <w:rsid w:val="27436A47"/>
    <w:rsid w:val="2743A237"/>
    <w:rsid w:val="27482C72"/>
    <w:rsid w:val="27487B3C"/>
    <w:rsid w:val="2748AF75"/>
    <w:rsid w:val="274EB454"/>
    <w:rsid w:val="274ECA35"/>
    <w:rsid w:val="27503EE4"/>
    <w:rsid w:val="2753D1C3"/>
    <w:rsid w:val="2754EC72"/>
    <w:rsid w:val="275938C5"/>
    <w:rsid w:val="27623B14"/>
    <w:rsid w:val="2769CE93"/>
    <w:rsid w:val="276B273E"/>
    <w:rsid w:val="2773F8E2"/>
    <w:rsid w:val="277AE761"/>
    <w:rsid w:val="277AF7F2"/>
    <w:rsid w:val="277B41CE"/>
    <w:rsid w:val="277D4DF0"/>
    <w:rsid w:val="27826CFA"/>
    <w:rsid w:val="27878FFF"/>
    <w:rsid w:val="278D3C0F"/>
    <w:rsid w:val="278D8863"/>
    <w:rsid w:val="2790AFF5"/>
    <w:rsid w:val="27959A17"/>
    <w:rsid w:val="2799498B"/>
    <w:rsid w:val="2799BBF4"/>
    <w:rsid w:val="279C8159"/>
    <w:rsid w:val="27A3355D"/>
    <w:rsid w:val="27A92160"/>
    <w:rsid w:val="27AD850A"/>
    <w:rsid w:val="27B83AAA"/>
    <w:rsid w:val="27BA95BA"/>
    <w:rsid w:val="27BFC1EB"/>
    <w:rsid w:val="27CA82F8"/>
    <w:rsid w:val="27CABC82"/>
    <w:rsid w:val="27D2BE16"/>
    <w:rsid w:val="27D2EC93"/>
    <w:rsid w:val="27D34C3A"/>
    <w:rsid w:val="27D91DAA"/>
    <w:rsid w:val="27DCBF42"/>
    <w:rsid w:val="27DCDCC8"/>
    <w:rsid w:val="27E1EA41"/>
    <w:rsid w:val="27E22E0C"/>
    <w:rsid w:val="27E308DA"/>
    <w:rsid w:val="27E64116"/>
    <w:rsid w:val="27EC777D"/>
    <w:rsid w:val="27ECFDBC"/>
    <w:rsid w:val="27EF1846"/>
    <w:rsid w:val="27F16CCF"/>
    <w:rsid w:val="27F185B7"/>
    <w:rsid w:val="27F27037"/>
    <w:rsid w:val="27F49303"/>
    <w:rsid w:val="28034DEF"/>
    <w:rsid w:val="28140066"/>
    <w:rsid w:val="2818D7F4"/>
    <w:rsid w:val="281F2F05"/>
    <w:rsid w:val="2823900B"/>
    <w:rsid w:val="28275A04"/>
    <w:rsid w:val="2827E36A"/>
    <w:rsid w:val="2828133E"/>
    <w:rsid w:val="2828DD50"/>
    <w:rsid w:val="282B5479"/>
    <w:rsid w:val="282BBB03"/>
    <w:rsid w:val="282E07DF"/>
    <w:rsid w:val="282E7F19"/>
    <w:rsid w:val="2832722B"/>
    <w:rsid w:val="2833017C"/>
    <w:rsid w:val="2833E91E"/>
    <w:rsid w:val="28382566"/>
    <w:rsid w:val="283CA607"/>
    <w:rsid w:val="28412BE4"/>
    <w:rsid w:val="28418A42"/>
    <w:rsid w:val="2844E0C6"/>
    <w:rsid w:val="28468272"/>
    <w:rsid w:val="2847A118"/>
    <w:rsid w:val="284AFA3C"/>
    <w:rsid w:val="284D1F9C"/>
    <w:rsid w:val="2851835A"/>
    <w:rsid w:val="28599ECB"/>
    <w:rsid w:val="285ADBA9"/>
    <w:rsid w:val="285CF6AC"/>
    <w:rsid w:val="285FB9CD"/>
    <w:rsid w:val="28687BC2"/>
    <w:rsid w:val="2869AA47"/>
    <w:rsid w:val="28881FFE"/>
    <w:rsid w:val="28897185"/>
    <w:rsid w:val="288A2F32"/>
    <w:rsid w:val="28916BFF"/>
    <w:rsid w:val="2899378F"/>
    <w:rsid w:val="289C12AF"/>
    <w:rsid w:val="28A19C6F"/>
    <w:rsid w:val="28B1FC47"/>
    <w:rsid w:val="28B575D3"/>
    <w:rsid w:val="28BBD872"/>
    <w:rsid w:val="28BE9B2F"/>
    <w:rsid w:val="28BF9DF4"/>
    <w:rsid w:val="28C02904"/>
    <w:rsid w:val="28C117F0"/>
    <w:rsid w:val="28C28D24"/>
    <w:rsid w:val="28C30EAE"/>
    <w:rsid w:val="28CA14AC"/>
    <w:rsid w:val="28D5D9EC"/>
    <w:rsid w:val="28DE3ECE"/>
    <w:rsid w:val="28E2533E"/>
    <w:rsid w:val="28E8CF91"/>
    <w:rsid w:val="28EC3A2F"/>
    <w:rsid w:val="28EF9593"/>
    <w:rsid w:val="28F37E12"/>
    <w:rsid w:val="28F69622"/>
    <w:rsid w:val="28F6BB92"/>
    <w:rsid w:val="28F95026"/>
    <w:rsid w:val="28FCBDAD"/>
    <w:rsid w:val="2901EEE3"/>
    <w:rsid w:val="29055DDB"/>
    <w:rsid w:val="29069AFC"/>
    <w:rsid w:val="29070B6C"/>
    <w:rsid w:val="290A4CF8"/>
    <w:rsid w:val="290D9ECC"/>
    <w:rsid w:val="290E58AA"/>
    <w:rsid w:val="290F0E69"/>
    <w:rsid w:val="291D2033"/>
    <w:rsid w:val="29226963"/>
    <w:rsid w:val="2925C330"/>
    <w:rsid w:val="292603C9"/>
    <w:rsid w:val="2926FD87"/>
    <w:rsid w:val="2927C688"/>
    <w:rsid w:val="292CAF93"/>
    <w:rsid w:val="292FF77B"/>
    <w:rsid w:val="2931BA7A"/>
    <w:rsid w:val="293E02A6"/>
    <w:rsid w:val="29446596"/>
    <w:rsid w:val="2945DE7A"/>
    <w:rsid w:val="2947981A"/>
    <w:rsid w:val="29482EA4"/>
    <w:rsid w:val="294D9635"/>
    <w:rsid w:val="2951324A"/>
    <w:rsid w:val="295B598B"/>
    <w:rsid w:val="295DC56F"/>
    <w:rsid w:val="295F5490"/>
    <w:rsid w:val="2960F0A1"/>
    <w:rsid w:val="2966FEC6"/>
    <w:rsid w:val="2970A8BC"/>
    <w:rsid w:val="297353FD"/>
    <w:rsid w:val="29769625"/>
    <w:rsid w:val="297D2368"/>
    <w:rsid w:val="29827A5E"/>
    <w:rsid w:val="298632A5"/>
    <w:rsid w:val="2987F328"/>
    <w:rsid w:val="298D1B35"/>
    <w:rsid w:val="298E0CF0"/>
    <w:rsid w:val="29909487"/>
    <w:rsid w:val="29909666"/>
    <w:rsid w:val="29913614"/>
    <w:rsid w:val="29930D26"/>
    <w:rsid w:val="2995EB71"/>
    <w:rsid w:val="299E8757"/>
    <w:rsid w:val="29A78956"/>
    <w:rsid w:val="29AC0B52"/>
    <w:rsid w:val="29ADE79B"/>
    <w:rsid w:val="29B52650"/>
    <w:rsid w:val="29B84D71"/>
    <w:rsid w:val="29C1E730"/>
    <w:rsid w:val="29C521E8"/>
    <w:rsid w:val="29CA2B3B"/>
    <w:rsid w:val="29CB1B64"/>
    <w:rsid w:val="29CB32CC"/>
    <w:rsid w:val="29CE4BF2"/>
    <w:rsid w:val="29D06F07"/>
    <w:rsid w:val="29D09176"/>
    <w:rsid w:val="29D1F002"/>
    <w:rsid w:val="29D68991"/>
    <w:rsid w:val="29DB5E66"/>
    <w:rsid w:val="29DCB3DF"/>
    <w:rsid w:val="29DF1716"/>
    <w:rsid w:val="29E0F5D5"/>
    <w:rsid w:val="29E23246"/>
    <w:rsid w:val="29E3EACC"/>
    <w:rsid w:val="29EBE584"/>
    <w:rsid w:val="29F40E77"/>
    <w:rsid w:val="29F8300F"/>
    <w:rsid w:val="29FC4853"/>
    <w:rsid w:val="29FE9F0C"/>
    <w:rsid w:val="2A033E6B"/>
    <w:rsid w:val="2A042D9C"/>
    <w:rsid w:val="2A044A1B"/>
    <w:rsid w:val="2A074CC2"/>
    <w:rsid w:val="2A074D46"/>
    <w:rsid w:val="2A0C8D83"/>
    <w:rsid w:val="2A0DD1F0"/>
    <w:rsid w:val="2A18BA66"/>
    <w:rsid w:val="2A199103"/>
    <w:rsid w:val="2A1B6A8C"/>
    <w:rsid w:val="2A1F92DC"/>
    <w:rsid w:val="2A22FAF3"/>
    <w:rsid w:val="2A235FDB"/>
    <w:rsid w:val="2A282CDB"/>
    <w:rsid w:val="2A2DAB66"/>
    <w:rsid w:val="2A325666"/>
    <w:rsid w:val="2A35BE5D"/>
    <w:rsid w:val="2A3E32D2"/>
    <w:rsid w:val="2A47FC89"/>
    <w:rsid w:val="2A4848F4"/>
    <w:rsid w:val="2A4A549B"/>
    <w:rsid w:val="2A4D2265"/>
    <w:rsid w:val="2A5016F5"/>
    <w:rsid w:val="2A560190"/>
    <w:rsid w:val="2A56315D"/>
    <w:rsid w:val="2A69C581"/>
    <w:rsid w:val="2A6A11EC"/>
    <w:rsid w:val="2A6DDDA6"/>
    <w:rsid w:val="2A700640"/>
    <w:rsid w:val="2A725C58"/>
    <w:rsid w:val="2A74356B"/>
    <w:rsid w:val="2A74C8B0"/>
    <w:rsid w:val="2A781508"/>
    <w:rsid w:val="2A7C303B"/>
    <w:rsid w:val="2A85CC79"/>
    <w:rsid w:val="2A98A9AE"/>
    <w:rsid w:val="2AA1B592"/>
    <w:rsid w:val="2AA610CD"/>
    <w:rsid w:val="2AA67EFB"/>
    <w:rsid w:val="2AADE7A5"/>
    <w:rsid w:val="2AAE436B"/>
    <w:rsid w:val="2AAFBFDD"/>
    <w:rsid w:val="2AB08F5D"/>
    <w:rsid w:val="2AB13920"/>
    <w:rsid w:val="2AB64970"/>
    <w:rsid w:val="2AB7481D"/>
    <w:rsid w:val="2AB74ADB"/>
    <w:rsid w:val="2AB7AF43"/>
    <w:rsid w:val="2AB95947"/>
    <w:rsid w:val="2AC0AF05"/>
    <w:rsid w:val="2AC14CD9"/>
    <w:rsid w:val="2AC81C3C"/>
    <w:rsid w:val="2AC8CDFC"/>
    <w:rsid w:val="2ACB6157"/>
    <w:rsid w:val="2AD1434A"/>
    <w:rsid w:val="2AD4741A"/>
    <w:rsid w:val="2AD497D2"/>
    <w:rsid w:val="2AD6C181"/>
    <w:rsid w:val="2AD9542F"/>
    <w:rsid w:val="2AE92F22"/>
    <w:rsid w:val="2AEB48F2"/>
    <w:rsid w:val="2AEC9DB9"/>
    <w:rsid w:val="2AF46AB8"/>
    <w:rsid w:val="2AF93015"/>
    <w:rsid w:val="2AFA2259"/>
    <w:rsid w:val="2AFE7800"/>
    <w:rsid w:val="2B007673"/>
    <w:rsid w:val="2B053D5E"/>
    <w:rsid w:val="2B05B5F1"/>
    <w:rsid w:val="2B0D3EFB"/>
    <w:rsid w:val="2B0E7D36"/>
    <w:rsid w:val="2B0F13BF"/>
    <w:rsid w:val="2B0F792A"/>
    <w:rsid w:val="2B117BA5"/>
    <w:rsid w:val="2B155003"/>
    <w:rsid w:val="2B188BC1"/>
    <w:rsid w:val="2B19E48C"/>
    <w:rsid w:val="2B1B9B2B"/>
    <w:rsid w:val="2B1F70D3"/>
    <w:rsid w:val="2B265638"/>
    <w:rsid w:val="2B273727"/>
    <w:rsid w:val="2B2F97A1"/>
    <w:rsid w:val="2B3318D0"/>
    <w:rsid w:val="2B3AAB77"/>
    <w:rsid w:val="2B3BE563"/>
    <w:rsid w:val="2B41BCE1"/>
    <w:rsid w:val="2B57E66A"/>
    <w:rsid w:val="2B583EB0"/>
    <w:rsid w:val="2B5B5A99"/>
    <w:rsid w:val="2B5B79DA"/>
    <w:rsid w:val="2B5C82EE"/>
    <w:rsid w:val="2B628589"/>
    <w:rsid w:val="2B62D6D6"/>
    <w:rsid w:val="2B63D3C5"/>
    <w:rsid w:val="2B67E177"/>
    <w:rsid w:val="2B686EFA"/>
    <w:rsid w:val="2B7724B3"/>
    <w:rsid w:val="2B7A3D80"/>
    <w:rsid w:val="2B7A403D"/>
    <w:rsid w:val="2B7FBE18"/>
    <w:rsid w:val="2B80909B"/>
    <w:rsid w:val="2B841479"/>
    <w:rsid w:val="2B8BF6DB"/>
    <w:rsid w:val="2B911C1C"/>
    <w:rsid w:val="2B95AADB"/>
    <w:rsid w:val="2B95B385"/>
    <w:rsid w:val="2B9BA7CB"/>
    <w:rsid w:val="2BA42CBD"/>
    <w:rsid w:val="2BA54A24"/>
    <w:rsid w:val="2BA9F6B5"/>
    <w:rsid w:val="2BB62038"/>
    <w:rsid w:val="2BB8D6A2"/>
    <w:rsid w:val="2BBD549B"/>
    <w:rsid w:val="2BBF09D0"/>
    <w:rsid w:val="2BC57984"/>
    <w:rsid w:val="2BC9B56F"/>
    <w:rsid w:val="2BCF73FB"/>
    <w:rsid w:val="2BD1694F"/>
    <w:rsid w:val="2BD2C60B"/>
    <w:rsid w:val="2BD4150F"/>
    <w:rsid w:val="2BD94926"/>
    <w:rsid w:val="2BDC6432"/>
    <w:rsid w:val="2BE05D48"/>
    <w:rsid w:val="2BE62055"/>
    <w:rsid w:val="2BEBA165"/>
    <w:rsid w:val="2BEFA37A"/>
    <w:rsid w:val="2BF42927"/>
    <w:rsid w:val="2BF9C02F"/>
    <w:rsid w:val="2C013ACE"/>
    <w:rsid w:val="2C086AF8"/>
    <w:rsid w:val="2C0D328F"/>
    <w:rsid w:val="2C153B9E"/>
    <w:rsid w:val="2C16166E"/>
    <w:rsid w:val="2C212710"/>
    <w:rsid w:val="2C24E592"/>
    <w:rsid w:val="2C2509FC"/>
    <w:rsid w:val="2C2A04AB"/>
    <w:rsid w:val="2C2EE671"/>
    <w:rsid w:val="2C316742"/>
    <w:rsid w:val="2C347203"/>
    <w:rsid w:val="2C3A8842"/>
    <w:rsid w:val="2C43E347"/>
    <w:rsid w:val="2C442130"/>
    <w:rsid w:val="2C44C938"/>
    <w:rsid w:val="2C4B1FB7"/>
    <w:rsid w:val="2C5303F1"/>
    <w:rsid w:val="2C551725"/>
    <w:rsid w:val="2C5752C0"/>
    <w:rsid w:val="2C58C491"/>
    <w:rsid w:val="2C5C3550"/>
    <w:rsid w:val="2C5CB68C"/>
    <w:rsid w:val="2C5D297B"/>
    <w:rsid w:val="2C641331"/>
    <w:rsid w:val="2C681B9A"/>
    <w:rsid w:val="2C6B4BD0"/>
    <w:rsid w:val="2C741772"/>
    <w:rsid w:val="2C778596"/>
    <w:rsid w:val="2C78196B"/>
    <w:rsid w:val="2C7B29CA"/>
    <w:rsid w:val="2C7BF180"/>
    <w:rsid w:val="2C7DE8BF"/>
    <w:rsid w:val="2C83333F"/>
    <w:rsid w:val="2C857202"/>
    <w:rsid w:val="2C876464"/>
    <w:rsid w:val="2C87C545"/>
    <w:rsid w:val="2C8E99FA"/>
    <w:rsid w:val="2C948E86"/>
    <w:rsid w:val="2C95756C"/>
    <w:rsid w:val="2CA6E8F0"/>
    <w:rsid w:val="2CA81803"/>
    <w:rsid w:val="2CAACB13"/>
    <w:rsid w:val="2CAE9F81"/>
    <w:rsid w:val="2CAF20D5"/>
    <w:rsid w:val="2CB4CFFD"/>
    <w:rsid w:val="2CB78E01"/>
    <w:rsid w:val="2CBBD0B9"/>
    <w:rsid w:val="2CBCEB04"/>
    <w:rsid w:val="2CC3BAC4"/>
    <w:rsid w:val="2CC5A971"/>
    <w:rsid w:val="2CC8ED9E"/>
    <w:rsid w:val="2CCD34D7"/>
    <w:rsid w:val="2CD4A02A"/>
    <w:rsid w:val="2CDAF89D"/>
    <w:rsid w:val="2CDC242F"/>
    <w:rsid w:val="2CDE7130"/>
    <w:rsid w:val="2CDF4BBC"/>
    <w:rsid w:val="2CE4E5B1"/>
    <w:rsid w:val="2CE6A35D"/>
    <w:rsid w:val="2CE7F5D8"/>
    <w:rsid w:val="2CE8634C"/>
    <w:rsid w:val="2CEA3C46"/>
    <w:rsid w:val="2CEE69A0"/>
    <w:rsid w:val="2CF106EE"/>
    <w:rsid w:val="2CF12B45"/>
    <w:rsid w:val="2CF2FD4E"/>
    <w:rsid w:val="2CF54F8E"/>
    <w:rsid w:val="2CF6B907"/>
    <w:rsid w:val="2D057EB8"/>
    <w:rsid w:val="2D05AEF6"/>
    <w:rsid w:val="2D08902A"/>
    <w:rsid w:val="2D0AF935"/>
    <w:rsid w:val="2D0CA3E1"/>
    <w:rsid w:val="2D0D3FFC"/>
    <w:rsid w:val="2D10E208"/>
    <w:rsid w:val="2D1582A0"/>
    <w:rsid w:val="2D166081"/>
    <w:rsid w:val="2D1B9C80"/>
    <w:rsid w:val="2D288447"/>
    <w:rsid w:val="2D2B3EEE"/>
    <w:rsid w:val="2D2FA3F3"/>
    <w:rsid w:val="2D31FD65"/>
    <w:rsid w:val="2D347E61"/>
    <w:rsid w:val="2D35A1E6"/>
    <w:rsid w:val="2D35E2E1"/>
    <w:rsid w:val="2D3B3EAD"/>
    <w:rsid w:val="2D3D7140"/>
    <w:rsid w:val="2D44337F"/>
    <w:rsid w:val="2D484C7A"/>
    <w:rsid w:val="2D4A739C"/>
    <w:rsid w:val="2D525825"/>
    <w:rsid w:val="2D58C0D4"/>
    <w:rsid w:val="2D5A03A2"/>
    <w:rsid w:val="2D5A42B0"/>
    <w:rsid w:val="2D62E53B"/>
    <w:rsid w:val="2D6585D0"/>
    <w:rsid w:val="2D6C0E00"/>
    <w:rsid w:val="2D6F08AC"/>
    <w:rsid w:val="2D70CF5D"/>
    <w:rsid w:val="2D71B427"/>
    <w:rsid w:val="2D73D695"/>
    <w:rsid w:val="2D84842E"/>
    <w:rsid w:val="2D89FC52"/>
    <w:rsid w:val="2D9646B4"/>
    <w:rsid w:val="2D976F1D"/>
    <w:rsid w:val="2D980E92"/>
    <w:rsid w:val="2D9CF815"/>
    <w:rsid w:val="2DA9532E"/>
    <w:rsid w:val="2DAE8CC9"/>
    <w:rsid w:val="2DB40AD6"/>
    <w:rsid w:val="2DC00736"/>
    <w:rsid w:val="2DC42822"/>
    <w:rsid w:val="2DC47376"/>
    <w:rsid w:val="2DC5423E"/>
    <w:rsid w:val="2DC798C6"/>
    <w:rsid w:val="2DCA4991"/>
    <w:rsid w:val="2DCCC896"/>
    <w:rsid w:val="2DD79F91"/>
    <w:rsid w:val="2DDCDF3C"/>
    <w:rsid w:val="2DEF299C"/>
    <w:rsid w:val="2DEFEB92"/>
    <w:rsid w:val="2DF257E3"/>
    <w:rsid w:val="2DF494F2"/>
    <w:rsid w:val="2DF8213D"/>
    <w:rsid w:val="2DF96EA2"/>
    <w:rsid w:val="2DFB37AB"/>
    <w:rsid w:val="2DFF51C0"/>
    <w:rsid w:val="2E16A55B"/>
    <w:rsid w:val="2E256084"/>
    <w:rsid w:val="2E288586"/>
    <w:rsid w:val="2E2B4649"/>
    <w:rsid w:val="2E308FBF"/>
    <w:rsid w:val="2E32BC9B"/>
    <w:rsid w:val="2E35294B"/>
    <w:rsid w:val="2E3979ED"/>
    <w:rsid w:val="2E3F06B9"/>
    <w:rsid w:val="2E41255B"/>
    <w:rsid w:val="2E414CA3"/>
    <w:rsid w:val="2E42B6F1"/>
    <w:rsid w:val="2E4721DD"/>
    <w:rsid w:val="2E4C0E89"/>
    <w:rsid w:val="2E4DD650"/>
    <w:rsid w:val="2E4F180F"/>
    <w:rsid w:val="2E509D82"/>
    <w:rsid w:val="2E50AAA1"/>
    <w:rsid w:val="2E51D7B9"/>
    <w:rsid w:val="2E51E413"/>
    <w:rsid w:val="2E5D269C"/>
    <w:rsid w:val="2E640908"/>
    <w:rsid w:val="2E64AB55"/>
    <w:rsid w:val="2E6909C1"/>
    <w:rsid w:val="2E691870"/>
    <w:rsid w:val="2E6D270E"/>
    <w:rsid w:val="2E6DB965"/>
    <w:rsid w:val="2E6E6D5E"/>
    <w:rsid w:val="2E702C2C"/>
    <w:rsid w:val="2E738A38"/>
    <w:rsid w:val="2E766AAB"/>
    <w:rsid w:val="2E81F9A4"/>
    <w:rsid w:val="2E8A568E"/>
    <w:rsid w:val="2E8F09D3"/>
    <w:rsid w:val="2E8FACC6"/>
    <w:rsid w:val="2E925686"/>
    <w:rsid w:val="2E9261B0"/>
    <w:rsid w:val="2E936B08"/>
    <w:rsid w:val="2E93F78C"/>
    <w:rsid w:val="2E96444C"/>
    <w:rsid w:val="2E984C75"/>
    <w:rsid w:val="2E9BA438"/>
    <w:rsid w:val="2EA92DFD"/>
    <w:rsid w:val="2EAC3917"/>
    <w:rsid w:val="2EAF0470"/>
    <w:rsid w:val="2EB30064"/>
    <w:rsid w:val="2EB5934B"/>
    <w:rsid w:val="2EB883A7"/>
    <w:rsid w:val="2EB8BD42"/>
    <w:rsid w:val="2EBF3C37"/>
    <w:rsid w:val="2EC6AD6A"/>
    <w:rsid w:val="2EC73545"/>
    <w:rsid w:val="2ECEAF49"/>
    <w:rsid w:val="2ECFB4FA"/>
    <w:rsid w:val="2ED040AB"/>
    <w:rsid w:val="2ED0C703"/>
    <w:rsid w:val="2ED4DCAE"/>
    <w:rsid w:val="2ED5D1E1"/>
    <w:rsid w:val="2ED6E1C0"/>
    <w:rsid w:val="2EDF768F"/>
    <w:rsid w:val="2EE2B062"/>
    <w:rsid w:val="2EE4933A"/>
    <w:rsid w:val="2EEABBD5"/>
    <w:rsid w:val="2EEF0E29"/>
    <w:rsid w:val="2EF1880D"/>
    <w:rsid w:val="2EF327CB"/>
    <w:rsid w:val="2EF9F428"/>
    <w:rsid w:val="2EFACDF6"/>
    <w:rsid w:val="2F03DF6C"/>
    <w:rsid w:val="2F07948D"/>
    <w:rsid w:val="2F14C957"/>
    <w:rsid w:val="2F190AD4"/>
    <w:rsid w:val="2F1D328B"/>
    <w:rsid w:val="2F23BAE4"/>
    <w:rsid w:val="2F250DB2"/>
    <w:rsid w:val="2F25714C"/>
    <w:rsid w:val="2F276D36"/>
    <w:rsid w:val="2F28F93E"/>
    <w:rsid w:val="2F2A8EE1"/>
    <w:rsid w:val="2F2D578D"/>
    <w:rsid w:val="2F2FBEAB"/>
    <w:rsid w:val="2F342363"/>
    <w:rsid w:val="2F414ACC"/>
    <w:rsid w:val="2F41AB2F"/>
    <w:rsid w:val="2F436583"/>
    <w:rsid w:val="2F44735A"/>
    <w:rsid w:val="2F469713"/>
    <w:rsid w:val="2F4854E8"/>
    <w:rsid w:val="2F4C2FAE"/>
    <w:rsid w:val="2F527B88"/>
    <w:rsid w:val="2F547995"/>
    <w:rsid w:val="2F555D7C"/>
    <w:rsid w:val="2F5FB0B7"/>
    <w:rsid w:val="2F601805"/>
    <w:rsid w:val="2F60A42D"/>
    <w:rsid w:val="2F66F746"/>
    <w:rsid w:val="2F6DF36E"/>
    <w:rsid w:val="2F6F3771"/>
    <w:rsid w:val="2F71EE18"/>
    <w:rsid w:val="2F7304EB"/>
    <w:rsid w:val="2F766454"/>
    <w:rsid w:val="2F7C81DD"/>
    <w:rsid w:val="2F7CBE23"/>
    <w:rsid w:val="2F7EEE16"/>
    <w:rsid w:val="2F890BAA"/>
    <w:rsid w:val="2F894D06"/>
    <w:rsid w:val="2F8CD2C2"/>
    <w:rsid w:val="2F97D082"/>
    <w:rsid w:val="2F97D51B"/>
    <w:rsid w:val="2F9868D2"/>
    <w:rsid w:val="2F9A9AE2"/>
    <w:rsid w:val="2F9EE22F"/>
    <w:rsid w:val="2FA7E53D"/>
    <w:rsid w:val="2FA807F5"/>
    <w:rsid w:val="2FA826DC"/>
    <w:rsid w:val="2FAA1764"/>
    <w:rsid w:val="2FAF0BD3"/>
    <w:rsid w:val="2FAF131A"/>
    <w:rsid w:val="2FB0280F"/>
    <w:rsid w:val="2FB50071"/>
    <w:rsid w:val="2FB60A0C"/>
    <w:rsid w:val="2FB661BA"/>
    <w:rsid w:val="2FB8C3A2"/>
    <w:rsid w:val="2FBAD8AC"/>
    <w:rsid w:val="2FC12ED2"/>
    <w:rsid w:val="2FC3FDFE"/>
    <w:rsid w:val="2FC46FC1"/>
    <w:rsid w:val="2FC83022"/>
    <w:rsid w:val="2FCBBE9E"/>
    <w:rsid w:val="2FD2FDC4"/>
    <w:rsid w:val="2FD8F604"/>
    <w:rsid w:val="2FD9A0E6"/>
    <w:rsid w:val="2FDCFA47"/>
    <w:rsid w:val="2FE3A7D9"/>
    <w:rsid w:val="2FE6C197"/>
    <w:rsid w:val="2FE9986C"/>
    <w:rsid w:val="2FF0A5A6"/>
    <w:rsid w:val="2FF5403C"/>
    <w:rsid w:val="2FF6B58A"/>
    <w:rsid w:val="2FFE4955"/>
    <w:rsid w:val="30055143"/>
    <w:rsid w:val="300C5F56"/>
    <w:rsid w:val="30183C6B"/>
    <w:rsid w:val="301AAB68"/>
    <w:rsid w:val="301EBF82"/>
    <w:rsid w:val="3026757C"/>
    <w:rsid w:val="302CCAEB"/>
    <w:rsid w:val="302E3211"/>
    <w:rsid w:val="302FEFED"/>
    <w:rsid w:val="30316D79"/>
    <w:rsid w:val="30335DE8"/>
    <w:rsid w:val="303B375D"/>
    <w:rsid w:val="303C2FEB"/>
    <w:rsid w:val="3041CFDC"/>
    <w:rsid w:val="3043A999"/>
    <w:rsid w:val="3045A4D3"/>
    <w:rsid w:val="3049B912"/>
    <w:rsid w:val="304DC5BF"/>
    <w:rsid w:val="304FAFDE"/>
    <w:rsid w:val="3050AF2D"/>
    <w:rsid w:val="30541AB2"/>
    <w:rsid w:val="30560797"/>
    <w:rsid w:val="305A694B"/>
    <w:rsid w:val="30676CBD"/>
    <w:rsid w:val="30719265"/>
    <w:rsid w:val="3071AB8C"/>
    <w:rsid w:val="3076F23E"/>
    <w:rsid w:val="3078A01D"/>
    <w:rsid w:val="307B6D21"/>
    <w:rsid w:val="307FAB1F"/>
    <w:rsid w:val="3083FFDC"/>
    <w:rsid w:val="30882E24"/>
    <w:rsid w:val="3093BAAA"/>
    <w:rsid w:val="30973E60"/>
    <w:rsid w:val="30989DA8"/>
    <w:rsid w:val="309982C1"/>
    <w:rsid w:val="309FD394"/>
    <w:rsid w:val="30A11B0D"/>
    <w:rsid w:val="30A40EA0"/>
    <w:rsid w:val="30A96980"/>
    <w:rsid w:val="30ACC4F5"/>
    <w:rsid w:val="30AD8F29"/>
    <w:rsid w:val="30AEB1EF"/>
    <w:rsid w:val="30B21D9A"/>
    <w:rsid w:val="30B6B02C"/>
    <w:rsid w:val="30BE4190"/>
    <w:rsid w:val="30C33B15"/>
    <w:rsid w:val="30C743CB"/>
    <w:rsid w:val="30CB9E55"/>
    <w:rsid w:val="30D116C3"/>
    <w:rsid w:val="30D1856B"/>
    <w:rsid w:val="30D192EE"/>
    <w:rsid w:val="30E73B8A"/>
    <w:rsid w:val="30E98412"/>
    <w:rsid w:val="30EC58DC"/>
    <w:rsid w:val="30F32023"/>
    <w:rsid w:val="30F36DD2"/>
    <w:rsid w:val="30F3969E"/>
    <w:rsid w:val="30F8B13D"/>
    <w:rsid w:val="30F9FA51"/>
    <w:rsid w:val="30FAA162"/>
    <w:rsid w:val="3100406A"/>
    <w:rsid w:val="31033214"/>
    <w:rsid w:val="3104A0AF"/>
    <w:rsid w:val="31067EAE"/>
    <w:rsid w:val="310DBCF4"/>
    <w:rsid w:val="310ED276"/>
    <w:rsid w:val="3110D688"/>
    <w:rsid w:val="3111A5E7"/>
    <w:rsid w:val="3112CC0D"/>
    <w:rsid w:val="3116BC81"/>
    <w:rsid w:val="31171676"/>
    <w:rsid w:val="31184B2B"/>
    <w:rsid w:val="31184DFE"/>
    <w:rsid w:val="311A8B38"/>
    <w:rsid w:val="311AF0FD"/>
    <w:rsid w:val="311E96B8"/>
    <w:rsid w:val="312021A6"/>
    <w:rsid w:val="3120BE5C"/>
    <w:rsid w:val="312214E2"/>
    <w:rsid w:val="3123696F"/>
    <w:rsid w:val="3125755B"/>
    <w:rsid w:val="312ABD6C"/>
    <w:rsid w:val="312B939A"/>
    <w:rsid w:val="312C57F2"/>
    <w:rsid w:val="312C6DB2"/>
    <w:rsid w:val="3137DA1B"/>
    <w:rsid w:val="313A6271"/>
    <w:rsid w:val="3141EF77"/>
    <w:rsid w:val="31464824"/>
    <w:rsid w:val="3146932D"/>
    <w:rsid w:val="314824F3"/>
    <w:rsid w:val="314B4C65"/>
    <w:rsid w:val="314BDA82"/>
    <w:rsid w:val="314C3273"/>
    <w:rsid w:val="314C7421"/>
    <w:rsid w:val="314D54D5"/>
    <w:rsid w:val="314EBF20"/>
    <w:rsid w:val="31524982"/>
    <w:rsid w:val="31527B08"/>
    <w:rsid w:val="31549279"/>
    <w:rsid w:val="31551D94"/>
    <w:rsid w:val="315DE8D7"/>
    <w:rsid w:val="3168CC04"/>
    <w:rsid w:val="3170B890"/>
    <w:rsid w:val="317607CD"/>
    <w:rsid w:val="3178B12D"/>
    <w:rsid w:val="317B7451"/>
    <w:rsid w:val="31855408"/>
    <w:rsid w:val="31887DF0"/>
    <w:rsid w:val="318A5328"/>
    <w:rsid w:val="318A7071"/>
    <w:rsid w:val="319A629A"/>
    <w:rsid w:val="319DB92F"/>
    <w:rsid w:val="319E9BD8"/>
    <w:rsid w:val="31B4A437"/>
    <w:rsid w:val="31B60FA0"/>
    <w:rsid w:val="31B7BE44"/>
    <w:rsid w:val="31B8683B"/>
    <w:rsid w:val="31B95ABB"/>
    <w:rsid w:val="31C731E6"/>
    <w:rsid w:val="31C7C736"/>
    <w:rsid w:val="31C87C2B"/>
    <w:rsid w:val="31CBEEC3"/>
    <w:rsid w:val="31CF2902"/>
    <w:rsid w:val="31D51B37"/>
    <w:rsid w:val="31DCEE32"/>
    <w:rsid w:val="31E045C6"/>
    <w:rsid w:val="31E25E28"/>
    <w:rsid w:val="31E8CC3D"/>
    <w:rsid w:val="31E9D54C"/>
    <w:rsid w:val="31ED256A"/>
    <w:rsid w:val="31F244F8"/>
    <w:rsid w:val="31F68A5E"/>
    <w:rsid w:val="31F8FC27"/>
    <w:rsid w:val="31F9CB9B"/>
    <w:rsid w:val="31FD68DD"/>
    <w:rsid w:val="32087453"/>
    <w:rsid w:val="320CDA52"/>
    <w:rsid w:val="320D7AB8"/>
    <w:rsid w:val="321149BE"/>
    <w:rsid w:val="3213D2AD"/>
    <w:rsid w:val="321C2270"/>
    <w:rsid w:val="32230D08"/>
    <w:rsid w:val="32286FF9"/>
    <w:rsid w:val="32303307"/>
    <w:rsid w:val="323400CC"/>
    <w:rsid w:val="32357AC4"/>
    <w:rsid w:val="32365BE0"/>
    <w:rsid w:val="324373EE"/>
    <w:rsid w:val="3247EAA3"/>
    <w:rsid w:val="324C3F7A"/>
    <w:rsid w:val="324E86E1"/>
    <w:rsid w:val="324EB87C"/>
    <w:rsid w:val="324ED9F5"/>
    <w:rsid w:val="32501736"/>
    <w:rsid w:val="3250B3A5"/>
    <w:rsid w:val="32551585"/>
    <w:rsid w:val="325B4414"/>
    <w:rsid w:val="32616F98"/>
    <w:rsid w:val="3261C0E0"/>
    <w:rsid w:val="32647823"/>
    <w:rsid w:val="3266CE70"/>
    <w:rsid w:val="326C2970"/>
    <w:rsid w:val="326F25E9"/>
    <w:rsid w:val="326F67A2"/>
    <w:rsid w:val="3271B85A"/>
    <w:rsid w:val="32721B14"/>
    <w:rsid w:val="32769DD0"/>
    <w:rsid w:val="327985B9"/>
    <w:rsid w:val="3279CF5E"/>
    <w:rsid w:val="327F284A"/>
    <w:rsid w:val="32835A93"/>
    <w:rsid w:val="32859A4B"/>
    <w:rsid w:val="32992D36"/>
    <w:rsid w:val="329D8014"/>
    <w:rsid w:val="329F12DA"/>
    <w:rsid w:val="32A7C494"/>
    <w:rsid w:val="32AD0D9E"/>
    <w:rsid w:val="32ADA9A3"/>
    <w:rsid w:val="32B00F49"/>
    <w:rsid w:val="32B0E224"/>
    <w:rsid w:val="32B0F469"/>
    <w:rsid w:val="32B9C69E"/>
    <w:rsid w:val="32BBF06C"/>
    <w:rsid w:val="32BD4F82"/>
    <w:rsid w:val="32BFA778"/>
    <w:rsid w:val="32C6308F"/>
    <w:rsid w:val="32C77465"/>
    <w:rsid w:val="32C88342"/>
    <w:rsid w:val="32C9CDB0"/>
    <w:rsid w:val="32D0CB71"/>
    <w:rsid w:val="32D28DAC"/>
    <w:rsid w:val="32D3153F"/>
    <w:rsid w:val="32D3BA35"/>
    <w:rsid w:val="32D429A3"/>
    <w:rsid w:val="32D64609"/>
    <w:rsid w:val="32D6F88C"/>
    <w:rsid w:val="32D7F71A"/>
    <w:rsid w:val="32D8CBE8"/>
    <w:rsid w:val="32DB5D8C"/>
    <w:rsid w:val="32DFD535"/>
    <w:rsid w:val="32E0B886"/>
    <w:rsid w:val="32F04B6C"/>
    <w:rsid w:val="32F713F7"/>
    <w:rsid w:val="32F9EF90"/>
    <w:rsid w:val="33022480"/>
    <w:rsid w:val="3303B162"/>
    <w:rsid w:val="33058576"/>
    <w:rsid w:val="3305E455"/>
    <w:rsid w:val="3309A6C9"/>
    <w:rsid w:val="330C9510"/>
    <w:rsid w:val="331625E2"/>
    <w:rsid w:val="331B328C"/>
    <w:rsid w:val="33220795"/>
    <w:rsid w:val="3322F369"/>
    <w:rsid w:val="3323EA49"/>
    <w:rsid w:val="332D2C25"/>
    <w:rsid w:val="3331B25A"/>
    <w:rsid w:val="3335C222"/>
    <w:rsid w:val="3336E8AD"/>
    <w:rsid w:val="3337F0F3"/>
    <w:rsid w:val="33399C86"/>
    <w:rsid w:val="333A92C5"/>
    <w:rsid w:val="333DF1BC"/>
    <w:rsid w:val="33419A27"/>
    <w:rsid w:val="33520AAF"/>
    <w:rsid w:val="33546B50"/>
    <w:rsid w:val="33598397"/>
    <w:rsid w:val="335AB827"/>
    <w:rsid w:val="335FA96B"/>
    <w:rsid w:val="33610F7D"/>
    <w:rsid w:val="33651899"/>
    <w:rsid w:val="33683A94"/>
    <w:rsid w:val="336B3A18"/>
    <w:rsid w:val="336B70CC"/>
    <w:rsid w:val="336E9D60"/>
    <w:rsid w:val="33702D3E"/>
    <w:rsid w:val="337D07CF"/>
    <w:rsid w:val="337E2E89"/>
    <w:rsid w:val="33847FAD"/>
    <w:rsid w:val="338522C9"/>
    <w:rsid w:val="3387EC53"/>
    <w:rsid w:val="339AEB04"/>
    <w:rsid w:val="339BC39C"/>
    <w:rsid w:val="33A05D95"/>
    <w:rsid w:val="33A07F57"/>
    <w:rsid w:val="33A7AFC4"/>
    <w:rsid w:val="33B1908E"/>
    <w:rsid w:val="33BA6984"/>
    <w:rsid w:val="33C07132"/>
    <w:rsid w:val="33C0C735"/>
    <w:rsid w:val="33C25925"/>
    <w:rsid w:val="33C49013"/>
    <w:rsid w:val="33C57DFF"/>
    <w:rsid w:val="33C9AEB2"/>
    <w:rsid w:val="33CB849B"/>
    <w:rsid w:val="33CF6CDD"/>
    <w:rsid w:val="33CFAC92"/>
    <w:rsid w:val="33D0F512"/>
    <w:rsid w:val="33D27988"/>
    <w:rsid w:val="33D8E657"/>
    <w:rsid w:val="33DB5494"/>
    <w:rsid w:val="33DE7C20"/>
    <w:rsid w:val="33DF2810"/>
    <w:rsid w:val="33EFA508"/>
    <w:rsid w:val="33EFB3E5"/>
    <w:rsid w:val="33F66C84"/>
    <w:rsid w:val="33F899F2"/>
    <w:rsid w:val="33FA2E61"/>
    <w:rsid w:val="33FB74ED"/>
    <w:rsid w:val="340521DE"/>
    <w:rsid w:val="3405DAF6"/>
    <w:rsid w:val="3409FFC5"/>
    <w:rsid w:val="340D8053"/>
    <w:rsid w:val="340E0A20"/>
    <w:rsid w:val="340EB93E"/>
    <w:rsid w:val="341259F1"/>
    <w:rsid w:val="34160628"/>
    <w:rsid w:val="34170BB3"/>
    <w:rsid w:val="3426BD16"/>
    <w:rsid w:val="342CE092"/>
    <w:rsid w:val="343811C7"/>
    <w:rsid w:val="34396B89"/>
    <w:rsid w:val="343B33F8"/>
    <w:rsid w:val="343E922A"/>
    <w:rsid w:val="344401BF"/>
    <w:rsid w:val="3446E258"/>
    <w:rsid w:val="345319D3"/>
    <w:rsid w:val="345329F5"/>
    <w:rsid w:val="34536AE4"/>
    <w:rsid w:val="345594B4"/>
    <w:rsid w:val="34563799"/>
    <w:rsid w:val="3459AE4D"/>
    <w:rsid w:val="345B295D"/>
    <w:rsid w:val="345E12BB"/>
    <w:rsid w:val="34602C23"/>
    <w:rsid w:val="34614C84"/>
    <w:rsid w:val="34632855"/>
    <w:rsid w:val="34688933"/>
    <w:rsid w:val="34722FE7"/>
    <w:rsid w:val="3475D4B9"/>
    <w:rsid w:val="347818DA"/>
    <w:rsid w:val="347AD527"/>
    <w:rsid w:val="3488B255"/>
    <w:rsid w:val="348B51DD"/>
    <w:rsid w:val="348C5FAD"/>
    <w:rsid w:val="3497B177"/>
    <w:rsid w:val="349888FB"/>
    <w:rsid w:val="3499CAB7"/>
    <w:rsid w:val="349A1230"/>
    <w:rsid w:val="34A138E8"/>
    <w:rsid w:val="34A2AFF4"/>
    <w:rsid w:val="34B2D25D"/>
    <w:rsid w:val="34B5083B"/>
    <w:rsid w:val="34B52455"/>
    <w:rsid w:val="34B5DCF8"/>
    <w:rsid w:val="34B6F421"/>
    <w:rsid w:val="34C03C2F"/>
    <w:rsid w:val="34C0C973"/>
    <w:rsid w:val="34C326EF"/>
    <w:rsid w:val="34C36D2F"/>
    <w:rsid w:val="34C7CEAB"/>
    <w:rsid w:val="34CF38E4"/>
    <w:rsid w:val="34D62057"/>
    <w:rsid w:val="34DC1D5F"/>
    <w:rsid w:val="34DC9D25"/>
    <w:rsid w:val="34DF800B"/>
    <w:rsid w:val="34E43BDF"/>
    <w:rsid w:val="34EFDAC7"/>
    <w:rsid w:val="34EFEF7E"/>
    <w:rsid w:val="34F146F3"/>
    <w:rsid w:val="34F2F45A"/>
    <w:rsid w:val="34F3F42E"/>
    <w:rsid w:val="34F4020D"/>
    <w:rsid w:val="34F714E3"/>
    <w:rsid w:val="34F78DFB"/>
    <w:rsid w:val="34F909CD"/>
    <w:rsid w:val="34FE494B"/>
    <w:rsid w:val="34FFE4A8"/>
    <w:rsid w:val="3501368D"/>
    <w:rsid w:val="35053569"/>
    <w:rsid w:val="3505B3C7"/>
    <w:rsid w:val="350B16C9"/>
    <w:rsid w:val="35136DD6"/>
    <w:rsid w:val="35139B53"/>
    <w:rsid w:val="35157F2E"/>
    <w:rsid w:val="3515A121"/>
    <w:rsid w:val="3519F230"/>
    <w:rsid w:val="351C4810"/>
    <w:rsid w:val="351D2A35"/>
    <w:rsid w:val="352120A6"/>
    <w:rsid w:val="35354D9A"/>
    <w:rsid w:val="3537DEB8"/>
    <w:rsid w:val="353B238B"/>
    <w:rsid w:val="35407EDB"/>
    <w:rsid w:val="354C76A4"/>
    <w:rsid w:val="354F1858"/>
    <w:rsid w:val="35529B54"/>
    <w:rsid w:val="3553AE68"/>
    <w:rsid w:val="355B3D12"/>
    <w:rsid w:val="355BC955"/>
    <w:rsid w:val="355D640B"/>
    <w:rsid w:val="355DA047"/>
    <w:rsid w:val="355DD4A0"/>
    <w:rsid w:val="3563E5EA"/>
    <w:rsid w:val="356599BE"/>
    <w:rsid w:val="356DFE6B"/>
    <w:rsid w:val="3574E5F4"/>
    <w:rsid w:val="357545D5"/>
    <w:rsid w:val="3576085B"/>
    <w:rsid w:val="357A631C"/>
    <w:rsid w:val="3584AFB1"/>
    <w:rsid w:val="35872548"/>
    <w:rsid w:val="35899F13"/>
    <w:rsid w:val="358A96A6"/>
    <w:rsid w:val="35977F9D"/>
    <w:rsid w:val="359C77F3"/>
    <w:rsid w:val="359DD955"/>
    <w:rsid w:val="35A18450"/>
    <w:rsid w:val="35A497B9"/>
    <w:rsid w:val="35A9BC78"/>
    <w:rsid w:val="35AF9B57"/>
    <w:rsid w:val="35B226E7"/>
    <w:rsid w:val="35B2BE0B"/>
    <w:rsid w:val="35B325D9"/>
    <w:rsid w:val="35B5323D"/>
    <w:rsid w:val="35BAC227"/>
    <w:rsid w:val="35BE4CE3"/>
    <w:rsid w:val="35C0D679"/>
    <w:rsid w:val="35C243E9"/>
    <w:rsid w:val="35CBCFDD"/>
    <w:rsid w:val="35D13124"/>
    <w:rsid w:val="35D1EFB5"/>
    <w:rsid w:val="35D478AB"/>
    <w:rsid w:val="35D7C6F0"/>
    <w:rsid w:val="35E43E1D"/>
    <w:rsid w:val="35E5F8EF"/>
    <w:rsid w:val="35ED7FC3"/>
    <w:rsid w:val="35EE73BC"/>
    <w:rsid w:val="35F683A8"/>
    <w:rsid w:val="35F9F35F"/>
    <w:rsid w:val="35FABAA9"/>
    <w:rsid w:val="35FBD991"/>
    <w:rsid w:val="35FD456C"/>
    <w:rsid w:val="35FD490E"/>
    <w:rsid w:val="35FDF393"/>
    <w:rsid w:val="3602FF8C"/>
    <w:rsid w:val="3608E56A"/>
    <w:rsid w:val="360B89BF"/>
    <w:rsid w:val="360C6AA0"/>
    <w:rsid w:val="36101137"/>
    <w:rsid w:val="36102460"/>
    <w:rsid w:val="3610AF33"/>
    <w:rsid w:val="36128CBF"/>
    <w:rsid w:val="361299B0"/>
    <w:rsid w:val="3613ACF6"/>
    <w:rsid w:val="3614E956"/>
    <w:rsid w:val="3619854B"/>
    <w:rsid w:val="361AB9F3"/>
    <w:rsid w:val="361C967F"/>
    <w:rsid w:val="36213B7B"/>
    <w:rsid w:val="36287915"/>
    <w:rsid w:val="36299FCF"/>
    <w:rsid w:val="362FAA5C"/>
    <w:rsid w:val="363164A6"/>
    <w:rsid w:val="3639832C"/>
    <w:rsid w:val="3640B487"/>
    <w:rsid w:val="3641FBE3"/>
    <w:rsid w:val="3646CC12"/>
    <w:rsid w:val="364C551C"/>
    <w:rsid w:val="36520C17"/>
    <w:rsid w:val="3653C8E9"/>
    <w:rsid w:val="36567058"/>
    <w:rsid w:val="3657D51A"/>
    <w:rsid w:val="365DC303"/>
    <w:rsid w:val="366120B4"/>
    <w:rsid w:val="366746B2"/>
    <w:rsid w:val="36676BB1"/>
    <w:rsid w:val="3669B50E"/>
    <w:rsid w:val="366DDDA9"/>
    <w:rsid w:val="3673BDC1"/>
    <w:rsid w:val="36745C42"/>
    <w:rsid w:val="3678A50C"/>
    <w:rsid w:val="367B3593"/>
    <w:rsid w:val="367FE9C9"/>
    <w:rsid w:val="368BB4A5"/>
    <w:rsid w:val="3693E1D7"/>
    <w:rsid w:val="36A2533A"/>
    <w:rsid w:val="36A59CB9"/>
    <w:rsid w:val="36A65E9D"/>
    <w:rsid w:val="36AC049A"/>
    <w:rsid w:val="36B6146A"/>
    <w:rsid w:val="36B80CBF"/>
    <w:rsid w:val="36BB4D42"/>
    <w:rsid w:val="36BE54B4"/>
    <w:rsid w:val="36C852F3"/>
    <w:rsid w:val="36C8AD0F"/>
    <w:rsid w:val="36D4F6F6"/>
    <w:rsid w:val="36D564FC"/>
    <w:rsid w:val="36ED20DA"/>
    <w:rsid w:val="36F15E66"/>
    <w:rsid w:val="36F39667"/>
    <w:rsid w:val="36F9D936"/>
    <w:rsid w:val="3706A609"/>
    <w:rsid w:val="3707DE20"/>
    <w:rsid w:val="370B4B00"/>
    <w:rsid w:val="370B530F"/>
    <w:rsid w:val="370CAE6B"/>
    <w:rsid w:val="3714F3E9"/>
    <w:rsid w:val="371A1F55"/>
    <w:rsid w:val="371C97D0"/>
    <w:rsid w:val="371E5F48"/>
    <w:rsid w:val="371E967C"/>
    <w:rsid w:val="3721F39A"/>
    <w:rsid w:val="3725680E"/>
    <w:rsid w:val="37273AD0"/>
    <w:rsid w:val="3728058B"/>
    <w:rsid w:val="3728CF12"/>
    <w:rsid w:val="372DE024"/>
    <w:rsid w:val="373610C2"/>
    <w:rsid w:val="373D6CD1"/>
    <w:rsid w:val="373E923C"/>
    <w:rsid w:val="37421B76"/>
    <w:rsid w:val="37421FAC"/>
    <w:rsid w:val="374626C1"/>
    <w:rsid w:val="3747D375"/>
    <w:rsid w:val="3752E613"/>
    <w:rsid w:val="3753DA63"/>
    <w:rsid w:val="3755B419"/>
    <w:rsid w:val="375A5D2E"/>
    <w:rsid w:val="375EAC16"/>
    <w:rsid w:val="375F93C9"/>
    <w:rsid w:val="376685FF"/>
    <w:rsid w:val="37690D8E"/>
    <w:rsid w:val="376AB019"/>
    <w:rsid w:val="376EA1D6"/>
    <w:rsid w:val="3770CCBF"/>
    <w:rsid w:val="3770EB3D"/>
    <w:rsid w:val="3774F155"/>
    <w:rsid w:val="37814CE8"/>
    <w:rsid w:val="37882CE9"/>
    <w:rsid w:val="3790828D"/>
    <w:rsid w:val="37945850"/>
    <w:rsid w:val="3795178E"/>
    <w:rsid w:val="37973B64"/>
    <w:rsid w:val="379FCD8A"/>
    <w:rsid w:val="37A0F869"/>
    <w:rsid w:val="37A5C20C"/>
    <w:rsid w:val="37AC00B3"/>
    <w:rsid w:val="37AFBA18"/>
    <w:rsid w:val="37B38698"/>
    <w:rsid w:val="37BF5947"/>
    <w:rsid w:val="37C16035"/>
    <w:rsid w:val="37C98E64"/>
    <w:rsid w:val="37CD6D8D"/>
    <w:rsid w:val="37D0F289"/>
    <w:rsid w:val="37D365F0"/>
    <w:rsid w:val="37D420CD"/>
    <w:rsid w:val="37D93D15"/>
    <w:rsid w:val="37DA149C"/>
    <w:rsid w:val="37DA8B30"/>
    <w:rsid w:val="37E16298"/>
    <w:rsid w:val="37E29F45"/>
    <w:rsid w:val="37E68105"/>
    <w:rsid w:val="37ED3AD6"/>
    <w:rsid w:val="37F4486B"/>
    <w:rsid w:val="380547EB"/>
    <w:rsid w:val="3805F76F"/>
    <w:rsid w:val="38061583"/>
    <w:rsid w:val="380AC9C4"/>
    <w:rsid w:val="381488C0"/>
    <w:rsid w:val="3814CDD1"/>
    <w:rsid w:val="38173493"/>
    <w:rsid w:val="381BBC91"/>
    <w:rsid w:val="381BE708"/>
    <w:rsid w:val="381DB7AA"/>
    <w:rsid w:val="3830CC5C"/>
    <w:rsid w:val="3831456C"/>
    <w:rsid w:val="3831C12C"/>
    <w:rsid w:val="3832EF8B"/>
    <w:rsid w:val="383FEC8D"/>
    <w:rsid w:val="3840CACB"/>
    <w:rsid w:val="38501753"/>
    <w:rsid w:val="38573611"/>
    <w:rsid w:val="3858BF30"/>
    <w:rsid w:val="385B6CB8"/>
    <w:rsid w:val="385BFA3F"/>
    <w:rsid w:val="385DF38E"/>
    <w:rsid w:val="38654691"/>
    <w:rsid w:val="386D20FE"/>
    <w:rsid w:val="386ED54D"/>
    <w:rsid w:val="38705281"/>
    <w:rsid w:val="38714FC0"/>
    <w:rsid w:val="3873419E"/>
    <w:rsid w:val="3874E147"/>
    <w:rsid w:val="38751B5B"/>
    <w:rsid w:val="38774496"/>
    <w:rsid w:val="387A01CD"/>
    <w:rsid w:val="387B81EB"/>
    <w:rsid w:val="387C7E07"/>
    <w:rsid w:val="387FCE2F"/>
    <w:rsid w:val="38843F67"/>
    <w:rsid w:val="388B09CF"/>
    <w:rsid w:val="3891872C"/>
    <w:rsid w:val="389BD2E7"/>
    <w:rsid w:val="38A3A1AE"/>
    <w:rsid w:val="38A42A76"/>
    <w:rsid w:val="38B77075"/>
    <w:rsid w:val="38BE2D8A"/>
    <w:rsid w:val="38BE8CDF"/>
    <w:rsid w:val="38CF16D5"/>
    <w:rsid w:val="38CFB2C2"/>
    <w:rsid w:val="38D56077"/>
    <w:rsid w:val="38D777DD"/>
    <w:rsid w:val="38D97D49"/>
    <w:rsid w:val="38DA300E"/>
    <w:rsid w:val="38DC73A1"/>
    <w:rsid w:val="38DCA4D3"/>
    <w:rsid w:val="38DDFAD3"/>
    <w:rsid w:val="38E246D9"/>
    <w:rsid w:val="38F53842"/>
    <w:rsid w:val="39003301"/>
    <w:rsid w:val="39065825"/>
    <w:rsid w:val="39067943"/>
    <w:rsid w:val="390A3A32"/>
    <w:rsid w:val="390A6B09"/>
    <w:rsid w:val="390E3C14"/>
    <w:rsid w:val="390EA51B"/>
    <w:rsid w:val="39154328"/>
    <w:rsid w:val="3915D545"/>
    <w:rsid w:val="391771AB"/>
    <w:rsid w:val="391B7081"/>
    <w:rsid w:val="391EB304"/>
    <w:rsid w:val="391FA0EC"/>
    <w:rsid w:val="392DEA1A"/>
    <w:rsid w:val="392E4741"/>
    <w:rsid w:val="392ED3B4"/>
    <w:rsid w:val="3930CD8D"/>
    <w:rsid w:val="393824D7"/>
    <w:rsid w:val="393CE9F7"/>
    <w:rsid w:val="393DA4ED"/>
    <w:rsid w:val="3944E0CD"/>
    <w:rsid w:val="394647C5"/>
    <w:rsid w:val="395284D0"/>
    <w:rsid w:val="39568935"/>
    <w:rsid w:val="395A40DE"/>
    <w:rsid w:val="395D4117"/>
    <w:rsid w:val="3960E5B7"/>
    <w:rsid w:val="396AE7D4"/>
    <w:rsid w:val="396BE5E7"/>
    <w:rsid w:val="396F7E48"/>
    <w:rsid w:val="39700E1D"/>
    <w:rsid w:val="3972E1CA"/>
    <w:rsid w:val="39747B80"/>
    <w:rsid w:val="39792E54"/>
    <w:rsid w:val="397F4959"/>
    <w:rsid w:val="39839944"/>
    <w:rsid w:val="39878FB9"/>
    <w:rsid w:val="39893E94"/>
    <w:rsid w:val="398CDD75"/>
    <w:rsid w:val="39903C53"/>
    <w:rsid w:val="39A78995"/>
    <w:rsid w:val="39A94596"/>
    <w:rsid w:val="39C07CBF"/>
    <w:rsid w:val="39C0F833"/>
    <w:rsid w:val="39C7EACB"/>
    <w:rsid w:val="39CC4568"/>
    <w:rsid w:val="39D6E215"/>
    <w:rsid w:val="39D70070"/>
    <w:rsid w:val="39D70B71"/>
    <w:rsid w:val="39DC3891"/>
    <w:rsid w:val="39DDBCDA"/>
    <w:rsid w:val="39E0D9BC"/>
    <w:rsid w:val="39E4CCC6"/>
    <w:rsid w:val="39ED717C"/>
    <w:rsid w:val="39FCEFB4"/>
    <w:rsid w:val="39FE7EF7"/>
    <w:rsid w:val="3A02EDFF"/>
    <w:rsid w:val="3A12FD30"/>
    <w:rsid w:val="3A1E30D8"/>
    <w:rsid w:val="3A2CA304"/>
    <w:rsid w:val="3A2DAF4C"/>
    <w:rsid w:val="3A34B54E"/>
    <w:rsid w:val="3A39E468"/>
    <w:rsid w:val="3A3B103A"/>
    <w:rsid w:val="3A3D40E3"/>
    <w:rsid w:val="3A460374"/>
    <w:rsid w:val="3A4EE304"/>
    <w:rsid w:val="3A507998"/>
    <w:rsid w:val="3A527E72"/>
    <w:rsid w:val="3A55B6E3"/>
    <w:rsid w:val="3A582750"/>
    <w:rsid w:val="3A5AD9FA"/>
    <w:rsid w:val="3A5F9293"/>
    <w:rsid w:val="3A699A5F"/>
    <w:rsid w:val="3A6D4668"/>
    <w:rsid w:val="3A6F1AE2"/>
    <w:rsid w:val="3A78BDDC"/>
    <w:rsid w:val="3A7BF12F"/>
    <w:rsid w:val="3A7E8279"/>
    <w:rsid w:val="3A7F5F10"/>
    <w:rsid w:val="3A8A0DEE"/>
    <w:rsid w:val="3A8BD7EF"/>
    <w:rsid w:val="3A8C77CC"/>
    <w:rsid w:val="3A96A5A1"/>
    <w:rsid w:val="3A97E685"/>
    <w:rsid w:val="3A98AE45"/>
    <w:rsid w:val="3A99E40C"/>
    <w:rsid w:val="3A99EA25"/>
    <w:rsid w:val="3A9B5E10"/>
    <w:rsid w:val="3AA22ACF"/>
    <w:rsid w:val="3AA34F18"/>
    <w:rsid w:val="3AA64913"/>
    <w:rsid w:val="3AACFC0F"/>
    <w:rsid w:val="3AAEF9EC"/>
    <w:rsid w:val="3AAFB4E7"/>
    <w:rsid w:val="3AB01B41"/>
    <w:rsid w:val="3AB067C1"/>
    <w:rsid w:val="3AB0CC6E"/>
    <w:rsid w:val="3AB0D177"/>
    <w:rsid w:val="3AB1A10C"/>
    <w:rsid w:val="3ABF182D"/>
    <w:rsid w:val="3AC01D00"/>
    <w:rsid w:val="3ACC12B2"/>
    <w:rsid w:val="3ACC704D"/>
    <w:rsid w:val="3ACE8677"/>
    <w:rsid w:val="3AD3A1DB"/>
    <w:rsid w:val="3AE3055B"/>
    <w:rsid w:val="3AE3612A"/>
    <w:rsid w:val="3AE5520D"/>
    <w:rsid w:val="3AE62D8C"/>
    <w:rsid w:val="3AE9AC58"/>
    <w:rsid w:val="3AEEAEA3"/>
    <w:rsid w:val="3AF68B21"/>
    <w:rsid w:val="3AFBCAB8"/>
    <w:rsid w:val="3B01C8F9"/>
    <w:rsid w:val="3B0B0687"/>
    <w:rsid w:val="3B0BF61F"/>
    <w:rsid w:val="3B10AA62"/>
    <w:rsid w:val="3B10BF6B"/>
    <w:rsid w:val="3B1133ED"/>
    <w:rsid w:val="3B123DF7"/>
    <w:rsid w:val="3B16C0C1"/>
    <w:rsid w:val="3B187674"/>
    <w:rsid w:val="3B2238C9"/>
    <w:rsid w:val="3B229F13"/>
    <w:rsid w:val="3B23DA00"/>
    <w:rsid w:val="3B256548"/>
    <w:rsid w:val="3B271918"/>
    <w:rsid w:val="3B2B6B6D"/>
    <w:rsid w:val="3B2C20D0"/>
    <w:rsid w:val="3B2ED53A"/>
    <w:rsid w:val="3B313E61"/>
    <w:rsid w:val="3B3191DA"/>
    <w:rsid w:val="3B3C4BC8"/>
    <w:rsid w:val="3B3C6E07"/>
    <w:rsid w:val="3B3E0ABA"/>
    <w:rsid w:val="3B474668"/>
    <w:rsid w:val="3B483791"/>
    <w:rsid w:val="3B493134"/>
    <w:rsid w:val="3B4DB75E"/>
    <w:rsid w:val="3B4E810E"/>
    <w:rsid w:val="3B525F9D"/>
    <w:rsid w:val="3B5758F7"/>
    <w:rsid w:val="3B58F82E"/>
    <w:rsid w:val="3B5E18EB"/>
    <w:rsid w:val="3B5E6399"/>
    <w:rsid w:val="3B6585B0"/>
    <w:rsid w:val="3B6C871D"/>
    <w:rsid w:val="3B702A2F"/>
    <w:rsid w:val="3B71EE10"/>
    <w:rsid w:val="3B72BF54"/>
    <w:rsid w:val="3B79AA81"/>
    <w:rsid w:val="3B7D81B3"/>
    <w:rsid w:val="3B7F3328"/>
    <w:rsid w:val="3B8B6963"/>
    <w:rsid w:val="3B8C69FA"/>
    <w:rsid w:val="3B8CA73A"/>
    <w:rsid w:val="3B9021B2"/>
    <w:rsid w:val="3B90C5FF"/>
    <w:rsid w:val="3B9161A2"/>
    <w:rsid w:val="3B91A5A5"/>
    <w:rsid w:val="3B939A2D"/>
    <w:rsid w:val="3BA14534"/>
    <w:rsid w:val="3BA7834B"/>
    <w:rsid w:val="3BA9FD8C"/>
    <w:rsid w:val="3BAC9019"/>
    <w:rsid w:val="3BAC92B8"/>
    <w:rsid w:val="3BAEFC86"/>
    <w:rsid w:val="3BB09BDD"/>
    <w:rsid w:val="3BB263B2"/>
    <w:rsid w:val="3BB566CB"/>
    <w:rsid w:val="3BB8FBD8"/>
    <w:rsid w:val="3BBD3726"/>
    <w:rsid w:val="3BC5B418"/>
    <w:rsid w:val="3BCB9A65"/>
    <w:rsid w:val="3BD2BBFE"/>
    <w:rsid w:val="3BD31960"/>
    <w:rsid w:val="3BDA3A18"/>
    <w:rsid w:val="3BDC8015"/>
    <w:rsid w:val="3BDD418C"/>
    <w:rsid w:val="3BDE0042"/>
    <w:rsid w:val="3BE10366"/>
    <w:rsid w:val="3BE41960"/>
    <w:rsid w:val="3BE8599C"/>
    <w:rsid w:val="3BECC26F"/>
    <w:rsid w:val="3BF3C882"/>
    <w:rsid w:val="3BF9E290"/>
    <w:rsid w:val="3BFC2C73"/>
    <w:rsid w:val="3BFDA955"/>
    <w:rsid w:val="3BFF9D3E"/>
    <w:rsid w:val="3C0316D2"/>
    <w:rsid w:val="3C0358BD"/>
    <w:rsid w:val="3C0D4403"/>
    <w:rsid w:val="3C12843B"/>
    <w:rsid w:val="3C173925"/>
    <w:rsid w:val="3C1C89A3"/>
    <w:rsid w:val="3C239B6B"/>
    <w:rsid w:val="3C280312"/>
    <w:rsid w:val="3C3672E6"/>
    <w:rsid w:val="3C379B04"/>
    <w:rsid w:val="3C3BF33F"/>
    <w:rsid w:val="3C3CD02B"/>
    <w:rsid w:val="3C3E1430"/>
    <w:rsid w:val="3C403FAA"/>
    <w:rsid w:val="3C410DB9"/>
    <w:rsid w:val="3C47EEF9"/>
    <w:rsid w:val="3C4882E2"/>
    <w:rsid w:val="3C4949F5"/>
    <w:rsid w:val="3C4C9CCF"/>
    <w:rsid w:val="3C4F198E"/>
    <w:rsid w:val="3C4FC007"/>
    <w:rsid w:val="3C529B1B"/>
    <w:rsid w:val="3C57ACB1"/>
    <w:rsid w:val="3C5D4421"/>
    <w:rsid w:val="3C5DFCDF"/>
    <w:rsid w:val="3C70E60A"/>
    <w:rsid w:val="3C73DE5B"/>
    <w:rsid w:val="3C740135"/>
    <w:rsid w:val="3C753F21"/>
    <w:rsid w:val="3C758448"/>
    <w:rsid w:val="3C797BF2"/>
    <w:rsid w:val="3C7C9168"/>
    <w:rsid w:val="3C7F2A75"/>
    <w:rsid w:val="3C887EDE"/>
    <w:rsid w:val="3C8F21C0"/>
    <w:rsid w:val="3C91E1A0"/>
    <w:rsid w:val="3C924213"/>
    <w:rsid w:val="3C934344"/>
    <w:rsid w:val="3C951FEF"/>
    <w:rsid w:val="3C984799"/>
    <w:rsid w:val="3C987023"/>
    <w:rsid w:val="3C9B3803"/>
    <w:rsid w:val="3CA0D449"/>
    <w:rsid w:val="3CA4B724"/>
    <w:rsid w:val="3CA6152B"/>
    <w:rsid w:val="3CAE9C6C"/>
    <w:rsid w:val="3CAFAF71"/>
    <w:rsid w:val="3CB3FBFB"/>
    <w:rsid w:val="3CBB7770"/>
    <w:rsid w:val="3CBCEB80"/>
    <w:rsid w:val="3CBEBBB8"/>
    <w:rsid w:val="3CBEE396"/>
    <w:rsid w:val="3CC31A7A"/>
    <w:rsid w:val="3CC62E62"/>
    <w:rsid w:val="3CC74BB2"/>
    <w:rsid w:val="3CDC31D3"/>
    <w:rsid w:val="3CE55643"/>
    <w:rsid w:val="3CE6B44B"/>
    <w:rsid w:val="3CF2412C"/>
    <w:rsid w:val="3CF2A1A6"/>
    <w:rsid w:val="3CF3BEA2"/>
    <w:rsid w:val="3CFC431D"/>
    <w:rsid w:val="3D00C38A"/>
    <w:rsid w:val="3D01C38D"/>
    <w:rsid w:val="3D0357F7"/>
    <w:rsid w:val="3D055367"/>
    <w:rsid w:val="3D088AAE"/>
    <w:rsid w:val="3D0911BE"/>
    <w:rsid w:val="3D0AC795"/>
    <w:rsid w:val="3D0F2D35"/>
    <w:rsid w:val="3D118EA1"/>
    <w:rsid w:val="3D149951"/>
    <w:rsid w:val="3D20BB88"/>
    <w:rsid w:val="3D20C443"/>
    <w:rsid w:val="3D214AFF"/>
    <w:rsid w:val="3D22A33D"/>
    <w:rsid w:val="3D243E0F"/>
    <w:rsid w:val="3D24985B"/>
    <w:rsid w:val="3D2D563A"/>
    <w:rsid w:val="3D3096EF"/>
    <w:rsid w:val="3D3343F2"/>
    <w:rsid w:val="3D334DB7"/>
    <w:rsid w:val="3D33A766"/>
    <w:rsid w:val="3D35C755"/>
    <w:rsid w:val="3D37092C"/>
    <w:rsid w:val="3D389B75"/>
    <w:rsid w:val="3D4351E1"/>
    <w:rsid w:val="3D4D8FF4"/>
    <w:rsid w:val="3D52838A"/>
    <w:rsid w:val="3D5FF4E0"/>
    <w:rsid w:val="3D6305CA"/>
    <w:rsid w:val="3D679392"/>
    <w:rsid w:val="3D6E7BC5"/>
    <w:rsid w:val="3D6FB6A4"/>
    <w:rsid w:val="3D72A642"/>
    <w:rsid w:val="3D72CE23"/>
    <w:rsid w:val="3D845F59"/>
    <w:rsid w:val="3D8DA869"/>
    <w:rsid w:val="3D95021A"/>
    <w:rsid w:val="3D96ED99"/>
    <w:rsid w:val="3D997AAE"/>
    <w:rsid w:val="3D99AFA8"/>
    <w:rsid w:val="3D9B778E"/>
    <w:rsid w:val="3D9BB110"/>
    <w:rsid w:val="3D9F821E"/>
    <w:rsid w:val="3DA2DE8C"/>
    <w:rsid w:val="3DA4158C"/>
    <w:rsid w:val="3DA8F06B"/>
    <w:rsid w:val="3DAE2B09"/>
    <w:rsid w:val="3DB0AB44"/>
    <w:rsid w:val="3DB27B85"/>
    <w:rsid w:val="3DB4EEC3"/>
    <w:rsid w:val="3DB752CC"/>
    <w:rsid w:val="3DB77838"/>
    <w:rsid w:val="3DBC0220"/>
    <w:rsid w:val="3DC1723C"/>
    <w:rsid w:val="3DC90D50"/>
    <w:rsid w:val="3DC95C54"/>
    <w:rsid w:val="3DC9782B"/>
    <w:rsid w:val="3DC9D14E"/>
    <w:rsid w:val="3DCCDB86"/>
    <w:rsid w:val="3DD1D2FA"/>
    <w:rsid w:val="3DDC71D1"/>
    <w:rsid w:val="3DE1AD37"/>
    <w:rsid w:val="3DE2163E"/>
    <w:rsid w:val="3DE27A09"/>
    <w:rsid w:val="3DE3B8C8"/>
    <w:rsid w:val="3DE40C9E"/>
    <w:rsid w:val="3DE91AB0"/>
    <w:rsid w:val="3DF0DFF9"/>
    <w:rsid w:val="3DF42F18"/>
    <w:rsid w:val="3DF79AEA"/>
    <w:rsid w:val="3DFCDD2E"/>
    <w:rsid w:val="3DFE55A5"/>
    <w:rsid w:val="3E013AC4"/>
    <w:rsid w:val="3E0941F9"/>
    <w:rsid w:val="3E0DA0AF"/>
    <w:rsid w:val="3E0DF578"/>
    <w:rsid w:val="3E1006E0"/>
    <w:rsid w:val="3E142DA4"/>
    <w:rsid w:val="3E15B5C4"/>
    <w:rsid w:val="3E1EBB24"/>
    <w:rsid w:val="3E2E7772"/>
    <w:rsid w:val="3E30E24E"/>
    <w:rsid w:val="3E320EE7"/>
    <w:rsid w:val="3E330ED5"/>
    <w:rsid w:val="3E341DB8"/>
    <w:rsid w:val="3E39090D"/>
    <w:rsid w:val="3E3AD6C9"/>
    <w:rsid w:val="3E3E9413"/>
    <w:rsid w:val="3E4460F9"/>
    <w:rsid w:val="3E4B272A"/>
    <w:rsid w:val="3E50F994"/>
    <w:rsid w:val="3E510CB9"/>
    <w:rsid w:val="3E564F3B"/>
    <w:rsid w:val="3E649FEC"/>
    <w:rsid w:val="3E6ED966"/>
    <w:rsid w:val="3E711146"/>
    <w:rsid w:val="3E72DA3E"/>
    <w:rsid w:val="3E7501E7"/>
    <w:rsid w:val="3E7B784E"/>
    <w:rsid w:val="3E7FEC1E"/>
    <w:rsid w:val="3E82C306"/>
    <w:rsid w:val="3E87B7A6"/>
    <w:rsid w:val="3E88D1B3"/>
    <w:rsid w:val="3E935E2C"/>
    <w:rsid w:val="3E97F087"/>
    <w:rsid w:val="3E9F079E"/>
    <w:rsid w:val="3EA0A932"/>
    <w:rsid w:val="3EA9A83E"/>
    <w:rsid w:val="3EAC215B"/>
    <w:rsid w:val="3EAF9E80"/>
    <w:rsid w:val="3EB069B2"/>
    <w:rsid w:val="3EB18102"/>
    <w:rsid w:val="3EC401C2"/>
    <w:rsid w:val="3EC44D10"/>
    <w:rsid w:val="3EC4C3D9"/>
    <w:rsid w:val="3EC64EE3"/>
    <w:rsid w:val="3EC788E3"/>
    <w:rsid w:val="3ED1BA3D"/>
    <w:rsid w:val="3ED4110A"/>
    <w:rsid w:val="3ED5594F"/>
    <w:rsid w:val="3ED63792"/>
    <w:rsid w:val="3EE4E828"/>
    <w:rsid w:val="3EED78FE"/>
    <w:rsid w:val="3EEED1F6"/>
    <w:rsid w:val="3F05566E"/>
    <w:rsid w:val="3F0B569D"/>
    <w:rsid w:val="3F0B9BF9"/>
    <w:rsid w:val="3F0FF77D"/>
    <w:rsid w:val="3F14F5B6"/>
    <w:rsid w:val="3F1793D0"/>
    <w:rsid w:val="3F180950"/>
    <w:rsid w:val="3F1811D3"/>
    <w:rsid w:val="3F1A2ADC"/>
    <w:rsid w:val="3F1E8EFB"/>
    <w:rsid w:val="3F24DC7D"/>
    <w:rsid w:val="3F27F083"/>
    <w:rsid w:val="3F2C0D6E"/>
    <w:rsid w:val="3F3533AC"/>
    <w:rsid w:val="3F36C7E4"/>
    <w:rsid w:val="3F397A65"/>
    <w:rsid w:val="3F3F3E9E"/>
    <w:rsid w:val="3F40A871"/>
    <w:rsid w:val="3F4A4BE2"/>
    <w:rsid w:val="3F52083E"/>
    <w:rsid w:val="3F5418ED"/>
    <w:rsid w:val="3F58B10A"/>
    <w:rsid w:val="3F59192F"/>
    <w:rsid w:val="3F60BACD"/>
    <w:rsid w:val="3F61D748"/>
    <w:rsid w:val="3F63DC05"/>
    <w:rsid w:val="3F6642A9"/>
    <w:rsid w:val="3F713ACA"/>
    <w:rsid w:val="3F73E7B5"/>
    <w:rsid w:val="3F77D334"/>
    <w:rsid w:val="3F7F9EFB"/>
    <w:rsid w:val="3F834FB1"/>
    <w:rsid w:val="3F83F1DE"/>
    <w:rsid w:val="3F863D85"/>
    <w:rsid w:val="3F8B7251"/>
    <w:rsid w:val="3F8EECF0"/>
    <w:rsid w:val="3F8FCE58"/>
    <w:rsid w:val="3F90E066"/>
    <w:rsid w:val="3F93979A"/>
    <w:rsid w:val="3F969611"/>
    <w:rsid w:val="3F96A86C"/>
    <w:rsid w:val="3F97AFD0"/>
    <w:rsid w:val="3F9A2A75"/>
    <w:rsid w:val="3F9DDC04"/>
    <w:rsid w:val="3F9FA979"/>
    <w:rsid w:val="3F9FFB95"/>
    <w:rsid w:val="3FA19CEF"/>
    <w:rsid w:val="3FA2D854"/>
    <w:rsid w:val="3FA6AFB3"/>
    <w:rsid w:val="3FA9DBC8"/>
    <w:rsid w:val="3FA9FED2"/>
    <w:rsid w:val="3FAC5F59"/>
    <w:rsid w:val="3FAE8155"/>
    <w:rsid w:val="3FB0CA47"/>
    <w:rsid w:val="3FBD66B9"/>
    <w:rsid w:val="3FBD6F4E"/>
    <w:rsid w:val="3FBF3942"/>
    <w:rsid w:val="3FC1E81C"/>
    <w:rsid w:val="3FC3A7B1"/>
    <w:rsid w:val="3FC3F285"/>
    <w:rsid w:val="3FC40A9B"/>
    <w:rsid w:val="3FC9E6B0"/>
    <w:rsid w:val="3FD02881"/>
    <w:rsid w:val="3FE4D70B"/>
    <w:rsid w:val="3FEB661E"/>
    <w:rsid w:val="3FED12E9"/>
    <w:rsid w:val="3FEF175D"/>
    <w:rsid w:val="3FEFC77A"/>
    <w:rsid w:val="3FF504BD"/>
    <w:rsid w:val="3FF9001D"/>
    <w:rsid w:val="3FFDC922"/>
    <w:rsid w:val="3FFECF8F"/>
    <w:rsid w:val="3FFF86B0"/>
    <w:rsid w:val="4000736F"/>
    <w:rsid w:val="4000D425"/>
    <w:rsid w:val="4001AFCB"/>
    <w:rsid w:val="400203D1"/>
    <w:rsid w:val="40074FAC"/>
    <w:rsid w:val="400C05CE"/>
    <w:rsid w:val="40110D1F"/>
    <w:rsid w:val="401982E8"/>
    <w:rsid w:val="4020CCD7"/>
    <w:rsid w:val="402BDA2B"/>
    <w:rsid w:val="402D42CB"/>
    <w:rsid w:val="402D7BA6"/>
    <w:rsid w:val="402E62AC"/>
    <w:rsid w:val="402F1799"/>
    <w:rsid w:val="403132BB"/>
    <w:rsid w:val="403E134E"/>
    <w:rsid w:val="4041B9AA"/>
    <w:rsid w:val="4046A375"/>
    <w:rsid w:val="404D9FBC"/>
    <w:rsid w:val="405801E9"/>
    <w:rsid w:val="40592054"/>
    <w:rsid w:val="405B5F10"/>
    <w:rsid w:val="406E9132"/>
    <w:rsid w:val="4072693C"/>
    <w:rsid w:val="4079C597"/>
    <w:rsid w:val="407B1F3E"/>
    <w:rsid w:val="407BEF22"/>
    <w:rsid w:val="40871336"/>
    <w:rsid w:val="40885F60"/>
    <w:rsid w:val="408ED231"/>
    <w:rsid w:val="409335C0"/>
    <w:rsid w:val="4097340A"/>
    <w:rsid w:val="40998E9C"/>
    <w:rsid w:val="409AD16F"/>
    <w:rsid w:val="40A19520"/>
    <w:rsid w:val="40AFFAFA"/>
    <w:rsid w:val="40B04AF4"/>
    <w:rsid w:val="40B174ED"/>
    <w:rsid w:val="40B63CA0"/>
    <w:rsid w:val="40B65B9A"/>
    <w:rsid w:val="40B72660"/>
    <w:rsid w:val="40BB7370"/>
    <w:rsid w:val="40C1669A"/>
    <w:rsid w:val="40C1D824"/>
    <w:rsid w:val="40C35A85"/>
    <w:rsid w:val="40C3C0E4"/>
    <w:rsid w:val="40C9A4D8"/>
    <w:rsid w:val="40CA5F42"/>
    <w:rsid w:val="40CB6522"/>
    <w:rsid w:val="40D21980"/>
    <w:rsid w:val="40D3ECAD"/>
    <w:rsid w:val="40D8C832"/>
    <w:rsid w:val="40DA4E21"/>
    <w:rsid w:val="40E3039E"/>
    <w:rsid w:val="40E35551"/>
    <w:rsid w:val="40E9AC55"/>
    <w:rsid w:val="40EAF549"/>
    <w:rsid w:val="40F64C4F"/>
    <w:rsid w:val="40F793F7"/>
    <w:rsid w:val="40F97DF7"/>
    <w:rsid w:val="40FBB4FB"/>
    <w:rsid w:val="40FC1255"/>
    <w:rsid w:val="40FC42DB"/>
    <w:rsid w:val="40FC96F2"/>
    <w:rsid w:val="40FD2D83"/>
    <w:rsid w:val="41015CC7"/>
    <w:rsid w:val="41050C4B"/>
    <w:rsid w:val="4107F554"/>
    <w:rsid w:val="41087C2D"/>
    <w:rsid w:val="41092302"/>
    <w:rsid w:val="410AD577"/>
    <w:rsid w:val="410BDD95"/>
    <w:rsid w:val="410EC330"/>
    <w:rsid w:val="4114B14A"/>
    <w:rsid w:val="41157B54"/>
    <w:rsid w:val="41158A97"/>
    <w:rsid w:val="41191188"/>
    <w:rsid w:val="41194DF9"/>
    <w:rsid w:val="411D5D88"/>
    <w:rsid w:val="41277AC2"/>
    <w:rsid w:val="41283D11"/>
    <w:rsid w:val="412A8563"/>
    <w:rsid w:val="4130E4EC"/>
    <w:rsid w:val="4134F794"/>
    <w:rsid w:val="41365F5C"/>
    <w:rsid w:val="4136E2AE"/>
    <w:rsid w:val="4139675A"/>
    <w:rsid w:val="413D36A3"/>
    <w:rsid w:val="413F0D9E"/>
    <w:rsid w:val="413F861D"/>
    <w:rsid w:val="41451111"/>
    <w:rsid w:val="414CFD2A"/>
    <w:rsid w:val="414E4BD7"/>
    <w:rsid w:val="41531EAA"/>
    <w:rsid w:val="41537F0F"/>
    <w:rsid w:val="415B8B31"/>
    <w:rsid w:val="415C30D4"/>
    <w:rsid w:val="4169C20A"/>
    <w:rsid w:val="416BBFB9"/>
    <w:rsid w:val="416CCB44"/>
    <w:rsid w:val="416EB358"/>
    <w:rsid w:val="416F8BF6"/>
    <w:rsid w:val="4170ACD3"/>
    <w:rsid w:val="4171E0D4"/>
    <w:rsid w:val="4174AE8E"/>
    <w:rsid w:val="4175B90E"/>
    <w:rsid w:val="417636F8"/>
    <w:rsid w:val="417E205D"/>
    <w:rsid w:val="417E672D"/>
    <w:rsid w:val="4182B73C"/>
    <w:rsid w:val="418DDD87"/>
    <w:rsid w:val="418F0799"/>
    <w:rsid w:val="4193CFB5"/>
    <w:rsid w:val="41961907"/>
    <w:rsid w:val="41979ECC"/>
    <w:rsid w:val="4199E8CF"/>
    <w:rsid w:val="41A0E22D"/>
    <w:rsid w:val="41A5E4D7"/>
    <w:rsid w:val="41A8B63D"/>
    <w:rsid w:val="41AAA0CD"/>
    <w:rsid w:val="41ABAF8B"/>
    <w:rsid w:val="41B0AF77"/>
    <w:rsid w:val="41B0F777"/>
    <w:rsid w:val="41BB46A1"/>
    <w:rsid w:val="41BBD444"/>
    <w:rsid w:val="41C5274A"/>
    <w:rsid w:val="41CF493E"/>
    <w:rsid w:val="41D05F81"/>
    <w:rsid w:val="41D845EE"/>
    <w:rsid w:val="41D86A5E"/>
    <w:rsid w:val="41D8E490"/>
    <w:rsid w:val="41DA2CF2"/>
    <w:rsid w:val="41E0F2CA"/>
    <w:rsid w:val="41E0FC7B"/>
    <w:rsid w:val="41E2D096"/>
    <w:rsid w:val="41EC8DBA"/>
    <w:rsid w:val="41EE7B1F"/>
    <w:rsid w:val="41F2ED59"/>
    <w:rsid w:val="41F3E88F"/>
    <w:rsid w:val="41F8087A"/>
    <w:rsid w:val="41F977AA"/>
    <w:rsid w:val="41FF1C31"/>
    <w:rsid w:val="4204E2B0"/>
    <w:rsid w:val="42071FFA"/>
    <w:rsid w:val="420F7F98"/>
    <w:rsid w:val="4213C467"/>
    <w:rsid w:val="421470D0"/>
    <w:rsid w:val="4219B380"/>
    <w:rsid w:val="4227A4E9"/>
    <w:rsid w:val="4227CDD2"/>
    <w:rsid w:val="4228F00E"/>
    <w:rsid w:val="42299585"/>
    <w:rsid w:val="422AFDEE"/>
    <w:rsid w:val="42351184"/>
    <w:rsid w:val="4243130E"/>
    <w:rsid w:val="42435D86"/>
    <w:rsid w:val="4243B68E"/>
    <w:rsid w:val="425358E1"/>
    <w:rsid w:val="426E24E4"/>
    <w:rsid w:val="42739244"/>
    <w:rsid w:val="4273B6B6"/>
    <w:rsid w:val="428C0864"/>
    <w:rsid w:val="428EFE51"/>
    <w:rsid w:val="4291DC2C"/>
    <w:rsid w:val="4295A85D"/>
    <w:rsid w:val="42978F09"/>
    <w:rsid w:val="429A069B"/>
    <w:rsid w:val="429EDE6A"/>
    <w:rsid w:val="42A3759D"/>
    <w:rsid w:val="42A5999C"/>
    <w:rsid w:val="42A5D0F7"/>
    <w:rsid w:val="42AD9A80"/>
    <w:rsid w:val="42ADE433"/>
    <w:rsid w:val="42B6B398"/>
    <w:rsid w:val="42B9A216"/>
    <w:rsid w:val="42C35AFA"/>
    <w:rsid w:val="42CFAC0E"/>
    <w:rsid w:val="42D72497"/>
    <w:rsid w:val="42D78C90"/>
    <w:rsid w:val="42DF6473"/>
    <w:rsid w:val="42E5B630"/>
    <w:rsid w:val="42E7FAC7"/>
    <w:rsid w:val="42F04CF4"/>
    <w:rsid w:val="42F156AD"/>
    <w:rsid w:val="42F3CBCD"/>
    <w:rsid w:val="42FA8A4D"/>
    <w:rsid w:val="42FAB936"/>
    <w:rsid w:val="42FB2939"/>
    <w:rsid w:val="42FCD4EC"/>
    <w:rsid w:val="43096F10"/>
    <w:rsid w:val="430C13BA"/>
    <w:rsid w:val="430F951A"/>
    <w:rsid w:val="430FB627"/>
    <w:rsid w:val="4312C3A0"/>
    <w:rsid w:val="4315B7D1"/>
    <w:rsid w:val="432209B8"/>
    <w:rsid w:val="43270F32"/>
    <w:rsid w:val="43384D0B"/>
    <w:rsid w:val="43407C14"/>
    <w:rsid w:val="4341FCF5"/>
    <w:rsid w:val="4343706D"/>
    <w:rsid w:val="43469CE5"/>
    <w:rsid w:val="434B98B5"/>
    <w:rsid w:val="434F4597"/>
    <w:rsid w:val="435A3975"/>
    <w:rsid w:val="435D3146"/>
    <w:rsid w:val="4368B652"/>
    <w:rsid w:val="436B9861"/>
    <w:rsid w:val="43753C24"/>
    <w:rsid w:val="437556C7"/>
    <w:rsid w:val="438154B9"/>
    <w:rsid w:val="43841AD3"/>
    <w:rsid w:val="43862119"/>
    <w:rsid w:val="43868A6F"/>
    <w:rsid w:val="4387339D"/>
    <w:rsid w:val="43885D59"/>
    <w:rsid w:val="43926E9D"/>
    <w:rsid w:val="43959E88"/>
    <w:rsid w:val="43991054"/>
    <w:rsid w:val="439BBCCB"/>
    <w:rsid w:val="439EAC12"/>
    <w:rsid w:val="439F6B24"/>
    <w:rsid w:val="439F6DE1"/>
    <w:rsid w:val="439FDDE4"/>
    <w:rsid w:val="43A7D7CB"/>
    <w:rsid w:val="43A84225"/>
    <w:rsid w:val="43ACE7A9"/>
    <w:rsid w:val="43ADE8AE"/>
    <w:rsid w:val="43B25F76"/>
    <w:rsid w:val="43B31075"/>
    <w:rsid w:val="43B6F002"/>
    <w:rsid w:val="43BA38BD"/>
    <w:rsid w:val="43BAFDB9"/>
    <w:rsid w:val="43CE6927"/>
    <w:rsid w:val="43D8ADBF"/>
    <w:rsid w:val="43E780E8"/>
    <w:rsid w:val="43EDBBE5"/>
    <w:rsid w:val="43F20161"/>
    <w:rsid w:val="43F2D8A4"/>
    <w:rsid w:val="43F4EC76"/>
    <w:rsid w:val="43F51DE1"/>
    <w:rsid w:val="43F5A0D4"/>
    <w:rsid w:val="43FC4ECA"/>
    <w:rsid w:val="43FE68FE"/>
    <w:rsid w:val="440074C8"/>
    <w:rsid w:val="440A9C57"/>
    <w:rsid w:val="440E28B7"/>
    <w:rsid w:val="440E7D37"/>
    <w:rsid w:val="440E9AED"/>
    <w:rsid w:val="440EAA25"/>
    <w:rsid w:val="4413DF52"/>
    <w:rsid w:val="44196C55"/>
    <w:rsid w:val="44289B37"/>
    <w:rsid w:val="442FBA7B"/>
    <w:rsid w:val="44307BA0"/>
    <w:rsid w:val="4434122D"/>
    <w:rsid w:val="44363BFC"/>
    <w:rsid w:val="4438DF13"/>
    <w:rsid w:val="443FA863"/>
    <w:rsid w:val="444207A8"/>
    <w:rsid w:val="44447D27"/>
    <w:rsid w:val="444685E0"/>
    <w:rsid w:val="444C1DB2"/>
    <w:rsid w:val="4450268D"/>
    <w:rsid w:val="44519DF5"/>
    <w:rsid w:val="44565876"/>
    <w:rsid w:val="44659B2D"/>
    <w:rsid w:val="4467FD96"/>
    <w:rsid w:val="446D5B7E"/>
    <w:rsid w:val="446DBADB"/>
    <w:rsid w:val="446E01C6"/>
    <w:rsid w:val="44794188"/>
    <w:rsid w:val="447BC868"/>
    <w:rsid w:val="4483ADE7"/>
    <w:rsid w:val="448984A9"/>
    <w:rsid w:val="4489A421"/>
    <w:rsid w:val="4489CD47"/>
    <w:rsid w:val="448F1350"/>
    <w:rsid w:val="4491B584"/>
    <w:rsid w:val="449256F4"/>
    <w:rsid w:val="44971DBB"/>
    <w:rsid w:val="4497BE10"/>
    <w:rsid w:val="4499F330"/>
    <w:rsid w:val="449F65F8"/>
    <w:rsid w:val="449F7188"/>
    <w:rsid w:val="44A10FB6"/>
    <w:rsid w:val="44A505DE"/>
    <w:rsid w:val="44A54E42"/>
    <w:rsid w:val="44A9FB37"/>
    <w:rsid w:val="44B7EF3F"/>
    <w:rsid w:val="44B8E97A"/>
    <w:rsid w:val="44BABF05"/>
    <w:rsid w:val="44BC306D"/>
    <w:rsid w:val="44BE23AB"/>
    <w:rsid w:val="44BE4622"/>
    <w:rsid w:val="44BF565C"/>
    <w:rsid w:val="44C0E791"/>
    <w:rsid w:val="44C45FD7"/>
    <w:rsid w:val="44C7A5D8"/>
    <w:rsid w:val="44C88226"/>
    <w:rsid w:val="44CA7C2B"/>
    <w:rsid w:val="44CB2A65"/>
    <w:rsid w:val="44CEA262"/>
    <w:rsid w:val="44D080C6"/>
    <w:rsid w:val="44D940EA"/>
    <w:rsid w:val="44DC5ACE"/>
    <w:rsid w:val="44DC83C0"/>
    <w:rsid w:val="44E0239A"/>
    <w:rsid w:val="44E11265"/>
    <w:rsid w:val="44E92476"/>
    <w:rsid w:val="44EDEB7F"/>
    <w:rsid w:val="44EFF774"/>
    <w:rsid w:val="44F78160"/>
    <w:rsid w:val="44F92113"/>
    <w:rsid w:val="44FC60C0"/>
    <w:rsid w:val="450DFC41"/>
    <w:rsid w:val="4510DECC"/>
    <w:rsid w:val="451123B5"/>
    <w:rsid w:val="45161D67"/>
    <w:rsid w:val="45183B0A"/>
    <w:rsid w:val="451FDE63"/>
    <w:rsid w:val="4522725B"/>
    <w:rsid w:val="45296CF1"/>
    <w:rsid w:val="452ED92F"/>
    <w:rsid w:val="452FD6D7"/>
    <w:rsid w:val="45327B95"/>
    <w:rsid w:val="4535F53C"/>
    <w:rsid w:val="453CF49B"/>
    <w:rsid w:val="45409318"/>
    <w:rsid w:val="4540CB6A"/>
    <w:rsid w:val="4541751E"/>
    <w:rsid w:val="4547930F"/>
    <w:rsid w:val="4548B21E"/>
    <w:rsid w:val="454E5917"/>
    <w:rsid w:val="454EE0D6"/>
    <w:rsid w:val="455F3C1E"/>
    <w:rsid w:val="45604934"/>
    <w:rsid w:val="4560550B"/>
    <w:rsid w:val="456153FA"/>
    <w:rsid w:val="4562E5C8"/>
    <w:rsid w:val="45695686"/>
    <w:rsid w:val="456B06C5"/>
    <w:rsid w:val="456C2FF6"/>
    <w:rsid w:val="456CB246"/>
    <w:rsid w:val="456DD2E5"/>
    <w:rsid w:val="45735AE9"/>
    <w:rsid w:val="457679AB"/>
    <w:rsid w:val="4576E0BD"/>
    <w:rsid w:val="457C24E2"/>
    <w:rsid w:val="457E03B1"/>
    <w:rsid w:val="4580CFC8"/>
    <w:rsid w:val="458507C8"/>
    <w:rsid w:val="45864114"/>
    <w:rsid w:val="4588B3E4"/>
    <w:rsid w:val="45893A45"/>
    <w:rsid w:val="45906E59"/>
    <w:rsid w:val="45910CE7"/>
    <w:rsid w:val="4595F3A7"/>
    <w:rsid w:val="4596F677"/>
    <w:rsid w:val="45AFDED7"/>
    <w:rsid w:val="45B11EB3"/>
    <w:rsid w:val="45B2AC9A"/>
    <w:rsid w:val="45B43631"/>
    <w:rsid w:val="45B8A7E2"/>
    <w:rsid w:val="45B9DEA7"/>
    <w:rsid w:val="45C0F9E7"/>
    <w:rsid w:val="45C58DD6"/>
    <w:rsid w:val="45CA7AC2"/>
    <w:rsid w:val="45CEC691"/>
    <w:rsid w:val="45D0DBF7"/>
    <w:rsid w:val="45D55D0E"/>
    <w:rsid w:val="45DCF2F4"/>
    <w:rsid w:val="45DEA5EB"/>
    <w:rsid w:val="45E167A1"/>
    <w:rsid w:val="45E58A33"/>
    <w:rsid w:val="45F5E5AF"/>
    <w:rsid w:val="45FA5FA4"/>
    <w:rsid w:val="46050CAE"/>
    <w:rsid w:val="460C359A"/>
    <w:rsid w:val="460DF10A"/>
    <w:rsid w:val="460E364D"/>
    <w:rsid w:val="461C2D76"/>
    <w:rsid w:val="461C53A8"/>
    <w:rsid w:val="461DB827"/>
    <w:rsid w:val="46247A31"/>
    <w:rsid w:val="4629ABA1"/>
    <w:rsid w:val="46325D4B"/>
    <w:rsid w:val="46336957"/>
    <w:rsid w:val="463CC70A"/>
    <w:rsid w:val="4641A215"/>
    <w:rsid w:val="46484480"/>
    <w:rsid w:val="464BDE20"/>
    <w:rsid w:val="464CB966"/>
    <w:rsid w:val="464E37B7"/>
    <w:rsid w:val="4657D8AC"/>
    <w:rsid w:val="4659A66C"/>
    <w:rsid w:val="4661C5EE"/>
    <w:rsid w:val="4662A655"/>
    <w:rsid w:val="466F532D"/>
    <w:rsid w:val="4681BCB0"/>
    <w:rsid w:val="46824061"/>
    <w:rsid w:val="46838EB8"/>
    <w:rsid w:val="468520EA"/>
    <w:rsid w:val="4686E8ED"/>
    <w:rsid w:val="468B0726"/>
    <w:rsid w:val="468E4A35"/>
    <w:rsid w:val="4691A2CF"/>
    <w:rsid w:val="46925261"/>
    <w:rsid w:val="4693C639"/>
    <w:rsid w:val="4699A255"/>
    <w:rsid w:val="469FD787"/>
    <w:rsid w:val="46A4614E"/>
    <w:rsid w:val="46A5A428"/>
    <w:rsid w:val="46A9ABC1"/>
    <w:rsid w:val="46AAD189"/>
    <w:rsid w:val="46AAF427"/>
    <w:rsid w:val="46ADFCFE"/>
    <w:rsid w:val="46AE658E"/>
    <w:rsid w:val="46AEC233"/>
    <w:rsid w:val="46B29FC0"/>
    <w:rsid w:val="46B4A0B7"/>
    <w:rsid w:val="46B9E4EF"/>
    <w:rsid w:val="46BA30D5"/>
    <w:rsid w:val="46BC8E3D"/>
    <w:rsid w:val="46BFA0F8"/>
    <w:rsid w:val="46BFAC24"/>
    <w:rsid w:val="46BFD8A5"/>
    <w:rsid w:val="46C0899D"/>
    <w:rsid w:val="46C51597"/>
    <w:rsid w:val="46C74C32"/>
    <w:rsid w:val="46C87DED"/>
    <w:rsid w:val="46D53667"/>
    <w:rsid w:val="46D72B36"/>
    <w:rsid w:val="46DA8FAD"/>
    <w:rsid w:val="46DCBEAD"/>
    <w:rsid w:val="46DD0BB3"/>
    <w:rsid w:val="46E4106C"/>
    <w:rsid w:val="46E4B5B9"/>
    <w:rsid w:val="46E543F1"/>
    <w:rsid w:val="46EAB137"/>
    <w:rsid w:val="46EC890E"/>
    <w:rsid w:val="46F2023B"/>
    <w:rsid w:val="46F253AE"/>
    <w:rsid w:val="46F75D1E"/>
    <w:rsid w:val="46FE25E0"/>
    <w:rsid w:val="46FE3EFB"/>
    <w:rsid w:val="4702861B"/>
    <w:rsid w:val="4702E3AC"/>
    <w:rsid w:val="4702EF82"/>
    <w:rsid w:val="47045D9E"/>
    <w:rsid w:val="4707A76C"/>
    <w:rsid w:val="47091119"/>
    <w:rsid w:val="47094EC8"/>
    <w:rsid w:val="470A15BB"/>
    <w:rsid w:val="470AD495"/>
    <w:rsid w:val="470EE851"/>
    <w:rsid w:val="470F2406"/>
    <w:rsid w:val="4714B4EF"/>
    <w:rsid w:val="4714E765"/>
    <w:rsid w:val="4725FFEC"/>
    <w:rsid w:val="4728750C"/>
    <w:rsid w:val="472932FF"/>
    <w:rsid w:val="472CFB87"/>
    <w:rsid w:val="4736F4AC"/>
    <w:rsid w:val="4737C2DB"/>
    <w:rsid w:val="47398C2D"/>
    <w:rsid w:val="473D37C9"/>
    <w:rsid w:val="4743011D"/>
    <w:rsid w:val="474327EE"/>
    <w:rsid w:val="47437385"/>
    <w:rsid w:val="47478A77"/>
    <w:rsid w:val="47500692"/>
    <w:rsid w:val="4756ECFF"/>
    <w:rsid w:val="475A9683"/>
    <w:rsid w:val="475A9BDB"/>
    <w:rsid w:val="47653365"/>
    <w:rsid w:val="4768C341"/>
    <w:rsid w:val="476C84FD"/>
    <w:rsid w:val="476DDB2F"/>
    <w:rsid w:val="47744FB8"/>
    <w:rsid w:val="4775E81C"/>
    <w:rsid w:val="47779372"/>
    <w:rsid w:val="4779FFA0"/>
    <w:rsid w:val="477E7F6C"/>
    <w:rsid w:val="477F7E9A"/>
    <w:rsid w:val="478497CE"/>
    <w:rsid w:val="4786DB37"/>
    <w:rsid w:val="4788A946"/>
    <w:rsid w:val="47898285"/>
    <w:rsid w:val="478DFE5F"/>
    <w:rsid w:val="478F789E"/>
    <w:rsid w:val="4794523F"/>
    <w:rsid w:val="47988A33"/>
    <w:rsid w:val="4798FDA1"/>
    <w:rsid w:val="479F640D"/>
    <w:rsid w:val="47A006A7"/>
    <w:rsid w:val="47A22C33"/>
    <w:rsid w:val="47A702E4"/>
    <w:rsid w:val="47A85D5A"/>
    <w:rsid w:val="47AA95BA"/>
    <w:rsid w:val="47AE7517"/>
    <w:rsid w:val="47AFE4B4"/>
    <w:rsid w:val="47B0120B"/>
    <w:rsid w:val="47BB77A2"/>
    <w:rsid w:val="47BE983A"/>
    <w:rsid w:val="47C1416D"/>
    <w:rsid w:val="47C18C07"/>
    <w:rsid w:val="47D12EA4"/>
    <w:rsid w:val="47D45DDB"/>
    <w:rsid w:val="47D464C3"/>
    <w:rsid w:val="47D9547D"/>
    <w:rsid w:val="47DD848C"/>
    <w:rsid w:val="47E20BD3"/>
    <w:rsid w:val="47E3D186"/>
    <w:rsid w:val="47EAE059"/>
    <w:rsid w:val="47FECE8F"/>
    <w:rsid w:val="4802FD68"/>
    <w:rsid w:val="4803DCEE"/>
    <w:rsid w:val="48107228"/>
    <w:rsid w:val="48169774"/>
    <w:rsid w:val="481C4FCC"/>
    <w:rsid w:val="481D758D"/>
    <w:rsid w:val="48202BA5"/>
    <w:rsid w:val="4820F52C"/>
    <w:rsid w:val="48288883"/>
    <w:rsid w:val="482AEA50"/>
    <w:rsid w:val="482EF214"/>
    <w:rsid w:val="4838EF8D"/>
    <w:rsid w:val="483AA5E4"/>
    <w:rsid w:val="483DB0F0"/>
    <w:rsid w:val="484377CB"/>
    <w:rsid w:val="48438DE2"/>
    <w:rsid w:val="484814D7"/>
    <w:rsid w:val="4849D2B7"/>
    <w:rsid w:val="484CB6B5"/>
    <w:rsid w:val="484FC259"/>
    <w:rsid w:val="485232A7"/>
    <w:rsid w:val="48532427"/>
    <w:rsid w:val="4854B742"/>
    <w:rsid w:val="48555947"/>
    <w:rsid w:val="4857F544"/>
    <w:rsid w:val="485B4A91"/>
    <w:rsid w:val="485DB75D"/>
    <w:rsid w:val="485DD9C0"/>
    <w:rsid w:val="48600B2B"/>
    <w:rsid w:val="4860EF97"/>
    <w:rsid w:val="486249B9"/>
    <w:rsid w:val="486AAAAB"/>
    <w:rsid w:val="486CD633"/>
    <w:rsid w:val="48763E6D"/>
    <w:rsid w:val="4879A5F3"/>
    <w:rsid w:val="487DFF6C"/>
    <w:rsid w:val="488BF455"/>
    <w:rsid w:val="488E51AF"/>
    <w:rsid w:val="48922CBB"/>
    <w:rsid w:val="489C257B"/>
    <w:rsid w:val="48A284E7"/>
    <w:rsid w:val="48A84B71"/>
    <w:rsid w:val="48B00EE8"/>
    <w:rsid w:val="48B322C8"/>
    <w:rsid w:val="48B3BD17"/>
    <w:rsid w:val="48BCDDDF"/>
    <w:rsid w:val="48C4029A"/>
    <w:rsid w:val="48D3C4E7"/>
    <w:rsid w:val="48D48AF1"/>
    <w:rsid w:val="48D675E7"/>
    <w:rsid w:val="48E58B74"/>
    <w:rsid w:val="48EB1A79"/>
    <w:rsid w:val="48EBD6F3"/>
    <w:rsid w:val="48EF49B3"/>
    <w:rsid w:val="48F2AA15"/>
    <w:rsid w:val="48F56DE0"/>
    <w:rsid w:val="48FA4765"/>
    <w:rsid w:val="49026D97"/>
    <w:rsid w:val="49056413"/>
    <w:rsid w:val="490E226A"/>
    <w:rsid w:val="490EA32A"/>
    <w:rsid w:val="490FDC09"/>
    <w:rsid w:val="491255CA"/>
    <w:rsid w:val="49137241"/>
    <w:rsid w:val="49145E0B"/>
    <w:rsid w:val="4916A320"/>
    <w:rsid w:val="491770B2"/>
    <w:rsid w:val="491D21C3"/>
    <w:rsid w:val="491D310E"/>
    <w:rsid w:val="4920B2A2"/>
    <w:rsid w:val="492109BD"/>
    <w:rsid w:val="4922D007"/>
    <w:rsid w:val="49269C8C"/>
    <w:rsid w:val="492775AD"/>
    <w:rsid w:val="492B0766"/>
    <w:rsid w:val="4937A1B6"/>
    <w:rsid w:val="493914AB"/>
    <w:rsid w:val="493C3E08"/>
    <w:rsid w:val="493E8561"/>
    <w:rsid w:val="4947CEF1"/>
    <w:rsid w:val="4952F60F"/>
    <w:rsid w:val="4953DBB9"/>
    <w:rsid w:val="49541B29"/>
    <w:rsid w:val="4956FC29"/>
    <w:rsid w:val="4958954D"/>
    <w:rsid w:val="4958AEAD"/>
    <w:rsid w:val="495C356F"/>
    <w:rsid w:val="495C38BC"/>
    <w:rsid w:val="495CDE7B"/>
    <w:rsid w:val="495D6EA9"/>
    <w:rsid w:val="495F23CF"/>
    <w:rsid w:val="4963F951"/>
    <w:rsid w:val="4964A332"/>
    <w:rsid w:val="4971B5E1"/>
    <w:rsid w:val="49750C94"/>
    <w:rsid w:val="49751516"/>
    <w:rsid w:val="4975CC15"/>
    <w:rsid w:val="49763DA1"/>
    <w:rsid w:val="4977053D"/>
    <w:rsid w:val="497E4EDF"/>
    <w:rsid w:val="497F3DEC"/>
    <w:rsid w:val="49800065"/>
    <w:rsid w:val="49853651"/>
    <w:rsid w:val="49871D1D"/>
    <w:rsid w:val="498FD30B"/>
    <w:rsid w:val="499244EA"/>
    <w:rsid w:val="499792F7"/>
    <w:rsid w:val="4997BE8E"/>
    <w:rsid w:val="499FDF52"/>
    <w:rsid w:val="49A8180A"/>
    <w:rsid w:val="49AC120E"/>
    <w:rsid w:val="49B0A1C6"/>
    <w:rsid w:val="49B20B3A"/>
    <w:rsid w:val="49C31816"/>
    <w:rsid w:val="49C5D175"/>
    <w:rsid w:val="49C6BE9A"/>
    <w:rsid w:val="49C86697"/>
    <w:rsid w:val="49CCE574"/>
    <w:rsid w:val="49E67765"/>
    <w:rsid w:val="49F1E1BA"/>
    <w:rsid w:val="49FF60B8"/>
    <w:rsid w:val="4A03B36C"/>
    <w:rsid w:val="4A11A1BD"/>
    <w:rsid w:val="4A21D99B"/>
    <w:rsid w:val="4A22A073"/>
    <w:rsid w:val="4A235277"/>
    <w:rsid w:val="4A26C671"/>
    <w:rsid w:val="4A26EA84"/>
    <w:rsid w:val="4A33931E"/>
    <w:rsid w:val="4A37203A"/>
    <w:rsid w:val="4A3A290E"/>
    <w:rsid w:val="4A3B354B"/>
    <w:rsid w:val="4A3ECB08"/>
    <w:rsid w:val="4A3F2E35"/>
    <w:rsid w:val="4A4698DC"/>
    <w:rsid w:val="4A471443"/>
    <w:rsid w:val="4A493F52"/>
    <w:rsid w:val="4A4D887C"/>
    <w:rsid w:val="4A5136D7"/>
    <w:rsid w:val="4A58CE3A"/>
    <w:rsid w:val="4A6450F5"/>
    <w:rsid w:val="4A6DD9EC"/>
    <w:rsid w:val="4A762A58"/>
    <w:rsid w:val="4A76B0BD"/>
    <w:rsid w:val="4A777021"/>
    <w:rsid w:val="4A7A1C6F"/>
    <w:rsid w:val="4A7D6A3B"/>
    <w:rsid w:val="4A7DA834"/>
    <w:rsid w:val="4A7E1EDD"/>
    <w:rsid w:val="4A7FED23"/>
    <w:rsid w:val="4A839594"/>
    <w:rsid w:val="4A90FBF1"/>
    <w:rsid w:val="4A94FB56"/>
    <w:rsid w:val="4A9AA258"/>
    <w:rsid w:val="4A9C153E"/>
    <w:rsid w:val="4AA0C0DA"/>
    <w:rsid w:val="4AA365D2"/>
    <w:rsid w:val="4AA3D5CE"/>
    <w:rsid w:val="4AAD4F72"/>
    <w:rsid w:val="4AB097D1"/>
    <w:rsid w:val="4AC30A54"/>
    <w:rsid w:val="4AC6F37C"/>
    <w:rsid w:val="4AC95684"/>
    <w:rsid w:val="4AC98216"/>
    <w:rsid w:val="4ACA141C"/>
    <w:rsid w:val="4ACAFC93"/>
    <w:rsid w:val="4AD4C975"/>
    <w:rsid w:val="4AD626B6"/>
    <w:rsid w:val="4AD6BF9D"/>
    <w:rsid w:val="4AE07009"/>
    <w:rsid w:val="4AE17082"/>
    <w:rsid w:val="4AE28012"/>
    <w:rsid w:val="4AEF7B62"/>
    <w:rsid w:val="4AF002BA"/>
    <w:rsid w:val="4AF2AA5E"/>
    <w:rsid w:val="4AF8FAFB"/>
    <w:rsid w:val="4AFA9F4C"/>
    <w:rsid w:val="4AFD38A8"/>
    <w:rsid w:val="4B001385"/>
    <w:rsid w:val="4B02C557"/>
    <w:rsid w:val="4B02E14C"/>
    <w:rsid w:val="4B0AFA6E"/>
    <w:rsid w:val="4B0B4AF3"/>
    <w:rsid w:val="4B159F2B"/>
    <w:rsid w:val="4B15F956"/>
    <w:rsid w:val="4B18832B"/>
    <w:rsid w:val="4B279C42"/>
    <w:rsid w:val="4B2B4350"/>
    <w:rsid w:val="4B2E226A"/>
    <w:rsid w:val="4B2E5D31"/>
    <w:rsid w:val="4B35CD3B"/>
    <w:rsid w:val="4B421193"/>
    <w:rsid w:val="4B49D55D"/>
    <w:rsid w:val="4B4FE9AF"/>
    <w:rsid w:val="4B542E84"/>
    <w:rsid w:val="4B58748E"/>
    <w:rsid w:val="4B5B8361"/>
    <w:rsid w:val="4B5B9E98"/>
    <w:rsid w:val="4B5BDD5A"/>
    <w:rsid w:val="4B5DA326"/>
    <w:rsid w:val="4B619102"/>
    <w:rsid w:val="4B63D150"/>
    <w:rsid w:val="4B6607A5"/>
    <w:rsid w:val="4B685E70"/>
    <w:rsid w:val="4B6B5F8B"/>
    <w:rsid w:val="4B6CBE53"/>
    <w:rsid w:val="4B6DD4B3"/>
    <w:rsid w:val="4B714BB9"/>
    <w:rsid w:val="4B7D32A4"/>
    <w:rsid w:val="4B814AC7"/>
    <w:rsid w:val="4B84E23E"/>
    <w:rsid w:val="4B84F6CE"/>
    <w:rsid w:val="4B8C0D8A"/>
    <w:rsid w:val="4B912BAF"/>
    <w:rsid w:val="4B9F9BE6"/>
    <w:rsid w:val="4BA70993"/>
    <w:rsid w:val="4BAD5E87"/>
    <w:rsid w:val="4BB0991A"/>
    <w:rsid w:val="4BB3AA90"/>
    <w:rsid w:val="4BB6537E"/>
    <w:rsid w:val="4BBEEA2C"/>
    <w:rsid w:val="4BC216EB"/>
    <w:rsid w:val="4BC5BD6F"/>
    <w:rsid w:val="4BCA4A14"/>
    <w:rsid w:val="4BCBE7DC"/>
    <w:rsid w:val="4BDB1592"/>
    <w:rsid w:val="4BDDBC63"/>
    <w:rsid w:val="4BE1463E"/>
    <w:rsid w:val="4BE38F9A"/>
    <w:rsid w:val="4BE769ED"/>
    <w:rsid w:val="4BEC88A2"/>
    <w:rsid w:val="4BF69DE7"/>
    <w:rsid w:val="4BF90B6A"/>
    <w:rsid w:val="4BFBB72E"/>
    <w:rsid w:val="4BFFD37C"/>
    <w:rsid w:val="4C008A8B"/>
    <w:rsid w:val="4C038592"/>
    <w:rsid w:val="4C0914B0"/>
    <w:rsid w:val="4C0A3939"/>
    <w:rsid w:val="4C105569"/>
    <w:rsid w:val="4C163320"/>
    <w:rsid w:val="4C17A9E5"/>
    <w:rsid w:val="4C1A7BC9"/>
    <w:rsid w:val="4C1CD7DE"/>
    <w:rsid w:val="4C1CFB01"/>
    <w:rsid w:val="4C20EC98"/>
    <w:rsid w:val="4C223FC4"/>
    <w:rsid w:val="4C29E9E3"/>
    <w:rsid w:val="4C2E8AA0"/>
    <w:rsid w:val="4C2EDBC7"/>
    <w:rsid w:val="4C376DF6"/>
    <w:rsid w:val="4C382364"/>
    <w:rsid w:val="4C3B3887"/>
    <w:rsid w:val="4C3D0D7D"/>
    <w:rsid w:val="4C414DE1"/>
    <w:rsid w:val="4C47F177"/>
    <w:rsid w:val="4C4947F2"/>
    <w:rsid w:val="4C4ABDC8"/>
    <w:rsid w:val="4C4CF93D"/>
    <w:rsid w:val="4C4F0A2D"/>
    <w:rsid w:val="4C570FE4"/>
    <w:rsid w:val="4C5A5017"/>
    <w:rsid w:val="4C60A139"/>
    <w:rsid w:val="4C68A04D"/>
    <w:rsid w:val="4C6B4DB5"/>
    <w:rsid w:val="4C7454BF"/>
    <w:rsid w:val="4C75FFA8"/>
    <w:rsid w:val="4C7E5073"/>
    <w:rsid w:val="4C81088E"/>
    <w:rsid w:val="4C8360DF"/>
    <w:rsid w:val="4C8726DC"/>
    <w:rsid w:val="4C899503"/>
    <w:rsid w:val="4C8E17C7"/>
    <w:rsid w:val="4C8EB4EB"/>
    <w:rsid w:val="4C909BFC"/>
    <w:rsid w:val="4C945995"/>
    <w:rsid w:val="4C974F4F"/>
    <w:rsid w:val="4C978288"/>
    <w:rsid w:val="4C9AEEC2"/>
    <w:rsid w:val="4C9B3D43"/>
    <w:rsid w:val="4C9B4ABE"/>
    <w:rsid w:val="4C9BF9F2"/>
    <w:rsid w:val="4C9ECB2F"/>
    <w:rsid w:val="4CA04666"/>
    <w:rsid w:val="4CA1B583"/>
    <w:rsid w:val="4CA5CE0D"/>
    <w:rsid w:val="4CA96753"/>
    <w:rsid w:val="4CAF300E"/>
    <w:rsid w:val="4CBF1C8F"/>
    <w:rsid w:val="4CC09415"/>
    <w:rsid w:val="4CC1CEDC"/>
    <w:rsid w:val="4CC51513"/>
    <w:rsid w:val="4CC5DE4C"/>
    <w:rsid w:val="4CD1B3BF"/>
    <w:rsid w:val="4CDB5D9E"/>
    <w:rsid w:val="4CDC3494"/>
    <w:rsid w:val="4CDC53F9"/>
    <w:rsid w:val="4CE3CADC"/>
    <w:rsid w:val="4CF1164E"/>
    <w:rsid w:val="4CF719E1"/>
    <w:rsid w:val="4CF79F1C"/>
    <w:rsid w:val="4D04BCE2"/>
    <w:rsid w:val="4D087FF0"/>
    <w:rsid w:val="4D0AD9FB"/>
    <w:rsid w:val="4D0C469A"/>
    <w:rsid w:val="4D0C74B1"/>
    <w:rsid w:val="4D1C7175"/>
    <w:rsid w:val="4D22C861"/>
    <w:rsid w:val="4D2340D3"/>
    <w:rsid w:val="4D23ABD3"/>
    <w:rsid w:val="4D2476F3"/>
    <w:rsid w:val="4D26E332"/>
    <w:rsid w:val="4D2C5887"/>
    <w:rsid w:val="4D306305"/>
    <w:rsid w:val="4D33A07B"/>
    <w:rsid w:val="4D34D72C"/>
    <w:rsid w:val="4D369B36"/>
    <w:rsid w:val="4D39238F"/>
    <w:rsid w:val="4D3C20E9"/>
    <w:rsid w:val="4D3E9B5A"/>
    <w:rsid w:val="4D428EAB"/>
    <w:rsid w:val="4D45436D"/>
    <w:rsid w:val="4D46E39B"/>
    <w:rsid w:val="4D4C29B0"/>
    <w:rsid w:val="4D505BA0"/>
    <w:rsid w:val="4D520DA6"/>
    <w:rsid w:val="4D584635"/>
    <w:rsid w:val="4D5D3705"/>
    <w:rsid w:val="4D5FB193"/>
    <w:rsid w:val="4D6DE6EA"/>
    <w:rsid w:val="4D708794"/>
    <w:rsid w:val="4D71C9D0"/>
    <w:rsid w:val="4D7B43A2"/>
    <w:rsid w:val="4D801318"/>
    <w:rsid w:val="4D8308BC"/>
    <w:rsid w:val="4D87FCF4"/>
    <w:rsid w:val="4D8CDC3F"/>
    <w:rsid w:val="4D8DD541"/>
    <w:rsid w:val="4D9260C7"/>
    <w:rsid w:val="4D999DA8"/>
    <w:rsid w:val="4D99BA84"/>
    <w:rsid w:val="4D9AF9DF"/>
    <w:rsid w:val="4D9B40EC"/>
    <w:rsid w:val="4D9C40BB"/>
    <w:rsid w:val="4D9DC891"/>
    <w:rsid w:val="4D9EDEBC"/>
    <w:rsid w:val="4DA73E3C"/>
    <w:rsid w:val="4DABC9A2"/>
    <w:rsid w:val="4DB281D2"/>
    <w:rsid w:val="4DBBDB1C"/>
    <w:rsid w:val="4DBC6D2D"/>
    <w:rsid w:val="4DBE6787"/>
    <w:rsid w:val="4DC2B7DF"/>
    <w:rsid w:val="4DCB698C"/>
    <w:rsid w:val="4DD247DB"/>
    <w:rsid w:val="4DD47193"/>
    <w:rsid w:val="4DD750EB"/>
    <w:rsid w:val="4DE26439"/>
    <w:rsid w:val="4DE46E19"/>
    <w:rsid w:val="4DE88C8C"/>
    <w:rsid w:val="4DEA8882"/>
    <w:rsid w:val="4DEB1AB6"/>
    <w:rsid w:val="4DEF9C81"/>
    <w:rsid w:val="4DFBB5FB"/>
    <w:rsid w:val="4DFD7637"/>
    <w:rsid w:val="4DFF9672"/>
    <w:rsid w:val="4E0019B8"/>
    <w:rsid w:val="4E01F84C"/>
    <w:rsid w:val="4E064B36"/>
    <w:rsid w:val="4E0CCFB4"/>
    <w:rsid w:val="4E1424AD"/>
    <w:rsid w:val="4E17298C"/>
    <w:rsid w:val="4E182520"/>
    <w:rsid w:val="4E201F38"/>
    <w:rsid w:val="4E2B4C06"/>
    <w:rsid w:val="4E2E9D93"/>
    <w:rsid w:val="4E31CDE5"/>
    <w:rsid w:val="4E33052D"/>
    <w:rsid w:val="4E336442"/>
    <w:rsid w:val="4E33F8E4"/>
    <w:rsid w:val="4E3BE2CF"/>
    <w:rsid w:val="4E40716B"/>
    <w:rsid w:val="4E40BFF4"/>
    <w:rsid w:val="4E41A1F0"/>
    <w:rsid w:val="4E4A8DE0"/>
    <w:rsid w:val="4E4E5EF4"/>
    <w:rsid w:val="4E504C6F"/>
    <w:rsid w:val="4E5323C3"/>
    <w:rsid w:val="4E53597A"/>
    <w:rsid w:val="4E59465B"/>
    <w:rsid w:val="4E5A07CC"/>
    <w:rsid w:val="4E5B9841"/>
    <w:rsid w:val="4E5D24F7"/>
    <w:rsid w:val="4E5FA0D6"/>
    <w:rsid w:val="4E610E16"/>
    <w:rsid w:val="4E632541"/>
    <w:rsid w:val="4E632B9F"/>
    <w:rsid w:val="4E6A25CD"/>
    <w:rsid w:val="4E6A5E37"/>
    <w:rsid w:val="4E6B9792"/>
    <w:rsid w:val="4E6C2B8C"/>
    <w:rsid w:val="4E7413C6"/>
    <w:rsid w:val="4E74941F"/>
    <w:rsid w:val="4E7692B4"/>
    <w:rsid w:val="4E8198BD"/>
    <w:rsid w:val="4E8A8317"/>
    <w:rsid w:val="4E8B40BD"/>
    <w:rsid w:val="4E91AFC7"/>
    <w:rsid w:val="4E9212C7"/>
    <w:rsid w:val="4E950F84"/>
    <w:rsid w:val="4E9AC97A"/>
    <w:rsid w:val="4E9C5C19"/>
    <w:rsid w:val="4E9E9135"/>
    <w:rsid w:val="4EA07F7E"/>
    <w:rsid w:val="4EA57FE5"/>
    <w:rsid w:val="4EB646A2"/>
    <w:rsid w:val="4EB85138"/>
    <w:rsid w:val="4EB9433A"/>
    <w:rsid w:val="4EC24235"/>
    <w:rsid w:val="4EC908C6"/>
    <w:rsid w:val="4EC99A10"/>
    <w:rsid w:val="4ECB3208"/>
    <w:rsid w:val="4ECC2282"/>
    <w:rsid w:val="4ED0309C"/>
    <w:rsid w:val="4ED0CD36"/>
    <w:rsid w:val="4ED627C3"/>
    <w:rsid w:val="4EDAF9CB"/>
    <w:rsid w:val="4EDD0319"/>
    <w:rsid w:val="4EDDF580"/>
    <w:rsid w:val="4EE0009F"/>
    <w:rsid w:val="4EE2E0D4"/>
    <w:rsid w:val="4EE7CEC9"/>
    <w:rsid w:val="4F079D14"/>
    <w:rsid w:val="4F0D042D"/>
    <w:rsid w:val="4F1638C1"/>
    <w:rsid w:val="4F17E195"/>
    <w:rsid w:val="4F19F85C"/>
    <w:rsid w:val="4F1CE77B"/>
    <w:rsid w:val="4F25F900"/>
    <w:rsid w:val="4F2620F9"/>
    <w:rsid w:val="4F2A1B4C"/>
    <w:rsid w:val="4F2CEFDA"/>
    <w:rsid w:val="4F31F84C"/>
    <w:rsid w:val="4F4263B5"/>
    <w:rsid w:val="4F42AD2C"/>
    <w:rsid w:val="4F44E539"/>
    <w:rsid w:val="4F49EC81"/>
    <w:rsid w:val="4F4EDB5E"/>
    <w:rsid w:val="4F5140BC"/>
    <w:rsid w:val="4F520597"/>
    <w:rsid w:val="4F54AE77"/>
    <w:rsid w:val="4F60FE09"/>
    <w:rsid w:val="4F610803"/>
    <w:rsid w:val="4F619EBB"/>
    <w:rsid w:val="4F631745"/>
    <w:rsid w:val="4F648FA0"/>
    <w:rsid w:val="4F6D2A13"/>
    <w:rsid w:val="4F6F2665"/>
    <w:rsid w:val="4F76726D"/>
    <w:rsid w:val="4F8972A5"/>
    <w:rsid w:val="4F8B9855"/>
    <w:rsid w:val="4F922C30"/>
    <w:rsid w:val="4F98BA96"/>
    <w:rsid w:val="4F991C59"/>
    <w:rsid w:val="4FA12457"/>
    <w:rsid w:val="4FA5279E"/>
    <w:rsid w:val="4FAF3E08"/>
    <w:rsid w:val="4FB14FA0"/>
    <w:rsid w:val="4FB285AB"/>
    <w:rsid w:val="4FBA95E7"/>
    <w:rsid w:val="4FBAB465"/>
    <w:rsid w:val="4FBB4D17"/>
    <w:rsid w:val="4FBE8776"/>
    <w:rsid w:val="4FC3C703"/>
    <w:rsid w:val="4FC576A2"/>
    <w:rsid w:val="4FC57F6D"/>
    <w:rsid w:val="4FC7EEBF"/>
    <w:rsid w:val="4FC8081A"/>
    <w:rsid w:val="4FC88FFA"/>
    <w:rsid w:val="4FCC5A7D"/>
    <w:rsid w:val="4FDB9EE8"/>
    <w:rsid w:val="4FDD8765"/>
    <w:rsid w:val="4FDF7CD1"/>
    <w:rsid w:val="4FE25C69"/>
    <w:rsid w:val="4FE4386E"/>
    <w:rsid w:val="4FE58CD6"/>
    <w:rsid w:val="4FE5EAE0"/>
    <w:rsid w:val="4FE5F98B"/>
    <w:rsid w:val="4FEAD503"/>
    <w:rsid w:val="4FEB386F"/>
    <w:rsid w:val="4FEC5123"/>
    <w:rsid w:val="4FEE047C"/>
    <w:rsid w:val="4FF6503D"/>
    <w:rsid w:val="4FF99C62"/>
    <w:rsid w:val="4FFB2423"/>
    <w:rsid w:val="4FFBE914"/>
    <w:rsid w:val="4FFC0E96"/>
    <w:rsid w:val="4FFE7CFC"/>
    <w:rsid w:val="5000DEC4"/>
    <w:rsid w:val="50013A23"/>
    <w:rsid w:val="5001E085"/>
    <w:rsid w:val="5003A999"/>
    <w:rsid w:val="5006A80C"/>
    <w:rsid w:val="50080A06"/>
    <w:rsid w:val="500B7F0C"/>
    <w:rsid w:val="500CBD82"/>
    <w:rsid w:val="500D409A"/>
    <w:rsid w:val="50202BEC"/>
    <w:rsid w:val="5021D6C7"/>
    <w:rsid w:val="50280F39"/>
    <w:rsid w:val="502B56EC"/>
    <w:rsid w:val="502BC13F"/>
    <w:rsid w:val="502F02B4"/>
    <w:rsid w:val="5032F40C"/>
    <w:rsid w:val="5034893D"/>
    <w:rsid w:val="503CA4B7"/>
    <w:rsid w:val="503FAC70"/>
    <w:rsid w:val="504020B2"/>
    <w:rsid w:val="5044094F"/>
    <w:rsid w:val="50458E15"/>
    <w:rsid w:val="5045B26D"/>
    <w:rsid w:val="5048A5C1"/>
    <w:rsid w:val="50547FAA"/>
    <w:rsid w:val="50563451"/>
    <w:rsid w:val="5059F8EE"/>
    <w:rsid w:val="505A7AA8"/>
    <w:rsid w:val="50622303"/>
    <w:rsid w:val="5063FD07"/>
    <w:rsid w:val="50660BAE"/>
    <w:rsid w:val="506705CE"/>
    <w:rsid w:val="50672621"/>
    <w:rsid w:val="506886CB"/>
    <w:rsid w:val="507665EC"/>
    <w:rsid w:val="507C51BC"/>
    <w:rsid w:val="508344B2"/>
    <w:rsid w:val="508519C5"/>
    <w:rsid w:val="50864033"/>
    <w:rsid w:val="508D7900"/>
    <w:rsid w:val="508E928F"/>
    <w:rsid w:val="508F3592"/>
    <w:rsid w:val="5095A3E1"/>
    <w:rsid w:val="5098DF9B"/>
    <w:rsid w:val="509FD7C6"/>
    <w:rsid w:val="50A18324"/>
    <w:rsid w:val="50A4EFB9"/>
    <w:rsid w:val="50A8C0E6"/>
    <w:rsid w:val="50B1C63E"/>
    <w:rsid w:val="50BDE395"/>
    <w:rsid w:val="50C11718"/>
    <w:rsid w:val="50C13726"/>
    <w:rsid w:val="50C28634"/>
    <w:rsid w:val="50C3856C"/>
    <w:rsid w:val="50C94ABD"/>
    <w:rsid w:val="50CBFC02"/>
    <w:rsid w:val="50CFC3B5"/>
    <w:rsid w:val="50D1E116"/>
    <w:rsid w:val="50D2C1B6"/>
    <w:rsid w:val="50D6AF0F"/>
    <w:rsid w:val="50DED17B"/>
    <w:rsid w:val="50DF44AF"/>
    <w:rsid w:val="50E10438"/>
    <w:rsid w:val="50E327CC"/>
    <w:rsid w:val="50E7A028"/>
    <w:rsid w:val="50EC99E1"/>
    <w:rsid w:val="50EF5D43"/>
    <w:rsid w:val="50F0C2F8"/>
    <w:rsid w:val="50FECE88"/>
    <w:rsid w:val="50FFF724"/>
    <w:rsid w:val="510B911C"/>
    <w:rsid w:val="51113C5E"/>
    <w:rsid w:val="5113D2B9"/>
    <w:rsid w:val="5114735D"/>
    <w:rsid w:val="5114C8EC"/>
    <w:rsid w:val="5117D98E"/>
    <w:rsid w:val="5119449C"/>
    <w:rsid w:val="512163B8"/>
    <w:rsid w:val="5129C6A3"/>
    <w:rsid w:val="512A627D"/>
    <w:rsid w:val="512F309E"/>
    <w:rsid w:val="512FDA51"/>
    <w:rsid w:val="5132C81B"/>
    <w:rsid w:val="513C5D3F"/>
    <w:rsid w:val="513CD79E"/>
    <w:rsid w:val="5149D455"/>
    <w:rsid w:val="5151E952"/>
    <w:rsid w:val="5156EC52"/>
    <w:rsid w:val="515C86FF"/>
    <w:rsid w:val="515D62B1"/>
    <w:rsid w:val="51682729"/>
    <w:rsid w:val="516B0E7A"/>
    <w:rsid w:val="516EF771"/>
    <w:rsid w:val="5170F65B"/>
    <w:rsid w:val="517499D4"/>
    <w:rsid w:val="5174A10D"/>
    <w:rsid w:val="5174DA4F"/>
    <w:rsid w:val="51762219"/>
    <w:rsid w:val="5179104B"/>
    <w:rsid w:val="517ED37A"/>
    <w:rsid w:val="518065B8"/>
    <w:rsid w:val="51898E92"/>
    <w:rsid w:val="518BB12D"/>
    <w:rsid w:val="51912254"/>
    <w:rsid w:val="5191AD29"/>
    <w:rsid w:val="5194C4D2"/>
    <w:rsid w:val="51953FFF"/>
    <w:rsid w:val="5195A830"/>
    <w:rsid w:val="5196A200"/>
    <w:rsid w:val="519B9BED"/>
    <w:rsid w:val="519ED6B0"/>
    <w:rsid w:val="51AA0E3B"/>
    <w:rsid w:val="51AE3BA2"/>
    <w:rsid w:val="51B195AB"/>
    <w:rsid w:val="51B309DC"/>
    <w:rsid w:val="51B86E55"/>
    <w:rsid w:val="51BAB45D"/>
    <w:rsid w:val="51C1DD3C"/>
    <w:rsid w:val="51C33E32"/>
    <w:rsid w:val="51C379DF"/>
    <w:rsid w:val="51C4C28F"/>
    <w:rsid w:val="51C86E59"/>
    <w:rsid w:val="51C95D71"/>
    <w:rsid w:val="51C96CAB"/>
    <w:rsid w:val="51CB5D8E"/>
    <w:rsid w:val="51CD8EF1"/>
    <w:rsid w:val="51CEDDE2"/>
    <w:rsid w:val="51CF1193"/>
    <w:rsid w:val="51D7C276"/>
    <w:rsid w:val="51D97760"/>
    <w:rsid w:val="51DAF323"/>
    <w:rsid w:val="51DCD995"/>
    <w:rsid w:val="51DE6A7D"/>
    <w:rsid w:val="51E0309E"/>
    <w:rsid w:val="51E25C95"/>
    <w:rsid w:val="51E85E3E"/>
    <w:rsid w:val="51E8BB28"/>
    <w:rsid w:val="51F2566F"/>
    <w:rsid w:val="51F50088"/>
    <w:rsid w:val="51F57611"/>
    <w:rsid w:val="51F78A6D"/>
    <w:rsid w:val="51F81C91"/>
    <w:rsid w:val="51F8C7A3"/>
    <w:rsid w:val="51FA30B2"/>
    <w:rsid w:val="51FEB1D2"/>
    <w:rsid w:val="51FF40E4"/>
    <w:rsid w:val="5200DA93"/>
    <w:rsid w:val="5202063A"/>
    <w:rsid w:val="52044B11"/>
    <w:rsid w:val="5205CCCA"/>
    <w:rsid w:val="5207A137"/>
    <w:rsid w:val="520824AC"/>
    <w:rsid w:val="520E0926"/>
    <w:rsid w:val="520FEBE4"/>
    <w:rsid w:val="5214874E"/>
    <w:rsid w:val="5217C182"/>
    <w:rsid w:val="5220ED01"/>
    <w:rsid w:val="5221E601"/>
    <w:rsid w:val="522455A2"/>
    <w:rsid w:val="522580EF"/>
    <w:rsid w:val="522979F7"/>
    <w:rsid w:val="522A2565"/>
    <w:rsid w:val="523268F7"/>
    <w:rsid w:val="5235F98A"/>
    <w:rsid w:val="523BE12D"/>
    <w:rsid w:val="5242605A"/>
    <w:rsid w:val="52446E10"/>
    <w:rsid w:val="524540E8"/>
    <w:rsid w:val="524A97C8"/>
    <w:rsid w:val="524E9564"/>
    <w:rsid w:val="52578EE4"/>
    <w:rsid w:val="525B99AB"/>
    <w:rsid w:val="525B9D3B"/>
    <w:rsid w:val="525D3E13"/>
    <w:rsid w:val="5261C8DD"/>
    <w:rsid w:val="5267A129"/>
    <w:rsid w:val="526F4A9D"/>
    <w:rsid w:val="52710360"/>
    <w:rsid w:val="52781A73"/>
    <w:rsid w:val="5284F04B"/>
    <w:rsid w:val="528B4602"/>
    <w:rsid w:val="5290C032"/>
    <w:rsid w:val="52930A33"/>
    <w:rsid w:val="5296252D"/>
    <w:rsid w:val="5299228D"/>
    <w:rsid w:val="52A063E4"/>
    <w:rsid w:val="52A165D0"/>
    <w:rsid w:val="52A176A8"/>
    <w:rsid w:val="52A27819"/>
    <w:rsid w:val="52A96C52"/>
    <w:rsid w:val="52AA726B"/>
    <w:rsid w:val="52AF9FDC"/>
    <w:rsid w:val="52B063AA"/>
    <w:rsid w:val="52B13877"/>
    <w:rsid w:val="52B2F0D0"/>
    <w:rsid w:val="52B3C6C0"/>
    <w:rsid w:val="52B6EAB7"/>
    <w:rsid w:val="52C3DB09"/>
    <w:rsid w:val="52C3E719"/>
    <w:rsid w:val="52CF3901"/>
    <w:rsid w:val="52CFF3CA"/>
    <w:rsid w:val="52D63731"/>
    <w:rsid w:val="52D7869D"/>
    <w:rsid w:val="52E2DAC7"/>
    <w:rsid w:val="52E3E22E"/>
    <w:rsid w:val="52E71475"/>
    <w:rsid w:val="52EA19D2"/>
    <w:rsid w:val="52EB65C8"/>
    <w:rsid w:val="52F77BAC"/>
    <w:rsid w:val="52F83635"/>
    <w:rsid w:val="52FA3BE9"/>
    <w:rsid w:val="52FA3FC9"/>
    <w:rsid w:val="52FCE6F6"/>
    <w:rsid w:val="52FCF287"/>
    <w:rsid w:val="52FD1E9A"/>
    <w:rsid w:val="53005B87"/>
    <w:rsid w:val="53060A03"/>
    <w:rsid w:val="5309B1A4"/>
    <w:rsid w:val="530AA050"/>
    <w:rsid w:val="530BE510"/>
    <w:rsid w:val="5310AE0E"/>
    <w:rsid w:val="531A7387"/>
    <w:rsid w:val="5327D2A0"/>
    <w:rsid w:val="532F08FA"/>
    <w:rsid w:val="532FED05"/>
    <w:rsid w:val="53344F29"/>
    <w:rsid w:val="5334EA3A"/>
    <w:rsid w:val="533B0624"/>
    <w:rsid w:val="53429F3E"/>
    <w:rsid w:val="5344253E"/>
    <w:rsid w:val="5344558C"/>
    <w:rsid w:val="5344EDE0"/>
    <w:rsid w:val="5347D3E0"/>
    <w:rsid w:val="534F5CED"/>
    <w:rsid w:val="53512CC9"/>
    <w:rsid w:val="535FEE0C"/>
    <w:rsid w:val="53609BC0"/>
    <w:rsid w:val="5362B194"/>
    <w:rsid w:val="53643CAB"/>
    <w:rsid w:val="536726BF"/>
    <w:rsid w:val="536A4947"/>
    <w:rsid w:val="537265AB"/>
    <w:rsid w:val="5376B740"/>
    <w:rsid w:val="537AD460"/>
    <w:rsid w:val="537B10F0"/>
    <w:rsid w:val="537B316C"/>
    <w:rsid w:val="5380B92F"/>
    <w:rsid w:val="538399E6"/>
    <w:rsid w:val="5383E5A5"/>
    <w:rsid w:val="538D7060"/>
    <w:rsid w:val="5391F09E"/>
    <w:rsid w:val="539CD680"/>
    <w:rsid w:val="53A592E0"/>
    <w:rsid w:val="53A6EB2B"/>
    <w:rsid w:val="53A8BECE"/>
    <w:rsid w:val="53AA40BF"/>
    <w:rsid w:val="53AD5FE2"/>
    <w:rsid w:val="53AF1F25"/>
    <w:rsid w:val="53B95B99"/>
    <w:rsid w:val="53BBF03A"/>
    <w:rsid w:val="53BDD4A0"/>
    <w:rsid w:val="53C6E475"/>
    <w:rsid w:val="53C7CF76"/>
    <w:rsid w:val="53CB78E1"/>
    <w:rsid w:val="53CE19F6"/>
    <w:rsid w:val="53CF48B3"/>
    <w:rsid w:val="53D144A0"/>
    <w:rsid w:val="53D99816"/>
    <w:rsid w:val="53DAA383"/>
    <w:rsid w:val="53DCC424"/>
    <w:rsid w:val="53DD34A1"/>
    <w:rsid w:val="53DE1172"/>
    <w:rsid w:val="53DE9220"/>
    <w:rsid w:val="53E04F7C"/>
    <w:rsid w:val="53EA6790"/>
    <w:rsid w:val="53F00B69"/>
    <w:rsid w:val="53F171F4"/>
    <w:rsid w:val="53F18811"/>
    <w:rsid w:val="53F3508C"/>
    <w:rsid w:val="53F595EA"/>
    <w:rsid w:val="53F6DE30"/>
    <w:rsid w:val="540D2C84"/>
    <w:rsid w:val="54141678"/>
    <w:rsid w:val="541A10D9"/>
    <w:rsid w:val="541C816D"/>
    <w:rsid w:val="541D6D1C"/>
    <w:rsid w:val="5420C0AC"/>
    <w:rsid w:val="5420D62B"/>
    <w:rsid w:val="54217C92"/>
    <w:rsid w:val="54236B49"/>
    <w:rsid w:val="5423D7DC"/>
    <w:rsid w:val="5427CF58"/>
    <w:rsid w:val="542B5BEC"/>
    <w:rsid w:val="542C1A75"/>
    <w:rsid w:val="542CDABE"/>
    <w:rsid w:val="542CF134"/>
    <w:rsid w:val="542EFFD4"/>
    <w:rsid w:val="54323D97"/>
    <w:rsid w:val="5433807C"/>
    <w:rsid w:val="543672D1"/>
    <w:rsid w:val="5437F568"/>
    <w:rsid w:val="543AC99C"/>
    <w:rsid w:val="543B827C"/>
    <w:rsid w:val="5446550D"/>
    <w:rsid w:val="5449B658"/>
    <w:rsid w:val="545418DB"/>
    <w:rsid w:val="5457F4E3"/>
    <w:rsid w:val="545B5D80"/>
    <w:rsid w:val="545DD3A8"/>
    <w:rsid w:val="5462405B"/>
    <w:rsid w:val="546473DF"/>
    <w:rsid w:val="5465C7D8"/>
    <w:rsid w:val="546C4F56"/>
    <w:rsid w:val="546CB2FB"/>
    <w:rsid w:val="546EA71C"/>
    <w:rsid w:val="547992D1"/>
    <w:rsid w:val="54850DE3"/>
    <w:rsid w:val="5486FFE2"/>
    <w:rsid w:val="548BFA24"/>
    <w:rsid w:val="548D2277"/>
    <w:rsid w:val="5490148A"/>
    <w:rsid w:val="5491E408"/>
    <w:rsid w:val="549791E4"/>
    <w:rsid w:val="54981C71"/>
    <w:rsid w:val="549982B7"/>
    <w:rsid w:val="54A0DD9F"/>
    <w:rsid w:val="54A6D83D"/>
    <w:rsid w:val="54A97091"/>
    <w:rsid w:val="54AA8CCF"/>
    <w:rsid w:val="54AE457C"/>
    <w:rsid w:val="54B005BE"/>
    <w:rsid w:val="54BBC885"/>
    <w:rsid w:val="54BD7662"/>
    <w:rsid w:val="54C0D60F"/>
    <w:rsid w:val="54C1C140"/>
    <w:rsid w:val="54C6E11F"/>
    <w:rsid w:val="54C730E1"/>
    <w:rsid w:val="54C733AD"/>
    <w:rsid w:val="54CBCCE3"/>
    <w:rsid w:val="54CDD532"/>
    <w:rsid w:val="54DF495D"/>
    <w:rsid w:val="54E13C46"/>
    <w:rsid w:val="54E2DFF3"/>
    <w:rsid w:val="54E87486"/>
    <w:rsid w:val="54EA6787"/>
    <w:rsid w:val="5501AE41"/>
    <w:rsid w:val="5501F647"/>
    <w:rsid w:val="5503EF1A"/>
    <w:rsid w:val="5504542C"/>
    <w:rsid w:val="550797EC"/>
    <w:rsid w:val="55084BD5"/>
    <w:rsid w:val="550923F2"/>
    <w:rsid w:val="55097B5A"/>
    <w:rsid w:val="550C4437"/>
    <w:rsid w:val="550C4FCD"/>
    <w:rsid w:val="550E0E8A"/>
    <w:rsid w:val="5518934C"/>
    <w:rsid w:val="551A828D"/>
    <w:rsid w:val="551DB949"/>
    <w:rsid w:val="5521D4F6"/>
    <w:rsid w:val="552431B1"/>
    <w:rsid w:val="55260F29"/>
    <w:rsid w:val="552884BE"/>
    <w:rsid w:val="55295741"/>
    <w:rsid w:val="552BE288"/>
    <w:rsid w:val="5538F932"/>
    <w:rsid w:val="553E9DA0"/>
    <w:rsid w:val="554385CC"/>
    <w:rsid w:val="55460D23"/>
    <w:rsid w:val="55468663"/>
    <w:rsid w:val="5549183D"/>
    <w:rsid w:val="555E554F"/>
    <w:rsid w:val="555F41E8"/>
    <w:rsid w:val="555FB93A"/>
    <w:rsid w:val="55628323"/>
    <w:rsid w:val="55664430"/>
    <w:rsid w:val="556659B1"/>
    <w:rsid w:val="556683D7"/>
    <w:rsid w:val="556DCF58"/>
    <w:rsid w:val="556DDA60"/>
    <w:rsid w:val="55777958"/>
    <w:rsid w:val="557815FF"/>
    <w:rsid w:val="557B5C42"/>
    <w:rsid w:val="557D2B56"/>
    <w:rsid w:val="5581FF24"/>
    <w:rsid w:val="55858253"/>
    <w:rsid w:val="5587D316"/>
    <w:rsid w:val="558D8A2F"/>
    <w:rsid w:val="5594A347"/>
    <w:rsid w:val="55966251"/>
    <w:rsid w:val="5596F982"/>
    <w:rsid w:val="559D8DA2"/>
    <w:rsid w:val="559F7480"/>
    <w:rsid w:val="559F87E1"/>
    <w:rsid w:val="55A4F33E"/>
    <w:rsid w:val="55B07A2B"/>
    <w:rsid w:val="55B11F5F"/>
    <w:rsid w:val="55B38129"/>
    <w:rsid w:val="55B7E328"/>
    <w:rsid w:val="55C10A2F"/>
    <w:rsid w:val="55CB9F59"/>
    <w:rsid w:val="55CC9486"/>
    <w:rsid w:val="55CEF878"/>
    <w:rsid w:val="55CF07CA"/>
    <w:rsid w:val="55D24468"/>
    <w:rsid w:val="55D44E42"/>
    <w:rsid w:val="55DB2DF5"/>
    <w:rsid w:val="55E10616"/>
    <w:rsid w:val="55E15613"/>
    <w:rsid w:val="55E2E855"/>
    <w:rsid w:val="55E595D7"/>
    <w:rsid w:val="55E716AA"/>
    <w:rsid w:val="55E81A74"/>
    <w:rsid w:val="55E881F0"/>
    <w:rsid w:val="55EA2DAE"/>
    <w:rsid w:val="55F20783"/>
    <w:rsid w:val="55F2CFE1"/>
    <w:rsid w:val="55F2E30C"/>
    <w:rsid w:val="55F5DB0D"/>
    <w:rsid w:val="55FBFBDF"/>
    <w:rsid w:val="55FC35E7"/>
    <w:rsid w:val="560665E2"/>
    <w:rsid w:val="5606A91D"/>
    <w:rsid w:val="561036C4"/>
    <w:rsid w:val="56108FC6"/>
    <w:rsid w:val="561208C0"/>
    <w:rsid w:val="561B1CA6"/>
    <w:rsid w:val="561EF288"/>
    <w:rsid w:val="561F5F9C"/>
    <w:rsid w:val="5622B713"/>
    <w:rsid w:val="5622CB08"/>
    <w:rsid w:val="56268340"/>
    <w:rsid w:val="562D4B62"/>
    <w:rsid w:val="563763A1"/>
    <w:rsid w:val="563D7B41"/>
    <w:rsid w:val="5640201C"/>
    <w:rsid w:val="564260BD"/>
    <w:rsid w:val="5649A58F"/>
    <w:rsid w:val="5649DF1B"/>
    <w:rsid w:val="564C023D"/>
    <w:rsid w:val="564C5D28"/>
    <w:rsid w:val="564DA8E5"/>
    <w:rsid w:val="564E43BE"/>
    <w:rsid w:val="5651E198"/>
    <w:rsid w:val="565B747D"/>
    <w:rsid w:val="565E5F68"/>
    <w:rsid w:val="565E7246"/>
    <w:rsid w:val="565F290D"/>
    <w:rsid w:val="5661993E"/>
    <w:rsid w:val="56645C80"/>
    <w:rsid w:val="56677215"/>
    <w:rsid w:val="566D11E3"/>
    <w:rsid w:val="566DB290"/>
    <w:rsid w:val="566E25B3"/>
    <w:rsid w:val="5670AF1C"/>
    <w:rsid w:val="56713993"/>
    <w:rsid w:val="56787549"/>
    <w:rsid w:val="5679D7AE"/>
    <w:rsid w:val="567A5401"/>
    <w:rsid w:val="567F21C5"/>
    <w:rsid w:val="5681514E"/>
    <w:rsid w:val="568155F8"/>
    <w:rsid w:val="568B18F0"/>
    <w:rsid w:val="568FB3AB"/>
    <w:rsid w:val="569D6E2B"/>
    <w:rsid w:val="56A1942F"/>
    <w:rsid w:val="56A3A878"/>
    <w:rsid w:val="56A79088"/>
    <w:rsid w:val="56AD9EC8"/>
    <w:rsid w:val="56AF953B"/>
    <w:rsid w:val="56B78DB1"/>
    <w:rsid w:val="56BDBDC9"/>
    <w:rsid w:val="56C11800"/>
    <w:rsid w:val="56C20340"/>
    <w:rsid w:val="56C4B134"/>
    <w:rsid w:val="56C5AA88"/>
    <w:rsid w:val="56C75104"/>
    <w:rsid w:val="56C9AD91"/>
    <w:rsid w:val="56D2482B"/>
    <w:rsid w:val="56D41B94"/>
    <w:rsid w:val="56D53799"/>
    <w:rsid w:val="56D827DD"/>
    <w:rsid w:val="56DC17FA"/>
    <w:rsid w:val="56DD4443"/>
    <w:rsid w:val="56DDAA57"/>
    <w:rsid w:val="56F07FE0"/>
    <w:rsid w:val="56F49C9E"/>
    <w:rsid w:val="56F64863"/>
    <w:rsid w:val="56F8352F"/>
    <w:rsid w:val="56FD7CD8"/>
    <w:rsid w:val="57017AB7"/>
    <w:rsid w:val="570D69E1"/>
    <w:rsid w:val="570D9E4B"/>
    <w:rsid w:val="57130DE6"/>
    <w:rsid w:val="571970FC"/>
    <w:rsid w:val="571BD0E7"/>
    <w:rsid w:val="571F420E"/>
    <w:rsid w:val="57232FA5"/>
    <w:rsid w:val="57244B33"/>
    <w:rsid w:val="5726177C"/>
    <w:rsid w:val="5726C901"/>
    <w:rsid w:val="572CCD9B"/>
    <w:rsid w:val="57322E02"/>
    <w:rsid w:val="5732B60F"/>
    <w:rsid w:val="5732F5FA"/>
    <w:rsid w:val="5741E3AE"/>
    <w:rsid w:val="5745321A"/>
    <w:rsid w:val="574AEAB7"/>
    <w:rsid w:val="574B511E"/>
    <w:rsid w:val="575A1B00"/>
    <w:rsid w:val="576222DE"/>
    <w:rsid w:val="5763FE4F"/>
    <w:rsid w:val="576AA3EA"/>
    <w:rsid w:val="57737B66"/>
    <w:rsid w:val="5775643C"/>
    <w:rsid w:val="577BC3CB"/>
    <w:rsid w:val="577D91DE"/>
    <w:rsid w:val="5780DC73"/>
    <w:rsid w:val="5781586A"/>
    <w:rsid w:val="5787BA6F"/>
    <w:rsid w:val="578A5BDA"/>
    <w:rsid w:val="578BDAC9"/>
    <w:rsid w:val="57986C21"/>
    <w:rsid w:val="579E1CAE"/>
    <w:rsid w:val="57A09C06"/>
    <w:rsid w:val="57A100BE"/>
    <w:rsid w:val="57A929EF"/>
    <w:rsid w:val="57B0E0E2"/>
    <w:rsid w:val="57B1F182"/>
    <w:rsid w:val="57B30F97"/>
    <w:rsid w:val="57B3446E"/>
    <w:rsid w:val="57B4395D"/>
    <w:rsid w:val="57B695EA"/>
    <w:rsid w:val="57BCB736"/>
    <w:rsid w:val="57BDBCF3"/>
    <w:rsid w:val="57C12AB4"/>
    <w:rsid w:val="57C5BE3B"/>
    <w:rsid w:val="57C61FF7"/>
    <w:rsid w:val="57C62DD6"/>
    <w:rsid w:val="57C92B7D"/>
    <w:rsid w:val="57CD3571"/>
    <w:rsid w:val="57DD8A53"/>
    <w:rsid w:val="57E66F0E"/>
    <w:rsid w:val="57E99B6F"/>
    <w:rsid w:val="57F1805D"/>
    <w:rsid w:val="57F65045"/>
    <w:rsid w:val="57FE4DF6"/>
    <w:rsid w:val="5800CC67"/>
    <w:rsid w:val="58044085"/>
    <w:rsid w:val="580A19D4"/>
    <w:rsid w:val="580C16F4"/>
    <w:rsid w:val="580F0C4C"/>
    <w:rsid w:val="58107AAC"/>
    <w:rsid w:val="581164F0"/>
    <w:rsid w:val="58117149"/>
    <w:rsid w:val="58167C5A"/>
    <w:rsid w:val="581C4631"/>
    <w:rsid w:val="581D7D54"/>
    <w:rsid w:val="581DDAB4"/>
    <w:rsid w:val="581F8D87"/>
    <w:rsid w:val="582166C9"/>
    <w:rsid w:val="58355D0D"/>
    <w:rsid w:val="58394F03"/>
    <w:rsid w:val="583A9F12"/>
    <w:rsid w:val="583B0C8E"/>
    <w:rsid w:val="583E7A82"/>
    <w:rsid w:val="5840D410"/>
    <w:rsid w:val="58412EEC"/>
    <w:rsid w:val="584272E3"/>
    <w:rsid w:val="5844EC13"/>
    <w:rsid w:val="58471821"/>
    <w:rsid w:val="584E3151"/>
    <w:rsid w:val="584EFB5C"/>
    <w:rsid w:val="584FC690"/>
    <w:rsid w:val="5853E9AE"/>
    <w:rsid w:val="5854852A"/>
    <w:rsid w:val="58550A89"/>
    <w:rsid w:val="585DE97A"/>
    <w:rsid w:val="58629310"/>
    <w:rsid w:val="58648718"/>
    <w:rsid w:val="586CDFDB"/>
    <w:rsid w:val="58701E4A"/>
    <w:rsid w:val="587765C8"/>
    <w:rsid w:val="58794DDD"/>
    <w:rsid w:val="587CA1D8"/>
    <w:rsid w:val="58839219"/>
    <w:rsid w:val="58847346"/>
    <w:rsid w:val="588EC69F"/>
    <w:rsid w:val="58933E6E"/>
    <w:rsid w:val="5894FC1C"/>
    <w:rsid w:val="58959DD5"/>
    <w:rsid w:val="589F3157"/>
    <w:rsid w:val="58A4215E"/>
    <w:rsid w:val="58A97349"/>
    <w:rsid w:val="58A9BDC4"/>
    <w:rsid w:val="58AD73D2"/>
    <w:rsid w:val="58B4F3B8"/>
    <w:rsid w:val="58B52037"/>
    <w:rsid w:val="58B91C8E"/>
    <w:rsid w:val="58BCFABD"/>
    <w:rsid w:val="58BD5DD4"/>
    <w:rsid w:val="58BDBC82"/>
    <w:rsid w:val="58BE555A"/>
    <w:rsid w:val="58BF2D32"/>
    <w:rsid w:val="58C47556"/>
    <w:rsid w:val="58D00C6A"/>
    <w:rsid w:val="58D1EE3F"/>
    <w:rsid w:val="58E0D8DF"/>
    <w:rsid w:val="58E221EB"/>
    <w:rsid w:val="58E72C04"/>
    <w:rsid w:val="58ED3818"/>
    <w:rsid w:val="58EE341D"/>
    <w:rsid w:val="58F4C268"/>
    <w:rsid w:val="58F86B47"/>
    <w:rsid w:val="58F98647"/>
    <w:rsid w:val="58FA0C37"/>
    <w:rsid w:val="58FF04CB"/>
    <w:rsid w:val="5905CF6B"/>
    <w:rsid w:val="5906F943"/>
    <w:rsid w:val="5914517B"/>
    <w:rsid w:val="59149A38"/>
    <w:rsid w:val="5918C5F8"/>
    <w:rsid w:val="591F476D"/>
    <w:rsid w:val="5924E58A"/>
    <w:rsid w:val="5925FFD8"/>
    <w:rsid w:val="592E37C2"/>
    <w:rsid w:val="5932F737"/>
    <w:rsid w:val="5935C2BB"/>
    <w:rsid w:val="5939741B"/>
    <w:rsid w:val="593A5D8A"/>
    <w:rsid w:val="593B7BF3"/>
    <w:rsid w:val="593BD702"/>
    <w:rsid w:val="59407F6D"/>
    <w:rsid w:val="5940E22C"/>
    <w:rsid w:val="5942AD9C"/>
    <w:rsid w:val="594599DD"/>
    <w:rsid w:val="59480749"/>
    <w:rsid w:val="5948C1BA"/>
    <w:rsid w:val="59496F36"/>
    <w:rsid w:val="594A4E69"/>
    <w:rsid w:val="594E43B5"/>
    <w:rsid w:val="5951C197"/>
    <w:rsid w:val="5951F15D"/>
    <w:rsid w:val="5954D83C"/>
    <w:rsid w:val="595560B9"/>
    <w:rsid w:val="5959B4D1"/>
    <w:rsid w:val="59618E9C"/>
    <w:rsid w:val="5961FE37"/>
    <w:rsid w:val="5964076E"/>
    <w:rsid w:val="59664316"/>
    <w:rsid w:val="59679591"/>
    <w:rsid w:val="596E43DF"/>
    <w:rsid w:val="5975F0F3"/>
    <w:rsid w:val="5976EB6B"/>
    <w:rsid w:val="597CEA94"/>
    <w:rsid w:val="59884526"/>
    <w:rsid w:val="598D6F3C"/>
    <w:rsid w:val="5992A903"/>
    <w:rsid w:val="59953023"/>
    <w:rsid w:val="5996BDC6"/>
    <w:rsid w:val="59990D49"/>
    <w:rsid w:val="59991969"/>
    <w:rsid w:val="599DA6FB"/>
    <w:rsid w:val="59A1902D"/>
    <w:rsid w:val="59A9ECE7"/>
    <w:rsid w:val="59AD41AA"/>
    <w:rsid w:val="59ADF028"/>
    <w:rsid w:val="59B08EEB"/>
    <w:rsid w:val="59B09A45"/>
    <w:rsid w:val="59B37F7E"/>
    <w:rsid w:val="59B8F83A"/>
    <w:rsid w:val="59C2C41F"/>
    <w:rsid w:val="59CB64B3"/>
    <w:rsid w:val="59CDB16B"/>
    <w:rsid w:val="59CDDA9B"/>
    <w:rsid w:val="59D06716"/>
    <w:rsid w:val="59D10797"/>
    <w:rsid w:val="59D5ADFF"/>
    <w:rsid w:val="59D66F73"/>
    <w:rsid w:val="59D8AC47"/>
    <w:rsid w:val="59DB5C23"/>
    <w:rsid w:val="59E468F3"/>
    <w:rsid w:val="59E6A529"/>
    <w:rsid w:val="59ECEDC5"/>
    <w:rsid w:val="59ED981E"/>
    <w:rsid w:val="59F002A7"/>
    <w:rsid w:val="59F08F5D"/>
    <w:rsid w:val="59F34828"/>
    <w:rsid w:val="59F4A41F"/>
    <w:rsid w:val="59F74D11"/>
    <w:rsid w:val="5A005779"/>
    <w:rsid w:val="5A021BA5"/>
    <w:rsid w:val="5A024D75"/>
    <w:rsid w:val="5A03D12F"/>
    <w:rsid w:val="5A07BB2A"/>
    <w:rsid w:val="5A0E0E39"/>
    <w:rsid w:val="5A11F348"/>
    <w:rsid w:val="5A12A5DD"/>
    <w:rsid w:val="5A189ABF"/>
    <w:rsid w:val="5A1B5AA5"/>
    <w:rsid w:val="5A1C6994"/>
    <w:rsid w:val="5A1F5B59"/>
    <w:rsid w:val="5A22DF57"/>
    <w:rsid w:val="5A241B56"/>
    <w:rsid w:val="5A29BC28"/>
    <w:rsid w:val="5A2C83CA"/>
    <w:rsid w:val="5A2F7BA3"/>
    <w:rsid w:val="5A3470FB"/>
    <w:rsid w:val="5A36995E"/>
    <w:rsid w:val="5A36F084"/>
    <w:rsid w:val="5A3A4A07"/>
    <w:rsid w:val="5A449863"/>
    <w:rsid w:val="5A4F7014"/>
    <w:rsid w:val="5A50B795"/>
    <w:rsid w:val="5A51D38D"/>
    <w:rsid w:val="5A54F5CA"/>
    <w:rsid w:val="5A55903C"/>
    <w:rsid w:val="5A5F5566"/>
    <w:rsid w:val="5A5F5B3B"/>
    <w:rsid w:val="5A6018EE"/>
    <w:rsid w:val="5A63308F"/>
    <w:rsid w:val="5A64B427"/>
    <w:rsid w:val="5A6DA6CE"/>
    <w:rsid w:val="5A6EE37D"/>
    <w:rsid w:val="5A777A4A"/>
    <w:rsid w:val="5A7891E1"/>
    <w:rsid w:val="5A7CA940"/>
    <w:rsid w:val="5A8199C3"/>
    <w:rsid w:val="5A8201E3"/>
    <w:rsid w:val="5A84F707"/>
    <w:rsid w:val="5A854BA0"/>
    <w:rsid w:val="5A88DD98"/>
    <w:rsid w:val="5A942156"/>
    <w:rsid w:val="5A97C926"/>
    <w:rsid w:val="5A986338"/>
    <w:rsid w:val="5A9A840F"/>
    <w:rsid w:val="5A9C288E"/>
    <w:rsid w:val="5A9DFAF1"/>
    <w:rsid w:val="5AA03ADB"/>
    <w:rsid w:val="5AA15204"/>
    <w:rsid w:val="5AA3175F"/>
    <w:rsid w:val="5AA4F5AE"/>
    <w:rsid w:val="5AACE175"/>
    <w:rsid w:val="5AB64F4D"/>
    <w:rsid w:val="5AB6960A"/>
    <w:rsid w:val="5AC862E8"/>
    <w:rsid w:val="5ACD4584"/>
    <w:rsid w:val="5ACF9113"/>
    <w:rsid w:val="5AD4777C"/>
    <w:rsid w:val="5AD83475"/>
    <w:rsid w:val="5ADCBF2E"/>
    <w:rsid w:val="5AE78227"/>
    <w:rsid w:val="5AE9E75C"/>
    <w:rsid w:val="5AE9F590"/>
    <w:rsid w:val="5AEB6699"/>
    <w:rsid w:val="5AF0DB0F"/>
    <w:rsid w:val="5AF5538B"/>
    <w:rsid w:val="5AF5BF76"/>
    <w:rsid w:val="5AFF543B"/>
    <w:rsid w:val="5AFF6B08"/>
    <w:rsid w:val="5AFFD04E"/>
    <w:rsid w:val="5B01A6F7"/>
    <w:rsid w:val="5B0B62E2"/>
    <w:rsid w:val="5B1A7557"/>
    <w:rsid w:val="5B1EEEBE"/>
    <w:rsid w:val="5B1FA139"/>
    <w:rsid w:val="5B1FFD89"/>
    <w:rsid w:val="5B219C9D"/>
    <w:rsid w:val="5B283BCF"/>
    <w:rsid w:val="5B289386"/>
    <w:rsid w:val="5B2AA415"/>
    <w:rsid w:val="5B2B3E45"/>
    <w:rsid w:val="5B2C32BD"/>
    <w:rsid w:val="5B3635BD"/>
    <w:rsid w:val="5B4138EF"/>
    <w:rsid w:val="5B44F2F5"/>
    <w:rsid w:val="5B4A57A4"/>
    <w:rsid w:val="5B4B5EBB"/>
    <w:rsid w:val="5B4BCD5B"/>
    <w:rsid w:val="5B4EAEFE"/>
    <w:rsid w:val="5B547E61"/>
    <w:rsid w:val="5B576C40"/>
    <w:rsid w:val="5B59A3E6"/>
    <w:rsid w:val="5B5B3362"/>
    <w:rsid w:val="5B5EB42C"/>
    <w:rsid w:val="5B5EFDCB"/>
    <w:rsid w:val="5B667696"/>
    <w:rsid w:val="5B6693EA"/>
    <w:rsid w:val="5B69D5FE"/>
    <w:rsid w:val="5B6BFF1A"/>
    <w:rsid w:val="5B720988"/>
    <w:rsid w:val="5B7377CC"/>
    <w:rsid w:val="5B775953"/>
    <w:rsid w:val="5B78E4AC"/>
    <w:rsid w:val="5B816618"/>
    <w:rsid w:val="5B865C58"/>
    <w:rsid w:val="5B93D6F2"/>
    <w:rsid w:val="5B9F2340"/>
    <w:rsid w:val="5BA1C549"/>
    <w:rsid w:val="5BA3A73E"/>
    <w:rsid w:val="5BA79B23"/>
    <w:rsid w:val="5BAE2E34"/>
    <w:rsid w:val="5BB10B00"/>
    <w:rsid w:val="5BB62ABC"/>
    <w:rsid w:val="5BB91C61"/>
    <w:rsid w:val="5BB92FB4"/>
    <w:rsid w:val="5BB9A6CE"/>
    <w:rsid w:val="5BBA763E"/>
    <w:rsid w:val="5BBB16BB"/>
    <w:rsid w:val="5BBB67E2"/>
    <w:rsid w:val="5BBE5DD2"/>
    <w:rsid w:val="5BBE6CD5"/>
    <w:rsid w:val="5BBF65C2"/>
    <w:rsid w:val="5BBF8ADC"/>
    <w:rsid w:val="5BC00901"/>
    <w:rsid w:val="5BC1C8D9"/>
    <w:rsid w:val="5BC1D262"/>
    <w:rsid w:val="5BC30C6B"/>
    <w:rsid w:val="5BCB3EDF"/>
    <w:rsid w:val="5BCB9E6D"/>
    <w:rsid w:val="5BCBCB55"/>
    <w:rsid w:val="5BD024D1"/>
    <w:rsid w:val="5BD85927"/>
    <w:rsid w:val="5BDCFB7C"/>
    <w:rsid w:val="5BE22AA1"/>
    <w:rsid w:val="5BE24226"/>
    <w:rsid w:val="5BE4AF2D"/>
    <w:rsid w:val="5BE515E0"/>
    <w:rsid w:val="5BF0B871"/>
    <w:rsid w:val="5BF38D29"/>
    <w:rsid w:val="5BF57F1C"/>
    <w:rsid w:val="5BF65FD4"/>
    <w:rsid w:val="5BF66B04"/>
    <w:rsid w:val="5BFAC9C5"/>
    <w:rsid w:val="5C021861"/>
    <w:rsid w:val="5C06D41F"/>
    <w:rsid w:val="5C0F6004"/>
    <w:rsid w:val="5C11A3ED"/>
    <w:rsid w:val="5C171196"/>
    <w:rsid w:val="5C174648"/>
    <w:rsid w:val="5C198DC5"/>
    <w:rsid w:val="5C1B46CE"/>
    <w:rsid w:val="5C1B47A7"/>
    <w:rsid w:val="5C1CC16F"/>
    <w:rsid w:val="5C236868"/>
    <w:rsid w:val="5C247DA1"/>
    <w:rsid w:val="5C29D9DA"/>
    <w:rsid w:val="5C2D4C5F"/>
    <w:rsid w:val="5C32C346"/>
    <w:rsid w:val="5C34484E"/>
    <w:rsid w:val="5C495136"/>
    <w:rsid w:val="5C590E80"/>
    <w:rsid w:val="5C5A3A74"/>
    <w:rsid w:val="5C5A511D"/>
    <w:rsid w:val="5C5F8A91"/>
    <w:rsid w:val="5C60A256"/>
    <w:rsid w:val="5C6704CC"/>
    <w:rsid w:val="5C7015CE"/>
    <w:rsid w:val="5C73C03A"/>
    <w:rsid w:val="5C760391"/>
    <w:rsid w:val="5C7A6DFC"/>
    <w:rsid w:val="5C7C0EC0"/>
    <w:rsid w:val="5C7E333E"/>
    <w:rsid w:val="5C8439BC"/>
    <w:rsid w:val="5C88A857"/>
    <w:rsid w:val="5C88C190"/>
    <w:rsid w:val="5C8A3460"/>
    <w:rsid w:val="5C8FC22E"/>
    <w:rsid w:val="5C9967CF"/>
    <w:rsid w:val="5CA1CB89"/>
    <w:rsid w:val="5CA916EC"/>
    <w:rsid w:val="5CB2C1F4"/>
    <w:rsid w:val="5CB3613D"/>
    <w:rsid w:val="5CBEBE8E"/>
    <w:rsid w:val="5CC05D8A"/>
    <w:rsid w:val="5CC0A017"/>
    <w:rsid w:val="5CC35BF0"/>
    <w:rsid w:val="5CC3F2C6"/>
    <w:rsid w:val="5CC7D1D8"/>
    <w:rsid w:val="5CCCB22A"/>
    <w:rsid w:val="5CD3C617"/>
    <w:rsid w:val="5CD6C782"/>
    <w:rsid w:val="5CDDE721"/>
    <w:rsid w:val="5CE009C5"/>
    <w:rsid w:val="5CE04E1A"/>
    <w:rsid w:val="5CECA38A"/>
    <w:rsid w:val="5CEE3CE1"/>
    <w:rsid w:val="5CEE4239"/>
    <w:rsid w:val="5CF8F0F2"/>
    <w:rsid w:val="5CF9D78C"/>
    <w:rsid w:val="5CFE1F94"/>
    <w:rsid w:val="5D057B5D"/>
    <w:rsid w:val="5D0740B8"/>
    <w:rsid w:val="5D0856B0"/>
    <w:rsid w:val="5D0ABE45"/>
    <w:rsid w:val="5D0E4041"/>
    <w:rsid w:val="5D0E6798"/>
    <w:rsid w:val="5D0EBEBF"/>
    <w:rsid w:val="5D175425"/>
    <w:rsid w:val="5D188F54"/>
    <w:rsid w:val="5D1A9013"/>
    <w:rsid w:val="5D1EC67E"/>
    <w:rsid w:val="5D26EB77"/>
    <w:rsid w:val="5D28301F"/>
    <w:rsid w:val="5D29A595"/>
    <w:rsid w:val="5D29B402"/>
    <w:rsid w:val="5D2E10D7"/>
    <w:rsid w:val="5D314F2D"/>
    <w:rsid w:val="5D3231F1"/>
    <w:rsid w:val="5D388C3C"/>
    <w:rsid w:val="5D3B3B08"/>
    <w:rsid w:val="5D3CAF73"/>
    <w:rsid w:val="5D3F92B0"/>
    <w:rsid w:val="5D44C5CC"/>
    <w:rsid w:val="5D44DC0C"/>
    <w:rsid w:val="5D49CB10"/>
    <w:rsid w:val="5D4DE26A"/>
    <w:rsid w:val="5D5144C3"/>
    <w:rsid w:val="5D5441AA"/>
    <w:rsid w:val="5D609481"/>
    <w:rsid w:val="5D615664"/>
    <w:rsid w:val="5D6958A2"/>
    <w:rsid w:val="5D71D953"/>
    <w:rsid w:val="5D7CDC2D"/>
    <w:rsid w:val="5D7D2B01"/>
    <w:rsid w:val="5D8048CC"/>
    <w:rsid w:val="5D82B132"/>
    <w:rsid w:val="5D830B7F"/>
    <w:rsid w:val="5D8463FE"/>
    <w:rsid w:val="5D8640F3"/>
    <w:rsid w:val="5D896F3C"/>
    <w:rsid w:val="5D90CC10"/>
    <w:rsid w:val="5D92C33A"/>
    <w:rsid w:val="5D9BA8A9"/>
    <w:rsid w:val="5D9CAC37"/>
    <w:rsid w:val="5D9CCD3E"/>
    <w:rsid w:val="5DA1260F"/>
    <w:rsid w:val="5DA177C9"/>
    <w:rsid w:val="5DA30F73"/>
    <w:rsid w:val="5DA32774"/>
    <w:rsid w:val="5DA9B1CF"/>
    <w:rsid w:val="5DAA1AB3"/>
    <w:rsid w:val="5DAA28B6"/>
    <w:rsid w:val="5DAC324B"/>
    <w:rsid w:val="5DB5641B"/>
    <w:rsid w:val="5DB6CD92"/>
    <w:rsid w:val="5DBB77B5"/>
    <w:rsid w:val="5DBFF749"/>
    <w:rsid w:val="5DC13A4E"/>
    <w:rsid w:val="5DC31C89"/>
    <w:rsid w:val="5DC762DF"/>
    <w:rsid w:val="5DC7A2F2"/>
    <w:rsid w:val="5DCBDC6A"/>
    <w:rsid w:val="5DCDF569"/>
    <w:rsid w:val="5DD44EFE"/>
    <w:rsid w:val="5DD6B9E5"/>
    <w:rsid w:val="5DDB8CF6"/>
    <w:rsid w:val="5DDCB63D"/>
    <w:rsid w:val="5DDF0E96"/>
    <w:rsid w:val="5DE1099D"/>
    <w:rsid w:val="5DE6A96D"/>
    <w:rsid w:val="5DEC6721"/>
    <w:rsid w:val="5DF3814A"/>
    <w:rsid w:val="5DF43F54"/>
    <w:rsid w:val="5DF617CE"/>
    <w:rsid w:val="5DF9E5A2"/>
    <w:rsid w:val="5E05EC1C"/>
    <w:rsid w:val="5E08699E"/>
    <w:rsid w:val="5E0944D4"/>
    <w:rsid w:val="5E0ACC84"/>
    <w:rsid w:val="5E0E3525"/>
    <w:rsid w:val="5E0F2628"/>
    <w:rsid w:val="5E103E3F"/>
    <w:rsid w:val="5E107E17"/>
    <w:rsid w:val="5E13C6E9"/>
    <w:rsid w:val="5E165F35"/>
    <w:rsid w:val="5E17EC8F"/>
    <w:rsid w:val="5E1D1AA5"/>
    <w:rsid w:val="5E206A4B"/>
    <w:rsid w:val="5E22AE41"/>
    <w:rsid w:val="5E31E197"/>
    <w:rsid w:val="5E357656"/>
    <w:rsid w:val="5E40A1D7"/>
    <w:rsid w:val="5E41B55C"/>
    <w:rsid w:val="5E44E9D6"/>
    <w:rsid w:val="5E485443"/>
    <w:rsid w:val="5E49E83A"/>
    <w:rsid w:val="5E4D1990"/>
    <w:rsid w:val="5E4EE664"/>
    <w:rsid w:val="5E5027D0"/>
    <w:rsid w:val="5E53CC2D"/>
    <w:rsid w:val="5E5765C3"/>
    <w:rsid w:val="5E58BAA0"/>
    <w:rsid w:val="5E615F41"/>
    <w:rsid w:val="5E618011"/>
    <w:rsid w:val="5E635E40"/>
    <w:rsid w:val="5E692A8B"/>
    <w:rsid w:val="5E74D9EF"/>
    <w:rsid w:val="5E795FFD"/>
    <w:rsid w:val="5E7EC75B"/>
    <w:rsid w:val="5E8017B6"/>
    <w:rsid w:val="5E823C2E"/>
    <w:rsid w:val="5E87A700"/>
    <w:rsid w:val="5E885C3E"/>
    <w:rsid w:val="5E896BB8"/>
    <w:rsid w:val="5E8AAA96"/>
    <w:rsid w:val="5E8D2634"/>
    <w:rsid w:val="5E91CC30"/>
    <w:rsid w:val="5E9318DE"/>
    <w:rsid w:val="5E9D2A4A"/>
    <w:rsid w:val="5EA36A87"/>
    <w:rsid w:val="5EA5B0A5"/>
    <w:rsid w:val="5EA9830E"/>
    <w:rsid w:val="5EADB45E"/>
    <w:rsid w:val="5EB88868"/>
    <w:rsid w:val="5EBC5148"/>
    <w:rsid w:val="5EBD56D8"/>
    <w:rsid w:val="5EBED09B"/>
    <w:rsid w:val="5EC95DD5"/>
    <w:rsid w:val="5ECAE918"/>
    <w:rsid w:val="5ECED9AC"/>
    <w:rsid w:val="5ECFA284"/>
    <w:rsid w:val="5ECFBAC2"/>
    <w:rsid w:val="5ECFEDB5"/>
    <w:rsid w:val="5EE22571"/>
    <w:rsid w:val="5EE936C7"/>
    <w:rsid w:val="5EEA2DEC"/>
    <w:rsid w:val="5EEE017D"/>
    <w:rsid w:val="5EEE426B"/>
    <w:rsid w:val="5EF1D28C"/>
    <w:rsid w:val="5EF68C90"/>
    <w:rsid w:val="5EF80FA0"/>
    <w:rsid w:val="5EF9B154"/>
    <w:rsid w:val="5F049419"/>
    <w:rsid w:val="5F11652E"/>
    <w:rsid w:val="5F1B5F3B"/>
    <w:rsid w:val="5F1BD5DF"/>
    <w:rsid w:val="5F2620ED"/>
    <w:rsid w:val="5F2621F1"/>
    <w:rsid w:val="5F26A009"/>
    <w:rsid w:val="5F2C6084"/>
    <w:rsid w:val="5F2F5E66"/>
    <w:rsid w:val="5F39918B"/>
    <w:rsid w:val="5F3A743E"/>
    <w:rsid w:val="5F3BBC78"/>
    <w:rsid w:val="5F3E5E8D"/>
    <w:rsid w:val="5F413A54"/>
    <w:rsid w:val="5F48A161"/>
    <w:rsid w:val="5F495E22"/>
    <w:rsid w:val="5F4E5546"/>
    <w:rsid w:val="5F4EC5CE"/>
    <w:rsid w:val="5F4FA93B"/>
    <w:rsid w:val="5F4FB277"/>
    <w:rsid w:val="5F5B12DC"/>
    <w:rsid w:val="5F618878"/>
    <w:rsid w:val="5F630DB5"/>
    <w:rsid w:val="5F69F7F8"/>
    <w:rsid w:val="5F7133FF"/>
    <w:rsid w:val="5F781BBC"/>
    <w:rsid w:val="5F782EDD"/>
    <w:rsid w:val="5F814706"/>
    <w:rsid w:val="5F86238B"/>
    <w:rsid w:val="5F8CC941"/>
    <w:rsid w:val="5F9D3394"/>
    <w:rsid w:val="5FA094D3"/>
    <w:rsid w:val="5FA85343"/>
    <w:rsid w:val="5FAABDC5"/>
    <w:rsid w:val="5FB5B226"/>
    <w:rsid w:val="5FB83889"/>
    <w:rsid w:val="5FB8EB06"/>
    <w:rsid w:val="5FBF5F80"/>
    <w:rsid w:val="5FBFED67"/>
    <w:rsid w:val="5FC10814"/>
    <w:rsid w:val="5FC1E5A7"/>
    <w:rsid w:val="5FC69F60"/>
    <w:rsid w:val="5FD14C69"/>
    <w:rsid w:val="5FD21D19"/>
    <w:rsid w:val="5FDA5D90"/>
    <w:rsid w:val="5FDAA199"/>
    <w:rsid w:val="5FE613D9"/>
    <w:rsid w:val="5FE67B1A"/>
    <w:rsid w:val="5FE88B9C"/>
    <w:rsid w:val="5FE96BF5"/>
    <w:rsid w:val="5FEA6818"/>
    <w:rsid w:val="5FEEAEA9"/>
    <w:rsid w:val="5FEEDBF1"/>
    <w:rsid w:val="5FF4E129"/>
    <w:rsid w:val="5FF640E7"/>
    <w:rsid w:val="5FF98805"/>
    <w:rsid w:val="6002A76B"/>
    <w:rsid w:val="600452EC"/>
    <w:rsid w:val="600A9FCC"/>
    <w:rsid w:val="600AC5AD"/>
    <w:rsid w:val="600CAC84"/>
    <w:rsid w:val="6014870C"/>
    <w:rsid w:val="6015CEE8"/>
    <w:rsid w:val="60175DFC"/>
    <w:rsid w:val="601BF34F"/>
    <w:rsid w:val="601FB2D3"/>
    <w:rsid w:val="60282586"/>
    <w:rsid w:val="6029AAEE"/>
    <w:rsid w:val="6029DF12"/>
    <w:rsid w:val="60319A29"/>
    <w:rsid w:val="603E44A8"/>
    <w:rsid w:val="603F5368"/>
    <w:rsid w:val="604643F3"/>
    <w:rsid w:val="60492626"/>
    <w:rsid w:val="6050AA38"/>
    <w:rsid w:val="605FF162"/>
    <w:rsid w:val="6062CD39"/>
    <w:rsid w:val="6063E146"/>
    <w:rsid w:val="606D20FB"/>
    <w:rsid w:val="6077BE28"/>
    <w:rsid w:val="607F7CA6"/>
    <w:rsid w:val="6082DC2E"/>
    <w:rsid w:val="608765F4"/>
    <w:rsid w:val="608AAEE7"/>
    <w:rsid w:val="608CE97C"/>
    <w:rsid w:val="6095B734"/>
    <w:rsid w:val="6098B52C"/>
    <w:rsid w:val="60A8EE05"/>
    <w:rsid w:val="60AC98F8"/>
    <w:rsid w:val="60ACCD4D"/>
    <w:rsid w:val="60B3DC09"/>
    <w:rsid w:val="60B5F79C"/>
    <w:rsid w:val="60B88137"/>
    <w:rsid w:val="60BAA716"/>
    <w:rsid w:val="60BBD5C4"/>
    <w:rsid w:val="60C27138"/>
    <w:rsid w:val="60C450F1"/>
    <w:rsid w:val="60C589F4"/>
    <w:rsid w:val="60CB2482"/>
    <w:rsid w:val="60CBFC57"/>
    <w:rsid w:val="60D048B6"/>
    <w:rsid w:val="60D15DA5"/>
    <w:rsid w:val="60D9617A"/>
    <w:rsid w:val="60DA1B96"/>
    <w:rsid w:val="60E093A1"/>
    <w:rsid w:val="60E31A73"/>
    <w:rsid w:val="60E7F0F5"/>
    <w:rsid w:val="60E9133A"/>
    <w:rsid w:val="60ED3D4D"/>
    <w:rsid w:val="60ED464D"/>
    <w:rsid w:val="60EDE411"/>
    <w:rsid w:val="60F75039"/>
    <w:rsid w:val="61016325"/>
    <w:rsid w:val="61054C19"/>
    <w:rsid w:val="610D30E8"/>
    <w:rsid w:val="6111D470"/>
    <w:rsid w:val="61250D53"/>
    <w:rsid w:val="612A47AE"/>
    <w:rsid w:val="612C3698"/>
    <w:rsid w:val="612CB83F"/>
    <w:rsid w:val="61318664"/>
    <w:rsid w:val="613401C7"/>
    <w:rsid w:val="613A1683"/>
    <w:rsid w:val="613EDF31"/>
    <w:rsid w:val="6154042D"/>
    <w:rsid w:val="61542EE3"/>
    <w:rsid w:val="6154662B"/>
    <w:rsid w:val="61547D51"/>
    <w:rsid w:val="6157C1B4"/>
    <w:rsid w:val="6160C56C"/>
    <w:rsid w:val="616697F0"/>
    <w:rsid w:val="6167244C"/>
    <w:rsid w:val="616A284A"/>
    <w:rsid w:val="616A54AF"/>
    <w:rsid w:val="617009D4"/>
    <w:rsid w:val="617250D4"/>
    <w:rsid w:val="617F42D0"/>
    <w:rsid w:val="617FDAE6"/>
    <w:rsid w:val="618645B8"/>
    <w:rsid w:val="61865200"/>
    <w:rsid w:val="6189887C"/>
    <w:rsid w:val="618AA9AF"/>
    <w:rsid w:val="618C9BB4"/>
    <w:rsid w:val="618EC323"/>
    <w:rsid w:val="61900031"/>
    <w:rsid w:val="6191D8EC"/>
    <w:rsid w:val="6194F9B7"/>
    <w:rsid w:val="619AA983"/>
    <w:rsid w:val="61A130DB"/>
    <w:rsid w:val="61A2B223"/>
    <w:rsid w:val="61A4BDB7"/>
    <w:rsid w:val="61A6702D"/>
    <w:rsid w:val="61A8F1AF"/>
    <w:rsid w:val="61AD8467"/>
    <w:rsid w:val="61B30901"/>
    <w:rsid w:val="61B460A7"/>
    <w:rsid w:val="61B960DA"/>
    <w:rsid w:val="61B9C4FE"/>
    <w:rsid w:val="61BF2C06"/>
    <w:rsid w:val="61BF49BE"/>
    <w:rsid w:val="61BFDEB4"/>
    <w:rsid w:val="61CF0841"/>
    <w:rsid w:val="61D3BD2B"/>
    <w:rsid w:val="61D73804"/>
    <w:rsid w:val="61E59403"/>
    <w:rsid w:val="61E6A15C"/>
    <w:rsid w:val="61ED7FA3"/>
    <w:rsid w:val="61F50B7D"/>
    <w:rsid w:val="61F6E1EA"/>
    <w:rsid w:val="61F9D463"/>
    <w:rsid w:val="61FB8421"/>
    <w:rsid w:val="6205918D"/>
    <w:rsid w:val="620EE07D"/>
    <w:rsid w:val="620F49E2"/>
    <w:rsid w:val="6215B641"/>
    <w:rsid w:val="6217F6B0"/>
    <w:rsid w:val="621B5DE1"/>
    <w:rsid w:val="621DEA34"/>
    <w:rsid w:val="621E5D84"/>
    <w:rsid w:val="62242359"/>
    <w:rsid w:val="622D692E"/>
    <w:rsid w:val="62365CBF"/>
    <w:rsid w:val="62371288"/>
    <w:rsid w:val="6237B673"/>
    <w:rsid w:val="623B2BE6"/>
    <w:rsid w:val="6247DA1F"/>
    <w:rsid w:val="624DDD04"/>
    <w:rsid w:val="62512BA3"/>
    <w:rsid w:val="625F0D37"/>
    <w:rsid w:val="6268E796"/>
    <w:rsid w:val="626A8688"/>
    <w:rsid w:val="626F6F22"/>
    <w:rsid w:val="626F96FF"/>
    <w:rsid w:val="6271751C"/>
    <w:rsid w:val="6272CDE8"/>
    <w:rsid w:val="627D2918"/>
    <w:rsid w:val="6282D368"/>
    <w:rsid w:val="62839993"/>
    <w:rsid w:val="6286BFAD"/>
    <w:rsid w:val="628B2577"/>
    <w:rsid w:val="628C7DE4"/>
    <w:rsid w:val="628EC2A5"/>
    <w:rsid w:val="6297AB61"/>
    <w:rsid w:val="629E82E2"/>
    <w:rsid w:val="629EE970"/>
    <w:rsid w:val="62A92291"/>
    <w:rsid w:val="62ABA0B7"/>
    <w:rsid w:val="62AD172C"/>
    <w:rsid w:val="62B394CA"/>
    <w:rsid w:val="62B58194"/>
    <w:rsid w:val="62B92F38"/>
    <w:rsid w:val="62BB1CE1"/>
    <w:rsid w:val="62C036C6"/>
    <w:rsid w:val="62C13F14"/>
    <w:rsid w:val="62C2D45D"/>
    <w:rsid w:val="62C2D710"/>
    <w:rsid w:val="62C4DF19"/>
    <w:rsid w:val="62D1A208"/>
    <w:rsid w:val="62D37DC9"/>
    <w:rsid w:val="62D4C4EF"/>
    <w:rsid w:val="62D787DD"/>
    <w:rsid w:val="62DA13A9"/>
    <w:rsid w:val="62DD54A3"/>
    <w:rsid w:val="62DEEBE1"/>
    <w:rsid w:val="62E29967"/>
    <w:rsid w:val="62E701E6"/>
    <w:rsid w:val="62E76B8D"/>
    <w:rsid w:val="62EDDA5F"/>
    <w:rsid w:val="62F08BC8"/>
    <w:rsid w:val="62F15ABF"/>
    <w:rsid w:val="62F9771B"/>
    <w:rsid w:val="62FFF297"/>
    <w:rsid w:val="630319B1"/>
    <w:rsid w:val="63067AA7"/>
    <w:rsid w:val="6306DC69"/>
    <w:rsid w:val="630CBCAA"/>
    <w:rsid w:val="6310D3BB"/>
    <w:rsid w:val="6311A3AC"/>
    <w:rsid w:val="631A4D19"/>
    <w:rsid w:val="63211FD0"/>
    <w:rsid w:val="6323B234"/>
    <w:rsid w:val="6325D26A"/>
    <w:rsid w:val="63288E5D"/>
    <w:rsid w:val="6328B336"/>
    <w:rsid w:val="632DB473"/>
    <w:rsid w:val="6332E57A"/>
    <w:rsid w:val="63356C40"/>
    <w:rsid w:val="633D7D31"/>
    <w:rsid w:val="633FF9CC"/>
    <w:rsid w:val="63447E07"/>
    <w:rsid w:val="634957BE"/>
    <w:rsid w:val="63508071"/>
    <w:rsid w:val="6355313B"/>
    <w:rsid w:val="63578E7E"/>
    <w:rsid w:val="635830C8"/>
    <w:rsid w:val="635A0126"/>
    <w:rsid w:val="635B3DF2"/>
    <w:rsid w:val="635EC466"/>
    <w:rsid w:val="6364914D"/>
    <w:rsid w:val="636B0DA3"/>
    <w:rsid w:val="6375C83D"/>
    <w:rsid w:val="63773459"/>
    <w:rsid w:val="63789C72"/>
    <w:rsid w:val="63791A7E"/>
    <w:rsid w:val="638255CF"/>
    <w:rsid w:val="63869E32"/>
    <w:rsid w:val="6389AC77"/>
    <w:rsid w:val="638A7839"/>
    <w:rsid w:val="6398B3DD"/>
    <w:rsid w:val="639C0199"/>
    <w:rsid w:val="63A41F45"/>
    <w:rsid w:val="63A6C0BA"/>
    <w:rsid w:val="63A81EAB"/>
    <w:rsid w:val="63A8A418"/>
    <w:rsid w:val="63AA37F5"/>
    <w:rsid w:val="63B7889F"/>
    <w:rsid w:val="63B7C484"/>
    <w:rsid w:val="63BB78C8"/>
    <w:rsid w:val="63BF49EE"/>
    <w:rsid w:val="63C3F2A5"/>
    <w:rsid w:val="63C7D181"/>
    <w:rsid w:val="63CCA31B"/>
    <w:rsid w:val="63CEE504"/>
    <w:rsid w:val="63CF689E"/>
    <w:rsid w:val="63D6C877"/>
    <w:rsid w:val="63D88D3E"/>
    <w:rsid w:val="63DA6693"/>
    <w:rsid w:val="63DD8B14"/>
    <w:rsid w:val="63E17FCD"/>
    <w:rsid w:val="63E39EC6"/>
    <w:rsid w:val="63EB7255"/>
    <w:rsid w:val="63F2E110"/>
    <w:rsid w:val="63F61A52"/>
    <w:rsid w:val="63F95BB7"/>
    <w:rsid w:val="63FE3A14"/>
    <w:rsid w:val="63FF16F1"/>
    <w:rsid w:val="6403CF93"/>
    <w:rsid w:val="640460B3"/>
    <w:rsid w:val="64082469"/>
    <w:rsid w:val="640900EE"/>
    <w:rsid w:val="640927F3"/>
    <w:rsid w:val="640C19D4"/>
    <w:rsid w:val="64187050"/>
    <w:rsid w:val="641A0272"/>
    <w:rsid w:val="641D3186"/>
    <w:rsid w:val="6422E279"/>
    <w:rsid w:val="64343308"/>
    <w:rsid w:val="64343F26"/>
    <w:rsid w:val="64377EF1"/>
    <w:rsid w:val="6439B7C6"/>
    <w:rsid w:val="643FDB05"/>
    <w:rsid w:val="6448EFBC"/>
    <w:rsid w:val="64497C9E"/>
    <w:rsid w:val="644E7833"/>
    <w:rsid w:val="6451BF64"/>
    <w:rsid w:val="6456AAAC"/>
    <w:rsid w:val="6458EE5E"/>
    <w:rsid w:val="645A9209"/>
    <w:rsid w:val="645D4432"/>
    <w:rsid w:val="64606BE6"/>
    <w:rsid w:val="6462FCF5"/>
    <w:rsid w:val="64643AA5"/>
    <w:rsid w:val="64658D3D"/>
    <w:rsid w:val="6465B719"/>
    <w:rsid w:val="6468537C"/>
    <w:rsid w:val="646CCCB0"/>
    <w:rsid w:val="646FBA88"/>
    <w:rsid w:val="6471C584"/>
    <w:rsid w:val="6478B3D5"/>
    <w:rsid w:val="647BF68E"/>
    <w:rsid w:val="6481FC36"/>
    <w:rsid w:val="6483B7C1"/>
    <w:rsid w:val="648A4F33"/>
    <w:rsid w:val="648BCBDA"/>
    <w:rsid w:val="648D5E63"/>
    <w:rsid w:val="6496B6C3"/>
    <w:rsid w:val="64A74010"/>
    <w:rsid w:val="64ADB33B"/>
    <w:rsid w:val="64ADCC9A"/>
    <w:rsid w:val="64B04B6D"/>
    <w:rsid w:val="64B603EA"/>
    <w:rsid w:val="64B6D4E0"/>
    <w:rsid w:val="64B8AE21"/>
    <w:rsid w:val="64B9A0DE"/>
    <w:rsid w:val="64BDD93B"/>
    <w:rsid w:val="64C42396"/>
    <w:rsid w:val="64C641B0"/>
    <w:rsid w:val="64CD157A"/>
    <w:rsid w:val="64CF24B3"/>
    <w:rsid w:val="64CFE82A"/>
    <w:rsid w:val="64D25CB0"/>
    <w:rsid w:val="64D34EFA"/>
    <w:rsid w:val="64D4326E"/>
    <w:rsid w:val="64D72689"/>
    <w:rsid w:val="64D7751E"/>
    <w:rsid w:val="64D8F208"/>
    <w:rsid w:val="64DCE6C5"/>
    <w:rsid w:val="64DE10EF"/>
    <w:rsid w:val="64DFF061"/>
    <w:rsid w:val="64E116FE"/>
    <w:rsid w:val="64E92748"/>
    <w:rsid w:val="64EBDB80"/>
    <w:rsid w:val="64EF21ED"/>
    <w:rsid w:val="64EF9A90"/>
    <w:rsid w:val="64F123A2"/>
    <w:rsid w:val="64F2C945"/>
    <w:rsid w:val="64F5AB56"/>
    <w:rsid w:val="64F9952A"/>
    <w:rsid w:val="6500E569"/>
    <w:rsid w:val="65073277"/>
    <w:rsid w:val="650DB057"/>
    <w:rsid w:val="650E3444"/>
    <w:rsid w:val="650EF8A5"/>
    <w:rsid w:val="650FE64F"/>
    <w:rsid w:val="651685B6"/>
    <w:rsid w:val="651C57B2"/>
    <w:rsid w:val="651FAFE8"/>
    <w:rsid w:val="65243EC5"/>
    <w:rsid w:val="65269AC7"/>
    <w:rsid w:val="65345556"/>
    <w:rsid w:val="6536E5CA"/>
    <w:rsid w:val="6540917F"/>
    <w:rsid w:val="6544CDDE"/>
    <w:rsid w:val="65468D08"/>
    <w:rsid w:val="65484317"/>
    <w:rsid w:val="65489AEF"/>
    <w:rsid w:val="65516A6D"/>
    <w:rsid w:val="65578326"/>
    <w:rsid w:val="655BAF6C"/>
    <w:rsid w:val="65602772"/>
    <w:rsid w:val="656067D1"/>
    <w:rsid w:val="6565BE31"/>
    <w:rsid w:val="65666190"/>
    <w:rsid w:val="65673824"/>
    <w:rsid w:val="65673B74"/>
    <w:rsid w:val="6567E236"/>
    <w:rsid w:val="6576444C"/>
    <w:rsid w:val="657C4A78"/>
    <w:rsid w:val="657EF1D0"/>
    <w:rsid w:val="657F9298"/>
    <w:rsid w:val="658231D0"/>
    <w:rsid w:val="65835E66"/>
    <w:rsid w:val="6584C3E7"/>
    <w:rsid w:val="65878188"/>
    <w:rsid w:val="658DBD9A"/>
    <w:rsid w:val="658DEAEF"/>
    <w:rsid w:val="6590E1ED"/>
    <w:rsid w:val="659C4925"/>
    <w:rsid w:val="65A1B065"/>
    <w:rsid w:val="65A72604"/>
    <w:rsid w:val="65AB513D"/>
    <w:rsid w:val="65ADB0FB"/>
    <w:rsid w:val="65B29469"/>
    <w:rsid w:val="65B5AF50"/>
    <w:rsid w:val="65B98667"/>
    <w:rsid w:val="65B9E550"/>
    <w:rsid w:val="65BAECD7"/>
    <w:rsid w:val="65C505D5"/>
    <w:rsid w:val="65CA1639"/>
    <w:rsid w:val="65CB25C7"/>
    <w:rsid w:val="65CEC713"/>
    <w:rsid w:val="65D2C494"/>
    <w:rsid w:val="65D32E06"/>
    <w:rsid w:val="65DA55A8"/>
    <w:rsid w:val="65DB25DF"/>
    <w:rsid w:val="65DC496F"/>
    <w:rsid w:val="65DED758"/>
    <w:rsid w:val="65EA9CDC"/>
    <w:rsid w:val="65EB86E6"/>
    <w:rsid w:val="65EDB2E4"/>
    <w:rsid w:val="65EFB8B4"/>
    <w:rsid w:val="65F05738"/>
    <w:rsid w:val="65F27C26"/>
    <w:rsid w:val="65F6592F"/>
    <w:rsid w:val="65FB2BD9"/>
    <w:rsid w:val="65FE1C65"/>
    <w:rsid w:val="6602CD63"/>
    <w:rsid w:val="66059537"/>
    <w:rsid w:val="6610F448"/>
    <w:rsid w:val="66124F53"/>
    <w:rsid w:val="6612504D"/>
    <w:rsid w:val="66133C06"/>
    <w:rsid w:val="66144D85"/>
    <w:rsid w:val="661624B3"/>
    <w:rsid w:val="661A9BEE"/>
    <w:rsid w:val="66249630"/>
    <w:rsid w:val="662840C9"/>
    <w:rsid w:val="662ABC9F"/>
    <w:rsid w:val="662D2B89"/>
    <w:rsid w:val="66317E24"/>
    <w:rsid w:val="6631DD82"/>
    <w:rsid w:val="663A8469"/>
    <w:rsid w:val="663C22BF"/>
    <w:rsid w:val="6641ECF6"/>
    <w:rsid w:val="6647240A"/>
    <w:rsid w:val="664AA012"/>
    <w:rsid w:val="664C40CC"/>
    <w:rsid w:val="664C7FCA"/>
    <w:rsid w:val="664C85F3"/>
    <w:rsid w:val="664E0F47"/>
    <w:rsid w:val="665487FC"/>
    <w:rsid w:val="6656CEED"/>
    <w:rsid w:val="665CE1A6"/>
    <w:rsid w:val="665DB626"/>
    <w:rsid w:val="66673485"/>
    <w:rsid w:val="66762426"/>
    <w:rsid w:val="667C9A5F"/>
    <w:rsid w:val="667DA149"/>
    <w:rsid w:val="6688F6E7"/>
    <w:rsid w:val="669400C7"/>
    <w:rsid w:val="66955EE6"/>
    <w:rsid w:val="669FF730"/>
    <w:rsid w:val="66A61856"/>
    <w:rsid w:val="66A6B1F2"/>
    <w:rsid w:val="66A773FB"/>
    <w:rsid w:val="66AD6AAF"/>
    <w:rsid w:val="66B4751D"/>
    <w:rsid w:val="66B6BEF3"/>
    <w:rsid w:val="66B99216"/>
    <w:rsid w:val="66C67C6D"/>
    <w:rsid w:val="66C94F08"/>
    <w:rsid w:val="66CC8CED"/>
    <w:rsid w:val="66CD04B8"/>
    <w:rsid w:val="66CF7EC1"/>
    <w:rsid w:val="66D885FF"/>
    <w:rsid w:val="66DA4B0E"/>
    <w:rsid w:val="66E7464D"/>
    <w:rsid w:val="66E81626"/>
    <w:rsid w:val="66E9F50C"/>
    <w:rsid w:val="66EA551A"/>
    <w:rsid w:val="66F79122"/>
    <w:rsid w:val="66FB1866"/>
    <w:rsid w:val="6705DC73"/>
    <w:rsid w:val="670733D3"/>
    <w:rsid w:val="67091C5D"/>
    <w:rsid w:val="670ADFB0"/>
    <w:rsid w:val="6712DBBF"/>
    <w:rsid w:val="6715CB38"/>
    <w:rsid w:val="67163F29"/>
    <w:rsid w:val="67200FB9"/>
    <w:rsid w:val="6727392F"/>
    <w:rsid w:val="6728F3C9"/>
    <w:rsid w:val="672ACCA5"/>
    <w:rsid w:val="672CC142"/>
    <w:rsid w:val="672F496A"/>
    <w:rsid w:val="673A11C7"/>
    <w:rsid w:val="673A531D"/>
    <w:rsid w:val="674AA429"/>
    <w:rsid w:val="674D7A96"/>
    <w:rsid w:val="67585272"/>
    <w:rsid w:val="67589279"/>
    <w:rsid w:val="675C9342"/>
    <w:rsid w:val="6760089D"/>
    <w:rsid w:val="67619680"/>
    <w:rsid w:val="67749A9E"/>
    <w:rsid w:val="6775829A"/>
    <w:rsid w:val="6775A9C6"/>
    <w:rsid w:val="677661F1"/>
    <w:rsid w:val="67776271"/>
    <w:rsid w:val="6782A0D7"/>
    <w:rsid w:val="678393CD"/>
    <w:rsid w:val="6799FD5A"/>
    <w:rsid w:val="679BB3FF"/>
    <w:rsid w:val="67A7260B"/>
    <w:rsid w:val="67A8C860"/>
    <w:rsid w:val="67A96891"/>
    <w:rsid w:val="67B240EA"/>
    <w:rsid w:val="67B292DD"/>
    <w:rsid w:val="67BAB88C"/>
    <w:rsid w:val="67BB5BA3"/>
    <w:rsid w:val="67BE3FE8"/>
    <w:rsid w:val="67C0E274"/>
    <w:rsid w:val="67C38F6B"/>
    <w:rsid w:val="67C6BB01"/>
    <w:rsid w:val="67C7C40A"/>
    <w:rsid w:val="67CE0CC5"/>
    <w:rsid w:val="67CF2802"/>
    <w:rsid w:val="67DACE49"/>
    <w:rsid w:val="67DB1A9E"/>
    <w:rsid w:val="67DC88B2"/>
    <w:rsid w:val="67E1CD0F"/>
    <w:rsid w:val="67E2850E"/>
    <w:rsid w:val="67E29330"/>
    <w:rsid w:val="67E56DEE"/>
    <w:rsid w:val="67E59A3D"/>
    <w:rsid w:val="67E90477"/>
    <w:rsid w:val="67EBD5EF"/>
    <w:rsid w:val="67EE83D6"/>
    <w:rsid w:val="67F06C00"/>
    <w:rsid w:val="67F4BAA3"/>
    <w:rsid w:val="67F579FD"/>
    <w:rsid w:val="67FA4D00"/>
    <w:rsid w:val="67FAABD6"/>
    <w:rsid w:val="67FE3297"/>
    <w:rsid w:val="67FECAE1"/>
    <w:rsid w:val="67FF7D9F"/>
    <w:rsid w:val="6801BA92"/>
    <w:rsid w:val="6803925E"/>
    <w:rsid w:val="68048C0A"/>
    <w:rsid w:val="680D9914"/>
    <w:rsid w:val="681274B1"/>
    <w:rsid w:val="68143F77"/>
    <w:rsid w:val="68184615"/>
    <w:rsid w:val="681B6896"/>
    <w:rsid w:val="681E05A7"/>
    <w:rsid w:val="6823190F"/>
    <w:rsid w:val="6827A653"/>
    <w:rsid w:val="6827B868"/>
    <w:rsid w:val="68333DF6"/>
    <w:rsid w:val="68378464"/>
    <w:rsid w:val="6842CDFF"/>
    <w:rsid w:val="684B5E36"/>
    <w:rsid w:val="684D6405"/>
    <w:rsid w:val="684E6559"/>
    <w:rsid w:val="68508421"/>
    <w:rsid w:val="6851F9C3"/>
    <w:rsid w:val="6853E59D"/>
    <w:rsid w:val="68548014"/>
    <w:rsid w:val="685BDF87"/>
    <w:rsid w:val="6869D52F"/>
    <w:rsid w:val="6879AFF7"/>
    <w:rsid w:val="68813191"/>
    <w:rsid w:val="6892F62B"/>
    <w:rsid w:val="6897063E"/>
    <w:rsid w:val="689CFA80"/>
    <w:rsid w:val="68A26709"/>
    <w:rsid w:val="68A3EC72"/>
    <w:rsid w:val="68B648BE"/>
    <w:rsid w:val="68B6626A"/>
    <w:rsid w:val="68C051F0"/>
    <w:rsid w:val="68C7C49B"/>
    <w:rsid w:val="68CE3A47"/>
    <w:rsid w:val="68D3DC10"/>
    <w:rsid w:val="68D50A31"/>
    <w:rsid w:val="68D62CE6"/>
    <w:rsid w:val="68D75FDB"/>
    <w:rsid w:val="68D9FB08"/>
    <w:rsid w:val="68DCB017"/>
    <w:rsid w:val="68E2571B"/>
    <w:rsid w:val="68E6F02B"/>
    <w:rsid w:val="68E7B84D"/>
    <w:rsid w:val="68E96C55"/>
    <w:rsid w:val="68ECC40D"/>
    <w:rsid w:val="68F0FADF"/>
    <w:rsid w:val="68F1520C"/>
    <w:rsid w:val="68FAF655"/>
    <w:rsid w:val="68FBEFC7"/>
    <w:rsid w:val="68FD703E"/>
    <w:rsid w:val="69034AE5"/>
    <w:rsid w:val="69038F8C"/>
    <w:rsid w:val="6907535A"/>
    <w:rsid w:val="690C7AB3"/>
    <w:rsid w:val="6928B82D"/>
    <w:rsid w:val="6929DA38"/>
    <w:rsid w:val="69326C16"/>
    <w:rsid w:val="69334810"/>
    <w:rsid w:val="69357AEE"/>
    <w:rsid w:val="6948D5D0"/>
    <w:rsid w:val="694BD63D"/>
    <w:rsid w:val="69531814"/>
    <w:rsid w:val="69574B25"/>
    <w:rsid w:val="695AB63F"/>
    <w:rsid w:val="69646141"/>
    <w:rsid w:val="696BC8C8"/>
    <w:rsid w:val="69742E67"/>
    <w:rsid w:val="69828E68"/>
    <w:rsid w:val="698AA0AC"/>
    <w:rsid w:val="698DDAEE"/>
    <w:rsid w:val="6996E504"/>
    <w:rsid w:val="699A5692"/>
    <w:rsid w:val="699AE279"/>
    <w:rsid w:val="69A1A801"/>
    <w:rsid w:val="69A3F54F"/>
    <w:rsid w:val="69A5E217"/>
    <w:rsid w:val="69AB2349"/>
    <w:rsid w:val="69AD0BD5"/>
    <w:rsid w:val="69B1B374"/>
    <w:rsid w:val="69B68CCF"/>
    <w:rsid w:val="69BA7A06"/>
    <w:rsid w:val="69C2D530"/>
    <w:rsid w:val="69C3AC59"/>
    <w:rsid w:val="69C5CC23"/>
    <w:rsid w:val="69CCF2FE"/>
    <w:rsid w:val="69D4E098"/>
    <w:rsid w:val="69D6C242"/>
    <w:rsid w:val="69DBBDA5"/>
    <w:rsid w:val="69E40B32"/>
    <w:rsid w:val="69EAFD05"/>
    <w:rsid w:val="69ECE12C"/>
    <w:rsid w:val="69F4251E"/>
    <w:rsid w:val="69F600D4"/>
    <w:rsid w:val="69F7965E"/>
    <w:rsid w:val="69F79C1B"/>
    <w:rsid w:val="69F79C33"/>
    <w:rsid w:val="69F88F4D"/>
    <w:rsid w:val="69F9C945"/>
    <w:rsid w:val="69FF36AC"/>
    <w:rsid w:val="6A00BECB"/>
    <w:rsid w:val="6A041DF7"/>
    <w:rsid w:val="6A069C3A"/>
    <w:rsid w:val="6A16B254"/>
    <w:rsid w:val="6A16F0F6"/>
    <w:rsid w:val="6A188197"/>
    <w:rsid w:val="6A1C8650"/>
    <w:rsid w:val="6A1F82D5"/>
    <w:rsid w:val="6A21CAA2"/>
    <w:rsid w:val="6A2BCDCC"/>
    <w:rsid w:val="6A339895"/>
    <w:rsid w:val="6A346FB1"/>
    <w:rsid w:val="6A360B0B"/>
    <w:rsid w:val="6A383456"/>
    <w:rsid w:val="6A392C6B"/>
    <w:rsid w:val="6A39B9BF"/>
    <w:rsid w:val="6A3EDDCC"/>
    <w:rsid w:val="6A422155"/>
    <w:rsid w:val="6A6280B5"/>
    <w:rsid w:val="6A633B84"/>
    <w:rsid w:val="6A648EE6"/>
    <w:rsid w:val="6A66CC11"/>
    <w:rsid w:val="6A66D549"/>
    <w:rsid w:val="6A684710"/>
    <w:rsid w:val="6A68C79A"/>
    <w:rsid w:val="6A69D99E"/>
    <w:rsid w:val="6A6D52B9"/>
    <w:rsid w:val="6A6E2997"/>
    <w:rsid w:val="6A78F8E8"/>
    <w:rsid w:val="6A804B63"/>
    <w:rsid w:val="6A816EEF"/>
    <w:rsid w:val="6A8539F3"/>
    <w:rsid w:val="6A878B65"/>
    <w:rsid w:val="6A8AA0D7"/>
    <w:rsid w:val="6A8B7252"/>
    <w:rsid w:val="6A9075D8"/>
    <w:rsid w:val="6A9272FB"/>
    <w:rsid w:val="6A9D8BFA"/>
    <w:rsid w:val="6AA2A4B9"/>
    <w:rsid w:val="6AA2F56C"/>
    <w:rsid w:val="6AA87C31"/>
    <w:rsid w:val="6AACE02C"/>
    <w:rsid w:val="6AB43B1D"/>
    <w:rsid w:val="6AB6042E"/>
    <w:rsid w:val="6AB636CB"/>
    <w:rsid w:val="6AB67459"/>
    <w:rsid w:val="6ABF49A7"/>
    <w:rsid w:val="6ABF938E"/>
    <w:rsid w:val="6AC1FE25"/>
    <w:rsid w:val="6AC42A63"/>
    <w:rsid w:val="6AC933E2"/>
    <w:rsid w:val="6AC977E6"/>
    <w:rsid w:val="6AD131EB"/>
    <w:rsid w:val="6AD40DD8"/>
    <w:rsid w:val="6AD52866"/>
    <w:rsid w:val="6AD64BC2"/>
    <w:rsid w:val="6AE05630"/>
    <w:rsid w:val="6AE78DD5"/>
    <w:rsid w:val="6AE82945"/>
    <w:rsid w:val="6AF32EF3"/>
    <w:rsid w:val="6AF46815"/>
    <w:rsid w:val="6AFBA6E3"/>
    <w:rsid w:val="6AFCD6D3"/>
    <w:rsid w:val="6B042634"/>
    <w:rsid w:val="6B09F7AB"/>
    <w:rsid w:val="6B0DC5A4"/>
    <w:rsid w:val="6B0F4E38"/>
    <w:rsid w:val="6B16D03D"/>
    <w:rsid w:val="6B19D5B6"/>
    <w:rsid w:val="6B1D5E43"/>
    <w:rsid w:val="6B1DA35D"/>
    <w:rsid w:val="6B1ED63C"/>
    <w:rsid w:val="6B22EE81"/>
    <w:rsid w:val="6B24389E"/>
    <w:rsid w:val="6B27F91F"/>
    <w:rsid w:val="6B2958A2"/>
    <w:rsid w:val="6B2AF214"/>
    <w:rsid w:val="6B2E7703"/>
    <w:rsid w:val="6B2FD1DE"/>
    <w:rsid w:val="6B30B209"/>
    <w:rsid w:val="6B33DD0A"/>
    <w:rsid w:val="6B35DBB1"/>
    <w:rsid w:val="6B365446"/>
    <w:rsid w:val="6B3C6334"/>
    <w:rsid w:val="6B3E4056"/>
    <w:rsid w:val="6B4A548C"/>
    <w:rsid w:val="6B5212E1"/>
    <w:rsid w:val="6B5B5C81"/>
    <w:rsid w:val="6B5FE910"/>
    <w:rsid w:val="6B61FA91"/>
    <w:rsid w:val="6B62591C"/>
    <w:rsid w:val="6B660798"/>
    <w:rsid w:val="6B727701"/>
    <w:rsid w:val="6B7910F7"/>
    <w:rsid w:val="6B8DA6A6"/>
    <w:rsid w:val="6B93B0F5"/>
    <w:rsid w:val="6B974003"/>
    <w:rsid w:val="6B9AD688"/>
    <w:rsid w:val="6B9BB2C7"/>
    <w:rsid w:val="6B9CE1BB"/>
    <w:rsid w:val="6BA0D269"/>
    <w:rsid w:val="6BA3089E"/>
    <w:rsid w:val="6BAF281E"/>
    <w:rsid w:val="6BB0A8DF"/>
    <w:rsid w:val="6BBAFC6F"/>
    <w:rsid w:val="6BBCEA42"/>
    <w:rsid w:val="6BBF8955"/>
    <w:rsid w:val="6BCA03A4"/>
    <w:rsid w:val="6BCD66FE"/>
    <w:rsid w:val="6BD08334"/>
    <w:rsid w:val="6BD0C20E"/>
    <w:rsid w:val="6BD36463"/>
    <w:rsid w:val="6BD482B3"/>
    <w:rsid w:val="6BD5AFD9"/>
    <w:rsid w:val="6BD607F0"/>
    <w:rsid w:val="6BDB38C4"/>
    <w:rsid w:val="6BE014A8"/>
    <w:rsid w:val="6BE17A38"/>
    <w:rsid w:val="6BE3B628"/>
    <w:rsid w:val="6BEE408B"/>
    <w:rsid w:val="6BF0474D"/>
    <w:rsid w:val="6BF31F46"/>
    <w:rsid w:val="6BF56C47"/>
    <w:rsid w:val="6BFDE1A1"/>
    <w:rsid w:val="6BFE20F8"/>
    <w:rsid w:val="6BFE4020"/>
    <w:rsid w:val="6C02FE6F"/>
    <w:rsid w:val="6C0C1CA4"/>
    <w:rsid w:val="6C0EE5BA"/>
    <w:rsid w:val="6C14CA2E"/>
    <w:rsid w:val="6C1A7780"/>
    <w:rsid w:val="6C1B4887"/>
    <w:rsid w:val="6C1BF0E4"/>
    <w:rsid w:val="6C1C3BDE"/>
    <w:rsid w:val="6C1D1517"/>
    <w:rsid w:val="6C1EE4BC"/>
    <w:rsid w:val="6C2272C8"/>
    <w:rsid w:val="6C22DCDA"/>
    <w:rsid w:val="6C24B1A4"/>
    <w:rsid w:val="6C289854"/>
    <w:rsid w:val="6C293D41"/>
    <w:rsid w:val="6C2C287C"/>
    <w:rsid w:val="6C30723A"/>
    <w:rsid w:val="6C317042"/>
    <w:rsid w:val="6C341488"/>
    <w:rsid w:val="6C347330"/>
    <w:rsid w:val="6C349D5C"/>
    <w:rsid w:val="6C364DBC"/>
    <w:rsid w:val="6C377F80"/>
    <w:rsid w:val="6C39CF87"/>
    <w:rsid w:val="6C3E1038"/>
    <w:rsid w:val="6C40B7D1"/>
    <w:rsid w:val="6C420086"/>
    <w:rsid w:val="6C42C7AE"/>
    <w:rsid w:val="6C4510B5"/>
    <w:rsid w:val="6C4661A5"/>
    <w:rsid w:val="6C471F44"/>
    <w:rsid w:val="6C4C3351"/>
    <w:rsid w:val="6C527205"/>
    <w:rsid w:val="6C530DD1"/>
    <w:rsid w:val="6C53AEAB"/>
    <w:rsid w:val="6C5A3941"/>
    <w:rsid w:val="6C62E1AC"/>
    <w:rsid w:val="6C6351F1"/>
    <w:rsid w:val="6C640A14"/>
    <w:rsid w:val="6C6515A8"/>
    <w:rsid w:val="6C6A18CD"/>
    <w:rsid w:val="6C701833"/>
    <w:rsid w:val="6C73130D"/>
    <w:rsid w:val="6C774822"/>
    <w:rsid w:val="6C79EF94"/>
    <w:rsid w:val="6C7B1ADD"/>
    <w:rsid w:val="6C7C2691"/>
    <w:rsid w:val="6C7DFE4A"/>
    <w:rsid w:val="6C8EEB87"/>
    <w:rsid w:val="6C8FD113"/>
    <w:rsid w:val="6C9475F7"/>
    <w:rsid w:val="6C95BEE3"/>
    <w:rsid w:val="6C9A6690"/>
    <w:rsid w:val="6C9DAA75"/>
    <w:rsid w:val="6CA0229D"/>
    <w:rsid w:val="6CA3CC8A"/>
    <w:rsid w:val="6CAF1252"/>
    <w:rsid w:val="6CAF7D8A"/>
    <w:rsid w:val="6CAFC2C3"/>
    <w:rsid w:val="6CB10A76"/>
    <w:rsid w:val="6CB1341F"/>
    <w:rsid w:val="6CB26236"/>
    <w:rsid w:val="6CB4828A"/>
    <w:rsid w:val="6CBAB166"/>
    <w:rsid w:val="6CC3D8BA"/>
    <w:rsid w:val="6CC9177A"/>
    <w:rsid w:val="6CC990BA"/>
    <w:rsid w:val="6CCB298C"/>
    <w:rsid w:val="6CCBC144"/>
    <w:rsid w:val="6CD1796F"/>
    <w:rsid w:val="6CD27472"/>
    <w:rsid w:val="6CD5348E"/>
    <w:rsid w:val="6CD57D65"/>
    <w:rsid w:val="6CD9128F"/>
    <w:rsid w:val="6CDB360D"/>
    <w:rsid w:val="6CDC5D7D"/>
    <w:rsid w:val="6CDE0546"/>
    <w:rsid w:val="6CDFBD04"/>
    <w:rsid w:val="6CE2AF34"/>
    <w:rsid w:val="6CE31299"/>
    <w:rsid w:val="6CE6125D"/>
    <w:rsid w:val="6CEDB1C9"/>
    <w:rsid w:val="6CF3B168"/>
    <w:rsid w:val="6CF40730"/>
    <w:rsid w:val="6CF9995A"/>
    <w:rsid w:val="6CFADB76"/>
    <w:rsid w:val="6CFB2227"/>
    <w:rsid w:val="6D00E12B"/>
    <w:rsid w:val="6D03A88D"/>
    <w:rsid w:val="6D0652B5"/>
    <w:rsid w:val="6D0FC429"/>
    <w:rsid w:val="6D176003"/>
    <w:rsid w:val="6D18D74A"/>
    <w:rsid w:val="6D1915FE"/>
    <w:rsid w:val="6D2D9085"/>
    <w:rsid w:val="6D2E0B78"/>
    <w:rsid w:val="6D32459C"/>
    <w:rsid w:val="6D3359D0"/>
    <w:rsid w:val="6D349C4F"/>
    <w:rsid w:val="6D34E0A7"/>
    <w:rsid w:val="6D400735"/>
    <w:rsid w:val="6D40CC32"/>
    <w:rsid w:val="6D43AD3B"/>
    <w:rsid w:val="6D4497B6"/>
    <w:rsid w:val="6D4651C4"/>
    <w:rsid w:val="6D48805F"/>
    <w:rsid w:val="6D48D2AE"/>
    <w:rsid w:val="6D4E8B5D"/>
    <w:rsid w:val="6D523BB5"/>
    <w:rsid w:val="6D53C797"/>
    <w:rsid w:val="6D55C651"/>
    <w:rsid w:val="6D5AD336"/>
    <w:rsid w:val="6D5CF3BF"/>
    <w:rsid w:val="6D601676"/>
    <w:rsid w:val="6D603C8A"/>
    <w:rsid w:val="6D614D0D"/>
    <w:rsid w:val="6D6B9EBB"/>
    <w:rsid w:val="6D6F4180"/>
    <w:rsid w:val="6D703E02"/>
    <w:rsid w:val="6D75629B"/>
    <w:rsid w:val="6D793BDF"/>
    <w:rsid w:val="6D7BB2A1"/>
    <w:rsid w:val="6D8528AC"/>
    <w:rsid w:val="6D858004"/>
    <w:rsid w:val="6D876811"/>
    <w:rsid w:val="6D8E2FE0"/>
    <w:rsid w:val="6D9FF235"/>
    <w:rsid w:val="6DA57B68"/>
    <w:rsid w:val="6DAC734B"/>
    <w:rsid w:val="6DB33E4D"/>
    <w:rsid w:val="6DB3D02D"/>
    <w:rsid w:val="6DB4E61C"/>
    <w:rsid w:val="6DBC1970"/>
    <w:rsid w:val="6DBE14F8"/>
    <w:rsid w:val="6DBFEC4B"/>
    <w:rsid w:val="6DC0411F"/>
    <w:rsid w:val="6DC136EA"/>
    <w:rsid w:val="6DD21F60"/>
    <w:rsid w:val="6DD28458"/>
    <w:rsid w:val="6DDB4454"/>
    <w:rsid w:val="6DE18E35"/>
    <w:rsid w:val="6DE51ADE"/>
    <w:rsid w:val="6DE57340"/>
    <w:rsid w:val="6DE78547"/>
    <w:rsid w:val="6DE8DCA3"/>
    <w:rsid w:val="6DEB9AB8"/>
    <w:rsid w:val="6DECBAE2"/>
    <w:rsid w:val="6DED6BBA"/>
    <w:rsid w:val="6DED8575"/>
    <w:rsid w:val="6DF0B329"/>
    <w:rsid w:val="6DF2B07C"/>
    <w:rsid w:val="6DFC066A"/>
    <w:rsid w:val="6DFECE95"/>
    <w:rsid w:val="6E055ED6"/>
    <w:rsid w:val="6E056255"/>
    <w:rsid w:val="6E0B97A6"/>
    <w:rsid w:val="6E0F621A"/>
    <w:rsid w:val="6E143CEF"/>
    <w:rsid w:val="6E14AE8F"/>
    <w:rsid w:val="6E1E5E54"/>
    <w:rsid w:val="6E213D45"/>
    <w:rsid w:val="6E22DAD9"/>
    <w:rsid w:val="6E29D806"/>
    <w:rsid w:val="6E2D46A9"/>
    <w:rsid w:val="6E2F27F2"/>
    <w:rsid w:val="6E32B1EB"/>
    <w:rsid w:val="6E339C6D"/>
    <w:rsid w:val="6E39116E"/>
    <w:rsid w:val="6E39E9E3"/>
    <w:rsid w:val="6E3B76B9"/>
    <w:rsid w:val="6E47C7B2"/>
    <w:rsid w:val="6E4B9324"/>
    <w:rsid w:val="6E4EFAEF"/>
    <w:rsid w:val="6E543A59"/>
    <w:rsid w:val="6E56399E"/>
    <w:rsid w:val="6E5C81F3"/>
    <w:rsid w:val="6E5CA990"/>
    <w:rsid w:val="6E5F0B47"/>
    <w:rsid w:val="6E629425"/>
    <w:rsid w:val="6E7017CF"/>
    <w:rsid w:val="6E781673"/>
    <w:rsid w:val="6E78C5DA"/>
    <w:rsid w:val="6E799E77"/>
    <w:rsid w:val="6E7A9425"/>
    <w:rsid w:val="6E7EA49C"/>
    <w:rsid w:val="6E80E837"/>
    <w:rsid w:val="6E81B1B1"/>
    <w:rsid w:val="6E82EAC1"/>
    <w:rsid w:val="6E835768"/>
    <w:rsid w:val="6E8992D0"/>
    <w:rsid w:val="6E8B167D"/>
    <w:rsid w:val="6E8BCA5D"/>
    <w:rsid w:val="6E92489B"/>
    <w:rsid w:val="6E95AFD0"/>
    <w:rsid w:val="6E9903BC"/>
    <w:rsid w:val="6EA05BD5"/>
    <w:rsid w:val="6EA1E392"/>
    <w:rsid w:val="6EA36F71"/>
    <w:rsid w:val="6EA47D25"/>
    <w:rsid w:val="6EA9CAF2"/>
    <w:rsid w:val="6EAEF85B"/>
    <w:rsid w:val="6EB5C46C"/>
    <w:rsid w:val="6EBB9595"/>
    <w:rsid w:val="6ECA76F6"/>
    <w:rsid w:val="6ECEF13E"/>
    <w:rsid w:val="6ED0C860"/>
    <w:rsid w:val="6EDB472C"/>
    <w:rsid w:val="6EE1C5E3"/>
    <w:rsid w:val="6EE41291"/>
    <w:rsid w:val="6EEA95B3"/>
    <w:rsid w:val="6EF1CB41"/>
    <w:rsid w:val="6EF2DED9"/>
    <w:rsid w:val="6EFA5202"/>
    <w:rsid w:val="6EFA9C54"/>
    <w:rsid w:val="6EFE8D0D"/>
    <w:rsid w:val="6EFFD3AA"/>
    <w:rsid w:val="6F0266EE"/>
    <w:rsid w:val="6F031AE7"/>
    <w:rsid w:val="6F0691C4"/>
    <w:rsid w:val="6F069734"/>
    <w:rsid w:val="6F113B99"/>
    <w:rsid w:val="6F262DBA"/>
    <w:rsid w:val="6F267026"/>
    <w:rsid w:val="6F28A6EE"/>
    <w:rsid w:val="6F3BAED9"/>
    <w:rsid w:val="6F3BF954"/>
    <w:rsid w:val="6F3DF63F"/>
    <w:rsid w:val="6F41304A"/>
    <w:rsid w:val="6F463B38"/>
    <w:rsid w:val="6F48CA4F"/>
    <w:rsid w:val="6F57817B"/>
    <w:rsid w:val="6F5C026C"/>
    <w:rsid w:val="6F69B14E"/>
    <w:rsid w:val="6F69FD97"/>
    <w:rsid w:val="6F6AE171"/>
    <w:rsid w:val="6F6C603F"/>
    <w:rsid w:val="6F70823E"/>
    <w:rsid w:val="6F711D6F"/>
    <w:rsid w:val="6F735A07"/>
    <w:rsid w:val="6F741533"/>
    <w:rsid w:val="6F74F8FA"/>
    <w:rsid w:val="6F77DD2A"/>
    <w:rsid w:val="6F78398A"/>
    <w:rsid w:val="6F7C4686"/>
    <w:rsid w:val="6F87E0B6"/>
    <w:rsid w:val="6F8A75D9"/>
    <w:rsid w:val="6F9150F2"/>
    <w:rsid w:val="6F9180A4"/>
    <w:rsid w:val="6F918755"/>
    <w:rsid w:val="6F9311E6"/>
    <w:rsid w:val="6F949544"/>
    <w:rsid w:val="6F9789CE"/>
    <w:rsid w:val="6F97B32F"/>
    <w:rsid w:val="6F9FB6F1"/>
    <w:rsid w:val="6FA37EAF"/>
    <w:rsid w:val="6FA6CCE1"/>
    <w:rsid w:val="6FAB801C"/>
    <w:rsid w:val="6FB24300"/>
    <w:rsid w:val="6FB50684"/>
    <w:rsid w:val="6FB79B99"/>
    <w:rsid w:val="6FB8ED21"/>
    <w:rsid w:val="6FC85D58"/>
    <w:rsid w:val="6FD1715F"/>
    <w:rsid w:val="6FE02ED9"/>
    <w:rsid w:val="6FE5448E"/>
    <w:rsid w:val="6FEA4160"/>
    <w:rsid w:val="6FED5BB5"/>
    <w:rsid w:val="6FEDA515"/>
    <w:rsid w:val="6FF612A3"/>
    <w:rsid w:val="6FF8FF85"/>
    <w:rsid w:val="6FFB257E"/>
    <w:rsid w:val="70057006"/>
    <w:rsid w:val="7006F12D"/>
    <w:rsid w:val="7017E531"/>
    <w:rsid w:val="7019D9E4"/>
    <w:rsid w:val="701DA731"/>
    <w:rsid w:val="701F812C"/>
    <w:rsid w:val="702303FE"/>
    <w:rsid w:val="70237D18"/>
    <w:rsid w:val="7023CD76"/>
    <w:rsid w:val="702ECE54"/>
    <w:rsid w:val="7037C9E0"/>
    <w:rsid w:val="703867BC"/>
    <w:rsid w:val="703C3495"/>
    <w:rsid w:val="703F0949"/>
    <w:rsid w:val="703FE5FD"/>
    <w:rsid w:val="7041162C"/>
    <w:rsid w:val="7044D81B"/>
    <w:rsid w:val="704524B6"/>
    <w:rsid w:val="70455BC4"/>
    <w:rsid w:val="70499DE1"/>
    <w:rsid w:val="704A463B"/>
    <w:rsid w:val="704CB6E7"/>
    <w:rsid w:val="704D3E6D"/>
    <w:rsid w:val="704E7409"/>
    <w:rsid w:val="70506D18"/>
    <w:rsid w:val="70513566"/>
    <w:rsid w:val="70546C3A"/>
    <w:rsid w:val="705616E1"/>
    <w:rsid w:val="7056D93F"/>
    <w:rsid w:val="705B30D3"/>
    <w:rsid w:val="7069D47E"/>
    <w:rsid w:val="706A0D6D"/>
    <w:rsid w:val="706BB103"/>
    <w:rsid w:val="706DCBE7"/>
    <w:rsid w:val="706F38BA"/>
    <w:rsid w:val="706F8523"/>
    <w:rsid w:val="70773111"/>
    <w:rsid w:val="7077BCFE"/>
    <w:rsid w:val="7079E924"/>
    <w:rsid w:val="707A2175"/>
    <w:rsid w:val="707D881E"/>
    <w:rsid w:val="707D8E57"/>
    <w:rsid w:val="7081D363"/>
    <w:rsid w:val="708765CD"/>
    <w:rsid w:val="7089E9A5"/>
    <w:rsid w:val="708DECA4"/>
    <w:rsid w:val="709A5D6E"/>
    <w:rsid w:val="709BA328"/>
    <w:rsid w:val="709DA009"/>
    <w:rsid w:val="70A080F8"/>
    <w:rsid w:val="70A9496C"/>
    <w:rsid w:val="70A9A966"/>
    <w:rsid w:val="70AA4DD8"/>
    <w:rsid w:val="70ACE3D7"/>
    <w:rsid w:val="70B0322D"/>
    <w:rsid w:val="70B10354"/>
    <w:rsid w:val="70B33C78"/>
    <w:rsid w:val="70B3BA4F"/>
    <w:rsid w:val="70C2CFC0"/>
    <w:rsid w:val="70C2D2F9"/>
    <w:rsid w:val="70C69069"/>
    <w:rsid w:val="70C7232E"/>
    <w:rsid w:val="70CDE881"/>
    <w:rsid w:val="70CE7F2D"/>
    <w:rsid w:val="70DA335C"/>
    <w:rsid w:val="70DC954D"/>
    <w:rsid w:val="70DE0058"/>
    <w:rsid w:val="70E2A678"/>
    <w:rsid w:val="70E3A747"/>
    <w:rsid w:val="70E6E1C7"/>
    <w:rsid w:val="70E89319"/>
    <w:rsid w:val="70EF22CA"/>
    <w:rsid w:val="70EFCA47"/>
    <w:rsid w:val="70F74951"/>
    <w:rsid w:val="710459E8"/>
    <w:rsid w:val="71063D3B"/>
    <w:rsid w:val="7109CACD"/>
    <w:rsid w:val="710B291B"/>
    <w:rsid w:val="71122EBC"/>
    <w:rsid w:val="71179092"/>
    <w:rsid w:val="7118943B"/>
    <w:rsid w:val="711A2500"/>
    <w:rsid w:val="711EBE2F"/>
    <w:rsid w:val="711F38DA"/>
    <w:rsid w:val="71256892"/>
    <w:rsid w:val="71280CF0"/>
    <w:rsid w:val="712DCF4D"/>
    <w:rsid w:val="71383497"/>
    <w:rsid w:val="713AB3EA"/>
    <w:rsid w:val="71426382"/>
    <w:rsid w:val="71483956"/>
    <w:rsid w:val="7149403C"/>
    <w:rsid w:val="71500B09"/>
    <w:rsid w:val="7155A7C8"/>
    <w:rsid w:val="71595122"/>
    <w:rsid w:val="715B71DA"/>
    <w:rsid w:val="715C60F1"/>
    <w:rsid w:val="715EADDE"/>
    <w:rsid w:val="716067CD"/>
    <w:rsid w:val="71610D32"/>
    <w:rsid w:val="71618DB6"/>
    <w:rsid w:val="716357E3"/>
    <w:rsid w:val="71642C43"/>
    <w:rsid w:val="716A52AD"/>
    <w:rsid w:val="716CF810"/>
    <w:rsid w:val="716E4A9D"/>
    <w:rsid w:val="716E502F"/>
    <w:rsid w:val="716E6B55"/>
    <w:rsid w:val="717107E6"/>
    <w:rsid w:val="7176035E"/>
    <w:rsid w:val="71778A5C"/>
    <w:rsid w:val="717863FD"/>
    <w:rsid w:val="7178F5D5"/>
    <w:rsid w:val="717AE710"/>
    <w:rsid w:val="717E933B"/>
    <w:rsid w:val="71803220"/>
    <w:rsid w:val="71869755"/>
    <w:rsid w:val="71870BB7"/>
    <w:rsid w:val="718EA561"/>
    <w:rsid w:val="719C38F0"/>
    <w:rsid w:val="719C5927"/>
    <w:rsid w:val="719F455B"/>
    <w:rsid w:val="71A2BB6B"/>
    <w:rsid w:val="71A8A7C5"/>
    <w:rsid w:val="71AE5961"/>
    <w:rsid w:val="71AF60D2"/>
    <w:rsid w:val="71BCC236"/>
    <w:rsid w:val="71BCF3CC"/>
    <w:rsid w:val="71BDB598"/>
    <w:rsid w:val="71C255C7"/>
    <w:rsid w:val="71C2EB03"/>
    <w:rsid w:val="71C586CB"/>
    <w:rsid w:val="71C68FEE"/>
    <w:rsid w:val="71C76829"/>
    <w:rsid w:val="71D593D8"/>
    <w:rsid w:val="71D9331E"/>
    <w:rsid w:val="71DD838D"/>
    <w:rsid w:val="71DDA743"/>
    <w:rsid w:val="71EF33B5"/>
    <w:rsid w:val="71F00214"/>
    <w:rsid w:val="71F45A6C"/>
    <w:rsid w:val="71F86F94"/>
    <w:rsid w:val="71FDFA03"/>
    <w:rsid w:val="7201679D"/>
    <w:rsid w:val="72021B71"/>
    <w:rsid w:val="7205101B"/>
    <w:rsid w:val="7207CD87"/>
    <w:rsid w:val="7211D532"/>
    <w:rsid w:val="72198980"/>
    <w:rsid w:val="721AEB38"/>
    <w:rsid w:val="721B732E"/>
    <w:rsid w:val="721CC058"/>
    <w:rsid w:val="721FC671"/>
    <w:rsid w:val="72218E58"/>
    <w:rsid w:val="7221FC80"/>
    <w:rsid w:val="7222C142"/>
    <w:rsid w:val="722657E2"/>
    <w:rsid w:val="7227213C"/>
    <w:rsid w:val="722832C0"/>
    <w:rsid w:val="72288845"/>
    <w:rsid w:val="722D4568"/>
    <w:rsid w:val="722DE080"/>
    <w:rsid w:val="722F90F7"/>
    <w:rsid w:val="7234945C"/>
    <w:rsid w:val="723F4018"/>
    <w:rsid w:val="72402612"/>
    <w:rsid w:val="72476A12"/>
    <w:rsid w:val="7247F4D9"/>
    <w:rsid w:val="724D6AAD"/>
    <w:rsid w:val="725797C0"/>
    <w:rsid w:val="725847D2"/>
    <w:rsid w:val="725BEA80"/>
    <w:rsid w:val="725DE991"/>
    <w:rsid w:val="726260CA"/>
    <w:rsid w:val="72631278"/>
    <w:rsid w:val="7268D103"/>
    <w:rsid w:val="726F745A"/>
    <w:rsid w:val="727256DD"/>
    <w:rsid w:val="72747ED2"/>
    <w:rsid w:val="72759305"/>
    <w:rsid w:val="727C65AC"/>
    <w:rsid w:val="7280AFEB"/>
    <w:rsid w:val="728EEB6D"/>
    <w:rsid w:val="7295AFFA"/>
    <w:rsid w:val="729D2381"/>
    <w:rsid w:val="729FB4F3"/>
    <w:rsid w:val="729FF598"/>
    <w:rsid w:val="72A01ABD"/>
    <w:rsid w:val="72A0A4AC"/>
    <w:rsid w:val="72B12EE9"/>
    <w:rsid w:val="72B3E5EF"/>
    <w:rsid w:val="72B74584"/>
    <w:rsid w:val="72BAF992"/>
    <w:rsid w:val="72C8EB52"/>
    <w:rsid w:val="72CA9F42"/>
    <w:rsid w:val="72CBD35E"/>
    <w:rsid w:val="72D6E7DB"/>
    <w:rsid w:val="72DA5D56"/>
    <w:rsid w:val="72DC1288"/>
    <w:rsid w:val="72E6AECF"/>
    <w:rsid w:val="72EBB639"/>
    <w:rsid w:val="72EC4B25"/>
    <w:rsid w:val="72F16845"/>
    <w:rsid w:val="72F75ABD"/>
    <w:rsid w:val="72FA2DE2"/>
    <w:rsid w:val="730315E2"/>
    <w:rsid w:val="7306A317"/>
    <w:rsid w:val="7307769B"/>
    <w:rsid w:val="730A9CA6"/>
    <w:rsid w:val="730FDAF2"/>
    <w:rsid w:val="73155800"/>
    <w:rsid w:val="73182EDA"/>
    <w:rsid w:val="73247797"/>
    <w:rsid w:val="7327CF2B"/>
    <w:rsid w:val="7327E7E8"/>
    <w:rsid w:val="732E72DA"/>
    <w:rsid w:val="7336BD84"/>
    <w:rsid w:val="733B8D6B"/>
    <w:rsid w:val="733CFB60"/>
    <w:rsid w:val="733DC1F7"/>
    <w:rsid w:val="733E6E9D"/>
    <w:rsid w:val="73490979"/>
    <w:rsid w:val="734CEA03"/>
    <w:rsid w:val="73517556"/>
    <w:rsid w:val="7351867D"/>
    <w:rsid w:val="73529355"/>
    <w:rsid w:val="7355412F"/>
    <w:rsid w:val="7355C18D"/>
    <w:rsid w:val="7356BD80"/>
    <w:rsid w:val="73599AEE"/>
    <w:rsid w:val="735D26F0"/>
    <w:rsid w:val="735DA0E5"/>
    <w:rsid w:val="7363924B"/>
    <w:rsid w:val="736A0EE1"/>
    <w:rsid w:val="7378DDA1"/>
    <w:rsid w:val="73794FAD"/>
    <w:rsid w:val="7379F9A6"/>
    <w:rsid w:val="737A3BCE"/>
    <w:rsid w:val="737BA6B7"/>
    <w:rsid w:val="737E2CE8"/>
    <w:rsid w:val="73880DDA"/>
    <w:rsid w:val="7389AB22"/>
    <w:rsid w:val="7389EDC6"/>
    <w:rsid w:val="738B557A"/>
    <w:rsid w:val="738CCD51"/>
    <w:rsid w:val="738FA39D"/>
    <w:rsid w:val="739078A1"/>
    <w:rsid w:val="73933105"/>
    <w:rsid w:val="7397787B"/>
    <w:rsid w:val="739854A3"/>
    <w:rsid w:val="7399DED3"/>
    <w:rsid w:val="739AB26A"/>
    <w:rsid w:val="739BF17D"/>
    <w:rsid w:val="739FF829"/>
    <w:rsid w:val="73A040FA"/>
    <w:rsid w:val="73A0B5AA"/>
    <w:rsid w:val="73A9E953"/>
    <w:rsid w:val="73AC62AA"/>
    <w:rsid w:val="73AC6C93"/>
    <w:rsid w:val="73ADA936"/>
    <w:rsid w:val="73AE407A"/>
    <w:rsid w:val="73B50E23"/>
    <w:rsid w:val="73B57E69"/>
    <w:rsid w:val="73BB14F0"/>
    <w:rsid w:val="73BBD083"/>
    <w:rsid w:val="73C1527E"/>
    <w:rsid w:val="73C34219"/>
    <w:rsid w:val="73C6ED11"/>
    <w:rsid w:val="73CAA32F"/>
    <w:rsid w:val="73CBAF6D"/>
    <w:rsid w:val="73CF86C9"/>
    <w:rsid w:val="73D675B0"/>
    <w:rsid w:val="73DC9D56"/>
    <w:rsid w:val="73DFFACA"/>
    <w:rsid w:val="73E4E2C8"/>
    <w:rsid w:val="73E5069A"/>
    <w:rsid w:val="73EF5BB9"/>
    <w:rsid w:val="73F5B0F7"/>
    <w:rsid w:val="73F9E601"/>
    <w:rsid w:val="73FD1526"/>
    <w:rsid w:val="74000224"/>
    <w:rsid w:val="74002F51"/>
    <w:rsid w:val="74022A78"/>
    <w:rsid w:val="7406F7F9"/>
    <w:rsid w:val="74088D8B"/>
    <w:rsid w:val="740D5322"/>
    <w:rsid w:val="740F21B9"/>
    <w:rsid w:val="741932A8"/>
    <w:rsid w:val="7419687C"/>
    <w:rsid w:val="741AC837"/>
    <w:rsid w:val="7422CF06"/>
    <w:rsid w:val="74255269"/>
    <w:rsid w:val="742770FE"/>
    <w:rsid w:val="742B0A9F"/>
    <w:rsid w:val="7431050E"/>
    <w:rsid w:val="7441326F"/>
    <w:rsid w:val="74425E30"/>
    <w:rsid w:val="744649E6"/>
    <w:rsid w:val="74475F0D"/>
    <w:rsid w:val="744DCE92"/>
    <w:rsid w:val="744F2172"/>
    <w:rsid w:val="7451A04F"/>
    <w:rsid w:val="74591D03"/>
    <w:rsid w:val="74599209"/>
    <w:rsid w:val="7462A80A"/>
    <w:rsid w:val="746B50B2"/>
    <w:rsid w:val="746E1019"/>
    <w:rsid w:val="746EDC0A"/>
    <w:rsid w:val="746F460A"/>
    <w:rsid w:val="747BAFF5"/>
    <w:rsid w:val="74802741"/>
    <w:rsid w:val="7482025C"/>
    <w:rsid w:val="749362DF"/>
    <w:rsid w:val="7493A709"/>
    <w:rsid w:val="74945618"/>
    <w:rsid w:val="7495EC1A"/>
    <w:rsid w:val="74973496"/>
    <w:rsid w:val="7497CEC9"/>
    <w:rsid w:val="749A01E5"/>
    <w:rsid w:val="749A0474"/>
    <w:rsid w:val="749D1290"/>
    <w:rsid w:val="749DE5EF"/>
    <w:rsid w:val="74A1CC31"/>
    <w:rsid w:val="74A23310"/>
    <w:rsid w:val="74A452C8"/>
    <w:rsid w:val="74AC2B6B"/>
    <w:rsid w:val="74B22D28"/>
    <w:rsid w:val="74B245CF"/>
    <w:rsid w:val="74B51ED7"/>
    <w:rsid w:val="74B5B308"/>
    <w:rsid w:val="74C0AECE"/>
    <w:rsid w:val="74C68319"/>
    <w:rsid w:val="74CF4040"/>
    <w:rsid w:val="74D233EB"/>
    <w:rsid w:val="74D34AA6"/>
    <w:rsid w:val="74D50AD6"/>
    <w:rsid w:val="74D85E16"/>
    <w:rsid w:val="74DBB1C7"/>
    <w:rsid w:val="74DEB6F5"/>
    <w:rsid w:val="74DEF5E0"/>
    <w:rsid w:val="74E225FA"/>
    <w:rsid w:val="74E6518F"/>
    <w:rsid w:val="74E72846"/>
    <w:rsid w:val="74E7E60E"/>
    <w:rsid w:val="74ECC6B4"/>
    <w:rsid w:val="74FDADAC"/>
    <w:rsid w:val="74FF1DEE"/>
    <w:rsid w:val="7505F4AD"/>
    <w:rsid w:val="750ACC47"/>
    <w:rsid w:val="75105E08"/>
    <w:rsid w:val="7518190E"/>
    <w:rsid w:val="751DB7DF"/>
    <w:rsid w:val="752271CF"/>
    <w:rsid w:val="752DE285"/>
    <w:rsid w:val="75331538"/>
    <w:rsid w:val="7537A98B"/>
    <w:rsid w:val="753B2E6D"/>
    <w:rsid w:val="753E39D9"/>
    <w:rsid w:val="753E4657"/>
    <w:rsid w:val="7544B765"/>
    <w:rsid w:val="754886E6"/>
    <w:rsid w:val="7549C71B"/>
    <w:rsid w:val="7551D365"/>
    <w:rsid w:val="755439C2"/>
    <w:rsid w:val="7558BF20"/>
    <w:rsid w:val="755BA9DC"/>
    <w:rsid w:val="755D8EFC"/>
    <w:rsid w:val="755E7F0D"/>
    <w:rsid w:val="7564E3CC"/>
    <w:rsid w:val="756AD464"/>
    <w:rsid w:val="756FF660"/>
    <w:rsid w:val="75787B62"/>
    <w:rsid w:val="757DCB8A"/>
    <w:rsid w:val="7581990F"/>
    <w:rsid w:val="7588272A"/>
    <w:rsid w:val="75956F3E"/>
    <w:rsid w:val="759731D5"/>
    <w:rsid w:val="75991A90"/>
    <w:rsid w:val="759F7E8B"/>
    <w:rsid w:val="75A11912"/>
    <w:rsid w:val="75A3F149"/>
    <w:rsid w:val="75A4C2BF"/>
    <w:rsid w:val="75AB95D7"/>
    <w:rsid w:val="75ADCEF3"/>
    <w:rsid w:val="75B1DB39"/>
    <w:rsid w:val="75B28FAE"/>
    <w:rsid w:val="75B336FC"/>
    <w:rsid w:val="75B4D656"/>
    <w:rsid w:val="75BD100A"/>
    <w:rsid w:val="75C5F2B9"/>
    <w:rsid w:val="75D1F1C0"/>
    <w:rsid w:val="75DB9405"/>
    <w:rsid w:val="75DD0F44"/>
    <w:rsid w:val="75E24D6D"/>
    <w:rsid w:val="75E2EAB6"/>
    <w:rsid w:val="75E66F21"/>
    <w:rsid w:val="75EC29F0"/>
    <w:rsid w:val="75EDAFE8"/>
    <w:rsid w:val="75F19DAF"/>
    <w:rsid w:val="75FA898A"/>
    <w:rsid w:val="75FFFD7D"/>
    <w:rsid w:val="7609E9FD"/>
    <w:rsid w:val="761416AF"/>
    <w:rsid w:val="76178335"/>
    <w:rsid w:val="761B3A12"/>
    <w:rsid w:val="761C6D10"/>
    <w:rsid w:val="761C8407"/>
    <w:rsid w:val="76247C79"/>
    <w:rsid w:val="7624E1B8"/>
    <w:rsid w:val="762A60AC"/>
    <w:rsid w:val="76300158"/>
    <w:rsid w:val="7633406D"/>
    <w:rsid w:val="7637546E"/>
    <w:rsid w:val="7649926C"/>
    <w:rsid w:val="764A302C"/>
    <w:rsid w:val="764BA24E"/>
    <w:rsid w:val="7659E045"/>
    <w:rsid w:val="765B0CB5"/>
    <w:rsid w:val="765DF0A5"/>
    <w:rsid w:val="765FE84C"/>
    <w:rsid w:val="7660500E"/>
    <w:rsid w:val="7660FB0B"/>
    <w:rsid w:val="7662F0E6"/>
    <w:rsid w:val="7663578F"/>
    <w:rsid w:val="766E9264"/>
    <w:rsid w:val="7671CFDD"/>
    <w:rsid w:val="767B7B12"/>
    <w:rsid w:val="7682C512"/>
    <w:rsid w:val="768A1DF6"/>
    <w:rsid w:val="768C716F"/>
    <w:rsid w:val="76912482"/>
    <w:rsid w:val="76951952"/>
    <w:rsid w:val="769B86B4"/>
    <w:rsid w:val="76A24B2B"/>
    <w:rsid w:val="76A37531"/>
    <w:rsid w:val="76AC9F25"/>
    <w:rsid w:val="76AF6AAD"/>
    <w:rsid w:val="76B2477A"/>
    <w:rsid w:val="76B4955E"/>
    <w:rsid w:val="76C14162"/>
    <w:rsid w:val="76C3AFCD"/>
    <w:rsid w:val="76CEEC92"/>
    <w:rsid w:val="76CF53C2"/>
    <w:rsid w:val="76DB30E4"/>
    <w:rsid w:val="76DD61DB"/>
    <w:rsid w:val="76E06D61"/>
    <w:rsid w:val="76E2329F"/>
    <w:rsid w:val="76EB1D3E"/>
    <w:rsid w:val="76EC803D"/>
    <w:rsid w:val="76F15149"/>
    <w:rsid w:val="76FA1623"/>
    <w:rsid w:val="76FF862D"/>
    <w:rsid w:val="7704608C"/>
    <w:rsid w:val="7714539C"/>
    <w:rsid w:val="77182727"/>
    <w:rsid w:val="771C7220"/>
    <w:rsid w:val="77227170"/>
    <w:rsid w:val="77265A98"/>
    <w:rsid w:val="7730DE82"/>
    <w:rsid w:val="773375D0"/>
    <w:rsid w:val="773696F0"/>
    <w:rsid w:val="773B122D"/>
    <w:rsid w:val="773E3E7E"/>
    <w:rsid w:val="7747CD52"/>
    <w:rsid w:val="774988A1"/>
    <w:rsid w:val="774DE209"/>
    <w:rsid w:val="7751170E"/>
    <w:rsid w:val="77511F25"/>
    <w:rsid w:val="7752E4A6"/>
    <w:rsid w:val="77587A7F"/>
    <w:rsid w:val="7758DD87"/>
    <w:rsid w:val="776096C0"/>
    <w:rsid w:val="77633FBD"/>
    <w:rsid w:val="776D22E7"/>
    <w:rsid w:val="776F1F7B"/>
    <w:rsid w:val="77774550"/>
    <w:rsid w:val="7777FDE3"/>
    <w:rsid w:val="777CBA99"/>
    <w:rsid w:val="7786565B"/>
    <w:rsid w:val="778D2EE1"/>
    <w:rsid w:val="778D8EBB"/>
    <w:rsid w:val="778FA69A"/>
    <w:rsid w:val="779CEABE"/>
    <w:rsid w:val="77A2A6E4"/>
    <w:rsid w:val="77A87D19"/>
    <w:rsid w:val="77AA0F79"/>
    <w:rsid w:val="77AC931D"/>
    <w:rsid w:val="77ACB1FC"/>
    <w:rsid w:val="77BBD44A"/>
    <w:rsid w:val="77BE3849"/>
    <w:rsid w:val="77C12895"/>
    <w:rsid w:val="77C1FBFB"/>
    <w:rsid w:val="77C63193"/>
    <w:rsid w:val="77C6B767"/>
    <w:rsid w:val="77CEB30C"/>
    <w:rsid w:val="77D16803"/>
    <w:rsid w:val="77D28F8D"/>
    <w:rsid w:val="77DB1195"/>
    <w:rsid w:val="77DC1793"/>
    <w:rsid w:val="77DC3AC7"/>
    <w:rsid w:val="77DDC08E"/>
    <w:rsid w:val="77E5F1BE"/>
    <w:rsid w:val="77E70130"/>
    <w:rsid w:val="77E817C3"/>
    <w:rsid w:val="77EB5D36"/>
    <w:rsid w:val="77EFB103"/>
    <w:rsid w:val="77F4B630"/>
    <w:rsid w:val="77F74426"/>
    <w:rsid w:val="77FB42AF"/>
    <w:rsid w:val="77FFBE05"/>
    <w:rsid w:val="78045972"/>
    <w:rsid w:val="7806CD1E"/>
    <w:rsid w:val="780B0715"/>
    <w:rsid w:val="780B0C19"/>
    <w:rsid w:val="78156AA6"/>
    <w:rsid w:val="7815E781"/>
    <w:rsid w:val="781F4FCB"/>
    <w:rsid w:val="7821B58B"/>
    <w:rsid w:val="7826DC44"/>
    <w:rsid w:val="7826DE5F"/>
    <w:rsid w:val="782A0E8B"/>
    <w:rsid w:val="782DA406"/>
    <w:rsid w:val="782E0226"/>
    <w:rsid w:val="782E5984"/>
    <w:rsid w:val="7830214A"/>
    <w:rsid w:val="783466F1"/>
    <w:rsid w:val="7839383C"/>
    <w:rsid w:val="783A21C4"/>
    <w:rsid w:val="7841A02A"/>
    <w:rsid w:val="784C6A47"/>
    <w:rsid w:val="78505C11"/>
    <w:rsid w:val="78519496"/>
    <w:rsid w:val="7855CDEA"/>
    <w:rsid w:val="7858200F"/>
    <w:rsid w:val="7858C727"/>
    <w:rsid w:val="7859F874"/>
    <w:rsid w:val="785ED107"/>
    <w:rsid w:val="7860C0C4"/>
    <w:rsid w:val="7862AFD7"/>
    <w:rsid w:val="786A04F9"/>
    <w:rsid w:val="786C76A1"/>
    <w:rsid w:val="786E13BD"/>
    <w:rsid w:val="787039B4"/>
    <w:rsid w:val="78710ED8"/>
    <w:rsid w:val="78742F02"/>
    <w:rsid w:val="78797A16"/>
    <w:rsid w:val="787CD6C8"/>
    <w:rsid w:val="7885138C"/>
    <w:rsid w:val="7890D6E9"/>
    <w:rsid w:val="789A13B4"/>
    <w:rsid w:val="78A8B1EE"/>
    <w:rsid w:val="78A9A9AC"/>
    <w:rsid w:val="78AADC65"/>
    <w:rsid w:val="78B455CF"/>
    <w:rsid w:val="78BC086D"/>
    <w:rsid w:val="78C2A812"/>
    <w:rsid w:val="78C4AF0D"/>
    <w:rsid w:val="78C5AE21"/>
    <w:rsid w:val="78C6BE10"/>
    <w:rsid w:val="78CE5B8A"/>
    <w:rsid w:val="78D40ECF"/>
    <w:rsid w:val="78D82D6C"/>
    <w:rsid w:val="78EA6B66"/>
    <w:rsid w:val="78EAD59C"/>
    <w:rsid w:val="78EC9381"/>
    <w:rsid w:val="78EEBEE2"/>
    <w:rsid w:val="78EFDF7E"/>
    <w:rsid w:val="78F507D7"/>
    <w:rsid w:val="78F5D9EB"/>
    <w:rsid w:val="78F98B3B"/>
    <w:rsid w:val="78FA0678"/>
    <w:rsid w:val="78FBFC7F"/>
    <w:rsid w:val="78FDB84F"/>
    <w:rsid w:val="78FF5842"/>
    <w:rsid w:val="7904540F"/>
    <w:rsid w:val="790CCA77"/>
    <w:rsid w:val="790F1824"/>
    <w:rsid w:val="790FBE5D"/>
    <w:rsid w:val="7912FAC1"/>
    <w:rsid w:val="7913371F"/>
    <w:rsid w:val="7914FBFD"/>
    <w:rsid w:val="79159A76"/>
    <w:rsid w:val="79189DF4"/>
    <w:rsid w:val="792835C7"/>
    <w:rsid w:val="792946FE"/>
    <w:rsid w:val="7937BF81"/>
    <w:rsid w:val="7938BBDF"/>
    <w:rsid w:val="793BF8D0"/>
    <w:rsid w:val="793C2446"/>
    <w:rsid w:val="793F0C10"/>
    <w:rsid w:val="7940C88C"/>
    <w:rsid w:val="79431E38"/>
    <w:rsid w:val="7945C6F2"/>
    <w:rsid w:val="794811CF"/>
    <w:rsid w:val="7949DF13"/>
    <w:rsid w:val="794C6F00"/>
    <w:rsid w:val="79512D7B"/>
    <w:rsid w:val="795330F5"/>
    <w:rsid w:val="79568257"/>
    <w:rsid w:val="79612F38"/>
    <w:rsid w:val="7963434B"/>
    <w:rsid w:val="796429BB"/>
    <w:rsid w:val="796A2AB6"/>
    <w:rsid w:val="796EBE8B"/>
    <w:rsid w:val="7973031B"/>
    <w:rsid w:val="7976F776"/>
    <w:rsid w:val="797E6781"/>
    <w:rsid w:val="797F67D9"/>
    <w:rsid w:val="798A373E"/>
    <w:rsid w:val="798C4D7C"/>
    <w:rsid w:val="7990D9B2"/>
    <w:rsid w:val="799503BF"/>
    <w:rsid w:val="79961948"/>
    <w:rsid w:val="79991CB0"/>
    <w:rsid w:val="79997D30"/>
    <w:rsid w:val="79AC3090"/>
    <w:rsid w:val="79ACB16E"/>
    <w:rsid w:val="79AEC64D"/>
    <w:rsid w:val="79B243BB"/>
    <w:rsid w:val="79B90553"/>
    <w:rsid w:val="79BD2FA7"/>
    <w:rsid w:val="79C83BCC"/>
    <w:rsid w:val="79CEA061"/>
    <w:rsid w:val="79D6571C"/>
    <w:rsid w:val="79D98F2D"/>
    <w:rsid w:val="79DC28AF"/>
    <w:rsid w:val="79E81AB0"/>
    <w:rsid w:val="79F08C99"/>
    <w:rsid w:val="79F8AB32"/>
    <w:rsid w:val="79FDD359"/>
    <w:rsid w:val="7A00320A"/>
    <w:rsid w:val="7A0718A0"/>
    <w:rsid w:val="7A0C9D7A"/>
    <w:rsid w:val="7A0D70BB"/>
    <w:rsid w:val="7A0D8040"/>
    <w:rsid w:val="7A0F0EFF"/>
    <w:rsid w:val="7A1B811A"/>
    <w:rsid w:val="7A1E8B5C"/>
    <w:rsid w:val="7A1F2CC9"/>
    <w:rsid w:val="7A1FE58E"/>
    <w:rsid w:val="7A216E34"/>
    <w:rsid w:val="7A22A382"/>
    <w:rsid w:val="7A3634BF"/>
    <w:rsid w:val="7A384959"/>
    <w:rsid w:val="7A389989"/>
    <w:rsid w:val="7A3C682B"/>
    <w:rsid w:val="7A415C3C"/>
    <w:rsid w:val="7A42A8C9"/>
    <w:rsid w:val="7A444593"/>
    <w:rsid w:val="7A447692"/>
    <w:rsid w:val="7A451334"/>
    <w:rsid w:val="7A47F96E"/>
    <w:rsid w:val="7A4D233A"/>
    <w:rsid w:val="7A5547B6"/>
    <w:rsid w:val="7A5990E6"/>
    <w:rsid w:val="7A5AD063"/>
    <w:rsid w:val="7A5D9EB0"/>
    <w:rsid w:val="7A5E7873"/>
    <w:rsid w:val="7A6C35E7"/>
    <w:rsid w:val="7A6FEC77"/>
    <w:rsid w:val="7A71B4B5"/>
    <w:rsid w:val="7A72C141"/>
    <w:rsid w:val="7A73AB0D"/>
    <w:rsid w:val="7A76D1F5"/>
    <w:rsid w:val="7A793891"/>
    <w:rsid w:val="7A7E1B5A"/>
    <w:rsid w:val="7A7FFEE0"/>
    <w:rsid w:val="7A9397A1"/>
    <w:rsid w:val="7A9595B8"/>
    <w:rsid w:val="7A97F73B"/>
    <w:rsid w:val="7A9ABD9B"/>
    <w:rsid w:val="7A9B199E"/>
    <w:rsid w:val="7AA15D2F"/>
    <w:rsid w:val="7AA346D5"/>
    <w:rsid w:val="7AA5D102"/>
    <w:rsid w:val="7AA95C3F"/>
    <w:rsid w:val="7AB98FE3"/>
    <w:rsid w:val="7ABCC7E5"/>
    <w:rsid w:val="7ABFAF0C"/>
    <w:rsid w:val="7AC2BB4D"/>
    <w:rsid w:val="7AC33D05"/>
    <w:rsid w:val="7AC5D75E"/>
    <w:rsid w:val="7ACC632F"/>
    <w:rsid w:val="7ACE76C9"/>
    <w:rsid w:val="7AD09EBA"/>
    <w:rsid w:val="7AD57479"/>
    <w:rsid w:val="7AD8592C"/>
    <w:rsid w:val="7ADD00F7"/>
    <w:rsid w:val="7AE9A0A1"/>
    <w:rsid w:val="7AEA436A"/>
    <w:rsid w:val="7AF12495"/>
    <w:rsid w:val="7AF19B24"/>
    <w:rsid w:val="7AF4DF5C"/>
    <w:rsid w:val="7AF60043"/>
    <w:rsid w:val="7AF6BF5E"/>
    <w:rsid w:val="7AF74DED"/>
    <w:rsid w:val="7AFC171E"/>
    <w:rsid w:val="7B00D966"/>
    <w:rsid w:val="7B00FC78"/>
    <w:rsid w:val="7B071D6C"/>
    <w:rsid w:val="7B0C2241"/>
    <w:rsid w:val="7B1D9B3B"/>
    <w:rsid w:val="7B1E95B6"/>
    <w:rsid w:val="7B2188D9"/>
    <w:rsid w:val="7B234FD2"/>
    <w:rsid w:val="7B2641BC"/>
    <w:rsid w:val="7B33F9A1"/>
    <w:rsid w:val="7B358803"/>
    <w:rsid w:val="7B3D7D72"/>
    <w:rsid w:val="7B3D9170"/>
    <w:rsid w:val="7B43A10C"/>
    <w:rsid w:val="7B4B1095"/>
    <w:rsid w:val="7B525AF9"/>
    <w:rsid w:val="7B59E7ED"/>
    <w:rsid w:val="7B5B32FF"/>
    <w:rsid w:val="7B5C1544"/>
    <w:rsid w:val="7B5F87BB"/>
    <w:rsid w:val="7B5F8D5C"/>
    <w:rsid w:val="7B627010"/>
    <w:rsid w:val="7B641EC8"/>
    <w:rsid w:val="7B67D141"/>
    <w:rsid w:val="7B6DD4EC"/>
    <w:rsid w:val="7B6E75A3"/>
    <w:rsid w:val="7B706B9B"/>
    <w:rsid w:val="7B7C5997"/>
    <w:rsid w:val="7B7F545A"/>
    <w:rsid w:val="7B813344"/>
    <w:rsid w:val="7B833BCC"/>
    <w:rsid w:val="7B893558"/>
    <w:rsid w:val="7B8B6D39"/>
    <w:rsid w:val="7B8F795A"/>
    <w:rsid w:val="7B907E17"/>
    <w:rsid w:val="7B93BF40"/>
    <w:rsid w:val="7BA34828"/>
    <w:rsid w:val="7BA3E98C"/>
    <w:rsid w:val="7BAD7259"/>
    <w:rsid w:val="7BB02DB5"/>
    <w:rsid w:val="7BB4A5D6"/>
    <w:rsid w:val="7BB7443E"/>
    <w:rsid w:val="7BB7993E"/>
    <w:rsid w:val="7BBDB1A3"/>
    <w:rsid w:val="7BC54A33"/>
    <w:rsid w:val="7BCE6F22"/>
    <w:rsid w:val="7BD19351"/>
    <w:rsid w:val="7BD27EFE"/>
    <w:rsid w:val="7BD8221E"/>
    <w:rsid w:val="7BDE4848"/>
    <w:rsid w:val="7BE423DE"/>
    <w:rsid w:val="7BEC800F"/>
    <w:rsid w:val="7BECB422"/>
    <w:rsid w:val="7BEF2E93"/>
    <w:rsid w:val="7BF62576"/>
    <w:rsid w:val="7BF9042D"/>
    <w:rsid w:val="7BFA90D5"/>
    <w:rsid w:val="7BFD2AEB"/>
    <w:rsid w:val="7C03F72A"/>
    <w:rsid w:val="7C04B0C2"/>
    <w:rsid w:val="7C0B853C"/>
    <w:rsid w:val="7C1121C3"/>
    <w:rsid w:val="7C1FA4F0"/>
    <w:rsid w:val="7C255DF6"/>
    <w:rsid w:val="7C31900C"/>
    <w:rsid w:val="7C31D89B"/>
    <w:rsid w:val="7C324BC8"/>
    <w:rsid w:val="7C3843D3"/>
    <w:rsid w:val="7C38C592"/>
    <w:rsid w:val="7C3DAD2F"/>
    <w:rsid w:val="7C45CBDC"/>
    <w:rsid w:val="7C4E25EB"/>
    <w:rsid w:val="7C65965E"/>
    <w:rsid w:val="7C6A3CB4"/>
    <w:rsid w:val="7C71AD05"/>
    <w:rsid w:val="7C796BC7"/>
    <w:rsid w:val="7C799095"/>
    <w:rsid w:val="7C7C39B8"/>
    <w:rsid w:val="7C7CA2EB"/>
    <w:rsid w:val="7C802502"/>
    <w:rsid w:val="7C82A492"/>
    <w:rsid w:val="7C8306D1"/>
    <w:rsid w:val="7C884EAF"/>
    <w:rsid w:val="7C8CB21A"/>
    <w:rsid w:val="7C8D33EC"/>
    <w:rsid w:val="7C8EF4FA"/>
    <w:rsid w:val="7C90B0EB"/>
    <w:rsid w:val="7C92E3B9"/>
    <w:rsid w:val="7C97B3E4"/>
    <w:rsid w:val="7C98C33F"/>
    <w:rsid w:val="7C9D086F"/>
    <w:rsid w:val="7CA57C7B"/>
    <w:rsid w:val="7CA8356A"/>
    <w:rsid w:val="7CB35086"/>
    <w:rsid w:val="7CB40469"/>
    <w:rsid w:val="7CB47057"/>
    <w:rsid w:val="7CB8D5B5"/>
    <w:rsid w:val="7CBF7A52"/>
    <w:rsid w:val="7CC70B23"/>
    <w:rsid w:val="7CCC9963"/>
    <w:rsid w:val="7CCD3945"/>
    <w:rsid w:val="7CCE1C45"/>
    <w:rsid w:val="7CD14AE3"/>
    <w:rsid w:val="7CD43303"/>
    <w:rsid w:val="7CD4C94B"/>
    <w:rsid w:val="7CD6ED7E"/>
    <w:rsid w:val="7CD75641"/>
    <w:rsid w:val="7CD9F361"/>
    <w:rsid w:val="7CE14F39"/>
    <w:rsid w:val="7CE261A5"/>
    <w:rsid w:val="7CE5A90D"/>
    <w:rsid w:val="7CEBCD74"/>
    <w:rsid w:val="7CEFBD24"/>
    <w:rsid w:val="7CF03F55"/>
    <w:rsid w:val="7CF0DE60"/>
    <w:rsid w:val="7CFA245E"/>
    <w:rsid w:val="7D09190C"/>
    <w:rsid w:val="7D0F4746"/>
    <w:rsid w:val="7D1766DF"/>
    <w:rsid w:val="7D1C2054"/>
    <w:rsid w:val="7D1C3F8C"/>
    <w:rsid w:val="7D2120EC"/>
    <w:rsid w:val="7D23E1EC"/>
    <w:rsid w:val="7D2581B0"/>
    <w:rsid w:val="7D2B20D8"/>
    <w:rsid w:val="7D2E875D"/>
    <w:rsid w:val="7D301AB3"/>
    <w:rsid w:val="7D350A65"/>
    <w:rsid w:val="7D35FB2C"/>
    <w:rsid w:val="7D40C908"/>
    <w:rsid w:val="7D42F872"/>
    <w:rsid w:val="7D45D652"/>
    <w:rsid w:val="7D5208D5"/>
    <w:rsid w:val="7D56942C"/>
    <w:rsid w:val="7D58C4E8"/>
    <w:rsid w:val="7D5A7249"/>
    <w:rsid w:val="7D60870A"/>
    <w:rsid w:val="7D6113E2"/>
    <w:rsid w:val="7D61D465"/>
    <w:rsid w:val="7D65ADA4"/>
    <w:rsid w:val="7D6AE5DA"/>
    <w:rsid w:val="7D6DF54E"/>
    <w:rsid w:val="7D756206"/>
    <w:rsid w:val="7D76967C"/>
    <w:rsid w:val="7D76BBAA"/>
    <w:rsid w:val="7D76F175"/>
    <w:rsid w:val="7D79532F"/>
    <w:rsid w:val="7D79B873"/>
    <w:rsid w:val="7D7D0F6A"/>
    <w:rsid w:val="7D7E32FF"/>
    <w:rsid w:val="7D879FEA"/>
    <w:rsid w:val="7D882C6E"/>
    <w:rsid w:val="7D8972C2"/>
    <w:rsid w:val="7D8B6F02"/>
    <w:rsid w:val="7D91AFF9"/>
    <w:rsid w:val="7D9209E9"/>
    <w:rsid w:val="7D942DE6"/>
    <w:rsid w:val="7D977B1E"/>
    <w:rsid w:val="7D99DBF6"/>
    <w:rsid w:val="7D9BEFB6"/>
    <w:rsid w:val="7D9C4204"/>
    <w:rsid w:val="7D9C63CE"/>
    <w:rsid w:val="7D9E9870"/>
    <w:rsid w:val="7DA30282"/>
    <w:rsid w:val="7DA33CBC"/>
    <w:rsid w:val="7DA61E18"/>
    <w:rsid w:val="7DAFE306"/>
    <w:rsid w:val="7DB38819"/>
    <w:rsid w:val="7DB5AA0F"/>
    <w:rsid w:val="7DB7928D"/>
    <w:rsid w:val="7DB89839"/>
    <w:rsid w:val="7DC93FAD"/>
    <w:rsid w:val="7DCEA277"/>
    <w:rsid w:val="7DCFE31D"/>
    <w:rsid w:val="7DD11B86"/>
    <w:rsid w:val="7DD190DD"/>
    <w:rsid w:val="7DD88203"/>
    <w:rsid w:val="7DDBD00B"/>
    <w:rsid w:val="7DDF0EA7"/>
    <w:rsid w:val="7DE040AA"/>
    <w:rsid w:val="7DE068C6"/>
    <w:rsid w:val="7DE3C0C9"/>
    <w:rsid w:val="7DE5E550"/>
    <w:rsid w:val="7DE84AD5"/>
    <w:rsid w:val="7DE88702"/>
    <w:rsid w:val="7DED6D02"/>
    <w:rsid w:val="7DF30C8F"/>
    <w:rsid w:val="7DFE7CAF"/>
    <w:rsid w:val="7E02AB90"/>
    <w:rsid w:val="7E0B52B4"/>
    <w:rsid w:val="7E14FB71"/>
    <w:rsid w:val="7E169513"/>
    <w:rsid w:val="7E1763CF"/>
    <w:rsid w:val="7E18F3C4"/>
    <w:rsid w:val="7E1934AC"/>
    <w:rsid w:val="7E1C4486"/>
    <w:rsid w:val="7E214930"/>
    <w:rsid w:val="7E34B5B9"/>
    <w:rsid w:val="7E3AD28D"/>
    <w:rsid w:val="7E3BA83F"/>
    <w:rsid w:val="7E44233D"/>
    <w:rsid w:val="7E45C5FD"/>
    <w:rsid w:val="7E48AE77"/>
    <w:rsid w:val="7E4CC40B"/>
    <w:rsid w:val="7E528470"/>
    <w:rsid w:val="7E5755CC"/>
    <w:rsid w:val="7E57CB4E"/>
    <w:rsid w:val="7E598F9C"/>
    <w:rsid w:val="7E60EE64"/>
    <w:rsid w:val="7E6138DD"/>
    <w:rsid w:val="7E6CA3B5"/>
    <w:rsid w:val="7E732C5E"/>
    <w:rsid w:val="7E76136A"/>
    <w:rsid w:val="7E789EFE"/>
    <w:rsid w:val="7E7C6859"/>
    <w:rsid w:val="7E7CE1A6"/>
    <w:rsid w:val="7E7ECBD4"/>
    <w:rsid w:val="7E7FAE07"/>
    <w:rsid w:val="7E7FC0F2"/>
    <w:rsid w:val="7E8591F3"/>
    <w:rsid w:val="7E86CC44"/>
    <w:rsid w:val="7E86F157"/>
    <w:rsid w:val="7E87A96B"/>
    <w:rsid w:val="7E90FB0D"/>
    <w:rsid w:val="7E923EC9"/>
    <w:rsid w:val="7EA231C4"/>
    <w:rsid w:val="7EA6E30F"/>
    <w:rsid w:val="7EB1165B"/>
    <w:rsid w:val="7EB52880"/>
    <w:rsid w:val="7EB8B491"/>
    <w:rsid w:val="7EC0BC97"/>
    <w:rsid w:val="7EC48C5E"/>
    <w:rsid w:val="7EC6AAA4"/>
    <w:rsid w:val="7EC80F5C"/>
    <w:rsid w:val="7ECE3B50"/>
    <w:rsid w:val="7ECFC1F3"/>
    <w:rsid w:val="7ED12ED2"/>
    <w:rsid w:val="7ED3D6BC"/>
    <w:rsid w:val="7EE87F91"/>
    <w:rsid w:val="7EF080E7"/>
    <w:rsid w:val="7EF307BA"/>
    <w:rsid w:val="7EF3A17B"/>
    <w:rsid w:val="7EF5C38B"/>
    <w:rsid w:val="7EF94CF7"/>
    <w:rsid w:val="7EFA5FB9"/>
    <w:rsid w:val="7EFB8635"/>
    <w:rsid w:val="7EFE46D7"/>
    <w:rsid w:val="7F001459"/>
    <w:rsid w:val="7F014440"/>
    <w:rsid w:val="7F03AC80"/>
    <w:rsid w:val="7F03D63B"/>
    <w:rsid w:val="7F054F60"/>
    <w:rsid w:val="7F10A849"/>
    <w:rsid w:val="7F120191"/>
    <w:rsid w:val="7F1588A6"/>
    <w:rsid w:val="7F18B05C"/>
    <w:rsid w:val="7F1F49C5"/>
    <w:rsid w:val="7F209EC7"/>
    <w:rsid w:val="7F22904F"/>
    <w:rsid w:val="7F22DED9"/>
    <w:rsid w:val="7F25815C"/>
    <w:rsid w:val="7F3C5184"/>
    <w:rsid w:val="7F4068D9"/>
    <w:rsid w:val="7F430250"/>
    <w:rsid w:val="7F4E9385"/>
    <w:rsid w:val="7F6AE66D"/>
    <w:rsid w:val="7F70E3F7"/>
    <w:rsid w:val="7F72B744"/>
    <w:rsid w:val="7F73A921"/>
    <w:rsid w:val="7F762BBA"/>
    <w:rsid w:val="7F7695E6"/>
    <w:rsid w:val="7F7820B1"/>
    <w:rsid w:val="7F7E5EBA"/>
    <w:rsid w:val="7F8760B1"/>
    <w:rsid w:val="7F886EB3"/>
    <w:rsid w:val="7F895AE2"/>
    <w:rsid w:val="7F8F581C"/>
    <w:rsid w:val="7F96AC3B"/>
    <w:rsid w:val="7F9700E3"/>
    <w:rsid w:val="7F972A86"/>
    <w:rsid w:val="7F984C9E"/>
    <w:rsid w:val="7F99D958"/>
    <w:rsid w:val="7F9AD191"/>
    <w:rsid w:val="7F9D93B6"/>
    <w:rsid w:val="7FA1A5E2"/>
    <w:rsid w:val="7FA449AF"/>
    <w:rsid w:val="7FAF4B73"/>
    <w:rsid w:val="7FB1F8B1"/>
    <w:rsid w:val="7FB740CC"/>
    <w:rsid w:val="7FBA0494"/>
    <w:rsid w:val="7FBEF57D"/>
    <w:rsid w:val="7FC1A0A4"/>
    <w:rsid w:val="7FC225E5"/>
    <w:rsid w:val="7FC37D31"/>
    <w:rsid w:val="7FC434F6"/>
    <w:rsid w:val="7FD4C08B"/>
    <w:rsid w:val="7FD9C33D"/>
    <w:rsid w:val="7FDA704F"/>
    <w:rsid w:val="7FE95CC1"/>
    <w:rsid w:val="7FEDB2D2"/>
    <w:rsid w:val="7FF5C685"/>
    <w:rsid w:val="7FF8C91C"/>
    <w:rsid w:val="7FFC74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9BEDE9E-00A0-4BC2-B6A5-BB8978E2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517205"/>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5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52"/>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52"/>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5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HeadingChar">
    <w:name w:val="TOC Heading Char"/>
    <w:uiPriority w:val="39"/>
    <w:rsid w:val="00EC044F"/>
    <w:rPr>
      <w:rFonts w:ascii="Times New Roman" w:hAnsi="Times New Roman" w:cs="Times New Roman"/>
      <w:b/>
      <w:sz w:val="28"/>
      <w:lang w:val="pl-PL"/>
    </w:rPr>
  </w:style>
  <w:style w:type="paragraph" w:styleId="ListBullet4">
    <w:name w:val="List Bullet 4"/>
    <w:basedOn w:val="Normal"/>
    <w:rsid w:val="00EC044F"/>
    <w:pPr>
      <w:numPr>
        <w:numId w:val="2"/>
      </w:numPr>
    </w:pPr>
    <w:rPr>
      <w:rFonts w:eastAsia="Times New Roman"/>
      <w:lang w:eastAsia="de-DE"/>
    </w:rPr>
  </w:style>
  <w:style w:type="paragraph" w:styleId="ListNumber">
    <w:name w:val="List Number"/>
    <w:basedOn w:val="Normal"/>
    <w:rsid w:val="00EC044F"/>
    <w:pPr>
      <w:numPr>
        <w:numId w:val="6"/>
      </w:numPr>
    </w:pPr>
    <w:rPr>
      <w:rFonts w:eastAsia="Times New Roman"/>
      <w:lang w:eastAsia="de-DE"/>
    </w:rPr>
  </w:style>
  <w:style w:type="paragraph" w:customStyle="1" w:styleId="ListBullet1">
    <w:name w:val="List Bullet 1"/>
    <w:basedOn w:val="Normal"/>
    <w:rsid w:val="00EC044F"/>
    <w:pPr>
      <w:numPr>
        <w:numId w:val="1"/>
      </w:numPr>
    </w:pPr>
    <w:rPr>
      <w:rFonts w:eastAsia="Times New Roman"/>
      <w:lang w:eastAsia="de-DE"/>
    </w:rPr>
  </w:style>
  <w:style w:type="paragraph" w:customStyle="1" w:styleId="ListDash">
    <w:name w:val="List Dash"/>
    <w:basedOn w:val="Normal"/>
    <w:rsid w:val="00EC044F"/>
    <w:pPr>
      <w:numPr>
        <w:numId w:val="3"/>
      </w:numPr>
    </w:pPr>
    <w:rPr>
      <w:rFonts w:eastAsia="Times New Roman"/>
      <w:lang w:eastAsia="de-DE"/>
    </w:rPr>
  </w:style>
  <w:style w:type="paragraph" w:customStyle="1" w:styleId="ListDash1">
    <w:name w:val="List Dash 1"/>
    <w:basedOn w:val="Normal"/>
    <w:rsid w:val="00EC044F"/>
    <w:pPr>
      <w:numPr>
        <w:numId w:val="4"/>
      </w:numPr>
    </w:pPr>
    <w:rPr>
      <w:rFonts w:eastAsia="Times New Roman"/>
      <w:lang w:eastAsia="de-DE"/>
    </w:rPr>
  </w:style>
  <w:style w:type="paragraph" w:customStyle="1" w:styleId="ListDash2">
    <w:name w:val="List Dash 2"/>
    <w:basedOn w:val="Normal"/>
    <w:rsid w:val="00EC044F"/>
    <w:pPr>
      <w:numPr>
        <w:numId w:val="5"/>
      </w:numPr>
    </w:pPr>
    <w:rPr>
      <w:rFonts w:eastAsia="Times New Roman"/>
      <w:lang w:eastAsia="de-DE"/>
    </w:rPr>
  </w:style>
  <w:style w:type="paragraph" w:customStyle="1" w:styleId="ListNumberLevel2">
    <w:name w:val="List Number (Level 2)"/>
    <w:basedOn w:val="Normal"/>
    <w:rsid w:val="00EC044F"/>
    <w:pPr>
      <w:tabs>
        <w:tab w:val="num" w:pos="1417"/>
      </w:tabs>
      <w:ind w:left="1417" w:hanging="708"/>
    </w:pPr>
    <w:rPr>
      <w:rFonts w:eastAsia="Times New Roman"/>
      <w:lang w:eastAsia="de-DE"/>
    </w:rPr>
  </w:style>
  <w:style w:type="paragraph" w:customStyle="1" w:styleId="ListNumberLevel3">
    <w:name w:val="List Number (Level 3)"/>
    <w:basedOn w:val="Normal"/>
    <w:rsid w:val="00EC044F"/>
    <w:pPr>
      <w:tabs>
        <w:tab w:val="num" w:pos="2126"/>
      </w:tabs>
      <w:ind w:left="2126" w:hanging="709"/>
    </w:pPr>
    <w:rPr>
      <w:rFonts w:eastAsia="Times New Roman"/>
      <w:lang w:eastAsia="de-DE"/>
    </w:rPr>
  </w:style>
  <w:style w:type="paragraph" w:customStyle="1" w:styleId="ListNumberLevel4">
    <w:name w:val="List Number (Level 4)"/>
    <w:basedOn w:val="Normal"/>
    <w:rsid w:val="00EC044F"/>
    <w:pPr>
      <w:tabs>
        <w:tab w:val="num" w:pos="2835"/>
      </w:tabs>
      <w:ind w:left="2835" w:hanging="709"/>
    </w:pPr>
    <w:rPr>
      <w:rFonts w:eastAsia="Times New Roman"/>
      <w:lang w:eastAsia="de-DE"/>
    </w:rPr>
  </w:style>
  <w:style w:type="character" w:styleId="Hyperlink">
    <w:name w:val="Hyperlink"/>
    <w:uiPriority w:val="99"/>
    <w:rsid w:val="00EC044F"/>
    <w:rPr>
      <w:color w:val="0000FF"/>
      <w:u w:val="single"/>
    </w:rPr>
  </w:style>
  <w:style w:type="paragraph" w:styleId="ListBullet">
    <w:name w:val="List Bullet"/>
    <w:basedOn w:val="Normal"/>
    <w:rsid w:val="00EC044F"/>
    <w:pPr>
      <w:numPr>
        <w:numId w:val="7"/>
      </w:numPr>
    </w:pPr>
    <w:rPr>
      <w:rFonts w:eastAsia="Times New Roman"/>
      <w:lang w:eastAsia="en-GB"/>
    </w:rPr>
  </w:style>
  <w:style w:type="paragraph" w:styleId="ListBullet2">
    <w:name w:val="List Bullet 2"/>
    <w:basedOn w:val="Normal"/>
    <w:rsid w:val="00EC044F"/>
    <w:pPr>
      <w:numPr>
        <w:numId w:val="8"/>
      </w:numPr>
    </w:pPr>
    <w:rPr>
      <w:rFonts w:eastAsia="Times New Roman"/>
      <w:lang w:eastAsia="en-GB"/>
    </w:rPr>
  </w:style>
  <w:style w:type="paragraph" w:styleId="ListBullet3">
    <w:name w:val="List Bullet 3"/>
    <w:basedOn w:val="Normal"/>
    <w:rsid w:val="00EC044F"/>
    <w:pPr>
      <w:numPr>
        <w:numId w:val="9"/>
      </w:numPr>
    </w:pPr>
    <w:rPr>
      <w:rFonts w:eastAsia="Times New Roman"/>
      <w:lang w:eastAsia="en-GB"/>
    </w:rPr>
  </w:style>
  <w:style w:type="paragraph" w:styleId="ListNumber2">
    <w:name w:val="List Number 2"/>
    <w:basedOn w:val="Normal"/>
    <w:rsid w:val="00EC044F"/>
    <w:pPr>
      <w:numPr>
        <w:numId w:val="13"/>
      </w:numPr>
    </w:pPr>
    <w:rPr>
      <w:rFonts w:eastAsia="Times New Roman"/>
      <w:lang w:eastAsia="en-GB"/>
    </w:rPr>
  </w:style>
  <w:style w:type="paragraph" w:styleId="ListNumber3">
    <w:name w:val="List Number 3"/>
    <w:basedOn w:val="Normal"/>
    <w:rsid w:val="00EC044F"/>
    <w:pPr>
      <w:numPr>
        <w:numId w:val="14"/>
      </w:numPr>
    </w:pPr>
    <w:rPr>
      <w:rFonts w:eastAsia="Times New Roman"/>
      <w:lang w:eastAsia="en-GB"/>
    </w:rPr>
  </w:style>
  <w:style w:type="paragraph" w:styleId="ListNumber4">
    <w:name w:val="List Number 4"/>
    <w:basedOn w:val="Normal"/>
    <w:rsid w:val="00EC044F"/>
    <w:pPr>
      <w:numPr>
        <w:numId w:val="15"/>
      </w:numPr>
    </w:pPr>
    <w:rPr>
      <w:rFonts w:eastAsia="Times New Roman"/>
      <w:lang w:eastAsia="en-GB"/>
    </w:rPr>
  </w:style>
  <w:style w:type="paragraph" w:customStyle="1" w:styleId="ListDash3">
    <w:name w:val="List Dash 3"/>
    <w:basedOn w:val="Normal"/>
    <w:rsid w:val="00EC044F"/>
    <w:pPr>
      <w:numPr>
        <w:numId w:val="10"/>
      </w:numPr>
    </w:pPr>
    <w:rPr>
      <w:rFonts w:eastAsia="Times New Roman"/>
      <w:lang w:eastAsia="en-GB"/>
    </w:rPr>
  </w:style>
  <w:style w:type="paragraph" w:customStyle="1" w:styleId="ListDash4">
    <w:name w:val="List Dash 4"/>
    <w:basedOn w:val="Normal"/>
    <w:rsid w:val="00EC044F"/>
    <w:pPr>
      <w:numPr>
        <w:numId w:val="11"/>
      </w:numPr>
    </w:pPr>
    <w:rPr>
      <w:rFonts w:eastAsia="Times New Roman"/>
      <w:lang w:eastAsia="en-GB"/>
    </w:rPr>
  </w:style>
  <w:style w:type="paragraph" w:customStyle="1" w:styleId="ListNumber1">
    <w:name w:val="List Number 1"/>
    <w:basedOn w:val="Text1"/>
    <w:rsid w:val="00EC044F"/>
    <w:pPr>
      <w:numPr>
        <w:numId w:val="12"/>
      </w:numPr>
    </w:pPr>
    <w:rPr>
      <w:rFonts w:eastAsia="Times New Roman"/>
      <w:lang w:eastAsia="en-GB"/>
    </w:rPr>
  </w:style>
  <w:style w:type="paragraph" w:customStyle="1" w:styleId="ListNumber1Level2">
    <w:name w:val="List Number 1 (Level 2)"/>
    <w:basedOn w:val="Text1"/>
    <w:rsid w:val="00EC044F"/>
    <w:pPr>
      <w:numPr>
        <w:ilvl w:val="1"/>
        <w:numId w:val="12"/>
      </w:numPr>
    </w:pPr>
    <w:rPr>
      <w:rFonts w:eastAsia="Times New Roman"/>
      <w:lang w:eastAsia="en-GB"/>
    </w:rPr>
  </w:style>
  <w:style w:type="paragraph" w:customStyle="1" w:styleId="ListNumber2Level2">
    <w:name w:val="List Number 2 (Level 2)"/>
    <w:basedOn w:val="Text2"/>
    <w:rsid w:val="00EC044F"/>
    <w:pPr>
      <w:numPr>
        <w:ilvl w:val="1"/>
        <w:numId w:val="13"/>
      </w:numPr>
    </w:pPr>
    <w:rPr>
      <w:rFonts w:eastAsia="Times New Roman"/>
      <w:lang w:eastAsia="en-GB"/>
    </w:rPr>
  </w:style>
  <w:style w:type="paragraph" w:customStyle="1" w:styleId="ListNumber3Level2">
    <w:name w:val="List Number 3 (Level 2)"/>
    <w:basedOn w:val="Text3"/>
    <w:rsid w:val="00EC044F"/>
    <w:pPr>
      <w:numPr>
        <w:ilvl w:val="1"/>
        <w:numId w:val="14"/>
      </w:numPr>
    </w:pPr>
    <w:rPr>
      <w:rFonts w:eastAsia="Times New Roman"/>
      <w:lang w:eastAsia="en-GB"/>
    </w:rPr>
  </w:style>
  <w:style w:type="paragraph" w:customStyle="1" w:styleId="ListNumber4Level2">
    <w:name w:val="List Number 4 (Level 2)"/>
    <w:basedOn w:val="Text4"/>
    <w:rsid w:val="00EC044F"/>
    <w:pPr>
      <w:numPr>
        <w:ilvl w:val="1"/>
        <w:numId w:val="15"/>
      </w:numPr>
    </w:pPr>
    <w:rPr>
      <w:rFonts w:eastAsia="Times New Roman"/>
      <w:lang w:eastAsia="en-GB"/>
    </w:rPr>
  </w:style>
  <w:style w:type="paragraph" w:customStyle="1" w:styleId="ListNumber1Level3">
    <w:name w:val="List Number 1 (Level 3)"/>
    <w:basedOn w:val="Text1"/>
    <w:rsid w:val="00EC044F"/>
    <w:pPr>
      <w:tabs>
        <w:tab w:val="num" w:pos="2977"/>
      </w:tabs>
      <w:ind w:left="2977" w:hanging="709"/>
    </w:pPr>
    <w:rPr>
      <w:rFonts w:eastAsia="Times New Roman"/>
      <w:lang w:eastAsia="en-GB"/>
    </w:rPr>
  </w:style>
  <w:style w:type="paragraph" w:customStyle="1" w:styleId="ListNumber2Level3">
    <w:name w:val="List Number 2 (Level 3)"/>
    <w:basedOn w:val="Text2"/>
    <w:rsid w:val="00EC044F"/>
    <w:pPr>
      <w:numPr>
        <w:ilvl w:val="2"/>
        <w:numId w:val="13"/>
      </w:numPr>
    </w:pPr>
    <w:rPr>
      <w:rFonts w:eastAsia="Times New Roman"/>
      <w:lang w:eastAsia="en-GB"/>
    </w:rPr>
  </w:style>
  <w:style w:type="paragraph" w:customStyle="1" w:styleId="ListNumber3Level3">
    <w:name w:val="List Number 3 (Level 3)"/>
    <w:basedOn w:val="Text3"/>
    <w:rsid w:val="00EC044F"/>
    <w:pPr>
      <w:numPr>
        <w:ilvl w:val="2"/>
        <w:numId w:val="14"/>
      </w:numPr>
    </w:pPr>
    <w:rPr>
      <w:rFonts w:eastAsia="Times New Roman"/>
      <w:lang w:eastAsia="en-GB"/>
    </w:rPr>
  </w:style>
  <w:style w:type="paragraph" w:customStyle="1" w:styleId="ListNumber4Level3">
    <w:name w:val="List Number 4 (Level 3)"/>
    <w:basedOn w:val="Text4"/>
    <w:rsid w:val="00EC044F"/>
    <w:pPr>
      <w:numPr>
        <w:ilvl w:val="2"/>
        <w:numId w:val="15"/>
      </w:numPr>
    </w:pPr>
    <w:rPr>
      <w:rFonts w:eastAsia="Times New Roman"/>
      <w:lang w:eastAsia="en-GB"/>
    </w:rPr>
  </w:style>
  <w:style w:type="paragraph" w:customStyle="1" w:styleId="ListNumber1Level4">
    <w:name w:val="List Number 1 (Level 4)"/>
    <w:basedOn w:val="Text1"/>
    <w:rsid w:val="00EC044F"/>
    <w:pPr>
      <w:numPr>
        <w:ilvl w:val="3"/>
        <w:numId w:val="12"/>
      </w:numPr>
    </w:pPr>
    <w:rPr>
      <w:rFonts w:eastAsia="Times New Roman"/>
      <w:lang w:eastAsia="en-GB"/>
    </w:rPr>
  </w:style>
  <w:style w:type="paragraph" w:customStyle="1" w:styleId="ListNumber2Level4">
    <w:name w:val="List Number 2 (Level 4)"/>
    <w:basedOn w:val="Text2"/>
    <w:rsid w:val="00EC044F"/>
    <w:pPr>
      <w:numPr>
        <w:ilvl w:val="3"/>
        <w:numId w:val="13"/>
      </w:numPr>
    </w:pPr>
    <w:rPr>
      <w:rFonts w:eastAsia="Times New Roman"/>
      <w:lang w:eastAsia="en-GB"/>
    </w:rPr>
  </w:style>
  <w:style w:type="paragraph" w:customStyle="1" w:styleId="ListNumber3Level4">
    <w:name w:val="List Number 3 (Level 4)"/>
    <w:basedOn w:val="Text3"/>
    <w:rsid w:val="00EC044F"/>
    <w:pPr>
      <w:numPr>
        <w:ilvl w:val="3"/>
        <w:numId w:val="14"/>
      </w:numPr>
    </w:pPr>
    <w:rPr>
      <w:rFonts w:eastAsia="Times New Roman"/>
      <w:lang w:eastAsia="en-GB"/>
    </w:rPr>
  </w:style>
  <w:style w:type="paragraph" w:customStyle="1" w:styleId="ListNumber4Level4">
    <w:name w:val="List Number 4 (Level 4)"/>
    <w:basedOn w:val="Text4"/>
    <w:rsid w:val="00EC044F"/>
    <w:pPr>
      <w:numPr>
        <w:ilvl w:val="3"/>
        <w:numId w:val="15"/>
      </w:numPr>
    </w:pPr>
    <w:rPr>
      <w:rFonts w:eastAsia="Times New Roman"/>
      <w:lang w:eastAsia="en-GB"/>
    </w:rPr>
  </w:style>
  <w:style w:type="paragraph" w:customStyle="1" w:styleId="Annexetitreacte">
    <w:name w:val="Annexe titre (acte)"/>
    <w:basedOn w:val="Normal"/>
    <w:next w:val="Normal"/>
    <w:rsid w:val="00EC044F"/>
    <w:pPr>
      <w:jc w:val="center"/>
    </w:pPr>
    <w:rPr>
      <w:rFonts w:eastAsia="Times New Roman"/>
      <w:b/>
      <w:u w:val="single"/>
      <w:lang w:eastAsia="en-GB"/>
    </w:rPr>
  </w:style>
  <w:style w:type="paragraph" w:customStyle="1" w:styleId="Annexetitreexposglobal">
    <w:name w:val="Annexe titre (exposé global)"/>
    <w:basedOn w:val="Normal"/>
    <w:next w:val="Normal"/>
    <w:rsid w:val="00EC044F"/>
    <w:pPr>
      <w:jc w:val="center"/>
    </w:pPr>
    <w:rPr>
      <w:rFonts w:eastAsia="Times New Roman"/>
      <w:b/>
      <w:u w:val="single"/>
      <w:lang w:eastAsia="en-GB"/>
    </w:rPr>
  </w:style>
  <w:style w:type="paragraph" w:customStyle="1" w:styleId="Annexetitrefichefinacte">
    <w:name w:val="Annexe titre (fiche fin. acte)"/>
    <w:basedOn w:val="Normal"/>
    <w:next w:val="Normal"/>
    <w:rsid w:val="00EC044F"/>
    <w:pPr>
      <w:jc w:val="center"/>
    </w:pPr>
    <w:rPr>
      <w:rFonts w:eastAsia="Times New Roman"/>
      <w:b/>
      <w:u w:val="single"/>
      <w:lang w:eastAsia="en-GB"/>
    </w:rPr>
  </w:style>
  <w:style w:type="paragraph" w:customStyle="1" w:styleId="Annexetitrefichefinglobale">
    <w:name w:val="Annexe titre (fiche fin. globale)"/>
    <w:basedOn w:val="Normal"/>
    <w:next w:val="Normal"/>
    <w:rsid w:val="00EC044F"/>
    <w:pPr>
      <w:jc w:val="center"/>
    </w:pPr>
    <w:rPr>
      <w:rFonts w:eastAsia="Times New Roman"/>
      <w:b/>
      <w:u w:val="single"/>
      <w:lang w:eastAsia="en-GB"/>
    </w:rPr>
  </w:style>
  <w:style w:type="paragraph" w:customStyle="1" w:styleId="Annexetitreglobale">
    <w:name w:val="Annexe titre (globale)"/>
    <w:basedOn w:val="Normal"/>
    <w:next w:val="Normal"/>
    <w:rsid w:val="00EC044F"/>
    <w:pPr>
      <w:jc w:val="center"/>
    </w:pPr>
    <w:rPr>
      <w:rFonts w:eastAsia="Times New Roman"/>
      <w:b/>
      <w:u w:val="single"/>
      <w:lang w:eastAsia="en-GB"/>
    </w:rPr>
  </w:style>
  <w:style w:type="paragraph" w:customStyle="1" w:styleId="Exposdesmotifstitreglobal">
    <w:name w:val="Exposé des motifs titre (global)"/>
    <w:basedOn w:val="Normal"/>
    <w:next w:val="Normal"/>
    <w:rsid w:val="00EC044F"/>
    <w:pPr>
      <w:jc w:val="center"/>
    </w:pPr>
    <w:rPr>
      <w:rFonts w:eastAsia="Times New Roman"/>
      <w:b/>
      <w:u w:val="single"/>
      <w:lang w:eastAsia="en-GB"/>
    </w:rPr>
  </w:style>
  <w:style w:type="paragraph" w:customStyle="1" w:styleId="Langueoriginale">
    <w:name w:val="Langue originale"/>
    <w:basedOn w:val="Normal"/>
    <w:rsid w:val="00EC044F"/>
    <w:pPr>
      <w:spacing w:before="360"/>
      <w:jc w:val="center"/>
    </w:pPr>
    <w:rPr>
      <w:rFonts w:eastAsia="Times New Roman"/>
      <w:caps/>
      <w:lang w:eastAsia="en-GB"/>
    </w:rPr>
  </w:style>
  <w:style w:type="paragraph" w:customStyle="1" w:styleId="Phrasefinale">
    <w:name w:val="Phrase finale"/>
    <w:basedOn w:val="Normal"/>
    <w:next w:val="Normal"/>
    <w:rsid w:val="00EC044F"/>
    <w:pPr>
      <w:spacing w:before="360" w:after="0"/>
      <w:jc w:val="center"/>
    </w:pPr>
    <w:rPr>
      <w:rFonts w:eastAsia="Times New Roman"/>
      <w:lang w:eastAsia="en-GB"/>
    </w:rPr>
  </w:style>
  <w:style w:type="paragraph" w:customStyle="1" w:styleId="Prliminairetitre">
    <w:name w:val="Préliminaire titre"/>
    <w:basedOn w:val="Normal"/>
    <w:next w:val="Normal"/>
    <w:rsid w:val="00EC044F"/>
    <w:pPr>
      <w:spacing w:before="360" w:after="360"/>
      <w:jc w:val="center"/>
    </w:pPr>
    <w:rPr>
      <w:rFonts w:eastAsia="Times New Roman"/>
      <w:b/>
      <w:lang w:eastAsia="en-GB"/>
    </w:rPr>
  </w:style>
  <w:style w:type="paragraph" w:customStyle="1" w:styleId="Prliminairetype">
    <w:name w:val="Préliminaire type"/>
    <w:basedOn w:val="Normal"/>
    <w:next w:val="Normal"/>
    <w:rsid w:val="00EC044F"/>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EC044F"/>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EC044F"/>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EC044F"/>
    <w:pPr>
      <w:spacing w:before="0" w:after="0"/>
      <w:ind w:left="5103"/>
      <w:jc w:val="left"/>
    </w:pPr>
    <w:rPr>
      <w:rFonts w:eastAsia="Times New Roman"/>
      <w:lang w:eastAsia="en-GB"/>
    </w:rPr>
  </w:style>
  <w:style w:type="paragraph" w:customStyle="1" w:styleId="Sous-titreobjetprliminaire">
    <w:name w:val="Sous-titre objet (préliminaire)"/>
    <w:basedOn w:val="Normal"/>
    <w:rsid w:val="00EC044F"/>
    <w:pPr>
      <w:spacing w:before="0" w:after="0"/>
      <w:jc w:val="center"/>
    </w:pPr>
    <w:rPr>
      <w:rFonts w:eastAsia="Times New Roman"/>
      <w:b/>
      <w:lang w:eastAsia="en-GB"/>
    </w:rPr>
  </w:style>
  <w:style w:type="paragraph" w:customStyle="1" w:styleId="Statutprliminaire">
    <w:name w:val="Statut (préliminaire)"/>
    <w:basedOn w:val="Normal"/>
    <w:next w:val="Normal"/>
    <w:rsid w:val="00EC044F"/>
    <w:pPr>
      <w:spacing w:before="360" w:after="0"/>
      <w:jc w:val="center"/>
    </w:pPr>
    <w:rPr>
      <w:rFonts w:eastAsia="Times New Roman"/>
      <w:lang w:eastAsia="en-GB"/>
    </w:rPr>
  </w:style>
  <w:style w:type="paragraph" w:customStyle="1" w:styleId="Titreobjetprliminaire">
    <w:name w:val="Titre objet (préliminaire)"/>
    <w:basedOn w:val="Normal"/>
    <w:next w:val="Normal"/>
    <w:rsid w:val="00EC044F"/>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EC044F"/>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EC044F"/>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EC044F"/>
    <w:pPr>
      <w:jc w:val="center"/>
    </w:pPr>
    <w:rPr>
      <w:rFonts w:eastAsia="Times New Roman"/>
      <w:b/>
      <w:u w:val="single"/>
      <w:lang w:eastAsia="en-GB"/>
    </w:rPr>
  </w:style>
  <w:style w:type="paragraph" w:customStyle="1" w:styleId="Fichefinanciretravailtitre">
    <w:name w:val="Fiche financière (travail) titre"/>
    <w:basedOn w:val="Normal"/>
    <w:next w:val="Normal"/>
    <w:rsid w:val="00EC044F"/>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EC044F"/>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EC044F"/>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EC044F"/>
    <w:pPr>
      <w:jc w:val="center"/>
    </w:pPr>
    <w:rPr>
      <w:rFonts w:eastAsia="Times New Roman"/>
      <w:b/>
      <w:u w:val="single"/>
      <w:lang w:eastAsia="en-GB"/>
    </w:rPr>
  </w:style>
  <w:style w:type="character" w:styleId="CommentReference">
    <w:name w:val="annotation reference"/>
    <w:rsid w:val="00EC044F"/>
    <w:rPr>
      <w:rFonts w:cs="Times New Roman"/>
      <w:sz w:val="16"/>
      <w:szCs w:val="16"/>
    </w:rPr>
  </w:style>
  <w:style w:type="paragraph" w:styleId="CommentText">
    <w:name w:val="annotation text"/>
    <w:basedOn w:val="Normal"/>
    <w:link w:val="CommentTextChar"/>
    <w:uiPriority w:val="99"/>
    <w:qFormat/>
    <w:rsid w:val="00D30EFE"/>
    <w:rPr>
      <w:rFonts w:eastAsia="Times New Roman"/>
      <w:sz w:val="20"/>
      <w:szCs w:val="20"/>
      <w:lang w:eastAsia="en-GB"/>
    </w:rPr>
  </w:style>
  <w:style w:type="character" w:customStyle="1" w:styleId="CommentTextChar">
    <w:name w:val="Comment Text Char"/>
    <w:basedOn w:val="DefaultParagraphFont"/>
    <w:link w:val="CommentText"/>
    <w:uiPriority w:val="99"/>
    <w:rsid w:val="00D30EFE"/>
    <w:rPr>
      <w:rFonts w:ascii="Times New Roman" w:eastAsia="Times New Roman" w:hAnsi="Times New Roman" w:cs="Times New Roman"/>
      <w:sz w:val="20"/>
      <w:szCs w:val="20"/>
      <w:lang w:val="pl-PL" w:eastAsia="en-GB"/>
    </w:rPr>
  </w:style>
  <w:style w:type="paragraph" w:styleId="CommentSubject">
    <w:name w:val="annotation subject"/>
    <w:basedOn w:val="CommentText"/>
    <w:next w:val="CommentText"/>
    <w:link w:val="CommentSubjectChar"/>
    <w:rsid w:val="00EC044F"/>
    <w:rPr>
      <w:b/>
      <w:bCs/>
    </w:rPr>
  </w:style>
  <w:style w:type="character" w:customStyle="1" w:styleId="CommentSubjectChar">
    <w:name w:val="Comment Subject Char"/>
    <w:basedOn w:val="CommentTextChar"/>
    <w:link w:val="CommentSubject"/>
    <w:rsid w:val="00EC044F"/>
    <w:rPr>
      <w:rFonts w:ascii="Times New Roman" w:eastAsia="Times New Roman" w:hAnsi="Times New Roman" w:cs="Times New Roman"/>
      <w:b/>
      <w:bCs/>
      <w:sz w:val="20"/>
      <w:szCs w:val="20"/>
      <w:lang w:val="pl-PL" w:eastAsia="en-GB"/>
    </w:rPr>
  </w:style>
  <w:style w:type="paragraph" w:styleId="BalloonText">
    <w:name w:val="Balloon Text"/>
    <w:basedOn w:val="Normal"/>
    <w:link w:val="BalloonTextChar"/>
    <w:rsid w:val="00EC044F"/>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EC044F"/>
    <w:rPr>
      <w:rFonts w:ascii="Tahoma" w:eastAsia="Times New Roman" w:hAnsi="Tahoma" w:cs="Tahoma"/>
      <w:sz w:val="16"/>
      <w:szCs w:val="16"/>
      <w:lang w:val="pl-PL" w:eastAsia="en-GB"/>
    </w:rPr>
  </w:style>
  <w:style w:type="paragraph" w:styleId="Caption">
    <w:name w:val="caption"/>
    <w:basedOn w:val="Normal"/>
    <w:next w:val="Normal"/>
    <w:qFormat/>
    <w:rsid w:val="00EC044F"/>
    <w:rPr>
      <w:rFonts w:eastAsia="Times New Roman"/>
      <w:b/>
      <w:bCs/>
      <w:sz w:val="20"/>
      <w:szCs w:val="20"/>
      <w:lang w:eastAsia="en-GB"/>
    </w:rPr>
  </w:style>
  <w:style w:type="paragraph" w:styleId="TableofFigures">
    <w:name w:val="table of figures"/>
    <w:basedOn w:val="Normal"/>
    <w:next w:val="Normal"/>
    <w:rsid w:val="00EC044F"/>
    <w:rPr>
      <w:rFonts w:eastAsia="Times New Roman"/>
      <w:lang w:eastAsia="en-GB"/>
    </w:rPr>
  </w:style>
  <w:style w:type="character" w:styleId="PageNumber">
    <w:name w:val="page number"/>
    <w:rsid w:val="00EC044F"/>
  </w:style>
  <w:style w:type="character" w:customStyle="1" w:styleId="tw4winMark">
    <w:name w:val="tw4winMark"/>
    <w:rsid w:val="00EC044F"/>
    <w:rPr>
      <w:vanish/>
      <w:color w:val="800080"/>
      <w:vertAlign w:val="subscript"/>
    </w:rPr>
  </w:style>
  <w:style w:type="character" w:styleId="FollowedHyperlink">
    <w:name w:val="FollowedHyperlink"/>
    <w:rsid w:val="00EC044F"/>
    <w:rPr>
      <w:color w:val="800080"/>
      <w:u w:val="single"/>
    </w:rPr>
  </w:style>
  <w:style w:type="paragraph" w:customStyle="1" w:styleId="Sous-titreobjet">
    <w:name w:val="Sous-titre objet"/>
    <w:basedOn w:val="Normal"/>
    <w:rsid w:val="00EC044F"/>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C044F"/>
  </w:style>
  <w:style w:type="paragraph" w:customStyle="1" w:styleId="FooterCoverPage">
    <w:name w:val="Footer Cover Page"/>
    <w:basedOn w:val="Normal"/>
    <w:link w:val="FooterCoverPageChar"/>
    <w:rsid w:val="00EC044F"/>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EC044F"/>
    <w:rPr>
      <w:rFonts w:ascii="Times New Roman" w:eastAsia="Calibri" w:hAnsi="Times New Roman" w:cs="Times New Roman"/>
      <w:sz w:val="24"/>
      <w:lang w:val="pl-PL" w:eastAsia="en-GB"/>
    </w:rPr>
  </w:style>
  <w:style w:type="paragraph" w:customStyle="1" w:styleId="HeaderCoverPage">
    <w:name w:val="Header Cover Page"/>
    <w:basedOn w:val="Normal"/>
    <w:link w:val="HeaderCoverPageChar"/>
    <w:rsid w:val="00EC044F"/>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C044F"/>
    <w:rPr>
      <w:rFonts w:ascii="Times New Roman" w:eastAsia="Calibri" w:hAnsi="Times New Roman" w:cs="Times New Roman"/>
      <w:sz w:val="24"/>
      <w:lang w:val="pl-PL" w:eastAsia="en-GB"/>
    </w:rPr>
  </w:style>
  <w:style w:type="paragraph" w:customStyle="1" w:styleId="typedudocumentcp">
    <w:name w:val="typedudocument_cp"/>
    <w:basedOn w:val="Normal"/>
    <w:rsid w:val="003F3E32"/>
    <w:pPr>
      <w:spacing w:before="100" w:beforeAutospacing="1" w:after="100" w:afterAutospacing="1"/>
      <w:jc w:val="left"/>
    </w:pPr>
    <w:rPr>
      <w:rFonts w:eastAsia="Times New Roman"/>
      <w:szCs w:val="24"/>
      <w:lang w:eastAsia="en-GB"/>
    </w:rPr>
  </w:style>
  <w:style w:type="paragraph" w:customStyle="1" w:styleId="titreobjetcp">
    <w:name w:val="titreobjet_cp"/>
    <w:basedOn w:val="Normal"/>
    <w:rsid w:val="003F3E32"/>
    <w:pPr>
      <w:spacing w:before="100" w:beforeAutospacing="1" w:after="100" w:afterAutospacing="1"/>
      <w:jc w:val="left"/>
    </w:pPr>
    <w:rPr>
      <w:rFonts w:eastAsia="Times New Roman"/>
      <w:szCs w:val="24"/>
      <w:lang w:eastAsia="en-GB"/>
    </w:rPr>
  </w:style>
  <w:style w:type="paragraph" w:customStyle="1" w:styleId="rfrenceinstitutionnelle">
    <w:name w:val="rfrenceinstitutionnelle"/>
    <w:basedOn w:val="Normal"/>
    <w:rsid w:val="003F3E32"/>
    <w:pPr>
      <w:spacing w:before="100" w:beforeAutospacing="1" w:after="100" w:afterAutospacing="1"/>
      <w:jc w:val="left"/>
    </w:pPr>
    <w:rPr>
      <w:rFonts w:eastAsia="Times New Roman"/>
      <w:szCs w:val="24"/>
      <w:lang w:eastAsia="en-GB"/>
    </w:rPr>
  </w:style>
  <w:style w:type="paragraph" w:customStyle="1" w:styleId="Rfrenceinstitutionnelle0">
    <w:name w:val="Référence institutionnelle"/>
    <w:basedOn w:val="Normal"/>
    <w:next w:val="Confidentialit"/>
    <w:rsid w:val="009B7138"/>
    <w:pPr>
      <w:spacing w:before="0" w:after="240"/>
      <w:ind w:left="5103"/>
      <w:jc w:val="left"/>
    </w:p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rsid w:val="006A40E2"/>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basedOn w:val="DefaultParagraphFont"/>
    <w:link w:val="ListParagraph"/>
    <w:uiPriority w:val="34"/>
    <w:qFormat/>
    <w:locked/>
    <w:rsid w:val="006A40E2"/>
  </w:style>
  <w:style w:type="character" w:customStyle="1" w:styleId="normaltextrun">
    <w:name w:val="normaltextrun"/>
    <w:basedOn w:val="DefaultParagraphFont"/>
    <w:rsid w:val="006A40E2"/>
  </w:style>
  <w:style w:type="character" w:customStyle="1" w:styleId="eop">
    <w:name w:val="eop"/>
    <w:basedOn w:val="DefaultParagraphFont"/>
    <w:rsid w:val="006A40E2"/>
  </w:style>
  <w:style w:type="paragraph" w:customStyle="1" w:styleId="Article">
    <w:name w:val="Article"/>
    <w:basedOn w:val="Normal"/>
    <w:rsid w:val="00C01070"/>
    <w:pPr>
      <w:jc w:val="center"/>
    </w:pPr>
  </w:style>
  <w:style w:type="paragraph" w:customStyle="1" w:styleId="ti-art">
    <w:name w:val="ti-art"/>
    <w:basedOn w:val="Normal"/>
    <w:rsid w:val="00FB2AE2"/>
    <w:pPr>
      <w:spacing w:before="100" w:beforeAutospacing="1" w:after="100" w:afterAutospacing="1"/>
      <w:jc w:val="left"/>
    </w:pPr>
    <w:rPr>
      <w:rFonts w:eastAsia="Times New Roman"/>
      <w:szCs w:val="24"/>
      <w:lang w:eastAsia="en-GB"/>
    </w:rPr>
  </w:style>
  <w:style w:type="paragraph" w:customStyle="1" w:styleId="sti-art">
    <w:name w:val="sti-art"/>
    <w:basedOn w:val="Normal"/>
    <w:rsid w:val="00FB2AE2"/>
    <w:pPr>
      <w:spacing w:before="100" w:beforeAutospacing="1" w:after="100" w:afterAutospacing="1"/>
      <w:jc w:val="left"/>
    </w:pPr>
    <w:rPr>
      <w:rFonts w:eastAsia="Times New Roman"/>
      <w:szCs w:val="24"/>
      <w:lang w:eastAsia="en-GB"/>
    </w:rPr>
  </w:style>
  <w:style w:type="paragraph" w:customStyle="1" w:styleId="Normal1">
    <w:name w:val="Normal1"/>
    <w:basedOn w:val="Normal"/>
    <w:rsid w:val="00FB2AE2"/>
    <w:pPr>
      <w:spacing w:before="100" w:beforeAutospacing="1" w:after="100" w:afterAutospacing="1"/>
      <w:jc w:val="left"/>
    </w:pPr>
    <w:rPr>
      <w:rFonts w:eastAsia="Times New Roman"/>
      <w:szCs w:val="24"/>
      <w:lang w:eastAsia="en-GB"/>
    </w:rPr>
  </w:style>
  <w:style w:type="paragraph" w:customStyle="1" w:styleId="ti-section-1">
    <w:name w:val="ti-section-1"/>
    <w:basedOn w:val="Normal"/>
    <w:rsid w:val="00FB2AE2"/>
    <w:pPr>
      <w:spacing w:before="100" w:beforeAutospacing="1" w:after="100" w:afterAutospacing="1"/>
      <w:jc w:val="left"/>
    </w:pPr>
    <w:rPr>
      <w:rFonts w:eastAsia="Times New Roman"/>
      <w:szCs w:val="24"/>
      <w:lang w:eastAsia="en-GB"/>
    </w:rPr>
  </w:style>
  <w:style w:type="paragraph" w:customStyle="1" w:styleId="ti-section-2">
    <w:name w:val="ti-section-2"/>
    <w:basedOn w:val="Normal"/>
    <w:rsid w:val="00FB2AE2"/>
    <w:pPr>
      <w:spacing w:before="100" w:beforeAutospacing="1" w:after="100" w:afterAutospacing="1"/>
      <w:jc w:val="left"/>
    </w:pPr>
    <w:rPr>
      <w:rFonts w:eastAsia="Times New Roman"/>
      <w:szCs w:val="24"/>
      <w:lang w:eastAsia="en-GB"/>
    </w:rPr>
  </w:style>
  <w:style w:type="character" w:customStyle="1" w:styleId="bold">
    <w:name w:val="bold"/>
    <w:basedOn w:val="DefaultParagraphFont"/>
    <w:rsid w:val="00FB2AE2"/>
  </w:style>
  <w:style w:type="paragraph" w:customStyle="1" w:styleId="oj-ti-section-1">
    <w:name w:val="oj-ti-section-1"/>
    <w:basedOn w:val="Normal"/>
    <w:rsid w:val="00FB2AE2"/>
    <w:pPr>
      <w:spacing w:before="100" w:beforeAutospacing="1" w:after="100" w:afterAutospacing="1"/>
      <w:jc w:val="left"/>
    </w:pPr>
    <w:rPr>
      <w:rFonts w:eastAsia="Times New Roman"/>
      <w:szCs w:val="24"/>
      <w:lang w:eastAsia="en-GB"/>
    </w:rPr>
  </w:style>
  <w:style w:type="character" w:customStyle="1" w:styleId="oj-italic">
    <w:name w:val="oj-italic"/>
    <w:basedOn w:val="DefaultParagraphFont"/>
    <w:rsid w:val="00FB2AE2"/>
  </w:style>
  <w:style w:type="paragraph" w:customStyle="1" w:styleId="oj-ti-section-2">
    <w:name w:val="oj-ti-section-2"/>
    <w:basedOn w:val="Normal"/>
    <w:rsid w:val="00FB2AE2"/>
    <w:pPr>
      <w:spacing w:before="100" w:beforeAutospacing="1" w:after="100" w:afterAutospacing="1"/>
      <w:jc w:val="left"/>
    </w:pPr>
    <w:rPr>
      <w:rFonts w:eastAsia="Times New Roman"/>
      <w:szCs w:val="24"/>
      <w:lang w:eastAsia="en-GB"/>
    </w:rPr>
  </w:style>
  <w:style w:type="character" w:customStyle="1" w:styleId="Bodytext2">
    <w:name w:val="Body text|2"/>
    <w:basedOn w:val="DefaultParagraphFont"/>
    <w:rsid w:val="00FB2AE2"/>
    <w:rPr>
      <w:rFonts w:ascii="Times New Roman" w:hAnsi="Times New Roman" w:cs="Times New Roman" w:hint="default"/>
      <w:b w:val="0"/>
      <w:bCs w:val="0"/>
      <w:i w:val="0"/>
      <w:iCs w:val="0"/>
      <w:smallCaps w:val="0"/>
      <w:strike w:val="0"/>
      <w:dstrike w:val="0"/>
      <w:color w:val="231F20"/>
      <w:spacing w:val="0"/>
      <w:position w:val="0"/>
      <w:u w:val="none"/>
      <w:effect w:val="none"/>
      <w:lang w:eastAsia="en-US"/>
    </w:rPr>
  </w:style>
  <w:style w:type="paragraph" w:styleId="Revision">
    <w:name w:val="Revision"/>
    <w:hidden/>
    <w:uiPriority w:val="99"/>
    <w:semiHidden/>
    <w:rsid w:val="001B4032"/>
    <w:pPr>
      <w:spacing w:after="0" w:line="240" w:lineRule="auto"/>
    </w:pPr>
    <w:rPr>
      <w:rFonts w:ascii="Times New Roman" w:hAnsi="Times New Roman" w:cs="Times New Roman"/>
      <w:sz w:val="24"/>
    </w:rPr>
  </w:style>
  <w:style w:type="paragraph" w:styleId="List">
    <w:name w:val="List"/>
    <w:basedOn w:val="Normal"/>
    <w:uiPriority w:val="99"/>
    <w:unhideWhenUsed/>
    <w:rsid w:val="00B25CB9"/>
    <w:pPr>
      <w:ind w:left="283" w:hanging="283"/>
      <w:contextualSpacing/>
    </w:pPr>
  </w:style>
  <w:style w:type="paragraph" w:customStyle="1" w:styleId="Revis">
    <w:name w:val="Revis"/>
    <w:basedOn w:val="Normal"/>
    <w:rsid w:val="00817E6D"/>
    <w:pPr>
      <w:numPr>
        <w:numId w:val="16"/>
      </w:numPr>
      <w:spacing w:before="0" w:after="160" w:line="259" w:lineRule="auto"/>
      <w:contextualSpacing/>
    </w:pPr>
    <w:rPr>
      <w:szCs w:val="24"/>
    </w:rPr>
  </w:style>
  <w:style w:type="paragraph" w:customStyle="1" w:styleId="Revise">
    <w:name w:val="Revise"/>
    <w:basedOn w:val="Revis"/>
    <w:rsid w:val="00EC552E"/>
  </w:style>
  <w:style w:type="paragraph" w:styleId="NormalWeb">
    <w:name w:val="Normal (Web)"/>
    <w:basedOn w:val="Normal"/>
    <w:uiPriority w:val="99"/>
    <w:unhideWhenUsed/>
    <w:rsid w:val="008B193A"/>
    <w:rPr>
      <w:szCs w:val="24"/>
    </w:rPr>
  </w:style>
  <w:style w:type="character" w:styleId="Emphasis">
    <w:name w:val="Emphasis"/>
    <w:basedOn w:val="DefaultParagraphFont"/>
    <w:uiPriority w:val="20"/>
    <w:qFormat/>
    <w:rsid w:val="00B54039"/>
    <w:rPr>
      <w:i/>
      <w:iCs/>
    </w:rPr>
  </w:style>
  <w:style w:type="character" w:styleId="Strong">
    <w:name w:val="Strong"/>
    <w:basedOn w:val="DefaultParagraphFont"/>
    <w:uiPriority w:val="22"/>
    <w:qFormat/>
    <w:rsid w:val="00130EE7"/>
    <w:rPr>
      <w:b/>
      <w:bCs/>
    </w:rPr>
  </w:style>
  <w:style w:type="paragraph" w:customStyle="1" w:styleId="oj-normal">
    <w:name w:val="oj-normal"/>
    <w:basedOn w:val="Normal"/>
    <w:rsid w:val="002260E2"/>
    <w:pPr>
      <w:spacing w:before="100" w:beforeAutospacing="1" w:after="100" w:afterAutospacing="1"/>
      <w:jc w:val="left"/>
    </w:pPr>
    <w:rPr>
      <w:rFonts w:eastAsia="Times New Roman"/>
      <w:szCs w:val="24"/>
      <w:lang w:eastAsia="en-GB"/>
    </w:rPr>
  </w:style>
  <w:style w:type="character" w:customStyle="1" w:styleId="highlight">
    <w:name w:val="highlight"/>
    <w:basedOn w:val="DefaultParagraphFont"/>
    <w:rsid w:val="002260E2"/>
  </w:style>
  <w:style w:type="character" w:customStyle="1" w:styleId="oj-super">
    <w:name w:val="oj-super"/>
    <w:basedOn w:val="DefaultParagraphFont"/>
    <w:rsid w:val="002260E2"/>
  </w:style>
  <w:style w:type="table" w:styleId="TableGrid">
    <w:name w:val="Table Grid"/>
    <w:basedOn w:val="TableNormal"/>
    <w:uiPriority w:val="39"/>
    <w:rsid w:val="00970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7735"/>
    <w:pPr>
      <w:spacing w:before="100" w:beforeAutospacing="1" w:after="100" w:afterAutospacing="1"/>
      <w:jc w:val="left"/>
    </w:pPr>
    <w:rPr>
      <w:rFonts w:eastAsia="Times New Roman"/>
      <w:szCs w:val="24"/>
      <w:lang w:eastAsia="en-GB"/>
    </w:rPr>
  </w:style>
  <w:style w:type="character" w:customStyle="1" w:styleId="findhit">
    <w:name w:val="findhit"/>
    <w:basedOn w:val="DefaultParagraphFont"/>
    <w:rsid w:val="000D05DC"/>
  </w:style>
  <w:style w:type="paragraph" w:customStyle="1" w:styleId="ListPoint">
    <w:name w:val="List Point"/>
    <w:basedOn w:val="Tiret0"/>
    <w:rsid w:val="006532E9"/>
    <w:pPr>
      <w:numPr>
        <w:numId w:val="0"/>
      </w:numPr>
      <w:ind w:left="1417" w:hanging="567"/>
    </w:pPr>
  </w:style>
  <w:style w:type="paragraph" w:customStyle="1" w:styleId="Pointlist">
    <w:name w:val="Point list"/>
    <w:basedOn w:val="Point0letter"/>
    <w:rsid w:val="00813FB4"/>
  </w:style>
  <w:style w:type="paragraph" w:customStyle="1" w:styleId="Rfrenceinstitutionnelle00">
    <w:name w:val="Référence institutionnelle0"/>
    <w:basedOn w:val="Normal"/>
    <w:next w:val="Confidentialit"/>
    <w:rsid w:val="009B7138"/>
    <w:pPr>
      <w:spacing w:before="0" w:after="240"/>
      <w:ind w:left="5103"/>
      <w:jc w:val="left"/>
    </w:pPr>
  </w:style>
  <w:style w:type="paragraph" w:customStyle="1" w:styleId="Norm">
    <w:name w:val="Norm"/>
    <w:basedOn w:val="Normal"/>
    <w:rsid w:val="00817E6D"/>
    <w:pPr>
      <w:spacing w:before="0" w:after="160" w:line="259" w:lineRule="auto"/>
      <w:ind w:left="600" w:hanging="360"/>
      <w:contextualSpacing/>
    </w:pPr>
    <w:rPr>
      <w:szCs w:val="24"/>
    </w:rPr>
  </w:style>
  <w:style w:type="paragraph" w:customStyle="1" w:styleId="Rfrenceinstitutionnelle1">
    <w:name w:val="Référence institutionnelle1"/>
    <w:basedOn w:val="Normal"/>
    <w:next w:val="Confidentialit"/>
    <w:rsid w:val="009B7138"/>
    <w:pPr>
      <w:spacing w:before="0" w:after="240"/>
      <w:ind w:left="5103"/>
      <w:jc w:val="left"/>
    </w:pPr>
  </w:style>
  <w:style w:type="paragraph" w:customStyle="1" w:styleId="Rfrenceinstitutionnelle2">
    <w:name w:val="Référence institutionnelle2"/>
    <w:basedOn w:val="Normal"/>
    <w:next w:val="Confidentialit"/>
    <w:rsid w:val="009B7138"/>
    <w:pPr>
      <w:spacing w:before="0" w:after="240"/>
      <w:ind w:left="5103"/>
      <w:jc w:val="left"/>
    </w:pPr>
  </w:style>
  <w:style w:type="paragraph" w:customStyle="1" w:styleId="Rfrenceinstitutionnelle3">
    <w:name w:val="Référence institutionnelle3"/>
    <w:basedOn w:val="Normal"/>
    <w:next w:val="Confidentialit"/>
    <w:rsid w:val="009B7138"/>
    <w:pPr>
      <w:spacing w:before="0" w:after="240"/>
      <w:ind w:left="5103"/>
      <w:jc w:val="left"/>
    </w:pPr>
  </w:style>
  <w:style w:type="paragraph" w:customStyle="1" w:styleId="Rfrenceinstitutionnelle4">
    <w:name w:val="Référence institutionnelle4"/>
    <w:basedOn w:val="Normal"/>
    <w:next w:val="Confidentialit"/>
    <w:rsid w:val="009B7138"/>
    <w:pPr>
      <w:spacing w:before="0" w:after="240"/>
      <w:ind w:left="5103"/>
      <w:jc w:val="left"/>
    </w:pPr>
  </w:style>
  <w:style w:type="paragraph" w:customStyle="1" w:styleId="Rfrenceinstitutionnelle5">
    <w:name w:val="Référence institutionnelle5"/>
    <w:basedOn w:val="Normal"/>
    <w:next w:val="Confidentialit"/>
    <w:rsid w:val="009B7138"/>
    <w:pPr>
      <w:spacing w:before="0" w:after="240"/>
      <w:ind w:left="5103"/>
      <w:jc w:val="left"/>
    </w:pPr>
  </w:style>
  <w:style w:type="paragraph" w:customStyle="1" w:styleId="Rfrenceinstitutionnelle6">
    <w:name w:val="Référence institutionnelle6"/>
    <w:basedOn w:val="Normal"/>
    <w:next w:val="Confidentialit"/>
    <w:rsid w:val="009B7138"/>
    <w:pPr>
      <w:spacing w:before="0" w:after="240"/>
      <w:ind w:left="5103"/>
      <w:jc w:val="left"/>
    </w:pPr>
  </w:style>
  <w:style w:type="paragraph" w:customStyle="1" w:styleId="Rfrenceinstitutionnelle7">
    <w:name w:val="Référence institutionnelle"/>
    <w:basedOn w:val="Normal"/>
    <w:next w:val="Confidentialit"/>
    <w:rsid w:val="009B7138"/>
    <w:pPr>
      <w:spacing w:before="0" w:after="240"/>
      <w:ind w:left="5103"/>
      <w:jc w:val="left"/>
    </w:pPr>
  </w:style>
  <w:style w:type="paragraph" w:customStyle="1" w:styleId="Rfrenceinstitutionnelle8">
    <w:name w:val="Référence institutionnelle"/>
    <w:basedOn w:val="Normal"/>
    <w:next w:val="Confidentialit"/>
    <w:rsid w:val="009B7138"/>
    <w:pPr>
      <w:spacing w:before="0" w:after="240"/>
      <w:ind w:left="5103"/>
      <w:jc w:val="left"/>
    </w:pPr>
  </w:style>
  <w:style w:type="paragraph" w:customStyle="1" w:styleId="Rfrenceinstitutionnelle9">
    <w:name w:val="Référence institutionnelle"/>
    <w:basedOn w:val="Normal"/>
    <w:next w:val="Confidentialit"/>
    <w:rsid w:val="009B7138"/>
    <w:pPr>
      <w:spacing w:before="0" w:after="240"/>
      <w:ind w:left="5103"/>
      <w:jc w:val="left"/>
    </w:pPr>
  </w:style>
  <w:style w:type="paragraph" w:customStyle="1" w:styleId="ncroise">
    <w:name w:val="n croisée"/>
    <w:basedOn w:val="Rfrencecroise"/>
    <w:rsid w:val="00D50102"/>
    <w:pPr>
      <w:jc w:val="both"/>
    </w:pPr>
  </w:style>
  <w:style w:type="paragraph" w:customStyle="1" w:styleId="NumPar10">
    <w:name w:val="NumPar 10"/>
    <w:basedOn w:val="Normal"/>
    <w:rsid w:val="00A12DFA"/>
    <w:pPr>
      <w:tabs>
        <w:tab w:val="num" w:pos="850"/>
      </w:tabs>
      <w:ind w:left="850" w:hanging="850"/>
    </w:pPr>
    <w:rPr>
      <w:szCs w:val="24"/>
    </w:rPr>
  </w:style>
  <w:style w:type="paragraph" w:customStyle="1" w:styleId="Rfrenceinstitutionnellea">
    <w:name w:val="Référence institutionnelle"/>
    <w:basedOn w:val="Normal"/>
    <w:next w:val="Confidentialit"/>
    <w:rsid w:val="009B7138"/>
    <w:pPr>
      <w:spacing w:before="0" w:after="240"/>
      <w:ind w:left="5103"/>
      <w:jc w:val="left"/>
    </w:pPr>
  </w:style>
  <w:style w:type="paragraph" w:customStyle="1" w:styleId="Normal2">
    <w:name w:val="Normal2"/>
    <w:basedOn w:val="Normal"/>
    <w:rsid w:val="001A7B88"/>
    <w:pPr>
      <w:spacing w:before="100" w:beforeAutospacing="1" w:after="100" w:afterAutospacing="1"/>
      <w:jc w:val="left"/>
    </w:pPr>
    <w:rPr>
      <w:rFonts w:eastAsia="Times New Roman"/>
      <w:szCs w:val="24"/>
      <w:lang w:eastAsia="en-GB"/>
    </w:rPr>
  </w:style>
  <w:style w:type="paragraph" w:customStyle="1" w:styleId="Default">
    <w:name w:val="Default"/>
    <w:rsid w:val="001A7B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frenceinstitutionnelleb">
    <w:name w:val="Référence institutionnelle"/>
    <w:basedOn w:val="Normal"/>
    <w:next w:val="Confidentialit"/>
    <w:rsid w:val="009B7138"/>
    <w:pPr>
      <w:spacing w:before="0" w:after="240"/>
      <w:ind w:left="5103"/>
      <w:jc w:val="left"/>
    </w:pPr>
  </w:style>
  <w:style w:type="paragraph" w:customStyle="1" w:styleId="Rfrenceinstitutionnellec">
    <w:name w:val="Référence institutionnelle"/>
    <w:basedOn w:val="Normal"/>
    <w:next w:val="Confidentialit"/>
    <w:rsid w:val="009B7138"/>
    <w:pPr>
      <w:spacing w:before="0" w:after="240"/>
      <w:ind w:left="5103"/>
      <w:jc w:val="left"/>
    </w:pPr>
  </w:style>
  <w:style w:type="paragraph" w:customStyle="1" w:styleId="Rfrenceinstitutionnelled">
    <w:name w:val="Référence institutionnelle"/>
    <w:basedOn w:val="Normal"/>
    <w:next w:val="Confidentialit"/>
    <w:rsid w:val="009B7138"/>
    <w:pPr>
      <w:spacing w:before="0" w:after="240"/>
      <w:ind w:left="5103"/>
      <w:jc w:val="left"/>
    </w:pPr>
  </w:style>
  <w:style w:type="paragraph" w:customStyle="1" w:styleId="Rfrenceinstitutionnellee">
    <w:name w:val="Référence institutionnelle"/>
    <w:basedOn w:val="Normal"/>
    <w:next w:val="Confidentialit"/>
    <w:rsid w:val="009B7138"/>
    <w:pPr>
      <w:spacing w:before="0" w:after="240"/>
      <w:ind w:left="5103"/>
      <w:jc w:val="left"/>
    </w:pPr>
  </w:style>
  <w:style w:type="paragraph" w:customStyle="1" w:styleId="Rfrenceinstitutionnellef">
    <w:name w:val="Référence institutionnelle"/>
    <w:basedOn w:val="Normal"/>
    <w:next w:val="Confidentialit"/>
    <w:rsid w:val="009B7138"/>
    <w:pPr>
      <w:spacing w:before="0" w:after="240"/>
      <w:ind w:left="5103"/>
      <w:jc w:val="left"/>
    </w:pPr>
  </w:style>
  <w:style w:type="paragraph" w:customStyle="1" w:styleId="Rfrenceinstitutionnellef0">
    <w:name w:val="Référence institutionnelle"/>
    <w:basedOn w:val="Normal"/>
    <w:next w:val="Confidentialit"/>
    <w:rsid w:val="009B7138"/>
    <w:pPr>
      <w:spacing w:before="0" w:after="240"/>
      <w:ind w:left="5103"/>
      <w:jc w:val="left"/>
    </w:pPr>
  </w:style>
  <w:style w:type="paragraph" w:customStyle="1" w:styleId="Normal3">
    <w:name w:val="Normal3"/>
    <w:basedOn w:val="Normal"/>
    <w:rsid w:val="00B0403D"/>
    <w:pPr>
      <w:spacing w:before="100" w:beforeAutospacing="1" w:after="100" w:afterAutospacing="1"/>
      <w:jc w:val="left"/>
    </w:pPr>
    <w:rPr>
      <w:rFonts w:eastAsia="Times New Roman"/>
      <w:szCs w:val="24"/>
      <w:lang w:eastAsia="en-GB"/>
    </w:rPr>
  </w:style>
  <w:style w:type="paragraph" w:customStyle="1" w:styleId="Point1letter0">
    <w:name w:val="Point 1(letter)"/>
    <w:basedOn w:val="Point1"/>
    <w:rsid w:val="00782DB7"/>
  </w:style>
  <w:style w:type="paragraph" w:customStyle="1" w:styleId="Poin1">
    <w:name w:val="Poin 1"/>
    <w:basedOn w:val="Point1letter"/>
    <w:rsid w:val="009F5956"/>
  </w:style>
  <w:style w:type="paragraph" w:customStyle="1" w:styleId="Rfrenceinstitutionnelle18">
    <w:name w:val="Référence institutionnelle18"/>
    <w:basedOn w:val="Normal"/>
    <w:next w:val="Confidentialit"/>
    <w:rsid w:val="00CD623F"/>
    <w:pPr>
      <w:spacing w:before="0" w:after="240"/>
      <w:ind w:left="5103"/>
      <w:jc w:val="left"/>
    </w:pPr>
  </w:style>
  <w:style w:type="paragraph" w:customStyle="1" w:styleId="Rfrenceinstitutionnelle17">
    <w:name w:val="Référence institutionnelle17"/>
    <w:basedOn w:val="Normal"/>
    <w:next w:val="Confidentialit"/>
    <w:rsid w:val="00CD623F"/>
    <w:pPr>
      <w:spacing w:before="0" w:after="240"/>
      <w:ind w:left="5103"/>
      <w:jc w:val="left"/>
    </w:pPr>
  </w:style>
  <w:style w:type="paragraph" w:customStyle="1" w:styleId="Rfrenceinstitutionnelle16">
    <w:name w:val="Référence institutionnelle16"/>
    <w:basedOn w:val="Normal"/>
    <w:next w:val="Confidentialit"/>
    <w:rsid w:val="00CD623F"/>
    <w:pPr>
      <w:spacing w:before="0" w:after="240"/>
      <w:ind w:left="5103"/>
      <w:jc w:val="left"/>
    </w:pPr>
  </w:style>
  <w:style w:type="paragraph" w:customStyle="1" w:styleId="Rfrenceinstitutionnelle15">
    <w:name w:val="Référence institutionnelle15"/>
    <w:basedOn w:val="Normal"/>
    <w:next w:val="Confidentialit"/>
    <w:rsid w:val="00CD623F"/>
    <w:pPr>
      <w:spacing w:before="0" w:after="240"/>
      <w:ind w:left="5103"/>
      <w:jc w:val="left"/>
    </w:pPr>
  </w:style>
  <w:style w:type="paragraph" w:customStyle="1" w:styleId="Rfrenceinstitutionnelle14">
    <w:name w:val="Référence institutionnelle14"/>
    <w:basedOn w:val="Normal"/>
    <w:next w:val="Confidentialit"/>
    <w:rsid w:val="00CD623F"/>
    <w:pPr>
      <w:spacing w:before="0" w:after="240"/>
      <w:ind w:left="5103"/>
      <w:jc w:val="left"/>
    </w:pPr>
  </w:style>
  <w:style w:type="paragraph" w:customStyle="1" w:styleId="Rfrenceinstitutionnelle13">
    <w:name w:val="Référence institutionnelle13"/>
    <w:basedOn w:val="Normal"/>
    <w:next w:val="Confidentialit"/>
    <w:rsid w:val="00CD623F"/>
    <w:pPr>
      <w:spacing w:before="0" w:after="240"/>
      <w:ind w:left="5103"/>
      <w:jc w:val="left"/>
    </w:pPr>
  </w:style>
  <w:style w:type="paragraph" w:customStyle="1" w:styleId="Rfrenceinstitutionnelle12">
    <w:name w:val="Référence institutionnelle12"/>
    <w:basedOn w:val="Normal"/>
    <w:next w:val="Confidentialit"/>
    <w:rsid w:val="00CD623F"/>
    <w:pPr>
      <w:spacing w:before="0" w:after="240"/>
      <w:ind w:left="5103"/>
      <w:jc w:val="left"/>
    </w:pPr>
  </w:style>
  <w:style w:type="paragraph" w:customStyle="1" w:styleId="Rfrenceinstitutionnelle11">
    <w:name w:val="Référence institutionnelle11"/>
    <w:basedOn w:val="Normal"/>
    <w:next w:val="Confidentialit"/>
    <w:rsid w:val="00CD623F"/>
    <w:pPr>
      <w:spacing w:before="0" w:after="240"/>
      <w:ind w:left="5103"/>
      <w:jc w:val="left"/>
    </w:pPr>
  </w:style>
  <w:style w:type="paragraph" w:customStyle="1" w:styleId="Rfrenceinstitutionnelle10">
    <w:name w:val="Référence institutionnelle10"/>
    <w:basedOn w:val="Normal"/>
    <w:next w:val="Confidentialit"/>
    <w:rsid w:val="00CD623F"/>
    <w:pPr>
      <w:spacing w:before="0" w:after="240"/>
      <w:ind w:left="5103"/>
      <w:jc w:val="left"/>
    </w:pPr>
  </w:style>
  <w:style w:type="paragraph" w:customStyle="1" w:styleId="Rfrenceinstitutionnelle90">
    <w:name w:val="Référence institutionnelle9"/>
    <w:basedOn w:val="Normal"/>
    <w:next w:val="Confidentialit"/>
    <w:rsid w:val="00CD623F"/>
    <w:pPr>
      <w:spacing w:before="0" w:after="240"/>
      <w:ind w:left="5103"/>
      <w:jc w:val="left"/>
    </w:pPr>
  </w:style>
  <w:style w:type="paragraph" w:customStyle="1" w:styleId="Rfrenceinstitutionnelle80">
    <w:name w:val="Référence institutionnelle8"/>
    <w:basedOn w:val="Normal"/>
    <w:next w:val="Confidentialit"/>
    <w:rsid w:val="00CD623F"/>
    <w:pPr>
      <w:spacing w:before="0" w:after="240"/>
      <w:ind w:left="5103"/>
      <w:jc w:val="left"/>
    </w:pPr>
  </w:style>
  <w:style w:type="paragraph" w:customStyle="1" w:styleId="Rfrenceinstitutionnelle70">
    <w:name w:val="Référence institutionnelle7"/>
    <w:basedOn w:val="Normal"/>
    <w:next w:val="Confidentialit"/>
    <w:rsid w:val="00CD623F"/>
    <w:pPr>
      <w:spacing w:before="0" w:after="240"/>
      <w:ind w:left="5103"/>
      <w:jc w:val="left"/>
    </w:pPr>
  </w:style>
  <w:style w:type="numbering" w:customStyle="1" w:styleId="NoList1">
    <w:name w:val="No List1"/>
    <w:next w:val="NoList"/>
    <w:uiPriority w:val="99"/>
    <w:semiHidden/>
    <w:unhideWhenUsed/>
    <w:rsid w:val="00BE0A2F"/>
  </w:style>
  <w:style w:type="table" w:customStyle="1" w:styleId="TableGrid1">
    <w:name w:val="Table Grid1"/>
    <w:basedOn w:val="TableNormal"/>
    <w:next w:val="TableGrid"/>
    <w:uiPriority w:val="39"/>
    <w:rsid w:val="00BE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stitutionnellef1">
    <w:name w:val="Référence institutionnelle"/>
    <w:basedOn w:val="Normal"/>
    <w:next w:val="Confidentialit"/>
    <w:rsid w:val="009B7138"/>
    <w:pPr>
      <w:spacing w:before="0" w:after="240"/>
      <w:ind w:left="5103"/>
      <w:jc w:val="left"/>
    </w:pPr>
  </w:style>
  <w:style w:type="paragraph" w:customStyle="1" w:styleId="bullHeading2">
    <w:name w:val="bullHeading 2"/>
    <w:basedOn w:val="ManualHeading2"/>
    <w:rsid w:val="001F3EC3"/>
    <w:rPr>
      <w:rFonts w:eastAsia="Arial Unicode MS"/>
      <w:u w:color="000000"/>
      <w:bdr w:val="nil"/>
      <w:lang w:eastAsia="en-GB"/>
    </w:rPr>
  </w:style>
  <w:style w:type="paragraph" w:customStyle="1" w:styleId="Rfrenceinstitutionnellef2">
    <w:name w:val="Référence institutionnelle"/>
    <w:basedOn w:val="Normal"/>
    <w:next w:val="Confidentialit"/>
    <w:rsid w:val="00517205"/>
    <w:pPr>
      <w:spacing w:before="0" w:after="240"/>
      <w:ind w:left="5103"/>
      <w:jc w:val="left"/>
    </w:pPr>
  </w:style>
  <w:style w:type="paragraph" w:customStyle="1" w:styleId="Rfrenceinstitutionnellef3">
    <w:name w:val="Référence institutionnelle"/>
    <w:basedOn w:val="Normal"/>
    <w:next w:val="Confidentialit"/>
    <w:rsid w:val="00517205"/>
    <w:pPr>
      <w:spacing w:before="0" w:after="240"/>
      <w:ind w:left="5103"/>
      <w:jc w:val="left"/>
    </w:pPr>
  </w:style>
  <w:style w:type="paragraph" w:customStyle="1" w:styleId="Rfrenceinstitutionnellef4">
    <w:name w:val="Référence institutionnelle"/>
    <w:basedOn w:val="Normal"/>
    <w:next w:val="Confidentialit"/>
    <w:rsid w:val="00517205"/>
    <w:pPr>
      <w:spacing w:before="0" w:after="240"/>
      <w:ind w:left="5103"/>
      <w:jc w:val="left"/>
    </w:pPr>
  </w:style>
  <w:style w:type="paragraph" w:customStyle="1" w:styleId="Heading30">
    <w:name w:val="Heading3"/>
    <w:basedOn w:val="Point0number"/>
    <w:rsid w:val="00023BC7"/>
    <w:rPr>
      <w:noProof/>
    </w:rPr>
  </w:style>
  <w:style w:type="paragraph" w:customStyle="1" w:styleId="Rfrenceinstitutionnellef5">
    <w:name w:val="Référence institutionnelle"/>
    <w:basedOn w:val="Normal"/>
    <w:next w:val="Confidentialit"/>
    <w:rsid w:val="00517205"/>
    <w:pPr>
      <w:spacing w:before="0" w:after="240"/>
      <w:ind w:left="5103"/>
      <w:jc w:val="left"/>
    </w:pPr>
  </w:style>
  <w:style w:type="paragraph" w:customStyle="1" w:styleId="Rfrenceinstitutionnellef6">
    <w:name w:val="Référence institutionnelle"/>
    <w:basedOn w:val="Normal"/>
    <w:next w:val="Confidentialit"/>
    <w:rsid w:val="00517205"/>
    <w:pPr>
      <w:spacing w:before="0" w:after="240"/>
      <w:ind w:left="5103"/>
      <w:jc w:val="left"/>
    </w:pPr>
  </w:style>
  <w:style w:type="paragraph" w:customStyle="1" w:styleId="Rfrenceinstitutionnellef7">
    <w:name w:val="Référence institutionnelle"/>
    <w:basedOn w:val="Normal"/>
    <w:next w:val="Confidentialit"/>
    <w:rsid w:val="00517205"/>
    <w:pPr>
      <w:spacing w:before="0" w:after="240"/>
      <w:ind w:left="5103"/>
      <w:jc w:val="left"/>
    </w:pPr>
  </w:style>
  <w:style w:type="paragraph" w:customStyle="1" w:styleId="Rfrenceinstitutionnellef8">
    <w:name w:val="Référence institutionnelle"/>
    <w:basedOn w:val="Normal"/>
    <w:next w:val="Confidentialit"/>
    <w:rsid w:val="00517205"/>
    <w:pPr>
      <w:spacing w:before="0" w:after="240"/>
      <w:ind w:left="5103"/>
      <w:jc w:val="left"/>
    </w:pPr>
  </w:style>
  <w:style w:type="paragraph" w:customStyle="1" w:styleId="Rfrenceinstitutionnellef9">
    <w:name w:val="Référence institutionnelle"/>
    <w:basedOn w:val="Normal"/>
    <w:next w:val="Confidentialit"/>
    <w:rsid w:val="00517205"/>
    <w:pPr>
      <w:spacing w:before="0" w:after="240"/>
      <w:ind w:left="5103"/>
      <w:jc w:val="left"/>
    </w:pPr>
  </w:style>
  <w:style w:type="paragraph" w:customStyle="1" w:styleId="Rfrenceinstitutionnellefa">
    <w:name w:val="Référence institutionnelle"/>
    <w:basedOn w:val="Normal"/>
    <w:next w:val="Confidentialit"/>
    <w:rsid w:val="00517205"/>
    <w:pPr>
      <w:spacing w:before="0" w:after="240"/>
      <w:ind w:left="5103"/>
      <w:jc w:val="left"/>
    </w:pPr>
  </w:style>
  <w:style w:type="paragraph" w:customStyle="1" w:styleId="title-bold">
    <w:name w:val="title-bold"/>
    <w:basedOn w:val="Normal"/>
    <w:rsid w:val="00BF79F9"/>
    <w:pPr>
      <w:spacing w:before="100" w:beforeAutospacing="1" w:after="100" w:afterAutospacing="1"/>
      <w:jc w:val="left"/>
    </w:pPr>
    <w:rPr>
      <w:rFonts w:eastAsia="Times New Roman"/>
      <w:szCs w:val="24"/>
      <w:lang w:eastAsia="en-GB"/>
    </w:rPr>
  </w:style>
  <w:style w:type="paragraph" w:customStyle="1" w:styleId="Rfrenceinstitutionnellefb">
    <w:name w:val="Référence institutionnelle"/>
    <w:basedOn w:val="Normal"/>
    <w:next w:val="Confidentialit"/>
    <w:rsid w:val="00517205"/>
    <w:pPr>
      <w:spacing w:before="0" w:after="240"/>
      <w:ind w:left="5103"/>
      <w:jc w:val="left"/>
    </w:pPr>
  </w:style>
  <w:style w:type="paragraph" w:customStyle="1" w:styleId="Rfrenceinstitutionnellefc">
    <w:name w:val="Référence institutionnelle"/>
    <w:basedOn w:val="Normal"/>
    <w:next w:val="Confidentialit"/>
    <w:rsid w:val="00517205"/>
    <w:pPr>
      <w:spacing w:before="0" w:after="240"/>
      <w:ind w:left="5103"/>
      <w:jc w:val="left"/>
    </w:pPr>
  </w:style>
  <w:style w:type="paragraph" w:customStyle="1" w:styleId="Rfrenceinstitutionnellefd">
    <w:name w:val="Référence institutionnelle"/>
    <w:basedOn w:val="Normal"/>
    <w:next w:val="Confidentialit"/>
    <w:rsid w:val="00517205"/>
    <w:pPr>
      <w:spacing w:before="0" w:after="240"/>
      <w:ind w:left="5103"/>
      <w:jc w:val="left"/>
    </w:pPr>
  </w:style>
  <w:style w:type="paragraph" w:customStyle="1" w:styleId="Rfrenceinstitutionnellefe">
    <w:name w:val="Référence institutionnelle"/>
    <w:basedOn w:val="Normal"/>
    <w:next w:val="Confidentialit"/>
    <w:rsid w:val="00517205"/>
    <w:pPr>
      <w:spacing w:before="0" w:after="240"/>
      <w:ind w:left="5103"/>
      <w:jc w:val="left"/>
    </w:pPr>
  </w:style>
  <w:style w:type="paragraph" w:customStyle="1" w:styleId="Rfrenceinstitutionnelleff">
    <w:name w:val="Référence institutionnelle"/>
    <w:basedOn w:val="Normal"/>
    <w:next w:val="Confidentialit"/>
    <w:rsid w:val="00517205"/>
    <w:pPr>
      <w:spacing w:before="0" w:after="240"/>
      <w:ind w:left="5103"/>
      <w:jc w:val="left"/>
    </w:pPr>
  </w:style>
  <w:style w:type="paragraph" w:customStyle="1" w:styleId="Rfrenceinstitutionnelleff0">
    <w:name w:val="Référence institutionnelle"/>
    <w:basedOn w:val="Normal"/>
    <w:next w:val="Confidentialit"/>
    <w:rsid w:val="00517205"/>
    <w:pPr>
      <w:spacing w:before="0" w:after="240"/>
      <w:ind w:left="5103"/>
      <w:jc w:val="left"/>
    </w:pPr>
  </w:style>
  <w:style w:type="paragraph" w:customStyle="1" w:styleId="Rfrenceinstitutionnelleff1">
    <w:name w:val="Référence institutionnelle"/>
    <w:basedOn w:val="Normal"/>
    <w:next w:val="Confidentialit"/>
    <w:rsid w:val="00517205"/>
    <w:pPr>
      <w:spacing w:before="0" w:after="240"/>
      <w:ind w:left="5103"/>
      <w:jc w:val="left"/>
    </w:pPr>
  </w:style>
  <w:style w:type="paragraph" w:customStyle="1" w:styleId="Rfrenceinstitutionnelleff2">
    <w:name w:val="Référence institutionnelle"/>
    <w:basedOn w:val="Normal"/>
    <w:next w:val="Confidentialit"/>
    <w:rsid w:val="00517205"/>
    <w:pPr>
      <w:spacing w:before="0" w:after="240"/>
      <w:ind w:left="5103"/>
      <w:jc w:val="left"/>
    </w:pPr>
  </w:style>
  <w:style w:type="paragraph" w:styleId="Header">
    <w:name w:val="header"/>
    <w:basedOn w:val="Normal"/>
    <w:link w:val="HeaderChar"/>
    <w:uiPriority w:val="99"/>
    <w:unhideWhenUsed/>
    <w:rsid w:val="003C0B66"/>
    <w:pPr>
      <w:tabs>
        <w:tab w:val="center" w:pos="4535"/>
        <w:tab w:val="right" w:pos="9071"/>
      </w:tabs>
      <w:spacing w:before="0"/>
    </w:pPr>
  </w:style>
  <w:style w:type="character" w:customStyle="1" w:styleId="HeaderChar">
    <w:name w:val="Header Char"/>
    <w:basedOn w:val="DefaultParagraphFont"/>
    <w:link w:val="Header"/>
    <w:uiPriority w:val="99"/>
    <w:rsid w:val="003C0B66"/>
    <w:rPr>
      <w:rFonts w:ascii="Times New Roman" w:hAnsi="Times New Roman" w:cs="Times New Roman"/>
      <w:sz w:val="24"/>
      <w:lang w:val="pl-PL"/>
    </w:rPr>
  </w:style>
  <w:style w:type="paragraph" w:styleId="Footer">
    <w:name w:val="footer"/>
    <w:basedOn w:val="Normal"/>
    <w:link w:val="FooterChar"/>
    <w:uiPriority w:val="99"/>
    <w:unhideWhenUsed/>
    <w:rsid w:val="003C0B6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C0B66"/>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3C0B66"/>
    <w:pPr>
      <w:tabs>
        <w:tab w:val="center" w:pos="7285"/>
        <w:tab w:val="right" w:pos="14003"/>
      </w:tabs>
      <w:spacing w:before="0"/>
    </w:pPr>
  </w:style>
  <w:style w:type="paragraph" w:customStyle="1" w:styleId="FooterLandscape">
    <w:name w:val="FooterLandscape"/>
    <w:basedOn w:val="Normal"/>
    <w:rsid w:val="003C0B6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3C0B6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C0B66"/>
    <w:pPr>
      <w:spacing w:before="0"/>
      <w:jc w:val="right"/>
    </w:pPr>
    <w:rPr>
      <w:sz w:val="28"/>
    </w:rPr>
  </w:style>
  <w:style w:type="paragraph" w:customStyle="1" w:styleId="FooterSensitivity">
    <w:name w:val="Footer Sensitivity"/>
    <w:basedOn w:val="Normal"/>
    <w:rsid w:val="003C0B6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45"/>
      </w:numPr>
    </w:pPr>
  </w:style>
  <w:style w:type="paragraph" w:customStyle="1" w:styleId="Tiret1">
    <w:name w:val="Tiret 1"/>
    <w:basedOn w:val="Point1"/>
    <w:rsid w:val="00517205"/>
    <w:pPr>
      <w:numPr>
        <w:numId w:val="46"/>
      </w:numPr>
    </w:pPr>
  </w:style>
  <w:style w:type="paragraph" w:customStyle="1" w:styleId="Tiret2">
    <w:name w:val="Tiret 2"/>
    <w:basedOn w:val="Point2"/>
    <w:rsid w:val="00517205"/>
    <w:pPr>
      <w:numPr>
        <w:numId w:val="47"/>
      </w:numPr>
    </w:pPr>
  </w:style>
  <w:style w:type="paragraph" w:customStyle="1" w:styleId="Tiret3">
    <w:name w:val="Tiret 3"/>
    <w:basedOn w:val="Point3"/>
    <w:rsid w:val="00517205"/>
    <w:pPr>
      <w:numPr>
        <w:numId w:val="48"/>
      </w:numPr>
    </w:pPr>
  </w:style>
  <w:style w:type="paragraph" w:customStyle="1" w:styleId="Tiret4">
    <w:name w:val="Tiret 4"/>
    <w:basedOn w:val="Point4"/>
    <w:rsid w:val="00517205"/>
    <w:pPr>
      <w:numPr>
        <w:numId w:val="49"/>
      </w:numPr>
    </w:pPr>
  </w:style>
  <w:style w:type="paragraph" w:customStyle="1" w:styleId="Tiret5">
    <w:name w:val="Tiret 5"/>
    <w:basedOn w:val="Point5"/>
    <w:rsid w:val="00517205"/>
    <w:pPr>
      <w:numPr>
        <w:numId w:val="50"/>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51"/>
      </w:numPr>
    </w:pPr>
  </w:style>
  <w:style w:type="paragraph" w:customStyle="1" w:styleId="NumPar2">
    <w:name w:val="NumPar 2"/>
    <w:basedOn w:val="Normal"/>
    <w:next w:val="Text1"/>
    <w:rsid w:val="00517205"/>
    <w:pPr>
      <w:numPr>
        <w:ilvl w:val="1"/>
        <w:numId w:val="51"/>
      </w:numPr>
    </w:pPr>
  </w:style>
  <w:style w:type="paragraph" w:customStyle="1" w:styleId="NumPar3">
    <w:name w:val="NumPar 3"/>
    <w:basedOn w:val="Normal"/>
    <w:next w:val="Text1"/>
    <w:rsid w:val="00517205"/>
    <w:pPr>
      <w:numPr>
        <w:ilvl w:val="2"/>
        <w:numId w:val="51"/>
      </w:numPr>
    </w:pPr>
  </w:style>
  <w:style w:type="paragraph" w:customStyle="1" w:styleId="NumPar4">
    <w:name w:val="NumPar 4"/>
    <w:basedOn w:val="Normal"/>
    <w:next w:val="Text1"/>
    <w:rsid w:val="00517205"/>
    <w:pPr>
      <w:numPr>
        <w:ilvl w:val="3"/>
        <w:numId w:val="51"/>
      </w:numPr>
    </w:pPr>
  </w:style>
  <w:style w:type="paragraph" w:customStyle="1" w:styleId="NumPar5">
    <w:name w:val="NumPar 5"/>
    <w:basedOn w:val="Normal"/>
    <w:next w:val="Text2"/>
    <w:rsid w:val="00517205"/>
    <w:pPr>
      <w:numPr>
        <w:ilvl w:val="4"/>
        <w:numId w:val="51"/>
      </w:numPr>
    </w:pPr>
  </w:style>
  <w:style w:type="paragraph" w:customStyle="1" w:styleId="NumPar6">
    <w:name w:val="NumPar 6"/>
    <w:basedOn w:val="Normal"/>
    <w:next w:val="Text2"/>
    <w:rsid w:val="00517205"/>
    <w:pPr>
      <w:numPr>
        <w:ilvl w:val="5"/>
        <w:numId w:val="51"/>
      </w:numPr>
    </w:pPr>
  </w:style>
  <w:style w:type="paragraph" w:customStyle="1" w:styleId="NumPar7">
    <w:name w:val="NumPar 7"/>
    <w:basedOn w:val="Normal"/>
    <w:next w:val="Text2"/>
    <w:rsid w:val="00517205"/>
    <w:pPr>
      <w:numPr>
        <w:ilvl w:val="6"/>
        <w:numId w:val="51"/>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176D5E"/>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53"/>
      </w:numPr>
    </w:pPr>
  </w:style>
  <w:style w:type="paragraph" w:customStyle="1" w:styleId="Point1number">
    <w:name w:val="Point 1 (number)"/>
    <w:basedOn w:val="Normal"/>
    <w:rsid w:val="00517205"/>
    <w:pPr>
      <w:numPr>
        <w:ilvl w:val="2"/>
        <w:numId w:val="53"/>
      </w:numPr>
    </w:pPr>
  </w:style>
  <w:style w:type="paragraph" w:customStyle="1" w:styleId="Point2number">
    <w:name w:val="Point 2 (number)"/>
    <w:basedOn w:val="Normal"/>
    <w:rsid w:val="00517205"/>
    <w:pPr>
      <w:numPr>
        <w:ilvl w:val="4"/>
        <w:numId w:val="53"/>
      </w:numPr>
    </w:pPr>
  </w:style>
  <w:style w:type="paragraph" w:customStyle="1" w:styleId="Point3number">
    <w:name w:val="Point 3 (number)"/>
    <w:basedOn w:val="Normal"/>
    <w:rsid w:val="00517205"/>
    <w:pPr>
      <w:numPr>
        <w:ilvl w:val="6"/>
        <w:numId w:val="53"/>
      </w:numPr>
    </w:pPr>
  </w:style>
  <w:style w:type="paragraph" w:customStyle="1" w:styleId="Point0letter">
    <w:name w:val="Point 0 (letter)"/>
    <w:basedOn w:val="Normal"/>
    <w:rsid w:val="00517205"/>
    <w:pPr>
      <w:numPr>
        <w:ilvl w:val="1"/>
        <w:numId w:val="53"/>
      </w:numPr>
    </w:pPr>
  </w:style>
  <w:style w:type="paragraph" w:customStyle="1" w:styleId="Point1letter">
    <w:name w:val="Point 1 (letter)"/>
    <w:basedOn w:val="Normal"/>
    <w:rsid w:val="00517205"/>
    <w:pPr>
      <w:numPr>
        <w:ilvl w:val="3"/>
        <w:numId w:val="53"/>
      </w:numPr>
    </w:pPr>
  </w:style>
  <w:style w:type="paragraph" w:customStyle="1" w:styleId="Point2letter">
    <w:name w:val="Point 2 (letter)"/>
    <w:basedOn w:val="Normal"/>
    <w:rsid w:val="00517205"/>
    <w:pPr>
      <w:numPr>
        <w:ilvl w:val="5"/>
        <w:numId w:val="53"/>
      </w:numPr>
    </w:pPr>
  </w:style>
  <w:style w:type="paragraph" w:customStyle="1" w:styleId="Point3letter">
    <w:name w:val="Point 3 (letter)"/>
    <w:basedOn w:val="Normal"/>
    <w:rsid w:val="00517205"/>
    <w:pPr>
      <w:numPr>
        <w:ilvl w:val="7"/>
        <w:numId w:val="53"/>
      </w:numPr>
    </w:pPr>
  </w:style>
  <w:style w:type="paragraph" w:customStyle="1" w:styleId="Point4letter">
    <w:name w:val="Point 4 (letter)"/>
    <w:basedOn w:val="Normal"/>
    <w:rsid w:val="00517205"/>
    <w:pPr>
      <w:numPr>
        <w:ilvl w:val="8"/>
        <w:numId w:val="53"/>
      </w:numPr>
    </w:pPr>
  </w:style>
  <w:style w:type="paragraph" w:customStyle="1" w:styleId="Bullet0">
    <w:name w:val="Bullet 0"/>
    <w:basedOn w:val="Normal"/>
    <w:rsid w:val="00517205"/>
    <w:pPr>
      <w:numPr>
        <w:numId w:val="54"/>
      </w:numPr>
    </w:pPr>
  </w:style>
  <w:style w:type="paragraph" w:customStyle="1" w:styleId="Bullet1">
    <w:name w:val="Bullet 1"/>
    <w:basedOn w:val="Normal"/>
    <w:rsid w:val="00517205"/>
    <w:pPr>
      <w:numPr>
        <w:numId w:val="55"/>
      </w:numPr>
    </w:pPr>
  </w:style>
  <w:style w:type="paragraph" w:customStyle="1" w:styleId="Bullet2">
    <w:name w:val="Bullet 2"/>
    <w:basedOn w:val="Normal"/>
    <w:rsid w:val="00517205"/>
    <w:pPr>
      <w:numPr>
        <w:numId w:val="56"/>
      </w:numPr>
    </w:pPr>
  </w:style>
  <w:style w:type="paragraph" w:customStyle="1" w:styleId="Bullet3">
    <w:name w:val="Bullet 3"/>
    <w:basedOn w:val="Normal"/>
    <w:rsid w:val="00517205"/>
    <w:pPr>
      <w:numPr>
        <w:numId w:val="57"/>
      </w:numPr>
    </w:pPr>
  </w:style>
  <w:style w:type="paragraph" w:customStyle="1" w:styleId="Bullet4">
    <w:name w:val="Bullet 4"/>
    <w:basedOn w:val="Normal"/>
    <w:rsid w:val="00517205"/>
    <w:pPr>
      <w:numPr>
        <w:numId w:val="58"/>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ff3"/>
    <w:rsid w:val="00517205"/>
    <w:pPr>
      <w:spacing w:before="0" w:after="0"/>
      <w:ind w:left="5103"/>
      <w:jc w:val="left"/>
    </w:pPr>
  </w:style>
  <w:style w:type="paragraph" w:customStyle="1" w:styleId="Rfrenceinstitutionnelleff3">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59"/>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4464">
      <w:bodyDiv w:val="1"/>
      <w:marLeft w:val="0"/>
      <w:marRight w:val="0"/>
      <w:marTop w:val="0"/>
      <w:marBottom w:val="0"/>
      <w:divBdr>
        <w:top w:val="none" w:sz="0" w:space="0" w:color="auto"/>
        <w:left w:val="none" w:sz="0" w:space="0" w:color="auto"/>
        <w:bottom w:val="none" w:sz="0" w:space="0" w:color="auto"/>
        <w:right w:val="none" w:sz="0" w:space="0" w:color="auto"/>
      </w:divBdr>
    </w:div>
    <w:div w:id="28654191">
      <w:bodyDiv w:val="1"/>
      <w:marLeft w:val="0"/>
      <w:marRight w:val="0"/>
      <w:marTop w:val="0"/>
      <w:marBottom w:val="0"/>
      <w:divBdr>
        <w:top w:val="none" w:sz="0" w:space="0" w:color="auto"/>
        <w:left w:val="none" w:sz="0" w:space="0" w:color="auto"/>
        <w:bottom w:val="none" w:sz="0" w:space="0" w:color="auto"/>
        <w:right w:val="none" w:sz="0" w:space="0" w:color="auto"/>
      </w:divBdr>
    </w:div>
    <w:div w:id="61022705">
      <w:bodyDiv w:val="1"/>
      <w:marLeft w:val="0"/>
      <w:marRight w:val="0"/>
      <w:marTop w:val="0"/>
      <w:marBottom w:val="0"/>
      <w:divBdr>
        <w:top w:val="none" w:sz="0" w:space="0" w:color="auto"/>
        <w:left w:val="none" w:sz="0" w:space="0" w:color="auto"/>
        <w:bottom w:val="none" w:sz="0" w:space="0" w:color="auto"/>
        <w:right w:val="none" w:sz="0" w:space="0" w:color="auto"/>
      </w:divBdr>
    </w:div>
    <w:div w:id="115368747">
      <w:bodyDiv w:val="1"/>
      <w:marLeft w:val="0"/>
      <w:marRight w:val="0"/>
      <w:marTop w:val="0"/>
      <w:marBottom w:val="0"/>
      <w:divBdr>
        <w:top w:val="none" w:sz="0" w:space="0" w:color="auto"/>
        <w:left w:val="none" w:sz="0" w:space="0" w:color="auto"/>
        <w:bottom w:val="none" w:sz="0" w:space="0" w:color="auto"/>
        <w:right w:val="none" w:sz="0" w:space="0" w:color="auto"/>
      </w:divBdr>
    </w:div>
    <w:div w:id="132020874">
      <w:bodyDiv w:val="1"/>
      <w:marLeft w:val="0"/>
      <w:marRight w:val="0"/>
      <w:marTop w:val="0"/>
      <w:marBottom w:val="0"/>
      <w:divBdr>
        <w:top w:val="none" w:sz="0" w:space="0" w:color="auto"/>
        <w:left w:val="none" w:sz="0" w:space="0" w:color="auto"/>
        <w:bottom w:val="none" w:sz="0" w:space="0" w:color="auto"/>
        <w:right w:val="none" w:sz="0" w:space="0" w:color="auto"/>
      </w:divBdr>
    </w:div>
    <w:div w:id="135224651">
      <w:bodyDiv w:val="1"/>
      <w:marLeft w:val="0"/>
      <w:marRight w:val="0"/>
      <w:marTop w:val="0"/>
      <w:marBottom w:val="0"/>
      <w:divBdr>
        <w:top w:val="none" w:sz="0" w:space="0" w:color="auto"/>
        <w:left w:val="none" w:sz="0" w:space="0" w:color="auto"/>
        <w:bottom w:val="none" w:sz="0" w:space="0" w:color="auto"/>
        <w:right w:val="none" w:sz="0" w:space="0" w:color="auto"/>
      </w:divBdr>
    </w:div>
    <w:div w:id="165482164">
      <w:bodyDiv w:val="1"/>
      <w:marLeft w:val="0"/>
      <w:marRight w:val="0"/>
      <w:marTop w:val="0"/>
      <w:marBottom w:val="0"/>
      <w:divBdr>
        <w:top w:val="none" w:sz="0" w:space="0" w:color="auto"/>
        <w:left w:val="none" w:sz="0" w:space="0" w:color="auto"/>
        <w:bottom w:val="none" w:sz="0" w:space="0" w:color="auto"/>
        <w:right w:val="none" w:sz="0" w:space="0" w:color="auto"/>
      </w:divBdr>
    </w:div>
    <w:div w:id="177431634">
      <w:bodyDiv w:val="1"/>
      <w:marLeft w:val="0"/>
      <w:marRight w:val="0"/>
      <w:marTop w:val="0"/>
      <w:marBottom w:val="0"/>
      <w:divBdr>
        <w:top w:val="none" w:sz="0" w:space="0" w:color="auto"/>
        <w:left w:val="none" w:sz="0" w:space="0" w:color="auto"/>
        <w:bottom w:val="none" w:sz="0" w:space="0" w:color="auto"/>
        <w:right w:val="none" w:sz="0" w:space="0" w:color="auto"/>
      </w:divBdr>
    </w:div>
    <w:div w:id="195822347">
      <w:bodyDiv w:val="1"/>
      <w:marLeft w:val="0"/>
      <w:marRight w:val="0"/>
      <w:marTop w:val="0"/>
      <w:marBottom w:val="0"/>
      <w:divBdr>
        <w:top w:val="none" w:sz="0" w:space="0" w:color="auto"/>
        <w:left w:val="none" w:sz="0" w:space="0" w:color="auto"/>
        <w:bottom w:val="none" w:sz="0" w:space="0" w:color="auto"/>
        <w:right w:val="none" w:sz="0" w:space="0" w:color="auto"/>
      </w:divBdr>
    </w:div>
    <w:div w:id="218398552">
      <w:bodyDiv w:val="1"/>
      <w:marLeft w:val="0"/>
      <w:marRight w:val="0"/>
      <w:marTop w:val="0"/>
      <w:marBottom w:val="0"/>
      <w:divBdr>
        <w:top w:val="none" w:sz="0" w:space="0" w:color="auto"/>
        <w:left w:val="none" w:sz="0" w:space="0" w:color="auto"/>
        <w:bottom w:val="none" w:sz="0" w:space="0" w:color="auto"/>
        <w:right w:val="none" w:sz="0" w:space="0" w:color="auto"/>
      </w:divBdr>
    </w:div>
    <w:div w:id="223873227">
      <w:bodyDiv w:val="1"/>
      <w:marLeft w:val="0"/>
      <w:marRight w:val="0"/>
      <w:marTop w:val="0"/>
      <w:marBottom w:val="0"/>
      <w:divBdr>
        <w:top w:val="none" w:sz="0" w:space="0" w:color="auto"/>
        <w:left w:val="none" w:sz="0" w:space="0" w:color="auto"/>
        <w:bottom w:val="none" w:sz="0" w:space="0" w:color="auto"/>
        <w:right w:val="none" w:sz="0" w:space="0" w:color="auto"/>
      </w:divBdr>
    </w:div>
    <w:div w:id="259219289">
      <w:bodyDiv w:val="1"/>
      <w:marLeft w:val="0"/>
      <w:marRight w:val="0"/>
      <w:marTop w:val="0"/>
      <w:marBottom w:val="0"/>
      <w:divBdr>
        <w:top w:val="none" w:sz="0" w:space="0" w:color="auto"/>
        <w:left w:val="none" w:sz="0" w:space="0" w:color="auto"/>
        <w:bottom w:val="none" w:sz="0" w:space="0" w:color="auto"/>
        <w:right w:val="none" w:sz="0" w:space="0" w:color="auto"/>
      </w:divBdr>
    </w:div>
    <w:div w:id="267280626">
      <w:bodyDiv w:val="1"/>
      <w:marLeft w:val="0"/>
      <w:marRight w:val="0"/>
      <w:marTop w:val="0"/>
      <w:marBottom w:val="0"/>
      <w:divBdr>
        <w:top w:val="none" w:sz="0" w:space="0" w:color="auto"/>
        <w:left w:val="none" w:sz="0" w:space="0" w:color="auto"/>
        <w:bottom w:val="none" w:sz="0" w:space="0" w:color="auto"/>
        <w:right w:val="none" w:sz="0" w:space="0" w:color="auto"/>
      </w:divBdr>
    </w:div>
    <w:div w:id="268588436">
      <w:bodyDiv w:val="1"/>
      <w:marLeft w:val="0"/>
      <w:marRight w:val="0"/>
      <w:marTop w:val="0"/>
      <w:marBottom w:val="0"/>
      <w:divBdr>
        <w:top w:val="none" w:sz="0" w:space="0" w:color="auto"/>
        <w:left w:val="none" w:sz="0" w:space="0" w:color="auto"/>
        <w:bottom w:val="none" w:sz="0" w:space="0" w:color="auto"/>
        <w:right w:val="none" w:sz="0" w:space="0" w:color="auto"/>
      </w:divBdr>
    </w:div>
    <w:div w:id="270942964">
      <w:bodyDiv w:val="1"/>
      <w:marLeft w:val="0"/>
      <w:marRight w:val="0"/>
      <w:marTop w:val="0"/>
      <w:marBottom w:val="0"/>
      <w:divBdr>
        <w:top w:val="none" w:sz="0" w:space="0" w:color="auto"/>
        <w:left w:val="none" w:sz="0" w:space="0" w:color="auto"/>
        <w:bottom w:val="none" w:sz="0" w:space="0" w:color="auto"/>
        <w:right w:val="none" w:sz="0" w:space="0" w:color="auto"/>
      </w:divBdr>
    </w:div>
    <w:div w:id="303315402">
      <w:bodyDiv w:val="1"/>
      <w:marLeft w:val="0"/>
      <w:marRight w:val="0"/>
      <w:marTop w:val="0"/>
      <w:marBottom w:val="0"/>
      <w:divBdr>
        <w:top w:val="none" w:sz="0" w:space="0" w:color="auto"/>
        <w:left w:val="none" w:sz="0" w:space="0" w:color="auto"/>
        <w:bottom w:val="none" w:sz="0" w:space="0" w:color="auto"/>
        <w:right w:val="none" w:sz="0" w:space="0" w:color="auto"/>
      </w:divBdr>
      <w:divsChild>
        <w:div w:id="1917133028">
          <w:marLeft w:val="0"/>
          <w:marRight w:val="0"/>
          <w:marTop w:val="0"/>
          <w:marBottom w:val="0"/>
          <w:divBdr>
            <w:top w:val="none" w:sz="0" w:space="0" w:color="auto"/>
            <w:left w:val="none" w:sz="0" w:space="0" w:color="auto"/>
            <w:bottom w:val="none" w:sz="0" w:space="0" w:color="auto"/>
            <w:right w:val="none" w:sz="0" w:space="0" w:color="auto"/>
          </w:divBdr>
          <w:divsChild>
            <w:div w:id="144006947">
              <w:marLeft w:val="0"/>
              <w:marRight w:val="0"/>
              <w:marTop w:val="0"/>
              <w:marBottom w:val="0"/>
              <w:divBdr>
                <w:top w:val="none" w:sz="0" w:space="0" w:color="auto"/>
                <w:left w:val="none" w:sz="0" w:space="0" w:color="auto"/>
                <w:bottom w:val="none" w:sz="0" w:space="0" w:color="auto"/>
                <w:right w:val="none" w:sz="0" w:space="0" w:color="auto"/>
              </w:divBdr>
            </w:div>
          </w:divsChild>
        </w:div>
        <w:div w:id="838497909">
          <w:marLeft w:val="0"/>
          <w:marRight w:val="0"/>
          <w:marTop w:val="0"/>
          <w:marBottom w:val="0"/>
          <w:divBdr>
            <w:top w:val="none" w:sz="0" w:space="0" w:color="auto"/>
            <w:left w:val="none" w:sz="0" w:space="0" w:color="auto"/>
            <w:bottom w:val="none" w:sz="0" w:space="0" w:color="auto"/>
            <w:right w:val="none" w:sz="0" w:space="0" w:color="auto"/>
          </w:divBdr>
          <w:divsChild>
            <w:div w:id="1847163367">
              <w:marLeft w:val="0"/>
              <w:marRight w:val="0"/>
              <w:marTop w:val="0"/>
              <w:marBottom w:val="0"/>
              <w:divBdr>
                <w:top w:val="none" w:sz="0" w:space="0" w:color="auto"/>
                <w:left w:val="none" w:sz="0" w:space="0" w:color="auto"/>
                <w:bottom w:val="none" w:sz="0" w:space="0" w:color="auto"/>
                <w:right w:val="none" w:sz="0" w:space="0" w:color="auto"/>
              </w:divBdr>
              <w:divsChild>
                <w:div w:id="161513133">
                  <w:marLeft w:val="0"/>
                  <w:marRight w:val="0"/>
                  <w:marTop w:val="0"/>
                  <w:marBottom w:val="0"/>
                  <w:divBdr>
                    <w:top w:val="none" w:sz="0" w:space="0" w:color="auto"/>
                    <w:left w:val="none" w:sz="0" w:space="0" w:color="auto"/>
                    <w:bottom w:val="none" w:sz="0" w:space="0" w:color="auto"/>
                    <w:right w:val="none" w:sz="0" w:space="0" w:color="auto"/>
                  </w:divBdr>
                  <w:divsChild>
                    <w:div w:id="14128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4252">
      <w:bodyDiv w:val="1"/>
      <w:marLeft w:val="0"/>
      <w:marRight w:val="0"/>
      <w:marTop w:val="0"/>
      <w:marBottom w:val="0"/>
      <w:divBdr>
        <w:top w:val="none" w:sz="0" w:space="0" w:color="auto"/>
        <w:left w:val="none" w:sz="0" w:space="0" w:color="auto"/>
        <w:bottom w:val="none" w:sz="0" w:space="0" w:color="auto"/>
        <w:right w:val="none" w:sz="0" w:space="0" w:color="auto"/>
      </w:divBdr>
    </w:div>
    <w:div w:id="316881099">
      <w:bodyDiv w:val="1"/>
      <w:marLeft w:val="0"/>
      <w:marRight w:val="0"/>
      <w:marTop w:val="0"/>
      <w:marBottom w:val="0"/>
      <w:divBdr>
        <w:top w:val="none" w:sz="0" w:space="0" w:color="auto"/>
        <w:left w:val="none" w:sz="0" w:space="0" w:color="auto"/>
        <w:bottom w:val="none" w:sz="0" w:space="0" w:color="auto"/>
        <w:right w:val="none" w:sz="0" w:space="0" w:color="auto"/>
      </w:divBdr>
    </w:div>
    <w:div w:id="331489172">
      <w:bodyDiv w:val="1"/>
      <w:marLeft w:val="0"/>
      <w:marRight w:val="0"/>
      <w:marTop w:val="0"/>
      <w:marBottom w:val="0"/>
      <w:divBdr>
        <w:top w:val="none" w:sz="0" w:space="0" w:color="auto"/>
        <w:left w:val="none" w:sz="0" w:space="0" w:color="auto"/>
        <w:bottom w:val="none" w:sz="0" w:space="0" w:color="auto"/>
        <w:right w:val="none" w:sz="0" w:space="0" w:color="auto"/>
      </w:divBdr>
    </w:div>
    <w:div w:id="335689030">
      <w:bodyDiv w:val="1"/>
      <w:marLeft w:val="0"/>
      <w:marRight w:val="0"/>
      <w:marTop w:val="0"/>
      <w:marBottom w:val="0"/>
      <w:divBdr>
        <w:top w:val="none" w:sz="0" w:space="0" w:color="auto"/>
        <w:left w:val="none" w:sz="0" w:space="0" w:color="auto"/>
        <w:bottom w:val="none" w:sz="0" w:space="0" w:color="auto"/>
        <w:right w:val="none" w:sz="0" w:space="0" w:color="auto"/>
      </w:divBdr>
    </w:div>
    <w:div w:id="340275017">
      <w:bodyDiv w:val="1"/>
      <w:marLeft w:val="0"/>
      <w:marRight w:val="0"/>
      <w:marTop w:val="0"/>
      <w:marBottom w:val="0"/>
      <w:divBdr>
        <w:top w:val="none" w:sz="0" w:space="0" w:color="auto"/>
        <w:left w:val="none" w:sz="0" w:space="0" w:color="auto"/>
        <w:bottom w:val="none" w:sz="0" w:space="0" w:color="auto"/>
        <w:right w:val="none" w:sz="0" w:space="0" w:color="auto"/>
      </w:divBdr>
    </w:div>
    <w:div w:id="384374782">
      <w:bodyDiv w:val="1"/>
      <w:marLeft w:val="0"/>
      <w:marRight w:val="0"/>
      <w:marTop w:val="0"/>
      <w:marBottom w:val="0"/>
      <w:divBdr>
        <w:top w:val="none" w:sz="0" w:space="0" w:color="auto"/>
        <w:left w:val="none" w:sz="0" w:space="0" w:color="auto"/>
        <w:bottom w:val="none" w:sz="0" w:space="0" w:color="auto"/>
        <w:right w:val="none" w:sz="0" w:space="0" w:color="auto"/>
      </w:divBdr>
    </w:div>
    <w:div w:id="407191225">
      <w:bodyDiv w:val="1"/>
      <w:marLeft w:val="0"/>
      <w:marRight w:val="0"/>
      <w:marTop w:val="0"/>
      <w:marBottom w:val="0"/>
      <w:divBdr>
        <w:top w:val="none" w:sz="0" w:space="0" w:color="auto"/>
        <w:left w:val="none" w:sz="0" w:space="0" w:color="auto"/>
        <w:bottom w:val="none" w:sz="0" w:space="0" w:color="auto"/>
        <w:right w:val="none" w:sz="0" w:space="0" w:color="auto"/>
      </w:divBdr>
    </w:div>
    <w:div w:id="417748387">
      <w:bodyDiv w:val="1"/>
      <w:marLeft w:val="0"/>
      <w:marRight w:val="0"/>
      <w:marTop w:val="0"/>
      <w:marBottom w:val="0"/>
      <w:divBdr>
        <w:top w:val="none" w:sz="0" w:space="0" w:color="auto"/>
        <w:left w:val="none" w:sz="0" w:space="0" w:color="auto"/>
        <w:bottom w:val="none" w:sz="0" w:space="0" w:color="auto"/>
        <w:right w:val="none" w:sz="0" w:space="0" w:color="auto"/>
      </w:divBdr>
      <w:divsChild>
        <w:div w:id="1686396328">
          <w:marLeft w:val="0"/>
          <w:marRight w:val="0"/>
          <w:marTop w:val="0"/>
          <w:marBottom w:val="0"/>
          <w:divBdr>
            <w:top w:val="none" w:sz="0" w:space="0" w:color="auto"/>
            <w:left w:val="none" w:sz="0" w:space="0" w:color="auto"/>
            <w:bottom w:val="none" w:sz="0" w:space="0" w:color="auto"/>
            <w:right w:val="none" w:sz="0" w:space="0" w:color="auto"/>
          </w:divBdr>
        </w:div>
      </w:divsChild>
    </w:div>
    <w:div w:id="434832902">
      <w:bodyDiv w:val="1"/>
      <w:marLeft w:val="0"/>
      <w:marRight w:val="0"/>
      <w:marTop w:val="0"/>
      <w:marBottom w:val="0"/>
      <w:divBdr>
        <w:top w:val="none" w:sz="0" w:space="0" w:color="auto"/>
        <w:left w:val="none" w:sz="0" w:space="0" w:color="auto"/>
        <w:bottom w:val="none" w:sz="0" w:space="0" w:color="auto"/>
        <w:right w:val="none" w:sz="0" w:space="0" w:color="auto"/>
      </w:divBdr>
    </w:div>
    <w:div w:id="468134056">
      <w:bodyDiv w:val="1"/>
      <w:marLeft w:val="0"/>
      <w:marRight w:val="0"/>
      <w:marTop w:val="0"/>
      <w:marBottom w:val="0"/>
      <w:divBdr>
        <w:top w:val="none" w:sz="0" w:space="0" w:color="auto"/>
        <w:left w:val="none" w:sz="0" w:space="0" w:color="auto"/>
        <w:bottom w:val="none" w:sz="0" w:space="0" w:color="auto"/>
        <w:right w:val="none" w:sz="0" w:space="0" w:color="auto"/>
      </w:divBdr>
    </w:div>
    <w:div w:id="472450586">
      <w:bodyDiv w:val="1"/>
      <w:marLeft w:val="0"/>
      <w:marRight w:val="0"/>
      <w:marTop w:val="0"/>
      <w:marBottom w:val="0"/>
      <w:divBdr>
        <w:top w:val="none" w:sz="0" w:space="0" w:color="auto"/>
        <w:left w:val="none" w:sz="0" w:space="0" w:color="auto"/>
        <w:bottom w:val="none" w:sz="0" w:space="0" w:color="auto"/>
        <w:right w:val="none" w:sz="0" w:space="0" w:color="auto"/>
      </w:divBdr>
    </w:div>
    <w:div w:id="519510086">
      <w:bodyDiv w:val="1"/>
      <w:marLeft w:val="0"/>
      <w:marRight w:val="0"/>
      <w:marTop w:val="0"/>
      <w:marBottom w:val="0"/>
      <w:divBdr>
        <w:top w:val="none" w:sz="0" w:space="0" w:color="auto"/>
        <w:left w:val="none" w:sz="0" w:space="0" w:color="auto"/>
        <w:bottom w:val="none" w:sz="0" w:space="0" w:color="auto"/>
        <w:right w:val="none" w:sz="0" w:space="0" w:color="auto"/>
      </w:divBdr>
    </w:div>
    <w:div w:id="541094601">
      <w:bodyDiv w:val="1"/>
      <w:marLeft w:val="0"/>
      <w:marRight w:val="0"/>
      <w:marTop w:val="0"/>
      <w:marBottom w:val="0"/>
      <w:divBdr>
        <w:top w:val="none" w:sz="0" w:space="0" w:color="auto"/>
        <w:left w:val="none" w:sz="0" w:space="0" w:color="auto"/>
        <w:bottom w:val="none" w:sz="0" w:space="0" w:color="auto"/>
        <w:right w:val="none" w:sz="0" w:space="0" w:color="auto"/>
      </w:divBdr>
    </w:div>
    <w:div w:id="563444769">
      <w:bodyDiv w:val="1"/>
      <w:marLeft w:val="0"/>
      <w:marRight w:val="0"/>
      <w:marTop w:val="0"/>
      <w:marBottom w:val="0"/>
      <w:divBdr>
        <w:top w:val="none" w:sz="0" w:space="0" w:color="auto"/>
        <w:left w:val="none" w:sz="0" w:space="0" w:color="auto"/>
        <w:bottom w:val="none" w:sz="0" w:space="0" w:color="auto"/>
        <w:right w:val="none" w:sz="0" w:space="0" w:color="auto"/>
      </w:divBdr>
    </w:div>
    <w:div w:id="573321563">
      <w:bodyDiv w:val="1"/>
      <w:marLeft w:val="0"/>
      <w:marRight w:val="0"/>
      <w:marTop w:val="0"/>
      <w:marBottom w:val="0"/>
      <w:divBdr>
        <w:top w:val="none" w:sz="0" w:space="0" w:color="auto"/>
        <w:left w:val="none" w:sz="0" w:space="0" w:color="auto"/>
        <w:bottom w:val="none" w:sz="0" w:space="0" w:color="auto"/>
        <w:right w:val="none" w:sz="0" w:space="0" w:color="auto"/>
      </w:divBdr>
    </w:div>
    <w:div w:id="596446658">
      <w:bodyDiv w:val="1"/>
      <w:marLeft w:val="0"/>
      <w:marRight w:val="0"/>
      <w:marTop w:val="0"/>
      <w:marBottom w:val="0"/>
      <w:divBdr>
        <w:top w:val="none" w:sz="0" w:space="0" w:color="auto"/>
        <w:left w:val="none" w:sz="0" w:space="0" w:color="auto"/>
        <w:bottom w:val="none" w:sz="0" w:space="0" w:color="auto"/>
        <w:right w:val="none" w:sz="0" w:space="0" w:color="auto"/>
      </w:divBdr>
    </w:div>
    <w:div w:id="616059378">
      <w:bodyDiv w:val="1"/>
      <w:marLeft w:val="0"/>
      <w:marRight w:val="0"/>
      <w:marTop w:val="0"/>
      <w:marBottom w:val="0"/>
      <w:divBdr>
        <w:top w:val="none" w:sz="0" w:space="0" w:color="auto"/>
        <w:left w:val="none" w:sz="0" w:space="0" w:color="auto"/>
        <w:bottom w:val="none" w:sz="0" w:space="0" w:color="auto"/>
        <w:right w:val="none" w:sz="0" w:space="0" w:color="auto"/>
      </w:divBdr>
    </w:div>
    <w:div w:id="621964642">
      <w:bodyDiv w:val="1"/>
      <w:marLeft w:val="0"/>
      <w:marRight w:val="0"/>
      <w:marTop w:val="0"/>
      <w:marBottom w:val="0"/>
      <w:divBdr>
        <w:top w:val="none" w:sz="0" w:space="0" w:color="auto"/>
        <w:left w:val="none" w:sz="0" w:space="0" w:color="auto"/>
        <w:bottom w:val="none" w:sz="0" w:space="0" w:color="auto"/>
        <w:right w:val="none" w:sz="0" w:space="0" w:color="auto"/>
      </w:divBdr>
    </w:div>
    <w:div w:id="641620072">
      <w:bodyDiv w:val="1"/>
      <w:marLeft w:val="0"/>
      <w:marRight w:val="0"/>
      <w:marTop w:val="0"/>
      <w:marBottom w:val="0"/>
      <w:divBdr>
        <w:top w:val="none" w:sz="0" w:space="0" w:color="auto"/>
        <w:left w:val="none" w:sz="0" w:space="0" w:color="auto"/>
        <w:bottom w:val="none" w:sz="0" w:space="0" w:color="auto"/>
        <w:right w:val="none" w:sz="0" w:space="0" w:color="auto"/>
      </w:divBdr>
    </w:div>
    <w:div w:id="644313739">
      <w:bodyDiv w:val="1"/>
      <w:marLeft w:val="0"/>
      <w:marRight w:val="0"/>
      <w:marTop w:val="0"/>
      <w:marBottom w:val="0"/>
      <w:divBdr>
        <w:top w:val="none" w:sz="0" w:space="0" w:color="auto"/>
        <w:left w:val="none" w:sz="0" w:space="0" w:color="auto"/>
        <w:bottom w:val="none" w:sz="0" w:space="0" w:color="auto"/>
        <w:right w:val="none" w:sz="0" w:space="0" w:color="auto"/>
      </w:divBdr>
    </w:div>
    <w:div w:id="658193902">
      <w:bodyDiv w:val="1"/>
      <w:marLeft w:val="0"/>
      <w:marRight w:val="0"/>
      <w:marTop w:val="0"/>
      <w:marBottom w:val="0"/>
      <w:divBdr>
        <w:top w:val="none" w:sz="0" w:space="0" w:color="auto"/>
        <w:left w:val="none" w:sz="0" w:space="0" w:color="auto"/>
        <w:bottom w:val="none" w:sz="0" w:space="0" w:color="auto"/>
        <w:right w:val="none" w:sz="0" w:space="0" w:color="auto"/>
      </w:divBdr>
    </w:div>
    <w:div w:id="679700502">
      <w:bodyDiv w:val="1"/>
      <w:marLeft w:val="0"/>
      <w:marRight w:val="0"/>
      <w:marTop w:val="0"/>
      <w:marBottom w:val="0"/>
      <w:divBdr>
        <w:top w:val="none" w:sz="0" w:space="0" w:color="auto"/>
        <w:left w:val="none" w:sz="0" w:space="0" w:color="auto"/>
        <w:bottom w:val="none" w:sz="0" w:space="0" w:color="auto"/>
        <w:right w:val="none" w:sz="0" w:space="0" w:color="auto"/>
      </w:divBdr>
    </w:div>
    <w:div w:id="709107208">
      <w:bodyDiv w:val="1"/>
      <w:marLeft w:val="0"/>
      <w:marRight w:val="0"/>
      <w:marTop w:val="0"/>
      <w:marBottom w:val="0"/>
      <w:divBdr>
        <w:top w:val="none" w:sz="0" w:space="0" w:color="auto"/>
        <w:left w:val="none" w:sz="0" w:space="0" w:color="auto"/>
        <w:bottom w:val="none" w:sz="0" w:space="0" w:color="auto"/>
        <w:right w:val="none" w:sz="0" w:space="0" w:color="auto"/>
      </w:divBdr>
    </w:div>
    <w:div w:id="729695370">
      <w:bodyDiv w:val="1"/>
      <w:marLeft w:val="0"/>
      <w:marRight w:val="0"/>
      <w:marTop w:val="0"/>
      <w:marBottom w:val="0"/>
      <w:divBdr>
        <w:top w:val="none" w:sz="0" w:space="0" w:color="auto"/>
        <w:left w:val="none" w:sz="0" w:space="0" w:color="auto"/>
        <w:bottom w:val="none" w:sz="0" w:space="0" w:color="auto"/>
        <w:right w:val="none" w:sz="0" w:space="0" w:color="auto"/>
      </w:divBdr>
    </w:div>
    <w:div w:id="734359911">
      <w:bodyDiv w:val="1"/>
      <w:marLeft w:val="0"/>
      <w:marRight w:val="0"/>
      <w:marTop w:val="0"/>
      <w:marBottom w:val="0"/>
      <w:divBdr>
        <w:top w:val="none" w:sz="0" w:space="0" w:color="auto"/>
        <w:left w:val="none" w:sz="0" w:space="0" w:color="auto"/>
        <w:bottom w:val="none" w:sz="0" w:space="0" w:color="auto"/>
        <w:right w:val="none" w:sz="0" w:space="0" w:color="auto"/>
      </w:divBdr>
    </w:div>
    <w:div w:id="735978512">
      <w:bodyDiv w:val="1"/>
      <w:marLeft w:val="0"/>
      <w:marRight w:val="0"/>
      <w:marTop w:val="0"/>
      <w:marBottom w:val="0"/>
      <w:divBdr>
        <w:top w:val="none" w:sz="0" w:space="0" w:color="auto"/>
        <w:left w:val="none" w:sz="0" w:space="0" w:color="auto"/>
        <w:bottom w:val="none" w:sz="0" w:space="0" w:color="auto"/>
        <w:right w:val="none" w:sz="0" w:space="0" w:color="auto"/>
      </w:divBdr>
    </w:div>
    <w:div w:id="742723796">
      <w:bodyDiv w:val="1"/>
      <w:marLeft w:val="0"/>
      <w:marRight w:val="0"/>
      <w:marTop w:val="0"/>
      <w:marBottom w:val="0"/>
      <w:divBdr>
        <w:top w:val="none" w:sz="0" w:space="0" w:color="auto"/>
        <w:left w:val="none" w:sz="0" w:space="0" w:color="auto"/>
        <w:bottom w:val="none" w:sz="0" w:space="0" w:color="auto"/>
        <w:right w:val="none" w:sz="0" w:space="0" w:color="auto"/>
      </w:divBdr>
    </w:div>
    <w:div w:id="746346718">
      <w:bodyDiv w:val="1"/>
      <w:marLeft w:val="0"/>
      <w:marRight w:val="0"/>
      <w:marTop w:val="0"/>
      <w:marBottom w:val="0"/>
      <w:divBdr>
        <w:top w:val="none" w:sz="0" w:space="0" w:color="auto"/>
        <w:left w:val="none" w:sz="0" w:space="0" w:color="auto"/>
        <w:bottom w:val="none" w:sz="0" w:space="0" w:color="auto"/>
        <w:right w:val="none" w:sz="0" w:space="0" w:color="auto"/>
      </w:divBdr>
    </w:div>
    <w:div w:id="763114060">
      <w:bodyDiv w:val="1"/>
      <w:marLeft w:val="0"/>
      <w:marRight w:val="0"/>
      <w:marTop w:val="0"/>
      <w:marBottom w:val="0"/>
      <w:divBdr>
        <w:top w:val="none" w:sz="0" w:space="0" w:color="auto"/>
        <w:left w:val="none" w:sz="0" w:space="0" w:color="auto"/>
        <w:bottom w:val="none" w:sz="0" w:space="0" w:color="auto"/>
        <w:right w:val="none" w:sz="0" w:space="0" w:color="auto"/>
      </w:divBdr>
    </w:div>
    <w:div w:id="772480487">
      <w:bodyDiv w:val="1"/>
      <w:marLeft w:val="0"/>
      <w:marRight w:val="0"/>
      <w:marTop w:val="0"/>
      <w:marBottom w:val="0"/>
      <w:divBdr>
        <w:top w:val="none" w:sz="0" w:space="0" w:color="auto"/>
        <w:left w:val="none" w:sz="0" w:space="0" w:color="auto"/>
        <w:bottom w:val="none" w:sz="0" w:space="0" w:color="auto"/>
        <w:right w:val="none" w:sz="0" w:space="0" w:color="auto"/>
      </w:divBdr>
    </w:div>
    <w:div w:id="780105251">
      <w:bodyDiv w:val="1"/>
      <w:marLeft w:val="0"/>
      <w:marRight w:val="0"/>
      <w:marTop w:val="0"/>
      <w:marBottom w:val="0"/>
      <w:divBdr>
        <w:top w:val="none" w:sz="0" w:space="0" w:color="auto"/>
        <w:left w:val="none" w:sz="0" w:space="0" w:color="auto"/>
        <w:bottom w:val="none" w:sz="0" w:space="0" w:color="auto"/>
        <w:right w:val="none" w:sz="0" w:space="0" w:color="auto"/>
      </w:divBdr>
    </w:div>
    <w:div w:id="795678909">
      <w:bodyDiv w:val="1"/>
      <w:marLeft w:val="0"/>
      <w:marRight w:val="0"/>
      <w:marTop w:val="0"/>
      <w:marBottom w:val="0"/>
      <w:divBdr>
        <w:top w:val="none" w:sz="0" w:space="0" w:color="auto"/>
        <w:left w:val="none" w:sz="0" w:space="0" w:color="auto"/>
        <w:bottom w:val="none" w:sz="0" w:space="0" w:color="auto"/>
        <w:right w:val="none" w:sz="0" w:space="0" w:color="auto"/>
      </w:divBdr>
    </w:div>
    <w:div w:id="816066179">
      <w:bodyDiv w:val="1"/>
      <w:marLeft w:val="0"/>
      <w:marRight w:val="0"/>
      <w:marTop w:val="0"/>
      <w:marBottom w:val="0"/>
      <w:divBdr>
        <w:top w:val="none" w:sz="0" w:space="0" w:color="auto"/>
        <w:left w:val="none" w:sz="0" w:space="0" w:color="auto"/>
        <w:bottom w:val="none" w:sz="0" w:space="0" w:color="auto"/>
        <w:right w:val="none" w:sz="0" w:space="0" w:color="auto"/>
      </w:divBdr>
    </w:div>
    <w:div w:id="835926007">
      <w:bodyDiv w:val="1"/>
      <w:marLeft w:val="0"/>
      <w:marRight w:val="0"/>
      <w:marTop w:val="0"/>
      <w:marBottom w:val="0"/>
      <w:divBdr>
        <w:top w:val="none" w:sz="0" w:space="0" w:color="auto"/>
        <w:left w:val="none" w:sz="0" w:space="0" w:color="auto"/>
        <w:bottom w:val="none" w:sz="0" w:space="0" w:color="auto"/>
        <w:right w:val="none" w:sz="0" w:space="0" w:color="auto"/>
      </w:divBdr>
    </w:div>
    <w:div w:id="850531866">
      <w:bodyDiv w:val="1"/>
      <w:marLeft w:val="0"/>
      <w:marRight w:val="0"/>
      <w:marTop w:val="0"/>
      <w:marBottom w:val="0"/>
      <w:divBdr>
        <w:top w:val="none" w:sz="0" w:space="0" w:color="auto"/>
        <w:left w:val="none" w:sz="0" w:space="0" w:color="auto"/>
        <w:bottom w:val="none" w:sz="0" w:space="0" w:color="auto"/>
        <w:right w:val="none" w:sz="0" w:space="0" w:color="auto"/>
      </w:divBdr>
    </w:div>
    <w:div w:id="895819114">
      <w:bodyDiv w:val="1"/>
      <w:marLeft w:val="0"/>
      <w:marRight w:val="0"/>
      <w:marTop w:val="0"/>
      <w:marBottom w:val="0"/>
      <w:divBdr>
        <w:top w:val="none" w:sz="0" w:space="0" w:color="auto"/>
        <w:left w:val="none" w:sz="0" w:space="0" w:color="auto"/>
        <w:bottom w:val="none" w:sz="0" w:space="0" w:color="auto"/>
        <w:right w:val="none" w:sz="0" w:space="0" w:color="auto"/>
      </w:divBdr>
    </w:div>
    <w:div w:id="913979253">
      <w:bodyDiv w:val="1"/>
      <w:marLeft w:val="0"/>
      <w:marRight w:val="0"/>
      <w:marTop w:val="0"/>
      <w:marBottom w:val="0"/>
      <w:divBdr>
        <w:top w:val="none" w:sz="0" w:space="0" w:color="auto"/>
        <w:left w:val="none" w:sz="0" w:space="0" w:color="auto"/>
        <w:bottom w:val="none" w:sz="0" w:space="0" w:color="auto"/>
        <w:right w:val="none" w:sz="0" w:space="0" w:color="auto"/>
      </w:divBdr>
    </w:div>
    <w:div w:id="934939739">
      <w:bodyDiv w:val="1"/>
      <w:marLeft w:val="0"/>
      <w:marRight w:val="0"/>
      <w:marTop w:val="0"/>
      <w:marBottom w:val="0"/>
      <w:divBdr>
        <w:top w:val="none" w:sz="0" w:space="0" w:color="auto"/>
        <w:left w:val="none" w:sz="0" w:space="0" w:color="auto"/>
        <w:bottom w:val="none" w:sz="0" w:space="0" w:color="auto"/>
        <w:right w:val="none" w:sz="0" w:space="0" w:color="auto"/>
      </w:divBdr>
    </w:div>
    <w:div w:id="939145697">
      <w:bodyDiv w:val="1"/>
      <w:marLeft w:val="0"/>
      <w:marRight w:val="0"/>
      <w:marTop w:val="0"/>
      <w:marBottom w:val="0"/>
      <w:divBdr>
        <w:top w:val="none" w:sz="0" w:space="0" w:color="auto"/>
        <w:left w:val="none" w:sz="0" w:space="0" w:color="auto"/>
        <w:bottom w:val="none" w:sz="0" w:space="0" w:color="auto"/>
        <w:right w:val="none" w:sz="0" w:space="0" w:color="auto"/>
      </w:divBdr>
    </w:div>
    <w:div w:id="940189305">
      <w:bodyDiv w:val="1"/>
      <w:marLeft w:val="0"/>
      <w:marRight w:val="0"/>
      <w:marTop w:val="0"/>
      <w:marBottom w:val="0"/>
      <w:divBdr>
        <w:top w:val="none" w:sz="0" w:space="0" w:color="auto"/>
        <w:left w:val="none" w:sz="0" w:space="0" w:color="auto"/>
        <w:bottom w:val="none" w:sz="0" w:space="0" w:color="auto"/>
        <w:right w:val="none" w:sz="0" w:space="0" w:color="auto"/>
      </w:divBdr>
    </w:div>
    <w:div w:id="973755755">
      <w:bodyDiv w:val="1"/>
      <w:marLeft w:val="0"/>
      <w:marRight w:val="0"/>
      <w:marTop w:val="0"/>
      <w:marBottom w:val="0"/>
      <w:divBdr>
        <w:top w:val="none" w:sz="0" w:space="0" w:color="auto"/>
        <w:left w:val="none" w:sz="0" w:space="0" w:color="auto"/>
        <w:bottom w:val="none" w:sz="0" w:space="0" w:color="auto"/>
        <w:right w:val="none" w:sz="0" w:space="0" w:color="auto"/>
      </w:divBdr>
    </w:div>
    <w:div w:id="982999676">
      <w:bodyDiv w:val="1"/>
      <w:marLeft w:val="0"/>
      <w:marRight w:val="0"/>
      <w:marTop w:val="0"/>
      <w:marBottom w:val="0"/>
      <w:divBdr>
        <w:top w:val="none" w:sz="0" w:space="0" w:color="auto"/>
        <w:left w:val="none" w:sz="0" w:space="0" w:color="auto"/>
        <w:bottom w:val="none" w:sz="0" w:space="0" w:color="auto"/>
        <w:right w:val="none" w:sz="0" w:space="0" w:color="auto"/>
      </w:divBdr>
    </w:div>
    <w:div w:id="1023172684">
      <w:bodyDiv w:val="1"/>
      <w:marLeft w:val="0"/>
      <w:marRight w:val="0"/>
      <w:marTop w:val="0"/>
      <w:marBottom w:val="0"/>
      <w:divBdr>
        <w:top w:val="none" w:sz="0" w:space="0" w:color="auto"/>
        <w:left w:val="none" w:sz="0" w:space="0" w:color="auto"/>
        <w:bottom w:val="none" w:sz="0" w:space="0" w:color="auto"/>
        <w:right w:val="none" w:sz="0" w:space="0" w:color="auto"/>
      </w:divBdr>
    </w:div>
    <w:div w:id="1034039528">
      <w:bodyDiv w:val="1"/>
      <w:marLeft w:val="0"/>
      <w:marRight w:val="0"/>
      <w:marTop w:val="0"/>
      <w:marBottom w:val="0"/>
      <w:divBdr>
        <w:top w:val="none" w:sz="0" w:space="0" w:color="auto"/>
        <w:left w:val="none" w:sz="0" w:space="0" w:color="auto"/>
        <w:bottom w:val="none" w:sz="0" w:space="0" w:color="auto"/>
        <w:right w:val="none" w:sz="0" w:space="0" w:color="auto"/>
      </w:divBdr>
    </w:div>
    <w:div w:id="1041515201">
      <w:bodyDiv w:val="1"/>
      <w:marLeft w:val="0"/>
      <w:marRight w:val="0"/>
      <w:marTop w:val="0"/>
      <w:marBottom w:val="0"/>
      <w:divBdr>
        <w:top w:val="none" w:sz="0" w:space="0" w:color="auto"/>
        <w:left w:val="none" w:sz="0" w:space="0" w:color="auto"/>
        <w:bottom w:val="none" w:sz="0" w:space="0" w:color="auto"/>
        <w:right w:val="none" w:sz="0" w:space="0" w:color="auto"/>
      </w:divBdr>
    </w:div>
    <w:div w:id="1043869422">
      <w:bodyDiv w:val="1"/>
      <w:marLeft w:val="0"/>
      <w:marRight w:val="0"/>
      <w:marTop w:val="0"/>
      <w:marBottom w:val="0"/>
      <w:divBdr>
        <w:top w:val="none" w:sz="0" w:space="0" w:color="auto"/>
        <w:left w:val="none" w:sz="0" w:space="0" w:color="auto"/>
        <w:bottom w:val="none" w:sz="0" w:space="0" w:color="auto"/>
        <w:right w:val="none" w:sz="0" w:space="0" w:color="auto"/>
      </w:divBdr>
    </w:div>
    <w:div w:id="1051802317">
      <w:bodyDiv w:val="1"/>
      <w:marLeft w:val="0"/>
      <w:marRight w:val="0"/>
      <w:marTop w:val="0"/>
      <w:marBottom w:val="0"/>
      <w:divBdr>
        <w:top w:val="none" w:sz="0" w:space="0" w:color="auto"/>
        <w:left w:val="none" w:sz="0" w:space="0" w:color="auto"/>
        <w:bottom w:val="none" w:sz="0" w:space="0" w:color="auto"/>
        <w:right w:val="none" w:sz="0" w:space="0" w:color="auto"/>
      </w:divBdr>
    </w:div>
    <w:div w:id="1070812073">
      <w:bodyDiv w:val="1"/>
      <w:marLeft w:val="0"/>
      <w:marRight w:val="0"/>
      <w:marTop w:val="0"/>
      <w:marBottom w:val="0"/>
      <w:divBdr>
        <w:top w:val="none" w:sz="0" w:space="0" w:color="auto"/>
        <w:left w:val="none" w:sz="0" w:space="0" w:color="auto"/>
        <w:bottom w:val="none" w:sz="0" w:space="0" w:color="auto"/>
        <w:right w:val="none" w:sz="0" w:space="0" w:color="auto"/>
      </w:divBdr>
    </w:div>
    <w:div w:id="1115250465">
      <w:bodyDiv w:val="1"/>
      <w:marLeft w:val="0"/>
      <w:marRight w:val="0"/>
      <w:marTop w:val="0"/>
      <w:marBottom w:val="0"/>
      <w:divBdr>
        <w:top w:val="none" w:sz="0" w:space="0" w:color="auto"/>
        <w:left w:val="none" w:sz="0" w:space="0" w:color="auto"/>
        <w:bottom w:val="none" w:sz="0" w:space="0" w:color="auto"/>
        <w:right w:val="none" w:sz="0" w:space="0" w:color="auto"/>
      </w:divBdr>
    </w:div>
    <w:div w:id="1121998176">
      <w:bodyDiv w:val="1"/>
      <w:marLeft w:val="0"/>
      <w:marRight w:val="0"/>
      <w:marTop w:val="0"/>
      <w:marBottom w:val="0"/>
      <w:divBdr>
        <w:top w:val="none" w:sz="0" w:space="0" w:color="auto"/>
        <w:left w:val="none" w:sz="0" w:space="0" w:color="auto"/>
        <w:bottom w:val="none" w:sz="0" w:space="0" w:color="auto"/>
        <w:right w:val="none" w:sz="0" w:space="0" w:color="auto"/>
      </w:divBdr>
    </w:div>
    <w:div w:id="1151945918">
      <w:bodyDiv w:val="1"/>
      <w:marLeft w:val="0"/>
      <w:marRight w:val="0"/>
      <w:marTop w:val="0"/>
      <w:marBottom w:val="0"/>
      <w:divBdr>
        <w:top w:val="none" w:sz="0" w:space="0" w:color="auto"/>
        <w:left w:val="none" w:sz="0" w:space="0" w:color="auto"/>
        <w:bottom w:val="none" w:sz="0" w:space="0" w:color="auto"/>
        <w:right w:val="none" w:sz="0" w:space="0" w:color="auto"/>
      </w:divBdr>
    </w:div>
    <w:div w:id="1170216888">
      <w:bodyDiv w:val="1"/>
      <w:marLeft w:val="0"/>
      <w:marRight w:val="0"/>
      <w:marTop w:val="0"/>
      <w:marBottom w:val="0"/>
      <w:divBdr>
        <w:top w:val="none" w:sz="0" w:space="0" w:color="auto"/>
        <w:left w:val="none" w:sz="0" w:space="0" w:color="auto"/>
        <w:bottom w:val="none" w:sz="0" w:space="0" w:color="auto"/>
        <w:right w:val="none" w:sz="0" w:space="0" w:color="auto"/>
      </w:divBdr>
    </w:div>
    <w:div w:id="1200317201">
      <w:bodyDiv w:val="1"/>
      <w:marLeft w:val="0"/>
      <w:marRight w:val="0"/>
      <w:marTop w:val="0"/>
      <w:marBottom w:val="0"/>
      <w:divBdr>
        <w:top w:val="none" w:sz="0" w:space="0" w:color="auto"/>
        <w:left w:val="none" w:sz="0" w:space="0" w:color="auto"/>
        <w:bottom w:val="none" w:sz="0" w:space="0" w:color="auto"/>
        <w:right w:val="none" w:sz="0" w:space="0" w:color="auto"/>
      </w:divBdr>
    </w:div>
    <w:div w:id="1320772447">
      <w:bodyDiv w:val="1"/>
      <w:marLeft w:val="0"/>
      <w:marRight w:val="0"/>
      <w:marTop w:val="0"/>
      <w:marBottom w:val="0"/>
      <w:divBdr>
        <w:top w:val="none" w:sz="0" w:space="0" w:color="auto"/>
        <w:left w:val="none" w:sz="0" w:space="0" w:color="auto"/>
        <w:bottom w:val="none" w:sz="0" w:space="0" w:color="auto"/>
        <w:right w:val="none" w:sz="0" w:space="0" w:color="auto"/>
      </w:divBdr>
    </w:div>
    <w:div w:id="1327511689">
      <w:bodyDiv w:val="1"/>
      <w:marLeft w:val="0"/>
      <w:marRight w:val="0"/>
      <w:marTop w:val="0"/>
      <w:marBottom w:val="0"/>
      <w:divBdr>
        <w:top w:val="none" w:sz="0" w:space="0" w:color="auto"/>
        <w:left w:val="none" w:sz="0" w:space="0" w:color="auto"/>
        <w:bottom w:val="none" w:sz="0" w:space="0" w:color="auto"/>
        <w:right w:val="none" w:sz="0" w:space="0" w:color="auto"/>
      </w:divBdr>
    </w:div>
    <w:div w:id="1358501461">
      <w:bodyDiv w:val="1"/>
      <w:marLeft w:val="0"/>
      <w:marRight w:val="0"/>
      <w:marTop w:val="0"/>
      <w:marBottom w:val="0"/>
      <w:divBdr>
        <w:top w:val="none" w:sz="0" w:space="0" w:color="auto"/>
        <w:left w:val="none" w:sz="0" w:space="0" w:color="auto"/>
        <w:bottom w:val="none" w:sz="0" w:space="0" w:color="auto"/>
        <w:right w:val="none" w:sz="0" w:space="0" w:color="auto"/>
      </w:divBdr>
    </w:div>
    <w:div w:id="1367563457">
      <w:bodyDiv w:val="1"/>
      <w:marLeft w:val="0"/>
      <w:marRight w:val="0"/>
      <w:marTop w:val="0"/>
      <w:marBottom w:val="0"/>
      <w:divBdr>
        <w:top w:val="none" w:sz="0" w:space="0" w:color="auto"/>
        <w:left w:val="none" w:sz="0" w:space="0" w:color="auto"/>
        <w:bottom w:val="none" w:sz="0" w:space="0" w:color="auto"/>
        <w:right w:val="none" w:sz="0" w:space="0" w:color="auto"/>
      </w:divBdr>
    </w:div>
    <w:div w:id="1374693635">
      <w:bodyDiv w:val="1"/>
      <w:marLeft w:val="0"/>
      <w:marRight w:val="0"/>
      <w:marTop w:val="0"/>
      <w:marBottom w:val="0"/>
      <w:divBdr>
        <w:top w:val="none" w:sz="0" w:space="0" w:color="auto"/>
        <w:left w:val="none" w:sz="0" w:space="0" w:color="auto"/>
        <w:bottom w:val="none" w:sz="0" w:space="0" w:color="auto"/>
        <w:right w:val="none" w:sz="0" w:space="0" w:color="auto"/>
      </w:divBdr>
    </w:div>
    <w:div w:id="1383678925">
      <w:bodyDiv w:val="1"/>
      <w:marLeft w:val="0"/>
      <w:marRight w:val="0"/>
      <w:marTop w:val="0"/>
      <w:marBottom w:val="0"/>
      <w:divBdr>
        <w:top w:val="none" w:sz="0" w:space="0" w:color="auto"/>
        <w:left w:val="none" w:sz="0" w:space="0" w:color="auto"/>
        <w:bottom w:val="none" w:sz="0" w:space="0" w:color="auto"/>
        <w:right w:val="none" w:sz="0" w:space="0" w:color="auto"/>
      </w:divBdr>
    </w:div>
    <w:div w:id="1415936854">
      <w:bodyDiv w:val="1"/>
      <w:marLeft w:val="0"/>
      <w:marRight w:val="0"/>
      <w:marTop w:val="0"/>
      <w:marBottom w:val="0"/>
      <w:divBdr>
        <w:top w:val="none" w:sz="0" w:space="0" w:color="auto"/>
        <w:left w:val="none" w:sz="0" w:space="0" w:color="auto"/>
        <w:bottom w:val="none" w:sz="0" w:space="0" w:color="auto"/>
        <w:right w:val="none" w:sz="0" w:space="0" w:color="auto"/>
      </w:divBdr>
    </w:div>
    <w:div w:id="1443186937">
      <w:bodyDiv w:val="1"/>
      <w:marLeft w:val="0"/>
      <w:marRight w:val="0"/>
      <w:marTop w:val="0"/>
      <w:marBottom w:val="0"/>
      <w:divBdr>
        <w:top w:val="none" w:sz="0" w:space="0" w:color="auto"/>
        <w:left w:val="none" w:sz="0" w:space="0" w:color="auto"/>
        <w:bottom w:val="none" w:sz="0" w:space="0" w:color="auto"/>
        <w:right w:val="none" w:sz="0" w:space="0" w:color="auto"/>
      </w:divBdr>
    </w:div>
    <w:div w:id="1480803981">
      <w:bodyDiv w:val="1"/>
      <w:marLeft w:val="0"/>
      <w:marRight w:val="0"/>
      <w:marTop w:val="0"/>
      <w:marBottom w:val="0"/>
      <w:divBdr>
        <w:top w:val="none" w:sz="0" w:space="0" w:color="auto"/>
        <w:left w:val="none" w:sz="0" w:space="0" w:color="auto"/>
        <w:bottom w:val="none" w:sz="0" w:space="0" w:color="auto"/>
        <w:right w:val="none" w:sz="0" w:space="0" w:color="auto"/>
      </w:divBdr>
    </w:div>
    <w:div w:id="1494570103">
      <w:bodyDiv w:val="1"/>
      <w:marLeft w:val="0"/>
      <w:marRight w:val="0"/>
      <w:marTop w:val="0"/>
      <w:marBottom w:val="0"/>
      <w:divBdr>
        <w:top w:val="none" w:sz="0" w:space="0" w:color="auto"/>
        <w:left w:val="none" w:sz="0" w:space="0" w:color="auto"/>
        <w:bottom w:val="none" w:sz="0" w:space="0" w:color="auto"/>
        <w:right w:val="none" w:sz="0" w:space="0" w:color="auto"/>
      </w:divBdr>
    </w:div>
    <w:div w:id="1506439741">
      <w:bodyDiv w:val="1"/>
      <w:marLeft w:val="0"/>
      <w:marRight w:val="0"/>
      <w:marTop w:val="0"/>
      <w:marBottom w:val="0"/>
      <w:divBdr>
        <w:top w:val="none" w:sz="0" w:space="0" w:color="auto"/>
        <w:left w:val="none" w:sz="0" w:space="0" w:color="auto"/>
        <w:bottom w:val="none" w:sz="0" w:space="0" w:color="auto"/>
        <w:right w:val="none" w:sz="0" w:space="0" w:color="auto"/>
      </w:divBdr>
    </w:div>
    <w:div w:id="1522863324">
      <w:bodyDiv w:val="1"/>
      <w:marLeft w:val="0"/>
      <w:marRight w:val="0"/>
      <w:marTop w:val="0"/>
      <w:marBottom w:val="0"/>
      <w:divBdr>
        <w:top w:val="none" w:sz="0" w:space="0" w:color="auto"/>
        <w:left w:val="none" w:sz="0" w:space="0" w:color="auto"/>
        <w:bottom w:val="none" w:sz="0" w:space="0" w:color="auto"/>
        <w:right w:val="none" w:sz="0" w:space="0" w:color="auto"/>
      </w:divBdr>
    </w:div>
    <w:div w:id="1526943885">
      <w:bodyDiv w:val="1"/>
      <w:marLeft w:val="0"/>
      <w:marRight w:val="0"/>
      <w:marTop w:val="0"/>
      <w:marBottom w:val="0"/>
      <w:divBdr>
        <w:top w:val="none" w:sz="0" w:space="0" w:color="auto"/>
        <w:left w:val="none" w:sz="0" w:space="0" w:color="auto"/>
        <w:bottom w:val="none" w:sz="0" w:space="0" w:color="auto"/>
        <w:right w:val="none" w:sz="0" w:space="0" w:color="auto"/>
      </w:divBdr>
    </w:div>
    <w:div w:id="1534029206">
      <w:bodyDiv w:val="1"/>
      <w:marLeft w:val="0"/>
      <w:marRight w:val="0"/>
      <w:marTop w:val="0"/>
      <w:marBottom w:val="0"/>
      <w:divBdr>
        <w:top w:val="none" w:sz="0" w:space="0" w:color="auto"/>
        <w:left w:val="none" w:sz="0" w:space="0" w:color="auto"/>
        <w:bottom w:val="none" w:sz="0" w:space="0" w:color="auto"/>
        <w:right w:val="none" w:sz="0" w:space="0" w:color="auto"/>
      </w:divBdr>
    </w:div>
    <w:div w:id="1539973271">
      <w:bodyDiv w:val="1"/>
      <w:marLeft w:val="0"/>
      <w:marRight w:val="0"/>
      <w:marTop w:val="0"/>
      <w:marBottom w:val="0"/>
      <w:divBdr>
        <w:top w:val="none" w:sz="0" w:space="0" w:color="auto"/>
        <w:left w:val="none" w:sz="0" w:space="0" w:color="auto"/>
        <w:bottom w:val="none" w:sz="0" w:space="0" w:color="auto"/>
        <w:right w:val="none" w:sz="0" w:space="0" w:color="auto"/>
      </w:divBdr>
    </w:div>
    <w:div w:id="1577124861">
      <w:bodyDiv w:val="1"/>
      <w:marLeft w:val="0"/>
      <w:marRight w:val="0"/>
      <w:marTop w:val="0"/>
      <w:marBottom w:val="0"/>
      <w:divBdr>
        <w:top w:val="none" w:sz="0" w:space="0" w:color="auto"/>
        <w:left w:val="none" w:sz="0" w:space="0" w:color="auto"/>
        <w:bottom w:val="none" w:sz="0" w:space="0" w:color="auto"/>
        <w:right w:val="none" w:sz="0" w:space="0" w:color="auto"/>
      </w:divBdr>
    </w:div>
    <w:div w:id="1581014726">
      <w:bodyDiv w:val="1"/>
      <w:marLeft w:val="0"/>
      <w:marRight w:val="0"/>
      <w:marTop w:val="0"/>
      <w:marBottom w:val="0"/>
      <w:divBdr>
        <w:top w:val="none" w:sz="0" w:space="0" w:color="auto"/>
        <w:left w:val="none" w:sz="0" w:space="0" w:color="auto"/>
        <w:bottom w:val="none" w:sz="0" w:space="0" w:color="auto"/>
        <w:right w:val="none" w:sz="0" w:space="0" w:color="auto"/>
      </w:divBdr>
    </w:div>
    <w:div w:id="1608654888">
      <w:bodyDiv w:val="1"/>
      <w:marLeft w:val="0"/>
      <w:marRight w:val="0"/>
      <w:marTop w:val="0"/>
      <w:marBottom w:val="0"/>
      <w:divBdr>
        <w:top w:val="none" w:sz="0" w:space="0" w:color="auto"/>
        <w:left w:val="none" w:sz="0" w:space="0" w:color="auto"/>
        <w:bottom w:val="none" w:sz="0" w:space="0" w:color="auto"/>
        <w:right w:val="none" w:sz="0" w:space="0" w:color="auto"/>
      </w:divBdr>
      <w:divsChild>
        <w:div w:id="82341772">
          <w:marLeft w:val="0"/>
          <w:marRight w:val="0"/>
          <w:marTop w:val="0"/>
          <w:marBottom w:val="0"/>
          <w:divBdr>
            <w:top w:val="none" w:sz="0" w:space="0" w:color="auto"/>
            <w:left w:val="none" w:sz="0" w:space="0" w:color="auto"/>
            <w:bottom w:val="none" w:sz="0" w:space="0" w:color="auto"/>
            <w:right w:val="none" w:sz="0" w:space="0" w:color="auto"/>
          </w:divBdr>
        </w:div>
        <w:div w:id="135994968">
          <w:marLeft w:val="0"/>
          <w:marRight w:val="0"/>
          <w:marTop w:val="0"/>
          <w:marBottom w:val="0"/>
          <w:divBdr>
            <w:top w:val="none" w:sz="0" w:space="0" w:color="auto"/>
            <w:left w:val="none" w:sz="0" w:space="0" w:color="auto"/>
            <w:bottom w:val="none" w:sz="0" w:space="0" w:color="auto"/>
            <w:right w:val="none" w:sz="0" w:space="0" w:color="auto"/>
          </w:divBdr>
        </w:div>
        <w:div w:id="695035959">
          <w:marLeft w:val="0"/>
          <w:marRight w:val="0"/>
          <w:marTop w:val="0"/>
          <w:marBottom w:val="0"/>
          <w:divBdr>
            <w:top w:val="none" w:sz="0" w:space="0" w:color="auto"/>
            <w:left w:val="none" w:sz="0" w:space="0" w:color="auto"/>
            <w:bottom w:val="none" w:sz="0" w:space="0" w:color="auto"/>
            <w:right w:val="none" w:sz="0" w:space="0" w:color="auto"/>
          </w:divBdr>
        </w:div>
        <w:div w:id="707608360">
          <w:marLeft w:val="0"/>
          <w:marRight w:val="0"/>
          <w:marTop w:val="0"/>
          <w:marBottom w:val="0"/>
          <w:divBdr>
            <w:top w:val="none" w:sz="0" w:space="0" w:color="auto"/>
            <w:left w:val="none" w:sz="0" w:space="0" w:color="auto"/>
            <w:bottom w:val="none" w:sz="0" w:space="0" w:color="auto"/>
            <w:right w:val="none" w:sz="0" w:space="0" w:color="auto"/>
          </w:divBdr>
        </w:div>
        <w:div w:id="948242611">
          <w:marLeft w:val="0"/>
          <w:marRight w:val="0"/>
          <w:marTop w:val="0"/>
          <w:marBottom w:val="0"/>
          <w:divBdr>
            <w:top w:val="none" w:sz="0" w:space="0" w:color="auto"/>
            <w:left w:val="none" w:sz="0" w:space="0" w:color="auto"/>
            <w:bottom w:val="none" w:sz="0" w:space="0" w:color="auto"/>
            <w:right w:val="none" w:sz="0" w:space="0" w:color="auto"/>
          </w:divBdr>
        </w:div>
        <w:div w:id="952663856">
          <w:marLeft w:val="0"/>
          <w:marRight w:val="0"/>
          <w:marTop w:val="0"/>
          <w:marBottom w:val="0"/>
          <w:divBdr>
            <w:top w:val="none" w:sz="0" w:space="0" w:color="auto"/>
            <w:left w:val="none" w:sz="0" w:space="0" w:color="auto"/>
            <w:bottom w:val="none" w:sz="0" w:space="0" w:color="auto"/>
            <w:right w:val="none" w:sz="0" w:space="0" w:color="auto"/>
          </w:divBdr>
        </w:div>
        <w:div w:id="1002123989">
          <w:marLeft w:val="0"/>
          <w:marRight w:val="0"/>
          <w:marTop w:val="0"/>
          <w:marBottom w:val="0"/>
          <w:divBdr>
            <w:top w:val="none" w:sz="0" w:space="0" w:color="auto"/>
            <w:left w:val="none" w:sz="0" w:space="0" w:color="auto"/>
            <w:bottom w:val="none" w:sz="0" w:space="0" w:color="auto"/>
            <w:right w:val="none" w:sz="0" w:space="0" w:color="auto"/>
          </w:divBdr>
        </w:div>
        <w:div w:id="1240405696">
          <w:marLeft w:val="0"/>
          <w:marRight w:val="0"/>
          <w:marTop w:val="0"/>
          <w:marBottom w:val="0"/>
          <w:divBdr>
            <w:top w:val="none" w:sz="0" w:space="0" w:color="auto"/>
            <w:left w:val="none" w:sz="0" w:space="0" w:color="auto"/>
            <w:bottom w:val="none" w:sz="0" w:space="0" w:color="auto"/>
            <w:right w:val="none" w:sz="0" w:space="0" w:color="auto"/>
          </w:divBdr>
        </w:div>
        <w:div w:id="1681201704">
          <w:marLeft w:val="0"/>
          <w:marRight w:val="0"/>
          <w:marTop w:val="0"/>
          <w:marBottom w:val="0"/>
          <w:divBdr>
            <w:top w:val="none" w:sz="0" w:space="0" w:color="auto"/>
            <w:left w:val="none" w:sz="0" w:space="0" w:color="auto"/>
            <w:bottom w:val="none" w:sz="0" w:space="0" w:color="auto"/>
            <w:right w:val="none" w:sz="0" w:space="0" w:color="auto"/>
          </w:divBdr>
        </w:div>
        <w:div w:id="1841775964">
          <w:marLeft w:val="0"/>
          <w:marRight w:val="0"/>
          <w:marTop w:val="0"/>
          <w:marBottom w:val="0"/>
          <w:divBdr>
            <w:top w:val="none" w:sz="0" w:space="0" w:color="auto"/>
            <w:left w:val="none" w:sz="0" w:space="0" w:color="auto"/>
            <w:bottom w:val="none" w:sz="0" w:space="0" w:color="auto"/>
            <w:right w:val="none" w:sz="0" w:space="0" w:color="auto"/>
          </w:divBdr>
        </w:div>
        <w:div w:id="2057000316">
          <w:marLeft w:val="0"/>
          <w:marRight w:val="0"/>
          <w:marTop w:val="0"/>
          <w:marBottom w:val="0"/>
          <w:divBdr>
            <w:top w:val="none" w:sz="0" w:space="0" w:color="auto"/>
            <w:left w:val="none" w:sz="0" w:space="0" w:color="auto"/>
            <w:bottom w:val="none" w:sz="0" w:space="0" w:color="auto"/>
            <w:right w:val="none" w:sz="0" w:space="0" w:color="auto"/>
          </w:divBdr>
        </w:div>
      </w:divsChild>
    </w:div>
    <w:div w:id="1616714329">
      <w:bodyDiv w:val="1"/>
      <w:marLeft w:val="0"/>
      <w:marRight w:val="0"/>
      <w:marTop w:val="0"/>
      <w:marBottom w:val="0"/>
      <w:divBdr>
        <w:top w:val="none" w:sz="0" w:space="0" w:color="auto"/>
        <w:left w:val="none" w:sz="0" w:space="0" w:color="auto"/>
        <w:bottom w:val="none" w:sz="0" w:space="0" w:color="auto"/>
        <w:right w:val="none" w:sz="0" w:space="0" w:color="auto"/>
      </w:divBdr>
    </w:div>
    <w:div w:id="1620916150">
      <w:bodyDiv w:val="1"/>
      <w:marLeft w:val="0"/>
      <w:marRight w:val="0"/>
      <w:marTop w:val="0"/>
      <w:marBottom w:val="0"/>
      <w:divBdr>
        <w:top w:val="none" w:sz="0" w:space="0" w:color="auto"/>
        <w:left w:val="none" w:sz="0" w:space="0" w:color="auto"/>
        <w:bottom w:val="none" w:sz="0" w:space="0" w:color="auto"/>
        <w:right w:val="none" w:sz="0" w:space="0" w:color="auto"/>
      </w:divBdr>
    </w:div>
    <w:div w:id="1624731834">
      <w:bodyDiv w:val="1"/>
      <w:marLeft w:val="0"/>
      <w:marRight w:val="0"/>
      <w:marTop w:val="0"/>
      <w:marBottom w:val="0"/>
      <w:divBdr>
        <w:top w:val="none" w:sz="0" w:space="0" w:color="auto"/>
        <w:left w:val="none" w:sz="0" w:space="0" w:color="auto"/>
        <w:bottom w:val="none" w:sz="0" w:space="0" w:color="auto"/>
        <w:right w:val="none" w:sz="0" w:space="0" w:color="auto"/>
      </w:divBdr>
    </w:div>
    <w:div w:id="1629163036">
      <w:bodyDiv w:val="1"/>
      <w:marLeft w:val="0"/>
      <w:marRight w:val="0"/>
      <w:marTop w:val="0"/>
      <w:marBottom w:val="0"/>
      <w:divBdr>
        <w:top w:val="none" w:sz="0" w:space="0" w:color="auto"/>
        <w:left w:val="none" w:sz="0" w:space="0" w:color="auto"/>
        <w:bottom w:val="none" w:sz="0" w:space="0" w:color="auto"/>
        <w:right w:val="none" w:sz="0" w:space="0" w:color="auto"/>
      </w:divBdr>
    </w:div>
    <w:div w:id="1666517539">
      <w:bodyDiv w:val="1"/>
      <w:marLeft w:val="0"/>
      <w:marRight w:val="0"/>
      <w:marTop w:val="0"/>
      <w:marBottom w:val="0"/>
      <w:divBdr>
        <w:top w:val="none" w:sz="0" w:space="0" w:color="auto"/>
        <w:left w:val="none" w:sz="0" w:space="0" w:color="auto"/>
        <w:bottom w:val="none" w:sz="0" w:space="0" w:color="auto"/>
        <w:right w:val="none" w:sz="0" w:space="0" w:color="auto"/>
      </w:divBdr>
    </w:div>
    <w:div w:id="1683898327">
      <w:bodyDiv w:val="1"/>
      <w:marLeft w:val="0"/>
      <w:marRight w:val="0"/>
      <w:marTop w:val="0"/>
      <w:marBottom w:val="0"/>
      <w:divBdr>
        <w:top w:val="none" w:sz="0" w:space="0" w:color="auto"/>
        <w:left w:val="none" w:sz="0" w:space="0" w:color="auto"/>
        <w:bottom w:val="none" w:sz="0" w:space="0" w:color="auto"/>
        <w:right w:val="none" w:sz="0" w:space="0" w:color="auto"/>
      </w:divBdr>
    </w:div>
    <w:div w:id="1707020989">
      <w:bodyDiv w:val="1"/>
      <w:marLeft w:val="0"/>
      <w:marRight w:val="0"/>
      <w:marTop w:val="0"/>
      <w:marBottom w:val="0"/>
      <w:divBdr>
        <w:top w:val="none" w:sz="0" w:space="0" w:color="auto"/>
        <w:left w:val="none" w:sz="0" w:space="0" w:color="auto"/>
        <w:bottom w:val="none" w:sz="0" w:space="0" w:color="auto"/>
        <w:right w:val="none" w:sz="0" w:space="0" w:color="auto"/>
      </w:divBdr>
    </w:div>
    <w:div w:id="1723871115">
      <w:bodyDiv w:val="1"/>
      <w:marLeft w:val="0"/>
      <w:marRight w:val="0"/>
      <w:marTop w:val="0"/>
      <w:marBottom w:val="0"/>
      <w:divBdr>
        <w:top w:val="none" w:sz="0" w:space="0" w:color="auto"/>
        <w:left w:val="none" w:sz="0" w:space="0" w:color="auto"/>
        <w:bottom w:val="none" w:sz="0" w:space="0" w:color="auto"/>
        <w:right w:val="none" w:sz="0" w:space="0" w:color="auto"/>
      </w:divBdr>
    </w:div>
    <w:div w:id="1745296302">
      <w:bodyDiv w:val="1"/>
      <w:marLeft w:val="0"/>
      <w:marRight w:val="0"/>
      <w:marTop w:val="0"/>
      <w:marBottom w:val="0"/>
      <w:divBdr>
        <w:top w:val="none" w:sz="0" w:space="0" w:color="auto"/>
        <w:left w:val="none" w:sz="0" w:space="0" w:color="auto"/>
        <w:bottom w:val="none" w:sz="0" w:space="0" w:color="auto"/>
        <w:right w:val="none" w:sz="0" w:space="0" w:color="auto"/>
      </w:divBdr>
    </w:div>
    <w:div w:id="1748575541">
      <w:bodyDiv w:val="1"/>
      <w:marLeft w:val="0"/>
      <w:marRight w:val="0"/>
      <w:marTop w:val="0"/>
      <w:marBottom w:val="0"/>
      <w:divBdr>
        <w:top w:val="none" w:sz="0" w:space="0" w:color="auto"/>
        <w:left w:val="none" w:sz="0" w:space="0" w:color="auto"/>
        <w:bottom w:val="none" w:sz="0" w:space="0" w:color="auto"/>
        <w:right w:val="none" w:sz="0" w:space="0" w:color="auto"/>
      </w:divBdr>
    </w:div>
    <w:div w:id="1775592075">
      <w:bodyDiv w:val="1"/>
      <w:marLeft w:val="0"/>
      <w:marRight w:val="0"/>
      <w:marTop w:val="0"/>
      <w:marBottom w:val="0"/>
      <w:divBdr>
        <w:top w:val="none" w:sz="0" w:space="0" w:color="auto"/>
        <w:left w:val="none" w:sz="0" w:space="0" w:color="auto"/>
        <w:bottom w:val="none" w:sz="0" w:space="0" w:color="auto"/>
        <w:right w:val="none" w:sz="0" w:space="0" w:color="auto"/>
      </w:divBdr>
    </w:div>
    <w:div w:id="1778017487">
      <w:bodyDiv w:val="1"/>
      <w:marLeft w:val="0"/>
      <w:marRight w:val="0"/>
      <w:marTop w:val="0"/>
      <w:marBottom w:val="0"/>
      <w:divBdr>
        <w:top w:val="none" w:sz="0" w:space="0" w:color="auto"/>
        <w:left w:val="none" w:sz="0" w:space="0" w:color="auto"/>
        <w:bottom w:val="none" w:sz="0" w:space="0" w:color="auto"/>
        <w:right w:val="none" w:sz="0" w:space="0" w:color="auto"/>
      </w:divBdr>
    </w:div>
    <w:div w:id="1791362962">
      <w:bodyDiv w:val="1"/>
      <w:marLeft w:val="0"/>
      <w:marRight w:val="0"/>
      <w:marTop w:val="0"/>
      <w:marBottom w:val="0"/>
      <w:divBdr>
        <w:top w:val="none" w:sz="0" w:space="0" w:color="auto"/>
        <w:left w:val="none" w:sz="0" w:space="0" w:color="auto"/>
        <w:bottom w:val="none" w:sz="0" w:space="0" w:color="auto"/>
        <w:right w:val="none" w:sz="0" w:space="0" w:color="auto"/>
      </w:divBdr>
    </w:div>
    <w:div w:id="1797988077">
      <w:bodyDiv w:val="1"/>
      <w:marLeft w:val="0"/>
      <w:marRight w:val="0"/>
      <w:marTop w:val="0"/>
      <w:marBottom w:val="0"/>
      <w:divBdr>
        <w:top w:val="none" w:sz="0" w:space="0" w:color="auto"/>
        <w:left w:val="none" w:sz="0" w:space="0" w:color="auto"/>
        <w:bottom w:val="none" w:sz="0" w:space="0" w:color="auto"/>
        <w:right w:val="none" w:sz="0" w:space="0" w:color="auto"/>
      </w:divBdr>
    </w:div>
    <w:div w:id="1800562841">
      <w:bodyDiv w:val="1"/>
      <w:marLeft w:val="0"/>
      <w:marRight w:val="0"/>
      <w:marTop w:val="0"/>
      <w:marBottom w:val="0"/>
      <w:divBdr>
        <w:top w:val="none" w:sz="0" w:space="0" w:color="auto"/>
        <w:left w:val="none" w:sz="0" w:space="0" w:color="auto"/>
        <w:bottom w:val="none" w:sz="0" w:space="0" w:color="auto"/>
        <w:right w:val="none" w:sz="0" w:space="0" w:color="auto"/>
      </w:divBdr>
    </w:div>
    <w:div w:id="1812164951">
      <w:bodyDiv w:val="1"/>
      <w:marLeft w:val="0"/>
      <w:marRight w:val="0"/>
      <w:marTop w:val="0"/>
      <w:marBottom w:val="0"/>
      <w:divBdr>
        <w:top w:val="none" w:sz="0" w:space="0" w:color="auto"/>
        <w:left w:val="none" w:sz="0" w:space="0" w:color="auto"/>
        <w:bottom w:val="none" w:sz="0" w:space="0" w:color="auto"/>
        <w:right w:val="none" w:sz="0" w:space="0" w:color="auto"/>
      </w:divBdr>
      <w:divsChild>
        <w:div w:id="257829590">
          <w:marLeft w:val="0"/>
          <w:marRight w:val="0"/>
          <w:marTop w:val="0"/>
          <w:marBottom w:val="0"/>
          <w:divBdr>
            <w:top w:val="none" w:sz="0" w:space="0" w:color="auto"/>
            <w:left w:val="none" w:sz="0" w:space="0" w:color="auto"/>
            <w:bottom w:val="none" w:sz="0" w:space="0" w:color="auto"/>
            <w:right w:val="none" w:sz="0" w:space="0" w:color="auto"/>
          </w:divBdr>
          <w:divsChild>
            <w:div w:id="560554963">
              <w:marLeft w:val="0"/>
              <w:marRight w:val="0"/>
              <w:marTop w:val="0"/>
              <w:marBottom w:val="0"/>
              <w:divBdr>
                <w:top w:val="none" w:sz="0" w:space="0" w:color="auto"/>
                <w:left w:val="none" w:sz="0" w:space="0" w:color="auto"/>
                <w:bottom w:val="none" w:sz="0" w:space="0" w:color="auto"/>
                <w:right w:val="none" w:sz="0" w:space="0" w:color="auto"/>
              </w:divBdr>
            </w:div>
            <w:div w:id="1200388969">
              <w:marLeft w:val="0"/>
              <w:marRight w:val="0"/>
              <w:marTop w:val="0"/>
              <w:marBottom w:val="0"/>
              <w:divBdr>
                <w:top w:val="none" w:sz="0" w:space="0" w:color="auto"/>
                <w:left w:val="none" w:sz="0" w:space="0" w:color="auto"/>
                <w:bottom w:val="none" w:sz="0" w:space="0" w:color="auto"/>
                <w:right w:val="none" w:sz="0" w:space="0" w:color="auto"/>
              </w:divBdr>
            </w:div>
            <w:div w:id="1227229543">
              <w:marLeft w:val="0"/>
              <w:marRight w:val="0"/>
              <w:marTop w:val="0"/>
              <w:marBottom w:val="0"/>
              <w:divBdr>
                <w:top w:val="none" w:sz="0" w:space="0" w:color="auto"/>
                <w:left w:val="none" w:sz="0" w:space="0" w:color="auto"/>
                <w:bottom w:val="none" w:sz="0" w:space="0" w:color="auto"/>
                <w:right w:val="none" w:sz="0" w:space="0" w:color="auto"/>
              </w:divBdr>
            </w:div>
            <w:div w:id="1266037017">
              <w:marLeft w:val="0"/>
              <w:marRight w:val="0"/>
              <w:marTop w:val="0"/>
              <w:marBottom w:val="0"/>
              <w:divBdr>
                <w:top w:val="none" w:sz="0" w:space="0" w:color="auto"/>
                <w:left w:val="none" w:sz="0" w:space="0" w:color="auto"/>
                <w:bottom w:val="none" w:sz="0" w:space="0" w:color="auto"/>
                <w:right w:val="none" w:sz="0" w:space="0" w:color="auto"/>
              </w:divBdr>
            </w:div>
            <w:div w:id="12950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8649">
      <w:bodyDiv w:val="1"/>
      <w:marLeft w:val="0"/>
      <w:marRight w:val="0"/>
      <w:marTop w:val="0"/>
      <w:marBottom w:val="0"/>
      <w:divBdr>
        <w:top w:val="none" w:sz="0" w:space="0" w:color="auto"/>
        <w:left w:val="none" w:sz="0" w:space="0" w:color="auto"/>
        <w:bottom w:val="none" w:sz="0" w:space="0" w:color="auto"/>
        <w:right w:val="none" w:sz="0" w:space="0" w:color="auto"/>
      </w:divBdr>
    </w:div>
    <w:div w:id="1825782573">
      <w:bodyDiv w:val="1"/>
      <w:marLeft w:val="0"/>
      <w:marRight w:val="0"/>
      <w:marTop w:val="0"/>
      <w:marBottom w:val="0"/>
      <w:divBdr>
        <w:top w:val="none" w:sz="0" w:space="0" w:color="auto"/>
        <w:left w:val="none" w:sz="0" w:space="0" w:color="auto"/>
        <w:bottom w:val="none" w:sz="0" w:space="0" w:color="auto"/>
        <w:right w:val="none" w:sz="0" w:space="0" w:color="auto"/>
      </w:divBdr>
    </w:div>
    <w:div w:id="1827815108">
      <w:bodyDiv w:val="1"/>
      <w:marLeft w:val="0"/>
      <w:marRight w:val="0"/>
      <w:marTop w:val="0"/>
      <w:marBottom w:val="0"/>
      <w:divBdr>
        <w:top w:val="none" w:sz="0" w:space="0" w:color="auto"/>
        <w:left w:val="none" w:sz="0" w:space="0" w:color="auto"/>
        <w:bottom w:val="none" w:sz="0" w:space="0" w:color="auto"/>
        <w:right w:val="none" w:sz="0" w:space="0" w:color="auto"/>
      </w:divBdr>
    </w:div>
    <w:div w:id="1834494610">
      <w:bodyDiv w:val="1"/>
      <w:marLeft w:val="0"/>
      <w:marRight w:val="0"/>
      <w:marTop w:val="0"/>
      <w:marBottom w:val="0"/>
      <w:divBdr>
        <w:top w:val="none" w:sz="0" w:space="0" w:color="auto"/>
        <w:left w:val="none" w:sz="0" w:space="0" w:color="auto"/>
        <w:bottom w:val="none" w:sz="0" w:space="0" w:color="auto"/>
        <w:right w:val="none" w:sz="0" w:space="0" w:color="auto"/>
      </w:divBdr>
    </w:div>
    <w:div w:id="1840383528">
      <w:bodyDiv w:val="1"/>
      <w:marLeft w:val="0"/>
      <w:marRight w:val="0"/>
      <w:marTop w:val="0"/>
      <w:marBottom w:val="0"/>
      <w:divBdr>
        <w:top w:val="none" w:sz="0" w:space="0" w:color="auto"/>
        <w:left w:val="none" w:sz="0" w:space="0" w:color="auto"/>
        <w:bottom w:val="none" w:sz="0" w:space="0" w:color="auto"/>
        <w:right w:val="none" w:sz="0" w:space="0" w:color="auto"/>
      </w:divBdr>
    </w:div>
    <w:div w:id="1851220402">
      <w:bodyDiv w:val="1"/>
      <w:marLeft w:val="0"/>
      <w:marRight w:val="0"/>
      <w:marTop w:val="0"/>
      <w:marBottom w:val="0"/>
      <w:divBdr>
        <w:top w:val="none" w:sz="0" w:space="0" w:color="auto"/>
        <w:left w:val="none" w:sz="0" w:space="0" w:color="auto"/>
        <w:bottom w:val="none" w:sz="0" w:space="0" w:color="auto"/>
        <w:right w:val="none" w:sz="0" w:space="0" w:color="auto"/>
      </w:divBdr>
    </w:div>
    <w:div w:id="1898853047">
      <w:bodyDiv w:val="1"/>
      <w:marLeft w:val="0"/>
      <w:marRight w:val="0"/>
      <w:marTop w:val="0"/>
      <w:marBottom w:val="0"/>
      <w:divBdr>
        <w:top w:val="none" w:sz="0" w:space="0" w:color="auto"/>
        <w:left w:val="none" w:sz="0" w:space="0" w:color="auto"/>
        <w:bottom w:val="none" w:sz="0" w:space="0" w:color="auto"/>
        <w:right w:val="none" w:sz="0" w:space="0" w:color="auto"/>
      </w:divBdr>
    </w:div>
    <w:div w:id="1906333679">
      <w:bodyDiv w:val="1"/>
      <w:marLeft w:val="0"/>
      <w:marRight w:val="0"/>
      <w:marTop w:val="0"/>
      <w:marBottom w:val="0"/>
      <w:divBdr>
        <w:top w:val="none" w:sz="0" w:space="0" w:color="auto"/>
        <w:left w:val="none" w:sz="0" w:space="0" w:color="auto"/>
        <w:bottom w:val="none" w:sz="0" w:space="0" w:color="auto"/>
        <w:right w:val="none" w:sz="0" w:space="0" w:color="auto"/>
      </w:divBdr>
    </w:div>
    <w:div w:id="1913924680">
      <w:bodyDiv w:val="1"/>
      <w:marLeft w:val="0"/>
      <w:marRight w:val="0"/>
      <w:marTop w:val="0"/>
      <w:marBottom w:val="0"/>
      <w:divBdr>
        <w:top w:val="none" w:sz="0" w:space="0" w:color="auto"/>
        <w:left w:val="none" w:sz="0" w:space="0" w:color="auto"/>
        <w:bottom w:val="none" w:sz="0" w:space="0" w:color="auto"/>
        <w:right w:val="none" w:sz="0" w:space="0" w:color="auto"/>
      </w:divBdr>
    </w:div>
    <w:div w:id="1971740637">
      <w:bodyDiv w:val="1"/>
      <w:marLeft w:val="0"/>
      <w:marRight w:val="0"/>
      <w:marTop w:val="0"/>
      <w:marBottom w:val="0"/>
      <w:divBdr>
        <w:top w:val="none" w:sz="0" w:space="0" w:color="auto"/>
        <w:left w:val="none" w:sz="0" w:space="0" w:color="auto"/>
        <w:bottom w:val="none" w:sz="0" w:space="0" w:color="auto"/>
        <w:right w:val="none" w:sz="0" w:space="0" w:color="auto"/>
      </w:divBdr>
    </w:div>
    <w:div w:id="2000451666">
      <w:bodyDiv w:val="1"/>
      <w:marLeft w:val="0"/>
      <w:marRight w:val="0"/>
      <w:marTop w:val="0"/>
      <w:marBottom w:val="0"/>
      <w:divBdr>
        <w:top w:val="none" w:sz="0" w:space="0" w:color="auto"/>
        <w:left w:val="none" w:sz="0" w:space="0" w:color="auto"/>
        <w:bottom w:val="none" w:sz="0" w:space="0" w:color="auto"/>
        <w:right w:val="none" w:sz="0" w:space="0" w:color="auto"/>
      </w:divBdr>
    </w:div>
    <w:div w:id="2003849448">
      <w:bodyDiv w:val="1"/>
      <w:marLeft w:val="0"/>
      <w:marRight w:val="0"/>
      <w:marTop w:val="0"/>
      <w:marBottom w:val="0"/>
      <w:divBdr>
        <w:top w:val="none" w:sz="0" w:space="0" w:color="auto"/>
        <w:left w:val="none" w:sz="0" w:space="0" w:color="auto"/>
        <w:bottom w:val="none" w:sz="0" w:space="0" w:color="auto"/>
        <w:right w:val="none" w:sz="0" w:space="0" w:color="auto"/>
      </w:divBdr>
    </w:div>
    <w:div w:id="2020548164">
      <w:bodyDiv w:val="1"/>
      <w:marLeft w:val="0"/>
      <w:marRight w:val="0"/>
      <w:marTop w:val="0"/>
      <w:marBottom w:val="0"/>
      <w:divBdr>
        <w:top w:val="none" w:sz="0" w:space="0" w:color="auto"/>
        <w:left w:val="none" w:sz="0" w:space="0" w:color="auto"/>
        <w:bottom w:val="none" w:sz="0" w:space="0" w:color="auto"/>
        <w:right w:val="none" w:sz="0" w:space="0" w:color="auto"/>
      </w:divBdr>
    </w:div>
    <w:div w:id="2021469623">
      <w:bodyDiv w:val="1"/>
      <w:marLeft w:val="0"/>
      <w:marRight w:val="0"/>
      <w:marTop w:val="0"/>
      <w:marBottom w:val="0"/>
      <w:divBdr>
        <w:top w:val="none" w:sz="0" w:space="0" w:color="auto"/>
        <w:left w:val="none" w:sz="0" w:space="0" w:color="auto"/>
        <w:bottom w:val="none" w:sz="0" w:space="0" w:color="auto"/>
        <w:right w:val="none" w:sz="0" w:space="0" w:color="auto"/>
      </w:divBdr>
    </w:div>
    <w:div w:id="2047827867">
      <w:bodyDiv w:val="1"/>
      <w:marLeft w:val="0"/>
      <w:marRight w:val="0"/>
      <w:marTop w:val="0"/>
      <w:marBottom w:val="0"/>
      <w:divBdr>
        <w:top w:val="none" w:sz="0" w:space="0" w:color="auto"/>
        <w:left w:val="none" w:sz="0" w:space="0" w:color="auto"/>
        <w:bottom w:val="none" w:sz="0" w:space="0" w:color="auto"/>
        <w:right w:val="none" w:sz="0" w:space="0" w:color="auto"/>
      </w:divBdr>
    </w:div>
    <w:div w:id="2065174100">
      <w:bodyDiv w:val="1"/>
      <w:marLeft w:val="0"/>
      <w:marRight w:val="0"/>
      <w:marTop w:val="0"/>
      <w:marBottom w:val="0"/>
      <w:divBdr>
        <w:top w:val="none" w:sz="0" w:space="0" w:color="auto"/>
        <w:left w:val="none" w:sz="0" w:space="0" w:color="auto"/>
        <w:bottom w:val="none" w:sz="0" w:space="0" w:color="auto"/>
        <w:right w:val="none" w:sz="0" w:space="0" w:color="auto"/>
      </w:divBdr>
    </w:div>
    <w:div w:id="2067290730">
      <w:bodyDiv w:val="1"/>
      <w:marLeft w:val="0"/>
      <w:marRight w:val="0"/>
      <w:marTop w:val="0"/>
      <w:marBottom w:val="0"/>
      <w:divBdr>
        <w:top w:val="none" w:sz="0" w:space="0" w:color="auto"/>
        <w:left w:val="none" w:sz="0" w:space="0" w:color="auto"/>
        <w:bottom w:val="none" w:sz="0" w:space="0" w:color="auto"/>
        <w:right w:val="none" w:sz="0" w:space="0" w:color="auto"/>
      </w:divBdr>
    </w:div>
    <w:div w:id="2102989066">
      <w:bodyDiv w:val="1"/>
      <w:marLeft w:val="0"/>
      <w:marRight w:val="0"/>
      <w:marTop w:val="0"/>
      <w:marBottom w:val="0"/>
      <w:divBdr>
        <w:top w:val="none" w:sz="0" w:space="0" w:color="auto"/>
        <w:left w:val="none" w:sz="0" w:space="0" w:color="auto"/>
        <w:bottom w:val="none" w:sz="0" w:space="0" w:color="auto"/>
        <w:right w:val="none" w:sz="0" w:space="0" w:color="auto"/>
      </w:divBdr>
    </w:div>
    <w:div w:id="2103990691">
      <w:bodyDiv w:val="1"/>
      <w:marLeft w:val="0"/>
      <w:marRight w:val="0"/>
      <w:marTop w:val="0"/>
      <w:marBottom w:val="0"/>
      <w:divBdr>
        <w:top w:val="none" w:sz="0" w:space="0" w:color="auto"/>
        <w:left w:val="none" w:sz="0" w:space="0" w:color="auto"/>
        <w:bottom w:val="none" w:sz="0" w:space="0" w:color="auto"/>
        <w:right w:val="none" w:sz="0" w:space="0" w:color="auto"/>
      </w:divBdr>
    </w:div>
    <w:div w:id="2110932919">
      <w:bodyDiv w:val="1"/>
      <w:marLeft w:val="0"/>
      <w:marRight w:val="0"/>
      <w:marTop w:val="0"/>
      <w:marBottom w:val="0"/>
      <w:divBdr>
        <w:top w:val="none" w:sz="0" w:space="0" w:color="auto"/>
        <w:left w:val="none" w:sz="0" w:space="0" w:color="auto"/>
        <w:bottom w:val="none" w:sz="0" w:space="0" w:color="auto"/>
        <w:right w:val="none" w:sz="0" w:space="0" w:color="auto"/>
      </w:divBdr>
    </w:div>
    <w:div w:id="2111048262">
      <w:bodyDiv w:val="1"/>
      <w:marLeft w:val="0"/>
      <w:marRight w:val="0"/>
      <w:marTop w:val="0"/>
      <w:marBottom w:val="0"/>
      <w:divBdr>
        <w:top w:val="none" w:sz="0" w:space="0" w:color="auto"/>
        <w:left w:val="none" w:sz="0" w:space="0" w:color="auto"/>
        <w:bottom w:val="none" w:sz="0" w:space="0" w:color="auto"/>
        <w:right w:val="none" w:sz="0" w:space="0" w:color="auto"/>
      </w:divBdr>
    </w:div>
    <w:div w:id="2111732994">
      <w:bodyDiv w:val="1"/>
      <w:marLeft w:val="0"/>
      <w:marRight w:val="0"/>
      <w:marTop w:val="0"/>
      <w:marBottom w:val="0"/>
      <w:divBdr>
        <w:top w:val="none" w:sz="0" w:space="0" w:color="auto"/>
        <w:left w:val="none" w:sz="0" w:space="0" w:color="auto"/>
        <w:bottom w:val="none" w:sz="0" w:space="0" w:color="auto"/>
        <w:right w:val="none" w:sz="0" w:space="0" w:color="auto"/>
      </w:divBdr>
    </w:div>
    <w:div w:id="2115009295">
      <w:bodyDiv w:val="1"/>
      <w:marLeft w:val="0"/>
      <w:marRight w:val="0"/>
      <w:marTop w:val="0"/>
      <w:marBottom w:val="0"/>
      <w:divBdr>
        <w:top w:val="none" w:sz="0" w:space="0" w:color="auto"/>
        <w:left w:val="none" w:sz="0" w:space="0" w:color="auto"/>
        <w:bottom w:val="none" w:sz="0" w:space="0" w:color="auto"/>
        <w:right w:val="none" w:sz="0" w:space="0" w:color="auto"/>
      </w:divBdr>
    </w:div>
    <w:div w:id="21284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c.europa.eu/regional_policy/en/funding/erdf/" TargetMode="Externa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info/food-farming-fisheries/key-policies/common-agricultural-policy/financing-cap/cap-funds_en" TargetMode="External"/><Relationship Id="rId25" Type="http://schemas.openxmlformats.org/officeDocument/2006/relationships/header" Target="header3.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info/food-farming-fisheries/key-policies/common-agricultural-policy/rural-development_pl" TargetMode="External"/><Relationship Id="rId20" Type="http://schemas.openxmlformats.org/officeDocument/2006/relationships/hyperlink" Target="https://ec.europa.eu/info/business-economy-euro/recovery-coronavirus/recovery-and-resilience-facility_pl" TargetMode="External"/><Relationship Id="rId29" Type="http://schemas.openxmlformats.org/officeDocument/2006/relationships/hyperlink" Target="https://myintracomm.ec.europa.eu/budgweb/EN/leg/internal/Documents/2016-5-legislative-financial-statement-ann-e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32" Type="http://schemas.openxmlformats.org/officeDocument/2006/relationships/header" Target="header6.xml"/><Relationship Id="rId37"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yperlink" Target="https://cinea.ec.europa.eu/european-maritime-fisheries-and-aquaculture-fund_en" TargetMode="External"/><Relationship Id="rId23" Type="http://schemas.openxmlformats.org/officeDocument/2006/relationships/header" Target="header2.xml"/><Relationship Id="rId28" Type="http://schemas.openxmlformats.org/officeDocument/2006/relationships/footer" Target="footer7.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ec.europa.eu/regional_policy/pl/funding/cohesion-fund/"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L/TXT/?qid=1588580774040&amp;uri=CELEX:52019DC0640" TargetMode="External"/><Relationship Id="rId13" Type="http://schemas.openxmlformats.org/officeDocument/2006/relationships/hyperlink" Target="https://www.unccd.int/sites/default/files/relevant-links/2017-01/UNCCD_Convention_ENG_0.pdf" TargetMode="External"/><Relationship Id="rId18" Type="http://schemas.openxmlformats.org/officeDocument/2006/relationships/hyperlink" Target="https://ec.europa.eu/regional_policy/en/funding/erdf/" TargetMode="External"/><Relationship Id="rId26" Type="http://schemas.openxmlformats.org/officeDocument/2006/relationships/hyperlink" Target="https://www.ipcc.ch/report/ar6/wg2/" TargetMode="External"/><Relationship Id="rId3" Type="http://schemas.openxmlformats.org/officeDocument/2006/relationships/hyperlink" Target="https://www.ipcc.ch/report/ar6/wg2/" TargetMode="External"/><Relationship Id="rId21" Type="http://schemas.openxmlformats.org/officeDocument/2006/relationships/hyperlink" Target="https://www.cbd.int/decision/cop/?id=12268" TargetMode="External"/><Relationship Id="rId34" Type="http://schemas.openxmlformats.org/officeDocument/2006/relationships/hyperlink" Target="https://myintracomm.ec.europa.eu/budgweb/EN/man/budgmanag/Pages/budgmanag.aspx" TargetMode="External"/><Relationship Id="rId7" Type="http://schemas.openxmlformats.org/officeDocument/2006/relationships/hyperlink" Target="https://www.gov.uk/government/publications/final-report-the-economics-of-biodiversity-the-dasgupta-review" TargetMode="External"/><Relationship Id="rId12" Type="http://schemas.openxmlformats.org/officeDocument/2006/relationships/hyperlink" Target="https://www.cbd.int/doc/c/914a/eca3/24ad42235033f031badf61b1/wg2020-03-03-en.pdf" TargetMode="External"/><Relationship Id="rId17" Type="http://schemas.openxmlformats.org/officeDocument/2006/relationships/hyperlink" Target="https://ec.europa.eu/info/food-farming-fisheries/key-policies/common-agricultural-policy/cap-strategic-plans_en" TargetMode="External"/><Relationship Id="rId25" Type="http://schemas.openxmlformats.org/officeDocument/2006/relationships/hyperlink" Target="https://www.ipcc.ch/sr15/" TargetMode="External"/><Relationship Id="rId33" Type="http://schemas.openxmlformats.org/officeDocument/2006/relationships/hyperlink" Target="https://ec.europa.eu/eurostat/web/products-datasets/-/T2020_RN130" TargetMode="External"/><Relationship Id="rId2" Type="http://schemas.openxmlformats.org/officeDocument/2006/relationships/hyperlink" Target="https://www.ipcc.ch/report/ar6/wg2/" TargetMode="External"/><Relationship Id="rId16" Type="http://schemas.openxmlformats.org/officeDocument/2006/relationships/hyperlink" Target="https://unfccc.int/sites/default/files/english_paris_agreement.pdf" TargetMode="External"/><Relationship Id="rId20" Type="http://schemas.openxmlformats.org/officeDocument/2006/relationships/hyperlink" Target="https://ec.europa.eu/info/research-and-innovation/research-area/environment/biodiversity/biodiversity-research-policy_en" TargetMode="External"/><Relationship Id="rId29" Type="http://schemas.openxmlformats.org/officeDocument/2006/relationships/hyperlink" Target="https://www.ipcc.ch/report/ar6/wg2/" TargetMode="External"/><Relationship Id="rId1" Type="http://schemas.openxmlformats.org/officeDocument/2006/relationships/hyperlink" Target="https://www.ipcc.ch/sr15/" TargetMode="External"/><Relationship Id="rId6" Type="http://schemas.openxmlformats.org/officeDocument/2006/relationships/hyperlink" Target="https://www.cbd.int/convention/text/" TargetMode="External"/><Relationship Id="rId11" Type="http://schemas.openxmlformats.org/officeDocument/2006/relationships/hyperlink" Target="https://www.cbd.int/sp/targets/rationale/target-15/" TargetMode="External"/><Relationship Id="rId24" Type="http://schemas.openxmlformats.org/officeDocument/2006/relationships/hyperlink" Target="https://seea.un.org/sites/seea.un.org/files/documents/EA/seea_ea_white_cover_final.pdf" TargetMode="External"/><Relationship Id="rId32" Type="http://schemas.openxmlformats.org/officeDocument/2006/relationships/hyperlink" Target="https://ec.europa.eu/environment/nature/conservation/species/redlist/index_en.htm" TargetMode="External"/><Relationship Id="rId5" Type="http://schemas.openxmlformats.org/officeDocument/2006/relationships/hyperlink" Target="https://www.ipcc.ch/report/ar6/wg2/" TargetMode="External"/><Relationship Id="rId15" Type="http://schemas.openxmlformats.org/officeDocument/2006/relationships/hyperlink" Target="https://www.decadeonrestoration.org/about-un-decade" TargetMode="External"/><Relationship Id="rId23" Type="http://schemas.openxmlformats.org/officeDocument/2006/relationships/hyperlink" Target="https://circabc.europa.eu/ui/group/fcb355ee-7434-4448-a53d-5dc5d1dac678/library/4d8f2f91-7708-4ed2-ba0e-e7a945a6d56a/details" TargetMode="External"/><Relationship Id="rId28" Type="http://schemas.openxmlformats.org/officeDocument/2006/relationships/hyperlink" Target="https://www.ipcc.ch/report/ar6/wg2/" TargetMode="External"/><Relationship Id="rId10" Type="http://schemas.openxmlformats.org/officeDocument/2006/relationships/hyperlink" Target="https://eur-lex.europa.eu/legal-content/PL/TXT/PDF/?uri=CELEX:52011DC0244&amp;from=PL" TargetMode="External"/><Relationship Id="rId19" Type="http://schemas.openxmlformats.org/officeDocument/2006/relationships/hyperlink" Target="https://eur-lex.europa.eu/legal-content/PL/TXT/?uri=CELEX:32021R1058" TargetMode="External"/><Relationship Id="rId31" Type="http://schemas.openxmlformats.org/officeDocument/2006/relationships/hyperlink" Target="https://www.eca.europa.eu/Lists/ECADocuments/SR20_15/SR_Pollinators_PL.pdf" TargetMode="External"/><Relationship Id="rId4" Type="http://schemas.openxmlformats.org/officeDocument/2006/relationships/hyperlink" Target="https://www.ipcc.ch/report/ar6/wg2/" TargetMode="External"/><Relationship Id="rId9" Type="http://schemas.openxmlformats.org/officeDocument/2006/relationships/hyperlink" Target="https://ec.europa.eu/environment/strategy/biodiversity-strategy-2030_pl" TargetMode="External"/><Relationship Id="rId14" Type="http://schemas.openxmlformats.org/officeDocument/2006/relationships/hyperlink" Target="https://www.unic.un.org.pl/files/164/Agenda%202030_pl_2016_ostateczna.pdf" TargetMode="External"/><Relationship Id="rId22" Type="http://schemas.openxmlformats.org/officeDocument/2006/relationships/hyperlink" Target="https://www.un.org/sustainabledevelopment/" TargetMode="External"/><Relationship Id="rId27" Type="http://schemas.openxmlformats.org/officeDocument/2006/relationships/hyperlink" Target="https://www.ipcc.ch/report/ar6/wg2/" TargetMode="External"/><Relationship Id="rId30" Type="http://schemas.openxmlformats.org/officeDocument/2006/relationships/hyperlink" Target="https://doi.org/10.5281/zenodo.38316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4" ma:contentTypeDescription="Create a new document." ma:contentTypeScope="" ma:versionID="07223708b8beac1146218ad8fc8cabc7">
  <xsd:schema xmlns:xsd="http://www.w3.org/2001/XMLSchema" xmlns:xs="http://www.w3.org/2001/XMLSchema" xmlns:p="http://schemas.microsoft.com/office/2006/metadata/properties" xmlns:ns2="b2332242-72eb-4c56-ab66-572cc47fcb14" targetNamespace="http://schemas.microsoft.com/office/2006/metadata/properties" ma:root="true" ma:fieldsID="d9cabb75f3dbed2eecd20797af06b512" ns2:_="">
    <xsd:import namespace="b2332242-72eb-4c56-ab66-572cc47fc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0CAD3-2D59-4835-8ED6-CE27569DF8C4}">
  <ds:schemaRefs>
    <ds:schemaRef ds:uri="http://schemas.microsoft.com/sharepoint/v3/contenttype/forms"/>
  </ds:schemaRefs>
</ds:datastoreItem>
</file>

<file path=customXml/itemProps2.xml><?xml version="1.0" encoding="utf-8"?>
<ds:datastoreItem xmlns:ds="http://schemas.openxmlformats.org/officeDocument/2006/customXml" ds:itemID="{2D26EA88-EAA4-4A67-A8E9-36652D0D51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8D4123-F0F2-44EA-9A4A-F3E14DB7A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6D8E3-011F-4E08-8E78-1158FEAA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84</TotalTime>
  <Pages>90</Pages>
  <Words>27499</Words>
  <Characters>180396</Characters>
  <Application>Microsoft Office Word</Application>
  <DocSecurity>0</DocSecurity>
  <Lines>4399</Lines>
  <Paragraphs>1484</Paragraphs>
  <ScaleCrop>false</ScaleCrop>
  <HeadingPairs>
    <vt:vector size="2" baseType="variant">
      <vt:variant>
        <vt:lpstr>Title</vt:lpstr>
      </vt:variant>
      <vt:variant>
        <vt:i4>1</vt:i4>
      </vt:variant>
    </vt:vector>
  </HeadingPairs>
  <TitlesOfParts>
    <vt:vector size="1" baseType="lpstr">
      <vt:lpstr>Nature Restoration Law</vt:lpstr>
    </vt:vector>
  </TitlesOfParts>
  <Manager/>
  <Company/>
  <LinksUpToDate>false</LinksUpToDate>
  <CharactersWithSpaces>206411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Restoration Law</dc:title>
  <dc:subject/>
  <dc:creator/>
  <cp:keywords/>
  <dc:description/>
  <cp:lastModifiedBy>EC CoDe</cp:lastModifiedBy>
  <cp:revision>61</cp:revision>
  <cp:lastPrinted>2022-06-13T06:48:00Z</cp:lastPrinted>
  <dcterms:created xsi:type="dcterms:W3CDTF">2022-06-24T12:10:00Z</dcterms:created>
  <dcterms:modified xsi:type="dcterms:W3CDTF">2022-06-27T17:20:00Z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0x010100FF1B87D5ABF651429579392F313233BD</vt:lpwstr>
  </property>
  <property fmtid="{D5CDD505-2E9C-101B-9397-08002B2CF9AE}" pid="3" name="Last edited using">
    <vt:lpwstr>LW 8.0, Build 20220128</vt:lpwstr>
  </property>
  <property fmtid="{D5CDD505-2E9C-101B-9397-08002B2CF9AE}" pid="4" name="Level of sensitivity">
    <vt:lpwstr>Standard treatment</vt:lpwstr>
  </property>
  <property fmtid="{D5CDD505-2E9C-101B-9397-08002B2CF9AE}" pid="5" name="Category">
    <vt:lpwstr>COM/PL/ORG</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MSIP_Label_6bd9ddd1-4d20-43f6-abfa-fc3c07406f94_Enabled">
    <vt:lpwstr>true</vt:lpwstr>
  </property>
  <property fmtid="{D5CDD505-2E9C-101B-9397-08002B2CF9AE}" pid="10" name="MSIP_Label_6bd9ddd1-4d20-43f6-abfa-fc3c07406f94_SetDate">
    <vt:lpwstr>2022-06-13T09:08:12Z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dcaaad1d-605d-4b08-970c-9bbfc1b35809</vt:lpwstr>
  </property>
  <property fmtid="{D5CDD505-2E9C-101B-9397-08002B2CF9AE}" pid="15" name="MSIP_Label_6bd9ddd1-4d20-43f6-abfa-fc3c07406f94_ContentBits">
    <vt:lpwstr>0</vt:lpwstr>
  </property>
  <property fmtid="{D5CDD505-2E9C-101B-9397-08002B2CF9AE}" pid="16" name="DQCStatus">
    <vt:lpwstr>Green (DQC version 03)</vt:lpwstr>
  </property>
</Properties>
</file>