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6ADBF5" w14:textId="1AAEA9CE" w:rsidR="00556AAE" w:rsidRDefault="002F2EFC" w:rsidP="002F2EFC">
      <w:pPr>
        <w:pStyle w:val="Pagedecouverture"/>
        <w:rPr>
          <w:noProof/>
          <w:lang w:val="fr-BE"/>
        </w:rPr>
      </w:pPr>
      <w:bookmarkStart w:id="0" w:name="LW_BM_COVERPAGE"/>
      <w:r>
        <w:rPr>
          <w:noProof/>
          <w:lang w:val="fr-BE"/>
        </w:rPr>
        <w:pict w14:anchorId="068BEE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71BE34B8-5667-4E68-917D-155981CDBD4B" style="width:455.25pt;height:336.75pt">
            <v:imagedata r:id="rId13" o:title=""/>
          </v:shape>
        </w:pict>
      </w:r>
    </w:p>
    <w:bookmarkEnd w:id="0"/>
    <w:p w14:paraId="2A32B2F9" w14:textId="77777777" w:rsidR="00556AAE" w:rsidRDefault="00556AAE" w:rsidP="00556AAE">
      <w:pPr>
        <w:rPr>
          <w:noProof/>
          <w:lang w:val="fr-BE"/>
        </w:rPr>
        <w:sectPr w:rsidR="00556AAE" w:rsidSect="002F2EFC">
          <w:headerReference w:type="even" r:id="rId14"/>
          <w:headerReference w:type="default" r:id="rId15"/>
          <w:footerReference w:type="even" r:id="rId16"/>
          <w:footerReference w:type="default" r:id="rId17"/>
          <w:headerReference w:type="first" r:id="rId18"/>
          <w:footerReference w:type="first" r:id="rId19"/>
          <w:pgSz w:w="11906" w:h="16838"/>
          <w:pgMar w:top="1134" w:right="1417" w:bottom="1134" w:left="1417" w:header="709" w:footer="709" w:gutter="0"/>
          <w:pgNumType w:start="0"/>
          <w:cols w:space="720"/>
          <w:docGrid w:linePitch="360"/>
        </w:sectPr>
      </w:pPr>
    </w:p>
    <w:p w14:paraId="46E4976F" w14:textId="3B451707" w:rsidR="009739BA" w:rsidRPr="009739BA" w:rsidRDefault="009739BA" w:rsidP="009739BA">
      <w:pPr>
        <w:pStyle w:val="Typedudocument"/>
        <w:rPr>
          <w:noProof/>
        </w:rPr>
      </w:pPr>
      <w:bookmarkStart w:id="1" w:name="_GoBack"/>
      <w:bookmarkEnd w:id="1"/>
      <w:r w:rsidRPr="009739BA">
        <w:rPr>
          <w:noProof/>
        </w:rPr>
        <w:lastRenderedPageBreak/>
        <w:t>REPORT FROM THE COMMISSION TO THE EUROPEAN PARLIAMENT, THE COUNCIL, THE EUROPEAN ECONOMIC AND SOCIAL COMMITTEE AND THE COMMITTEE OF THE REGIONS</w:t>
      </w:r>
    </w:p>
    <w:p w14:paraId="6B5F3280" w14:textId="7B4213B5" w:rsidR="009739BA" w:rsidRPr="009739BA" w:rsidRDefault="009739BA" w:rsidP="009739BA">
      <w:pPr>
        <w:pStyle w:val="Titreobjet"/>
        <w:rPr>
          <w:noProof/>
        </w:rPr>
      </w:pPr>
      <w:r w:rsidRPr="009739BA">
        <w:rPr>
          <w:noProof/>
        </w:rPr>
        <w:t>Report on Competition Policy 2021</w:t>
      </w:r>
    </w:p>
    <w:p w14:paraId="069B3DC0" w14:textId="282D428F" w:rsidR="001C1ABD" w:rsidRDefault="001C1ABD" w:rsidP="002374A0">
      <w:pPr>
        <w:pStyle w:val="TOCHeading"/>
        <w:tabs>
          <w:tab w:val="left" w:pos="1418"/>
        </w:tabs>
        <w:jc w:val="center"/>
        <w:rPr>
          <w:rFonts w:ascii="Times New Roman" w:eastAsiaTheme="minorHAnsi" w:hAnsi="Times New Roman" w:cstheme="minorBidi"/>
          <w:noProof/>
          <w:color w:val="auto"/>
          <w:sz w:val="24"/>
          <w:szCs w:val="24"/>
          <w:lang w:val="en-GB"/>
        </w:rPr>
      </w:pPr>
    </w:p>
    <w:sdt>
      <w:sdtPr>
        <w:rPr>
          <w:rFonts w:ascii="Times New Roman" w:eastAsiaTheme="minorHAnsi" w:hAnsi="Times New Roman" w:cstheme="minorBidi"/>
          <w:noProof/>
          <w:color w:val="auto"/>
          <w:sz w:val="24"/>
          <w:szCs w:val="24"/>
          <w:lang w:val="en-GB"/>
        </w:rPr>
        <w:id w:val="1022906969"/>
        <w:docPartObj>
          <w:docPartGallery w:val="Table of Contents"/>
          <w:docPartUnique/>
        </w:docPartObj>
      </w:sdtPr>
      <w:sdtEndPr>
        <w:rPr>
          <w:szCs w:val="22"/>
        </w:rPr>
      </w:sdtEndPr>
      <w:sdtContent>
        <w:p w14:paraId="2329E58D" w14:textId="0F713F6F" w:rsidR="00585107" w:rsidRPr="002374A0" w:rsidRDefault="0084075C" w:rsidP="002374A0">
          <w:pPr>
            <w:pStyle w:val="TOCHeading"/>
            <w:tabs>
              <w:tab w:val="left" w:pos="1418"/>
            </w:tabs>
            <w:jc w:val="center"/>
            <w:rPr>
              <w:rFonts w:ascii="Times New Roman" w:eastAsiaTheme="minorHAnsi" w:hAnsi="Times New Roman" w:cstheme="minorBidi"/>
              <w:b/>
              <w:noProof/>
              <w:color w:val="auto"/>
              <w:sz w:val="24"/>
              <w:szCs w:val="24"/>
              <w:lang w:val="en-GB"/>
            </w:rPr>
          </w:pPr>
          <w:r w:rsidRPr="002374A0">
            <w:rPr>
              <w:rFonts w:ascii="Times New Roman" w:eastAsiaTheme="minorHAnsi" w:hAnsi="Times New Roman" w:cstheme="minorBidi"/>
              <w:b/>
              <w:noProof/>
              <w:color w:val="auto"/>
              <w:sz w:val="24"/>
              <w:szCs w:val="24"/>
              <w:lang w:val="en-GB"/>
            </w:rPr>
            <w:t>Contents</w:t>
          </w:r>
        </w:p>
        <w:p w14:paraId="1958264B" w14:textId="77777777" w:rsidR="00355C06" w:rsidRPr="00355C06" w:rsidRDefault="00355C06" w:rsidP="00355C06">
          <w:pPr>
            <w:rPr>
              <w:noProof/>
            </w:rPr>
          </w:pPr>
        </w:p>
        <w:p w14:paraId="2AF49F77" w14:textId="6B8152DE" w:rsidR="0001076D" w:rsidRDefault="00585107">
          <w:pPr>
            <w:pStyle w:val="TOC2"/>
            <w:rPr>
              <w:rFonts w:asciiTheme="minorHAnsi" w:eastAsiaTheme="minorEastAsia" w:hAnsiTheme="minorHAnsi"/>
              <w:noProof/>
              <w:sz w:val="22"/>
              <w:lang w:val="en-US"/>
            </w:rPr>
          </w:pPr>
          <w:r w:rsidRPr="00542D19">
            <w:rPr>
              <w:noProof/>
              <w:szCs w:val="24"/>
            </w:rPr>
            <w:fldChar w:fldCharType="begin"/>
          </w:r>
          <w:r w:rsidRPr="00542D19">
            <w:rPr>
              <w:noProof/>
              <w:szCs w:val="24"/>
            </w:rPr>
            <w:instrText xml:space="preserve"> TOC \o "1-3" \h \z \u </w:instrText>
          </w:r>
          <w:r w:rsidRPr="00542D19">
            <w:rPr>
              <w:noProof/>
              <w:szCs w:val="24"/>
            </w:rPr>
            <w:fldChar w:fldCharType="separate"/>
          </w:r>
          <w:hyperlink w:anchor="_Toc102030128" w:history="1">
            <w:r w:rsidR="0001076D" w:rsidRPr="00436891">
              <w:rPr>
                <w:rStyle w:val="Hyperlink"/>
                <w:noProof/>
              </w:rPr>
              <w:t>1. Introduction</w:t>
            </w:r>
            <w:r w:rsidR="0001076D">
              <w:rPr>
                <w:noProof/>
                <w:webHidden/>
              </w:rPr>
              <w:tab/>
            </w:r>
            <w:r w:rsidR="0001076D">
              <w:rPr>
                <w:noProof/>
                <w:webHidden/>
              </w:rPr>
              <w:fldChar w:fldCharType="begin"/>
            </w:r>
            <w:r w:rsidR="0001076D">
              <w:rPr>
                <w:noProof/>
                <w:webHidden/>
              </w:rPr>
              <w:instrText xml:space="preserve"> PAGEREF _Toc102030128 \h </w:instrText>
            </w:r>
            <w:r w:rsidR="0001076D">
              <w:rPr>
                <w:noProof/>
                <w:webHidden/>
              </w:rPr>
            </w:r>
            <w:r w:rsidR="0001076D">
              <w:rPr>
                <w:noProof/>
                <w:webHidden/>
              </w:rPr>
              <w:fldChar w:fldCharType="separate"/>
            </w:r>
            <w:r w:rsidR="0001076D">
              <w:rPr>
                <w:noProof/>
                <w:webHidden/>
              </w:rPr>
              <w:t>2</w:t>
            </w:r>
            <w:r w:rsidR="0001076D">
              <w:rPr>
                <w:noProof/>
                <w:webHidden/>
              </w:rPr>
              <w:fldChar w:fldCharType="end"/>
            </w:r>
          </w:hyperlink>
        </w:p>
        <w:p w14:paraId="0596664F" w14:textId="003DF873" w:rsidR="0001076D" w:rsidRDefault="002F2EFC">
          <w:pPr>
            <w:pStyle w:val="TOC2"/>
            <w:rPr>
              <w:rFonts w:asciiTheme="minorHAnsi" w:eastAsiaTheme="minorEastAsia" w:hAnsiTheme="minorHAnsi"/>
              <w:noProof/>
              <w:sz w:val="22"/>
              <w:lang w:val="en-US"/>
            </w:rPr>
          </w:pPr>
          <w:hyperlink w:anchor="_Toc102030129" w:history="1">
            <w:r w:rsidR="0001076D" w:rsidRPr="00436891">
              <w:rPr>
                <w:rStyle w:val="Hyperlink"/>
                <w:noProof/>
              </w:rPr>
              <w:t>2. Ensuring that Competition Rules Remain Fit for the Future – Progress on the Extensive Policy Agenda</w:t>
            </w:r>
            <w:r w:rsidR="0001076D">
              <w:rPr>
                <w:noProof/>
                <w:webHidden/>
              </w:rPr>
              <w:tab/>
            </w:r>
            <w:r w:rsidR="0001076D">
              <w:rPr>
                <w:noProof/>
                <w:webHidden/>
              </w:rPr>
              <w:fldChar w:fldCharType="begin"/>
            </w:r>
            <w:r w:rsidR="0001076D">
              <w:rPr>
                <w:noProof/>
                <w:webHidden/>
              </w:rPr>
              <w:instrText xml:space="preserve"> PAGEREF _Toc102030129 \h </w:instrText>
            </w:r>
            <w:r w:rsidR="0001076D">
              <w:rPr>
                <w:noProof/>
                <w:webHidden/>
              </w:rPr>
            </w:r>
            <w:r w:rsidR="0001076D">
              <w:rPr>
                <w:noProof/>
                <w:webHidden/>
              </w:rPr>
              <w:fldChar w:fldCharType="separate"/>
            </w:r>
            <w:r w:rsidR="0001076D">
              <w:rPr>
                <w:noProof/>
                <w:webHidden/>
              </w:rPr>
              <w:t>4</w:t>
            </w:r>
            <w:r w:rsidR="0001076D">
              <w:rPr>
                <w:noProof/>
                <w:webHidden/>
              </w:rPr>
              <w:fldChar w:fldCharType="end"/>
            </w:r>
          </w:hyperlink>
        </w:p>
        <w:p w14:paraId="75DFA283" w14:textId="00EC3C98" w:rsidR="0001076D" w:rsidRDefault="002F2EFC">
          <w:pPr>
            <w:pStyle w:val="TOC3"/>
            <w:rPr>
              <w:rFonts w:asciiTheme="minorHAnsi" w:eastAsiaTheme="minorEastAsia" w:hAnsiTheme="minorHAnsi"/>
              <w:noProof/>
              <w:sz w:val="22"/>
              <w:lang w:val="en-US"/>
            </w:rPr>
          </w:pPr>
          <w:hyperlink w:anchor="_Toc102030130" w:history="1">
            <w:r w:rsidR="0001076D" w:rsidRPr="00436891">
              <w:rPr>
                <w:rStyle w:val="Hyperlink"/>
                <w:rFonts w:cs="Times New Roman"/>
                <w:noProof/>
              </w:rPr>
              <w:t xml:space="preserve">2.1. </w:t>
            </w:r>
            <w:r w:rsidR="0001076D" w:rsidRPr="00436891">
              <w:rPr>
                <w:rStyle w:val="Hyperlink"/>
                <w:noProof/>
              </w:rPr>
              <w:t>New</w:t>
            </w:r>
            <w:r w:rsidR="0001076D" w:rsidRPr="00436891">
              <w:rPr>
                <w:rStyle w:val="Hyperlink"/>
                <w:rFonts w:cs="Times New Roman"/>
                <w:noProof/>
              </w:rPr>
              <w:t xml:space="preserve"> legislative initiatives to strengthen the competition policy toolbox</w:t>
            </w:r>
            <w:r w:rsidR="0001076D">
              <w:rPr>
                <w:noProof/>
                <w:webHidden/>
              </w:rPr>
              <w:tab/>
            </w:r>
            <w:r w:rsidR="0001076D">
              <w:rPr>
                <w:noProof/>
                <w:webHidden/>
              </w:rPr>
              <w:fldChar w:fldCharType="begin"/>
            </w:r>
            <w:r w:rsidR="0001076D">
              <w:rPr>
                <w:noProof/>
                <w:webHidden/>
              </w:rPr>
              <w:instrText xml:space="preserve"> PAGEREF _Toc102030130 \h </w:instrText>
            </w:r>
            <w:r w:rsidR="0001076D">
              <w:rPr>
                <w:noProof/>
                <w:webHidden/>
              </w:rPr>
            </w:r>
            <w:r w:rsidR="0001076D">
              <w:rPr>
                <w:noProof/>
                <w:webHidden/>
              </w:rPr>
              <w:fldChar w:fldCharType="separate"/>
            </w:r>
            <w:r w:rsidR="0001076D">
              <w:rPr>
                <w:noProof/>
                <w:webHidden/>
              </w:rPr>
              <w:t>4</w:t>
            </w:r>
            <w:r w:rsidR="0001076D">
              <w:rPr>
                <w:noProof/>
                <w:webHidden/>
              </w:rPr>
              <w:fldChar w:fldCharType="end"/>
            </w:r>
          </w:hyperlink>
        </w:p>
        <w:p w14:paraId="1F6A762D" w14:textId="402861C1" w:rsidR="0001076D" w:rsidRDefault="002F2EFC">
          <w:pPr>
            <w:pStyle w:val="TOC3"/>
            <w:rPr>
              <w:rFonts w:asciiTheme="minorHAnsi" w:eastAsiaTheme="minorEastAsia" w:hAnsiTheme="minorHAnsi"/>
              <w:noProof/>
              <w:sz w:val="22"/>
              <w:lang w:val="en-US"/>
            </w:rPr>
          </w:pPr>
          <w:hyperlink w:anchor="_Toc102030131" w:history="1">
            <w:r w:rsidR="0001076D" w:rsidRPr="00436891">
              <w:rPr>
                <w:rStyle w:val="Hyperlink"/>
                <w:rFonts w:cs="Times New Roman"/>
                <w:noProof/>
              </w:rPr>
              <w:t xml:space="preserve">2.2. </w:t>
            </w:r>
            <w:r w:rsidR="0001076D" w:rsidRPr="00436891">
              <w:rPr>
                <w:rStyle w:val="Hyperlink"/>
                <w:noProof/>
              </w:rPr>
              <w:t xml:space="preserve">Updating antitrust and merger rules and guidance </w:t>
            </w:r>
            <w:r w:rsidR="0001076D" w:rsidRPr="00436891">
              <w:rPr>
                <w:rStyle w:val="Hyperlink"/>
                <w:rFonts w:cs="Times New Roman"/>
                <w:noProof/>
              </w:rPr>
              <w:t>to make them fit for new challenges</w:t>
            </w:r>
            <w:r w:rsidR="0001076D">
              <w:rPr>
                <w:noProof/>
                <w:webHidden/>
              </w:rPr>
              <w:tab/>
            </w:r>
            <w:r w:rsidR="0001076D">
              <w:rPr>
                <w:noProof/>
                <w:webHidden/>
              </w:rPr>
              <w:fldChar w:fldCharType="begin"/>
            </w:r>
            <w:r w:rsidR="0001076D">
              <w:rPr>
                <w:noProof/>
                <w:webHidden/>
              </w:rPr>
              <w:instrText xml:space="preserve"> PAGEREF _Toc102030131 \h </w:instrText>
            </w:r>
            <w:r w:rsidR="0001076D">
              <w:rPr>
                <w:noProof/>
                <w:webHidden/>
              </w:rPr>
            </w:r>
            <w:r w:rsidR="0001076D">
              <w:rPr>
                <w:noProof/>
                <w:webHidden/>
              </w:rPr>
              <w:fldChar w:fldCharType="separate"/>
            </w:r>
            <w:r w:rsidR="0001076D">
              <w:rPr>
                <w:noProof/>
                <w:webHidden/>
              </w:rPr>
              <w:t>4</w:t>
            </w:r>
            <w:r w:rsidR="0001076D">
              <w:rPr>
                <w:noProof/>
                <w:webHidden/>
              </w:rPr>
              <w:fldChar w:fldCharType="end"/>
            </w:r>
          </w:hyperlink>
        </w:p>
        <w:p w14:paraId="5244561E" w14:textId="005B34EC" w:rsidR="0001076D" w:rsidRDefault="002F2EFC">
          <w:pPr>
            <w:pStyle w:val="TOC3"/>
            <w:rPr>
              <w:rFonts w:asciiTheme="minorHAnsi" w:eastAsiaTheme="minorEastAsia" w:hAnsiTheme="minorHAnsi"/>
              <w:noProof/>
              <w:sz w:val="22"/>
              <w:lang w:val="en-US"/>
            </w:rPr>
          </w:pPr>
          <w:hyperlink w:anchor="_Toc102030132" w:history="1">
            <w:r w:rsidR="0001076D" w:rsidRPr="00436891">
              <w:rPr>
                <w:rStyle w:val="Hyperlink"/>
                <w:rFonts w:cs="Times New Roman"/>
                <w:noProof/>
              </w:rPr>
              <w:t>2.3. Updating State aid rules and guidance to make them fit for new challenges</w:t>
            </w:r>
            <w:r w:rsidR="0001076D">
              <w:rPr>
                <w:noProof/>
                <w:webHidden/>
              </w:rPr>
              <w:tab/>
            </w:r>
            <w:r w:rsidR="0001076D">
              <w:rPr>
                <w:noProof/>
                <w:webHidden/>
              </w:rPr>
              <w:fldChar w:fldCharType="begin"/>
            </w:r>
            <w:r w:rsidR="0001076D">
              <w:rPr>
                <w:noProof/>
                <w:webHidden/>
              </w:rPr>
              <w:instrText xml:space="preserve"> PAGEREF _Toc102030132 \h </w:instrText>
            </w:r>
            <w:r w:rsidR="0001076D">
              <w:rPr>
                <w:noProof/>
                <w:webHidden/>
              </w:rPr>
            </w:r>
            <w:r w:rsidR="0001076D">
              <w:rPr>
                <w:noProof/>
                <w:webHidden/>
              </w:rPr>
              <w:fldChar w:fldCharType="separate"/>
            </w:r>
            <w:r w:rsidR="0001076D">
              <w:rPr>
                <w:noProof/>
                <w:webHidden/>
              </w:rPr>
              <w:t>7</w:t>
            </w:r>
            <w:r w:rsidR="0001076D">
              <w:rPr>
                <w:noProof/>
                <w:webHidden/>
              </w:rPr>
              <w:fldChar w:fldCharType="end"/>
            </w:r>
          </w:hyperlink>
        </w:p>
        <w:p w14:paraId="22A89877" w14:textId="1B5D5EE0" w:rsidR="0001076D" w:rsidRDefault="002F2EFC">
          <w:pPr>
            <w:pStyle w:val="TOC3"/>
            <w:rPr>
              <w:rFonts w:asciiTheme="minorHAnsi" w:eastAsiaTheme="minorEastAsia" w:hAnsiTheme="minorHAnsi"/>
              <w:noProof/>
              <w:sz w:val="22"/>
              <w:lang w:val="en-US"/>
            </w:rPr>
          </w:pPr>
          <w:hyperlink w:anchor="_Toc102030133" w:history="1">
            <w:r w:rsidR="0001076D" w:rsidRPr="00436891">
              <w:rPr>
                <w:rStyle w:val="Hyperlink"/>
                <w:noProof/>
              </w:rPr>
              <w:t>2.4. Adjusting DG Competition to current and future enforcement needs</w:t>
            </w:r>
            <w:r w:rsidR="0001076D">
              <w:rPr>
                <w:noProof/>
                <w:webHidden/>
              </w:rPr>
              <w:tab/>
            </w:r>
            <w:r w:rsidR="0001076D">
              <w:rPr>
                <w:noProof/>
                <w:webHidden/>
              </w:rPr>
              <w:fldChar w:fldCharType="begin"/>
            </w:r>
            <w:r w:rsidR="0001076D">
              <w:rPr>
                <w:noProof/>
                <w:webHidden/>
              </w:rPr>
              <w:instrText xml:space="preserve"> PAGEREF _Toc102030133 \h </w:instrText>
            </w:r>
            <w:r w:rsidR="0001076D">
              <w:rPr>
                <w:noProof/>
                <w:webHidden/>
              </w:rPr>
            </w:r>
            <w:r w:rsidR="0001076D">
              <w:rPr>
                <w:noProof/>
                <w:webHidden/>
              </w:rPr>
              <w:fldChar w:fldCharType="separate"/>
            </w:r>
            <w:r w:rsidR="0001076D">
              <w:rPr>
                <w:noProof/>
                <w:webHidden/>
              </w:rPr>
              <w:t>12</w:t>
            </w:r>
            <w:r w:rsidR="0001076D">
              <w:rPr>
                <w:noProof/>
                <w:webHidden/>
              </w:rPr>
              <w:fldChar w:fldCharType="end"/>
            </w:r>
          </w:hyperlink>
        </w:p>
        <w:p w14:paraId="38EDBF5C" w14:textId="02AF91C5" w:rsidR="0001076D" w:rsidRDefault="002F2EFC">
          <w:pPr>
            <w:pStyle w:val="TOC2"/>
            <w:rPr>
              <w:rFonts w:asciiTheme="minorHAnsi" w:eastAsiaTheme="minorEastAsia" w:hAnsiTheme="minorHAnsi"/>
              <w:noProof/>
              <w:sz w:val="22"/>
              <w:lang w:val="en-US"/>
            </w:rPr>
          </w:pPr>
          <w:hyperlink w:anchor="_Toc102030134" w:history="1">
            <w:r w:rsidR="0001076D" w:rsidRPr="00436891">
              <w:rPr>
                <w:rStyle w:val="Hyperlink"/>
                <w:noProof/>
              </w:rPr>
              <w:t>3. Competition Policy Enforcement Contributed to the Digital Transition and a Strong and Resilient Single Market</w:t>
            </w:r>
            <w:r w:rsidR="0001076D">
              <w:rPr>
                <w:noProof/>
                <w:webHidden/>
              </w:rPr>
              <w:tab/>
            </w:r>
            <w:r w:rsidR="0001076D">
              <w:rPr>
                <w:noProof/>
                <w:webHidden/>
              </w:rPr>
              <w:fldChar w:fldCharType="begin"/>
            </w:r>
            <w:r w:rsidR="0001076D">
              <w:rPr>
                <w:noProof/>
                <w:webHidden/>
              </w:rPr>
              <w:instrText xml:space="preserve"> PAGEREF _Toc102030134 \h </w:instrText>
            </w:r>
            <w:r w:rsidR="0001076D">
              <w:rPr>
                <w:noProof/>
                <w:webHidden/>
              </w:rPr>
            </w:r>
            <w:r w:rsidR="0001076D">
              <w:rPr>
                <w:noProof/>
                <w:webHidden/>
              </w:rPr>
              <w:fldChar w:fldCharType="separate"/>
            </w:r>
            <w:r w:rsidR="0001076D">
              <w:rPr>
                <w:noProof/>
                <w:webHidden/>
              </w:rPr>
              <w:t>14</w:t>
            </w:r>
            <w:r w:rsidR="0001076D">
              <w:rPr>
                <w:noProof/>
                <w:webHidden/>
              </w:rPr>
              <w:fldChar w:fldCharType="end"/>
            </w:r>
          </w:hyperlink>
        </w:p>
        <w:p w14:paraId="13D2F3C2" w14:textId="25034590" w:rsidR="0001076D" w:rsidRDefault="002F2EFC">
          <w:pPr>
            <w:pStyle w:val="TOC3"/>
            <w:rPr>
              <w:rFonts w:asciiTheme="minorHAnsi" w:eastAsiaTheme="minorEastAsia" w:hAnsiTheme="minorHAnsi"/>
              <w:noProof/>
              <w:sz w:val="22"/>
              <w:lang w:val="en-US"/>
            </w:rPr>
          </w:pPr>
          <w:hyperlink w:anchor="_Toc102030135" w:history="1">
            <w:r w:rsidR="0001076D" w:rsidRPr="00436891">
              <w:rPr>
                <w:rStyle w:val="Hyperlink"/>
                <w:rFonts w:cs="Times New Roman"/>
                <w:noProof/>
              </w:rPr>
              <w:t xml:space="preserve">3.1. Enforcement in antitrust contributed to the digital transition and a strong and resilient Single Market </w:t>
            </w:r>
            <w:r w:rsidR="0001076D">
              <w:rPr>
                <w:noProof/>
                <w:webHidden/>
              </w:rPr>
              <w:tab/>
            </w:r>
            <w:r w:rsidR="0001076D">
              <w:rPr>
                <w:noProof/>
                <w:webHidden/>
              </w:rPr>
              <w:fldChar w:fldCharType="begin"/>
            </w:r>
            <w:r w:rsidR="0001076D">
              <w:rPr>
                <w:noProof/>
                <w:webHidden/>
              </w:rPr>
              <w:instrText xml:space="preserve"> PAGEREF _Toc102030135 \h </w:instrText>
            </w:r>
            <w:r w:rsidR="0001076D">
              <w:rPr>
                <w:noProof/>
                <w:webHidden/>
              </w:rPr>
            </w:r>
            <w:r w:rsidR="0001076D">
              <w:rPr>
                <w:noProof/>
                <w:webHidden/>
              </w:rPr>
              <w:fldChar w:fldCharType="separate"/>
            </w:r>
            <w:r w:rsidR="0001076D">
              <w:rPr>
                <w:noProof/>
                <w:webHidden/>
              </w:rPr>
              <w:t>14</w:t>
            </w:r>
            <w:r w:rsidR="0001076D">
              <w:rPr>
                <w:noProof/>
                <w:webHidden/>
              </w:rPr>
              <w:fldChar w:fldCharType="end"/>
            </w:r>
          </w:hyperlink>
        </w:p>
        <w:p w14:paraId="1EDE09F5" w14:textId="5E25394F" w:rsidR="0001076D" w:rsidRDefault="002F2EFC">
          <w:pPr>
            <w:pStyle w:val="TOC3"/>
            <w:rPr>
              <w:rFonts w:asciiTheme="minorHAnsi" w:eastAsiaTheme="minorEastAsia" w:hAnsiTheme="minorHAnsi"/>
              <w:noProof/>
              <w:sz w:val="22"/>
              <w:lang w:val="en-US"/>
            </w:rPr>
          </w:pPr>
          <w:hyperlink w:anchor="_Toc102030136" w:history="1">
            <w:r w:rsidR="0001076D" w:rsidRPr="00436891">
              <w:rPr>
                <w:rStyle w:val="Hyperlink"/>
                <w:rFonts w:cs="Times New Roman"/>
                <w:noProof/>
              </w:rPr>
              <w:t>3.2. Merger control contributed to the digital transition and a strong and resilient Single Market</w:t>
            </w:r>
            <w:r w:rsidR="0001076D">
              <w:rPr>
                <w:noProof/>
                <w:webHidden/>
              </w:rPr>
              <w:tab/>
            </w:r>
            <w:r w:rsidR="0001076D">
              <w:rPr>
                <w:noProof/>
                <w:webHidden/>
              </w:rPr>
              <w:fldChar w:fldCharType="begin"/>
            </w:r>
            <w:r w:rsidR="0001076D">
              <w:rPr>
                <w:noProof/>
                <w:webHidden/>
              </w:rPr>
              <w:instrText xml:space="preserve"> PAGEREF _Toc102030136 \h </w:instrText>
            </w:r>
            <w:r w:rsidR="0001076D">
              <w:rPr>
                <w:noProof/>
                <w:webHidden/>
              </w:rPr>
            </w:r>
            <w:r w:rsidR="0001076D">
              <w:rPr>
                <w:noProof/>
                <w:webHidden/>
              </w:rPr>
              <w:fldChar w:fldCharType="separate"/>
            </w:r>
            <w:r w:rsidR="0001076D">
              <w:rPr>
                <w:noProof/>
                <w:webHidden/>
              </w:rPr>
              <w:t>18</w:t>
            </w:r>
            <w:r w:rsidR="0001076D">
              <w:rPr>
                <w:noProof/>
                <w:webHidden/>
              </w:rPr>
              <w:fldChar w:fldCharType="end"/>
            </w:r>
          </w:hyperlink>
        </w:p>
        <w:p w14:paraId="4730C37C" w14:textId="17271D4F" w:rsidR="0001076D" w:rsidRDefault="002F2EFC">
          <w:pPr>
            <w:pStyle w:val="TOC3"/>
            <w:rPr>
              <w:rFonts w:asciiTheme="minorHAnsi" w:eastAsiaTheme="minorEastAsia" w:hAnsiTheme="minorHAnsi"/>
              <w:noProof/>
              <w:sz w:val="22"/>
              <w:lang w:val="en-US"/>
            </w:rPr>
          </w:pPr>
          <w:hyperlink w:anchor="_Toc102030137" w:history="1">
            <w:r w:rsidR="0001076D" w:rsidRPr="00436891">
              <w:rPr>
                <w:rStyle w:val="Hyperlink"/>
                <w:rFonts w:cs="Times New Roman"/>
                <w:noProof/>
              </w:rPr>
              <w:t>3.3. State aid control contributed to the digital transition and the resilience of the Single Market</w:t>
            </w:r>
            <w:r w:rsidR="0001076D">
              <w:rPr>
                <w:noProof/>
                <w:webHidden/>
              </w:rPr>
              <w:tab/>
            </w:r>
            <w:r w:rsidR="0001076D">
              <w:rPr>
                <w:noProof/>
                <w:webHidden/>
              </w:rPr>
              <w:fldChar w:fldCharType="begin"/>
            </w:r>
            <w:r w:rsidR="0001076D">
              <w:rPr>
                <w:noProof/>
                <w:webHidden/>
              </w:rPr>
              <w:instrText xml:space="preserve"> PAGEREF _Toc102030137 \h </w:instrText>
            </w:r>
            <w:r w:rsidR="0001076D">
              <w:rPr>
                <w:noProof/>
                <w:webHidden/>
              </w:rPr>
            </w:r>
            <w:r w:rsidR="0001076D">
              <w:rPr>
                <w:noProof/>
                <w:webHidden/>
              </w:rPr>
              <w:fldChar w:fldCharType="separate"/>
            </w:r>
            <w:r w:rsidR="0001076D">
              <w:rPr>
                <w:noProof/>
                <w:webHidden/>
              </w:rPr>
              <w:t>19</w:t>
            </w:r>
            <w:r w:rsidR="0001076D">
              <w:rPr>
                <w:noProof/>
                <w:webHidden/>
              </w:rPr>
              <w:fldChar w:fldCharType="end"/>
            </w:r>
          </w:hyperlink>
        </w:p>
        <w:p w14:paraId="34C850D4" w14:textId="6C76C9C8" w:rsidR="0001076D" w:rsidRDefault="002F2EFC">
          <w:pPr>
            <w:pStyle w:val="TOC2"/>
            <w:rPr>
              <w:rFonts w:asciiTheme="minorHAnsi" w:eastAsiaTheme="minorEastAsia" w:hAnsiTheme="minorHAnsi"/>
              <w:noProof/>
              <w:sz w:val="22"/>
              <w:lang w:val="en-US"/>
            </w:rPr>
          </w:pPr>
          <w:hyperlink w:anchor="_Toc102030138" w:history="1">
            <w:r w:rsidR="0001076D" w:rsidRPr="00436891">
              <w:rPr>
                <w:rStyle w:val="Hyperlink"/>
                <w:noProof/>
              </w:rPr>
              <w:t>4. Competition policy enforcement contributed to the green transition</w:t>
            </w:r>
            <w:r w:rsidR="0001076D">
              <w:rPr>
                <w:noProof/>
                <w:webHidden/>
              </w:rPr>
              <w:tab/>
            </w:r>
            <w:r w:rsidR="0001076D">
              <w:rPr>
                <w:noProof/>
                <w:webHidden/>
              </w:rPr>
              <w:fldChar w:fldCharType="begin"/>
            </w:r>
            <w:r w:rsidR="0001076D">
              <w:rPr>
                <w:noProof/>
                <w:webHidden/>
              </w:rPr>
              <w:instrText xml:space="preserve"> PAGEREF _Toc102030138 \h </w:instrText>
            </w:r>
            <w:r w:rsidR="0001076D">
              <w:rPr>
                <w:noProof/>
                <w:webHidden/>
              </w:rPr>
            </w:r>
            <w:r w:rsidR="0001076D">
              <w:rPr>
                <w:noProof/>
                <w:webHidden/>
              </w:rPr>
              <w:fldChar w:fldCharType="separate"/>
            </w:r>
            <w:r w:rsidR="0001076D">
              <w:rPr>
                <w:noProof/>
                <w:webHidden/>
              </w:rPr>
              <w:t>20</w:t>
            </w:r>
            <w:r w:rsidR="0001076D">
              <w:rPr>
                <w:noProof/>
                <w:webHidden/>
              </w:rPr>
              <w:fldChar w:fldCharType="end"/>
            </w:r>
          </w:hyperlink>
        </w:p>
        <w:p w14:paraId="03D19442" w14:textId="686DBA75" w:rsidR="0001076D" w:rsidRDefault="002F2EFC">
          <w:pPr>
            <w:pStyle w:val="TOC3"/>
            <w:rPr>
              <w:rFonts w:asciiTheme="minorHAnsi" w:eastAsiaTheme="minorEastAsia" w:hAnsiTheme="minorHAnsi"/>
              <w:noProof/>
              <w:sz w:val="22"/>
              <w:lang w:val="en-US"/>
            </w:rPr>
          </w:pPr>
          <w:hyperlink w:anchor="_Toc102030139" w:history="1">
            <w:r w:rsidR="0001076D" w:rsidRPr="00436891">
              <w:rPr>
                <w:rStyle w:val="Hyperlink"/>
                <w:rFonts w:cs="Times New Roman"/>
                <w:noProof/>
              </w:rPr>
              <w:t>4.1. State aid control contributed to the Green transition</w:t>
            </w:r>
            <w:r w:rsidR="0001076D">
              <w:rPr>
                <w:noProof/>
                <w:webHidden/>
              </w:rPr>
              <w:tab/>
            </w:r>
            <w:r w:rsidR="0001076D">
              <w:rPr>
                <w:noProof/>
                <w:webHidden/>
              </w:rPr>
              <w:fldChar w:fldCharType="begin"/>
            </w:r>
            <w:r w:rsidR="0001076D">
              <w:rPr>
                <w:noProof/>
                <w:webHidden/>
              </w:rPr>
              <w:instrText xml:space="preserve"> PAGEREF _Toc102030139 \h </w:instrText>
            </w:r>
            <w:r w:rsidR="0001076D">
              <w:rPr>
                <w:noProof/>
                <w:webHidden/>
              </w:rPr>
            </w:r>
            <w:r w:rsidR="0001076D">
              <w:rPr>
                <w:noProof/>
                <w:webHidden/>
              </w:rPr>
              <w:fldChar w:fldCharType="separate"/>
            </w:r>
            <w:r w:rsidR="0001076D">
              <w:rPr>
                <w:noProof/>
                <w:webHidden/>
              </w:rPr>
              <w:t>20</w:t>
            </w:r>
            <w:r w:rsidR="0001076D">
              <w:rPr>
                <w:noProof/>
                <w:webHidden/>
              </w:rPr>
              <w:fldChar w:fldCharType="end"/>
            </w:r>
          </w:hyperlink>
        </w:p>
        <w:p w14:paraId="1A316725" w14:textId="1C78C0E0" w:rsidR="0001076D" w:rsidRDefault="002F2EFC">
          <w:pPr>
            <w:pStyle w:val="TOC3"/>
            <w:rPr>
              <w:rFonts w:asciiTheme="minorHAnsi" w:eastAsiaTheme="minorEastAsia" w:hAnsiTheme="minorHAnsi"/>
              <w:noProof/>
              <w:sz w:val="22"/>
              <w:lang w:val="en-US"/>
            </w:rPr>
          </w:pPr>
          <w:hyperlink w:anchor="_Toc102030140" w:history="1">
            <w:r w:rsidR="0001076D" w:rsidRPr="00436891">
              <w:rPr>
                <w:rStyle w:val="Hyperlink"/>
                <w:rFonts w:cs="Times New Roman"/>
                <w:noProof/>
              </w:rPr>
              <w:t>4.2 Antitrust enforcement and merger control contributed to the green transition</w:t>
            </w:r>
            <w:r w:rsidR="0001076D">
              <w:rPr>
                <w:noProof/>
                <w:webHidden/>
              </w:rPr>
              <w:tab/>
            </w:r>
            <w:r w:rsidR="0001076D">
              <w:rPr>
                <w:noProof/>
                <w:webHidden/>
              </w:rPr>
              <w:fldChar w:fldCharType="begin"/>
            </w:r>
            <w:r w:rsidR="0001076D">
              <w:rPr>
                <w:noProof/>
                <w:webHidden/>
              </w:rPr>
              <w:instrText xml:space="preserve"> PAGEREF _Toc102030140 \h </w:instrText>
            </w:r>
            <w:r w:rsidR="0001076D">
              <w:rPr>
                <w:noProof/>
                <w:webHidden/>
              </w:rPr>
            </w:r>
            <w:r w:rsidR="0001076D">
              <w:rPr>
                <w:noProof/>
                <w:webHidden/>
              </w:rPr>
              <w:fldChar w:fldCharType="separate"/>
            </w:r>
            <w:r w:rsidR="0001076D">
              <w:rPr>
                <w:noProof/>
                <w:webHidden/>
              </w:rPr>
              <w:t>21</w:t>
            </w:r>
            <w:r w:rsidR="0001076D">
              <w:rPr>
                <w:noProof/>
                <w:webHidden/>
              </w:rPr>
              <w:fldChar w:fldCharType="end"/>
            </w:r>
          </w:hyperlink>
        </w:p>
        <w:p w14:paraId="744EAEA2" w14:textId="62BA40F4" w:rsidR="0001076D" w:rsidRDefault="002F2EFC">
          <w:pPr>
            <w:pStyle w:val="TOC2"/>
            <w:rPr>
              <w:rFonts w:asciiTheme="minorHAnsi" w:eastAsiaTheme="minorEastAsia" w:hAnsiTheme="minorHAnsi"/>
              <w:noProof/>
              <w:sz w:val="22"/>
              <w:lang w:val="en-US"/>
            </w:rPr>
          </w:pPr>
          <w:hyperlink w:anchor="_Toc102030141" w:history="1">
            <w:r w:rsidR="0001076D" w:rsidRPr="00436891">
              <w:rPr>
                <w:rStyle w:val="Hyperlink"/>
                <w:noProof/>
              </w:rPr>
              <w:t>5. Competition Policy Contributed to An Economy that Works for people</w:t>
            </w:r>
            <w:r w:rsidR="0001076D">
              <w:rPr>
                <w:noProof/>
                <w:webHidden/>
              </w:rPr>
              <w:tab/>
            </w:r>
            <w:r w:rsidR="0001076D">
              <w:rPr>
                <w:noProof/>
                <w:webHidden/>
              </w:rPr>
              <w:fldChar w:fldCharType="begin"/>
            </w:r>
            <w:r w:rsidR="0001076D">
              <w:rPr>
                <w:noProof/>
                <w:webHidden/>
              </w:rPr>
              <w:instrText xml:space="preserve"> PAGEREF _Toc102030141 \h </w:instrText>
            </w:r>
            <w:r w:rsidR="0001076D">
              <w:rPr>
                <w:noProof/>
                <w:webHidden/>
              </w:rPr>
            </w:r>
            <w:r w:rsidR="0001076D">
              <w:rPr>
                <w:noProof/>
                <w:webHidden/>
              </w:rPr>
              <w:fldChar w:fldCharType="separate"/>
            </w:r>
            <w:r w:rsidR="0001076D">
              <w:rPr>
                <w:noProof/>
                <w:webHidden/>
              </w:rPr>
              <w:t>23</w:t>
            </w:r>
            <w:r w:rsidR="0001076D">
              <w:rPr>
                <w:noProof/>
                <w:webHidden/>
              </w:rPr>
              <w:fldChar w:fldCharType="end"/>
            </w:r>
          </w:hyperlink>
        </w:p>
        <w:p w14:paraId="098E85E6" w14:textId="5BD25912" w:rsidR="0001076D" w:rsidRDefault="002F2EFC">
          <w:pPr>
            <w:pStyle w:val="TOC3"/>
            <w:rPr>
              <w:rFonts w:asciiTheme="minorHAnsi" w:eastAsiaTheme="minorEastAsia" w:hAnsiTheme="minorHAnsi"/>
              <w:noProof/>
              <w:sz w:val="22"/>
              <w:lang w:val="en-US"/>
            </w:rPr>
          </w:pPr>
          <w:hyperlink w:anchor="_Toc102030142" w:history="1">
            <w:r w:rsidR="0001076D" w:rsidRPr="00436891">
              <w:rPr>
                <w:rStyle w:val="Hyperlink"/>
                <w:noProof/>
              </w:rPr>
              <w:t>5.1. Resilient European financial services</w:t>
            </w:r>
            <w:r w:rsidR="0001076D">
              <w:rPr>
                <w:noProof/>
                <w:webHidden/>
              </w:rPr>
              <w:tab/>
            </w:r>
            <w:r w:rsidR="0001076D">
              <w:rPr>
                <w:noProof/>
                <w:webHidden/>
              </w:rPr>
              <w:fldChar w:fldCharType="begin"/>
            </w:r>
            <w:r w:rsidR="0001076D">
              <w:rPr>
                <w:noProof/>
                <w:webHidden/>
              </w:rPr>
              <w:instrText xml:space="preserve"> PAGEREF _Toc102030142 \h </w:instrText>
            </w:r>
            <w:r w:rsidR="0001076D">
              <w:rPr>
                <w:noProof/>
                <w:webHidden/>
              </w:rPr>
            </w:r>
            <w:r w:rsidR="0001076D">
              <w:rPr>
                <w:noProof/>
                <w:webHidden/>
              </w:rPr>
              <w:fldChar w:fldCharType="separate"/>
            </w:r>
            <w:r w:rsidR="0001076D">
              <w:rPr>
                <w:noProof/>
                <w:webHidden/>
              </w:rPr>
              <w:t>23</w:t>
            </w:r>
            <w:r w:rsidR="0001076D">
              <w:rPr>
                <w:noProof/>
                <w:webHidden/>
              </w:rPr>
              <w:fldChar w:fldCharType="end"/>
            </w:r>
          </w:hyperlink>
        </w:p>
        <w:p w14:paraId="3BB38493" w14:textId="70C18FB5" w:rsidR="0001076D" w:rsidRDefault="002F2EFC">
          <w:pPr>
            <w:pStyle w:val="TOC3"/>
            <w:rPr>
              <w:rFonts w:asciiTheme="minorHAnsi" w:eastAsiaTheme="minorEastAsia" w:hAnsiTheme="minorHAnsi"/>
              <w:noProof/>
              <w:sz w:val="22"/>
              <w:lang w:val="en-US"/>
            </w:rPr>
          </w:pPr>
          <w:hyperlink w:anchor="_Toc102030143" w:history="1">
            <w:r w:rsidR="0001076D" w:rsidRPr="00436891">
              <w:rPr>
                <w:rStyle w:val="Hyperlink"/>
                <w:noProof/>
              </w:rPr>
              <w:t>5.2. Fiscal State aid and selective tax advantages</w:t>
            </w:r>
            <w:r w:rsidR="0001076D">
              <w:rPr>
                <w:noProof/>
                <w:webHidden/>
              </w:rPr>
              <w:tab/>
            </w:r>
            <w:r w:rsidR="0001076D">
              <w:rPr>
                <w:noProof/>
                <w:webHidden/>
              </w:rPr>
              <w:fldChar w:fldCharType="begin"/>
            </w:r>
            <w:r w:rsidR="0001076D">
              <w:rPr>
                <w:noProof/>
                <w:webHidden/>
              </w:rPr>
              <w:instrText xml:space="preserve"> PAGEREF _Toc102030143 \h </w:instrText>
            </w:r>
            <w:r w:rsidR="0001076D">
              <w:rPr>
                <w:noProof/>
                <w:webHidden/>
              </w:rPr>
            </w:r>
            <w:r w:rsidR="0001076D">
              <w:rPr>
                <w:noProof/>
                <w:webHidden/>
              </w:rPr>
              <w:fldChar w:fldCharType="separate"/>
            </w:r>
            <w:r w:rsidR="0001076D">
              <w:rPr>
                <w:noProof/>
                <w:webHidden/>
              </w:rPr>
              <w:t>24</w:t>
            </w:r>
            <w:r w:rsidR="0001076D">
              <w:rPr>
                <w:noProof/>
                <w:webHidden/>
              </w:rPr>
              <w:fldChar w:fldCharType="end"/>
            </w:r>
          </w:hyperlink>
        </w:p>
        <w:p w14:paraId="70F1C1D5" w14:textId="0C141231" w:rsidR="0001076D" w:rsidRDefault="002F2EFC">
          <w:pPr>
            <w:pStyle w:val="TOC3"/>
            <w:rPr>
              <w:rFonts w:asciiTheme="minorHAnsi" w:eastAsiaTheme="minorEastAsia" w:hAnsiTheme="minorHAnsi"/>
              <w:noProof/>
              <w:sz w:val="22"/>
              <w:lang w:val="en-US"/>
            </w:rPr>
          </w:pPr>
          <w:hyperlink w:anchor="_Toc102030144" w:history="1">
            <w:r w:rsidR="0001076D" w:rsidRPr="00436891">
              <w:rPr>
                <w:rStyle w:val="Hyperlink"/>
                <w:noProof/>
              </w:rPr>
              <w:t>5.3. Competition policy continued to mitigate the economic and social fall-out from the COVID-19 pandemic</w:t>
            </w:r>
            <w:r w:rsidR="0001076D">
              <w:rPr>
                <w:noProof/>
                <w:webHidden/>
              </w:rPr>
              <w:tab/>
            </w:r>
            <w:r w:rsidR="0001076D">
              <w:rPr>
                <w:noProof/>
                <w:webHidden/>
              </w:rPr>
              <w:fldChar w:fldCharType="begin"/>
            </w:r>
            <w:r w:rsidR="0001076D">
              <w:rPr>
                <w:noProof/>
                <w:webHidden/>
              </w:rPr>
              <w:instrText xml:space="preserve"> PAGEREF _Toc102030144 \h </w:instrText>
            </w:r>
            <w:r w:rsidR="0001076D">
              <w:rPr>
                <w:noProof/>
                <w:webHidden/>
              </w:rPr>
            </w:r>
            <w:r w:rsidR="0001076D">
              <w:rPr>
                <w:noProof/>
                <w:webHidden/>
              </w:rPr>
              <w:fldChar w:fldCharType="separate"/>
            </w:r>
            <w:r w:rsidR="0001076D">
              <w:rPr>
                <w:noProof/>
                <w:webHidden/>
              </w:rPr>
              <w:t>25</w:t>
            </w:r>
            <w:r w:rsidR="0001076D">
              <w:rPr>
                <w:noProof/>
                <w:webHidden/>
              </w:rPr>
              <w:fldChar w:fldCharType="end"/>
            </w:r>
          </w:hyperlink>
        </w:p>
        <w:p w14:paraId="05A5FEB2" w14:textId="08A3CF06" w:rsidR="0001076D" w:rsidRDefault="002F2EFC">
          <w:pPr>
            <w:pStyle w:val="TOC2"/>
            <w:rPr>
              <w:rFonts w:asciiTheme="minorHAnsi" w:eastAsiaTheme="minorEastAsia" w:hAnsiTheme="minorHAnsi"/>
              <w:noProof/>
              <w:sz w:val="22"/>
              <w:lang w:val="en-US"/>
            </w:rPr>
          </w:pPr>
          <w:hyperlink w:anchor="_Toc102030145" w:history="1">
            <w:r w:rsidR="0001076D" w:rsidRPr="00436891">
              <w:rPr>
                <w:rStyle w:val="Hyperlink"/>
                <w:noProof/>
              </w:rPr>
              <w:t>6. Joining Forces Shaping a European and Global Competition Culture</w:t>
            </w:r>
            <w:r w:rsidR="0001076D">
              <w:rPr>
                <w:noProof/>
                <w:webHidden/>
              </w:rPr>
              <w:tab/>
            </w:r>
            <w:r w:rsidR="0001076D">
              <w:rPr>
                <w:noProof/>
                <w:webHidden/>
              </w:rPr>
              <w:fldChar w:fldCharType="begin"/>
            </w:r>
            <w:r w:rsidR="0001076D">
              <w:rPr>
                <w:noProof/>
                <w:webHidden/>
              </w:rPr>
              <w:instrText xml:space="preserve"> PAGEREF _Toc102030145 \h </w:instrText>
            </w:r>
            <w:r w:rsidR="0001076D">
              <w:rPr>
                <w:noProof/>
                <w:webHidden/>
              </w:rPr>
            </w:r>
            <w:r w:rsidR="0001076D">
              <w:rPr>
                <w:noProof/>
                <w:webHidden/>
              </w:rPr>
              <w:fldChar w:fldCharType="separate"/>
            </w:r>
            <w:r w:rsidR="0001076D">
              <w:rPr>
                <w:noProof/>
                <w:webHidden/>
              </w:rPr>
              <w:t>28</w:t>
            </w:r>
            <w:r w:rsidR="0001076D">
              <w:rPr>
                <w:noProof/>
                <w:webHidden/>
              </w:rPr>
              <w:fldChar w:fldCharType="end"/>
            </w:r>
          </w:hyperlink>
        </w:p>
        <w:p w14:paraId="4C289EF2" w14:textId="62EB0CA0" w:rsidR="0001076D" w:rsidRDefault="002F2EFC">
          <w:pPr>
            <w:pStyle w:val="TOC3"/>
            <w:rPr>
              <w:rFonts w:asciiTheme="minorHAnsi" w:eastAsiaTheme="minorEastAsia" w:hAnsiTheme="minorHAnsi"/>
              <w:noProof/>
              <w:sz w:val="22"/>
              <w:lang w:val="en-US"/>
            </w:rPr>
          </w:pPr>
          <w:hyperlink w:anchor="_Toc102030146" w:history="1">
            <w:r w:rsidR="0001076D" w:rsidRPr="00436891">
              <w:rPr>
                <w:rStyle w:val="Hyperlink"/>
                <w:rFonts w:cs="Times New Roman"/>
                <w:noProof/>
              </w:rPr>
              <w:t>6.1. Policy Cohesion through the European Competition Network</w:t>
            </w:r>
            <w:r w:rsidR="0001076D">
              <w:rPr>
                <w:noProof/>
                <w:webHidden/>
              </w:rPr>
              <w:tab/>
            </w:r>
            <w:r w:rsidR="0001076D">
              <w:rPr>
                <w:noProof/>
                <w:webHidden/>
              </w:rPr>
              <w:fldChar w:fldCharType="begin"/>
            </w:r>
            <w:r w:rsidR="0001076D">
              <w:rPr>
                <w:noProof/>
                <w:webHidden/>
              </w:rPr>
              <w:instrText xml:space="preserve"> PAGEREF _Toc102030146 \h </w:instrText>
            </w:r>
            <w:r w:rsidR="0001076D">
              <w:rPr>
                <w:noProof/>
                <w:webHidden/>
              </w:rPr>
            </w:r>
            <w:r w:rsidR="0001076D">
              <w:rPr>
                <w:noProof/>
                <w:webHidden/>
              </w:rPr>
              <w:fldChar w:fldCharType="separate"/>
            </w:r>
            <w:r w:rsidR="0001076D">
              <w:rPr>
                <w:noProof/>
                <w:webHidden/>
              </w:rPr>
              <w:t>28</w:t>
            </w:r>
            <w:r w:rsidR="0001076D">
              <w:rPr>
                <w:noProof/>
                <w:webHidden/>
              </w:rPr>
              <w:fldChar w:fldCharType="end"/>
            </w:r>
          </w:hyperlink>
        </w:p>
        <w:p w14:paraId="4D66912A" w14:textId="3294F13A" w:rsidR="0001076D" w:rsidRDefault="002F2EFC">
          <w:pPr>
            <w:pStyle w:val="TOC3"/>
            <w:rPr>
              <w:rFonts w:asciiTheme="minorHAnsi" w:eastAsiaTheme="minorEastAsia" w:hAnsiTheme="minorHAnsi"/>
              <w:noProof/>
              <w:sz w:val="22"/>
              <w:lang w:val="en-US"/>
            </w:rPr>
          </w:pPr>
          <w:hyperlink w:anchor="_Toc102030147" w:history="1">
            <w:r w:rsidR="0001076D" w:rsidRPr="00436891">
              <w:rPr>
                <w:rStyle w:val="Hyperlink"/>
                <w:rFonts w:cs="Times New Roman"/>
                <w:noProof/>
              </w:rPr>
              <w:t>6.2. Competition policy cooperation across the world</w:t>
            </w:r>
            <w:r w:rsidR="0001076D">
              <w:rPr>
                <w:noProof/>
                <w:webHidden/>
              </w:rPr>
              <w:tab/>
            </w:r>
            <w:r w:rsidR="0001076D">
              <w:rPr>
                <w:noProof/>
                <w:webHidden/>
              </w:rPr>
              <w:fldChar w:fldCharType="begin"/>
            </w:r>
            <w:r w:rsidR="0001076D">
              <w:rPr>
                <w:noProof/>
                <w:webHidden/>
              </w:rPr>
              <w:instrText xml:space="preserve"> PAGEREF _Toc102030147 \h </w:instrText>
            </w:r>
            <w:r w:rsidR="0001076D">
              <w:rPr>
                <w:noProof/>
                <w:webHidden/>
              </w:rPr>
            </w:r>
            <w:r w:rsidR="0001076D">
              <w:rPr>
                <w:noProof/>
                <w:webHidden/>
              </w:rPr>
              <w:fldChar w:fldCharType="separate"/>
            </w:r>
            <w:r w:rsidR="0001076D">
              <w:rPr>
                <w:noProof/>
                <w:webHidden/>
              </w:rPr>
              <w:t>29</w:t>
            </w:r>
            <w:r w:rsidR="0001076D">
              <w:rPr>
                <w:noProof/>
                <w:webHidden/>
              </w:rPr>
              <w:fldChar w:fldCharType="end"/>
            </w:r>
          </w:hyperlink>
        </w:p>
        <w:p w14:paraId="1AD16049" w14:textId="05540BD5" w:rsidR="00585107" w:rsidRPr="00542D19" w:rsidRDefault="00585107" w:rsidP="00584DFC">
          <w:pPr>
            <w:pStyle w:val="TOC2"/>
            <w:rPr>
              <w:noProof/>
            </w:rPr>
          </w:pPr>
          <w:r w:rsidRPr="00542D19">
            <w:rPr>
              <w:noProof/>
            </w:rPr>
            <w:fldChar w:fldCharType="end"/>
          </w:r>
        </w:p>
      </w:sdtContent>
    </w:sdt>
    <w:p w14:paraId="478EF203" w14:textId="1C8CE0D8" w:rsidR="003D35DB" w:rsidRPr="001C1ABD" w:rsidRDefault="4161F22A" w:rsidP="001C1ABD">
      <w:pPr>
        <w:rPr>
          <w:rStyle w:val="Heading2Char"/>
          <w:rFonts w:eastAsiaTheme="minorHAnsi"/>
          <w:bCs/>
          <w:color w:val="auto"/>
          <w:sz w:val="16"/>
          <w:szCs w:val="16"/>
        </w:rPr>
      </w:pPr>
      <w:bookmarkStart w:id="2" w:name="_Toc94190095"/>
      <w:bookmarkStart w:id="3" w:name="_Toc94281744"/>
      <w:bookmarkStart w:id="4" w:name="_Toc94695836"/>
      <w:bookmarkStart w:id="5" w:name="_Toc95762328"/>
      <w:bookmarkStart w:id="6" w:name="_Toc102030128"/>
      <w:r w:rsidRPr="00CE2B98">
        <w:rPr>
          <w:rStyle w:val="Heading2Char"/>
        </w:rPr>
        <w:t>1. Introduction</w:t>
      </w:r>
      <w:bookmarkEnd w:id="2"/>
      <w:bookmarkEnd w:id="3"/>
      <w:bookmarkEnd w:id="4"/>
      <w:bookmarkEnd w:id="5"/>
      <w:bookmarkEnd w:id="6"/>
    </w:p>
    <w:p w14:paraId="51E74A1C" w14:textId="77777777" w:rsidR="002B700B" w:rsidRPr="00542D19" w:rsidRDefault="002B700B" w:rsidP="003C5EC4">
      <w:pPr>
        <w:spacing w:before="240"/>
        <w:jc w:val="both"/>
        <w:rPr>
          <w:rFonts w:eastAsia="Times New Roman" w:cs="Times New Roman"/>
          <w:noProof/>
          <w:szCs w:val="24"/>
        </w:rPr>
      </w:pPr>
      <w:r w:rsidRPr="00542D19">
        <w:rPr>
          <w:rFonts w:eastAsia="Times New Roman" w:cs="Times New Roman"/>
          <w:noProof/>
          <w:szCs w:val="24"/>
        </w:rPr>
        <w:t xml:space="preserve">The Annual Competition Report of 2021, addressed by the Commission to the European Parliament, the Council, the European Economic and Social Committee and the Committee of the Regions, elaborates on the most important developments in EU competition policy and enforcement in 2021. </w:t>
      </w:r>
    </w:p>
    <w:p w14:paraId="3112F907" w14:textId="464CCE93" w:rsidR="00D37A8D" w:rsidRDefault="002B700B" w:rsidP="00B23430">
      <w:pPr>
        <w:spacing w:before="240"/>
        <w:jc w:val="both"/>
        <w:rPr>
          <w:noProof/>
        </w:rPr>
      </w:pPr>
      <w:r w:rsidRPr="00947B7D">
        <w:rPr>
          <w:rFonts w:eastAsia="Times New Roman" w:cs="Times New Roman"/>
          <w:noProof/>
        </w:rPr>
        <w:t xml:space="preserve">Competition policy is one of the cornerstones of the EU Single Market. </w:t>
      </w:r>
      <w:r w:rsidR="00AA2A23">
        <w:rPr>
          <w:rFonts w:eastAsia="Times New Roman" w:cs="Times New Roman"/>
          <w:noProof/>
        </w:rPr>
        <w:t xml:space="preserve">Vigorous </w:t>
      </w:r>
      <w:r w:rsidR="00D37A8D" w:rsidRPr="000B005F">
        <w:rPr>
          <w:noProof/>
        </w:rPr>
        <w:t>competition</w:t>
      </w:r>
      <w:r w:rsidR="006916CF">
        <w:rPr>
          <w:noProof/>
        </w:rPr>
        <w:t xml:space="preserve"> policy </w:t>
      </w:r>
      <w:r w:rsidR="00D37A8D" w:rsidRPr="000B005F">
        <w:rPr>
          <w:noProof/>
        </w:rPr>
        <w:t xml:space="preserve">enforcement </w:t>
      </w:r>
      <w:r w:rsidR="00AA2A23">
        <w:rPr>
          <w:noProof/>
        </w:rPr>
        <w:t xml:space="preserve">provides European businesses and consumers with choice, </w:t>
      </w:r>
      <w:r w:rsidR="00D54633">
        <w:rPr>
          <w:noProof/>
        </w:rPr>
        <w:t xml:space="preserve">innovation, </w:t>
      </w:r>
      <w:r w:rsidR="00AA2A23">
        <w:rPr>
          <w:noProof/>
        </w:rPr>
        <w:t>quality and competitive prices</w:t>
      </w:r>
      <w:r w:rsidR="00D37A8D" w:rsidRPr="000B005F">
        <w:rPr>
          <w:noProof/>
        </w:rPr>
        <w:t>.</w:t>
      </w:r>
      <w:r w:rsidR="00D54633">
        <w:rPr>
          <w:noProof/>
        </w:rPr>
        <w:t xml:space="preserve"> </w:t>
      </w:r>
      <w:r w:rsidR="006916CF">
        <w:rPr>
          <w:noProof/>
        </w:rPr>
        <w:t>I</w:t>
      </w:r>
      <w:r w:rsidR="006916CF" w:rsidRPr="00F82825">
        <w:rPr>
          <w:noProof/>
        </w:rPr>
        <w:t xml:space="preserve">n line with the Commission’s </w:t>
      </w:r>
      <w:r w:rsidR="006916CF">
        <w:rPr>
          <w:noProof/>
        </w:rPr>
        <w:t xml:space="preserve">priorities, competition policy enforcement </w:t>
      </w:r>
      <w:r w:rsidR="00D37A8D" w:rsidRPr="000B005F">
        <w:rPr>
          <w:noProof/>
        </w:rPr>
        <w:t xml:space="preserve">also </w:t>
      </w:r>
      <w:r w:rsidR="00D37A8D">
        <w:rPr>
          <w:noProof/>
        </w:rPr>
        <w:t>fosters</w:t>
      </w:r>
      <w:r w:rsidR="00D37A8D" w:rsidRPr="00BA0542">
        <w:rPr>
          <w:noProof/>
        </w:rPr>
        <w:t xml:space="preserve"> competition </w:t>
      </w:r>
      <w:r w:rsidR="006916CF">
        <w:rPr>
          <w:noProof/>
        </w:rPr>
        <w:t>towards a</w:t>
      </w:r>
      <w:r w:rsidR="00D37A8D" w:rsidRPr="00BA0542">
        <w:rPr>
          <w:noProof/>
        </w:rPr>
        <w:t xml:space="preserve"> </w:t>
      </w:r>
      <w:r w:rsidR="00D37A8D">
        <w:rPr>
          <w:noProof/>
        </w:rPr>
        <w:t xml:space="preserve">post-pandemic </w:t>
      </w:r>
      <w:r w:rsidR="00D37A8D" w:rsidRPr="00BA0542">
        <w:rPr>
          <w:noProof/>
        </w:rPr>
        <w:t xml:space="preserve">recovery </w:t>
      </w:r>
      <w:r w:rsidR="006916CF">
        <w:rPr>
          <w:noProof/>
        </w:rPr>
        <w:t xml:space="preserve">and </w:t>
      </w:r>
      <w:r w:rsidR="00D37A8D" w:rsidRPr="00F82825">
        <w:rPr>
          <w:noProof/>
        </w:rPr>
        <w:t>a greener, more digital</w:t>
      </w:r>
      <w:r w:rsidR="00D37A8D">
        <w:rPr>
          <w:noProof/>
        </w:rPr>
        <w:t>,</w:t>
      </w:r>
      <w:r w:rsidR="00D37A8D" w:rsidRPr="00F82825">
        <w:rPr>
          <w:noProof/>
        </w:rPr>
        <w:t xml:space="preserve"> more resilient </w:t>
      </w:r>
      <w:r w:rsidR="00D37A8D">
        <w:rPr>
          <w:noProof/>
        </w:rPr>
        <w:t xml:space="preserve">and </w:t>
      </w:r>
      <w:r w:rsidR="006916CF">
        <w:rPr>
          <w:noProof/>
        </w:rPr>
        <w:t xml:space="preserve">more </w:t>
      </w:r>
      <w:r w:rsidR="00D37A8D">
        <w:rPr>
          <w:noProof/>
        </w:rPr>
        <w:t xml:space="preserve">inclusive </w:t>
      </w:r>
      <w:r w:rsidR="00D37A8D" w:rsidRPr="00F82825">
        <w:rPr>
          <w:noProof/>
        </w:rPr>
        <w:t>economy</w:t>
      </w:r>
      <w:r w:rsidR="006916CF">
        <w:rPr>
          <w:noProof/>
        </w:rPr>
        <w:t xml:space="preserve"> in the EU.</w:t>
      </w:r>
      <w:r w:rsidR="00D37A8D" w:rsidRPr="00F82825">
        <w:rPr>
          <w:noProof/>
        </w:rPr>
        <w:t xml:space="preserve"> </w:t>
      </w:r>
    </w:p>
    <w:p w14:paraId="3FE847C0" w14:textId="77777777" w:rsidR="002B700B" w:rsidRPr="000F147F" w:rsidRDefault="00FB7FF8" w:rsidP="000F147F">
      <w:pPr>
        <w:spacing w:before="240"/>
        <w:jc w:val="both"/>
        <w:rPr>
          <w:rFonts w:eastAsia="Times New Roman" w:cs="Times New Roman"/>
          <w:noProof/>
        </w:rPr>
      </w:pPr>
      <w:r w:rsidRPr="00947B7D">
        <w:rPr>
          <w:rFonts w:eastAsia="Times New Roman" w:cs="Times New Roman"/>
          <w:noProof/>
        </w:rPr>
        <w:t>A</w:t>
      </w:r>
      <w:r w:rsidR="003C5EC4" w:rsidRPr="00947B7D">
        <w:rPr>
          <w:rFonts w:eastAsia="Times New Roman" w:cs="Times New Roman"/>
          <w:noProof/>
        </w:rPr>
        <w:t xml:space="preserve"> strong and resilient Single Market supports entrepreneurship at all stages, enables businesses of all sizes to get the most out of </w:t>
      </w:r>
      <w:r w:rsidR="003C1C56" w:rsidRPr="00947B7D">
        <w:rPr>
          <w:rFonts w:eastAsia="Times New Roman" w:cs="Times New Roman"/>
          <w:noProof/>
        </w:rPr>
        <w:t xml:space="preserve">the Single Market’s </w:t>
      </w:r>
      <w:r w:rsidR="003C5EC4" w:rsidRPr="00947B7D">
        <w:rPr>
          <w:rFonts w:eastAsia="Times New Roman" w:cs="Times New Roman"/>
          <w:noProof/>
        </w:rPr>
        <w:t xml:space="preserve">scale and </w:t>
      </w:r>
      <w:r w:rsidR="00A3165A">
        <w:rPr>
          <w:rFonts w:eastAsia="Times New Roman" w:cs="Times New Roman"/>
          <w:noProof/>
        </w:rPr>
        <w:t xml:space="preserve">to </w:t>
      </w:r>
      <w:r w:rsidR="003C1C56" w:rsidRPr="00947B7D">
        <w:rPr>
          <w:rFonts w:eastAsia="Times New Roman" w:cs="Times New Roman"/>
          <w:noProof/>
        </w:rPr>
        <w:t xml:space="preserve">use that scale as a competitive advantage </w:t>
      </w:r>
      <w:r w:rsidR="003C5EC4" w:rsidRPr="00947B7D">
        <w:rPr>
          <w:rFonts w:eastAsia="Times New Roman" w:cs="Times New Roman"/>
          <w:noProof/>
        </w:rPr>
        <w:t xml:space="preserve">to compete </w:t>
      </w:r>
      <w:r w:rsidR="003C1C56" w:rsidRPr="00947B7D">
        <w:rPr>
          <w:rFonts w:eastAsia="Times New Roman" w:cs="Times New Roman"/>
          <w:noProof/>
        </w:rPr>
        <w:t xml:space="preserve">better </w:t>
      </w:r>
      <w:r w:rsidR="003C5EC4" w:rsidRPr="004155ED">
        <w:rPr>
          <w:rFonts w:eastAsia="Times New Roman" w:cs="Times New Roman"/>
          <w:noProof/>
        </w:rPr>
        <w:t>in a globalised economy</w:t>
      </w:r>
      <w:r w:rsidR="007043D9" w:rsidRPr="004155ED">
        <w:rPr>
          <w:rFonts w:eastAsia="Times New Roman" w:cs="Times New Roman"/>
          <w:noProof/>
        </w:rPr>
        <w:t>.</w:t>
      </w:r>
      <w:r w:rsidR="00B23430" w:rsidRPr="004155ED">
        <w:rPr>
          <w:rFonts w:eastAsia="Times New Roman" w:cs="Times New Roman"/>
          <w:noProof/>
        </w:rPr>
        <w:t xml:space="preserve"> </w:t>
      </w:r>
      <w:r w:rsidR="009C63BA" w:rsidRPr="00947B7D">
        <w:rPr>
          <w:rFonts w:eastAsia="Times New Roman" w:cs="Times New Roman"/>
          <w:noProof/>
        </w:rPr>
        <w:t>EU competition policy must not only be effectively and consistently enforced but also sufficiently agile to deal with current and future challenges.</w:t>
      </w:r>
    </w:p>
    <w:p w14:paraId="4D157228" w14:textId="3B02F6AB" w:rsidR="0034660D" w:rsidRDefault="002B700B" w:rsidP="158881C6">
      <w:pPr>
        <w:spacing w:line="264" w:lineRule="auto"/>
        <w:jc w:val="both"/>
        <w:rPr>
          <w:noProof/>
          <w:szCs w:val="24"/>
        </w:rPr>
      </w:pPr>
      <w:r w:rsidRPr="00947B7D">
        <w:rPr>
          <w:rFonts w:eastAsia="Times New Roman" w:cs="Times New Roman"/>
          <w:noProof/>
        </w:rPr>
        <w:t xml:space="preserve">In 2021, </w:t>
      </w:r>
      <w:r w:rsidR="005F57A9" w:rsidRPr="00947B7D">
        <w:rPr>
          <w:rFonts w:eastAsia="Times New Roman" w:cs="Times New Roman"/>
          <w:noProof/>
        </w:rPr>
        <w:t xml:space="preserve">under Executive Vice-President Vestager’s leadership, </w:t>
      </w:r>
      <w:r w:rsidRPr="00947B7D">
        <w:rPr>
          <w:rFonts w:eastAsia="Times New Roman" w:cs="Times New Roman"/>
          <w:noProof/>
        </w:rPr>
        <w:t xml:space="preserve">competition policy continued to play an important role in the </w:t>
      </w:r>
      <w:r w:rsidR="003C1C56" w:rsidRPr="00947B7D">
        <w:rPr>
          <w:rFonts w:eastAsia="Times New Roman" w:cs="Times New Roman"/>
          <w:noProof/>
        </w:rPr>
        <w:t xml:space="preserve">EU’s response to the </w:t>
      </w:r>
      <w:r w:rsidRPr="00947B7D">
        <w:rPr>
          <w:rFonts w:eastAsia="Times New Roman" w:cs="Times New Roman"/>
          <w:noProof/>
        </w:rPr>
        <w:t>crisis, demonstrating its in-built ability to react swiftly to sudden changes i</w:t>
      </w:r>
      <w:r w:rsidRPr="004155ED">
        <w:rPr>
          <w:rFonts w:eastAsia="Times New Roman" w:cs="Times New Roman"/>
          <w:noProof/>
        </w:rPr>
        <w:t xml:space="preserve">n the economy. The Temporary Framework </w:t>
      </w:r>
      <w:r w:rsidR="00C81C07">
        <w:rPr>
          <w:noProof/>
        </w:rPr>
        <w:t>for State aid measures to support the economy in the current COVID-19 outbreak</w:t>
      </w:r>
      <w:r w:rsidRPr="004155ED">
        <w:rPr>
          <w:rFonts w:eastAsia="Times New Roman" w:cs="Times New Roman"/>
          <w:noProof/>
        </w:rPr>
        <w:t xml:space="preserve"> </w:t>
      </w:r>
      <w:r w:rsidR="00427B74" w:rsidRPr="00062864">
        <w:rPr>
          <w:rFonts w:eastAsia="Times New Roman" w:cs="Times New Roman"/>
          <w:noProof/>
        </w:rPr>
        <w:t xml:space="preserve">enabled </w:t>
      </w:r>
      <w:r w:rsidRPr="00062864">
        <w:rPr>
          <w:rFonts w:eastAsia="Times New Roman" w:cs="Times New Roman"/>
          <w:noProof/>
        </w:rPr>
        <w:t xml:space="preserve">necessary and proportionate support by Member States to </w:t>
      </w:r>
      <w:r w:rsidR="003C1C56" w:rsidRPr="00373CE6">
        <w:rPr>
          <w:rFonts w:eastAsia="Times New Roman" w:cs="Times New Roman"/>
          <w:noProof/>
        </w:rPr>
        <w:t xml:space="preserve">otherwise viable </w:t>
      </w:r>
      <w:r w:rsidRPr="00373CE6">
        <w:rPr>
          <w:rFonts w:eastAsia="Times New Roman" w:cs="Times New Roman"/>
          <w:noProof/>
        </w:rPr>
        <w:t xml:space="preserve">businesses </w:t>
      </w:r>
      <w:r w:rsidR="003C1C56" w:rsidRPr="005B1727">
        <w:rPr>
          <w:rFonts w:eastAsia="Times New Roman" w:cs="Times New Roman"/>
          <w:noProof/>
        </w:rPr>
        <w:t xml:space="preserve">that ended up </w:t>
      </w:r>
      <w:r w:rsidRPr="005B1727">
        <w:rPr>
          <w:rFonts w:eastAsia="Times New Roman" w:cs="Times New Roman"/>
          <w:noProof/>
        </w:rPr>
        <w:t>in jeopardy because of the pandemic.</w:t>
      </w:r>
      <w:r w:rsidR="009F1718" w:rsidRPr="009F1718">
        <w:rPr>
          <w:noProof/>
        </w:rPr>
        <w:t xml:space="preserve"> </w:t>
      </w:r>
      <w:r w:rsidR="009F1718">
        <w:rPr>
          <w:noProof/>
        </w:rPr>
        <w:t xml:space="preserve">The Commission also laid out </w:t>
      </w:r>
      <w:r w:rsidR="003C1C56">
        <w:rPr>
          <w:noProof/>
        </w:rPr>
        <w:t>a</w:t>
      </w:r>
      <w:r w:rsidR="009F1718" w:rsidRPr="00947B7D">
        <w:rPr>
          <w:rFonts w:eastAsia="Times New Roman" w:cs="Times New Roman"/>
          <w:noProof/>
        </w:rPr>
        <w:t xml:space="preserve"> path for a progressive phase-out of </w:t>
      </w:r>
      <w:r w:rsidR="008603FB" w:rsidRPr="00947B7D">
        <w:rPr>
          <w:rFonts w:eastAsia="Times New Roman" w:cs="Times New Roman"/>
          <w:noProof/>
        </w:rPr>
        <w:t xml:space="preserve">pandemic-related </w:t>
      </w:r>
      <w:r w:rsidR="009F1718" w:rsidRPr="00947B7D">
        <w:rPr>
          <w:rFonts w:eastAsia="Times New Roman" w:cs="Times New Roman"/>
          <w:noProof/>
        </w:rPr>
        <w:t>crisis measures under the Temporary Framework</w:t>
      </w:r>
      <w:r w:rsidR="00187668">
        <w:rPr>
          <w:rFonts w:eastAsia="Times New Roman" w:cs="Times New Roman"/>
          <w:noProof/>
        </w:rPr>
        <w:t xml:space="preserve"> for State aid measures</w:t>
      </w:r>
      <w:r w:rsidR="009F1718" w:rsidRPr="00947B7D">
        <w:rPr>
          <w:rFonts w:eastAsia="Times New Roman" w:cs="Times New Roman"/>
          <w:noProof/>
        </w:rPr>
        <w:t>, accompanied by measures to kick</w:t>
      </w:r>
      <w:r w:rsidR="007F45D3">
        <w:rPr>
          <w:rFonts w:eastAsia="Times New Roman" w:cs="Times New Roman"/>
          <w:noProof/>
        </w:rPr>
        <w:t xml:space="preserve"> </w:t>
      </w:r>
      <w:r w:rsidR="009F1718" w:rsidRPr="00947B7D">
        <w:rPr>
          <w:rFonts w:eastAsia="Times New Roman" w:cs="Times New Roman"/>
          <w:noProof/>
        </w:rPr>
        <w:t>start and crowd</w:t>
      </w:r>
      <w:r w:rsidR="007F45D3">
        <w:rPr>
          <w:rFonts w:eastAsia="Times New Roman" w:cs="Times New Roman"/>
          <w:noProof/>
        </w:rPr>
        <w:t xml:space="preserve"> </w:t>
      </w:r>
      <w:r w:rsidR="009F1718" w:rsidRPr="00947B7D">
        <w:rPr>
          <w:rFonts w:eastAsia="Times New Roman" w:cs="Times New Roman"/>
          <w:noProof/>
        </w:rPr>
        <w:t>in private investment.</w:t>
      </w:r>
      <w:r w:rsidR="0011589E" w:rsidRPr="00947B7D">
        <w:rPr>
          <w:rFonts w:eastAsia="Times New Roman" w:cs="Times New Roman"/>
          <w:noProof/>
        </w:rPr>
        <w:t xml:space="preserve"> </w:t>
      </w:r>
      <w:r w:rsidR="005C7096" w:rsidRPr="158881C6">
        <w:rPr>
          <w:rFonts w:eastAsiaTheme="minorEastAsia"/>
          <w:noProof/>
          <w:lang w:eastAsia="nl-BE"/>
        </w:rPr>
        <w:t xml:space="preserve">To </w:t>
      </w:r>
      <w:r w:rsidR="000C3020">
        <w:rPr>
          <w:rFonts w:eastAsiaTheme="minorEastAsia"/>
          <w:noProof/>
          <w:lang w:eastAsia="nl-BE"/>
        </w:rPr>
        <w:t xml:space="preserve">reduce the negative social and economic impact on the EU caused by Russia’s invasion of Ukraine, </w:t>
      </w:r>
      <w:r w:rsidR="00947B7D">
        <w:rPr>
          <w:rFonts w:eastAsiaTheme="minorEastAsia"/>
          <w:noProof/>
          <w:lang w:eastAsia="nl-BE"/>
        </w:rPr>
        <w:t xml:space="preserve">the Commission will again use the flexibility </w:t>
      </w:r>
      <w:r w:rsidR="00A3165A">
        <w:rPr>
          <w:rFonts w:eastAsiaTheme="minorEastAsia"/>
          <w:noProof/>
          <w:lang w:eastAsia="nl-BE"/>
        </w:rPr>
        <w:t xml:space="preserve">of </w:t>
      </w:r>
      <w:r w:rsidR="00947B7D">
        <w:rPr>
          <w:rFonts w:eastAsiaTheme="minorEastAsia"/>
          <w:noProof/>
          <w:lang w:eastAsia="nl-BE"/>
        </w:rPr>
        <w:t>the State</w:t>
      </w:r>
      <w:r w:rsidR="00A3165A">
        <w:rPr>
          <w:rFonts w:eastAsiaTheme="minorEastAsia"/>
          <w:noProof/>
          <w:lang w:eastAsia="nl-BE"/>
        </w:rPr>
        <w:t>-</w:t>
      </w:r>
      <w:r w:rsidR="00947B7D">
        <w:rPr>
          <w:rFonts w:eastAsiaTheme="minorEastAsia"/>
          <w:noProof/>
          <w:lang w:eastAsia="nl-BE"/>
        </w:rPr>
        <w:t xml:space="preserve">aid </w:t>
      </w:r>
      <w:r w:rsidR="00A3165A">
        <w:rPr>
          <w:rFonts w:eastAsiaTheme="minorEastAsia"/>
          <w:noProof/>
          <w:lang w:eastAsia="nl-BE"/>
        </w:rPr>
        <w:t xml:space="preserve">policy </w:t>
      </w:r>
      <w:r w:rsidR="00947B7D">
        <w:rPr>
          <w:rFonts w:eastAsiaTheme="minorEastAsia"/>
          <w:noProof/>
          <w:lang w:eastAsia="nl-BE"/>
        </w:rPr>
        <w:t>toolbox</w:t>
      </w:r>
      <w:r w:rsidR="000C3020">
        <w:rPr>
          <w:rFonts w:eastAsiaTheme="minorEastAsia"/>
          <w:noProof/>
          <w:lang w:eastAsia="nl-BE"/>
        </w:rPr>
        <w:t>.</w:t>
      </w:r>
      <w:r w:rsidR="00C35FC3">
        <w:rPr>
          <w:rFonts w:eastAsiaTheme="minorEastAsia"/>
          <w:noProof/>
          <w:lang w:eastAsia="nl-BE"/>
        </w:rPr>
        <w:t xml:space="preserve"> </w:t>
      </w:r>
      <w:r w:rsidR="000C3020">
        <w:rPr>
          <w:rFonts w:eastAsiaTheme="minorEastAsia"/>
          <w:noProof/>
          <w:lang w:eastAsia="nl-BE"/>
        </w:rPr>
        <w:t xml:space="preserve">It </w:t>
      </w:r>
      <w:r w:rsidR="00A3165A">
        <w:rPr>
          <w:rFonts w:eastAsiaTheme="minorEastAsia"/>
          <w:noProof/>
          <w:lang w:eastAsia="nl-BE"/>
        </w:rPr>
        <w:t xml:space="preserve">will </w:t>
      </w:r>
      <w:r w:rsidR="000C3020">
        <w:rPr>
          <w:rFonts w:eastAsiaTheme="minorEastAsia"/>
          <w:noProof/>
          <w:lang w:eastAsia="nl-BE"/>
        </w:rPr>
        <w:t xml:space="preserve">allow </w:t>
      </w:r>
      <w:r w:rsidR="00947B7D">
        <w:rPr>
          <w:rFonts w:eastAsiaTheme="minorEastAsia"/>
          <w:noProof/>
          <w:lang w:eastAsia="nl-BE"/>
        </w:rPr>
        <w:t xml:space="preserve">Member States to </w:t>
      </w:r>
      <w:r w:rsidR="000C3020">
        <w:rPr>
          <w:rFonts w:eastAsiaTheme="minorEastAsia"/>
          <w:noProof/>
          <w:lang w:eastAsia="nl-BE"/>
        </w:rPr>
        <w:t xml:space="preserve">minimise the </w:t>
      </w:r>
      <w:r w:rsidR="00A3165A">
        <w:rPr>
          <w:rFonts w:eastAsiaTheme="minorEastAsia"/>
          <w:noProof/>
          <w:lang w:eastAsia="nl-BE"/>
        </w:rPr>
        <w:t xml:space="preserve">negative economic </w:t>
      </w:r>
      <w:r w:rsidR="00947B7D">
        <w:rPr>
          <w:rFonts w:eastAsiaTheme="minorEastAsia"/>
          <w:noProof/>
          <w:lang w:eastAsia="nl-BE"/>
        </w:rPr>
        <w:t xml:space="preserve">effects </w:t>
      </w:r>
      <w:r w:rsidR="000C3020">
        <w:rPr>
          <w:rFonts w:eastAsiaTheme="minorEastAsia"/>
          <w:noProof/>
          <w:lang w:eastAsia="nl-BE"/>
        </w:rPr>
        <w:t>without distorting competition in the EU more than strictly necessary.</w:t>
      </w:r>
      <w:r w:rsidR="005C7096" w:rsidRPr="158881C6">
        <w:rPr>
          <w:rFonts w:eastAsiaTheme="minorEastAsia"/>
          <w:noProof/>
          <w:lang w:eastAsia="nl-BE"/>
        </w:rPr>
        <w:t xml:space="preserve"> </w:t>
      </w:r>
    </w:p>
    <w:p w14:paraId="4AC94777" w14:textId="77777777" w:rsidR="00825142" w:rsidRDefault="00DB0C9F" w:rsidP="00B72F22">
      <w:pPr>
        <w:spacing w:line="264" w:lineRule="auto"/>
        <w:jc w:val="both"/>
        <w:rPr>
          <w:rFonts w:eastAsia="Times New Roman" w:cs="Times New Roman"/>
          <w:noProof/>
          <w:szCs w:val="24"/>
        </w:rPr>
      </w:pPr>
      <w:r>
        <w:rPr>
          <w:rFonts w:eastAsia="Times New Roman" w:cs="Times New Roman"/>
          <w:noProof/>
          <w:szCs w:val="24"/>
        </w:rPr>
        <w:t>T</w:t>
      </w:r>
      <w:r w:rsidR="00825142" w:rsidRPr="00542D19">
        <w:rPr>
          <w:rFonts w:eastAsia="Times New Roman" w:cs="Times New Roman"/>
          <w:noProof/>
          <w:szCs w:val="24"/>
        </w:rPr>
        <w:t xml:space="preserve">he Commission continued </w:t>
      </w:r>
      <w:r w:rsidR="00AD5424" w:rsidRPr="00542D19">
        <w:rPr>
          <w:rFonts w:eastAsia="Times New Roman" w:cs="Times New Roman"/>
          <w:noProof/>
          <w:szCs w:val="24"/>
        </w:rPr>
        <w:t>its work to make markets work better for citizens and businesses of all sizes</w:t>
      </w:r>
      <w:r w:rsidR="00AD5424">
        <w:rPr>
          <w:rFonts w:eastAsia="Times New Roman" w:cs="Times New Roman"/>
          <w:noProof/>
          <w:szCs w:val="24"/>
        </w:rPr>
        <w:t xml:space="preserve"> by </w:t>
      </w:r>
      <w:r w:rsidR="00825142" w:rsidRPr="00542D19">
        <w:rPr>
          <w:rFonts w:eastAsia="Times New Roman" w:cs="Times New Roman"/>
          <w:noProof/>
          <w:szCs w:val="24"/>
        </w:rPr>
        <w:t>enforc</w:t>
      </w:r>
      <w:r w:rsidR="00AD5424">
        <w:rPr>
          <w:rFonts w:eastAsia="Times New Roman" w:cs="Times New Roman"/>
          <w:noProof/>
          <w:szCs w:val="24"/>
        </w:rPr>
        <w:t>ing</w:t>
      </w:r>
      <w:r w:rsidR="00825142" w:rsidRPr="00542D19">
        <w:rPr>
          <w:rFonts w:eastAsia="Times New Roman" w:cs="Times New Roman"/>
          <w:noProof/>
          <w:szCs w:val="24"/>
        </w:rPr>
        <w:t xml:space="preserve"> </w:t>
      </w:r>
      <w:r w:rsidR="001E053A">
        <w:rPr>
          <w:rFonts w:eastAsia="Times New Roman" w:cs="Times New Roman"/>
          <w:noProof/>
          <w:szCs w:val="24"/>
        </w:rPr>
        <w:t xml:space="preserve">the </w:t>
      </w:r>
      <w:r w:rsidR="00825142" w:rsidRPr="00542D19">
        <w:rPr>
          <w:rFonts w:eastAsia="Times New Roman" w:cs="Times New Roman"/>
          <w:noProof/>
          <w:szCs w:val="24"/>
        </w:rPr>
        <w:t>EU</w:t>
      </w:r>
      <w:r w:rsidR="00825142">
        <w:rPr>
          <w:rFonts w:eastAsia="Times New Roman" w:cs="Times New Roman"/>
          <w:noProof/>
          <w:szCs w:val="24"/>
        </w:rPr>
        <w:t xml:space="preserve"> </w:t>
      </w:r>
      <w:r w:rsidR="00825142" w:rsidRPr="00542D19">
        <w:rPr>
          <w:rFonts w:eastAsia="Times New Roman" w:cs="Times New Roman"/>
          <w:noProof/>
          <w:szCs w:val="24"/>
        </w:rPr>
        <w:t xml:space="preserve">competition rules </w:t>
      </w:r>
      <w:r w:rsidR="00825142">
        <w:rPr>
          <w:rFonts w:eastAsia="Times New Roman" w:cs="Times New Roman"/>
          <w:noProof/>
          <w:szCs w:val="24"/>
        </w:rPr>
        <w:t>in the area</w:t>
      </w:r>
      <w:r w:rsidR="001E053A">
        <w:rPr>
          <w:rFonts w:eastAsia="Times New Roman" w:cs="Times New Roman"/>
          <w:noProof/>
          <w:szCs w:val="24"/>
        </w:rPr>
        <w:t>s</w:t>
      </w:r>
      <w:r w:rsidR="00825142">
        <w:rPr>
          <w:rFonts w:eastAsia="Times New Roman" w:cs="Times New Roman"/>
          <w:noProof/>
          <w:szCs w:val="24"/>
        </w:rPr>
        <w:t xml:space="preserve"> of </w:t>
      </w:r>
      <w:r w:rsidR="00A206F3">
        <w:rPr>
          <w:rFonts w:eastAsia="Times New Roman" w:cs="Times New Roman"/>
          <w:noProof/>
          <w:szCs w:val="24"/>
        </w:rPr>
        <w:t xml:space="preserve">antitrust, </w:t>
      </w:r>
      <w:r w:rsidR="00825142" w:rsidRPr="00542D19">
        <w:rPr>
          <w:rFonts w:eastAsia="Times New Roman" w:cs="Times New Roman"/>
          <w:noProof/>
          <w:szCs w:val="24"/>
        </w:rPr>
        <w:t>merger</w:t>
      </w:r>
      <w:r w:rsidR="00825142">
        <w:rPr>
          <w:rFonts w:eastAsia="Times New Roman" w:cs="Times New Roman"/>
          <w:noProof/>
          <w:szCs w:val="24"/>
        </w:rPr>
        <w:t xml:space="preserve"> control</w:t>
      </w:r>
      <w:r w:rsidR="00A206F3">
        <w:rPr>
          <w:rFonts w:eastAsia="Times New Roman" w:cs="Times New Roman"/>
          <w:noProof/>
          <w:szCs w:val="24"/>
        </w:rPr>
        <w:t xml:space="preserve"> </w:t>
      </w:r>
      <w:r w:rsidR="00825142" w:rsidRPr="00542D19">
        <w:rPr>
          <w:rFonts w:eastAsia="Times New Roman" w:cs="Times New Roman"/>
          <w:noProof/>
          <w:szCs w:val="24"/>
        </w:rPr>
        <w:t>and State aid</w:t>
      </w:r>
      <w:r w:rsidR="00825142">
        <w:rPr>
          <w:rFonts w:eastAsia="Times New Roman" w:cs="Times New Roman"/>
          <w:noProof/>
          <w:szCs w:val="24"/>
        </w:rPr>
        <w:t xml:space="preserve"> control </w:t>
      </w:r>
      <w:r w:rsidR="002979F3">
        <w:rPr>
          <w:rFonts w:eastAsia="Times New Roman" w:cs="Times New Roman"/>
          <w:noProof/>
          <w:szCs w:val="24"/>
        </w:rPr>
        <w:t xml:space="preserve">– </w:t>
      </w:r>
      <w:r w:rsidR="00825142" w:rsidRPr="00542D19">
        <w:rPr>
          <w:rFonts w:eastAsia="Times New Roman" w:cs="Times New Roman"/>
          <w:noProof/>
          <w:szCs w:val="24"/>
        </w:rPr>
        <w:t>in the digital</w:t>
      </w:r>
      <w:r w:rsidR="00825142">
        <w:rPr>
          <w:rFonts w:eastAsia="Times New Roman" w:cs="Times New Roman"/>
          <w:noProof/>
          <w:szCs w:val="24"/>
        </w:rPr>
        <w:t xml:space="preserve"> and other sectors –</w:t>
      </w:r>
      <w:r w:rsidR="00CB0A6E">
        <w:rPr>
          <w:rFonts w:eastAsia="Times New Roman" w:cs="Times New Roman"/>
          <w:noProof/>
          <w:szCs w:val="24"/>
        </w:rPr>
        <w:t xml:space="preserve"> </w:t>
      </w:r>
      <w:r w:rsidR="00825142">
        <w:rPr>
          <w:rFonts w:eastAsia="Times New Roman" w:cs="Times New Roman"/>
          <w:noProof/>
          <w:szCs w:val="24"/>
        </w:rPr>
        <w:t>while considering the specificities of each market</w:t>
      </w:r>
      <w:r w:rsidR="00825142" w:rsidRPr="00542D19">
        <w:rPr>
          <w:rFonts w:eastAsia="Times New Roman" w:cs="Times New Roman"/>
          <w:noProof/>
          <w:szCs w:val="24"/>
        </w:rPr>
        <w:t xml:space="preserve">. </w:t>
      </w:r>
      <w:r w:rsidR="00A206F3">
        <w:rPr>
          <w:rFonts w:eastAsia="Times New Roman" w:cs="Times New Roman"/>
          <w:noProof/>
          <w:szCs w:val="24"/>
        </w:rPr>
        <w:t xml:space="preserve">The Commission </w:t>
      </w:r>
      <w:r w:rsidR="00B72F22">
        <w:rPr>
          <w:rFonts w:eastAsia="Times New Roman" w:cs="Times New Roman"/>
          <w:noProof/>
          <w:szCs w:val="24"/>
        </w:rPr>
        <w:t xml:space="preserve">did </w:t>
      </w:r>
      <w:r w:rsidR="00A206F3">
        <w:rPr>
          <w:rFonts w:eastAsia="Times New Roman" w:cs="Times New Roman"/>
          <w:noProof/>
          <w:szCs w:val="24"/>
        </w:rPr>
        <w:t xml:space="preserve">this while </w:t>
      </w:r>
      <w:r w:rsidR="00B72F22" w:rsidRPr="00B72F22">
        <w:rPr>
          <w:rFonts w:eastAsia="Times New Roman" w:cs="Times New Roman"/>
          <w:noProof/>
          <w:szCs w:val="24"/>
        </w:rPr>
        <w:t>work</w:t>
      </w:r>
      <w:r w:rsidR="00B72F22">
        <w:rPr>
          <w:rFonts w:eastAsia="Times New Roman" w:cs="Times New Roman"/>
          <w:noProof/>
          <w:szCs w:val="24"/>
        </w:rPr>
        <w:t>ing</w:t>
      </w:r>
      <w:r w:rsidR="00B72F22" w:rsidRPr="00B72F22">
        <w:rPr>
          <w:rFonts w:eastAsia="Times New Roman" w:cs="Times New Roman"/>
          <w:noProof/>
          <w:szCs w:val="24"/>
        </w:rPr>
        <w:t xml:space="preserve"> hand in hand with Member States’ national</w:t>
      </w:r>
      <w:r w:rsidR="00B72F22">
        <w:rPr>
          <w:rFonts w:eastAsia="Times New Roman" w:cs="Times New Roman"/>
          <w:noProof/>
          <w:szCs w:val="24"/>
        </w:rPr>
        <w:t xml:space="preserve"> </w:t>
      </w:r>
      <w:r w:rsidR="00B72F22" w:rsidRPr="00B72F22">
        <w:rPr>
          <w:rFonts w:eastAsia="Times New Roman" w:cs="Times New Roman"/>
          <w:noProof/>
          <w:szCs w:val="24"/>
        </w:rPr>
        <w:t>competition authorities</w:t>
      </w:r>
      <w:r w:rsidR="00A206F3">
        <w:rPr>
          <w:rFonts w:eastAsia="Times New Roman" w:cs="Times New Roman"/>
          <w:noProof/>
          <w:szCs w:val="24"/>
        </w:rPr>
        <w:t xml:space="preserve"> (NCAs)</w:t>
      </w:r>
      <w:r w:rsidR="00B72F22" w:rsidRPr="00B72F22">
        <w:rPr>
          <w:rFonts w:eastAsia="Times New Roman" w:cs="Times New Roman"/>
          <w:noProof/>
          <w:szCs w:val="24"/>
        </w:rPr>
        <w:t xml:space="preserve"> and under the scrutiny of </w:t>
      </w:r>
      <w:r w:rsidR="00A206F3">
        <w:rPr>
          <w:rFonts w:eastAsia="Times New Roman" w:cs="Times New Roman"/>
          <w:noProof/>
          <w:szCs w:val="24"/>
        </w:rPr>
        <w:t>EU</w:t>
      </w:r>
      <w:r w:rsidR="00B72F22" w:rsidRPr="00B72F22">
        <w:rPr>
          <w:rFonts w:eastAsia="Times New Roman" w:cs="Times New Roman"/>
          <w:noProof/>
          <w:szCs w:val="24"/>
        </w:rPr>
        <w:t xml:space="preserve"> </w:t>
      </w:r>
      <w:r w:rsidR="00A206F3">
        <w:rPr>
          <w:rFonts w:eastAsia="Times New Roman" w:cs="Times New Roman"/>
          <w:noProof/>
          <w:szCs w:val="24"/>
        </w:rPr>
        <w:t>c</w:t>
      </w:r>
      <w:r w:rsidR="00B72F22" w:rsidRPr="00B72F22">
        <w:rPr>
          <w:rFonts w:eastAsia="Times New Roman" w:cs="Times New Roman"/>
          <w:noProof/>
          <w:szCs w:val="24"/>
        </w:rPr>
        <w:t>ourts</w:t>
      </w:r>
      <w:r w:rsidR="00B72F22">
        <w:rPr>
          <w:rFonts w:eastAsia="Times New Roman" w:cs="Times New Roman"/>
          <w:noProof/>
          <w:szCs w:val="24"/>
        </w:rPr>
        <w:t>.</w:t>
      </w:r>
    </w:p>
    <w:p w14:paraId="26C77F64" w14:textId="4FF22012" w:rsidR="00CB0A6E" w:rsidRPr="000F147F" w:rsidRDefault="002B700B" w:rsidP="000F147F">
      <w:pPr>
        <w:spacing w:before="240"/>
        <w:jc w:val="both"/>
        <w:rPr>
          <w:rFonts w:eastAsia="Times New Roman" w:cs="Times New Roman"/>
          <w:noProof/>
        </w:rPr>
      </w:pPr>
      <w:r w:rsidRPr="00947B7D">
        <w:rPr>
          <w:rFonts w:eastAsia="Times New Roman" w:cs="Times New Roman"/>
          <w:noProof/>
        </w:rPr>
        <w:t xml:space="preserve">As </w:t>
      </w:r>
      <w:r w:rsidR="00AD5424" w:rsidRPr="00947B7D">
        <w:rPr>
          <w:rFonts w:eastAsia="Times New Roman" w:cs="Times New Roman"/>
          <w:noProof/>
        </w:rPr>
        <w:t xml:space="preserve">set out </w:t>
      </w:r>
      <w:r w:rsidRPr="00947B7D">
        <w:rPr>
          <w:rFonts w:eastAsia="Times New Roman" w:cs="Times New Roman"/>
          <w:noProof/>
        </w:rPr>
        <w:t xml:space="preserve">in the </w:t>
      </w:r>
      <w:r w:rsidRPr="00947B7D">
        <w:rPr>
          <w:rFonts w:eastAsia="Times New Roman" w:cs="Times New Roman"/>
          <w:i/>
          <w:iCs/>
          <w:noProof/>
        </w:rPr>
        <w:t xml:space="preserve">Commission Communication </w:t>
      </w:r>
      <w:r w:rsidR="00427B74" w:rsidRPr="00947B7D">
        <w:rPr>
          <w:rFonts w:eastAsia="Times New Roman" w:cs="Times New Roman"/>
          <w:i/>
          <w:iCs/>
          <w:noProof/>
        </w:rPr>
        <w:t xml:space="preserve">on a </w:t>
      </w:r>
      <w:r w:rsidRPr="00947B7D">
        <w:rPr>
          <w:rFonts w:eastAsia="Times New Roman" w:cs="Times New Roman"/>
          <w:i/>
          <w:iCs/>
          <w:noProof/>
        </w:rPr>
        <w:t>Competition Policy fit for new challenges</w:t>
      </w:r>
      <w:r w:rsidRPr="00947B7D">
        <w:rPr>
          <w:rStyle w:val="FootnoteReference"/>
          <w:rFonts w:eastAsia="Times New Roman" w:cs="Times New Roman"/>
          <w:noProof/>
        </w:rPr>
        <w:footnoteReference w:id="2"/>
      </w:r>
      <w:r w:rsidRPr="00947B7D">
        <w:rPr>
          <w:rFonts w:eastAsia="Times New Roman" w:cs="Times New Roman"/>
          <w:noProof/>
        </w:rPr>
        <w:t xml:space="preserve">, the </w:t>
      </w:r>
      <w:r w:rsidR="00347CA6">
        <w:rPr>
          <w:rFonts w:eastAsia="Times New Roman" w:cs="Times New Roman"/>
          <w:noProof/>
        </w:rPr>
        <w:t xml:space="preserve">Commission </w:t>
      </w:r>
      <w:r w:rsidR="004155ED">
        <w:rPr>
          <w:rFonts w:eastAsia="Times New Roman" w:cs="Times New Roman"/>
          <w:noProof/>
        </w:rPr>
        <w:t xml:space="preserve">is </w:t>
      </w:r>
      <w:r w:rsidR="004C396E">
        <w:rPr>
          <w:rFonts w:eastAsia="Times New Roman" w:cs="Times New Roman"/>
          <w:noProof/>
        </w:rPr>
        <w:t>carrying out</w:t>
      </w:r>
      <w:r w:rsidR="004155ED">
        <w:rPr>
          <w:rFonts w:eastAsia="Times New Roman" w:cs="Times New Roman"/>
          <w:noProof/>
        </w:rPr>
        <w:t xml:space="preserve"> an unprecedented review </w:t>
      </w:r>
      <w:r w:rsidRPr="00947B7D">
        <w:rPr>
          <w:rFonts w:eastAsia="Times New Roman" w:cs="Times New Roman"/>
          <w:noProof/>
        </w:rPr>
        <w:t xml:space="preserve">of EU competition policy, </w:t>
      </w:r>
      <w:r w:rsidR="008A4FDE" w:rsidRPr="00947B7D">
        <w:rPr>
          <w:rFonts w:eastAsia="Times New Roman" w:cs="Times New Roman"/>
          <w:noProof/>
        </w:rPr>
        <w:t>covering</w:t>
      </w:r>
      <w:r w:rsidRPr="004155ED">
        <w:rPr>
          <w:rFonts w:eastAsia="Times New Roman" w:cs="Times New Roman"/>
          <w:noProof/>
        </w:rPr>
        <w:t xml:space="preserve"> more than 20 sets of rules</w:t>
      </w:r>
      <w:r w:rsidR="00AD5424" w:rsidRPr="004155ED">
        <w:rPr>
          <w:rFonts w:eastAsia="Times New Roman" w:cs="Times New Roman"/>
          <w:noProof/>
        </w:rPr>
        <w:t xml:space="preserve"> with t</w:t>
      </w:r>
      <w:r w:rsidRPr="004155ED">
        <w:rPr>
          <w:rFonts w:eastAsia="Times New Roman" w:cs="Times New Roman"/>
          <w:noProof/>
        </w:rPr>
        <w:t xml:space="preserve">he objective </w:t>
      </w:r>
      <w:r w:rsidR="00AD5424" w:rsidRPr="004155ED">
        <w:rPr>
          <w:rFonts w:eastAsia="Times New Roman" w:cs="Times New Roman"/>
          <w:noProof/>
        </w:rPr>
        <w:t xml:space="preserve">of </w:t>
      </w:r>
      <w:r w:rsidRPr="004155ED">
        <w:rPr>
          <w:rFonts w:eastAsia="Times New Roman" w:cs="Times New Roman"/>
          <w:noProof/>
        </w:rPr>
        <w:t>mak</w:t>
      </w:r>
      <w:r w:rsidR="00AD5424" w:rsidRPr="004155ED">
        <w:rPr>
          <w:rFonts w:eastAsia="Times New Roman" w:cs="Times New Roman"/>
          <w:noProof/>
        </w:rPr>
        <w:t>ing</w:t>
      </w:r>
      <w:r w:rsidRPr="004155ED">
        <w:rPr>
          <w:rFonts w:eastAsia="Times New Roman" w:cs="Times New Roman"/>
          <w:noProof/>
        </w:rPr>
        <w:t xml:space="preserve"> sure that EU competition policy instruments </w:t>
      </w:r>
      <w:r w:rsidR="00A206F3" w:rsidRPr="004155ED">
        <w:rPr>
          <w:rFonts w:eastAsia="Times New Roman" w:cs="Times New Roman"/>
          <w:noProof/>
        </w:rPr>
        <w:t>remain</w:t>
      </w:r>
      <w:r w:rsidRPr="004155ED">
        <w:rPr>
          <w:rFonts w:eastAsia="Times New Roman" w:cs="Times New Roman"/>
          <w:noProof/>
        </w:rPr>
        <w:t xml:space="preserve"> future-proof </w:t>
      </w:r>
      <w:r w:rsidRPr="00947B7D">
        <w:rPr>
          <w:rFonts w:eastAsia="Times New Roman" w:cs="Times New Roman"/>
          <w:noProof/>
        </w:rPr>
        <w:t>and support the EU’s green and digital transition</w:t>
      </w:r>
      <w:r w:rsidR="00A206F3" w:rsidRPr="00947B7D">
        <w:rPr>
          <w:rFonts w:eastAsia="Times New Roman" w:cs="Times New Roman"/>
          <w:noProof/>
        </w:rPr>
        <w:t xml:space="preserve">s, </w:t>
      </w:r>
      <w:r w:rsidRPr="00947B7D">
        <w:rPr>
          <w:rFonts w:eastAsia="Times New Roman" w:cs="Times New Roman"/>
          <w:noProof/>
        </w:rPr>
        <w:t>the recovery</w:t>
      </w:r>
      <w:r w:rsidR="00AD5424" w:rsidRPr="00947B7D">
        <w:rPr>
          <w:rFonts w:eastAsia="Times New Roman" w:cs="Times New Roman"/>
          <w:noProof/>
        </w:rPr>
        <w:t xml:space="preserve"> </w:t>
      </w:r>
      <w:r w:rsidRPr="00947B7D">
        <w:rPr>
          <w:rFonts w:eastAsia="Times New Roman" w:cs="Times New Roman"/>
          <w:noProof/>
        </w:rPr>
        <w:t>process</w:t>
      </w:r>
      <w:r w:rsidR="00E9538F" w:rsidRPr="006B0D8E">
        <w:rPr>
          <w:rFonts w:eastAsia="Times New Roman" w:cs="Times New Roman"/>
          <w:noProof/>
        </w:rPr>
        <w:t>,</w:t>
      </w:r>
      <w:r w:rsidRPr="006B0D8E">
        <w:rPr>
          <w:noProof/>
        </w:rPr>
        <w:t xml:space="preserve"> </w:t>
      </w:r>
      <w:r w:rsidR="00A206F3" w:rsidRPr="006B0D8E">
        <w:rPr>
          <w:noProof/>
        </w:rPr>
        <w:t xml:space="preserve">the </w:t>
      </w:r>
      <w:r w:rsidRPr="006B0D8E">
        <w:rPr>
          <w:noProof/>
        </w:rPr>
        <w:t>respon</w:t>
      </w:r>
      <w:r w:rsidR="00A206F3" w:rsidRPr="006B0D8E">
        <w:rPr>
          <w:noProof/>
        </w:rPr>
        <w:t>se</w:t>
      </w:r>
      <w:r w:rsidRPr="006B0D8E">
        <w:rPr>
          <w:noProof/>
        </w:rPr>
        <w:t xml:space="preserve"> to economic developments</w:t>
      </w:r>
      <w:r w:rsidR="00E9538F" w:rsidRPr="006B0D8E">
        <w:rPr>
          <w:rFonts w:eastAsia="Times New Roman" w:cs="Times New Roman"/>
          <w:noProof/>
        </w:rPr>
        <w:t xml:space="preserve"> and </w:t>
      </w:r>
      <w:r w:rsidR="00E9538F" w:rsidRPr="006B0D8E">
        <w:rPr>
          <w:noProof/>
        </w:rPr>
        <w:t>fostering the resilience of the Single Market</w:t>
      </w:r>
      <w:r w:rsidRPr="006B0D8E">
        <w:rPr>
          <w:noProof/>
        </w:rPr>
        <w:t>.</w:t>
      </w:r>
      <w:r w:rsidRPr="004155ED">
        <w:rPr>
          <w:rFonts w:eastAsia="Times New Roman" w:cs="Times New Roman"/>
          <w:noProof/>
        </w:rPr>
        <w:t xml:space="preserve"> </w:t>
      </w:r>
    </w:p>
    <w:p w14:paraId="4E6EED07" w14:textId="581B8F49" w:rsidR="00AD5424" w:rsidRDefault="00427B74" w:rsidP="002B700B">
      <w:pPr>
        <w:spacing w:before="240"/>
        <w:jc w:val="both"/>
        <w:rPr>
          <w:rFonts w:eastAsia="Times New Roman" w:cs="Times New Roman"/>
          <w:noProof/>
          <w:szCs w:val="24"/>
        </w:rPr>
      </w:pPr>
      <w:r>
        <w:rPr>
          <w:rFonts w:eastAsia="Times New Roman" w:cs="Times New Roman"/>
          <w:noProof/>
          <w:szCs w:val="24"/>
        </w:rPr>
        <w:t>The Commission is also in the process of</w:t>
      </w:r>
      <w:r w:rsidRPr="00F95ADC">
        <w:rPr>
          <w:rFonts w:eastAsia="Times New Roman" w:cs="Times New Roman"/>
          <w:noProof/>
          <w:szCs w:val="24"/>
        </w:rPr>
        <w:t xml:space="preserve"> complement</w:t>
      </w:r>
      <w:r>
        <w:rPr>
          <w:rFonts w:eastAsia="Times New Roman" w:cs="Times New Roman"/>
          <w:noProof/>
          <w:szCs w:val="24"/>
        </w:rPr>
        <w:t>ing</w:t>
      </w:r>
      <w:r w:rsidRPr="00F95ADC">
        <w:rPr>
          <w:rFonts w:eastAsia="Times New Roman" w:cs="Times New Roman"/>
          <w:noProof/>
          <w:szCs w:val="24"/>
        </w:rPr>
        <w:t xml:space="preserve"> the </w:t>
      </w:r>
      <w:r w:rsidR="007F45D3">
        <w:rPr>
          <w:rFonts w:eastAsia="Times New Roman" w:cs="Times New Roman"/>
          <w:noProof/>
          <w:szCs w:val="24"/>
        </w:rPr>
        <w:t xml:space="preserve">competition policy </w:t>
      </w:r>
      <w:r w:rsidRPr="00F95ADC">
        <w:rPr>
          <w:rFonts w:eastAsia="Times New Roman" w:cs="Times New Roman"/>
          <w:noProof/>
          <w:szCs w:val="24"/>
        </w:rPr>
        <w:t>toolbox with new instrument</w:t>
      </w:r>
      <w:r>
        <w:rPr>
          <w:rFonts w:eastAsia="Times New Roman" w:cs="Times New Roman"/>
          <w:noProof/>
          <w:szCs w:val="24"/>
        </w:rPr>
        <w:t xml:space="preserve">s </w:t>
      </w:r>
      <w:r w:rsidR="00A3165A">
        <w:rPr>
          <w:rFonts w:eastAsia="Times New Roman" w:cs="Times New Roman"/>
          <w:noProof/>
          <w:szCs w:val="24"/>
        </w:rPr>
        <w:t xml:space="preserve">designed </w:t>
      </w:r>
      <w:r>
        <w:rPr>
          <w:rFonts w:eastAsia="Times New Roman" w:cs="Times New Roman"/>
          <w:noProof/>
          <w:szCs w:val="24"/>
        </w:rPr>
        <w:t>to tackle foreign subsidies and</w:t>
      </w:r>
      <w:r w:rsidRPr="00F95ADC">
        <w:rPr>
          <w:rFonts w:eastAsia="Times New Roman" w:cs="Times New Roman"/>
          <w:noProof/>
          <w:szCs w:val="24"/>
        </w:rPr>
        <w:t xml:space="preserve"> digital gatekeepers.</w:t>
      </w:r>
      <w:r>
        <w:rPr>
          <w:rFonts w:eastAsia="Times New Roman" w:cs="Times New Roman"/>
          <w:noProof/>
          <w:szCs w:val="24"/>
        </w:rPr>
        <w:t xml:space="preserve"> I</w:t>
      </w:r>
      <w:r w:rsidRPr="00542D19">
        <w:rPr>
          <w:rFonts w:eastAsia="Times New Roman" w:cs="Times New Roman"/>
          <w:noProof/>
          <w:szCs w:val="24"/>
        </w:rPr>
        <w:t xml:space="preserve">n May 2021, the Commission tabled a Proposal for a Regulation </w:t>
      </w:r>
      <w:r w:rsidRPr="00542D19">
        <w:rPr>
          <w:rFonts w:eastAsia="Times New Roman" w:cs="Times New Roman"/>
          <w:noProof/>
          <w:color w:val="000000" w:themeColor="text1"/>
          <w:szCs w:val="24"/>
        </w:rPr>
        <w:t>on foreign subsidies distorting the internal market</w:t>
      </w:r>
      <w:r w:rsidRPr="00542D19">
        <w:rPr>
          <w:rStyle w:val="FootnoteReference"/>
          <w:rFonts w:eastAsia="Times New Roman" w:cs="Times New Roman"/>
          <w:noProof/>
          <w:color w:val="000000" w:themeColor="text1"/>
          <w:szCs w:val="24"/>
        </w:rPr>
        <w:footnoteReference w:id="3"/>
      </w:r>
      <w:r w:rsidRPr="00542D19">
        <w:rPr>
          <w:rFonts w:eastAsia="Times New Roman" w:cs="Times New Roman"/>
          <w:noProof/>
          <w:color w:val="000000" w:themeColor="text1"/>
          <w:szCs w:val="24"/>
        </w:rPr>
        <w:t>.</w:t>
      </w:r>
      <w:r>
        <w:rPr>
          <w:rFonts w:eastAsia="Times New Roman" w:cs="Times New Roman"/>
          <w:noProof/>
          <w:szCs w:val="24"/>
        </w:rPr>
        <w:t xml:space="preserve"> </w:t>
      </w:r>
      <w:r w:rsidR="009C63BA">
        <w:rPr>
          <w:rFonts w:eastAsia="Times New Roman" w:cs="Times New Roman"/>
          <w:noProof/>
          <w:szCs w:val="24"/>
        </w:rPr>
        <w:t xml:space="preserve">In 2021, </w:t>
      </w:r>
      <w:r w:rsidR="007F45D3">
        <w:rPr>
          <w:rFonts w:eastAsia="Times New Roman" w:cs="Times New Roman"/>
          <w:noProof/>
          <w:szCs w:val="24"/>
        </w:rPr>
        <w:t xml:space="preserve">significant </w:t>
      </w:r>
      <w:r w:rsidR="009C63BA">
        <w:rPr>
          <w:rFonts w:eastAsia="Times New Roman" w:cs="Times New Roman"/>
          <w:noProof/>
          <w:szCs w:val="24"/>
        </w:rPr>
        <w:t xml:space="preserve">progress was </w:t>
      </w:r>
      <w:r w:rsidR="002B700B">
        <w:rPr>
          <w:rFonts w:eastAsia="Times New Roman" w:cs="Times New Roman"/>
          <w:noProof/>
          <w:szCs w:val="24"/>
        </w:rPr>
        <w:t xml:space="preserve">made </w:t>
      </w:r>
      <w:r w:rsidR="009C63BA">
        <w:rPr>
          <w:rFonts w:eastAsia="Times New Roman" w:cs="Times New Roman"/>
          <w:noProof/>
          <w:szCs w:val="24"/>
        </w:rPr>
        <w:t xml:space="preserve">by co-legislators as regards the Commission proposal for </w:t>
      </w:r>
      <w:r w:rsidR="001E053A">
        <w:rPr>
          <w:rFonts w:eastAsia="Times New Roman" w:cs="Times New Roman"/>
          <w:noProof/>
          <w:szCs w:val="24"/>
        </w:rPr>
        <w:t>a</w:t>
      </w:r>
      <w:r w:rsidR="002B700B" w:rsidRPr="00542D19">
        <w:rPr>
          <w:rFonts w:eastAsia="Times New Roman" w:cs="Times New Roman"/>
          <w:noProof/>
          <w:szCs w:val="24"/>
        </w:rPr>
        <w:t xml:space="preserve"> </w:t>
      </w:r>
      <w:r w:rsidR="009C63BA">
        <w:rPr>
          <w:rFonts w:eastAsia="Times New Roman" w:cs="Times New Roman"/>
          <w:noProof/>
          <w:szCs w:val="24"/>
        </w:rPr>
        <w:t>Digital Markets Act.</w:t>
      </w:r>
      <w:r w:rsidR="002B700B" w:rsidRPr="00542D19">
        <w:rPr>
          <w:rFonts w:eastAsia="Times New Roman" w:cs="Times New Roman"/>
          <w:noProof/>
          <w:szCs w:val="24"/>
        </w:rPr>
        <w:t xml:space="preserve"> </w:t>
      </w:r>
    </w:p>
    <w:p w14:paraId="10880D3F" w14:textId="6D3A37A5" w:rsidR="00AD5424" w:rsidRDefault="00C279A3" w:rsidP="00AD5424">
      <w:pPr>
        <w:spacing w:before="240"/>
        <w:jc w:val="center"/>
        <w:rPr>
          <w:rFonts w:eastAsia="Times New Roman" w:cs="Times New Roman"/>
          <w:noProof/>
          <w:szCs w:val="24"/>
        </w:rPr>
      </w:pPr>
      <w:r>
        <w:rPr>
          <w:rFonts w:eastAsia="Times New Roman" w:cs="Times New Roman"/>
          <w:noProof/>
          <w:szCs w:val="24"/>
          <w:lang w:eastAsia="en-GB"/>
        </w:rPr>
        <w:drawing>
          <wp:inline distT="0" distB="0" distL="0" distR="0" wp14:anchorId="7C940AE5" wp14:editId="5459FFED">
            <wp:extent cx="4350273" cy="306561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dated glance 202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58877" cy="3071682"/>
                    </a:xfrm>
                    <a:prstGeom prst="rect">
                      <a:avLst/>
                    </a:prstGeom>
                  </pic:spPr>
                </pic:pic>
              </a:graphicData>
            </a:graphic>
          </wp:inline>
        </w:drawing>
      </w:r>
    </w:p>
    <w:p w14:paraId="4E70EC59" w14:textId="01C32FCE" w:rsidR="002B700B" w:rsidRPr="00542D19" w:rsidRDefault="00BA28FA" w:rsidP="001E053A">
      <w:pPr>
        <w:pStyle w:val="NormalWeb"/>
        <w:spacing w:line="276" w:lineRule="auto"/>
        <w:jc w:val="both"/>
        <w:rPr>
          <w:noProof/>
        </w:rPr>
      </w:pPr>
      <w:r w:rsidRPr="005F5FA8">
        <w:rPr>
          <w:noProof/>
          <w:color w:val="000000" w:themeColor="text1"/>
        </w:rPr>
        <w:t>In 2021,</w:t>
      </w:r>
      <w:r w:rsidR="00757160" w:rsidRPr="005F5FA8">
        <w:rPr>
          <w:noProof/>
          <w:color w:val="000000" w:themeColor="text1"/>
        </w:rPr>
        <w:t xml:space="preserve"> the Commission continued to </w:t>
      </w:r>
      <w:r w:rsidR="005F5FA8">
        <w:rPr>
          <w:noProof/>
          <w:color w:val="000000" w:themeColor="text1"/>
        </w:rPr>
        <w:t>increas</w:t>
      </w:r>
      <w:r w:rsidR="0012436B">
        <w:rPr>
          <w:noProof/>
          <w:color w:val="000000" w:themeColor="text1"/>
        </w:rPr>
        <w:t>e</w:t>
      </w:r>
      <w:r w:rsidR="005F5FA8">
        <w:rPr>
          <w:noProof/>
          <w:color w:val="000000" w:themeColor="text1"/>
        </w:rPr>
        <w:t xml:space="preserve"> the efficiency of its operations</w:t>
      </w:r>
      <w:r w:rsidR="0012436B">
        <w:rPr>
          <w:noProof/>
          <w:color w:val="000000" w:themeColor="text1"/>
        </w:rPr>
        <w:t xml:space="preserve"> in competition policy enforcement. DG Competition continued its efforts to digitise its case</w:t>
      </w:r>
      <w:r w:rsidR="00296268">
        <w:rPr>
          <w:noProof/>
          <w:color w:val="000000" w:themeColor="text1"/>
        </w:rPr>
        <w:t xml:space="preserve"> </w:t>
      </w:r>
      <w:r w:rsidR="005F5FA8">
        <w:rPr>
          <w:noProof/>
          <w:color w:val="000000" w:themeColor="text1"/>
        </w:rPr>
        <w:t xml:space="preserve">handling </w:t>
      </w:r>
      <w:r w:rsidR="00B72F22">
        <w:rPr>
          <w:noProof/>
          <w:color w:val="000000" w:themeColor="text1"/>
        </w:rPr>
        <w:t>processes</w:t>
      </w:r>
      <w:r w:rsidR="0012436B">
        <w:rPr>
          <w:noProof/>
          <w:color w:val="000000" w:themeColor="text1"/>
        </w:rPr>
        <w:t xml:space="preserve">. </w:t>
      </w:r>
      <w:r w:rsidR="00A86871">
        <w:rPr>
          <w:noProof/>
          <w:color w:val="000000" w:themeColor="text1"/>
        </w:rPr>
        <w:t>The year also brought major change</w:t>
      </w:r>
      <w:r w:rsidR="0012436B">
        <w:rPr>
          <w:noProof/>
          <w:color w:val="000000" w:themeColor="text1"/>
        </w:rPr>
        <w:t>s</w:t>
      </w:r>
      <w:r w:rsidR="00A86871">
        <w:rPr>
          <w:noProof/>
          <w:color w:val="000000" w:themeColor="text1"/>
        </w:rPr>
        <w:t xml:space="preserve"> in </w:t>
      </w:r>
      <w:r w:rsidR="00EF0996" w:rsidRPr="00EF0996">
        <w:rPr>
          <w:noProof/>
          <w:color w:val="000000" w:themeColor="text1"/>
        </w:rPr>
        <w:t>deploy</w:t>
      </w:r>
      <w:r w:rsidR="0012436B">
        <w:rPr>
          <w:noProof/>
          <w:color w:val="000000" w:themeColor="text1"/>
        </w:rPr>
        <w:t>ing</w:t>
      </w:r>
      <w:r w:rsidR="00EF0996" w:rsidRPr="00EF0996">
        <w:rPr>
          <w:noProof/>
          <w:color w:val="000000" w:themeColor="text1"/>
        </w:rPr>
        <w:t xml:space="preserve"> financial resources </w:t>
      </w:r>
      <w:r w:rsidR="0012436B">
        <w:rPr>
          <w:noProof/>
          <w:color w:val="000000" w:themeColor="text1"/>
        </w:rPr>
        <w:t xml:space="preserve">directly </w:t>
      </w:r>
      <w:r w:rsidR="00EF0996">
        <w:rPr>
          <w:noProof/>
          <w:color w:val="000000" w:themeColor="text1"/>
        </w:rPr>
        <w:t xml:space="preserve">to competition policy enforcement </w:t>
      </w:r>
      <w:r w:rsidR="005252CA">
        <w:rPr>
          <w:noProof/>
          <w:color w:val="000000" w:themeColor="text1"/>
        </w:rPr>
        <w:t xml:space="preserve">by means of </w:t>
      </w:r>
      <w:r w:rsidR="00EF0996" w:rsidRPr="00EF0996">
        <w:rPr>
          <w:noProof/>
          <w:color w:val="000000" w:themeColor="text1"/>
        </w:rPr>
        <w:t>a dedicated operational budget</w:t>
      </w:r>
      <w:r w:rsidR="00904AD2">
        <w:rPr>
          <w:noProof/>
          <w:color w:val="000000" w:themeColor="text1"/>
        </w:rPr>
        <w:t xml:space="preserve">. </w:t>
      </w:r>
      <w:r w:rsidR="005252CA">
        <w:rPr>
          <w:noProof/>
          <w:color w:val="000000" w:themeColor="text1"/>
        </w:rPr>
        <w:t>T</w:t>
      </w:r>
      <w:r w:rsidR="005F5FA8">
        <w:rPr>
          <w:noProof/>
          <w:color w:val="000000" w:themeColor="text1"/>
        </w:rPr>
        <w:t xml:space="preserve">he </w:t>
      </w:r>
      <w:r w:rsidR="005F5FA8" w:rsidRPr="005F5FA8">
        <w:rPr>
          <w:noProof/>
          <w:color w:val="000000" w:themeColor="text1"/>
        </w:rPr>
        <w:t xml:space="preserve">Single Market Programme </w:t>
      </w:r>
      <w:r w:rsidR="005F5FA8">
        <w:rPr>
          <w:noProof/>
          <w:lang w:val="en-US"/>
        </w:rPr>
        <w:t>(SMP)</w:t>
      </w:r>
      <w:r w:rsidR="005F5FA8">
        <w:rPr>
          <w:rStyle w:val="FootnoteReference"/>
          <w:noProof/>
          <w:lang w:val="en-US"/>
        </w:rPr>
        <w:footnoteReference w:id="4"/>
      </w:r>
      <w:r w:rsidR="005F5FA8">
        <w:rPr>
          <w:noProof/>
          <w:lang w:val="en-US"/>
        </w:rPr>
        <w:t xml:space="preserve"> and its </w:t>
      </w:r>
      <w:r w:rsidR="005F5FA8">
        <w:rPr>
          <w:noProof/>
          <w:color w:val="000000" w:themeColor="text1"/>
        </w:rPr>
        <w:t>component for competition policy</w:t>
      </w:r>
      <w:r w:rsidR="00204B86">
        <w:rPr>
          <w:noProof/>
          <w:color w:val="000000" w:themeColor="text1"/>
        </w:rPr>
        <w:t>, with a budget of EUR 20.4 million for 2021,</w:t>
      </w:r>
      <w:r w:rsidR="005F5FA8">
        <w:rPr>
          <w:noProof/>
          <w:color w:val="000000" w:themeColor="text1"/>
        </w:rPr>
        <w:t xml:space="preserve"> provides </w:t>
      </w:r>
      <w:r w:rsidR="005F5FA8">
        <w:rPr>
          <w:noProof/>
        </w:rPr>
        <w:t>stable financing of measures enhancing the Commission’s enforcement capacity</w:t>
      </w:r>
      <w:r w:rsidR="007853E3">
        <w:rPr>
          <w:noProof/>
        </w:rPr>
        <w:t>,</w:t>
      </w:r>
      <w:r w:rsidR="00963DC0">
        <w:rPr>
          <w:noProof/>
        </w:rPr>
        <w:t xml:space="preserve"> policy </w:t>
      </w:r>
      <w:r w:rsidR="005252CA">
        <w:rPr>
          <w:noProof/>
        </w:rPr>
        <w:t xml:space="preserve">initiatives, </w:t>
      </w:r>
      <w:r w:rsidR="007853E3">
        <w:rPr>
          <w:noProof/>
        </w:rPr>
        <w:t xml:space="preserve">international </w:t>
      </w:r>
      <w:r w:rsidR="00963DC0">
        <w:rPr>
          <w:noProof/>
        </w:rPr>
        <w:t>cooperation</w:t>
      </w:r>
      <w:r w:rsidR="007853E3">
        <w:rPr>
          <w:noProof/>
        </w:rPr>
        <w:t xml:space="preserve"> a</w:t>
      </w:r>
      <w:r w:rsidR="005252CA">
        <w:rPr>
          <w:noProof/>
        </w:rPr>
        <w:t>s well as competition policy advoca</w:t>
      </w:r>
      <w:r w:rsidR="002979F3">
        <w:rPr>
          <w:noProof/>
        </w:rPr>
        <w:t>c</w:t>
      </w:r>
      <w:r w:rsidR="005252CA">
        <w:rPr>
          <w:noProof/>
        </w:rPr>
        <w:t>y.</w:t>
      </w:r>
      <w:r w:rsidR="005F57A9">
        <w:rPr>
          <w:noProof/>
        </w:rPr>
        <w:t xml:space="preserve"> </w:t>
      </w:r>
      <w:r w:rsidR="002040AE">
        <w:rPr>
          <w:noProof/>
        </w:rPr>
        <w:t xml:space="preserve">DG Competition's </w:t>
      </w:r>
      <w:r w:rsidR="002040AE" w:rsidRPr="002040AE">
        <w:rPr>
          <w:noProof/>
        </w:rPr>
        <w:t>Communications Strategy</w:t>
      </w:r>
      <w:r w:rsidR="002040AE">
        <w:rPr>
          <w:noProof/>
        </w:rPr>
        <w:t xml:space="preserve"> supports the Executive Vice President's </w:t>
      </w:r>
      <w:r w:rsidR="00A3165A">
        <w:rPr>
          <w:noProof/>
        </w:rPr>
        <w:t xml:space="preserve">ambition to </w:t>
      </w:r>
      <w:r w:rsidR="002040AE">
        <w:rPr>
          <w:noProof/>
        </w:rPr>
        <w:t>pro-active</w:t>
      </w:r>
      <w:r w:rsidR="00A3165A">
        <w:rPr>
          <w:noProof/>
        </w:rPr>
        <w:t>ly</w:t>
      </w:r>
      <w:r w:rsidR="002040AE">
        <w:rPr>
          <w:noProof/>
        </w:rPr>
        <w:t xml:space="preserve"> communicat</w:t>
      </w:r>
      <w:r w:rsidR="00A3165A">
        <w:rPr>
          <w:noProof/>
        </w:rPr>
        <w:t xml:space="preserve">e the benefits of competition policy in a </w:t>
      </w:r>
      <w:r w:rsidR="002040AE">
        <w:rPr>
          <w:noProof/>
        </w:rPr>
        <w:t>clear, consistent and continuous</w:t>
      </w:r>
      <w:r w:rsidR="00A3165A">
        <w:rPr>
          <w:noProof/>
        </w:rPr>
        <w:t xml:space="preserve"> manner</w:t>
      </w:r>
      <w:r w:rsidR="002040AE">
        <w:rPr>
          <w:noProof/>
        </w:rPr>
        <w:t>.</w:t>
      </w:r>
    </w:p>
    <w:p w14:paraId="5D27F097" w14:textId="77777777" w:rsidR="00635134" w:rsidRPr="002143FB" w:rsidRDefault="0EC43936" w:rsidP="002143FB">
      <w:pPr>
        <w:pStyle w:val="Heading2"/>
      </w:pPr>
      <w:bookmarkStart w:id="7" w:name="_Toc94190096"/>
      <w:bookmarkStart w:id="8" w:name="_Toc94281745"/>
      <w:bookmarkStart w:id="9" w:name="_Toc95762329"/>
      <w:bookmarkStart w:id="10" w:name="_Toc102030129"/>
      <w:bookmarkStart w:id="11" w:name="_Toc94695837"/>
      <w:r w:rsidRPr="002143FB">
        <w:t xml:space="preserve">2. </w:t>
      </w:r>
      <w:r w:rsidR="58C5081E" w:rsidRPr="002143FB">
        <w:t xml:space="preserve">Ensuring that </w:t>
      </w:r>
      <w:r w:rsidR="260DBC16" w:rsidRPr="002143FB">
        <w:t>C</w:t>
      </w:r>
      <w:r w:rsidR="0D44889B" w:rsidRPr="002143FB">
        <w:t xml:space="preserve">ompetition </w:t>
      </w:r>
      <w:r w:rsidR="37310D0A" w:rsidRPr="002143FB">
        <w:t>R</w:t>
      </w:r>
      <w:r w:rsidR="0D44889B" w:rsidRPr="002143FB">
        <w:t xml:space="preserve">ules </w:t>
      </w:r>
      <w:r w:rsidR="1A85F6FF" w:rsidRPr="002143FB">
        <w:t>R</w:t>
      </w:r>
      <w:r w:rsidR="0D44889B" w:rsidRPr="002143FB">
        <w:t xml:space="preserve">emain </w:t>
      </w:r>
      <w:r w:rsidR="441127A3" w:rsidRPr="002143FB">
        <w:t>F</w:t>
      </w:r>
      <w:r w:rsidR="0D44889B" w:rsidRPr="002143FB">
        <w:t xml:space="preserve">it for </w:t>
      </w:r>
      <w:r w:rsidR="26B1A237" w:rsidRPr="002143FB">
        <w:t xml:space="preserve">the </w:t>
      </w:r>
      <w:r w:rsidR="3C09F8C9" w:rsidRPr="002143FB">
        <w:t>F</w:t>
      </w:r>
      <w:r w:rsidR="0D44889B" w:rsidRPr="002143FB">
        <w:t>uture</w:t>
      </w:r>
      <w:bookmarkEnd w:id="7"/>
      <w:bookmarkEnd w:id="8"/>
      <w:r w:rsidR="005965CA" w:rsidRPr="002143FB">
        <w:t xml:space="preserve"> </w:t>
      </w:r>
      <w:r w:rsidR="004305F5" w:rsidRPr="002143FB">
        <w:t>–</w:t>
      </w:r>
      <w:r w:rsidR="005965CA" w:rsidRPr="002143FB">
        <w:t xml:space="preserve"> </w:t>
      </w:r>
      <w:r w:rsidR="004305F5" w:rsidRPr="002143FB">
        <w:t xml:space="preserve">Progress </w:t>
      </w:r>
      <w:r w:rsidR="00016C59" w:rsidRPr="002143FB">
        <w:t>on</w:t>
      </w:r>
      <w:r w:rsidR="004305F5" w:rsidRPr="002143FB">
        <w:t xml:space="preserve"> the </w:t>
      </w:r>
      <w:r w:rsidR="005965CA" w:rsidRPr="002143FB">
        <w:t>Extensive Policy Agenda</w:t>
      </w:r>
      <w:bookmarkEnd w:id="9"/>
      <w:bookmarkEnd w:id="10"/>
      <w:r w:rsidR="005965CA" w:rsidRPr="002143FB">
        <w:t xml:space="preserve"> </w:t>
      </w:r>
      <w:bookmarkEnd w:id="11"/>
    </w:p>
    <w:p w14:paraId="6045BE06" w14:textId="77777777" w:rsidR="003A26E9" w:rsidRPr="006900E2" w:rsidRDefault="09663B49" w:rsidP="006900E2">
      <w:pPr>
        <w:pStyle w:val="Heading3"/>
        <w:spacing w:after="200"/>
        <w:rPr>
          <w:rStyle w:val="Heading2Char"/>
          <w:rFonts w:asciiTheme="majorHAnsi" w:hAnsiTheme="majorHAnsi"/>
          <w:i/>
          <w:iCs/>
        </w:rPr>
      </w:pPr>
      <w:bookmarkStart w:id="12" w:name="_Toc94190098"/>
      <w:bookmarkStart w:id="13" w:name="_Toc94281747"/>
      <w:bookmarkStart w:id="14" w:name="_Toc94695839"/>
      <w:bookmarkStart w:id="15" w:name="_Toc95762330"/>
      <w:bookmarkStart w:id="16" w:name="_Toc102030130"/>
      <w:r w:rsidRPr="158881C6">
        <w:rPr>
          <w:rStyle w:val="Heading2Char"/>
          <w:rFonts w:asciiTheme="majorHAnsi" w:hAnsiTheme="majorHAnsi"/>
        </w:rPr>
        <w:t>2.</w:t>
      </w:r>
      <w:r w:rsidR="00091991" w:rsidRPr="158881C6">
        <w:rPr>
          <w:rStyle w:val="Heading2Char"/>
          <w:rFonts w:asciiTheme="majorHAnsi" w:hAnsiTheme="majorHAnsi"/>
        </w:rPr>
        <w:t>1</w:t>
      </w:r>
      <w:r w:rsidRPr="158881C6">
        <w:rPr>
          <w:rStyle w:val="Heading2Char"/>
          <w:rFonts w:asciiTheme="majorHAnsi" w:hAnsiTheme="majorHAnsi"/>
        </w:rPr>
        <w:t xml:space="preserve">. </w:t>
      </w:r>
      <w:r w:rsidR="005252CA" w:rsidRPr="00947B7D">
        <w:rPr>
          <w:rStyle w:val="Heading2Char"/>
          <w:rFonts w:asciiTheme="majorHAnsi" w:hAnsiTheme="majorHAnsi" w:cstheme="majorBidi"/>
        </w:rPr>
        <w:t>N</w:t>
      </w:r>
      <w:r w:rsidR="00AD346A" w:rsidRPr="00947B7D">
        <w:rPr>
          <w:rStyle w:val="Heading2Char"/>
          <w:rFonts w:asciiTheme="majorHAnsi" w:hAnsiTheme="majorHAnsi" w:cstheme="majorBidi"/>
        </w:rPr>
        <w:t>e</w:t>
      </w:r>
      <w:r w:rsidR="00D14753" w:rsidRPr="00947B7D">
        <w:rPr>
          <w:rStyle w:val="Heading2Char"/>
          <w:rFonts w:asciiTheme="majorHAnsi" w:hAnsiTheme="majorHAnsi" w:cstheme="majorBidi"/>
        </w:rPr>
        <w:t>w</w:t>
      </w:r>
      <w:r w:rsidR="00D14753" w:rsidRPr="158881C6">
        <w:rPr>
          <w:rStyle w:val="Heading2Char"/>
          <w:rFonts w:asciiTheme="majorHAnsi" w:hAnsiTheme="majorHAnsi"/>
        </w:rPr>
        <w:t xml:space="preserve"> legislative initiatives to strengthen the competition policy toolbox</w:t>
      </w:r>
      <w:bookmarkEnd w:id="12"/>
      <w:bookmarkEnd w:id="13"/>
      <w:bookmarkEnd w:id="14"/>
      <w:bookmarkEnd w:id="15"/>
      <w:bookmarkEnd w:id="16"/>
    </w:p>
    <w:p w14:paraId="6E97DEF8" w14:textId="3A19457E" w:rsidR="00904AD2" w:rsidRPr="009A2182" w:rsidRDefault="004C396E" w:rsidP="00904AD2">
      <w:pPr>
        <w:jc w:val="both"/>
        <w:rPr>
          <w:b/>
          <w:noProof/>
        </w:rPr>
      </w:pPr>
      <w:r w:rsidRPr="004C396E">
        <w:rPr>
          <w:rFonts w:eastAsia="Times New Roman" w:cs="Times New Roman"/>
          <w:noProof/>
        </w:rPr>
        <w:t>Forming part of the EU Digital Strategy</w:t>
      </w:r>
      <w:r w:rsidRPr="004C396E">
        <w:rPr>
          <w:rFonts w:eastAsia="Times New Roman" w:cs="Times New Roman"/>
          <w:noProof/>
          <w:vertAlign w:val="superscript"/>
        </w:rPr>
        <w:footnoteReference w:id="5"/>
      </w:r>
      <w:r>
        <w:rPr>
          <w:rFonts w:eastAsia="Times New Roman" w:cs="Times New Roman"/>
          <w:noProof/>
        </w:rPr>
        <w:t xml:space="preserve"> t</w:t>
      </w:r>
      <w:r w:rsidR="00D14753" w:rsidRPr="00947B7D">
        <w:rPr>
          <w:rFonts w:eastAsia="Times New Roman" w:cs="Times New Roman"/>
          <w:noProof/>
        </w:rPr>
        <w:t xml:space="preserve">o tackle </w:t>
      </w:r>
      <w:r w:rsidR="00DB0C9F" w:rsidRPr="00947B7D">
        <w:rPr>
          <w:rFonts w:eastAsia="Times New Roman" w:cs="Times New Roman"/>
          <w:noProof/>
        </w:rPr>
        <w:t xml:space="preserve">systemic </w:t>
      </w:r>
      <w:r w:rsidR="00D14753" w:rsidRPr="00947B7D">
        <w:rPr>
          <w:rFonts w:eastAsia="Times New Roman" w:cs="Times New Roman"/>
          <w:noProof/>
        </w:rPr>
        <w:t xml:space="preserve">digital challenges such as the spread of cyber threats, hate speech, disinformation, limited competition </w:t>
      </w:r>
      <w:r w:rsidR="00DB0C9F" w:rsidRPr="004155ED">
        <w:rPr>
          <w:rFonts w:eastAsia="Times New Roman" w:cs="Times New Roman"/>
          <w:noProof/>
        </w:rPr>
        <w:t>and fairness in</w:t>
      </w:r>
      <w:r w:rsidR="00D14753" w:rsidRPr="004155ED">
        <w:rPr>
          <w:rFonts w:eastAsia="Times New Roman" w:cs="Times New Roman"/>
          <w:noProof/>
        </w:rPr>
        <w:t xml:space="preserve"> digital markets, the Commission presented </w:t>
      </w:r>
      <w:r w:rsidR="00DB0C9F" w:rsidRPr="00062864">
        <w:rPr>
          <w:rFonts w:eastAsia="Times New Roman" w:cs="Times New Roman"/>
          <w:noProof/>
        </w:rPr>
        <w:t xml:space="preserve">two </w:t>
      </w:r>
      <w:r w:rsidR="00D14753" w:rsidRPr="00062864">
        <w:rPr>
          <w:rFonts w:eastAsia="Times New Roman" w:cs="Times New Roman"/>
          <w:noProof/>
        </w:rPr>
        <w:t>legislative proposal</w:t>
      </w:r>
      <w:r w:rsidR="00DB0C9F" w:rsidRPr="00062864">
        <w:rPr>
          <w:rFonts w:eastAsia="Times New Roman" w:cs="Times New Roman"/>
          <w:noProof/>
        </w:rPr>
        <w:t>s</w:t>
      </w:r>
      <w:r>
        <w:rPr>
          <w:rFonts w:eastAsia="Times New Roman" w:cs="Times New Roman"/>
          <w:noProof/>
        </w:rPr>
        <w:t xml:space="preserve"> in December 2020</w:t>
      </w:r>
      <w:r w:rsidR="00296268">
        <w:rPr>
          <w:rFonts w:eastAsia="Times New Roman" w:cs="Times New Roman"/>
          <w:noProof/>
        </w:rPr>
        <w:t>, namely</w:t>
      </w:r>
      <w:r>
        <w:rPr>
          <w:rFonts w:eastAsia="Times New Roman" w:cs="Times New Roman"/>
          <w:noProof/>
        </w:rPr>
        <w:t xml:space="preserve"> the </w:t>
      </w:r>
      <w:r w:rsidR="00D14753" w:rsidRPr="00062864">
        <w:rPr>
          <w:rFonts w:eastAsia="Times New Roman" w:cs="Times New Roman"/>
          <w:noProof/>
        </w:rPr>
        <w:t>Digital Services Act (DSA)</w:t>
      </w:r>
      <w:r w:rsidR="00427B74" w:rsidRPr="00947B7D">
        <w:rPr>
          <w:rStyle w:val="FootnoteReference"/>
          <w:rFonts w:eastAsia="Times New Roman" w:cs="Times New Roman"/>
          <w:noProof/>
        </w:rPr>
        <w:footnoteReference w:id="6"/>
      </w:r>
      <w:r w:rsidR="00D14753" w:rsidRPr="00947B7D">
        <w:rPr>
          <w:rFonts w:eastAsia="Times New Roman" w:cs="Times New Roman"/>
          <w:noProof/>
        </w:rPr>
        <w:t xml:space="preserve"> and </w:t>
      </w:r>
      <w:r>
        <w:rPr>
          <w:rFonts w:eastAsia="Times New Roman" w:cs="Times New Roman"/>
          <w:noProof/>
        </w:rPr>
        <w:t>the</w:t>
      </w:r>
      <w:r w:rsidR="00D14753" w:rsidRPr="00947B7D">
        <w:rPr>
          <w:rFonts w:eastAsia="Times New Roman" w:cs="Times New Roman"/>
          <w:noProof/>
          <w:color w:val="000000" w:themeColor="text1"/>
        </w:rPr>
        <w:t xml:space="preserve"> Digital Markets Act </w:t>
      </w:r>
      <w:r w:rsidR="00D14753" w:rsidRPr="00947B7D">
        <w:rPr>
          <w:rFonts w:eastAsia="Times New Roman" w:cs="Times New Roman"/>
          <w:noProof/>
        </w:rPr>
        <w:t>(DMA)</w:t>
      </w:r>
      <w:r w:rsidR="00904AD2" w:rsidRPr="00947B7D">
        <w:rPr>
          <w:rStyle w:val="FootnoteReference"/>
          <w:rFonts w:eastAsia="Times New Roman" w:cs="Times New Roman"/>
          <w:noProof/>
        </w:rPr>
        <w:footnoteReference w:id="7"/>
      </w:r>
      <w:r>
        <w:rPr>
          <w:rFonts w:eastAsia="Times New Roman" w:cs="Times New Roman"/>
          <w:noProof/>
        </w:rPr>
        <w:t>.</w:t>
      </w:r>
      <w:r w:rsidR="00904AD2" w:rsidRPr="00947B7D">
        <w:rPr>
          <w:rFonts w:eastAsia="Times New Roman" w:cs="Times New Roman"/>
          <w:noProof/>
        </w:rPr>
        <w:t xml:space="preserve"> The DMA </w:t>
      </w:r>
      <w:r w:rsidR="00DB0C9F" w:rsidRPr="00947B7D">
        <w:rPr>
          <w:rFonts w:eastAsia="Times New Roman" w:cs="Times New Roman"/>
          <w:noProof/>
        </w:rPr>
        <w:t>proposes a series of directly</w:t>
      </w:r>
      <w:r w:rsidR="00296268">
        <w:rPr>
          <w:rFonts w:eastAsia="Times New Roman" w:cs="Times New Roman"/>
          <w:noProof/>
        </w:rPr>
        <w:t xml:space="preserve"> </w:t>
      </w:r>
      <w:r w:rsidR="00DB0C9F" w:rsidRPr="00947B7D">
        <w:rPr>
          <w:rFonts w:eastAsia="Times New Roman" w:cs="Times New Roman"/>
          <w:noProof/>
        </w:rPr>
        <w:t xml:space="preserve">applicable obligations for </w:t>
      </w:r>
      <w:r>
        <w:rPr>
          <w:rFonts w:eastAsia="Times New Roman" w:cs="Times New Roman"/>
          <w:noProof/>
        </w:rPr>
        <w:t xml:space="preserve">firms </w:t>
      </w:r>
      <w:r w:rsidR="00DB0C9F" w:rsidRPr="00947B7D">
        <w:rPr>
          <w:rFonts w:eastAsia="Times New Roman" w:cs="Times New Roman"/>
          <w:noProof/>
        </w:rPr>
        <w:t xml:space="preserve">acting as important </w:t>
      </w:r>
      <w:r w:rsidR="00173EA8">
        <w:rPr>
          <w:rFonts w:eastAsia="Times New Roman" w:cs="Times New Roman"/>
          <w:noProof/>
        </w:rPr>
        <w:t>gatekeepers</w:t>
      </w:r>
      <w:r w:rsidR="00DB0C9F" w:rsidRPr="00947B7D">
        <w:rPr>
          <w:rFonts w:eastAsia="Times New Roman" w:cs="Times New Roman"/>
          <w:noProof/>
        </w:rPr>
        <w:t xml:space="preserve"> for business</w:t>
      </w:r>
      <w:r w:rsidR="002C3C51">
        <w:rPr>
          <w:rFonts w:eastAsia="Times New Roman" w:cs="Times New Roman"/>
          <w:noProof/>
        </w:rPr>
        <w:t>es</w:t>
      </w:r>
      <w:r w:rsidR="00DB0C9F" w:rsidRPr="00947B7D">
        <w:rPr>
          <w:rFonts w:eastAsia="Times New Roman" w:cs="Times New Roman"/>
          <w:noProof/>
        </w:rPr>
        <w:t xml:space="preserve"> </w:t>
      </w:r>
      <w:r w:rsidR="002C3C51">
        <w:rPr>
          <w:rFonts w:eastAsia="Times New Roman" w:cs="Times New Roman"/>
          <w:noProof/>
        </w:rPr>
        <w:t xml:space="preserve">and consumers </w:t>
      </w:r>
      <w:r w:rsidR="00DB0C9F" w:rsidRPr="00947B7D">
        <w:rPr>
          <w:rFonts w:eastAsia="Times New Roman" w:cs="Times New Roman"/>
          <w:noProof/>
        </w:rPr>
        <w:t xml:space="preserve">in the </w:t>
      </w:r>
      <w:r w:rsidR="002C3C51">
        <w:rPr>
          <w:rFonts w:eastAsia="Times New Roman" w:cs="Times New Roman"/>
          <w:noProof/>
        </w:rPr>
        <w:t>Single Market</w:t>
      </w:r>
      <w:r w:rsidR="00DC738F" w:rsidRPr="00947B7D">
        <w:rPr>
          <w:rFonts w:eastAsia="Times New Roman" w:cs="Times New Roman"/>
          <w:noProof/>
        </w:rPr>
        <w:t>.</w:t>
      </w:r>
      <w:r w:rsidR="00F22163" w:rsidRPr="00F22163">
        <w:rPr>
          <w:noProof/>
        </w:rPr>
        <w:t xml:space="preserve"> </w:t>
      </w:r>
      <w:r w:rsidR="002C3C51">
        <w:rPr>
          <w:noProof/>
        </w:rPr>
        <w:t xml:space="preserve">The DMA </w:t>
      </w:r>
      <w:r w:rsidR="00F22163" w:rsidRPr="00947B7D">
        <w:rPr>
          <w:rFonts w:eastAsia="Times New Roman" w:cs="Times New Roman"/>
          <w:noProof/>
        </w:rPr>
        <w:t xml:space="preserve">remained a top </w:t>
      </w:r>
      <w:r w:rsidR="00DC738F" w:rsidRPr="004155ED">
        <w:rPr>
          <w:rFonts w:eastAsia="Times New Roman" w:cs="Times New Roman"/>
          <w:noProof/>
        </w:rPr>
        <w:t xml:space="preserve">legislative </w:t>
      </w:r>
      <w:r w:rsidR="00F22163" w:rsidRPr="004155ED">
        <w:rPr>
          <w:rFonts w:eastAsia="Times New Roman" w:cs="Times New Roman"/>
          <w:noProof/>
        </w:rPr>
        <w:t>priority in 2021 as demonstrated by the adoption of the co-legislators’ respective mandates</w:t>
      </w:r>
      <w:r w:rsidR="002C3C51">
        <w:rPr>
          <w:rFonts w:eastAsia="Times New Roman" w:cs="Times New Roman"/>
          <w:noProof/>
        </w:rPr>
        <w:t xml:space="preserve"> in November and December 2021</w:t>
      </w:r>
      <w:r w:rsidR="00F22163">
        <w:rPr>
          <w:rStyle w:val="FootnoteReference"/>
          <w:noProof/>
        </w:rPr>
        <w:footnoteReference w:id="8"/>
      </w:r>
      <w:r w:rsidR="00F22163" w:rsidRPr="00947B7D">
        <w:rPr>
          <w:rFonts w:eastAsia="Times New Roman" w:cs="Times New Roman"/>
          <w:noProof/>
        </w:rPr>
        <w:t>.</w:t>
      </w:r>
      <w:r w:rsidR="0086028B" w:rsidRPr="00947B7D">
        <w:rPr>
          <w:rFonts w:eastAsia="Times New Roman" w:cs="Times New Roman"/>
          <w:noProof/>
        </w:rPr>
        <w:t xml:space="preserve"> </w:t>
      </w:r>
    </w:p>
    <w:p w14:paraId="5351B46C" w14:textId="1AA89C48" w:rsidR="0518C7B2" w:rsidRPr="000F147F" w:rsidRDefault="0518C7B2">
      <w:pPr>
        <w:jc w:val="both"/>
        <w:rPr>
          <w:rFonts w:eastAsia="Times New Roman" w:cs="Times New Roman"/>
          <w:noProof/>
          <w:color w:val="000000" w:themeColor="text1"/>
        </w:rPr>
      </w:pPr>
      <w:r w:rsidRPr="00947B7D">
        <w:rPr>
          <w:rFonts w:eastAsia="Times New Roman" w:cs="Times New Roman"/>
          <w:noProof/>
          <w:color w:val="000000" w:themeColor="text1"/>
        </w:rPr>
        <w:t xml:space="preserve">In May 2021, the Commission tabled </w:t>
      </w:r>
      <w:r w:rsidR="005252CA" w:rsidRPr="00947B7D">
        <w:rPr>
          <w:rFonts w:eastAsia="Times New Roman" w:cs="Times New Roman"/>
          <w:noProof/>
          <w:color w:val="000000" w:themeColor="text1"/>
        </w:rPr>
        <w:t xml:space="preserve">a proposal </w:t>
      </w:r>
      <w:r w:rsidR="008A68CE" w:rsidRPr="004155ED">
        <w:rPr>
          <w:rFonts w:eastAsia="Times New Roman" w:cs="Times New Roman"/>
          <w:noProof/>
          <w:color w:val="000000" w:themeColor="text1"/>
        </w:rPr>
        <w:t xml:space="preserve">for </w:t>
      </w:r>
      <w:r w:rsidRPr="004155ED">
        <w:rPr>
          <w:rFonts w:eastAsia="Times New Roman" w:cs="Times New Roman"/>
          <w:noProof/>
          <w:color w:val="000000" w:themeColor="text1"/>
        </w:rPr>
        <w:t>a Regulation on foreign subsidies distorting the internal market</w:t>
      </w:r>
      <w:r w:rsidR="00A778FE" w:rsidRPr="00947B7D">
        <w:rPr>
          <w:rStyle w:val="FootnoteReference"/>
          <w:rFonts w:eastAsia="Times New Roman" w:cs="Times New Roman"/>
          <w:noProof/>
          <w:color w:val="000000" w:themeColor="text1"/>
        </w:rPr>
        <w:footnoteReference w:id="9"/>
      </w:r>
      <w:r w:rsidRPr="00947B7D">
        <w:rPr>
          <w:rFonts w:eastAsia="Times New Roman" w:cs="Times New Roman"/>
          <w:noProof/>
          <w:color w:val="000000" w:themeColor="text1"/>
        </w:rPr>
        <w:t xml:space="preserve">. While </w:t>
      </w:r>
      <w:r w:rsidR="009D52FE" w:rsidRPr="00947B7D">
        <w:rPr>
          <w:rFonts w:eastAsia="Times New Roman" w:cs="Times New Roman"/>
          <w:noProof/>
          <w:color w:val="000000" w:themeColor="text1"/>
        </w:rPr>
        <w:t xml:space="preserve">aid </w:t>
      </w:r>
      <w:r w:rsidRPr="00947B7D">
        <w:rPr>
          <w:rFonts w:eastAsia="Times New Roman" w:cs="Times New Roman"/>
          <w:noProof/>
          <w:color w:val="000000" w:themeColor="text1"/>
        </w:rPr>
        <w:t xml:space="preserve">granted by </w:t>
      </w:r>
      <w:r w:rsidR="009D52FE" w:rsidRPr="00947B7D">
        <w:rPr>
          <w:rFonts w:eastAsia="Times New Roman" w:cs="Times New Roman"/>
          <w:noProof/>
          <w:color w:val="000000" w:themeColor="text1"/>
        </w:rPr>
        <w:t xml:space="preserve">EU </w:t>
      </w:r>
      <w:r w:rsidRPr="004155ED">
        <w:rPr>
          <w:rFonts w:eastAsia="Times New Roman" w:cs="Times New Roman"/>
          <w:noProof/>
          <w:color w:val="000000" w:themeColor="text1"/>
        </w:rPr>
        <w:t xml:space="preserve">Member States </w:t>
      </w:r>
      <w:r w:rsidR="009D52FE" w:rsidRPr="004155ED">
        <w:rPr>
          <w:rFonts w:eastAsia="Times New Roman" w:cs="Times New Roman"/>
          <w:noProof/>
          <w:color w:val="000000" w:themeColor="text1"/>
        </w:rPr>
        <w:t>is close</w:t>
      </w:r>
      <w:r w:rsidR="00296268">
        <w:rPr>
          <w:rFonts w:eastAsia="Times New Roman" w:cs="Times New Roman"/>
          <w:noProof/>
          <w:color w:val="000000" w:themeColor="text1"/>
        </w:rPr>
        <w:t>ly</w:t>
      </w:r>
      <w:r w:rsidR="009D52FE" w:rsidRPr="004155ED">
        <w:rPr>
          <w:rFonts w:eastAsia="Times New Roman" w:cs="Times New Roman"/>
          <w:noProof/>
          <w:color w:val="000000" w:themeColor="text1"/>
        </w:rPr>
        <w:t xml:space="preserve"> </w:t>
      </w:r>
      <w:r w:rsidRPr="004155ED">
        <w:rPr>
          <w:rFonts w:eastAsia="Times New Roman" w:cs="Times New Roman"/>
          <w:noProof/>
          <w:color w:val="000000" w:themeColor="text1"/>
        </w:rPr>
        <w:t>scrutin</w:t>
      </w:r>
      <w:r w:rsidR="00296268">
        <w:rPr>
          <w:rFonts w:eastAsia="Times New Roman" w:cs="Times New Roman"/>
          <w:noProof/>
          <w:color w:val="000000" w:themeColor="text1"/>
        </w:rPr>
        <w:t>ised</w:t>
      </w:r>
      <w:r w:rsidRPr="004155ED">
        <w:rPr>
          <w:rFonts w:eastAsia="Times New Roman" w:cs="Times New Roman"/>
          <w:noProof/>
          <w:color w:val="000000" w:themeColor="text1"/>
        </w:rPr>
        <w:t>, subsidies granted by countries outside the EU to companies active in the EU go largely unchecked. The new rules w</w:t>
      </w:r>
      <w:r w:rsidR="005252CA" w:rsidRPr="004155ED">
        <w:rPr>
          <w:rFonts w:eastAsia="Times New Roman" w:cs="Times New Roman"/>
          <w:noProof/>
          <w:color w:val="000000" w:themeColor="text1"/>
        </w:rPr>
        <w:t>ould</w:t>
      </w:r>
      <w:r w:rsidRPr="00062864">
        <w:rPr>
          <w:rFonts w:eastAsia="Times New Roman" w:cs="Times New Roman"/>
          <w:noProof/>
          <w:color w:val="000000" w:themeColor="text1"/>
        </w:rPr>
        <w:t xml:space="preserve"> tackle foreign subsidies that distort competition in the Single Market</w:t>
      </w:r>
      <w:r w:rsidR="00CD4A52" w:rsidRPr="00062864">
        <w:rPr>
          <w:rFonts w:eastAsia="Times New Roman" w:cs="Times New Roman"/>
          <w:noProof/>
          <w:color w:val="000000" w:themeColor="text1"/>
        </w:rPr>
        <w:t>.</w:t>
      </w:r>
      <w:r w:rsidRPr="00062864">
        <w:rPr>
          <w:rFonts w:eastAsia="Times New Roman" w:cs="Times New Roman"/>
          <w:noProof/>
          <w:color w:val="000000" w:themeColor="text1"/>
        </w:rPr>
        <w:t xml:space="preserve"> Under the proposed Regulation, the Commission would be able to investigate subsidies granted </w:t>
      </w:r>
      <w:r w:rsidR="00347CA6">
        <w:rPr>
          <w:rFonts w:eastAsia="Times New Roman" w:cs="Times New Roman"/>
          <w:noProof/>
          <w:color w:val="000000" w:themeColor="text1"/>
        </w:rPr>
        <w:t xml:space="preserve">by foreign States </w:t>
      </w:r>
      <w:r w:rsidRPr="00062864">
        <w:rPr>
          <w:rFonts w:eastAsia="Times New Roman" w:cs="Times New Roman"/>
          <w:noProof/>
          <w:color w:val="000000" w:themeColor="text1"/>
        </w:rPr>
        <w:t xml:space="preserve">to firms active in the EU and redress </w:t>
      </w:r>
      <w:r w:rsidR="009D52FE" w:rsidRPr="00062864">
        <w:rPr>
          <w:rFonts w:eastAsia="Times New Roman" w:cs="Times New Roman"/>
          <w:noProof/>
          <w:color w:val="000000" w:themeColor="text1"/>
        </w:rPr>
        <w:t xml:space="preserve">– when appropriate – </w:t>
      </w:r>
      <w:r w:rsidRPr="00062864">
        <w:rPr>
          <w:rFonts w:eastAsia="Times New Roman" w:cs="Times New Roman"/>
          <w:noProof/>
          <w:color w:val="000000" w:themeColor="text1"/>
        </w:rPr>
        <w:t xml:space="preserve">the distortive effects caused by </w:t>
      </w:r>
      <w:r w:rsidR="00347CA6">
        <w:rPr>
          <w:rFonts w:eastAsia="Times New Roman" w:cs="Times New Roman"/>
          <w:noProof/>
          <w:color w:val="000000" w:themeColor="text1"/>
        </w:rPr>
        <w:t xml:space="preserve">such </w:t>
      </w:r>
      <w:r w:rsidRPr="00062864">
        <w:rPr>
          <w:rFonts w:eastAsia="Times New Roman" w:cs="Times New Roman"/>
          <w:noProof/>
          <w:color w:val="000000" w:themeColor="text1"/>
        </w:rPr>
        <w:t>State support</w:t>
      </w:r>
      <w:r w:rsidR="008A68CE" w:rsidRPr="00F42E78">
        <w:rPr>
          <w:rStyle w:val="FootnoteReference"/>
          <w:noProof/>
          <w:color w:val="000000" w:themeColor="text1"/>
        </w:rPr>
        <w:footnoteReference w:id="10"/>
      </w:r>
      <w:r w:rsidR="00917F48">
        <w:rPr>
          <w:rFonts w:eastAsia="Times New Roman" w:cs="Times New Roman"/>
          <w:noProof/>
          <w:color w:val="000000" w:themeColor="text1"/>
          <w:sz w:val="20"/>
          <w:szCs w:val="20"/>
        </w:rPr>
        <w:t>.</w:t>
      </w:r>
      <w:r w:rsidR="008A68CE" w:rsidRPr="00947B7D">
        <w:rPr>
          <w:rFonts w:eastAsia="Times New Roman" w:cs="Times New Roman"/>
          <w:noProof/>
          <w:color w:val="000000" w:themeColor="text1"/>
        </w:rPr>
        <w:t xml:space="preserve"> </w:t>
      </w:r>
    </w:p>
    <w:p w14:paraId="00837578" w14:textId="77777777" w:rsidR="00635134" w:rsidRPr="00F42E78" w:rsidRDefault="32DB1B55" w:rsidP="00F42E78">
      <w:pPr>
        <w:pStyle w:val="Heading3"/>
        <w:spacing w:after="120"/>
        <w:jc w:val="both"/>
        <w:rPr>
          <w:noProof/>
        </w:rPr>
      </w:pPr>
      <w:bookmarkStart w:id="17" w:name="_Toc94190101"/>
      <w:bookmarkStart w:id="18" w:name="_Toc94281750"/>
      <w:bookmarkStart w:id="19" w:name="_Toc94695842"/>
      <w:bookmarkStart w:id="20" w:name="_Toc95762331"/>
      <w:bookmarkStart w:id="21" w:name="_Toc102030131"/>
      <w:r w:rsidRPr="158881C6">
        <w:rPr>
          <w:rStyle w:val="Heading2Char"/>
          <w:rFonts w:asciiTheme="majorHAnsi" w:hAnsiTheme="majorHAnsi"/>
        </w:rPr>
        <w:t>2</w:t>
      </w:r>
      <w:r w:rsidR="003425F5" w:rsidRPr="158881C6">
        <w:rPr>
          <w:rStyle w:val="Heading2Char"/>
          <w:rFonts w:asciiTheme="majorHAnsi" w:hAnsiTheme="majorHAnsi"/>
        </w:rPr>
        <w:t>.</w:t>
      </w:r>
      <w:r w:rsidR="00677C0B" w:rsidRPr="158881C6">
        <w:rPr>
          <w:rStyle w:val="Heading2Char"/>
          <w:rFonts w:asciiTheme="majorHAnsi" w:hAnsiTheme="majorHAnsi"/>
        </w:rPr>
        <w:t>2</w:t>
      </w:r>
      <w:r w:rsidR="00623349" w:rsidRPr="158881C6">
        <w:rPr>
          <w:rStyle w:val="Heading2Char"/>
          <w:rFonts w:asciiTheme="majorHAnsi" w:hAnsiTheme="majorHAnsi"/>
        </w:rPr>
        <w:t>.</w:t>
      </w:r>
      <w:r w:rsidRPr="158881C6">
        <w:rPr>
          <w:rStyle w:val="Heading2Char"/>
          <w:rFonts w:asciiTheme="majorHAnsi" w:hAnsiTheme="majorHAnsi"/>
        </w:rPr>
        <w:t xml:space="preserve"> </w:t>
      </w:r>
      <w:bookmarkEnd w:id="17"/>
      <w:bookmarkEnd w:id="18"/>
      <w:bookmarkEnd w:id="19"/>
      <w:r w:rsidR="009F10B6" w:rsidRPr="00F42E78">
        <w:rPr>
          <w:noProof/>
        </w:rPr>
        <w:t xml:space="preserve">Updating </w:t>
      </w:r>
      <w:r w:rsidR="00677C0B" w:rsidRPr="00F42E78">
        <w:rPr>
          <w:noProof/>
        </w:rPr>
        <w:t>antitrust</w:t>
      </w:r>
      <w:r w:rsidR="00677C0B">
        <w:rPr>
          <w:noProof/>
        </w:rPr>
        <w:t xml:space="preserve"> and </w:t>
      </w:r>
      <w:r w:rsidR="009F10B6" w:rsidRPr="002037F2">
        <w:rPr>
          <w:noProof/>
        </w:rPr>
        <w:t>merger</w:t>
      </w:r>
      <w:r w:rsidR="009F10B6" w:rsidRPr="00F42E78">
        <w:rPr>
          <w:noProof/>
        </w:rPr>
        <w:t xml:space="preserve"> rules and guidance</w:t>
      </w:r>
      <w:r w:rsidR="004B63E9" w:rsidRPr="00F42E78">
        <w:rPr>
          <w:noProof/>
        </w:rPr>
        <w:t xml:space="preserve"> </w:t>
      </w:r>
      <w:r w:rsidR="00860FFB" w:rsidRPr="158881C6">
        <w:rPr>
          <w:rStyle w:val="Heading2Char"/>
          <w:rFonts w:asciiTheme="majorHAnsi" w:hAnsiTheme="majorHAnsi"/>
        </w:rPr>
        <w:t>to make them fit for new challenges</w:t>
      </w:r>
      <w:bookmarkEnd w:id="20"/>
      <w:bookmarkEnd w:id="21"/>
    </w:p>
    <w:p w14:paraId="4E3E3517" w14:textId="5480FFFC" w:rsidR="006F3949" w:rsidRPr="00623349" w:rsidRDefault="00623349" w:rsidP="00623349">
      <w:pPr>
        <w:jc w:val="both"/>
        <w:rPr>
          <w:noProof/>
          <w:lang w:val="en-US"/>
        </w:rPr>
      </w:pPr>
      <w:r w:rsidRPr="00947B7D">
        <w:rPr>
          <w:rStyle w:val="Emphasis"/>
          <w:i w:val="0"/>
          <w:iCs w:val="0"/>
          <w:noProof/>
        </w:rPr>
        <w:t xml:space="preserve">The purpose of the on-going review of </w:t>
      </w:r>
      <w:r w:rsidR="009602B2" w:rsidRPr="00947B7D">
        <w:rPr>
          <w:rStyle w:val="Emphasis"/>
          <w:i w:val="0"/>
          <w:iCs w:val="0"/>
          <w:noProof/>
        </w:rPr>
        <w:t xml:space="preserve">key </w:t>
      </w:r>
      <w:r w:rsidRPr="00947B7D">
        <w:rPr>
          <w:rStyle w:val="Emphasis"/>
          <w:i w:val="0"/>
          <w:iCs w:val="0"/>
          <w:noProof/>
        </w:rPr>
        <w:t xml:space="preserve">antitrust </w:t>
      </w:r>
      <w:r w:rsidR="00A206F3" w:rsidRPr="00947B7D">
        <w:rPr>
          <w:rStyle w:val="Emphasis"/>
          <w:i w:val="0"/>
          <w:iCs w:val="0"/>
          <w:noProof/>
        </w:rPr>
        <w:t xml:space="preserve">and merger </w:t>
      </w:r>
      <w:r w:rsidRPr="00947B7D">
        <w:rPr>
          <w:rStyle w:val="Emphasis"/>
          <w:i w:val="0"/>
          <w:iCs w:val="0"/>
          <w:noProof/>
        </w:rPr>
        <w:t>rules</w:t>
      </w:r>
      <w:r w:rsidR="00A206F3" w:rsidRPr="004155ED">
        <w:rPr>
          <w:rStyle w:val="Emphasis"/>
          <w:i w:val="0"/>
          <w:iCs w:val="0"/>
          <w:noProof/>
        </w:rPr>
        <w:t xml:space="preserve"> </w:t>
      </w:r>
      <w:r w:rsidRPr="004155ED">
        <w:rPr>
          <w:rStyle w:val="Emphasis"/>
          <w:i w:val="0"/>
          <w:iCs w:val="0"/>
          <w:noProof/>
        </w:rPr>
        <w:t>is to evaluate the rules</w:t>
      </w:r>
      <w:r w:rsidR="00A52702" w:rsidRPr="004155ED">
        <w:rPr>
          <w:rStyle w:val="Emphasis"/>
          <w:i w:val="0"/>
          <w:iCs w:val="0"/>
          <w:noProof/>
        </w:rPr>
        <w:t xml:space="preserve"> in force</w:t>
      </w:r>
      <w:r w:rsidRPr="00062864">
        <w:rPr>
          <w:rStyle w:val="Emphasis"/>
          <w:i w:val="0"/>
          <w:iCs w:val="0"/>
          <w:noProof/>
        </w:rPr>
        <w:t xml:space="preserve"> and </w:t>
      </w:r>
      <w:r w:rsidR="000D445D" w:rsidRPr="00062864">
        <w:rPr>
          <w:rStyle w:val="Emphasis"/>
          <w:i w:val="0"/>
          <w:iCs w:val="0"/>
          <w:noProof/>
        </w:rPr>
        <w:t xml:space="preserve">to adjust them </w:t>
      </w:r>
      <w:r w:rsidRPr="00062864">
        <w:rPr>
          <w:rStyle w:val="Emphasis"/>
          <w:i w:val="0"/>
          <w:iCs w:val="0"/>
          <w:noProof/>
        </w:rPr>
        <w:t>where needed, keeping up with market developments that have transformed the way businesses</w:t>
      </w:r>
      <w:r w:rsidR="00A206F3" w:rsidRPr="00373CE6">
        <w:rPr>
          <w:rStyle w:val="Emphasis"/>
          <w:i w:val="0"/>
          <w:iCs w:val="0"/>
          <w:noProof/>
        </w:rPr>
        <w:t xml:space="preserve"> </w:t>
      </w:r>
      <w:r w:rsidRPr="00373CE6">
        <w:rPr>
          <w:rStyle w:val="Emphasis"/>
          <w:i w:val="0"/>
          <w:iCs w:val="0"/>
          <w:noProof/>
        </w:rPr>
        <w:t>operate, including the growth of e-commerce and online platforms</w:t>
      </w:r>
      <w:r w:rsidR="00A206F3" w:rsidRPr="00373CE6">
        <w:rPr>
          <w:rStyle w:val="Emphasis"/>
          <w:i w:val="0"/>
          <w:iCs w:val="0"/>
          <w:noProof/>
        </w:rPr>
        <w:t xml:space="preserve">. </w:t>
      </w:r>
      <w:r w:rsidR="00EC5161" w:rsidRPr="005B1727">
        <w:rPr>
          <w:rStyle w:val="Emphasis"/>
          <w:i w:val="0"/>
          <w:iCs w:val="0"/>
          <w:noProof/>
        </w:rPr>
        <w:t>Th</w:t>
      </w:r>
      <w:r w:rsidR="00A206F3" w:rsidRPr="005B1727">
        <w:rPr>
          <w:rStyle w:val="Emphasis"/>
          <w:i w:val="0"/>
          <w:iCs w:val="0"/>
          <w:noProof/>
        </w:rPr>
        <w:t xml:space="preserve">e Commission </w:t>
      </w:r>
      <w:r w:rsidR="00296268">
        <w:rPr>
          <w:rStyle w:val="Emphasis"/>
          <w:i w:val="0"/>
          <w:iCs w:val="0"/>
          <w:noProof/>
        </w:rPr>
        <w:t xml:space="preserve">is </w:t>
      </w:r>
      <w:r w:rsidR="00A206F3" w:rsidRPr="005B1727">
        <w:rPr>
          <w:rStyle w:val="Emphasis"/>
          <w:i w:val="0"/>
          <w:iCs w:val="0"/>
          <w:noProof/>
        </w:rPr>
        <w:t xml:space="preserve">also </w:t>
      </w:r>
      <w:r w:rsidR="00EC5161" w:rsidRPr="005B1727">
        <w:rPr>
          <w:rStyle w:val="Emphasis"/>
          <w:i w:val="0"/>
          <w:iCs w:val="0"/>
          <w:noProof/>
        </w:rPr>
        <w:t>assess</w:t>
      </w:r>
      <w:r w:rsidR="00296268">
        <w:rPr>
          <w:rStyle w:val="Emphasis"/>
          <w:i w:val="0"/>
          <w:iCs w:val="0"/>
          <w:noProof/>
        </w:rPr>
        <w:t>ing</w:t>
      </w:r>
      <w:r w:rsidR="00A206F3" w:rsidRPr="005B1727">
        <w:rPr>
          <w:rStyle w:val="Emphasis"/>
          <w:i w:val="0"/>
          <w:iCs w:val="0"/>
          <w:noProof/>
        </w:rPr>
        <w:t xml:space="preserve"> whether </w:t>
      </w:r>
      <w:r w:rsidR="00EC5161" w:rsidRPr="005B1727">
        <w:rPr>
          <w:rStyle w:val="Emphasis"/>
          <w:i w:val="0"/>
          <w:iCs w:val="0"/>
          <w:noProof/>
        </w:rPr>
        <w:t xml:space="preserve">further guidance </w:t>
      </w:r>
      <w:r w:rsidR="00C955A2" w:rsidRPr="00C75974">
        <w:rPr>
          <w:rStyle w:val="Emphasis"/>
          <w:i w:val="0"/>
          <w:iCs w:val="0"/>
          <w:noProof/>
        </w:rPr>
        <w:t>to market participants is called for.</w:t>
      </w:r>
    </w:p>
    <w:p w14:paraId="43878B8C" w14:textId="77777777" w:rsidR="00EA1A23" w:rsidRPr="006900E2" w:rsidRDefault="00EA1A23">
      <w:pPr>
        <w:pStyle w:val="Heading4"/>
        <w:rPr>
          <w:i w:val="0"/>
          <w:iCs w:val="0"/>
          <w:noProof/>
        </w:rPr>
      </w:pPr>
      <w:r w:rsidRPr="00DB1492">
        <w:rPr>
          <w:noProof/>
        </w:rPr>
        <w:t>Review of rules on vertical supply and horizontal cooperation</w:t>
      </w:r>
      <w:r w:rsidR="0061088B" w:rsidRPr="00DB1492">
        <w:rPr>
          <w:noProof/>
        </w:rPr>
        <w:t xml:space="preserve"> continued</w:t>
      </w:r>
    </w:p>
    <w:p w14:paraId="42015725" w14:textId="0F188CE6" w:rsidR="4E5E66BA" w:rsidRPr="006900E2" w:rsidRDefault="00E32B5C">
      <w:pPr>
        <w:jc w:val="both"/>
        <w:rPr>
          <w:rFonts w:eastAsia="Times New Roman" w:cs="Times New Roman"/>
          <w:noProof/>
        </w:rPr>
      </w:pPr>
      <w:r w:rsidRPr="00947B7D">
        <w:rPr>
          <w:rStyle w:val="Emphasis"/>
          <w:i w:val="0"/>
          <w:iCs w:val="0"/>
          <w:noProof/>
        </w:rPr>
        <w:t xml:space="preserve">Vertical agreements, such as those between suppliers of goods or services and their distributors, are common across all sectors of the EU economy. </w:t>
      </w:r>
      <w:r w:rsidR="4E5E66BA" w:rsidRPr="00947B7D">
        <w:rPr>
          <w:rFonts w:eastAsia="Times New Roman" w:cs="Times New Roman"/>
          <w:noProof/>
        </w:rPr>
        <w:t xml:space="preserve">In July 2021, the Commission launched a public consultation on </w:t>
      </w:r>
      <w:r w:rsidR="4E5E66BA" w:rsidRPr="004155ED">
        <w:rPr>
          <w:rFonts w:eastAsia="Times New Roman" w:cs="Times New Roman"/>
          <w:noProof/>
          <w:color w:val="000000" w:themeColor="text1"/>
        </w:rPr>
        <w:t xml:space="preserve">the draft revised Vertical Block Exemption Regulation </w:t>
      </w:r>
      <w:r w:rsidR="4E5E66BA" w:rsidRPr="00062864">
        <w:rPr>
          <w:rFonts w:eastAsia="Times New Roman" w:cs="Times New Roman"/>
          <w:noProof/>
        </w:rPr>
        <w:t xml:space="preserve">(VBER) and </w:t>
      </w:r>
      <w:r w:rsidR="4E5E66BA" w:rsidRPr="00062864">
        <w:rPr>
          <w:rFonts w:eastAsia="Times New Roman" w:cs="Times New Roman"/>
          <w:noProof/>
          <w:color w:val="000000" w:themeColor="text1"/>
        </w:rPr>
        <w:t>Vertical Guidelines</w:t>
      </w:r>
      <w:r w:rsidR="003E51BB" w:rsidRPr="00947B7D">
        <w:rPr>
          <w:rStyle w:val="FootnoteReference"/>
          <w:rFonts w:eastAsia="Times New Roman" w:cs="Times New Roman"/>
          <w:noProof/>
          <w:color w:val="000000" w:themeColor="text1"/>
        </w:rPr>
        <w:footnoteReference w:id="11"/>
      </w:r>
      <w:r w:rsidR="4E5E66BA" w:rsidRPr="00947B7D">
        <w:rPr>
          <w:rFonts w:eastAsia="Times New Roman" w:cs="Times New Roman"/>
          <w:noProof/>
          <w:color w:val="000000" w:themeColor="text1"/>
        </w:rPr>
        <w:t xml:space="preserve">. The aim </w:t>
      </w:r>
      <w:r w:rsidR="4E5E66BA" w:rsidRPr="00947B7D">
        <w:rPr>
          <w:rFonts w:eastAsia="Times New Roman" w:cs="Times New Roman"/>
          <w:noProof/>
        </w:rPr>
        <w:t xml:space="preserve">of the </w:t>
      </w:r>
      <w:r w:rsidR="005D7290">
        <w:rPr>
          <w:rFonts w:eastAsia="Times New Roman" w:cs="Times New Roman"/>
          <w:noProof/>
        </w:rPr>
        <w:t xml:space="preserve">ongoing </w:t>
      </w:r>
      <w:r w:rsidR="4E5E66BA" w:rsidRPr="00947B7D">
        <w:rPr>
          <w:rFonts w:eastAsia="Times New Roman" w:cs="Times New Roman"/>
          <w:noProof/>
        </w:rPr>
        <w:t>revis</w:t>
      </w:r>
      <w:r w:rsidR="005D7290">
        <w:rPr>
          <w:rFonts w:eastAsia="Times New Roman" w:cs="Times New Roman"/>
          <w:noProof/>
        </w:rPr>
        <w:t>ion</w:t>
      </w:r>
      <w:r w:rsidR="006F3949" w:rsidRPr="00947B7D">
        <w:rPr>
          <w:rFonts w:eastAsia="Times New Roman" w:cs="Times New Roman"/>
          <w:noProof/>
        </w:rPr>
        <w:t xml:space="preserve"> </w:t>
      </w:r>
      <w:r w:rsidR="4E5E66BA" w:rsidRPr="00947B7D">
        <w:rPr>
          <w:rFonts w:eastAsia="Times New Roman" w:cs="Times New Roman"/>
          <w:noProof/>
        </w:rPr>
        <w:t xml:space="preserve">is to clarify and simplify certain provisions </w:t>
      </w:r>
      <w:r w:rsidR="00DA7D03" w:rsidRPr="004155ED">
        <w:rPr>
          <w:rFonts w:eastAsia="Times New Roman" w:cs="Times New Roman"/>
          <w:noProof/>
        </w:rPr>
        <w:t xml:space="preserve">and </w:t>
      </w:r>
      <w:r w:rsidR="4E5E66BA" w:rsidRPr="004155ED">
        <w:rPr>
          <w:rFonts w:eastAsia="Times New Roman" w:cs="Times New Roman"/>
          <w:noProof/>
        </w:rPr>
        <w:t xml:space="preserve">fill in </w:t>
      </w:r>
      <w:r w:rsidR="00CB4ED5">
        <w:rPr>
          <w:rFonts w:eastAsia="Times New Roman" w:cs="Times New Roman"/>
          <w:noProof/>
        </w:rPr>
        <w:t xml:space="preserve">perceived </w:t>
      </w:r>
      <w:r w:rsidR="4E5E66BA" w:rsidRPr="004155ED">
        <w:rPr>
          <w:rFonts w:eastAsia="Times New Roman" w:cs="Times New Roman"/>
          <w:noProof/>
        </w:rPr>
        <w:t xml:space="preserve">regulatory gaps where the current rules </w:t>
      </w:r>
      <w:r w:rsidR="00CB4ED5">
        <w:rPr>
          <w:rFonts w:eastAsia="Times New Roman" w:cs="Times New Roman"/>
          <w:noProof/>
        </w:rPr>
        <w:t xml:space="preserve">may </w:t>
      </w:r>
      <w:r w:rsidR="4E5E66BA" w:rsidRPr="004155ED">
        <w:rPr>
          <w:rFonts w:eastAsia="Times New Roman" w:cs="Times New Roman"/>
          <w:noProof/>
        </w:rPr>
        <w:t xml:space="preserve">no longer </w:t>
      </w:r>
      <w:r w:rsidR="00CB4ED5">
        <w:rPr>
          <w:rFonts w:eastAsia="Times New Roman" w:cs="Times New Roman"/>
          <w:noProof/>
        </w:rPr>
        <w:t xml:space="preserve">be </w:t>
      </w:r>
      <w:r w:rsidR="00347CA6">
        <w:rPr>
          <w:rFonts w:eastAsia="Times New Roman" w:cs="Times New Roman"/>
          <w:noProof/>
        </w:rPr>
        <w:t>fit</w:t>
      </w:r>
      <w:r w:rsidR="002C3C51">
        <w:rPr>
          <w:rFonts w:eastAsia="Times New Roman" w:cs="Times New Roman"/>
          <w:noProof/>
        </w:rPr>
        <w:t xml:space="preserve"> </w:t>
      </w:r>
      <w:r w:rsidR="00347CA6">
        <w:rPr>
          <w:rFonts w:eastAsia="Times New Roman" w:cs="Times New Roman"/>
          <w:noProof/>
        </w:rPr>
        <w:t>for</w:t>
      </w:r>
      <w:r w:rsidR="002C3C51">
        <w:rPr>
          <w:rFonts w:eastAsia="Times New Roman" w:cs="Times New Roman"/>
          <w:noProof/>
        </w:rPr>
        <w:t xml:space="preserve"> </w:t>
      </w:r>
      <w:r w:rsidR="00347CA6">
        <w:rPr>
          <w:rFonts w:eastAsia="Times New Roman" w:cs="Times New Roman"/>
          <w:noProof/>
        </w:rPr>
        <w:t>purpose</w:t>
      </w:r>
      <w:r w:rsidR="00347CA6" w:rsidRPr="004155ED">
        <w:rPr>
          <w:rFonts w:eastAsia="Times New Roman" w:cs="Times New Roman"/>
          <w:noProof/>
        </w:rPr>
        <w:t xml:space="preserve"> </w:t>
      </w:r>
      <w:r w:rsidR="002C3C51">
        <w:rPr>
          <w:rFonts w:eastAsia="Times New Roman" w:cs="Times New Roman"/>
          <w:noProof/>
        </w:rPr>
        <w:t xml:space="preserve">due to </w:t>
      </w:r>
      <w:r w:rsidR="00DA7D03" w:rsidRPr="00062864">
        <w:rPr>
          <w:rFonts w:eastAsia="Times New Roman" w:cs="Times New Roman"/>
          <w:noProof/>
        </w:rPr>
        <w:t xml:space="preserve">market developments such as the growth of online sales and the emergence of </w:t>
      </w:r>
      <w:r w:rsidR="002C3C51">
        <w:rPr>
          <w:rFonts w:eastAsia="Times New Roman" w:cs="Times New Roman"/>
          <w:noProof/>
        </w:rPr>
        <w:t xml:space="preserve">new types of platform </w:t>
      </w:r>
      <w:r w:rsidR="00CB4ED5">
        <w:rPr>
          <w:rFonts w:eastAsia="Times New Roman" w:cs="Times New Roman"/>
          <w:noProof/>
        </w:rPr>
        <w:t>undertakings</w:t>
      </w:r>
      <w:r w:rsidR="4E5E66BA" w:rsidRPr="00947B7D">
        <w:rPr>
          <w:rFonts w:eastAsia="Times New Roman" w:cs="Times New Roman"/>
          <w:noProof/>
        </w:rPr>
        <w:t>.</w:t>
      </w:r>
      <w:r w:rsidRPr="00E32B5C">
        <w:rPr>
          <w:noProof/>
        </w:rPr>
        <w:t xml:space="preserve"> </w:t>
      </w:r>
      <w:r w:rsidR="00FF32E4">
        <w:rPr>
          <w:noProof/>
        </w:rPr>
        <w:t xml:space="preserve">The Commission aims at </w:t>
      </w:r>
      <w:r>
        <w:rPr>
          <w:noProof/>
        </w:rPr>
        <w:t>hav</w:t>
      </w:r>
      <w:r w:rsidR="005D7290">
        <w:rPr>
          <w:noProof/>
        </w:rPr>
        <w:t>ing</w:t>
      </w:r>
      <w:r>
        <w:rPr>
          <w:noProof/>
        </w:rPr>
        <w:t xml:space="preserve"> new rules in place when the current </w:t>
      </w:r>
      <w:r w:rsidR="00347CA6">
        <w:rPr>
          <w:noProof/>
        </w:rPr>
        <w:t>rules expire</w:t>
      </w:r>
      <w:r>
        <w:rPr>
          <w:noProof/>
        </w:rPr>
        <w:t xml:space="preserve"> on </w:t>
      </w:r>
      <w:r w:rsidRPr="00947B7D">
        <w:rPr>
          <w:rFonts w:eastAsia="Times New Roman" w:cs="Times New Roman"/>
          <w:noProof/>
        </w:rPr>
        <w:t>31 May 2022.</w:t>
      </w:r>
    </w:p>
    <w:p w14:paraId="487905C0" w14:textId="6CBBDC95" w:rsidR="00EA1A23" w:rsidRPr="00542D19" w:rsidRDefault="006F3949" w:rsidP="158881C6">
      <w:pPr>
        <w:jc w:val="both"/>
        <w:rPr>
          <w:noProof/>
          <w:szCs w:val="24"/>
        </w:rPr>
      </w:pPr>
      <w:r w:rsidRPr="006D6A86">
        <w:rPr>
          <w:rFonts w:eastAsia="Times New Roman" w:cs="Times New Roman"/>
          <w:noProof/>
          <w:color w:val="000000"/>
          <w:lang w:eastAsia="en-GB"/>
        </w:rPr>
        <w:t xml:space="preserve">As regards the review of the EU </w:t>
      </w:r>
      <w:r w:rsidRPr="006D6A86">
        <w:rPr>
          <w:rFonts w:eastAsia="Times New Roman" w:cs="Times New Roman"/>
          <w:noProof/>
          <w:color w:val="000000" w:themeColor="text1"/>
          <w:lang w:eastAsia="en-GB"/>
        </w:rPr>
        <w:t xml:space="preserve">competition rules on horizontal cooperation, the purpose of these rules is to make it easier for undertakings to cooperate in ways that are economically desirable and without adverse effect from the point of view of competition policy. </w:t>
      </w:r>
      <w:r w:rsidR="24CD61CD" w:rsidRPr="006D6A86">
        <w:rPr>
          <w:rFonts w:eastAsia="Times New Roman" w:cs="Times New Roman"/>
          <w:noProof/>
          <w:color w:val="000000" w:themeColor="text1"/>
        </w:rPr>
        <w:t>In May 2021, the Commission published the findings of the evaluation</w:t>
      </w:r>
      <w:r w:rsidR="00270D9D" w:rsidRPr="00947B7D">
        <w:rPr>
          <w:rStyle w:val="FootnoteReference"/>
          <w:rFonts w:eastAsia="Times New Roman" w:cs="Times New Roman"/>
          <w:noProof/>
          <w:color w:val="000000" w:themeColor="text1"/>
        </w:rPr>
        <w:footnoteReference w:id="12"/>
      </w:r>
      <w:r w:rsidR="24CD61CD" w:rsidRPr="00947B7D">
        <w:rPr>
          <w:rFonts w:eastAsia="Times New Roman" w:cs="Times New Roman"/>
          <w:noProof/>
          <w:color w:val="000000" w:themeColor="text1"/>
        </w:rPr>
        <w:t xml:space="preserve"> of the two horizontal block exemption regulations on Research &amp; Development and specialisation agreements (abreviated R&amp;D BER and Specialisation BER respectively, together HBERs), together with the Horizont</w:t>
      </w:r>
      <w:r w:rsidR="24CD61CD" w:rsidRPr="004155ED">
        <w:rPr>
          <w:rFonts w:eastAsia="Times New Roman" w:cs="Times New Roman"/>
          <w:noProof/>
          <w:color w:val="000000" w:themeColor="text1"/>
        </w:rPr>
        <w:t>al Guidelines.</w:t>
      </w:r>
      <w:r w:rsidR="00EA1A23" w:rsidRPr="004155ED">
        <w:rPr>
          <w:noProof/>
          <w:color w:val="000000" w:themeColor="text1"/>
        </w:rPr>
        <w:t xml:space="preserve"> In July 2021, the Commission launched a public consultation</w:t>
      </w:r>
      <w:r w:rsidR="00DA7D03" w:rsidRPr="004155ED">
        <w:rPr>
          <w:noProof/>
          <w:color w:val="000000" w:themeColor="text1"/>
        </w:rPr>
        <w:t xml:space="preserve"> on the policy options for the revision of the rules</w:t>
      </w:r>
      <w:r w:rsidR="00EA1A23" w:rsidRPr="00947B7D">
        <w:rPr>
          <w:noProof/>
          <w:vertAlign w:val="superscript"/>
        </w:rPr>
        <w:footnoteReference w:id="13"/>
      </w:r>
      <w:r w:rsidR="00EA1A23" w:rsidRPr="00947B7D">
        <w:rPr>
          <w:noProof/>
        </w:rPr>
        <w:t xml:space="preserve">. </w:t>
      </w:r>
      <w:r w:rsidR="00C162A8">
        <w:rPr>
          <w:noProof/>
        </w:rPr>
        <w:t>Since b</w:t>
      </w:r>
      <w:r w:rsidR="00831AF2">
        <w:rPr>
          <w:noProof/>
        </w:rPr>
        <w:t>oth regulations will expire on 31 December 2022</w:t>
      </w:r>
      <w:r w:rsidR="008E5E7A">
        <w:rPr>
          <w:noProof/>
        </w:rPr>
        <w:t>.</w:t>
      </w:r>
      <w:r w:rsidR="00C162A8">
        <w:rPr>
          <w:noProof/>
        </w:rPr>
        <w:t xml:space="preserve"> </w:t>
      </w:r>
      <w:r w:rsidR="008E5E7A">
        <w:rPr>
          <w:noProof/>
        </w:rPr>
        <w:t>T</w:t>
      </w:r>
      <w:r w:rsidR="00C162A8">
        <w:rPr>
          <w:noProof/>
        </w:rPr>
        <w:t xml:space="preserve">he Commission aims </w:t>
      </w:r>
      <w:r w:rsidR="008E5E7A">
        <w:rPr>
          <w:noProof/>
        </w:rPr>
        <w:t>to</w:t>
      </w:r>
      <w:r w:rsidR="00C162A8">
        <w:rPr>
          <w:noProof/>
        </w:rPr>
        <w:t xml:space="preserve"> hav</w:t>
      </w:r>
      <w:r w:rsidR="008E5E7A">
        <w:rPr>
          <w:noProof/>
        </w:rPr>
        <w:t>e</w:t>
      </w:r>
      <w:r w:rsidR="00C162A8">
        <w:rPr>
          <w:noProof/>
        </w:rPr>
        <w:t xml:space="preserve"> </w:t>
      </w:r>
      <w:r w:rsidR="008E5E7A">
        <w:rPr>
          <w:noProof/>
        </w:rPr>
        <w:t xml:space="preserve">the </w:t>
      </w:r>
      <w:r w:rsidR="00C162A8">
        <w:rPr>
          <w:noProof/>
        </w:rPr>
        <w:t>new rules in place by this date</w:t>
      </w:r>
      <w:r w:rsidR="00EA1A23" w:rsidRPr="00947B7D">
        <w:rPr>
          <w:noProof/>
        </w:rPr>
        <w:t xml:space="preserve">. </w:t>
      </w:r>
    </w:p>
    <w:tbl>
      <w:tblPr>
        <w:tblStyle w:val="TableGrid"/>
        <w:tblW w:w="0" w:type="auto"/>
        <w:tblLook w:val="04A0" w:firstRow="1" w:lastRow="0" w:firstColumn="1" w:lastColumn="0" w:noHBand="0" w:noVBand="1"/>
      </w:tblPr>
      <w:tblGrid>
        <w:gridCol w:w="9288"/>
      </w:tblGrid>
      <w:tr w:rsidR="00752285" w:rsidRPr="00542D19" w14:paraId="54DD5BCF" w14:textId="77777777" w:rsidTr="158881C6">
        <w:tc>
          <w:tcPr>
            <w:tcW w:w="9288" w:type="dxa"/>
          </w:tcPr>
          <w:p w14:paraId="65DE7263" w14:textId="77777777" w:rsidR="00752285" w:rsidRPr="006900E2" w:rsidRDefault="00EF0996" w:rsidP="006900E2">
            <w:pPr>
              <w:spacing w:after="60"/>
              <w:rPr>
                <w:b/>
                <w:bCs/>
                <w:noProof/>
                <w:color w:val="0070C0"/>
                <w:sz w:val="22"/>
              </w:rPr>
            </w:pPr>
            <w:r w:rsidRPr="00947B7D">
              <w:rPr>
                <w:b/>
                <w:bCs/>
                <w:noProof/>
                <w:color w:val="0070C0"/>
                <w:sz w:val="22"/>
              </w:rPr>
              <w:t>Key f</w:t>
            </w:r>
            <w:r w:rsidR="003C6163" w:rsidRPr="00947B7D">
              <w:rPr>
                <w:b/>
                <w:bCs/>
                <w:noProof/>
                <w:color w:val="0070C0"/>
                <w:sz w:val="22"/>
              </w:rPr>
              <w:t>indings f</w:t>
            </w:r>
            <w:r w:rsidRPr="00947B7D">
              <w:rPr>
                <w:b/>
                <w:bCs/>
                <w:noProof/>
                <w:color w:val="0070C0"/>
                <w:sz w:val="22"/>
              </w:rPr>
              <w:t>rom</w:t>
            </w:r>
            <w:r w:rsidR="003C6163" w:rsidRPr="00947B7D">
              <w:rPr>
                <w:b/>
                <w:bCs/>
                <w:noProof/>
                <w:color w:val="0070C0"/>
                <w:sz w:val="22"/>
              </w:rPr>
              <w:t xml:space="preserve"> the e</w:t>
            </w:r>
            <w:r w:rsidR="002970A2" w:rsidRPr="00947B7D">
              <w:rPr>
                <w:b/>
                <w:bCs/>
                <w:noProof/>
                <w:color w:val="0070C0"/>
                <w:sz w:val="22"/>
              </w:rPr>
              <w:t>v</w:t>
            </w:r>
            <w:r w:rsidR="00752285" w:rsidRPr="004155ED">
              <w:rPr>
                <w:b/>
                <w:bCs/>
                <w:noProof/>
                <w:color w:val="0070C0"/>
                <w:sz w:val="22"/>
              </w:rPr>
              <w:t>aluation of the rules on horizontal agreements</w:t>
            </w:r>
          </w:p>
          <w:p w14:paraId="21D71F6D" w14:textId="04B641D9" w:rsidR="002970A2" w:rsidRPr="006900E2" w:rsidRDefault="00752285" w:rsidP="00070C67">
            <w:pPr>
              <w:jc w:val="both"/>
              <w:rPr>
                <w:noProof/>
                <w:sz w:val="22"/>
              </w:rPr>
            </w:pPr>
            <w:r w:rsidRPr="158881C6">
              <w:rPr>
                <w:noProof/>
                <w:color w:val="0070C0"/>
                <w:sz w:val="22"/>
              </w:rPr>
              <w:t>The evaluation showed that the rules on horizontal agreements remain useful tools for businesses. However, the evaluation identified several areas where the rules are not sufficiently adapted to digit</w:t>
            </w:r>
            <w:r w:rsidR="002970A2" w:rsidRPr="158881C6">
              <w:rPr>
                <w:noProof/>
                <w:color w:val="0070C0"/>
                <w:sz w:val="22"/>
              </w:rPr>
              <w:t>isation</w:t>
            </w:r>
            <w:r w:rsidRPr="158881C6">
              <w:rPr>
                <w:noProof/>
                <w:color w:val="0070C0"/>
                <w:sz w:val="22"/>
              </w:rPr>
              <w:t xml:space="preserve"> and the pursuit of sustainability goals. </w:t>
            </w:r>
            <w:r w:rsidR="00DA7D03" w:rsidRPr="158881C6">
              <w:rPr>
                <w:noProof/>
                <w:color w:val="0070C0"/>
                <w:sz w:val="22"/>
              </w:rPr>
              <w:t>S</w:t>
            </w:r>
            <w:r w:rsidRPr="158881C6">
              <w:rPr>
                <w:noProof/>
                <w:color w:val="0070C0"/>
                <w:sz w:val="22"/>
              </w:rPr>
              <w:t xml:space="preserve">ome of the provisions in the HBERs are viewed as rigid and complex, while others are considered unclear and difficult to interpret by companies. More specifically, the conditions for exemption in the R&amp;D BER may no longer </w:t>
            </w:r>
            <w:r w:rsidR="008E5E7A">
              <w:rPr>
                <w:noProof/>
                <w:color w:val="0070C0"/>
                <w:sz w:val="22"/>
              </w:rPr>
              <w:t xml:space="preserve">be optimal for </w:t>
            </w:r>
            <w:r w:rsidRPr="158881C6">
              <w:rPr>
                <w:noProof/>
                <w:color w:val="0070C0"/>
                <w:sz w:val="22"/>
              </w:rPr>
              <w:t>captur</w:t>
            </w:r>
            <w:r w:rsidR="008E5E7A">
              <w:rPr>
                <w:noProof/>
                <w:color w:val="0070C0"/>
                <w:sz w:val="22"/>
              </w:rPr>
              <w:t>ing</w:t>
            </w:r>
            <w:r w:rsidRPr="158881C6">
              <w:rPr>
                <w:noProof/>
                <w:color w:val="0070C0"/>
                <w:sz w:val="22"/>
              </w:rPr>
              <w:t xml:space="preserve"> pro-competitive R&amp;D agreements and the scope of the Specialisation BER may be too narrow. Some provisions in the HBERs and Horizontal Guidelines are </w:t>
            </w:r>
            <w:r w:rsidR="00DA7D03" w:rsidRPr="158881C6">
              <w:rPr>
                <w:noProof/>
                <w:color w:val="0070C0"/>
                <w:sz w:val="22"/>
              </w:rPr>
              <w:t xml:space="preserve">also </w:t>
            </w:r>
            <w:r w:rsidRPr="158881C6">
              <w:rPr>
                <w:noProof/>
                <w:color w:val="0070C0"/>
                <w:sz w:val="22"/>
              </w:rPr>
              <w:t xml:space="preserve">considered unclear or overly strict. Finally, the Horizontal Guidelines </w:t>
            </w:r>
            <w:r w:rsidR="00DA7D03" w:rsidRPr="158881C6">
              <w:rPr>
                <w:noProof/>
                <w:color w:val="0070C0"/>
                <w:sz w:val="22"/>
              </w:rPr>
              <w:t>offer little guidance on recent market developments such as digitisation</w:t>
            </w:r>
            <w:r w:rsidR="00E003D9" w:rsidRPr="00B72A0B">
              <w:rPr>
                <w:noProof/>
                <w:color w:val="0070C0"/>
                <w:sz w:val="22"/>
              </w:rPr>
              <w:t>,</w:t>
            </w:r>
            <w:r w:rsidR="00B72A0B">
              <w:rPr>
                <w:noProof/>
                <w:color w:val="0070C0"/>
                <w:sz w:val="22"/>
              </w:rPr>
              <w:t xml:space="preserve"> resilience </w:t>
            </w:r>
            <w:r w:rsidR="00DA7D03" w:rsidRPr="00B72A0B">
              <w:rPr>
                <w:noProof/>
                <w:color w:val="0070C0"/>
                <w:sz w:val="22"/>
              </w:rPr>
              <w:t>and sustainability objectiv</w:t>
            </w:r>
            <w:r w:rsidR="00DA7D03" w:rsidRPr="00070C67">
              <w:rPr>
                <w:noProof/>
                <w:color w:val="0070C0"/>
                <w:sz w:val="22"/>
              </w:rPr>
              <w:t>es</w:t>
            </w:r>
            <w:r w:rsidR="00070C67">
              <w:rPr>
                <w:rStyle w:val="FootnoteReference"/>
                <w:noProof/>
                <w:color w:val="0070C0"/>
                <w:sz w:val="22"/>
              </w:rPr>
              <w:footnoteReference w:id="14"/>
            </w:r>
            <w:r w:rsidR="00DA7D03" w:rsidRPr="00926C2A">
              <w:rPr>
                <w:noProof/>
                <w:color w:val="0070C0"/>
                <w:sz w:val="22"/>
              </w:rPr>
              <w:t xml:space="preserve"> in</w:t>
            </w:r>
            <w:r w:rsidR="00DA7D03" w:rsidRPr="158881C6">
              <w:rPr>
                <w:noProof/>
                <w:color w:val="0070C0"/>
                <w:sz w:val="22"/>
              </w:rPr>
              <w:t xml:space="preserve"> horizontal agreements (for example, they do not provide sufficient legal certainty for the self-assessment of agreements pursuing sustainability objectives</w:t>
            </w:r>
            <w:r w:rsidR="00B72A0B">
              <w:rPr>
                <w:noProof/>
                <w:color w:val="0070C0"/>
                <w:sz w:val="22"/>
              </w:rPr>
              <w:t xml:space="preserve"> and</w:t>
            </w:r>
            <w:r w:rsidR="00DA7D03" w:rsidRPr="158881C6">
              <w:rPr>
                <w:noProof/>
                <w:color w:val="0070C0"/>
                <w:sz w:val="22"/>
              </w:rPr>
              <w:t xml:space="preserve"> data sharing/data pooling agreements</w:t>
            </w:r>
            <w:r w:rsidR="00B72A0B">
              <w:rPr>
                <w:noProof/>
                <w:color w:val="0070C0"/>
                <w:sz w:val="22"/>
              </w:rPr>
              <w:t>.</w:t>
            </w:r>
          </w:p>
        </w:tc>
      </w:tr>
    </w:tbl>
    <w:p w14:paraId="4B17EB6A" w14:textId="77777777" w:rsidR="00FC3E2A" w:rsidRPr="00542D19" w:rsidRDefault="00FC3E2A" w:rsidP="009A2182">
      <w:pPr>
        <w:spacing w:after="0"/>
        <w:jc w:val="both"/>
        <w:rPr>
          <w:noProof/>
          <w:szCs w:val="24"/>
        </w:rPr>
      </w:pPr>
    </w:p>
    <w:p w14:paraId="6FAF2BD4" w14:textId="5DFCEDFE" w:rsidR="1C9EFCD8" w:rsidRPr="00542D19" w:rsidRDefault="1C9EFCD8" w:rsidP="0E4EBCB3">
      <w:pPr>
        <w:jc w:val="both"/>
        <w:rPr>
          <w:rFonts w:eastAsia="Times New Roman" w:cs="Times New Roman"/>
          <w:noProof/>
          <w:szCs w:val="24"/>
        </w:rPr>
      </w:pPr>
      <w:r w:rsidRPr="00947B7D">
        <w:rPr>
          <w:rFonts w:eastAsia="Times New Roman" w:cs="Times New Roman"/>
          <w:noProof/>
        </w:rPr>
        <w:t xml:space="preserve">In May 2021, the Commission </w:t>
      </w:r>
      <w:r w:rsidR="00EC5161" w:rsidRPr="00947B7D">
        <w:rPr>
          <w:rFonts w:eastAsia="Times New Roman" w:cs="Times New Roman"/>
          <w:noProof/>
        </w:rPr>
        <w:t xml:space="preserve">also </w:t>
      </w:r>
      <w:r w:rsidRPr="00947B7D">
        <w:rPr>
          <w:rFonts w:eastAsia="Times New Roman" w:cs="Times New Roman"/>
          <w:noProof/>
        </w:rPr>
        <w:t xml:space="preserve">published </w:t>
      </w:r>
      <w:r w:rsidR="009D067F" w:rsidRPr="00947B7D">
        <w:rPr>
          <w:rFonts w:eastAsia="Times New Roman" w:cs="Times New Roman"/>
          <w:noProof/>
        </w:rPr>
        <w:t>the</w:t>
      </w:r>
      <w:r w:rsidRPr="00947B7D">
        <w:rPr>
          <w:rFonts w:eastAsia="Times New Roman" w:cs="Times New Roman"/>
          <w:noProof/>
        </w:rPr>
        <w:t xml:space="preserve"> findings of </w:t>
      </w:r>
      <w:r w:rsidRPr="00947B7D">
        <w:rPr>
          <w:rFonts w:eastAsia="Times New Roman" w:cs="Times New Roman"/>
          <w:noProof/>
          <w:color w:val="000000" w:themeColor="text1"/>
        </w:rPr>
        <w:t>the evaluation</w:t>
      </w:r>
      <w:r w:rsidR="00106A7D" w:rsidRPr="00947B7D">
        <w:rPr>
          <w:rStyle w:val="FootnoteReference"/>
          <w:rFonts w:eastAsia="Times New Roman" w:cs="Times New Roman"/>
          <w:noProof/>
          <w:color w:val="000000" w:themeColor="text1"/>
        </w:rPr>
        <w:footnoteReference w:id="15"/>
      </w:r>
      <w:r w:rsidRPr="00947B7D">
        <w:rPr>
          <w:rFonts w:eastAsia="Times New Roman" w:cs="Times New Roman"/>
          <w:noProof/>
          <w:color w:val="000000" w:themeColor="text1"/>
        </w:rPr>
        <w:t xml:space="preserve"> on the </w:t>
      </w:r>
      <w:r w:rsidR="00EC5161" w:rsidRPr="00947B7D">
        <w:rPr>
          <w:rFonts w:eastAsia="Times New Roman" w:cs="Times New Roman"/>
          <w:noProof/>
          <w:color w:val="000000" w:themeColor="text1"/>
        </w:rPr>
        <w:t xml:space="preserve">functioning of the </w:t>
      </w:r>
      <w:r w:rsidRPr="00947B7D">
        <w:rPr>
          <w:rFonts w:eastAsia="Times New Roman" w:cs="Times New Roman"/>
          <w:noProof/>
          <w:color w:val="000000" w:themeColor="text1"/>
        </w:rPr>
        <w:t>Motor Vehicle Block Exemption Regulation (MVBER)</w:t>
      </w:r>
      <w:r w:rsidR="003E51BB" w:rsidRPr="00947B7D">
        <w:rPr>
          <w:rStyle w:val="FootnoteReference"/>
          <w:rFonts w:eastAsia="Times New Roman" w:cs="Times New Roman"/>
          <w:noProof/>
          <w:color w:val="000000" w:themeColor="text1"/>
        </w:rPr>
        <w:footnoteReference w:id="16"/>
      </w:r>
      <w:r w:rsidRPr="00947B7D">
        <w:rPr>
          <w:rFonts w:eastAsia="Times New Roman" w:cs="Times New Roman"/>
          <w:noProof/>
          <w:color w:val="000000" w:themeColor="text1"/>
        </w:rPr>
        <w:t xml:space="preserve">. The Commission concluded that while the principles of the MVBER remain valid, the emergence </w:t>
      </w:r>
      <w:r w:rsidRPr="00947B7D">
        <w:rPr>
          <w:rFonts w:eastAsia="Times New Roman" w:cs="Times New Roman"/>
          <w:noProof/>
        </w:rPr>
        <w:t xml:space="preserve">of new technologies and the increasing role of data in this industry ought to be reflected in the </w:t>
      </w:r>
      <w:r w:rsidR="00AC0986">
        <w:rPr>
          <w:rFonts w:eastAsia="Times New Roman" w:cs="Times New Roman"/>
          <w:noProof/>
        </w:rPr>
        <w:t>Commission’s guidance accompanying the MVBER</w:t>
      </w:r>
      <w:r w:rsidRPr="00947B7D">
        <w:rPr>
          <w:rFonts w:eastAsia="Times New Roman" w:cs="Times New Roman"/>
          <w:noProof/>
        </w:rPr>
        <w:t xml:space="preserve">. The current MVBER will expire on 31 May 2023. The Commission is currently reflecting on </w:t>
      </w:r>
      <w:r w:rsidR="00FF32E4" w:rsidRPr="004155ED">
        <w:rPr>
          <w:rFonts w:eastAsia="Times New Roman" w:cs="Times New Roman"/>
          <w:noProof/>
        </w:rPr>
        <w:t xml:space="preserve">the follow-up </w:t>
      </w:r>
      <w:r w:rsidR="001E053A" w:rsidRPr="004155ED">
        <w:rPr>
          <w:rFonts w:eastAsia="Times New Roman" w:cs="Times New Roman"/>
          <w:noProof/>
        </w:rPr>
        <w:t xml:space="preserve">to </w:t>
      </w:r>
      <w:r w:rsidRPr="004155ED">
        <w:rPr>
          <w:rFonts w:eastAsia="Times New Roman" w:cs="Times New Roman"/>
          <w:noProof/>
        </w:rPr>
        <w:t>the</w:t>
      </w:r>
      <w:r w:rsidR="00BC7DD0" w:rsidRPr="004155ED">
        <w:rPr>
          <w:rFonts w:eastAsia="Times New Roman" w:cs="Times New Roman"/>
          <w:noProof/>
        </w:rPr>
        <w:t>se</w:t>
      </w:r>
      <w:r w:rsidRPr="00062864">
        <w:rPr>
          <w:rFonts w:eastAsia="Times New Roman" w:cs="Times New Roman"/>
          <w:noProof/>
        </w:rPr>
        <w:t xml:space="preserve"> findings, while also taking </w:t>
      </w:r>
      <w:r w:rsidR="00BC7DD0" w:rsidRPr="00062864">
        <w:rPr>
          <w:rFonts w:eastAsia="Times New Roman" w:cs="Times New Roman"/>
          <w:noProof/>
        </w:rPr>
        <w:t xml:space="preserve">into </w:t>
      </w:r>
      <w:r w:rsidRPr="00062864">
        <w:rPr>
          <w:rFonts w:eastAsia="Times New Roman" w:cs="Times New Roman"/>
          <w:noProof/>
        </w:rPr>
        <w:t>account the ongoing review of the V</w:t>
      </w:r>
      <w:r w:rsidR="00FC3E2A" w:rsidRPr="00373CE6">
        <w:rPr>
          <w:rFonts w:eastAsia="Times New Roman" w:cs="Times New Roman"/>
          <w:noProof/>
        </w:rPr>
        <w:t>BER</w:t>
      </w:r>
      <w:r w:rsidRPr="00373CE6">
        <w:rPr>
          <w:rFonts w:eastAsia="Times New Roman" w:cs="Times New Roman"/>
          <w:noProof/>
        </w:rPr>
        <w:t>.</w:t>
      </w:r>
      <w:r w:rsidR="002C5240">
        <w:rPr>
          <w:rFonts w:eastAsia="Times New Roman" w:cs="Times New Roman"/>
          <w:noProof/>
        </w:rPr>
        <w:tab/>
      </w:r>
    </w:p>
    <w:p w14:paraId="2E315A8E" w14:textId="77777777" w:rsidR="101C5360" w:rsidRPr="006900E2" w:rsidRDefault="0061088B">
      <w:pPr>
        <w:pStyle w:val="Heading4"/>
        <w:rPr>
          <w:i w:val="0"/>
          <w:iCs w:val="0"/>
          <w:noProof/>
        </w:rPr>
      </w:pPr>
      <w:r w:rsidRPr="00DB1492">
        <w:rPr>
          <w:noProof/>
        </w:rPr>
        <w:t>Results of the e</w:t>
      </w:r>
      <w:r w:rsidR="101C5360" w:rsidRPr="00DB1492">
        <w:rPr>
          <w:noProof/>
        </w:rPr>
        <w:t>valuation of t</w:t>
      </w:r>
      <w:r w:rsidR="22161342" w:rsidRPr="00D46266">
        <w:rPr>
          <w:noProof/>
        </w:rPr>
        <w:t>he Market Definition Notice</w:t>
      </w:r>
      <w:r w:rsidRPr="00D46266">
        <w:rPr>
          <w:noProof/>
        </w:rPr>
        <w:t xml:space="preserve"> published</w:t>
      </w:r>
    </w:p>
    <w:p w14:paraId="366BBAD9" w14:textId="77777777" w:rsidR="00EB1E54" w:rsidRPr="006900E2" w:rsidRDefault="0061088B">
      <w:pPr>
        <w:jc w:val="both"/>
        <w:rPr>
          <w:rFonts w:eastAsia="Times New Roman" w:cs="Times New Roman"/>
          <w:noProof/>
          <w:color w:val="000000" w:themeColor="text1"/>
        </w:rPr>
      </w:pPr>
      <w:r w:rsidRPr="00947B7D">
        <w:rPr>
          <w:rFonts w:eastAsia="Times New Roman" w:cs="Times New Roman"/>
          <w:noProof/>
          <w:color w:val="000000" w:themeColor="text1"/>
        </w:rPr>
        <w:t>The Market Definition Notice</w:t>
      </w:r>
      <w:r w:rsidRPr="00947B7D">
        <w:rPr>
          <w:rStyle w:val="FootnoteReference"/>
          <w:rFonts w:eastAsia="Times New Roman" w:cs="Times New Roman"/>
          <w:noProof/>
          <w:color w:val="000000" w:themeColor="text1"/>
        </w:rPr>
        <w:footnoteReference w:id="17"/>
      </w:r>
      <w:r w:rsidRPr="00947B7D">
        <w:rPr>
          <w:rFonts w:eastAsia="Times New Roman" w:cs="Times New Roman"/>
          <w:noProof/>
          <w:color w:val="000000" w:themeColor="text1"/>
        </w:rPr>
        <w:t xml:space="preserve"> provides </w:t>
      </w:r>
      <w:r w:rsidR="00A52702" w:rsidRPr="00947B7D">
        <w:rPr>
          <w:rFonts w:eastAsia="Times New Roman" w:cs="Times New Roman"/>
          <w:noProof/>
          <w:color w:val="000000" w:themeColor="text1"/>
        </w:rPr>
        <w:t xml:space="preserve">important </w:t>
      </w:r>
      <w:r w:rsidRPr="00947B7D">
        <w:rPr>
          <w:rFonts w:eastAsia="Times New Roman" w:cs="Times New Roman"/>
          <w:noProof/>
          <w:color w:val="000000" w:themeColor="text1"/>
        </w:rPr>
        <w:t>guidance on how the Commission applies the concepts of relevant product and geographic market</w:t>
      </w:r>
      <w:r w:rsidR="00BC7DD0" w:rsidRPr="004155ED">
        <w:rPr>
          <w:rFonts w:eastAsia="Times New Roman" w:cs="Times New Roman"/>
          <w:noProof/>
          <w:color w:val="000000" w:themeColor="text1"/>
        </w:rPr>
        <w:t>s</w:t>
      </w:r>
      <w:r w:rsidRPr="004155ED">
        <w:rPr>
          <w:rFonts w:eastAsia="Times New Roman" w:cs="Times New Roman"/>
          <w:noProof/>
          <w:color w:val="000000" w:themeColor="text1"/>
        </w:rPr>
        <w:t xml:space="preserve"> in competition enforcement. In </w:t>
      </w:r>
      <w:r w:rsidR="009602B2" w:rsidRPr="004155ED">
        <w:rPr>
          <w:rFonts w:eastAsia="Times New Roman" w:cs="Times New Roman"/>
          <w:noProof/>
          <w:color w:val="000000" w:themeColor="text1"/>
        </w:rPr>
        <w:t xml:space="preserve">July </w:t>
      </w:r>
      <w:r w:rsidRPr="00062864">
        <w:rPr>
          <w:rFonts w:eastAsia="Times New Roman" w:cs="Times New Roman"/>
          <w:noProof/>
          <w:color w:val="000000" w:themeColor="text1"/>
        </w:rPr>
        <w:t xml:space="preserve">2021, the Commission </w:t>
      </w:r>
      <w:r w:rsidR="00EC5161" w:rsidRPr="00062864">
        <w:rPr>
          <w:rFonts w:eastAsia="Times New Roman" w:cs="Times New Roman"/>
          <w:noProof/>
          <w:color w:val="000000" w:themeColor="text1"/>
        </w:rPr>
        <w:t xml:space="preserve">published the results of </w:t>
      </w:r>
      <w:r w:rsidRPr="00062864">
        <w:rPr>
          <w:rFonts w:eastAsia="Times New Roman" w:cs="Times New Roman"/>
          <w:noProof/>
          <w:color w:val="000000" w:themeColor="text1"/>
        </w:rPr>
        <w:t>t</w:t>
      </w:r>
      <w:r w:rsidR="2194BC87" w:rsidRPr="00062864">
        <w:rPr>
          <w:rFonts w:eastAsia="Times New Roman" w:cs="Times New Roman"/>
          <w:noProof/>
          <w:color w:val="000000" w:themeColor="text1"/>
        </w:rPr>
        <w:t xml:space="preserve">he </w:t>
      </w:r>
      <w:r w:rsidR="2194BC87" w:rsidRPr="00373CE6">
        <w:rPr>
          <w:rFonts w:eastAsia="Times New Roman" w:cs="Times New Roman"/>
          <w:noProof/>
        </w:rPr>
        <w:t xml:space="preserve">evaluation of </w:t>
      </w:r>
      <w:r w:rsidR="2194BC87" w:rsidRPr="00373CE6">
        <w:rPr>
          <w:rFonts w:eastAsia="Times New Roman" w:cs="Times New Roman"/>
          <w:noProof/>
          <w:color w:val="000000" w:themeColor="text1"/>
        </w:rPr>
        <w:t xml:space="preserve">the </w:t>
      </w:r>
      <w:r w:rsidR="00BC7DD0" w:rsidRPr="00373CE6">
        <w:rPr>
          <w:rFonts w:eastAsia="Times New Roman" w:cs="Times New Roman"/>
          <w:noProof/>
          <w:color w:val="000000" w:themeColor="text1"/>
        </w:rPr>
        <w:t xml:space="preserve">Market Definition </w:t>
      </w:r>
      <w:r w:rsidR="2194BC87" w:rsidRPr="00373CE6">
        <w:rPr>
          <w:rFonts w:eastAsia="Times New Roman" w:cs="Times New Roman"/>
          <w:noProof/>
        </w:rPr>
        <w:t>Notice</w:t>
      </w:r>
      <w:r w:rsidR="008929B5" w:rsidRPr="00947B7D">
        <w:rPr>
          <w:rStyle w:val="FootnoteReference"/>
          <w:rFonts w:eastAsia="Times New Roman" w:cs="Times New Roman"/>
          <w:noProof/>
          <w:color w:val="000000" w:themeColor="text1"/>
        </w:rPr>
        <w:footnoteReference w:id="18"/>
      </w:r>
      <w:r w:rsidR="2194BC87" w:rsidRPr="00947B7D">
        <w:rPr>
          <w:rFonts w:eastAsia="Times New Roman" w:cs="Times New Roman"/>
          <w:noProof/>
          <w:color w:val="000000" w:themeColor="text1"/>
        </w:rPr>
        <w:t>.</w:t>
      </w:r>
      <w:r w:rsidR="00D66CB0" w:rsidRPr="00D66CB0">
        <w:rPr>
          <w:noProof/>
        </w:rPr>
        <w:t xml:space="preserve"> </w:t>
      </w:r>
      <w:r w:rsidR="009602B2" w:rsidRPr="00947B7D">
        <w:rPr>
          <w:rFonts w:eastAsia="Times New Roman" w:cs="Times New Roman"/>
          <w:noProof/>
          <w:color w:val="000000" w:themeColor="text1"/>
        </w:rPr>
        <w:t>On the basis of the findings, t</w:t>
      </w:r>
      <w:r w:rsidR="00D66CB0">
        <w:rPr>
          <w:noProof/>
        </w:rPr>
        <w:t xml:space="preserve">he Commission </w:t>
      </w:r>
      <w:r w:rsidR="00041479">
        <w:rPr>
          <w:noProof/>
        </w:rPr>
        <w:t>has decided to review the Notice and will consult stakeholders on the draft of the revised Market Definition Notice in 2022</w:t>
      </w:r>
      <w:r w:rsidR="00D66CB0">
        <w:rPr>
          <w:noProof/>
        </w:rPr>
        <w:t>.</w:t>
      </w:r>
    </w:p>
    <w:tbl>
      <w:tblPr>
        <w:tblStyle w:val="TableGrid"/>
        <w:tblW w:w="0" w:type="auto"/>
        <w:tblLook w:val="04A0" w:firstRow="1" w:lastRow="0" w:firstColumn="1" w:lastColumn="0" w:noHBand="0" w:noVBand="1"/>
      </w:tblPr>
      <w:tblGrid>
        <w:gridCol w:w="9288"/>
      </w:tblGrid>
      <w:tr w:rsidR="00EB1E54" w:rsidRPr="00542D19" w14:paraId="4885C239" w14:textId="77777777" w:rsidTr="158881C6">
        <w:tc>
          <w:tcPr>
            <w:tcW w:w="9288" w:type="dxa"/>
          </w:tcPr>
          <w:p w14:paraId="5DEBF8B0" w14:textId="77777777" w:rsidR="00EB1E54" w:rsidRPr="006900E2" w:rsidRDefault="00EF0996" w:rsidP="006900E2">
            <w:pPr>
              <w:spacing w:after="60"/>
              <w:rPr>
                <w:b/>
                <w:bCs/>
                <w:noProof/>
                <w:sz w:val="22"/>
              </w:rPr>
            </w:pPr>
            <w:r w:rsidRPr="00947B7D">
              <w:rPr>
                <w:b/>
                <w:bCs/>
                <w:noProof/>
                <w:color w:val="0070C0"/>
                <w:sz w:val="22"/>
              </w:rPr>
              <w:t>Key f</w:t>
            </w:r>
            <w:r w:rsidR="003C6163" w:rsidRPr="00947B7D">
              <w:rPr>
                <w:b/>
                <w:bCs/>
                <w:noProof/>
                <w:color w:val="0070C0"/>
                <w:sz w:val="22"/>
              </w:rPr>
              <w:t>indings f</w:t>
            </w:r>
            <w:r w:rsidRPr="00947B7D">
              <w:rPr>
                <w:b/>
                <w:bCs/>
                <w:noProof/>
                <w:color w:val="0070C0"/>
                <w:sz w:val="22"/>
              </w:rPr>
              <w:t>rom</w:t>
            </w:r>
            <w:r w:rsidR="003C6163" w:rsidRPr="00947B7D">
              <w:rPr>
                <w:b/>
                <w:bCs/>
                <w:noProof/>
                <w:color w:val="0070C0"/>
                <w:sz w:val="22"/>
              </w:rPr>
              <w:t xml:space="preserve"> the e</w:t>
            </w:r>
            <w:r w:rsidR="00EB1E54" w:rsidRPr="00947B7D">
              <w:rPr>
                <w:b/>
                <w:bCs/>
                <w:noProof/>
                <w:color w:val="0070C0"/>
                <w:sz w:val="22"/>
              </w:rPr>
              <w:t>valuation of the Market Definition Notice</w:t>
            </w:r>
          </w:p>
          <w:p w14:paraId="40B05A52" w14:textId="66DB9783" w:rsidR="00EB1E54" w:rsidRPr="006900E2" w:rsidRDefault="00BC7DD0" w:rsidP="00A824BF">
            <w:pPr>
              <w:jc w:val="both"/>
              <w:rPr>
                <w:noProof/>
                <w:color w:val="0070C0"/>
                <w:sz w:val="22"/>
              </w:rPr>
            </w:pPr>
            <w:r w:rsidRPr="158881C6">
              <w:rPr>
                <w:noProof/>
                <w:color w:val="0070C0"/>
                <w:sz w:val="22"/>
              </w:rPr>
              <w:t>T</w:t>
            </w:r>
            <w:r w:rsidR="002652B1" w:rsidRPr="158881C6">
              <w:rPr>
                <w:noProof/>
                <w:color w:val="0070C0"/>
                <w:sz w:val="22"/>
              </w:rPr>
              <w:t xml:space="preserve">he Commission </w:t>
            </w:r>
            <w:r w:rsidR="00EB1E54" w:rsidRPr="158881C6">
              <w:rPr>
                <w:noProof/>
                <w:color w:val="0070C0"/>
                <w:sz w:val="22"/>
              </w:rPr>
              <w:t>concluded that the principles of the Market Definition Notice</w:t>
            </w:r>
            <w:r w:rsidR="00D66CB0" w:rsidRPr="158881C6">
              <w:rPr>
                <w:noProof/>
                <w:color w:val="0070C0"/>
                <w:sz w:val="22"/>
              </w:rPr>
              <w:t>,</w:t>
            </w:r>
            <w:r w:rsidR="00070C67">
              <w:rPr>
                <w:rStyle w:val="Hyperlink"/>
                <w:noProof/>
              </w:rPr>
              <w:t xml:space="preserve"> </w:t>
            </w:r>
            <w:r w:rsidR="00D66CB0" w:rsidRPr="00947B7D">
              <w:rPr>
                <w:noProof/>
                <w:color w:val="0070C0"/>
                <w:sz w:val="22"/>
              </w:rPr>
              <w:t>based on the case law of the EU courts</w:t>
            </w:r>
            <w:r w:rsidR="00D66CB0" w:rsidRPr="158881C6">
              <w:rPr>
                <w:i/>
                <w:iCs/>
                <w:noProof/>
                <w:color w:val="0070C0"/>
                <w:sz w:val="22"/>
              </w:rPr>
              <w:t xml:space="preserve">, </w:t>
            </w:r>
            <w:r w:rsidR="00EB1E54" w:rsidRPr="158881C6">
              <w:rPr>
                <w:noProof/>
                <w:color w:val="0070C0"/>
                <w:sz w:val="22"/>
              </w:rPr>
              <w:t xml:space="preserve">remain sound. However, they </w:t>
            </w:r>
            <w:r w:rsidR="00FB411B">
              <w:rPr>
                <w:noProof/>
                <w:color w:val="0070C0"/>
                <w:sz w:val="22"/>
              </w:rPr>
              <w:t>may</w:t>
            </w:r>
            <w:r w:rsidR="00EB1E54" w:rsidRPr="158881C6">
              <w:rPr>
                <w:noProof/>
                <w:color w:val="0070C0"/>
                <w:sz w:val="22"/>
              </w:rPr>
              <w:t xml:space="preserve"> not fully reflect recent </w:t>
            </w:r>
            <w:r w:rsidRPr="158881C6">
              <w:rPr>
                <w:noProof/>
                <w:color w:val="0070C0"/>
                <w:sz w:val="22"/>
              </w:rPr>
              <w:t xml:space="preserve">developments </w:t>
            </w:r>
            <w:r w:rsidR="00EB1E54" w:rsidRPr="158881C6">
              <w:rPr>
                <w:noProof/>
                <w:color w:val="0070C0"/>
                <w:sz w:val="22"/>
              </w:rPr>
              <w:t xml:space="preserve">in market definition practice, </w:t>
            </w:r>
            <w:r w:rsidR="00FB411B">
              <w:rPr>
                <w:noProof/>
                <w:color w:val="0070C0"/>
                <w:sz w:val="22"/>
              </w:rPr>
              <w:t xml:space="preserve">such as </w:t>
            </w:r>
            <w:r w:rsidR="00EB1E54" w:rsidRPr="158881C6">
              <w:rPr>
                <w:noProof/>
                <w:color w:val="0070C0"/>
                <w:sz w:val="22"/>
              </w:rPr>
              <w:t>those related to digitisation</w:t>
            </w:r>
            <w:r w:rsidR="001A3B4E">
              <w:rPr>
                <w:noProof/>
                <w:color w:val="0070C0"/>
                <w:sz w:val="22"/>
              </w:rPr>
              <w:t>.</w:t>
            </w:r>
            <w:r w:rsidR="00EB1E54" w:rsidRPr="158881C6">
              <w:rPr>
                <w:noProof/>
                <w:color w:val="0070C0"/>
                <w:sz w:val="22"/>
              </w:rPr>
              <w:t xml:space="preserve"> Areas where the Market Definition Notice might not be fully up-to-date include: </w:t>
            </w:r>
            <w:r w:rsidR="00041479" w:rsidRPr="158881C6">
              <w:rPr>
                <w:noProof/>
                <w:color w:val="0070C0"/>
                <w:sz w:val="22"/>
              </w:rPr>
              <w:t>(</w:t>
            </w:r>
            <w:r w:rsidR="00EB1E54" w:rsidRPr="158881C6">
              <w:rPr>
                <w:noProof/>
                <w:color w:val="0070C0"/>
                <w:sz w:val="22"/>
              </w:rPr>
              <w:t xml:space="preserve">i.) </w:t>
            </w:r>
            <w:r w:rsidR="00123036">
              <w:rPr>
                <w:noProof/>
                <w:color w:val="0070C0"/>
                <w:sz w:val="22"/>
              </w:rPr>
              <w:t>t</w:t>
            </w:r>
            <w:r w:rsidR="00EB1E54" w:rsidRPr="158881C6">
              <w:rPr>
                <w:noProof/>
                <w:color w:val="0070C0"/>
                <w:sz w:val="22"/>
              </w:rPr>
              <w:t>he use and purpose of the SSNIP (small significant non-transitory increase in price) test in defining relevant markets;</w:t>
            </w:r>
            <w:r w:rsidR="00FC3E2A" w:rsidRPr="158881C6">
              <w:rPr>
                <w:noProof/>
                <w:color w:val="0070C0"/>
                <w:sz w:val="22"/>
              </w:rPr>
              <w:t xml:space="preserve"> </w:t>
            </w:r>
            <w:r w:rsidR="00041479" w:rsidRPr="158881C6">
              <w:rPr>
                <w:noProof/>
                <w:color w:val="0070C0"/>
                <w:sz w:val="22"/>
              </w:rPr>
              <w:t>(</w:t>
            </w:r>
            <w:r w:rsidR="00EB1E54" w:rsidRPr="158881C6">
              <w:rPr>
                <w:noProof/>
                <w:color w:val="0070C0"/>
                <w:sz w:val="22"/>
              </w:rPr>
              <w:t xml:space="preserve">ii.) </w:t>
            </w:r>
            <w:r w:rsidR="00123036">
              <w:rPr>
                <w:noProof/>
                <w:color w:val="0070C0"/>
                <w:sz w:val="22"/>
              </w:rPr>
              <w:t>d</w:t>
            </w:r>
            <w:r w:rsidR="00EB1E54" w:rsidRPr="158881C6">
              <w:rPr>
                <w:noProof/>
                <w:color w:val="0070C0"/>
                <w:sz w:val="22"/>
              </w:rPr>
              <w:t>igital markets, in particular with respect to products or services marketed at zero monetary price and to digital ecosystems;</w:t>
            </w:r>
            <w:r w:rsidR="00EB1E54" w:rsidRPr="158881C6" w:rsidDel="006D773C">
              <w:rPr>
                <w:noProof/>
                <w:color w:val="0070C0"/>
                <w:sz w:val="22"/>
              </w:rPr>
              <w:t xml:space="preserve"> </w:t>
            </w:r>
            <w:r w:rsidR="00041479" w:rsidRPr="158881C6">
              <w:rPr>
                <w:noProof/>
                <w:color w:val="0070C0"/>
                <w:sz w:val="22"/>
              </w:rPr>
              <w:t>(</w:t>
            </w:r>
            <w:r w:rsidR="00EB1E54" w:rsidRPr="158881C6">
              <w:rPr>
                <w:noProof/>
                <w:color w:val="0070C0"/>
                <w:sz w:val="22"/>
              </w:rPr>
              <w:t xml:space="preserve">iii.) </w:t>
            </w:r>
            <w:r w:rsidR="00123036">
              <w:rPr>
                <w:noProof/>
                <w:color w:val="0070C0"/>
                <w:sz w:val="22"/>
              </w:rPr>
              <w:t>a</w:t>
            </w:r>
            <w:r w:rsidR="00EB1E54" w:rsidRPr="158881C6">
              <w:rPr>
                <w:noProof/>
                <w:color w:val="0070C0"/>
                <w:sz w:val="22"/>
              </w:rPr>
              <w:t xml:space="preserve">ssessment of geographic markets in conditions of globalisation and import competition; </w:t>
            </w:r>
            <w:r w:rsidR="00041479" w:rsidRPr="158881C6">
              <w:rPr>
                <w:noProof/>
                <w:color w:val="0070C0"/>
                <w:sz w:val="22"/>
              </w:rPr>
              <w:t>(</w:t>
            </w:r>
            <w:r w:rsidR="00EB1E54" w:rsidRPr="158881C6">
              <w:rPr>
                <w:noProof/>
                <w:color w:val="0070C0"/>
                <w:sz w:val="22"/>
              </w:rPr>
              <w:t xml:space="preserve">iv.) </w:t>
            </w:r>
            <w:r w:rsidR="00123036">
              <w:rPr>
                <w:noProof/>
                <w:color w:val="0070C0"/>
                <w:sz w:val="22"/>
              </w:rPr>
              <w:t>q</w:t>
            </w:r>
            <w:r w:rsidR="00EB1E54" w:rsidRPr="158881C6">
              <w:rPr>
                <w:noProof/>
                <w:color w:val="0070C0"/>
                <w:sz w:val="22"/>
              </w:rPr>
              <w:t xml:space="preserve">uantitative techniques for market definition; </w:t>
            </w:r>
            <w:r w:rsidR="00041479" w:rsidRPr="158881C6">
              <w:rPr>
                <w:noProof/>
                <w:color w:val="0070C0"/>
                <w:sz w:val="22"/>
              </w:rPr>
              <w:t>(</w:t>
            </w:r>
            <w:r w:rsidR="00EB1E54" w:rsidRPr="158881C6">
              <w:rPr>
                <w:noProof/>
                <w:color w:val="0070C0"/>
                <w:sz w:val="22"/>
              </w:rPr>
              <w:t xml:space="preserve">v.) </w:t>
            </w:r>
            <w:r w:rsidR="00123036">
              <w:rPr>
                <w:noProof/>
                <w:color w:val="0070C0"/>
                <w:sz w:val="22"/>
              </w:rPr>
              <w:t>c</w:t>
            </w:r>
            <w:r w:rsidR="00EB1E54" w:rsidRPr="158881C6">
              <w:rPr>
                <w:noProof/>
                <w:color w:val="0070C0"/>
                <w:sz w:val="22"/>
              </w:rPr>
              <w:t>alculation of market shares</w:t>
            </w:r>
            <w:r w:rsidR="00041479" w:rsidRPr="158881C6">
              <w:rPr>
                <w:noProof/>
                <w:color w:val="0070C0"/>
                <w:sz w:val="22"/>
              </w:rPr>
              <w:t>;</w:t>
            </w:r>
            <w:r w:rsidR="00EB1E54" w:rsidRPr="158881C6">
              <w:rPr>
                <w:noProof/>
                <w:color w:val="0070C0"/>
                <w:sz w:val="22"/>
              </w:rPr>
              <w:t xml:space="preserve"> </w:t>
            </w:r>
            <w:r w:rsidR="00123036">
              <w:rPr>
                <w:noProof/>
                <w:color w:val="0070C0"/>
                <w:sz w:val="22"/>
              </w:rPr>
              <w:t xml:space="preserve">and </w:t>
            </w:r>
            <w:r w:rsidR="00041479" w:rsidRPr="158881C6">
              <w:rPr>
                <w:noProof/>
                <w:color w:val="0070C0"/>
                <w:sz w:val="22"/>
              </w:rPr>
              <w:t>(</w:t>
            </w:r>
            <w:r w:rsidR="00EB1E54" w:rsidRPr="158881C6">
              <w:rPr>
                <w:noProof/>
                <w:color w:val="0070C0"/>
                <w:sz w:val="22"/>
              </w:rPr>
              <w:t xml:space="preserve">vi.) </w:t>
            </w:r>
            <w:r w:rsidR="00123036">
              <w:rPr>
                <w:noProof/>
                <w:color w:val="0070C0"/>
                <w:sz w:val="22"/>
              </w:rPr>
              <w:t>n</w:t>
            </w:r>
            <w:r w:rsidR="00EB1E54" w:rsidRPr="158881C6">
              <w:rPr>
                <w:noProof/>
                <w:color w:val="0070C0"/>
                <w:sz w:val="22"/>
              </w:rPr>
              <w:t>on-price competition (including innovation).</w:t>
            </w:r>
          </w:p>
        </w:tc>
      </w:tr>
    </w:tbl>
    <w:p w14:paraId="4E78D4A8" w14:textId="77777777" w:rsidR="2194BC87" w:rsidRPr="00542D19" w:rsidRDefault="2194BC87" w:rsidP="003D0C9E">
      <w:pPr>
        <w:spacing w:after="0"/>
        <w:jc w:val="both"/>
        <w:rPr>
          <w:rFonts w:eastAsia="Times New Roman" w:cs="Times New Roman"/>
          <w:noProof/>
          <w:color w:val="000000" w:themeColor="text1"/>
          <w:szCs w:val="24"/>
        </w:rPr>
      </w:pPr>
    </w:p>
    <w:p w14:paraId="0C83039B" w14:textId="77777777" w:rsidR="4E663947" w:rsidRPr="006900E2" w:rsidRDefault="00466FFB">
      <w:pPr>
        <w:pStyle w:val="Heading4"/>
        <w:rPr>
          <w:i w:val="0"/>
          <w:iCs w:val="0"/>
          <w:noProof/>
        </w:rPr>
      </w:pPr>
      <w:r w:rsidRPr="00DB1492">
        <w:rPr>
          <w:noProof/>
        </w:rPr>
        <w:t>Draft</w:t>
      </w:r>
      <w:r w:rsidR="4F45E975" w:rsidRPr="00DB1492">
        <w:rPr>
          <w:noProof/>
        </w:rPr>
        <w:t xml:space="preserve"> </w:t>
      </w:r>
      <w:r w:rsidRPr="00D46266">
        <w:rPr>
          <w:noProof/>
        </w:rPr>
        <w:t xml:space="preserve">Guidelines published on </w:t>
      </w:r>
      <w:r w:rsidR="00E019AF" w:rsidRPr="00D46266">
        <w:rPr>
          <w:noProof/>
        </w:rPr>
        <w:t xml:space="preserve">the application of competition law to </w:t>
      </w:r>
      <w:r w:rsidR="4F45E975" w:rsidRPr="00D46266">
        <w:rPr>
          <w:noProof/>
        </w:rPr>
        <w:t>collective agreements for self-employed</w:t>
      </w:r>
      <w:r w:rsidR="00041479">
        <w:rPr>
          <w:noProof/>
        </w:rPr>
        <w:t xml:space="preserve"> p</w:t>
      </w:r>
      <w:r w:rsidR="006E5834">
        <w:rPr>
          <w:noProof/>
        </w:rPr>
        <w:t>ersons</w:t>
      </w:r>
    </w:p>
    <w:p w14:paraId="192E0B3B" w14:textId="279306F3" w:rsidR="004D7F3D" w:rsidRPr="006900E2" w:rsidRDefault="009D729C">
      <w:pPr>
        <w:jc w:val="both"/>
        <w:rPr>
          <w:rFonts w:eastAsia="Times New Roman" w:cs="Times New Roman"/>
          <w:noProof/>
        </w:rPr>
      </w:pPr>
      <w:r w:rsidRPr="00947B7D">
        <w:rPr>
          <w:rFonts w:eastAsia="Times New Roman" w:cs="Times New Roman"/>
          <w:noProof/>
        </w:rPr>
        <w:t xml:space="preserve">Some self-employed </w:t>
      </w:r>
      <w:r w:rsidR="00041479" w:rsidRPr="00947B7D">
        <w:rPr>
          <w:rFonts w:eastAsia="Times New Roman" w:cs="Times New Roman"/>
          <w:noProof/>
        </w:rPr>
        <w:t>p</w:t>
      </w:r>
      <w:r w:rsidR="006E5834" w:rsidRPr="00947B7D">
        <w:rPr>
          <w:rFonts w:eastAsia="Times New Roman" w:cs="Times New Roman"/>
          <w:noProof/>
        </w:rPr>
        <w:t>ersons</w:t>
      </w:r>
      <w:r w:rsidR="00041479" w:rsidRPr="00947B7D">
        <w:rPr>
          <w:rFonts w:eastAsia="Times New Roman" w:cs="Times New Roman"/>
          <w:noProof/>
        </w:rPr>
        <w:t xml:space="preserve"> </w:t>
      </w:r>
      <w:r w:rsidRPr="00947B7D">
        <w:rPr>
          <w:rFonts w:eastAsia="Times New Roman" w:cs="Times New Roman"/>
          <w:noProof/>
        </w:rPr>
        <w:t>have little influence over their payment and working conditions. Collective bargaining can be a</w:t>
      </w:r>
      <w:r w:rsidR="006E5834" w:rsidRPr="004155ED">
        <w:rPr>
          <w:rFonts w:eastAsia="Times New Roman" w:cs="Times New Roman"/>
          <w:noProof/>
        </w:rPr>
        <w:t>n</w:t>
      </w:r>
      <w:r w:rsidRPr="004155ED">
        <w:rPr>
          <w:rFonts w:eastAsia="Times New Roman" w:cs="Times New Roman"/>
          <w:noProof/>
        </w:rPr>
        <w:t xml:space="preserve"> </w:t>
      </w:r>
      <w:r w:rsidR="006E5834" w:rsidRPr="004155ED">
        <w:rPr>
          <w:rFonts w:eastAsia="Times New Roman" w:cs="Times New Roman"/>
          <w:noProof/>
        </w:rPr>
        <w:t xml:space="preserve">important </w:t>
      </w:r>
      <w:r w:rsidRPr="004155ED">
        <w:rPr>
          <w:rFonts w:eastAsia="Times New Roman" w:cs="Times New Roman"/>
          <w:noProof/>
        </w:rPr>
        <w:t xml:space="preserve">tool to achieve better </w:t>
      </w:r>
      <w:r w:rsidR="00134E87" w:rsidRPr="00062864">
        <w:rPr>
          <w:rFonts w:eastAsia="Times New Roman" w:cs="Times New Roman"/>
          <w:noProof/>
        </w:rPr>
        <w:t>terms</w:t>
      </w:r>
      <w:r w:rsidR="0068389D">
        <w:rPr>
          <w:rFonts w:eastAsia="Times New Roman" w:cs="Times New Roman"/>
          <w:noProof/>
        </w:rPr>
        <w:t xml:space="preserve"> but some self-employed</w:t>
      </w:r>
      <w:r w:rsidR="00296268">
        <w:rPr>
          <w:rFonts w:eastAsia="Times New Roman" w:cs="Times New Roman"/>
          <w:noProof/>
        </w:rPr>
        <w:t xml:space="preserve"> individuals</w:t>
      </w:r>
      <w:r w:rsidR="0068389D">
        <w:rPr>
          <w:rFonts w:eastAsia="Times New Roman" w:cs="Times New Roman"/>
          <w:noProof/>
        </w:rPr>
        <w:t xml:space="preserve"> can be considered “undertakings” and collective agreements may th</w:t>
      </w:r>
      <w:r w:rsidR="003579B9">
        <w:rPr>
          <w:rFonts w:eastAsia="Times New Roman" w:cs="Times New Roman"/>
          <w:noProof/>
        </w:rPr>
        <w:t>erefore</w:t>
      </w:r>
      <w:r w:rsidR="0068389D">
        <w:rPr>
          <w:rFonts w:eastAsia="Times New Roman" w:cs="Times New Roman"/>
          <w:noProof/>
        </w:rPr>
        <w:t xml:space="preserve"> be captured by </w:t>
      </w:r>
      <w:r w:rsidR="001563D9">
        <w:rPr>
          <w:rFonts w:eastAsia="Times New Roman" w:cs="Times New Roman"/>
          <w:noProof/>
        </w:rPr>
        <w:t xml:space="preserve">the </w:t>
      </w:r>
      <w:r w:rsidR="0068389D">
        <w:rPr>
          <w:rFonts w:eastAsia="Times New Roman" w:cs="Times New Roman"/>
          <w:noProof/>
        </w:rPr>
        <w:t xml:space="preserve">EU competition rules. </w:t>
      </w:r>
      <w:r w:rsidR="006E5834" w:rsidRPr="00062864">
        <w:rPr>
          <w:rFonts w:eastAsia="Times New Roman" w:cs="Times New Roman"/>
          <w:noProof/>
        </w:rPr>
        <w:t>To address this issue, the Commission consulted all stakeholders on different policy options in January 2021</w:t>
      </w:r>
      <w:r w:rsidR="003B2BDB">
        <w:rPr>
          <w:rFonts w:eastAsia="Times New Roman" w:cs="Times New Roman"/>
          <w:noProof/>
        </w:rPr>
        <w:t>,</w:t>
      </w:r>
      <w:r w:rsidR="00296268">
        <w:rPr>
          <w:rFonts w:eastAsia="Times New Roman" w:cs="Times New Roman"/>
          <w:noProof/>
        </w:rPr>
        <w:t xml:space="preserve"> </w:t>
      </w:r>
      <w:r w:rsidR="003B2BDB">
        <w:rPr>
          <w:rFonts w:eastAsia="Times New Roman" w:cs="Times New Roman"/>
          <w:noProof/>
        </w:rPr>
        <w:t xml:space="preserve">first </w:t>
      </w:r>
      <w:r w:rsidR="006E5834" w:rsidRPr="00062864">
        <w:rPr>
          <w:rFonts w:eastAsia="Times New Roman" w:cs="Times New Roman"/>
          <w:noProof/>
        </w:rPr>
        <w:t>with an inception impact assessmen</w:t>
      </w:r>
      <w:r w:rsidR="00FA508D">
        <w:rPr>
          <w:rFonts w:eastAsia="Times New Roman" w:cs="Times New Roman"/>
          <w:noProof/>
        </w:rPr>
        <w:t>t</w:t>
      </w:r>
      <w:r w:rsidR="006E5834" w:rsidRPr="00062864">
        <w:rPr>
          <w:rFonts w:eastAsia="Times New Roman" w:cs="Times New Roman"/>
          <w:noProof/>
        </w:rPr>
        <w:t xml:space="preserve">, and </w:t>
      </w:r>
      <w:r w:rsidR="00296268">
        <w:rPr>
          <w:rFonts w:eastAsia="Times New Roman" w:cs="Times New Roman"/>
          <w:noProof/>
        </w:rPr>
        <w:t xml:space="preserve">then </w:t>
      </w:r>
      <w:r w:rsidR="006E5834" w:rsidRPr="00062864">
        <w:rPr>
          <w:rFonts w:eastAsia="Times New Roman" w:cs="Times New Roman"/>
          <w:noProof/>
        </w:rPr>
        <w:t>with a detailed questionnaire</w:t>
      </w:r>
      <w:r w:rsidR="00296268">
        <w:rPr>
          <w:rFonts w:eastAsia="Times New Roman" w:cs="Times New Roman"/>
          <w:noProof/>
        </w:rPr>
        <w:t xml:space="preserve"> in March 2021</w:t>
      </w:r>
      <w:r w:rsidR="006E5834" w:rsidRPr="00947B7D">
        <w:rPr>
          <w:rStyle w:val="FootnoteReference"/>
          <w:rFonts w:eastAsia="Times New Roman" w:cs="Times New Roman"/>
          <w:noProof/>
        </w:rPr>
        <w:footnoteReference w:id="19"/>
      </w:r>
      <w:r w:rsidR="006E5834" w:rsidRPr="00947B7D">
        <w:rPr>
          <w:rFonts w:eastAsia="Times New Roman" w:cs="Times New Roman"/>
          <w:noProof/>
        </w:rPr>
        <w:t>. On 9 December 2021</w:t>
      </w:r>
      <w:r w:rsidR="00466FFB" w:rsidRPr="00947B7D">
        <w:rPr>
          <w:rFonts w:eastAsia="Times New Roman" w:cs="Times New Roman"/>
          <w:noProof/>
        </w:rPr>
        <w:t>, the Commission published</w:t>
      </w:r>
      <w:r w:rsidR="00BC7DD0" w:rsidRPr="00947B7D">
        <w:rPr>
          <w:rFonts w:eastAsia="Times New Roman" w:cs="Times New Roman"/>
          <w:noProof/>
        </w:rPr>
        <w:t xml:space="preserve"> </w:t>
      </w:r>
      <w:r w:rsidRPr="00947B7D">
        <w:rPr>
          <w:rFonts w:eastAsia="Times New Roman" w:cs="Times New Roman"/>
          <w:noProof/>
        </w:rPr>
        <w:t xml:space="preserve">for consultation </w:t>
      </w:r>
      <w:r w:rsidRPr="00947B7D">
        <w:rPr>
          <w:rFonts w:eastAsia="Times New Roman" w:cs="Times New Roman"/>
          <w:noProof/>
          <w:color w:val="000000" w:themeColor="text1"/>
        </w:rPr>
        <w:t xml:space="preserve">draft Guidelines </w:t>
      </w:r>
      <w:r w:rsidRPr="008036A9">
        <w:rPr>
          <w:noProof/>
          <w:color w:val="000000" w:themeColor="text1"/>
        </w:rPr>
        <w:t>on the application of EU competition law to collective agreements regarding the working conditions of self-employed persons</w:t>
      </w:r>
      <w:r w:rsidR="00466FFB">
        <w:rPr>
          <w:rStyle w:val="FootnoteReference"/>
          <w:noProof/>
        </w:rPr>
        <w:footnoteReference w:id="20"/>
      </w:r>
      <w:r w:rsidR="0048535F">
        <w:rPr>
          <w:noProof/>
        </w:rPr>
        <w:t>.</w:t>
      </w:r>
      <w:r>
        <w:rPr>
          <w:noProof/>
        </w:rPr>
        <w:t xml:space="preserve"> </w:t>
      </w:r>
      <w:r w:rsidR="00466FFB">
        <w:rPr>
          <w:noProof/>
        </w:rPr>
        <w:t xml:space="preserve">The Commission will assess the input </w:t>
      </w:r>
      <w:r w:rsidR="00BC7DD0">
        <w:rPr>
          <w:noProof/>
        </w:rPr>
        <w:t>from</w:t>
      </w:r>
      <w:r w:rsidR="00466FFB">
        <w:rPr>
          <w:noProof/>
        </w:rPr>
        <w:t xml:space="preserve"> stakeholders with the aim to publish </w:t>
      </w:r>
      <w:r w:rsidR="00BC7DD0">
        <w:rPr>
          <w:noProof/>
        </w:rPr>
        <w:t xml:space="preserve">a </w:t>
      </w:r>
      <w:r w:rsidR="00466FFB">
        <w:rPr>
          <w:noProof/>
        </w:rPr>
        <w:t xml:space="preserve">final version of the Guidelines in 2022. </w:t>
      </w:r>
    </w:p>
    <w:p w14:paraId="16719992" w14:textId="77777777" w:rsidR="007616FB" w:rsidRPr="006900E2" w:rsidRDefault="00E019AF">
      <w:pPr>
        <w:pStyle w:val="Heading4"/>
        <w:rPr>
          <w:i w:val="0"/>
          <w:iCs w:val="0"/>
          <w:noProof/>
        </w:rPr>
      </w:pPr>
      <w:r w:rsidRPr="00DB1492">
        <w:rPr>
          <w:noProof/>
        </w:rPr>
        <w:t xml:space="preserve">Results of the evaluation of the </w:t>
      </w:r>
      <w:r w:rsidR="007616FB" w:rsidRPr="00DB1492">
        <w:rPr>
          <w:noProof/>
        </w:rPr>
        <w:t>procedural and jurisdictional aspects of EU merger control</w:t>
      </w:r>
      <w:r w:rsidRPr="00D46266">
        <w:rPr>
          <w:noProof/>
        </w:rPr>
        <w:t xml:space="preserve"> </w:t>
      </w:r>
      <w:r w:rsidR="006D18A9" w:rsidRPr="00D46266">
        <w:rPr>
          <w:noProof/>
        </w:rPr>
        <w:t>and further guidance on Article 22 published</w:t>
      </w:r>
    </w:p>
    <w:p w14:paraId="1F1D464A" w14:textId="4DCFC7DC" w:rsidR="007616FB" w:rsidRPr="006900E2" w:rsidRDefault="00B95F12">
      <w:pPr>
        <w:jc w:val="both"/>
        <w:rPr>
          <w:rFonts w:eastAsia="Times New Roman" w:cs="Times New Roman"/>
          <w:noProof/>
        </w:rPr>
      </w:pPr>
      <w:r w:rsidRPr="00947B7D">
        <w:rPr>
          <w:rFonts w:eastAsia="Times New Roman" w:cs="Times New Roman"/>
          <w:noProof/>
        </w:rPr>
        <w:t xml:space="preserve">The objective of </w:t>
      </w:r>
      <w:r w:rsidRPr="00947B7D">
        <w:rPr>
          <w:rFonts w:eastAsia="Times New Roman" w:cs="Times New Roman"/>
          <w:noProof/>
          <w:color w:val="000000" w:themeColor="text1"/>
        </w:rPr>
        <w:t xml:space="preserve">the evaluation </w:t>
      </w:r>
      <w:r w:rsidRPr="008036A9">
        <w:rPr>
          <w:noProof/>
          <w:color w:val="000000" w:themeColor="text1"/>
        </w:rPr>
        <w:t xml:space="preserve">of the procedural and jurisdictional aspects of EU merger control </w:t>
      </w:r>
      <w:r w:rsidRPr="00947B7D">
        <w:rPr>
          <w:rFonts w:eastAsia="Times New Roman" w:cs="Times New Roman"/>
          <w:noProof/>
          <w:color w:val="000000" w:themeColor="text1"/>
        </w:rPr>
        <w:t>was to analyse h</w:t>
      </w:r>
      <w:r w:rsidRPr="00947B7D">
        <w:rPr>
          <w:rFonts w:eastAsia="Times New Roman" w:cs="Times New Roman"/>
          <w:noProof/>
        </w:rPr>
        <w:t xml:space="preserve">ow certain merger rules have worked under </w:t>
      </w:r>
      <w:r w:rsidR="00A52702" w:rsidRPr="00947B7D">
        <w:rPr>
          <w:rFonts w:eastAsia="Times New Roman" w:cs="Times New Roman"/>
          <w:noProof/>
        </w:rPr>
        <w:t xml:space="preserve">evolving </w:t>
      </w:r>
      <w:r w:rsidRPr="004155ED">
        <w:rPr>
          <w:rFonts w:eastAsia="Times New Roman" w:cs="Times New Roman"/>
          <w:noProof/>
        </w:rPr>
        <w:t>market conditions. The evaluation focused on two topics in particular</w:t>
      </w:r>
      <w:r w:rsidR="009602B2" w:rsidRPr="004155ED">
        <w:rPr>
          <w:rFonts w:eastAsia="Times New Roman" w:cs="Times New Roman"/>
          <w:noProof/>
        </w:rPr>
        <w:t>:</w:t>
      </w:r>
      <w:r w:rsidRPr="004155ED">
        <w:rPr>
          <w:rFonts w:eastAsia="Times New Roman" w:cs="Times New Roman"/>
          <w:noProof/>
        </w:rPr>
        <w:t xml:space="preserve"> </w:t>
      </w:r>
      <w:r w:rsidR="00041479" w:rsidRPr="004155ED">
        <w:rPr>
          <w:rFonts w:eastAsia="Times New Roman" w:cs="Times New Roman"/>
          <w:noProof/>
        </w:rPr>
        <w:t>(</w:t>
      </w:r>
      <w:r w:rsidRPr="00062864">
        <w:rPr>
          <w:rFonts w:eastAsia="Times New Roman" w:cs="Times New Roman"/>
          <w:noProof/>
        </w:rPr>
        <w:t xml:space="preserve">i.) </w:t>
      </w:r>
      <w:r w:rsidR="00885DF5">
        <w:rPr>
          <w:rFonts w:eastAsia="Times New Roman" w:cs="Times New Roman"/>
          <w:noProof/>
        </w:rPr>
        <w:t>t</w:t>
      </w:r>
      <w:r w:rsidRPr="00062864">
        <w:rPr>
          <w:rFonts w:eastAsia="Times New Roman" w:cs="Times New Roman"/>
          <w:noProof/>
        </w:rPr>
        <w:t>he effectiveness of the turnover-based jurisdictional thresholds in capturing concentrations that may have a significant impact on competition in the Single Market</w:t>
      </w:r>
      <w:r w:rsidR="00885DF5">
        <w:rPr>
          <w:rFonts w:eastAsia="Times New Roman" w:cs="Times New Roman"/>
          <w:noProof/>
        </w:rPr>
        <w:t>;</w:t>
      </w:r>
      <w:r w:rsidRPr="00062864">
        <w:rPr>
          <w:rFonts w:eastAsia="Times New Roman" w:cs="Times New Roman"/>
          <w:noProof/>
        </w:rPr>
        <w:t xml:space="preserve"> and </w:t>
      </w:r>
      <w:r w:rsidR="00041479" w:rsidRPr="00062864">
        <w:rPr>
          <w:rFonts w:eastAsia="Times New Roman" w:cs="Times New Roman"/>
          <w:noProof/>
        </w:rPr>
        <w:t>(</w:t>
      </w:r>
      <w:r w:rsidRPr="00373CE6">
        <w:rPr>
          <w:rFonts w:eastAsia="Times New Roman" w:cs="Times New Roman"/>
          <w:noProof/>
        </w:rPr>
        <w:t xml:space="preserve">ii.) </w:t>
      </w:r>
      <w:r w:rsidR="00885DF5">
        <w:rPr>
          <w:rFonts w:eastAsia="Times New Roman" w:cs="Times New Roman"/>
          <w:noProof/>
        </w:rPr>
        <w:t>t</w:t>
      </w:r>
      <w:r w:rsidRPr="00373CE6">
        <w:rPr>
          <w:rFonts w:eastAsia="Times New Roman" w:cs="Times New Roman"/>
          <w:noProof/>
        </w:rPr>
        <w:t>he effectiveness of the simplified notification procedure introduced in 2013.</w:t>
      </w:r>
      <w:r w:rsidR="003C6163" w:rsidRPr="00373CE6">
        <w:rPr>
          <w:rFonts w:eastAsia="Times New Roman" w:cs="Times New Roman"/>
          <w:noProof/>
        </w:rPr>
        <w:t xml:space="preserve"> </w:t>
      </w:r>
      <w:r w:rsidR="00E35F27" w:rsidRPr="005B1727">
        <w:rPr>
          <w:rFonts w:eastAsia="Times New Roman" w:cs="Times New Roman"/>
          <w:noProof/>
        </w:rPr>
        <w:t xml:space="preserve">In </w:t>
      </w:r>
      <w:r w:rsidR="009D067F" w:rsidRPr="005B1727">
        <w:rPr>
          <w:rFonts w:eastAsia="Times New Roman" w:cs="Times New Roman"/>
          <w:noProof/>
        </w:rPr>
        <w:t xml:space="preserve">March 2021, the Commission published the </w:t>
      </w:r>
      <w:r w:rsidR="00E35F27" w:rsidRPr="00C75974">
        <w:rPr>
          <w:rFonts w:eastAsia="Times New Roman" w:cs="Times New Roman"/>
          <w:noProof/>
        </w:rPr>
        <w:t xml:space="preserve">findings of </w:t>
      </w:r>
      <w:r w:rsidR="00230EEF">
        <w:rPr>
          <w:rFonts w:eastAsia="Times New Roman" w:cs="Times New Roman"/>
          <w:noProof/>
        </w:rPr>
        <w:t xml:space="preserve">the </w:t>
      </w:r>
      <w:r w:rsidR="00E35F27" w:rsidRPr="00542672">
        <w:rPr>
          <w:rFonts w:eastAsia="Times New Roman" w:cs="Times New Roman"/>
          <w:noProof/>
        </w:rPr>
        <w:t>evaluation</w:t>
      </w:r>
      <w:r w:rsidR="00E35F27" w:rsidRPr="00947B7D">
        <w:rPr>
          <w:rStyle w:val="FootnoteReference"/>
          <w:rFonts w:eastAsia="Times New Roman" w:cs="Times New Roman"/>
          <w:noProof/>
        </w:rPr>
        <w:footnoteReference w:id="21"/>
      </w:r>
      <w:r w:rsidR="00E35F27" w:rsidRPr="00947B7D">
        <w:rPr>
          <w:rFonts w:eastAsia="Times New Roman" w:cs="Times New Roman"/>
          <w:noProof/>
        </w:rPr>
        <w:t>.</w:t>
      </w:r>
    </w:p>
    <w:tbl>
      <w:tblPr>
        <w:tblStyle w:val="TableGrid"/>
        <w:tblW w:w="0" w:type="auto"/>
        <w:tblLook w:val="04A0" w:firstRow="1" w:lastRow="0" w:firstColumn="1" w:lastColumn="0" w:noHBand="0" w:noVBand="1"/>
      </w:tblPr>
      <w:tblGrid>
        <w:gridCol w:w="9288"/>
      </w:tblGrid>
      <w:tr w:rsidR="003C6163" w:rsidRPr="00542D19" w14:paraId="1472790B" w14:textId="77777777" w:rsidTr="158881C6">
        <w:tc>
          <w:tcPr>
            <w:tcW w:w="9288" w:type="dxa"/>
          </w:tcPr>
          <w:p w14:paraId="411E4CF7" w14:textId="77777777" w:rsidR="003C6163" w:rsidRPr="006900E2" w:rsidRDefault="00EF0996" w:rsidP="006900E2">
            <w:pPr>
              <w:spacing w:after="60"/>
              <w:rPr>
                <w:b/>
                <w:bCs/>
                <w:noProof/>
                <w:sz w:val="22"/>
              </w:rPr>
            </w:pPr>
            <w:r w:rsidRPr="006D6A86">
              <w:rPr>
                <w:b/>
                <w:bCs/>
                <w:noProof/>
                <w:color w:val="0070C0"/>
                <w:sz w:val="22"/>
              </w:rPr>
              <w:t>Key f</w:t>
            </w:r>
            <w:r w:rsidR="003C6163" w:rsidRPr="006D6A86">
              <w:rPr>
                <w:b/>
                <w:bCs/>
                <w:noProof/>
                <w:color w:val="0070C0"/>
                <w:sz w:val="22"/>
              </w:rPr>
              <w:t>indings f</w:t>
            </w:r>
            <w:r w:rsidRPr="006D6A86">
              <w:rPr>
                <w:b/>
                <w:bCs/>
                <w:noProof/>
                <w:color w:val="0070C0"/>
                <w:sz w:val="22"/>
              </w:rPr>
              <w:t>rom</w:t>
            </w:r>
            <w:r w:rsidR="003C6163" w:rsidRPr="006D6A86">
              <w:rPr>
                <w:b/>
                <w:bCs/>
                <w:noProof/>
                <w:color w:val="0070C0"/>
                <w:sz w:val="22"/>
              </w:rPr>
              <w:t xml:space="preserve"> the evaluation of the procedural and jurisdictional aspect of EU merger control </w:t>
            </w:r>
          </w:p>
          <w:p w14:paraId="427B6F87" w14:textId="48280053" w:rsidR="003C6163" w:rsidRPr="006900E2" w:rsidRDefault="003C6163" w:rsidP="001A7089">
            <w:pPr>
              <w:jc w:val="both"/>
              <w:rPr>
                <w:noProof/>
                <w:color w:val="0070C0"/>
                <w:sz w:val="22"/>
              </w:rPr>
            </w:pPr>
            <w:r w:rsidRPr="158881C6">
              <w:rPr>
                <w:rFonts w:eastAsia="Times New Roman" w:cs="Times New Roman"/>
                <w:noProof/>
                <w:color w:val="0070C0"/>
                <w:sz w:val="22"/>
              </w:rPr>
              <w:t>The Commission concluded that</w:t>
            </w:r>
            <w:r w:rsidR="00134E87" w:rsidRPr="158881C6">
              <w:rPr>
                <w:rFonts w:eastAsia="Times New Roman" w:cs="Times New Roman"/>
                <w:noProof/>
                <w:color w:val="0070C0"/>
                <w:sz w:val="22"/>
              </w:rPr>
              <w:t xml:space="preserve"> </w:t>
            </w:r>
            <w:r w:rsidRPr="158881C6">
              <w:rPr>
                <w:rFonts w:eastAsia="Times New Roman" w:cs="Times New Roman"/>
                <w:noProof/>
                <w:color w:val="0070C0"/>
                <w:sz w:val="22"/>
              </w:rPr>
              <w:t xml:space="preserve">the turnover-based jurisdictional thresholds combined with the referral mechanism had generally proved to be effective in capturing relevant transactions in the EU </w:t>
            </w:r>
            <w:r w:rsidR="00BC7DD0" w:rsidRPr="158881C6">
              <w:rPr>
                <w:rFonts w:eastAsia="Times New Roman" w:cs="Times New Roman"/>
                <w:noProof/>
                <w:color w:val="0070C0"/>
                <w:sz w:val="22"/>
              </w:rPr>
              <w:t>Single Market</w:t>
            </w:r>
            <w:r w:rsidRPr="158881C6">
              <w:rPr>
                <w:rFonts w:eastAsia="Times New Roman" w:cs="Times New Roman"/>
                <w:noProof/>
                <w:color w:val="0070C0"/>
                <w:sz w:val="22"/>
              </w:rPr>
              <w:t xml:space="preserve">. </w:t>
            </w:r>
            <w:r w:rsidR="00BC7DD0" w:rsidRPr="158881C6">
              <w:rPr>
                <w:rFonts w:eastAsia="Times New Roman" w:cs="Times New Roman"/>
                <w:noProof/>
                <w:color w:val="0070C0"/>
                <w:sz w:val="22"/>
              </w:rPr>
              <w:t>However, r</w:t>
            </w:r>
            <w:r w:rsidRPr="158881C6">
              <w:rPr>
                <w:rFonts w:eastAsia="Times New Roman" w:cs="Times New Roman"/>
                <w:noProof/>
                <w:color w:val="0070C0"/>
                <w:sz w:val="22"/>
              </w:rPr>
              <w:t xml:space="preserve">ecent market developments have resulted in a gradual increase </w:t>
            </w:r>
            <w:r w:rsidR="001A7089">
              <w:rPr>
                <w:rFonts w:eastAsia="Times New Roman" w:cs="Times New Roman"/>
                <w:noProof/>
                <w:color w:val="0070C0"/>
                <w:sz w:val="22"/>
              </w:rPr>
              <w:t>in</w:t>
            </w:r>
            <w:r w:rsidRPr="158881C6">
              <w:rPr>
                <w:rFonts w:eastAsia="Times New Roman" w:cs="Times New Roman"/>
                <w:noProof/>
                <w:color w:val="0070C0"/>
                <w:sz w:val="22"/>
              </w:rPr>
              <w:t xml:space="preserve"> acquisitions of firms that play or may develop into playing a decisive competitive role, despite generating little or no turnover at the time of the merger. </w:t>
            </w:r>
            <w:r w:rsidR="00033C8B" w:rsidRPr="158881C6">
              <w:rPr>
                <w:rFonts w:eastAsia="Times New Roman" w:cs="Times New Roman"/>
                <w:noProof/>
                <w:color w:val="0070C0"/>
                <w:sz w:val="22"/>
              </w:rPr>
              <w:t>T</w:t>
            </w:r>
            <w:r w:rsidR="00767999" w:rsidRPr="158881C6">
              <w:rPr>
                <w:rFonts w:eastAsia="Times New Roman" w:cs="Times New Roman"/>
                <w:noProof/>
                <w:color w:val="0070C0"/>
                <w:sz w:val="22"/>
              </w:rPr>
              <w:t>he</w:t>
            </w:r>
            <w:r w:rsidR="008204FC" w:rsidRPr="158881C6">
              <w:rPr>
                <w:rFonts w:eastAsia="Times New Roman" w:cs="Times New Roman"/>
                <w:noProof/>
                <w:color w:val="0070C0"/>
                <w:sz w:val="22"/>
              </w:rPr>
              <w:t xml:space="preserve"> </w:t>
            </w:r>
            <w:r w:rsidRPr="158881C6">
              <w:rPr>
                <w:rFonts w:eastAsia="Times New Roman" w:cs="Times New Roman"/>
                <w:noProof/>
                <w:color w:val="0070C0"/>
                <w:sz w:val="22"/>
              </w:rPr>
              <w:t>evaluation</w:t>
            </w:r>
            <w:r w:rsidR="00033C8B" w:rsidRPr="158881C6">
              <w:rPr>
                <w:rFonts w:eastAsia="Times New Roman" w:cs="Times New Roman"/>
                <w:noProof/>
                <w:color w:val="0070C0"/>
                <w:sz w:val="22"/>
              </w:rPr>
              <w:t xml:space="preserve"> concluded </w:t>
            </w:r>
            <w:r w:rsidRPr="158881C6">
              <w:rPr>
                <w:rFonts w:eastAsia="Times New Roman" w:cs="Times New Roman"/>
                <w:noProof/>
                <w:color w:val="0070C0"/>
                <w:sz w:val="22"/>
              </w:rPr>
              <w:t xml:space="preserve">that, in certain cases, transactions with a potential negative impact on competition were reviewed neither by the Commission, nor by any Member State. This included in particular acquisitions targeting nascent firms with competitive potential and innovative firms including in - but not limited to - the digital, pharmaceutical, biotechnology and certain other industrial sectors. The value of the target firm was not always sufficiently correlated </w:t>
            </w:r>
            <w:r w:rsidR="00BC7DD0" w:rsidRPr="158881C6">
              <w:rPr>
                <w:rFonts w:eastAsia="Times New Roman" w:cs="Times New Roman"/>
                <w:noProof/>
                <w:color w:val="0070C0"/>
                <w:sz w:val="22"/>
              </w:rPr>
              <w:t>to</w:t>
            </w:r>
            <w:r w:rsidRPr="158881C6">
              <w:rPr>
                <w:rFonts w:eastAsia="Times New Roman" w:cs="Times New Roman"/>
                <w:noProof/>
                <w:color w:val="0070C0"/>
                <w:sz w:val="22"/>
              </w:rPr>
              <w:t xml:space="preserve"> the transaction's </w:t>
            </w:r>
            <w:r w:rsidRPr="158881C6" w:rsidDel="00AB2217">
              <w:rPr>
                <w:rFonts w:eastAsia="Times New Roman" w:cs="Times New Roman"/>
                <w:noProof/>
                <w:color w:val="0070C0"/>
                <w:sz w:val="22"/>
              </w:rPr>
              <w:t xml:space="preserve">potential </w:t>
            </w:r>
            <w:r w:rsidRPr="158881C6">
              <w:rPr>
                <w:rFonts w:eastAsia="Times New Roman" w:cs="Times New Roman"/>
                <w:noProof/>
                <w:color w:val="0070C0"/>
                <w:sz w:val="22"/>
              </w:rPr>
              <w:t>anti-competitive effects</w:t>
            </w:r>
            <w:r w:rsidRPr="158881C6">
              <w:rPr>
                <w:rFonts w:eastAsia="Times New Roman" w:cs="Times New Roman"/>
                <w:noProof/>
                <w:sz w:val="22"/>
              </w:rPr>
              <w:t>.</w:t>
            </w:r>
          </w:p>
        </w:tc>
      </w:tr>
    </w:tbl>
    <w:p w14:paraId="069A5D29" w14:textId="77777777" w:rsidR="003C6163" w:rsidRDefault="003C6163" w:rsidP="003C6163">
      <w:pPr>
        <w:spacing w:after="0"/>
        <w:jc w:val="both"/>
        <w:rPr>
          <w:rFonts w:eastAsia="Times New Roman" w:cs="Times New Roman"/>
          <w:noProof/>
          <w:szCs w:val="24"/>
        </w:rPr>
      </w:pPr>
    </w:p>
    <w:p w14:paraId="6AF4B047" w14:textId="250EA908" w:rsidR="431A0244" w:rsidRPr="006900E2" w:rsidRDefault="00347CA6">
      <w:pPr>
        <w:jc w:val="both"/>
        <w:rPr>
          <w:rFonts w:eastAsia="Times New Roman" w:cs="Times New Roman"/>
          <w:noProof/>
        </w:rPr>
      </w:pPr>
      <w:r>
        <w:rPr>
          <w:rFonts w:eastAsia="Times New Roman" w:cs="Times New Roman"/>
          <w:noProof/>
        </w:rPr>
        <w:t>T</w:t>
      </w:r>
      <w:r w:rsidR="00694E5F" w:rsidRPr="00947B7D">
        <w:rPr>
          <w:rFonts w:eastAsia="Times New Roman" w:cs="Times New Roman"/>
          <w:noProof/>
        </w:rPr>
        <w:t xml:space="preserve">he Commission adopted </w:t>
      </w:r>
      <w:r w:rsidR="00453E01" w:rsidRPr="00947B7D">
        <w:rPr>
          <w:rFonts w:eastAsia="Times New Roman" w:cs="Times New Roman"/>
          <w:noProof/>
        </w:rPr>
        <w:t xml:space="preserve">in March </w:t>
      </w:r>
      <w:r w:rsidR="00453E01" w:rsidRPr="004155ED">
        <w:rPr>
          <w:rFonts w:eastAsia="Times New Roman" w:cs="Times New Roman"/>
          <w:noProof/>
          <w:color w:val="000000" w:themeColor="text1"/>
        </w:rPr>
        <w:t xml:space="preserve">2021 </w:t>
      </w:r>
      <w:r w:rsidR="00694E5F" w:rsidRPr="004155ED">
        <w:rPr>
          <w:rFonts w:eastAsia="Times New Roman" w:cs="Times New Roman"/>
          <w:noProof/>
          <w:color w:val="000000" w:themeColor="text1"/>
        </w:rPr>
        <w:t xml:space="preserve">a communication </w:t>
      </w:r>
      <w:r w:rsidR="00453E01" w:rsidRPr="004155ED">
        <w:rPr>
          <w:rFonts w:eastAsia="Times New Roman" w:cs="Times New Roman"/>
          <w:noProof/>
          <w:color w:val="000000" w:themeColor="text1"/>
        </w:rPr>
        <w:t xml:space="preserve">providing </w:t>
      </w:r>
      <w:r w:rsidR="00694E5F" w:rsidRPr="004155ED">
        <w:rPr>
          <w:rFonts w:eastAsia="Times New Roman" w:cs="Times New Roman"/>
          <w:noProof/>
          <w:color w:val="000000" w:themeColor="text1"/>
        </w:rPr>
        <w:t>guidance</w:t>
      </w:r>
      <w:r w:rsidR="00DA239E" w:rsidRPr="00062864">
        <w:rPr>
          <w:rFonts w:eastAsia="Times New Roman" w:cs="Times New Roman"/>
          <w:noProof/>
          <w:color w:val="000000" w:themeColor="text1"/>
        </w:rPr>
        <w:t xml:space="preserve"> on</w:t>
      </w:r>
      <w:r w:rsidR="00694E5F" w:rsidRPr="00062864">
        <w:rPr>
          <w:rFonts w:eastAsia="Times New Roman" w:cs="Times New Roman"/>
          <w:noProof/>
          <w:color w:val="000000" w:themeColor="text1"/>
        </w:rPr>
        <w:t xml:space="preserve"> how to apply </w:t>
      </w:r>
      <w:r w:rsidR="00694E5F" w:rsidRPr="00062864" w:rsidDel="004E627C">
        <w:rPr>
          <w:rFonts w:eastAsia="Times New Roman" w:cs="Times New Roman"/>
          <w:noProof/>
          <w:color w:val="000000" w:themeColor="text1"/>
        </w:rPr>
        <w:t xml:space="preserve">the </w:t>
      </w:r>
      <w:r w:rsidR="00694E5F" w:rsidRPr="00062864">
        <w:rPr>
          <w:rFonts w:eastAsia="Times New Roman" w:cs="Times New Roman"/>
          <w:noProof/>
          <w:color w:val="000000" w:themeColor="text1"/>
        </w:rPr>
        <w:t>referral mechanism between Member States</w:t>
      </w:r>
      <w:r w:rsidR="00DC0A3B" w:rsidRPr="00373CE6">
        <w:rPr>
          <w:rFonts w:eastAsia="Times New Roman" w:cs="Times New Roman"/>
          <w:noProof/>
          <w:color w:val="000000" w:themeColor="text1"/>
        </w:rPr>
        <w:t xml:space="preserve"> </w:t>
      </w:r>
      <w:r w:rsidR="00694E5F" w:rsidRPr="00373CE6">
        <w:rPr>
          <w:rFonts w:eastAsia="Times New Roman" w:cs="Times New Roman"/>
          <w:noProof/>
          <w:color w:val="000000" w:themeColor="text1"/>
        </w:rPr>
        <w:t xml:space="preserve">and the Commission </w:t>
      </w:r>
      <w:r w:rsidR="00DC0A3B" w:rsidRPr="00373CE6">
        <w:rPr>
          <w:rFonts w:eastAsia="Times New Roman" w:cs="Times New Roman"/>
          <w:noProof/>
          <w:color w:val="000000" w:themeColor="text1"/>
        </w:rPr>
        <w:t xml:space="preserve">as </w:t>
      </w:r>
      <w:r w:rsidR="00694E5F" w:rsidRPr="00373CE6">
        <w:rPr>
          <w:rFonts w:eastAsia="Times New Roman" w:cs="Times New Roman"/>
          <w:noProof/>
          <w:color w:val="000000" w:themeColor="text1"/>
        </w:rPr>
        <w:t>set out in Article 22 of the Merger Regulation</w:t>
      </w:r>
      <w:r w:rsidR="00694E5F" w:rsidRPr="00947B7D">
        <w:rPr>
          <w:rFonts w:eastAsia="Times New Roman" w:cs="Times New Roman"/>
          <w:noProof/>
          <w:color w:val="000000" w:themeColor="text1"/>
          <w:vertAlign w:val="superscript"/>
        </w:rPr>
        <w:footnoteReference w:id="22"/>
      </w:r>
      <w:r>
        <w:rPr>
          <w:rFonts w:eastAsia="Times New Roman" w:cs="Times New Roman"/>
          <w:noProof/>
          <w:color w:val="000000" w:themeColor="text1"/>
        </w:rPr>
        <w:t xml:space="preserve"> in the specific circumstances where the turnover-based thresholds do not reflect the competitive potential of the target and where the transaction is not notifiable to any Member State under national law</w:t>
      </w:r>
      <w:r w:rsidR="00694E5F" w:rsidRPr="00947B7D">
        <w:rPr>
          <w:rFonts w:eastAsia="Times New Roman" w:cs="Times New Roman"/>
          <w:noProof/>
          <w:color w:val="000000" w:themeColor="text1"/>
        </w:rPr>
        <w:t xml:space="preserve">. </w:t>
      </w:r>
      <w:r w:rsidR="001C5331">
        <w:rPr>
          <w:rFonts w:eastAsia="Times New Roman" w:cs="Times New Roman"/>
          <w:noProof/>
          <w:color w:val="000000" w:themeColor="text1"/>
        </w:rPr>
        <w:t>T</w:t>
      </w:r>
      <w:r w:rsidR="00453E01" w:rsidRPr="004155ED">
        <w:rPr>
          <w:rFonts w:eastAsia="Times New Roman" w:cs="Times New Roman"/>
          <w:noProof/>
          <w:color w:val="000000" w:themeColor="text1"/>
        </w:rPr>
        <w:t xml:space="preserve">he Commission intends to </w:t>
      </w:r>
      <w:r w:rsidR="007616FB" w:rsidRPr="004155ED">
        <w:rPr>
          <w:rFonts w:eastAsia="Times New Roman" w:cs="Times New Roman"/>
          <w:noProof/>
          <w:color w:val="000000" w:themeColor="text1"/>
        </w:rPr>
        <w:t>encour</w:t>
      </w:r>
      <w:r w:rsidR="00453E01" w:rsidRPr="00062864">
        <w:rPr>
          <w:rFonts w:eastAsia="Times New Roman" w:cs="Times New Roman"/>
          <w:noProof/>
          <w:color w:val="000000" w:themeColor="text1"/>
        </w:rPr>
        <w:t xml:space="preserve">age </w:t>
      </w:r>
      <w:r w:rsidR="007616FB" w:rsidRPr="00062864">
        <w:rPr>
          <w:rFonts w:eastAsia="Times New Roman" w:cs="Times New Roman"/>
          <w:noProof/>
          <w:color w:val="000000" w:themeColor="text1"/>
        </w:rPr>
        <w:t xml:space="preserve">and accept more referrals under Article 22 of the </w:t>
      </w:r>
      <w:r w:rsidR="007616FB" w:rsidRPr="00062864">
        <w:rPr>
          <w:rFonts w:eastAsia="Times New Roman" w:cs="Times New Roman"/>
          <w:noProof/>
        </w:rPr>
        <w:t>Merger Regulation</w:t>
      </w:r>
      <w:r w:rsidR="004E627C" w:rsidRPr="00947B7D">
        <w:rPr>
          <w:rStyle w:val="FootnoteReference"/>
          <w:rFonts w:eastAsia="Times New Roman" w:cs="Times New Roman"/>
          <w:noProof/>
        </w:rPr>
        <w:footnoteReference w:id="23"/>
      </w:r>
      <w:r w:rsidR="00453E01" w:rsidRPr="00947B7D">
        <w:rPr>
          <w:rFonts w:eastAsia="Times New Roman" w:cs="Times New Roman"/>
          <w:noProof/>
        </w:rPr>
        <w:t xml:space="preserve">. </w:t>
      </w:r>
    </w:p>
    <w:p w14:paraId="481B9173" w14:textId="77777777" w:rsidR="00635134" w:rsidRPr="00DB1492" w:rsidRDefault="17B2A0C9" w:rsidP="00F42E78">
      <w:pPr>
        <w:pStyle w:val="Heading3"/>
        <w:spacing w:after="200"/>
        <w:rPr>
          <w:rStyle w:val="Heading2Char"/>
          <w:rFonts w:asciiTheme="majorHAnsi" w:hAnsiTheme="majorHAnsi"/>
        </w:rPr>
      </w:pPr>
      <w:bookmarkStart w:id="22" w:name="_Toc94190103"/>
      <w:bookmarkStart w:id="23" w:name="_Toc94281752"/>
      <w:bookmarkStart w:id="24" w:name="_Toc94695844"/>
      <w:bookmarkStart w:id="25" w:name="_Toc95762332"/>
      <w:bookmarkStart w:id="26" w:name="_Toc102030132"/>
      <w:r w:rsidRPr="00DB1492">
        <w:rPr>
          <w:rStyle w:val="Heading2Char"/>
          <w:rFonts w:asciiTheme="majorHAnsi" w:hAnsiTheme="majorHAnsi"/>
        </w:rPr>
        <w:t>2.</w:t>
      </w:r>
      <w:r w:rsidR="00677C0B" w:rsidRPr="00DB1492">
        <w:rPr>
          <w:rStyle w:val="Heading2Char"/>
          <w:rFonts w:asciiTheme="majorHAnsi" w:hAnsiTheme="majorHAnsi"/>
        </w:rPr>
        <w:t>3</w:t>
      </w:r>
      <w:r w:rsidRPr="00D46266">
        <w:rPr>
          <w:rStyle w:val="Heading2Char"/>
          <w:rFonts w:asciiTheme="majorHAnsi" w:hAnsiTheme="majorHAnsi"/>
        </w:rPr>
        <w:t xml:space="preserve">. </w:t>
      </w:r>
      <w:r w:rsidR="004B63E9" w:rsidRPr="00D46266">
        <w:rPr>
          <w:rStyle w:val="Heading2Char"/>
          <w:rFonts w:asciiTheme="majorHAnsi" w:hAnsiTheme="majorHAnsi"/>
        </w:rPr>
        <w:t xml:space="preserve">Updating </w:t>
      </w:r>
      <w:r w:rsidRPr="00D46266">
        <w:rPr>
          <w:rStyle w:val="Heading2Char"/>
          <w:rFonts w:asciiTheme="majorHAnsi" w:hAnsiTheme="majorHAnsi"/>
        </w:rPr>
        <w:t>State aid</w:t>
      </w:r>
      <w:bookmarkEnd w:id="22"/>
      <w:bookmarkEnd w:id="23"/>
      <w:r w:rsidR="002652B1" w:rsidRPr="00D46266">
        <w:rPr>
          <w:rStyle w:val="Heading2Char"/>
          <w:rFonts w:asciiTheme="majorHAnsi" w:hAnsiTheme="majorHAnsi"/>
        </w:rPr>
        <w:t xml:space="preserve"> rules </w:t>
      </w:r>
      <w:r w:rsidR="004B63E9" w:rsidRPr="00D46266">
        <w:rPr>
          <w:rStyle w:val="Heading2Char"/>
          <w:rFonts w:asciiTheme="majorHAnsi" w:hAnsiTheme="majorHAnsi"/>
        </w:rPr>
        <w:t xml:space="preserve">and guidance to </w:t>
      </w:r>
      <w:r w:rsidR="00860FFB" w:rsidRPr="00D46266">
        <w:rPr>
          <w:rStyle w:val="Heading2Char"/>
          <w:rFonts w:asciiTheme="majorHAnsi" w:hAnsiTheme="majorHAnsi"/>
        </w:rPr>
        <w:t xml:space="preserve">make them fit for </w:t>
      </w:r>
      <w:r w:rsidR="004B63E9" w:rsidRPr="00D46266">
        <w:rPr>
          <w:rStyle w:val="Heading2Char"/>
          <w:rFonts w:asciiTheme="majorHAnsi" w:hAnsiTheme="majorHAnsi"/>
        </w:rPr>
        <w:t>new challenges</w:t>
      </w:r>
      <w:bookmarkEnd w:id="24"/>
      <w:bookmarkEnd w:id="25"/>
      <w:bookmarkEnd w:id="26"/>
    </w:p>
    <w:p w14:paraId="64A7B3C7" w14:textId="64A87CE1" w:rsidR="00056DDB" w:rsidRDefault="00310F95" w:rsidP="00F42E78">
      <w:pPr>
        <w:spacing w:before="120"/>
        <w:jc w:val="both"/>
        <w:rPr>
          <w:noProof/>
        </w:rPr>
      </w:pPr>
      <w:r w:rsidRPr="00947B7D">
        <w:rPr>
          <w:rFonts w:eastAsia="Times New Roman" w:cs="Times New Roman"/>
          <w:noProof/>
        </w:rPr>
        <w:t>In 2021, the Commission c</w:t>
      </w:r>
      <w:r w:rsidR="00767999" w:rsidRPr="00947B7D">
        <w:rPr>
          <w:rFonts w:eastAsia="Times New Roman" w:cs="Times New Roman"/>
          <w:noProof/>
        </w:rPr>
        <w:t>ontinue</w:t>
      </w:r>
      <w:r w:rsidRPr="00947B7D">
        <w:rPr>
          <w:rFonts w:eastAsia="Times New Roman" w:cs="Times New Roman"/>
          <w:noProof/>
        </w:rPr>
        <w:t>d</w:t>
      </w:r>
      <w:r w:rsidR="00767999" w:rsidRPr="004155ED">
        <w:rPr>
          <w:rFonts w:eastAsia="Times New Roman" w:cs="Times New Roman"/>
          <w:noProof/>
        </w:rPr>
        <w:t xml:space="preserve"> </w:t>
      </w:r>
      <w:r w:rsidRPr="004155ED">
        <w:rPr>
          <w:rFonts w:eastAsia="Times New Roman" w:cs="Times New Roman"/>
          <w:noProof/>
        </w:rPr>
        <w:t xml:space="preserve">the </w:t>
      </w:r>
      <w:r w:rsidR="00033C8B" w:rsidRPr="00062864">
        <w:rPr>
          <w:rFonts w:eastAsia="Times New Roman" w:cs="Times New Roman"/>
          <w:noProof/>
        </w:rPr>
        <w:t xml:space="preserve">evaluation </w:t>
      </w:r>
      <w:r w:rsidR="005D7290" w:rsidRPr="00062864">
        <w:rPr>
          <w:rFonts w:eastAsia="Times New Roman" w:cs="Times New Roman"/>
          <w:noProof/>
        </w:rPr>
        <w:t xml:space="preserve">and </w:t>
      </w:r>
      <w:r w:rsidR="005D7290">
        <w:rPr>
          <w:rFonts w:eastAsia="Times New Roman" w:cs="Times New Roman"/>
          <w:noProof/>
        </w:rPr>
        <w:t>revision</w:t>
      </w:r>
      <w:r w:rsidR="005D7290" w:rsidRPr="00062864">
        <w:rPr>
          <w:rFonts w:eastAsia="Times New Roman" w:cs="Times New Roman"/>
          <w:noProof/>
        </w:rPr>
        <w:t xml:space="preserve"> </w:t>
      </w:r>
      <w:r w:rsidR="006F6A0D" w:rsidRPr="00062864">
        <w:rPr>
          <w:rFonts w:eastAsia="Times New Roman" w:cs="Times New Roman"/>
          <w:noProof/>
        </w:rPr>
        <w:t xml:space="preserve">of </w:t>
      </w:r>
      <w:r w:rsidR="00202752" w:rsidRPr="00062864">
        <w:rPr>
          <w:rFonts w:eastAsia="Times New Roman" w:cs="Times New Roman"/>
          <w:noProof/>
        </w:rPr>
        <w:t xml:space="preserve">existing </w:t>
      </w:r>
      <w:r w:rsidR="004305F5" w:rsidRPr="00062864">
        <w:rPr>
          <w:rFonts w:eastAsia="Times New Roman" w:cs="Times New Roman"/>
          <w:noProof/>
        </w:rPr>
        <w:t xml:space="preserve">State aid rules and guidance </w:t>
      </w:r>
      <w:r w:rsidRPr="00373CE6">
        <w:rPr>
          <w:rFonts w:eastAsia="Times New Roman" w:cs="Times New Roman"/>
          <w:noProof/>
        </w:rPr>
        <w:t xml:space="preserve">to </w:t>
      </w:r>
      <w:r w:rsidR="00202752" w:rsidRPr="00373CE6">
        <w:rPr>
          <w:rFonts w:eastAsia="Times New Roman" w:cs="Times New Roman"/>
          <w:noProof/>
        </w:rPr>
        <w:t xml:space="preserve">further </w:t>
      </w:r>
      <w:r w:rsidR="00767999" w:rsidRPr="00373CE6">
        <w:rPr>
          <w:rFonts w:eastAsia="Times New Roman" w:cs="Times New Roman"/>
          <w:noProof/>
        </w:rPr>
        <w:t xml:space="preserve">facilitate </w:t>
      </w:r>
      <w:r w:rsidR="00202752" w:rsidRPr="00373CE6">
        <w:rPr>
          <w:rFonts w:eastAsia="Times New Roman" w:cs="Times New Roman"/>
          <w:noProof/>
        </w:rPr>
        <w:t xml:space="preserve">the </w:t>
      </w:r>
      <w:r w:rsidR="004305F5" w:rsidRPr="00373CE6">
        <w:rPr>
          <w:rFonts w:eastAsia="Times New Roman" w:cs="Times New Roman"/>
          <w:noProof/>
        </w:rPr>
        <w:t xml:space="preserve">green and digital </w:t>
      </w:r>
      <w:r w:rsidR="00767999" w:rsidRPr="00926C2A">
        <w:rPr>
          <w:noProof/>
        </w:rPr>
        <w:t>transition</w:t>
      </w:r>
      <w:r w:rsidR="006F6A0D" w:rsidRPr="00926C2A">
        <w:rPr>
          <w:noProof/>
        </w:rPr>
        <w:t>s</w:t>
      </w:r>
      <w:r w:rsidR="00767999" w:rsidRPr="00926C2A">
        <w:rPr>
          <w:noProof/>
        </w:rPr>
        <w:t xml:space="preserve"> and </w:t>
      </w:r>
      <w:r w:rsidR="00986A12" w:rsidRPr="00926C2A">
        <w:rPr>
          <w:rFonts w:eastAsia="Times New Roman" w:cs="Times New Roman"/>
          <w:noProof/>
        </w:rPr>
        <w:t>foster the resilie</w:t>
      </w:r>
      <w:r w:rsidR="006463E7" w:rsidRPr="00926C2A">
        <w:rPr>
          <w:rFonts w:eastAsia="Times New Roman" w:cs="Times New Roman"/>
          <w:noProof/>
        </w:rPr>
        <w:t xml:space="preserve">nce of the </w:t>
      </w:r>
      <w:r w:rsidR="00E450DB" w:rsidRPr="00926C2A">
        <w:rPr>
          <w:rFonts w:eastAsia="Times New Roman" w:cs="Times New Roman"/>
          <w:noProof/>
        </w:rPr>
        <w:t>S</w:t>
      </w:r>
      <w:r w:rsidR="006463E7" w:rsidRPr="00926C2A">
        <w:rPr>
          <w:rFonts w:eastAsia="Times New Roman" w:cs="Times New Roman"/>
          <w:noProof/>
        </w:rPr>
        <w:t xml:space="preserve">ingle </w:t>
      </w:r>
      <w:r w:rsidR="00E450DB" w:rsidRPr="00926C2A">
        <w:rPr>
          <w:rFonts w:eastAsia="Times New Roman" w:cs="Times New Roman"/>
          <w:noProof/>
        </w:rPr>
        <w:t>M</w:t>
      </w:r>
      <w:r w:rsidR="006463E7" w:rsidRPr="00926C2A">
        <w:rPr>
          <w:rFonts w:eastAsia="Times New Roman" w:cs="Times New Roman"/>
          <w:noProof/>
        </w:rPr>
        <w:t xml:space="preserve">arket </w:t>
      </w:r>
      <w:r w:rsidR="00E450DB" w:rsidRPr="00926C2A">
        <w:rPr>
          <w:rFonts w:eastAsia="Times New Roman" w:cs="Times New Roman"/>
          <w:noProof/>
        </w:rPr>
        <w:t xml:space="preserve">when </w:t>
      </w:r>
      <w:r w:rsidR="00767999" w:rsidRPr="00926C2A">
        <w:rPr>
          <w:noProof/>
        </w:rPr>
        <w:t>recover</w:t>
      </w:r>
      <w:r w:rsidR="00E450DB" w:rsidRPr="00926C2A">
        <w:rPr>
          <w:noProof/>
        </w:rPr>
        <w:t>ing</w:t>
      </w:r>
      <w:r w:rsidR="00E450DB">
        <w:rPr>
          <w:rFonts w:eastAsia="Times New Roman" w:cs="Times New Roman"/>
          <w:noProof/>
        </w:rPr>
        <w:t xml:space="preserve"> </w:t>
      </w:r>
      <w:r w:rsidR="00820215" w:rsidRPr="00373CE6">
        <w:rPr>
          <w:rFonts w:eastAsia="Times New Roman" w:cs="Times New Roman"/>
          <w:noProof/>
        </w:rPr>
        <w:t xml:space="preserve">from the </w:t>
      </w:r>
      <w:r w:rsidR="0001076D">
        <w:rPr>
          <w:rFonts w:eastAsia="Times New Roman" w:cs="Times New Roman"/>
          <w:noProof/>
        </w:rPr>
        <w:t xml:space="preserve">COVID-19 </w:t>
      </w:r>
      <w:r w:rsidR="00820215" w:rsidRPr="00373CE6">
        <w:rPr>
          <w:rFonts w:eastAsia="Times New Roman" w:cs="Times New Roman"/>
          <w:noProof/>
        </w:rPr>
        <w:t>pandemic</w:t>
      </w:r>
      <w:r w:rsidR="004305F5" w:rsidRPr="00373CE6">
        <w:rPr>
          <w:rFonts w:eastAsia="Times New Roman" w:cs="Times New Roman"/>
          <w:noProof/>
        </w:rPr>
        <w:t>.</w:t>
      </w:r>
      <w:r w:rsidR="00820215" w:rsidRPr="00373CE6">
        <w:rPr>
          <w:rFonts w:eastAsia="Times New Roman" w:cs="Times New Roman"/>
          <w:noProof/>
        </w:rPr>
        <w:t xml:space="preserve"> </w:t>
      </w:r>
      <w:r w:rsidR="00373CE6">
        <w:rPr>
          <w:rFonts w:eastAsia="Times New Roman" w:cs="Times New Roman"/>
          <w:noProof/>
        </w:rPr>
        <w:t xml:space="preserve">The </w:t>
      </w:r>
      <w:r w:rsidR="00820215" w:rsidRPr="158881C6">
        <w:rPr>
          <w:rFonts w:eastAsiaTheme="minorEastAsia"/>
          <w:noProof/>
          <w:lang w:eastAsia="nl-BE"/>
        </w:rPr>
        <w:t>Commission</w:t>
      </w:r>
      <w:r w:rsidR="00373CE6">
        <w:rPr>
          <w:rFonts w:eastAsiaTheme="minorEastAsia"/>
          <w:noProof/>
          <w:lang w:eastAsia="nl-BE"/>
        </w:rPr>
        <w:t xml:space="preserve"> continued </w:t>
      </w:r>
      <w:r w:rsidR="00820215" w:rsidRPr="158881C6">
        <w:rPr>
          <w:rFonts w:eastAsiaTheme="minorEastAsia"/>
          <w:noProof/>
          <w:lang w:eastAsia="nl-BE"/>
        </w:rPr>
        <w:t xml:space="preserve">to </w:t>
      </w:r>
      <w:r w:rsidR="003579B9">
        <w:rPr>
          <w:rFonts w:eastAsiaTheme="minorEastAsia"/>
          <w:noProof/>
          <w:lang w:eastAsia="nl-BE"/>
        </w:rPr>
        <w:t>follow</w:t>
      </w:r>
      <w:r w:rsidR="00820215" w:rsidRPr="158881C6">
        <w:rPr>
          <w:rFonts w:eastAsiaTheme="minorEastAsia"/>
          <w:noProof/>
          <w:lang w:eastAsia="nl-BE"/>
        </w:rPr>
        <w:t xml:space="preserve"> </w:t>
      </w:r>
      <w:r w:rsidR="00024BC9" w:rsidRPr="158881C6">
        <w:rPr>
          <w:rFonts w:eastAsiaTheme="minorEastAsia"/>
          <w:noProof/>
          <w:lang w:eastAsia="nl-BE"/>
        </w:rPr>
        <w:t xml:space="preserve">market developments </w:t>
      </w:r>
      <w:r w:rsidR="00820215" w:rsidRPr="158881C6">
        <w:rPr>
          <w:rFonts w:eastAsiaTheme="minorEastAsia"/>
          <w:noProof/>
          <w:lang w:eastAsia="nl-BE"/>
        </w:rPr>
        <w:t xml:space="preserve">and </w:t>
      </w:r>
      <w:r w:rsidR="00024BC9" w:rsidRPr="158881C6">
        <w:rPr>
          <w:rFonts w:eastAsiaTheme="minorEastAsia"/>
          <w:noProof/>
          <w:lang w:eastAsia="nl-BE"/>
        </w:rPr>
        <w:t>stand</w:t>
      </w:r>
      <w:r w:rsidR="00E40C40">
        <w:rPr>
          <w:rFonts w:eastAsiaTheme="minorEastAsia"/>
          <w:noProof/>
          <w:lang w:eastAsia="nl-BE"/>
        </w:rPr>
        <w:t>s</w:t>
      </w:r>
      <w:r w:rsidR="00024BC9" w:rsidRPr="158881C6">
        <w:rPr>
          <w:rFonts w:eastAsiaTheme="minorEastAsia"/>
          <w:noProof/>
          <w:lang w:eastAsia="nl-BE"/>
        </w:rPr>
        <w:t xml:space="preserve"> </w:t>
      </w:r>
      <w:r w:rsidR="00820215" w:rsidRPr="158881C6">
        <w:rPr>
          <w:rFonts w:eastAsiaTheme="minorEastAsia"/>
          <w:noProof/>
          <w:lang w:eastAsia="nl-BE"/>
        </w:rPr>
        <w:t xml:space="preserve">ready to further adjust its policy tools </w:t>
      </w:r>
      <w:r w:rsidR="003579B9">
        <w:rPr>
          <w:rFonts w:eastAsiaTheme="minorEastAsia"/>
          <w:noProof/>
          <w:lang w:eastAsia="nl-BE"/>
        </w:rPr>
        <w:t xml:space="preserve">so that </w:t>
      </w:r>
      <w:r w:rsidR="00820215" w:rsidRPr="158881C6">
        <w:rPr>
          <w:rFonts w:eastAsiaTheme="minorEastAsia"/>
          <w:noProof/>
          <w:lang w:eastAsia="nl-BE"/>
        </w:rPr>
        <w:t xml:space="preserve">the EU </w:t>
      </w:r>
      <w:r w:rsidR="003579B9">
        <w:rPr>
          <w:rFonts w:eastAsiaTheme="minorEastAsia"/>
          <w:noProof/>
          <w:lang w:eastAsia="nl-BE"/>
        </w:rPr>
        <w:t xml:space="preserve">can </w:t>
      </w:r>
      <w:r w:rsidR="00024BC9" w:rsidRPr="158881C6">
        <w:rPr>
          <w:rFonts w:eastAsiaTheme="minorEastAsia"/>
          <w:noProof/>
          <w:lang w:eastAsia="nl-BE"/>
        </w:rPr>
        <w:t xml:space="preserve">respond </w:t>
      </w:r>
      <w:r w:rsidR="003579B9">
        <w:rPr>
          <w:rFonts w:eastAsiaTheme="minorEastAsia"/>
          <w:noProof/>
          <w:lang w:eastAsia="nl-BE"/>
        </w:rPr>
        <w:t xml:space="preserve">swiftly </w:t>
      </w:r>
      <w:r w:rsidR="00024BC9" w:rsidRPr="158881C6">
        <w:rPr>
          <w:rFonts w:eastAsiaTheme="minorEastAsia"/>
          <w:noProof/>
          <w:lang w:eastAsia="nl-BE"/>
        </w:rPr>
        <w:t xml:space="preserve">to </w:t>
      </w:r>
      <w:r w:rsidR="00820215" w:rsidRPr="158881C6">
        <w:rPr>
          <w:rFonts w:eastAsiaTheme="minorEastAsia"/>
          <w:noProof/>
          <w:lang w:eastAsia="nl-BE"/>
        </w:rPr>
        <w:t>emerging cris</w:t>
      </w:r>
      <w:r w:rsidR="003579B9">
        <w:rPr>
          <w:rFonts w:eastAsiaTheme="minorEastAsia"/>
          <w:noProof/>
          <w:lang w:eastAsia="nl-BE"/>
        </w:rPr>
        <w:t>e</w:t>
      </w:r>
      <w:r w:rsidR="00820215" w:rsidRPr="158881C6">
        <w:rPr>
          <w:rFonts w:eastAsiaTheme="minorEastAsia"/>
          <w:noProof/>
          <w:lang w:eastAsia="nl-BE"/>
        </w:rPr>
        <w:t>s</w:t>
      </w:r>
      <w:r w:rsidR="00024BC9" w:rsidRPr="158881C6">
        <w:rPr>
          <w:rFonts w:eastAsiaTheme="minorEastAsia"/>
          <w:noProof/>
          <w:lang w:eastAsia="nl-BE"/>
        </w:rPr>
        <w:t>.</w:t>
      </w:r>
      <w:r w:rsidR="004305F5">
        <w:rPr>
          <w:noProof/>
        </w:rPr>
        <w:t xml:space="preserve"> </w:t>
      </w:r>
    </w:p>
    <w:p w14:paraId="10A8D2AE" w14:textId="77777777" w:rsidR="006D18A9" w:rsidRPr="00DB1492" w:rsidRDefault="0011589E" w:rsidP="00F42E78">
      <w:pPr>
        <w:pStyle w:val="Heading4"/>
        <w:rPr>
          <w:noProof/>
        </w:rPr>
      </w:pPr>
      <w:r>
        <w:rPr>
          <w:noProof/>
        </w:rPr>
        <w:t>Adjustments</w:t>
      </w:r>
      <w:r w:rsidR="008603FB">
        <w:rPr>
          <w:noProof/>
        </w:rPr>
        <w:t xml:space="preserve"> of</w:t>
      </w:r>
      <w:r>
        <w:rPr>
          <w:noProof/>
        </w:rPr>
        <w:t xml:space="preserve"> </w:t>
      </w:r>
      <w:r w:rsidR="002725B3" w:rsidRPr="00DB1492">
        <w:rPr>
          <w:noProof/>
        </w:rPr>
        <w:t xml:space="preserve">the State aid Temporary Framework </w:t>
      </w:r>
    </w:p>
    <w:p w14:paraId="37A71A94" w14:textId="2BA284C6" w:rsidR="006D18A9" w:rsidRPr="006900E2" w:rsidRDefault="0040709C">
      <w:pPr>
        <w:jc w:val="both"/>
        <w:rPr>
          <w:rFonts w:eastAsia="Times New Roman" w:cs="Times New Roman"/>
          <w:noProof/>
        </w:rPr>
      </w:pPr>
      <w:r>
        <w:rPr>
          <w:rFonts w:eastAsia="Times New Roman" w:cs="Times New Roman"/>
          <w:noProof/>
        </w:rPr>
        <w:t>Most recently</w:t>
      </w:r>
      <w:r w:rsidR="006D18A9" w:rsidRPr="00947B7D">
        <w:rPr>
          <w:rFonts w:eastAsia="Times New Roman" w:cs="Times New Roman"/>
          <w:noProof/>
        </w:rPr>
        <w:t>, the</w:t>
      </w:r>
      <w:r w:rsidR="006D18A9" w:rsidRPr="00947B7D" w:rsidDel="00A42EF2">
        <w:rPr>
          <w:rFonts w:eastAsia="Times New Roman" w:cs="Times New Roman"/>
          <w:noProof/>
        </w:rPr>
        <w:t xml:space="preserve"> </w:t>
      </w:r>
      <w:r w:rsidR="006D18A9" w:rsidRPr="00947B7D">
        <w:rPr>
          <w:rFonts w:eastAsia="Times New Roman" w:cs="Times New Roman"/>
          <w:noProof/>
        </w:rPr>
        <w:t xml:space="preserve">Commission </w:t>
      </w:r>
      <w:r w:rsidR="004305F5" w:rsidRPr="00947B7D">
        <w:rPr>
          <w:rFonts w:eastAsia="Times New Roman" w:cs="Times New Roman"/>
          <w:noProof/>
        </w:rPr>
        <w:t xml:space="preserve">consulted </w:t>
      </w:r>
      <w:r w:rsidR="006D18A9" w:rsidRPr="004155ED">
        <w:rPr>
          <w:rFonts w:eastAsia="Times New Roman" w:cs="Times New Roman"/>
          <w:noProof/>
        </w:rPr>
        <w:t xml:space="preserve">Member States </w:t>
      </w:r>
      <w:r w:rsidR="004305F5" w:rsidRPr="004155ED">
        <w:rPr>
          <w:rFonts w:eastAsia="Times New Roman" w:cs="Times New Roman"/>
          <w:noProof/>
        </w:rPr>
        <w:t xml:space="preserve">on </w:t>
      </w:r>
      <w:r w:rsidR="006D18A9" w:rsidRPr="004155ED">
        <w:rPr>
          <w:rFonts w:eastAsia="Times New Roman" w:cs="Times New Roman"/>
          <w:noProof/>
        </w:rPr>
        <w:t>a proposal to prolong until 30 June 2022 the Temporary Framework</w:t>
      </w:r>
      <w:r w:rsidR="00187668">
        <w:rPr>
          <w:rFonts w:eastAsia="Times New Roman" w:cs="Times New Roman"/>
          <w:noProof/>
        </w:rPr>
        <w:t xml:space="preserve"> for State aid measures</w:t>
      </w:r>
      <w:r w:rsidR="006D18A9" w:rsidRPr="004155ED">
        <w:rPr>
          <w:rFonts w:eastAsia="Times New Roman" w:cs="Times New Roman"/>
          <w:noProof/>
        </w:rPr>
        <w:t xml:space="preserve">, while setting out the path for the progressive phase-out of </w:t>
      </w:r>
      <w:r w:rsidR="008603FB" w:rsidRPr="00062864">
        <w:rPr>
          <w:rFonts w:eastAsia="Times New Roman" w:cs="Times New Roman"/>
          <w:noProof/>
        </w:rPr>
        <w:t xml:space="preserve">pandemic-related </w:t>
      </w:r>
      <w:r w:rsidR="006D18A9" w:rsidRPr="00062864">
        <w:rPr>
          <w:rFonts w:eastAsia="Times New Roman" w:cs="Times New Roman"/>
          <w:noProof/>
        </w:rPr>
        <w:t>crisis support.</w:t>
      </w:r>
      <w:r w:rsidR="004305F5" w:rsidRPr="00062864">
        <w:rPr>
          <w:rFonts w:eastAsia="Times New Roman" w:cs="Times New Roman"/>
          <w:noProof/>
        </w:rPr>
        <w:t xml:space="preserve"> </w:t>
      </w:r>
      <w:r w:rsidR="006D18A9" w:rsidRPr="00062864">
        <w:rPr>
          <w:rFonts w:eastAsia="Times New Roman" w:cs="Times New Roman"/>
          <w:noProof/>
        </w:rPr>
        <w:t xml:space="preserve">The Commission adopted the </w:t>
      </w:r>
      <w:r w:rsidR="006D18A9" w:rsidRPr="00373CE6">
        <w:rPr>
          <w:rFonts w:eastAsia="Times New Roman" w:cs="Times New Roman"/>
          <w:noProof/>
          <w:color w:val="000000" w:themeColor="text1"/>
        </w:rPr>
        <w:t xml:space="preserve">sixth amendment of the Temporary Framework in </w:t>
      </w:r>
      <w:r w:rsidR="006D18A9" w:rsidRPr="00373CE6">
        <w:rPr>
          <w:rFonts w:eastAsia="Times New Roman" w:cs="Times New Roman"/>
          <w:noProof/>
        </w:rPr>
        <w:t>November 2021</w:t>
      </w:r>
      <w:r w:rsidR="006D18A9" w:rsidRPr="00947B7D">
        <w:rPr>
          <w:rStyle w:val="FootnoteReference"/>
          <w:rFonts w:eastAsia="Times New Roman" w:cs="Times New Roman"/>
          <w:noProof/>
        </w:rPr>
        <w:footnoteReference w:id="24"/>
      </w:r>
      <w:r w:rsidR="006D18A9" w:rsidRPr="00947B7D">
        <w:rPr>
          <w:rFonts w:eastAsia="Times New Roman" w:cs="Times New Roman"/>
          <w:noProof/>
        </w:rPr>
        <w:t>. The</w:t>
      </w:r>
      <w:r w:rsidR="006D18A9" w:rsidRPr="00947B7D" w:rsidDel="00D666F9">
        <w:rPr>
          <w:rFonts w:eastAsia="Times New Roman" w:cs="Times New Roman"/>
          <w:noProof/>
        </w:rPr>
        <w:t xml:space="preserve"> </w:t>
      </w:r>
      <w:r w:rsidR="006D18A9" w:rsidRPr="00947B7D">
        <w:rPr>
          <w:rFonts w:eastAsia="Times New Roman" w:cs="Times New Roman"/>
          <w:noProof/>
        </w:rPr>
        <w:t>prolongation of existing measures under the Temporary Framework</w:t>
      </w:r>
      <w:r w:rsidR="00187668">
        <w:rPr>
          <w:rFonts w:eastAsia="Times New Roman" w:cs="Times New Roman"/>
          <w:noProof/>
        </w:rPr>
        <w:t xml:space="preserve"> for State aid measures</w:t>
      </w:r>
      <w:r w:rsidR="006D18A9" w:rsidRPr="00947B7D">
        <w:rPr>
          <w:rFonts w:eastAsia="Times New Roman" w:cs="Times New Roman"/>
          <w:noProof/>
        </w:rPr>
        <w:t xml:space="preserve"> until 30 June 2022 will avoid </w:t>
      </w:r>
      <w:r w:rsidR="00602695" w:rsidRPr="00123036">
        <w:rPr>
          <w:rFonts w:eastAsia="Times New Roman" w:cs="Times New Roman"/>
          <w:noProof/>
        </w:rPr>
        <w:t>cliff-edge effects by preventing</w:t>
      </w:r>
      <w:r w:rsidR="006D18A9" w:rsidRPr="00123036">
        <w:rPr>
          <w:rFonts w:eastAsia="Times New Roman" w:cs="Times New Roman"/>
          <w:noProof/>
        </w:rPr>
        <w:t xml:space="preserve"> </w:t>
      </w:r>
      <w:r w:rsidR="003A0FD3" w:rsidRPr="00123036">
        <w:rPr>
          <w:noProof/>
        </w:rPr>
        <w:t xml:space="preserve">that </w:t>
      </w:r>
      <w:r w:rsidR="003A0FD3" w:rsidRPr="00123036">
        <w:rPr>
          <w:rFonts w:eastAsia="Times New Roman" w:cs="Times New Roman"/>
          <w:noProof/>
        </w:rPr>
        <w:t>business</w:t>
      </w:r>
      <w:r w:rsidR="00450763" w:rsidRPr="00123036">
        <w:rPr>
          <w:rFonts w:eastAsia="Times New Roman" w:cs="Times New Roman"/>
          <w:noProof/>
        </w:rPr>
        <w:t>es</w:t>
      </w:r>
      <w:r w:rsidR="006D18A9" w:rsidRPr="00123036">
        <w:rPr>
          <w:noProof/>
        </w:rPr>
        <w:t xml:space="preserve"> </w:t>
      </w:r>
      <w:r w:rsidR="00602695" w:rsidRPr="00123036">
        <w:rPr>
          <w:rFonts w:eastAsia="Times New Roman" w:cs="Times New Roman"/>
          <w:noProof/>
        </w:rPr>
        <w:t>ar</w:t>
      </w:r>
      <w:r w:rsidR="00767999" w:rsidRPr="00123036">
        <w:rPr>
          <w:rFonts w:eastAsia="Times New Roman" w:cs="Times New Roman"/>
          <w:noProof/>
        </w:rPr>
        <w:t>e</w:t>
      </w:r>
      <w:r w:rsidR="00767999" w:rsidRPr="00123036">
        <w:rPr>
          <w:noProof/>
        </w:rPr>
        <w:t xml:space="preserve"> </w:t>
      </w:r>
      <w:r w:rsidR="006D18A9" w:rsidRPr="00123036">
        <w:rPr>
          <w:noProof/>
        </w:rPr>
        <w:t>s</w:t>
      </w:r>
      <w:r w:rsidR="006D18A9" w:rsidRPr="004155ED">
        <w:rPr>
          <w:rFonts w:eastAsia="Times New Roman" w:cs="Times New Roman"/>
          <w:noProof/>
        </w:rPr>
        <w:t xml:space="preserve">uddenly cut off from </w:t>
      </w:r>
      <w:r w:rsidR="00FB7FF8" w:rsidRPr="00947B7D">
        <w:rPr>
          <w:rFonts w:eastAsia="Times New Roman" w:cs="Times New Roman"/>
          <w:noProof/>
        </w:rPr>
        <w:t xml:space="preserve">targeted </w:t>
      </w:r>
      <w:r w:rsidR="006D18A9" w:rsidRPr="00947B7D">
        <w:rPr>
          <w:rFonts w:eastAsia="Times New Roman" w:cs="Times New Roman"/>
          <w:noProof/>
        </w:rPr>
        <w:t>public support at a time when serious disturbance</w:t>
      </w:r>
      <w:r w:rsidR="00BC7DD0" w:rsidRPr="004155ED">
        <w:rPr>
          <w:rFonts w:eastAsia="Times New Roman" w:cs="Times New Roman"/>
          <w:noProof/>
        </w:rPr>
        <w:t>s</w:t>
      </w:r>
      <w:r w:rsidR="006D18A9" w:rsidRPr="004155ED">
        <w:rPr>
          <w:rFonts w:eastAsia="Times New Roman" w:cs="Times New Roman"/>
          <w:noProof/>
        </w:rPr>
        <w:t xml:space="preserve"> affecting </w:t>
      </w:r>
      <w:r w:rsidR="00BC7DD0" w:rsidRPr="004155ED">
        <w:rPr>
          <w:rFonts w:eastAsia="Times New Roman" w:cs="Times New Roman"/>
          <w:noProof/>
        </w:rPr>
        <w:t>Member States’</w:t>
      </w:r>
      <w:r w:rsidR="006D18A9" w:rsidRPr="004155ED">
        <w:rPr>
          <w:rFonts w:eastAsia="Times New Roman" w:cs="Times New Roman"/>
          <w:noProof/>
        </w:rPr>
        <w:t xml:space="preserve"> economies ha</w:t>
      </w:r>
      <w:r w:rsidR="00BC7DD0" w:rsidRPr="00062864">
        <w:rPr>
          <w:rFonts w:eastAsia="Times New Roman" w:cs="Times New Roman"/>
          <w:noProof/>
        </w:rPr>
        <w:t>ve</w:t>
      </w:r>
      <w:r w:rsidR="006D18A9" w:rsidRPr="00062864">
        <w:rPr>
          <w:rFonts w:eastAsia="Times New Roman" w:cs="Times New Roman"/>
          <w:noProof/>
        </w:rPr>
        <w:t xml:space="preserve"> not yet ended. </w:t>
      </w:r>
      <w:r w:rsidR="00024BC9" w:rsidRPr="00062864">
        <w:rPr>
          <w:rFonts w:eastAsia="Times New Roman" w:cs="Times New Roman"/>
          <w:noProof/>
        </w:rPr>
        <w:t>The Commission continue</w:t>
      </w:r>
      <w:r w:rsidR="0029169A" w:rsidRPr="00373CE6">
        <w:rPr>
          <w:rFonts w:eastAsia="Times New Roman" w:cs="Times New Roman"/>
          <w:noProof/>
        </w:rPr>
        <w:t>s</w:t>
      </w:r>
      <w:r w:rsidR="00024BC9" w:rsidRPr="00373CE6">
        <w:rPr>
          <w:rFonts w:eastAsia="Times New Roman" w:cs="Times New Roman"/>
          <w:noProof/>
        </w:rPr>
        <w:t xml:space="preserve"> to pay due regard to developments potentially affecting the EU</w:t>
      </w:r>
      <w:r>
        <w:rPr>
          <w:rFonts w:eastAsia="Times New Roman" w:cs="Times New Roman"/>
          <w:noProof/>
        </w:rPr>
        <w:t xml:space="preserve">, </w:t>
      </w:r>
      <w:r w:rsidR="000C19D8" w:rsidRPr="00123036">
        <w:rPr>
          <w:rFonts w:eastAsiaTheme="minorEastAsia"/>
          <w:noProof/>
          <w:lang w:eastAsia="nl-BE"/>
        </w:rPr>
        <w:t xml:space="preserve">including the </w:t>
      </w:r>
      <w:r>
        <w:rPr>
          <w:rFonts w:eastAsiaTheme="minorEastAsia"/>
          <w:noProof/>
          <w:lang w:eastAsia="nl-BE"/>
        </w:rPr>
        <w:t xml:space="preserve">social and economic </w:t>
      </w:r>
      <w:r w:rsidR="004C570D" w:rsidRPr="00123036">
        <w:rPr>
          <w:rFonts w:eastAsiaTheme="minorEastAsia"/>
          <w:noProof/>
          <w:lang w:eastAsia="nl-BE"/>
        </w:rPr>
        <w:t>impact</w:t>
      </w:r>
      <w:r>
        <w:rPr>
          <w:rFonts w:eastAsiaTheme="minorEastAsia"/>
          <w:noProof/>
          <w:lang w:eastAsia="nl-BE"/>
        </w:rPr>
        <w:t xml:space="preserve"> </w:t>
      </w:r>
      <w:r w:rsidR="004C570D" w:rsidRPr="00123036">
        <w:rPr>
          <w:rFonts w:eastAsiaTheme="minorEastAsia"/>
          <w:noProof/>
          <w:lang w:eastAsia="nl-BE"/>
        </w:rPr>
        <w:t>on</w:t>
      </w:r>
      <w:r w:rsidR="000C19D8" w:rsidRPr="00123036">
        <w:rPr>
          <w:rFonts w:eastAsiaTheme="minorEastAsia"/>
          <w:noProof/>
          <w:lang w:eastAsia="nl-BE"/>
        </w:rPr>
        <w:t xml:space="preserve"> the </w:t>
      </w:r>
      <w:r>
        <w:rPr>
          <w:rFonts w:eastAsiaTheme="minorEastAsia"/>
          <w:noProof/>
          <w:lang w:eastAsia="nl-BE"/>
        </w:rPr>
        <w:t xml:space="preserve">EU caused by </w:t>
      </w:r>
      <w:r w:rsidR="00F93C9A" w:rsidRPr="00123036">
        <w:rPr>
          <w:rFonts w:eastAsiaTheme="minorEastAsia"/>
          <w:noProof/>
          <w:lang w:eastAsia="nl-BE"/>
        </w:rPr>
        <w:t xml:space="preserve">Russia's </w:t>
      </w:r>
      <w:r>
        <w:rPr>
          <w:rFonts w:eastAsiaTheme="minorEastAsia"/>
          <w:noProof/>
          <w:lang w:eastAsia="nl-BE"/>
        </w:rPr>
        <w:t xml:space="preserve">invasion of </w:t>
      </w:r>
      <w:r w:rsidR="00F93C9A" w:rsidRPr="00123036">
        <w:rPr>
          <w:rFonts w:eastAsiaTheme="minorEastAsia"/>
          <w:noProof/>
          <w:lang w:eastAsia="nl-BE"/>
        </w:rPr>
        <w:t>Ukraine</w:t>
      </w:r>
      <w:r>
        <w:rPr>
          <w:rFonts w:eastAsiaTheme="minorEastAsia"/>
          <w:noProof/>
          <w:lang w:eastAsia="nl-BE"/>
        </w:rPr>
        <w:t xml:space="preserve">, </w:t>
      </w:r>
      <w:r w:rsidR="00C07119" w:rsidRPr="00123036">
        <w:rPr>
          <w:rFonts w:eastAsia="Times New Roman" w:cs="Times New Roman"/>
          <w:noProof/>
        </w:rPr>
        <w:t xml:space="preserve">in order </w:t>
      </w:r>
      <w:r w:rsidR="00024BC9" w:rsidRPr="0085638B">
        <w:rPr>
          <w:rFonts w:eastAsia="Times New Roman" w:cs="Times New Roman"/>
          <w:noProof/>
        </w:rPr>
        <w:t xml:space="preserve">to act swiftly </w:t>
      </w:r>
      <w:r w:rsidR="00C07119" w:rsidRPr="008F039B">
        <w:rPr>
          <w:rFonts w:eastAsia="Times New Roman" w:cs="Times New Roman"/>
          <w:noProof/>
        </w:rPr>
        <w:t xml:space="preserve">and </w:t>
      </w:r>
      <w:r w:rsidR="00024BC9" w:rsidRPr="008F039B">
        <w:rPr>
          <w:rFonts w:eastAsia="Times New Roman" w:cs="Times New Roman"/>
          <w:noProof/>
        </w:rPr>
        <w:t xml:space="preserve">adjust its policy tools where necessary. </w:t>
      </w:r>
      <w:r w:rsidR="00374C8C" w:rsidRPr="008F039B">
        <w:rPr>
          <w:rFonts w:eastAsia="Times New Roman" w:cs="Times New Roman"/>
          <w:noProof/>
        </w:rPr>
        <w:t xml:space="preserve">Moreover, the Commission </w:t>
      </w:r>
      <w:r w:rsidR="00946F55" w:rsidRPr="005C5150">
        <w:rPr>
          <w:rFonts w:eastAsia="Times New Roman" w:cs="Times New Roman"/>
          <w:noProof/>
        </w:rPr>
        <w:t>introduce</w:t>
      </w:r>
      <w:r w:rsidR="003B0D7D" w:rsidRPr="005C5150">
        <w:rPr>
          <w:rFonts w:eastAsia="Times New Roman" w:cs="Times New Roman"/>
          <w:noProof/>
        </w:rPr>
        <w:t>d</w:t>
      </w:r>
      <w:r w:rsidR="00946F55" w:rsidRPr="005C5150">
        <w:rPr>
          <w:rFonts w:eastAsia="Times New Roman" w:cs="Times New Roman"/>
          <w:noProof/>
        </w:rPr>
        <w:t xml:space="preserve"> two new tools to kick</w:t>
      </w:r>
      <w:r w:rsidR="00C07119" w:rsidRPr="005C5150">
        <w:rPr>
          <w:rFonts w:eastAsia="Times New Roman" w:cs="Times New Roman"/>
          <w:noProof/>
        </w:rPr>
        <w:t xml:space="preserve"> </w:t>
      </w:r>
      <w:r w:rsidR="00946F55" w:rsidRPr="005C5150">
        <w:rPr>
          <w:rFonts w:eastAsia="Times New Roman" w:cs="Times New Roman"/>
          <w:noProof/>
        </w:rPr>
        <w:t>start and crowd</w:t>
      </w:r>
      <w:r w:rsidR="00C07119" w:rsidRPr="005C5150">
        <w:rPr>
          <w:rFonts w:eastAsia="Times New Roman" w:cs="Times New Roman"/>
          <w:noProof/>
        </w:rPr>
        <w:t xml:space="preserve"> </w:t>
      </w:r>
      <w:r w:rsidR="00946F55" w:rsidRPr="005C5150">
        <w:rPr>
          <w:rFonts w:eastAsia="Times New Roman" w:cs="Times New Roman"/>
          <w:noProof/>
        </w:rPr>
        <w:t>in private investment for a faster, greener and more digital</w:t>
      </w:r>
      <w:r w:rsidR="008864C3">
        <w:rPr>
          <w:rFonts w:eastAsia="Times New Roman" w:cs="Times New Roman"/>
          <w:noProof/>
        </w:rPr>
        <w:t xml:space="preserve"> </w:t>
      </w:r>
      <w:r w:rsidR="00946F55" w:rsidRPr="00C75974">
        <w:rPr>
          <w:rFonts w:eastAsia="Times New Roman" w:cs="Times New Roman"/>
          <w:noProof/>
        </w:rPr>
        <w:t>recovery</w:t>
      </w:r>
      <w:r w:rsidR="0029169A" w:rsidRPr="00C75974">
        <w:rPr>
          <w:rFonts w:eastAsia="Times New Roman" w:cs="Times New Roman"/>
          <w:noProof/>
        </w:rPr>
        <w:t xml:space="preserve"> from the pandemic</w:t>
      </w:r>
      <w:r w:rsidR="00374C8C" w:rsidRPr="00F07F0A">
        <w:rPr>
          <w:rFonts w:eastAsia="Times New Roman" w:cs="Times New Roman"/>
          <w:noProof/>
        </w:rPr>
        <w:t xml:space="preserve">. The Commission introduced </w:t>
      </w:r>
      <w:r w:rsidR="00946F55" w:rsidRPr="00F07F0A">
        <w:rPr>
          <w:rFonts w:eastAsia="Times New Roman" w:cs="Times New Roman"/>
          <w:noProof/>
        </w:rPr>
        <w:t>investment support towards a sustainable recovery until 31 December 2022 and solvency support until 31 December 202</w:t>
      </w:r>
      <w:r w:rsidR="003B0D7D" w:rsidRPr="00542672">
        <w:rPr>
          <w:rFonts w:eastAsia="Times New Roman" w:cs="Times New Roman"/>
          <w:noProof/>
        </w:rPr>
        <w:t>3</w:t>
      </w:r>
      <w:r w:rsidR="00374C8C" w:rsidRPr="0031030F">
        <w:rPr>
          <w:rFonts w:eastAsia="Times New Roman" w:cs="Times New Roman"/>
          <w:noProof/>
        </w:rPr>
        <w:t xml:space="preserve">, allowing </w:t>
      </w:r>
      <w:r w:rsidR="00946F55" w:rsidRPr="0031030F">
        <w:rPr>
          <w:rFonts w:eastAsia="Times New Roman" w:cs="Times New Roman"/>
          <w:noProof/>
        </w:rPr>
        <w:t>Member States to leverage private funds and make them available for investments in SMEs, including start-ups and small mid</w:t>
      </w:r>
      <w:r w:rsidR="003579B9">
        <w:rPr>
          <w:rFonts w:eastAsia="Times New Roman" w:cs="Times New Roman"/>
          <w:noProof/>
        </w:rPr>
        <w:t>-</w:t>
      </w:r>
      <w:r w:rsidR="00946F55" w:rsidRPr="0031030F">
        <w:rPr>
          <w:rFonts w:eastAsia="Times New Roman" w:cs="Times New Roman"/>
          <w:noProof/>
        </w:rPr>
        <w:t>caps.</w:t>
      </w:r>
    </w:p>
    <w:p w14:paraId="20B3708A" w14:textId="77777777" w:rsidR="003C2D9D" w:rsidRPr="006900E2" w:rsidRDefault="003C2D9D">
      <w:pPr>
        <w:pStyle w:val="Heading4"/>
        <w:rPr>
          <w:i w:val="0"/>
          <w:iCs w:val="0"/>
          <w:noProof/>
        </w:rPr>
      </w:pPr>
      <w:r w:rsidRPr="00DB1492">
        <w:rPr>
          <w:noProof/>
        </w:rPr>
        <w:t>Guidelines on State aid for climate, environmental protection and energy adopted</w:t>
      </w:r>
    </w:p>
    <w:p w14:paraId="1EF130A2" w14:textId="5FDA36B0" w:rsidR="008204FC" w:rsidRPr="00542D19" w:rsidRDefault="00767999" w:rsidP="008204FC">
      <w:pPr>
        <w:jc w:val="both"/>
        <w:rPr>
          <w:rFonts w:eastAsia="Times New Roman" w:cs="Times New Roman"/>
          <w:noProof/>
          <w:szCs w:val="24"/>
        </w:rPr>
      </w:pPr>
      <w:r w:rsidRPr="00947B7D">
        <w:rPr>
          <w:rFonts w:eastAsia="Times New Roman" w:cs="Times New Roman"/>
          <w:noProof/>
        </w:rPr>
        <w:t>The</w:t>
      </w:r>
      <w:r w:rsidR="00373CE6">
        <w:rPr>
          <w:rFonts w:eastAsia="Times New Roman" w:cs="Times New Roman"/>
          <w:noProof/>
        </w:rPr>
        <w:t xml:space="preserve"> Commission carried on with its review of </w:t>
      </w:r>
      <w:r w:rsidR="004136DD">
        <w:rPr>
          <w:rFonts w:eastAsia="Times New Roman" w:cs="Times New Roman"/>
          <w:noProof/>
        </w:rPr>
        <w:t xml:space="preserve">the </w:t>
      </w:r>
      <w:r w:rsidR="00373CE6">
        <w:rPr>
          <w:rFonts w:eastAsia="Times New Roman" w:cs="Times New Roman"/>
          <w:noProof/>
        </w:rPr>
        <w:t>State aid rules to make them fit</w:t>
      </w:r>
      <w:r w:rsidR="003579B9">
        <w:rPr>
          <w:rFonts w:eastAsia="Times New Roman" w:cs="Times New Roman"/>
          <w:noProof/>
        </w:rPr>
        <w:t xml:space="preserve"> </w:t>
      </w:r>
      <w:r w:rsidR="00373CE6">
        <w:rPr>
          <w:rFonts w:eastAsia="Times New Roman" w:cs="Times New Roman"/>
          <w:noProof/>
        </w:rPr>
        <w:t>for</w:t>
      </w:r>
      <w:r w:rsidR="003579B9">
        <w:rPr>
          <w:rFonts w:eastAsia="Times New Roman" w:cs="Times New Roman"/>
          <w:noProof/>
        </w:rPr>
        <w:t xml:space="preserve"> </w:t>
      </w:r>
      <w:r w:rsidR="00373CE6">
        <w:rPr>
          <w:rFonts w:eastAsia="Times New Roman" w:cs="Times New Roman"/>
          <w:noProof/>
        </w:rPr>
        <w:t xml:space="preserve">purpose and aligned </w:t>
      </w:r>
      <w:r w:rsidR="008204FC" w:rsidRPr="00062864">
        <w:rPr>
          <w:rFonts w:eastAsia="Times New Roman" w:cs="Times New Roman"/>
          <w:noProof/>
        </w:rPr>
        <w:t>with the climate goals</w:t>
      </w:r>
      <w:r w:rsidR="003579B9">
        <w:rPr>
          <w:rFonts w:eastAsia="Times New Roman" w:cs="Times New Roman"/>
          <w:noProof/>
        </w:rPr>
        <w:t xml:space="preserve"> of the EU</w:t>
      </w:r>
      <w:r w:rsidR="00427B74" w:rsidRPr="00062864">
        <w:rPr>
          <w:rFonts w:eastAsia="Times New Roman" w:cs="Times New Roman"/>
          <w:noProof/>
        </w:rPr>
        <w:t xml:space="preserve">. </w:t>
      </w:r>
      <w:r w:rsidR="00373CE6" w:rsidRPr="00373CE6">
        <w:rPr>
          <w:rFonts w:eastAsia="Times New Roman" w:cs="Times New Roman"/>
          <w:noProof/>
        </w:rPr>
        <w:t>In June 2021, the European Commission launched a public consultation</w:t>
      </w:r>
      <w:r w:rsidR="00373CE6" w:rsidRPr="00947B7D">
        <w:rPr>
          <w:rStyle w:val="FootnoteReference"/>
          <w:rFonts w:eastAsia="Times New Roman" w:cs="Times New Roman"/>
          <w:noProof/>
        </w:rPr>
        <w:footnoteReference w:id="25"/>
      </w:r>
      <w:r w:rsidR="00373CE6" w:rsidRPr="00947B7D">
        <w:rPr>
          <w:rFonts w:eastAsia="Times New Roman" w:cs="Times New Roman"/>
          <w:noProof/>
        </w:rPr>
        <w:t xml:space="preserve"> inviting all interested parties to comment on the proposed revision of the Energy and Environmental State aid </w:t>
      </w:r>
      <w:r w:rsidR="00373CE6" w:rsidRPr="00947B7D">
        <w:rPr>
          <w:rFonts w:eastAsia="Times New Roman" w:cs="Times New Roman"/>
          <w:noProof/>
          <w:color w:val="000000" w:themeColor="text1"/>
        </w:rPr>
        <w:t xml:space="preserve">Guidelines. In December 2021, the Commission endorsed the </w:t>
      </w:r>
      <w:r w:rsidR="008A43B6">
        <w:rPr>
          <w:rFonts w:eastAsia="Times New Roman" w:cs="Times New Roman"/>
          <w:noProof/>
          <w:color w:val="000000" w:themeColor="text1"/>
        </w:rPr>
        <w:t xml:space="preserve">new </w:t>
      </w:r>
      <w:r w:rsidR="00373CE6" w:rsidRPr="00947B7D">
        <w:rPr>
          <w:rFonts w:eastAsia="Times New Roman" w:cs="Times New Roman"/>
          <w:noProof/>
          <w:color w:val="000000" w:themeColor="text1"/>
        </w:rPr>
        <w:t xml:space="preserve">Climate, Energy and Environmental State aid Guidelines </w:t>
      </w:r>
      <w:r w:rsidR="00373CE6" w:rsidRPr="004155ED">
        <w:rPr>
          <w:rFonts w:eastAsia="Times New Roman" w:cs="Times New Roman"/>
          <w:noProof/>
          <w:color w:val="000000" w:themeColor="text1"/>
        </w:rPr>
        <w:t>(CEEAG)</w:t>
      </w:r>
      <w:r w:rsidR="00373CE6" w:rsidRPr="00947B7D">
        <w:rPr>
          <w:rStyle w:val="FootnoteReference"/>
          <w:rFonts w:eastAsia="Times New Roman" w:cs="Times New Roman"/>
          <w:noProof/>
          <w:color w:val="000000" w:themeColor="text1"/>
        </w:rPr>
        <w:footnoteReference w:id="26"/>
      </w:r>
      <w:r w:rsidR="00373CE6" w:rsidRPr="00947B7D">
        <w:rPr>
          <w:rFonts w:eastAsia="Times New Roman" w:cs="Times New Roman"/>
          <w:noProof/>
          <w:color w:val="000000" w:themeColor="text1"/>
        </w:rPr>
        <w:t>.</w:t>
      </w:r>
      <w:r w:rsidR="00373CE6">
        <w:rPr>
          <w:rFonts w:eastAsia="Times New Roman" w:cs="Times New Roman"/>
          <w:noProof/>
          <w:color w:val="000000" w:themeColor="text1"/>
        </w:rPr>
        <w:t xml:space="preserve"> The revision </w:t>
      </w:r>
      <w:r w:rsidR="00134E87" w:rsidRPr="00062864">
        <w:rPr>
          <w:rFonts w:eastAsia="Times New Roman" w:cs="Times New Roman"/>
          <w:noProof/>
        </w:rPr>
        <w:t>widen</w:t>
      </w:r>
      <w:r w:rsidR="00373CE6">
        <w:rPr>
          <w:rFonts w:eastAsia="Times New Roman" w:cs="Times New Roman"/>
          <w:noProof/>
        </w:rPr>
        <w:t xml:space="preserve">s </w:t>
      </w:r>
      <w:r w:rsidRPr="00373CE6">
        <w:rPr>
          <w:rFonts w:eastAsia="Times New Roman" w:cs="Times New Roman"/>
          <w:noProof/>
        </w:rPr>
        <w:t xml:space="preserve">the scope of the Guidelines to cover </w:t>
      </w:r>
      <w:r w:rsidR="003508D7">
        <w:rPr>
          <w:rFonts w:eastAsia="Times New Roman" w:cs="Times New Roman"/>
          <w:noProof/>
        </w:rPr>
        <w:t>new</w:t>
      </w:r>
      <w:r w:rsidR="003508D7" w:rsidRPr="00373CE6">
        <w:rPr>
          <w:rFonts w:eastAsia="Times New Roman" w:cs="Times New Roman"/>
          <w:noProof/>
        </w:rPr>
        <w:t xml:space="preserve"> </w:t>
      </w:r>
      <w:r w:rsidR="00134E87" w:rsidRPr="00373CE6">
        <w:rPr>
          <w:rFonts w:eastAsia="Times New Roman" w:cs="Times New Roman"/>
          <w:noProof/>
        </w:rPr>
        <w:t xml:space="preserve">economic </w:t>
      </w:r>
      <w:r w:rsidRPr="00373CE6">
        <w:rPr>
          <w:rFonts w:eastAsia="Times New Roman" w:cs="Times New Roman"/>
          <w:noProof/>
        </w:rPr>
        <w:t>areas such as clean mobility</w:t>
      </w:r>
      <w:r w:rsidR="004136DD">
        <w:rPr>
          <w:rFonts w:eastAsia="Times New Roman" w:cs="Times New Roman"/>
          <w:noProof/>
        </w:rPr>
        <w:t xml:space="preserve"> and</w:t>
      </w:r>
      <w:r w:rsidR="00134E87" w:rsidRPr="00373CE6">
        <w:rPr>
          <w:rFonts w:eastAsia="Times New Roman" w:cs="Times New Roman"/>
          <w:noProof/>
        </w:rPr>
        <w:t xml:space="preserve"> </w:t>
      </w:r>
      <w:r w:rsidR="003508D7">
        <w:rPr>
          <w:rFonts w:eastAsia="Times New Roman" w:cs="Times New Roman"/>
          <w:noProof/>
        </w:rPr>
        <w:t xml:space="preserve">the </w:t>
      </w:r>
      <w:r w:rsidRPr="00373CE6">
        <w:rPr>
          <w:rFonts w:eastAsia="Times New Roman" w:cs="Times New Roman"/>
          <w:noProof/>
        </w:rPr>
        <w:t>decarbonisation</w:t>
      </w:r>
      <w:r w:rsidR="003508D7">
        <w:rPr>
          <w:rFonts w:eastAsia="Times New Roman" w:cs="Times New Roman"/>
          <w:noProof/>
        </w:rPr>
        <w:t xml:space="preserve"> of industry</w:t>
      </w:r>
      <w:r w:rsidR="004136DD">
        <w:rPr>
          <w:rFonts w:eastAsia="Times New Roman" w:cs="Times New Roman"/>
          <w:noProof/>
        </w:rPr>
        <w:t>. It will also</w:t>
      </w:r>
      <w:r w:rsidR="008443DE" w:rsidRPr="00373CE6">
        <w:rPr>
          <w:rFonts w:eastAsia="Times New Roman" w:cs="Times New Roman"/>
          <w:noProof/>
        </w:rPr>
        <w:t xml:space="preserve"> provide a flexible framework </w:t>
      </w:r>
      <w:r w:rsidR="00602695">
        <w:rPr>
          <w:rFonts w:eastAsia="Times New Roman" w:cs="Times New Roman"/>
          <w:noProof/>
        </w:rPr>
        <w:t>by allowing support to all</w:t>
      </w:r>
      <w:r w:rsidR="008443DE" w:rsidRPr="00373CE6">
        <w:rPr>
          <w:rFonts w:eastAsia="Times New Roman" w:cs="Times New Roman"/>
          <w:noProof/>
        </w:rPr>
        <w:t xml:space="preserve"> </w:t>
      </w:r>
      <w:r w:rsidRPr="00373CE6">
        <w:rPr>
          <w:rFonts w:eastAsia="Times New Roman" w:cs="Times New Roman"/>
          <w:noProof/>
        </w:rPr>
        <w:t xml:space="preserve">technologies that can deliver the </w:t>
      </w:r>
      <w:r w:rsidR="00FC3E97">
        <w:rPr>
          <w:rFonts w:eastAsia="Times New Roman" w:cs="Times New Roman"/>
          <w:noProof/>
        </w:rPr>
        <w:t xml:space="preserve">European </w:t>
      </w:r>
      <w:r w:rsidRPr="00373CE6">
        <w:rPr>
          <w:rFonts w:eastAsia="Times New Roman" w:cs="Times New Roman"/>
          <w:noProof/>
        </w:rPr>
        <w:t xml:space="preserve">Green Deal. </w:t>
      </w:r>
      <w:r w:rsidR="00373CE6">
        <w:rPr>
          <w:rFonts w:eastAsia="Times New Roman" w:cs="Times New Roman"/>
          <w:noProof/>
        </w:rPr>
        <w:t xml:space="preserve">The </w:t>
      </w:r>
      <w:r w:rsidRPr="00373CE6">
        <w:rPr>
          <w:rFonts w:eastAsia="Times New Roman" w:cs="Times New Roman"/>
          <w:noProof/>
        </w:rPr>
        <w:t xml:space="preserve">wider scope of the Guidelines </w:t>
      </w:r>
      <w:r w:rsidR="00373CE6">
        <w:rPr>
          <w:rFonts w:eastAsia="Times New Roman" w:cs="Times New Roman"/>
          <w:noProof/>
        </w:rPr>
        <w:t xml:space="preserve">is </w:t>
      </w:r>
      <w:r w:rsidRPr="00373CE6">
        <w:rPr>
          <w:rFonts w:eastAsia="Times New Roman" w:cs="Times New Roman"/>
          <w:noProof/>
        </w:rPr>
        <w:t xml:space="preserve">accompanied by safeguards </w:t>
      </w:r>
      <w:r w:rsidR="00C07119">
        <w:rPr>
          <w:rFonts w:eastAsia="Times New Roman" w:cs="Times New Roman"/>
          <w:noProof/>
        </w:rPr>
        <w:t xml:space="preserve">which </w:t>
      </w:r>
      <w:r w:rsidRPr="00373CE6">
        <w:rPr>
          <w:rFonts w:eastAsia="Times New Roman" w:cs="Times New Roman"/>
          <w:noProof/>
        </w:rPr>
        <w:t>ensur</w:t>
      </w:r>
      <w:r w:rsidR="00C07119">
        <w:rPr>
          <w:rFonts w:eastAsia="Times New Roman" w:cs="Times New Roman"/>
          <w:noProof/>
        </w:rPr>
        <w:t>e</w:t>
      </w:r>
      <w:r w:rsidRPr="00373CE6">
        <w:rPr>
          <w:rFonts w:eastAsia="Times New Roman" w:cs="Times New Roman"/>
          <w:noProof/>
        </w:rPr>
        <w:t xml:space="preserve"> that the </w:t>
      </w:r>
      <w:r w:rsidR="00374C8C" w:rsidRPr="00373CE6">
        <w:rPr>
          <w:rFonts w:eastAsia="Times New Roman" w:cs="Times New Roman"/>
          <w:noProof/>
        </w:rPr>
        <w:t xml:space="preserve">State </w:t>
      </w:r>
      <w:r w:rsidRPr="00373CE6">
        <w:rPr>
          <w:rFonts w:eastAsia="Times New Roman" w:cs="Times New Roman"/>
          <w:noProof/>
        </w:rPr>
        <w:t xml:space="preserve">aid </w:t>
      </w:r>
      <w:r w:rsidR="00373CE6" w:rsidRPr="001A406B">
        <w:rPr>
          <w:noProof/>
        </w:rPr>
        <w:t xml:space="preserve">is </w:t>
      </w:r>
      <w:r w:rsidR="004136DD">
        <w:rPr>
          <w:noProof/>
        </w:rPr>
        <w:t xml:space="preserve">efficiently </w:t>
      </w:r>
      <w:r w:rsidR="00373CE6" w:rsidRPr="001A406B">
        <w:rPr>
          <w:noProof/>
        </w:rPr>
        <w:t>directed to where it is needed</w:t>
      </w:r>
      <w:r w:rsidR="004136DD">
        <w:rPr>
          <w:noProof/>
        </w:rPr>
        <w:t xml:space="preserve"> and </w:t>
      </w:r>
      <w:r w:rsidR="00373CE6" w:rsidRPr="001A406B">
        <w:rPr>
          <w:noProof/>
        </w:rPr>
        <w:t>requir</w:t>
      </w:r>
      <w:r w:rsidR="00C07119">
        <w:rPr>
          <w:noProof/>
        </w:rPr>
        <w:t>e</w:t>
      </w:r>
      <w:r w:rsidR="00373CE6" w:rsidRPr="001A406B">
        <w:rPr>
          <w:noProof/>
        </w:rPr>
        <w:t xml:space="preserve"> Member States to consult stakeholders </w:t>
      </w:r>
      <w:r w:rsidR="004136DD">
        <w:rPr>
          <w:noProof/>
        </w:rPr>
        <w:t xml:space="preserve">when </w:t>
      </w:r>
      <w:r w:rsidR="00373CE6" w:rsidRPr="001A406B">
        <w:rPr>
          <w:noProof/>
        </w:rPr>
        <w:t>design</w:t>
      </w:r>
      <w:r w:rsidR="004136DD">
        <w:rPr>
          <w:noProof/>
        </w:rPr>
        <w:t>ing</w:t>
      </w:r>
      <w:r w:rsidR="00373CE6" w:rsidRPr="001A406B">
        <w:rPr>
          <w:noProof/>
        </w:rPr>
        <w:t xml:space="preserve"> large </w:t>
      </w:r>
      <w:r w:rsidR="004136DD">
        <w:rPr>
          <w:noProof/>
        </w:rPr>
        <w:t xml:space="preserve">State </w:t>
      </w:r>
      <w:r w:rsidR="00373CE6" w:rsidRPr="001A406B">
        <w:rPr>
          <w:noProof/>
        </w:rPr>
        <w:t>aid measures</w:t>
      </w:r>
      <w:r w:rsidRPr="00373CE6">
        <w:rPr>
          <w:rFonts w:eastAsia="Times New Roman" w:cs="Times New Roman"/>
          <w:noProof/>
        </w:rPr>
        <w:t>.</w:t>
      </w:r>
      <w:r w:rsidR="00A06A0E" w:rsidRPr="00373CE6">
        <w:rPr>
          <w:rFonts w:eastAsia="Times New Roman" w:cs="Times New Roman"/>
          <w:noProof/>
        </w:rPr>
        <w:t xml:space="preserve"> </w:t>
      </w:r>
      <w:r w:rsidR="008204FC" w:rsidRPr="00947B7D">
        <w:rPr>
          <w:rFonts w:eastAsia="Times New Roman" w:cs="Times New Roman"/>
          <w:noProof/>
          <w:color w:val="000000" w:themeColor="text1"/>
        </w:rPr>
        <w:t xml:space="preserve">The </w:t>
      </w:r>
      <w:r w:rsidR="00500DD6" w:rsidRPr="008036A9">
        <w:rPr>
          <w:noProof/>
          <w:color w:val="000000" w:themeColor="text1"/>
        </w:rPr>
        <w:t xml:space="preserve">CEEAG will support EU </w:t>
      </w:r>
      <w:r w:rsidR="00500DD6" w:rsidRPr="00241B3B">
        <w:rPr>
          <w:noProof/>
        </w:rPr>
        <w:t xml:space="preserve">efforts towards decarbonisation, </w:t>
      </w:r>
      <w:r w:rsidR="00374C8C">
        <w:rPr>
          <w:noProof/>
        </w:rPr>
        <w:t>a</w:t>
      </w:r>
      <w:r w:rsidR="006A1852">
        <w:rPr>
          <w:noProof/>
        </w:rPr>
        <w:t xml:space="preserve"> </w:t>
      </w:r>
      <w:r w:rsidR="00500DD6" w:rsidRPr="00241B3B">
        <w:rPr>
          <w:noProof/>
        </w:rPr>
        <w:t>circular</w:t>
      </w:r>
      <w:r w:rsidR="006A1852">
        <w:rPr>
          <w:noProof/>
        </w:rPr>
        <w:t xml:space="preserve"> economy</w:t>
      </w:r>
      <w:r w:rsidR="00500DD6" w:rsidRPr="00241B3B">
        <w:rPr>
          <w:noProof/>
        </w:rPr>
        <w:t xml:space="preserve">, biodiversity, clean or zero-emission mobility and </w:t>
      </w:r>
      <w:r w:rsidR="006A1852">
        <w:rPr>
          <w:noProof/>
        </w:rPr>
        <w:t>building</w:t>
      </w:r>
      <w:r w:rsidR="008D703D">
        <w:rPr>
          <w:noProof/>
        </w:rPr>
        <w:t>s’</w:t>
      </w:r>
      <w:r w:rsidR="006A1852">
        <w:rPr>
          <w:noProof/>
        </w:rPr>
        <w:t xml:space="preserve"> </w:t>
      </w:r>
      <w:r w:rsidR="00500DD6" w:rsidRPr="00241B3B">
        <w:rPr>
          <w:noProof/>
        </w:rPr>
        <w:t>energy efficiency</w:t>
      </w:r>
      <w:r w:rsidR="001A406B">
        <w:rPr>
          <w:noProof/>
        </w:rPr>
        <w:t xml:space="preserve"> </w:t>
      </w:r>
      <w:r w:rsidR="008D703D">
        <w:rPr>
          <w:noProof/>
        </w:rPr>
        <w:t xml:space="preserve">and performance, </w:t>
      </w:r>
      <w:r w:rsidR="001A406B">
        <w:rPr>
          <w:noProof/>
        </w:rPr>
        <w:t xml:space="preserve">with a view to </w:t>
      </w:r>
      <w:r w:rsidR="004136DD">
        <w:rPr>
          <w:noProof/>
        </w:rPr>
        <w:t xml:space="preserve">meet the </w:t>
      </w:r>
      <w:r w:rsidR="001A406B" w:rsidRPr="001A406B">
        <w:rPr>
          <w:noProof/>
        </w:rPr>
        <w:t xml:space="preserve">EU climate </w:t>
      </w:r>
      <w:r w:rsidR="008D703D">
        <w:rPr>
          <w:noProof/>
        </w:rPr>
        <w:t xml:space="preserve">and energy </w:t>
      </w:r>
      <w:r w:rsidR="001A406B" w:rsidRPr="001A406B">
        <w:rPr>
          <w:noProof/>
        </w:rPr>
        <w:t>targets for 2030 and 2050</w:t>
      </w:r>
      <w:r w:rsidR="006A1852">
        <w:rPr>
          <w:noProof/>
        </w:rPr>
        <w:t xml:space="preserve">. The </w:t>
      </w:r>
      <w:r w:rsidR="001A406B">
        <w:rPr>
          <w:noProof/>
        </w:rPr>
        <w:t xml:space="preserve">CEEAG </w:t>
      </w:r>
      <w:r w:rsidR="00FF32E4">
        <w:rPr>
          <w:noProof/>
        </w:rPr>
        <w:t xml:space="preserve">entered </w:t>
      </w:r>
      <w:r w:rsidR="00500DD6" w:rsidRPr="00500DD6">
        <w:rPr>
          <w:noProof/>
        </w:rPr>
        <w:t>into force in January 2022</w:t>
      </w:r>
      <w:r w:rsidR="00500DD6" w:rsidRPr="00947B7D">
        <w:rPr>
          <w:rStyle w:val="FootnoteReference"/>
          <w:rFonts w:eastAsia="Times New Roman" w:cs="Times New Roman"/>
          <w:noProof/>
        </w:rPr>
        <w:footnoteReference w:id="27"/>
      </w:r>
      <w:r w:rsidR="008204FC" w:rsidRPr="00947B7D">
        <w:rPr>
          <w:rStyle w:val="FootnoteReference"/>
          <w:rFonts w:eastAsia="Times New Roman" w:cs="Times New Roman"/>
          <w:noProof/>
          <w:vertAlign w:val="baseline"/>
        </w:rPr>
        <w:t>.</w:t>
      </w:r>
      <w:r w:rsidR="00FC18B3">
        <w:rPr>
          <w:rStyle w:val="FootnoteReference"/>
          <w:rFonts w:eastAsia="Times New Roman" w:cs="Times New Roman"/>
          <w:noProof/>
          <w:vertAlign w:val="baseline"/>
        </w:rPr>
        <w:t xml:space="preserve"> </w:t>
      </w:r>
      <w:r w:rsidR="00FC18B3" w:rsidRPr="0075568B">
        <w:rPr>
          <w:rFonts w:eastAsia="Times New Roman" w:cs="Times New Roman"/>
          <w:noProof/>
        </w:rPr>
        <w:t xml:space="preserve">According to revised rules, more </w:t>
      </w:r>
      <w:r w:rsidR="008864C3">
        <w:rPr>
          <w:rFonts w:eastAsia="Times New Roman" w:cs="Times New Roman"/>
          <w:noProof/>
        </w:rPr>
        <w:t xml:space="preserve">State </w:t>
      </w:r>
      <w:r w:rsidR="00FC18B3" w:rsidRPr="0075568B">
        <w:rPr>
          <w:rFonts w:eastAsia="Times New Roman" w:cs="Times New Roman"/>
          <w:noProof/>
        </w:rPr>
        <w:t>aid will be considered compatible</w:t>
      </w:r>
      <w:r w:rsidR="008864C3">
        <w:rPr>
          <w:rFonts w:eastAsia="Times New Roman" w:cs="Times New Roman"/>
          <w:noProof/>
        </w:rPr>
        <w:t xml:space="preserve"> </w:t>
      </w:r>
      <w:r w:rsidR="00FC18B3" w:rsidRPr="0075568B">
        <w:rPr>
          <w:rFonts w:eastAsia="Times New Roman" w:cs="Times New Roman"/>
          <w:noProof/>
        </w:rPr>
        <w:t>than before.</w:t>
      </w:r>
    </w:p>
    <w:p w14:paraId="25E369CE" w14:textId="77777777" w:rsidR="61CB8887" w:rsidRPr="006900E2" w:rsidRDefault="009D447F">
      <w:pPr>
        <w:pStyle w:val="Heading4"/>
        <w:rPr>
          <w:i w:val="0"/>
          <w:iCs w:val="0"/>
          <w:noProof/>
        </w:rPr>
      </w:pPr>
      <w:r w:rsidRPr="00DB1492">
        <w:rPr>
          <w:noProof/>
        </w:rPr>
        <w:t>R</w:t>
      </w:r>
      <w:r w:rsidR="63B4AF89" w:rsidRPr="00DB1492">
        <w:rPr>
          <w:noProof/>
        </w:rPr>
        <w:t>evised IPCEI Communication</w:t>
      </w:r>
      <w:r w:rsidR="00B64403" w:rsidRPr="00D46266">
        <w:rPr>
          <w:noProof/>
        </w:rPr>
        <w:t xml:space="preserve"> adopted</w:t>
      </w:r>
    </w:p>
    <w:p w14:paraId="205ECB18" w14:textId="534DA8E6" w:rsidR="00C22634" w:rsidRPr="006900E2" w:rsidRDefault="00C22634" w:rsidP="006900E2">
      <w:pPr>
        <w:spacing w:after="120"/>
        <w:jc w:val="both"/>
        <w:rPr>
          <w:rFonts w:eastAsia="Times New Roman" w:cs="Times New Roman"/>
          <w:noProof/>
        </w:rPr>
      </w:pPr>
      <w:r>
        <w:rPr>
          <w:noProof/>
        </w:rPr>
        <w:t xml:space="preserve">Important Projects of Common European Interest (IPCEI) bring together knowledge, expertise, financial resources and economic actors throughout the </w:t>
      </w:r>
      <w:r w:rsidR="00484676">
        <w:rPr>
          <w:noProof/>
        </w:rPr>
        <w:t>E</w:t>
      </w:r>
      <w:r>
        <w:rPr>
          <w:noProof/>
        </w:rPr>
        <w:t xml:space="preserve">U </w:t>
      </w:r>
      <w:r w:rsidR="00374C8C">
        <w:rPr>
          <w:noProof/>
        </w:rPr>
        <w:t xml:space="preserve">with a view </w:t>
      </w:r>
      <w:r>
        <w:rPr>
          <w:noProof/>
        </w:rPr>
        <w:t xml:space="preserve">to </w:t>
      </w:r>
      <w:r w:rsidR="000C105D">
        <w:rPr>
          <w:noProof/>
        </w:rPr>
        <w:t>overcom</w:t>
      </w:r>
      <w:r w:rsidR="00C07119">
        <w:rPr>
          <w:noProof/>
        </w:rPr>
        <w:t>e</w:t>
      </w:r>
      <w:r w:rsidR="000C105D">
        <w:rPr>
          <w:noProof/>
        </w:rPr>
        <w:t xml:space="preserve"> </w:t>
      </w:r>
      <w:r w:rsidR="00F751C9">
        <w:rPr>
          <w:noProof/>
        </w:rPr>
        <w:t xml:space="preserve">important </w:t>
      </w:r>
      <w:r>
        <w:rPr>
          <w:noProof/>
        </w:rPr>
        <w:t xml:space="preserve">market </w:t>
      </w:r>
      <w:r w:rsidR="00C07119">
        <w:rPr>
          <w:noProof/>
        </w:rPr>
        <w:t xml:space="preserve">failures, </w:t>
      </w:r>
      <w:r>
        <w:rPr>
          <w:noProof/>
        </w:rPr>
        <w:t>systemic failures and societal challenges which could not otherwise be addressed</w:t>
      </w:r>
      <w:r w:rsidR="00D83FCE">
        <w:rPr>
          <w:noProof/>
        </w:rPr>
        <w:t>.</w:t>
      </w:r>
      <w:r w:rsidRPr="00C22634">
        <w:rPr>
          <w:noProof/>
        </w:rPr>
        <w:t xml:space="preserve"> </w:t>
      </w:r>
      <w:r w:rsidR="001D180E" w:rsidRPr="006E06D7">
        <w:rPr>
          <w:noProof/>
        </w:rPr>
        <w:t xml:space="preserve">They contribute to sustainable economic growth, jobs, competitiveness and </w:t>
      </w:r>
      <w:r w:rsidR="00D83FCE">
        <w:rPr>
          <w:noProof/>
        </w:rPr>
        <w:t>s</w:t>
      </w:r>
      <w:r w:rsidR="001D180E" w:rsidRPr="006E06D7">
        <w:rPr>
          <w:noProof/>
        </w:rPr>
        <w:t xml:space="preserve">trengthen </w:t>
      </w:r>
      <w:r w:rsidR="00D83FCE">
        <w:rPr>
          <w:noProof/>
        </w:rPr>
        <w:t xml:space="preserve">the </w:t>
      </w:r>
      <w:r w:rsidR="001D180E" w:rsidRPr="006E06D7">
        <w:rPr>
          <w:noProof/>
        </w:rPr>
        <w:t>open strategic autonomy</w:t>
      </w:r>
      <w:r w:rsidR="00D83FCE">
        <w:rPr>
          <w:noProof/>
        </w:rPr>
        <w:t xml:space="preserve"> of the EU</w:t>
      </w:r>
      <w:r w:rsidR="001D180E" w:rsidRPr="006E06D7">
        <w:rPr>
          <w:noProof/>
        </w:rPr>
        <w:t>.</w:t>
      </w:r>
      <w:r w:rsidRPr="00390830">
        <w:rPr>
          <w:noProof/>
        </w:rPr>
        <w:t xml:space="preserve"> </w:t>
      </w:r>
      <w:r w:rsidR="00427792" w:rsidRPr="00947B7D">
        <w:rPr>
          <w:rFonts w:eastAsia="Times New Roman" w:cs="Times New Roman"/>
          <w:noProof/>
        </w:rPr>
        <w:t xml:space="preserve">To avoid </w:t>
      </w:r>
      <w:r w:rsidR="00C07119">
        <w:rPr>
          <w:rFonts w:eastAsia="Times New Roman" w:cs="Times New Roman"/>
          <w:noProof/>
        </w:rPr>
        <w:t xml:space="preserve">that they distort </w:t>
      </w:r>
      <w:r w:rsidR="00427792" w:rsidRPr="00947B7D">
        <w:rPr>
          <w:rFonts w:eastAsia="Times New Roman" w:cs="Times New Roman"/>
          <w:noProof/>
        </w:rPr>
        <w:t xml:space="preserve">competition in the </w:t>
      </w:r>
      <w:r w:rsidR="006A1852" w:rsidRPr="00947B7D">
        <w:rPr>
          <w:rFonts w:eastAsia="Times New Roman" w:cs="Times New Roman"/>
          <w:noProof/>
        </w:rPr>
        <w:t>Single M</w:t>
      </w:r>
      <w:r w:rsidR="00427792" w:rsidRPr="00947B7D">
        <w:rPr>
          <w:rFonts w:eastAsia="Times New Roman" w:cs="Times New Roman"/>
          <w:noProof/>
        </w:rPr>
        <w:t>arket</w:t>
      </w:r>
      <w:r w:rsidR="00374C8C" w:rsidRPr="004155ED">
        <w:rPr>
          <w:rFonts w:eastAsia="Times New Roman" w:cs="Times New Roman"/>
          <w:noProof/>
        </w:rPr>
        <w:t>,</w:t>
      </w:r>
      <w:r w:rsidR="00427792" w:rsidRPr="004155ED">
        <w:rPr>
          <w:rFonts w:eastAsia="Times New Roman" w:cs="Times New Roman"/>
          <w:noProof/>
        </w:rPr>
        <w:t xml:space="preserve"> </w:t>
      </w:r>
      <w:r w:rsidR="00427792">
        <w:rPr>
          <w:noProof/>
        </w:rPr>
        <w:t>IPCEI</w:t>
      </w:r>
      <w:r w:rsidR="00F751C9">
        <w:rPr>
          <w:noProof/>
        </w:rPr>
        <w:t>s</w:t>
      </w:r>
      <w:r w:rsidR="00427792">
        <w:rPr>
          <w:noProof/>
        </w:rPr>
        <w:t xml:space="preserve"> require the approval of the Commission under </w:t>
      </w:r>
      <w:r w:rsidR="00374C8C">
        <w:rPr>
          <w:noProof/>
        </w:rPr>
        <w:t>the S</w:t>
      </w:r>
      <w:r w:rsidR="00427792">
        <w:rPr>
          <w:noProof/>
        </w:rPr>
        <w:t xml:space="preserve">tate aid rules. </w:t>
      </w:r>
      <w:r>
        <w:rPr>
          <w:noProof/>
        </w:rPr>
        <w:t>IPCEI</w:t>
      </w:r>
      <w:r w:rsidR="00F751C9">
        <w:rPr>
          <w:noProof/>
        </w:rPr>
        <w:t>s</w:t>
      </w:r>
      <w:r>
        <w:rPr>
          <w:noProof/>
        </w:rPr>
        <w:t xml:space="preserve"> enable </w:t>
      </w:r>
      <w:r w:rsidRPr="00947B7D">
        <w:rPr>
          <w:rFonts w:eastAsia="Times New Roman" w:cs="Times New Roman"/>
          <w:noProof/>
        </w:rPr>
        <w:t>breakthrough innovation</w:t>
      </w:r>
      <w:r w:rsidR="00374C8C" w:rsidRPr="00947B7D">
        <w:rPr>
          <w:rFonts w:eastAsia="Times New Roman" w:cs="Times New Roman"/>
          <w:noProof/>
        </w:rPr>
        <w:t>s</w:t>
      </w:r>
      <w:r w:rsidRPr="00947B7D">
        <w:rPr>
          <w:rFonts w:eastAsia="Times New Roman" w:cs="Times New Roman"/>
          <w:noProof/>
        </w:rPr>
        <w:t xml:space="preserve"> up to </w:t>
      </w:r>
      <w:r w:rsidR="00374C8C" w:rsidRPr="004155ED">
        <w:rPr>
          <w:rFonts w:eastAsia="Times New Roman" w:cs="Times New Roman"/>
          <w:noProof/>
        </w:rPr>
        <w:t xml:space="preserve">the </w:t>
      </w:r>
      <w:r w:rsidRPr="004155ED">
        <w:rPr>
          <w:rFonts w:eastAsia="Times New Roman" w:cs="Times New Roman"/>
          <w:noProof/>
        </w:rPr>
        <w:t xml:space="preserve">first industrial deployment and infrastructure investments </w:t>
      </w:r>
      <w:r w:rsidR="00F751C9" w:rsidRPr="004155ED">
        <w:rPr>
          <w:rFonts w:eastAsia="Times New Roman" w:cs="Times New Roman"/>
          <w:noProof/>
        </w:rPr>
        <w:t xml:space="preserve">of great importance </w:t>
      </w:r>
      <w:r w:rsidRPr="00062864">
        <w:rPr>
          <w:rFonts w:eastAsia="Times New Roman" w:cs="Times New Roman"/>
          <w:noProof/>
        </w:rPr>
        <w:t>where public intervention is necessary</w:t>
      </w:r>
      <w:r w:rsidR="00374C8C" w:rsidRPr="00062864">
        <w:rPr>
          <w:rFonts w:eastAsia="Times New Roman" w:cs="Times New Roman"/>
          <w:noProof/>
        </w:rPr>
        <w:t>.</w:t>
      </w:r>
      <w:r w:rsidR="00757258">
        <w:rPr>
          <w:rStyle w:val="FootnoteReference"/>
          <w:rFonts w:eastAsia="Times New Roman" w:cs="Times New Roman"/>
          <w:noProof/>
        </w:rPr>
        <w:footnoteReference w:id="28"/>
      </w:r>
      <w:r w:rsidR="00374C8C" w:rsidRPr="00062864">
        <w:rPr>
          <w:rFonts w:eastAsia="Times New Roman" w:cs="Times New Roman"/>
          <w:noProof/>
        </w:rPr>
        <w:t xml:space="preserve"> IPCEI</w:t>
      </w:r>
      <w:r w:rsidR="001A406B" w:rsidRPr="00062864">
        <w:rPr>
          <w:rFonts w:eastAsia="Times New Roman" w:cs="Times New Roman"/>
          <w:noProof/>
        </w:rPr>
        <w:t>s</w:t>
      </w:r>
      <w:r w:rsidR="00374C8C" w:rsidRPr="00373CE6">
        <w:rPr>
          <w:rFonts w:eastAsia="Times New Roman" w:cs="Times New Roman"/>
          <w:noProof/>
        </w:rPr>
        <w:t xml:space="preserve"> </w:t>
      </w:r>
      <w:r w:rsidR="003262CB" w:rsidRPr="00373CE6">
        <w:rPr>
          <w:rFonts w:eastAsia="Times New Roman" w:cs="Times New Roman"/>
          <w:noProof/>
        </w:rPr>
        <w:t xml:space="preserve">boost </w:t>
      </w:r>
      <w:r w:rsidR="003262CB" w:rsidRPr="005B1727">
        <w:rPr>
          <w:rFonts w:eastAsia="Times New Roman" w:cs="Times New Roman"/>
          <w:noProof/>
        </w:rPr>
        <w:t>entrepreneurship</w:t>
      </w:r>
      <w:r w:rsidR="00484676" w:rsidRPr="005B1727">
        <w:rPr>
          <w:rFonts w:eastAsia="Times New Roman" w:cs="Times New Roman"/>
          <w:noProof/>
        </w:rPr>
        <w:t xml:space="preserve"> </w:t>
      </w:r>
      <w:r w:rsidR="00D83FCE">
        <w:rPr>
          <w:rFonts w:eastAsia="Times New Roman" w:cs="Times New Roman"/>
          <w:noProof/>
        </w:rPr>
        <w:t xml:space="preserve">in the EU, </w:t>
      </w:r>
      <w:r w:rsidR="00484676" w:rsidRPr="005B1727">
        <w:rPr>
          <w:rFonts w:eastAsia="Times New Roman" w:cs="Times New Roman"/>
          <w:noProof/>
        </w:rPr>
        <w:t>facilitat</w:t>
      </w:r>
      <w:r w:rsidR="00D83FCE">
        <w:rPr>
          <w:rFonts w:eastAsia="Times New Roman" w:cs="Times New Roman"/>
          <w:noProof/>
        </w:rPr>
        <w:t xml:space="preserve">e </w:t>
      </w:r>
      <w:r w:rsidR="00202752" w:rsidRPr="005B1727">
        <w:rPr>
          <w:rFonts w:eastAsia="Times New Roman" w:cs="Times New Roman"/>
          <w:noProof/>
        </w:rPr>
        <w:t xml:space="preserve">the </w:t>
      </w:r>
      <w:r w:rsidR="00484676" w:rsidRPr="005B1727">
        <w:rPr>
          <w:rFonts w:eastAsia="Times New Roman" w:cs="Times New Roman"/>
          <w:noProof/>
        </w:rPr>
        <w:t xml:space="preserve">green and digital transitions </w:t>
      </w:r>
      <w:r w:rsidR="00D83FCE">
        <w:rPr>
          <w:rFonts w:eastAsia="Times New Roman" w:cs="Times New Roman"/>
          <w:noProof/>
        </w:rPr>
        <w:t xml:space="preserve">and increase the </w:t>
      </w:r>
      <w:r w:rsidR="00986A12" w:rsidRPr="0075568B">
        <w:rPr>
          <w:rFonts w:eastAsia="Times New Roman" w:cs="Times New Roman"/>
          <w:noProof/>
        </w:rPr>
        <w:t>resilie</w:t>
      </w:r>
      <w:r w:rsidR="000C19D8" w:rsidRPr="0075568B">
        <w:rPr>
          <w:rFonts w:eastAsia="Times New Roman" w:cs="Times New Roman"/>
          <w:noProof/>
        </w:rPr>
        <w:t xml:space="preserve">nce of the </w:t>
      </w:r>
      <w:r w:rsidR="00D83FCE">
        <w:rPr>
          <w:rFonts w:eastAsia="Times New Roman" w:cs="Times New Roman"/>
          <w:noProof/>
        </w:rPr>
        <w:t>S</w:t>
      </w:r>
      <w:r w:rsidR="000C19D8" w:rsidRPr="0075568B">
        <w:rPr>
          <w:rFonts w:eastAsia="Times New Roman" w:cs="Times New Roman"/>
          <w:noProof/>
        </w:rPr>
        <w:t xml:space="preserve">ingle </w:t>
      </w:r>
      <w:r w:rsidR="00D83FCE">
        <w:rPr>
          <w:rFonts w:eastAsia="Times New Roman" w:cs="Times New Roman"/>
          <w:noProof/>
        </w:rPr>
        <w:t>M</w:t>
      </w:r>
      <w:r w:rsidR="000C19D8" w:rsidRPr="0075568B">
        <w:rPr>
          <w:rFonts w:eastAsia="Times New Roman" w:cs="Times New Roman"/>
          <w:noProof/>
        </w:rPr>
        <w:t>arket</w:t>
      </w:r>
      <w:r w:rsidR="00D83FCE">
        <w:rPr>
          <w:rFonts w:eastAsia="Times New Roman" w:cs="Times New Roman"/>
          <w:noProof/>
        </w:rPr>
        <w:t>.</w:t>
      </w:r>
      <w:r w:rsidR="00E42CCE">
        <w:rPr>
          <w:rFonts w:eastAsia="Times New Roman" w:cs="Times New Roman"/>
          <w:noProof/>
        </w:rPr>
        <w:t xml:space="preserve"> </w:t>
      </w:r>
      <w:r w:rsidR="00202752" w:rsidRPr="00347CA6">
        <w:rPr>
          <w:rFonts w:eastAsia="Times New Roman" w:cs="Times New Roman"/>
          <w:noProof/>
        </w:rPr>
        <w:t xml:space="preserve">Following an evaluation and </w:t>
      </w:r>
      <w:r w:rsidR="00202752" w:rsidRPr="00347CA6">
        <w:rPr>
          <w:rFonts w:eastAsia="Times New Roman" w:cs="Times New Roman"/>
          <w:noProof/>
          <w:color w:val="000000" w:themeColor="text1"/>
        </w:rPr>
        <w:t>after an extensive consultation</w:t>
      </w:r>
      <w:r w:rsidR="00202752" w:rsidRPr="00947B7D">
        <w:rPr>
          <w:rStyle w:val="FootnoteReference"/>
          <w:rFonts w:eastAsia="Times New Roman" w:cs="Times New Roman"/>
          <w:noProof/>
          <w:color w:val="000000" w:themeColor="text1"/>
        </w:rPr>
        <w:footnoteReference w:id="29"/>
      </w:r>
      <w:r w:rsidR="00202752" w:rsidRPr="00947B7D">
        <w:rPr>
          <w:rFonts w:eastAsia="Times New Roman" w:cs="Times New Roman"/>
          <w:noProof/>
          <w:color w:val="000000" w:themeColor="text1"/>
        </w:rPr>
        <w:t xml:space="preserve"> of all interested parties on the proposed revised </w:t>
      </w:r>
      <w:r w:rsidR="00374C8C" w:rsidRPr="00947B7D">
        <w:rPr>
          <w:rFonts w:eastAsia="Times New Roman" w:cs="Times New Roman"/>
          <w:noProof/>
          <w:color w:val="000000" w:themeColor="text1"/>
        </w:rPr>
        <w:t>c</w:t>
      </w:r>
      <w:r w:rsidR="00202752" w:rsidRPr="00947B7D">
        <w:rPr>
          <w:rFonts w:eastAsia="Times New Roman" w:cs="Times New Roman"/>
          <w:noProof/>
          <w:color w:val="000000" w:themeColor="text1"/>
        </w:rPr>
        <w:t xml:space="preserve">ommunication, the Commission adopted a revised </w:t>
      </w:r>
      <w:hyperlink r:id="rId21" w:history="1">
        <w:r w:rsidR="005825FF" w:rsidRPr="00947B7D">
          <w:rPr>
            <w:rFonts w:eastAsia="Times New Roman" w:cs="Times New Roman"/>
            <w:noProof/>
            <w:color w:val="000000" w:themeColor="text1"/>
          </w:rPr>
          <w:t>Communication on State aid rules for Important Projects of Common European Interest</w:t>
        </w:r>
      </w:hyperlink>
      <w:r w:rsidR="005825FF" w:rsidRPr="008036A9">
        <w:rPr>
          <w:noProof/>
          <w:color w:val="000000" w:themeColor="text1"/>
        </w:rPr>
        <w:t xml:space="preserve"> (IPCEI Communication)</w:t>
      </w:r>
      <w:r w:rsidR="00202752" w:rsidRPr="00947B7D">
        <w:rPr>
          <w:rStyle w:val="FootnoteReference"/>
          <w:rFonts w:eastAsia="Times New Roman" w:cs="Times New Roman"/>
          <w:noProof/>
          <w:color w:val="000000" w:themeColor="text1"/>
        </w:rPr>
        <w:footnoteReference w:id="30"/>
      </w:r>
      <w:r w:rsidR="00202752" w:rsidRPr="00947B7D">
        <w:rPr>
          <w:rFonts w:eastAsia="Times New Roman" w:cs="Times New Roman"/>
          <w:noProof/>
          <w:color w:val="000000" w:themeColor="text1"/>
        </w:rPr>
        <w:t xml:space="preserve"> in November 2021. The</w:t>
      </w:r>
      <w:r w:rsidRPr="008036A9">
        <w:rPr>
          <w:noProof/>
          <w:color w:val="000000" w:themeColor="text1"/>
        </w:rPr>
        <w:t xml:space="preserve"> </w:t>
      </w:r>
      <w:r>
        <w:rPr>
          <w:noProof/>
        </w:rPr>
        <w:t>revised IPCEI Communication appl</w:t>
      </w:r>
      <w:r w:rsidR="005825FF">
        <w:rPr>
          <w:noProof/>
        </w:rPr>
        <w:t xml:space="preserve">ies as of </w:t>
      </w:r>
      <w:r>
        <w:rPr>
          <w:noProof/>
        </w:rPr>
        <w:t xml:space="preserve">1 January 2022. </w:t>
      </w:r>
    </w:p>
    <w:tbl>
      <w:tblPr>
        <w:tblStyle w:val="TableGrid"/>
        <w:tblW w:w="0" w:type="auto"/>
        <w:tblLook w:val="04A0" w:firstRow="1" w:lastRow="0" w:firstColumn="1" w:lastColumn="0" w:noHBand="0" w:noVBand="1"/>
      </w:tblPr>
      <w:tblGrid>
        <w:gridCol w:w="9288"/>
      </w:tblGrid>
      <w:tr w:rsidR="00427792" w:rsidRPr="00542D19" w14:paraId="34E005C5" w14:textId="77777777" w:rsidTr="158881C6">
        <w:tc>
          <w:tcPr>
            <w:tcW w:w="9288" w:type="dxa"/>
          </w:tcPr>
          <w:p w14:paraId="6FA22797" w14:textId="77777777" w:rsidR="00427792" w:rsidRPr="006900E2" w:rsidRDefault="00427792" w:rsidP="006900E2">
            <w:pPr>
              <w:spacing w:after="60"/>
              <w:rPr>
                <w:b/>
                <w:bCs/>
                <w:noProof/>
                <w:sz w:val="22"/>
              </w:rPr>
            </w:pPr>
            <w:r w:rsidRPr="006D6A86">
              <w:rPr>
                <w:b/>
                <w:bCs/>
                <w:noProof/>
                <w:color w:val="0070C0"/>
                <w:sz w:val="22"/>
              </w:rPr>
              <w:t xml:space="preserve">Communication on State aid rules for Important Projects of Common European Interest </w:t>
            </w:r>
          </w:p>
          <w:p w14:paraId="3AD5BDD2" w14:textId="77777777" w:rsidR="00427792" w:rsidRPr="006900E2" w:rsidRDefault="00427792">
            <w:pPr>
              <w:jc w:val="both"/>
              <w:rPr>
                <w:noProof/>
                <w:color w:val="0070C0"/>
                <w:sz w:val="22"/>
              </w:rPr>
            </w:pPr>
            <w:r w:rsidRPr="158881C6">
              <w:rPr>
                <w:rFonts w:eastAsia="Times New Roman" w:cs="Times New Roman"/>
                <w:noProof/>
                <w:color w:val="0070C0"/>
                <w:sz w:val="22"/>
              </w:rPr>
              <w:t xml:space="preserve">The updated Communication </w:t>
            </w:r>
            <w:r w:rsidR="006A1852" w:rsidRPr="158881C6">
              <w:rPr>
                <w:rFonts w:eastAsia="Times New Roman" w:cs="Times New Roman"/>
                <w:noProof/>
                <w:color w:val="0070C0"/>
                <w:sz w:val="22"/>
              </w:rPr>
              <w:t>widens</w:t>
            </w:r>
            <w:r w:rsidRPr="158881C6">
              <w:rPr>
                <w:rFonts w:eastAsia="Times New Roman" w:cs="Times New Roman"/>
                <w:noProof/>
                <w:color w:val="0070C0"/>
                <w:sz w:val="22"/>
              </w:rPr>
              <w:t xml:space="preserve"> the </w:t>
            </w:r>
            <w:r w:rsidR="00374C8C" w:rsidRPr="158881C6">
              <w:rPr>
                <w:rFonts w:eastAsia="Times New Roman" w:cs="Times New Roman"/>
                <w:noProof/>
                <w:color w:val="0070C0"/>
                <w:sz w:val="22"/>
              </w:rPr>
              <w:t xml:space="preserve">EU </w:t>
            </w:r>
            <w:r w:rsidRPr="158881C6">
              <w:rPr>
                <w:rFonts w:eastAsia="Times New Roman" w:cs="Times New Roman"/>
                <w:noProof/>
                <w:color w:val="0070C0"/>
                <w:sz w:val="22"/>
              </w:rPr>
              <w:t>scope and transparent character of IPCEI</w:t>
            </w:r>
            <w:r w:rsidR="0029231E" w:rsidRPr="158881C6">
              <w:rPr>
                <w:rFonts w:eastAsia="Times New Roman" w:cs="Times New Roman"/>
                <w:noProof/>
                <w:color w:val="0070C0"/>
                <w:sz w:val="22"/>
              </w:rPr>
              <w:t>s</w:t>
            </w:r>
            <w:r w:rsidRPr="158881C6">
              <w:rPr>
                <w:rFonts w:eastAsia="Times New Roman" w:cs="Times New Roman"/>
                <w:noProof/>
                <w:color w:val="0070C0"/>
                <w:sz w:val="22"/>
              </w:rPr>
              <w:t xml:space="preserve"> by stipulating that IPCEI</w:t>
            </w:r>
            <w:r w:rsidR="0029231E" w:rsidRPr="158881C6">
              <w:rPr>
                <w:rFonts w:eastAsia="Times New Roman" w:cs="Times New Roman"/>
                <w:noProof/>
                <w:color w:val="0070C0"/>
                <w:sz w:val="22"/>
              </w:rPr>
              <w:t>s</w:t>
            </w:r>
            <w:r w:rsidRPr="158881C6">
              <w:rPr>
                <w:rFonts w:eastAsia="Times New Roman" w:cs="Times New Roman"/>
                <w:noProof/>
                <w:color w:val="0070C0"/>
                <w:sz w:val="22"/>
              </w:rPr>
              <w:t xml:space="preserve"> must </w:t>
            </w:r>
            <w:r w:rsidR="0029231E" w:rsidRPr="158881C6">
              <w:rPr>
                <w:rFonts w:eastAsia="Times New Roman" w:cs="Times New Roman"/>
                <w:noProof/>
                <w:color w:val="0070C0"/>
                <w:sz w:val="22"/>
              </w:rPr>
              <w:t xml:space="preserve">normally </w:t>
            </w:r>
            <w:r w:rsidRPr="158881C6">
              <w:rPr>
                <w:rFonts w:eastAsia="Times New Roman" w:cs="Times New Roman"/>
                <w:noProof/>
                <w:color w:val="0070C0"/>
                <w:sz w:val="22"/>
              </w:rPr>
              <w:t xml:space="preserve">involve at least four Member States. Moreover, IPCEIs must be designed in a transparent and inclusive manner. </w:t>
            </w:r>
            <w:r w:rsidR="006A1852" w:rsidRPr="158881C6">
              <w:rPr>
                <w:rFonts w:eastAsia="Times New Roman" w:cs="Times New Roman"/>
                <w:noProof/>
                <w:color w:val="0070C0"/>
                <w:sz w:val="22"/>
              </w:rPr>
              <w:t>T</w:t>
            </w:r>
            <w:r w:rsidRPr="158881C6">
              <w:rPr>
                <w:rFonts w:eastAsia="Times New Roman" w:cs="Times New Roman"/>
                <w:noProof/>
                <w:color w:val="0070C0"/>
                <w:sz w:val="22"/>
              </w:rPr>
              <w:t>he revised Communication facilitates the participation of SMEs in IPCEI</w:t>
            </w:r>
            <w:r w:rsidR="00002ECB" w:rsidRPr="158881C6">
              <w:rPr>
                <w:rFonts w:eastAsia="Times New Roman" w:cs="Times New Roman"/>
                <w:noProof/>
                <w:color w:val="0070C0"/>
                <w:sz w:val="22"/>
              </w:rPr>
              <w:t>s</w:t>
            </w:r>
            <w:r w:rsidRPr="158881C6">
              <w:rPr>
                <w:rFonts w:eastAsia="Times New Roman" w:cs="Times New Roman"/>
                <w:noProof/>
                <w:color w:val="0070C0"/>
                <w:sz w:val="22"/>
              </w:rPr>
              <w:t xml:space="preserve"> and enhances the benefits of their involvement. The 2021 IPCEI Communication aligns its objectives with current EU priorities. To support the environmental strategies of the EU and to accelerate the green transition, the revised IPCEI Communication requires Member States to provide evidence of compliance of the notified projects with the ‘do no significant harm' principle. </w:t>
            </w:r>
            <w:r w:rsidR="006A1852" w:rsidRPr="158881C6">
              <w:rPr>
                <w:rFonts w:eastAsia="Times New Roman" w:cs="Times New Roman"/>
                <w:noProof/>
                <w:color w:val="0070C0"/>
                <w:sz w:val="22"/>
              </w:rPr>
              <w:t>In addition</w:t>
            </w:r>
            <w:r w:rsidRPr="158881C6">
              <w:rPr>
                <w:rFonts w:eastAsia="Times New Roman" w:cs="Times New Roman"/>
                <w:noProof/>
                <w:color w:val="0070C0"/>
                <w:sz w:val="22"/>
              </w:rPr>
              <w:t xml:space="preserve">, </w:t>
            </w:r>
            <w:r w:rsidR="00374C8C" w:rsidRPr="158881C6">
              <w:rPr>
                <w:rFonts w:eastAsia="Times New Roman" w:cs="Times New Roman"/>
                <w:noProof/>
                <w:color w:val="0070C0"/>
                <w:sz w:val="22"/>
              </w:rPr>
              <w:t>the Communication</w:t>
            </w:r>
            <w:r w:rsidRPr="158881C6">
              <w:rPr>
                <w:rFonts w:eastAsia="Times New Roman" w:cs="Times New Roman"/>
                <w:noProof/>
                <w:color w:val="0070C0"/>
                <w:sz w:val="22"/>
              </w:rPr>
              <w:t xml:space="preserve"> clarifies the criteria </w:t>
            </w:r>
            <w:r w:rsidR="006A1852" w:rsidRPr="158881C6">
              <w:rPr>
                <w:rFonts w:eastAsia="Times New Roman" w:cs="Times New Roman"/>
                <w:noProof/>
                <w:color w:val="0070C0"/>
                <w:sz w:val="22"/>
              </w:rPr>
              <w:t xml:space="preserve">to be used when </w:t>
            </w:r>
            <w:r w:rsidRPr="158881C6">
              <w:rPr>
                <w:rFonts w:eastAsia="Times New Roman" w:cs="Times New Roman"/>
                <w:noProof/>
                <w:color w:val="0070C0"/>
                <w:sz w:val="22"/>
              </w:rPr>
              <w:t>combin</w:t>
            </w:r>
            <w:r w:rsidR="006A1852" w:rsidRPr="158881C6">
              <w:rPr>
                <w:rFonts w:eastAsia="Times New Roman" w:cs="Times New Roman"/>
                <w:noProof/>
                <w:color w:val="0070C0"/>
                <w:sz w:val="22"/>
              </w:rPr>
              <w:t xml:space="preserve">ing </w:t>
            </w:r>
            <w:r w:rsidRPr="158881C6">
              <w:rPr>
                <w:rFonts w:eastAsia="Times New Roman" w:cs="Times New Roman"/>
                <w:noProof/>
                <w:color w:val="0070C0"/>
                <w:sz w:val="22"/>
              </w:rPr>
              <w:t>EU and national funds.</w:t>
            </w:r>
          </w:p>
        </w:tc>
      </w:tr>
    </w:tbl>
    <w:p w14:paraId="114A204D" w14:textId="77777777" w:rsidR="005E3767" w:rsidRPr="00DB1492" w:rsidRDefault="005E3767" w:rsidP="00F42E78">
      <w:pPr>
        <w:pStyle w:val="Heading4"/>
        <w:spacing w:before="200"/>
        <w:rPr>
          <w:noProof/>
        </w:rPr>
      </w:pPr>
      <w:r w:rsidRPr="00DB1492">
        <w:rPr>
          <w:noProof/>
        </w:rPr>
        <w:t>Public consultation on the State aid Framework for research, development and innovation</w:t>
      </w:r>
    </w:p>
    <w:p w14:paraId="63C5D342" w14:textId="21B3DD83" w:rsidR="005E3767" w:rsidRDefault="005E3767" w:rsidP="005E3767">
      <w:pPr>
        <w:jc w:val="both"/>
        <w:rPr>
          <w:rFonts w:eastAsia="Times New Roman" w:cs="Times New Roman"/>
          <w:noProof/>
          <w:szCs w:val="24"/>
        </w:rPr>
      </w:pPr>
      <w:r w:rsidRPr="00947B7D">
        <w:rPr>
          <w:rFonts w:eastAsia="Times New Roman" w:cs="Times New Roman"/>
          <w:noProof/>
          <w:color w:val="000000" w:themeColor="text1"/>
        </w:rPr>
        <w:t>The State aid Framework for research, development and innovation (the RDI Framework)</w:t>
      </w:r>
      <w:r w:rsidRPr="00947B7D">
        <w:rPr>
          <w:rStyle w:val="FootnoteReference"/>
          <w:rFonts w:eastAsia="Times New Roman" w:cs="Times New Roman"/>
          <w:noProof/>
          <w:color w:val="000000" w:themeColor="text1"/>
        </w:rPr>
        <w:footnoteReference w:id="31"/>
      </w:r>
      <w:r w:rsidRPr="00947B7D">
        <w:rPr>
          <w:rFonts w:eastAsia="Times New Roman" w:cs="Times New Roman"/>
          <w:noProof/>
          <w:color w:val="000000" w:themeColor="text1"/>
        </w:rPr>
        <w:t xml:space="preserve"> </w:t>
      </w:r>
      <w:r w:rsidR="0029231E" w:rsidRPr="004155ED">
        <w:rPr>
          <w:rFonts w:eastAsia="Times New Roman" w:cs="Times New Roman"/>
          <w:noProof/>
          <w:color w:val="000000" w:themeColor="text1"/>
        </w:rPr>
        <w:t xml:space="preserve">incentivises risky </w:t>
      </w:r>
      <w:r w:rsidRPr="004155ED">
        <w:rPr>
          <w:rFonts w:eastAsia="Times New Roman" w:cs="Times New Roman"/>
          <w:noProof/>
          <w:color w:val="000000" w:themeColor="text1"/>
        </w:rPr>
        <w:t xml:space="preserve">research, development and innovation (RDI) activities, which would not occur in the absence of public support. </w:t>
      </w:r>
      <w:r w:rsidR="00002ECB" w:rsidRPr="00062864">
        <w:rPr>
          <w:rFonts w:eastAsia="Times New Roman" w:cs="Times New Roman"/>
          <w:noProof/>
          <w:color w:val="000000" w:themeColor="text1"/>
        </w:rPr>
        <w:t>The Commission launched a public consultation in April 2021 with a view to simplify the existing State aid Framework</w:t>
      </w:r>
      <w:r w:rsidR="00002ECB" w:rsidRPr="00947B7D">
        <w:rPr>
          <w:rStyle w:val="FootnoteReference"/>
          <w:rFonts w:eastAsia="Times New Roman" w:cs="Times New Roman"/>
          <w:noProof/>
        </w:rPr>
        <w:footnoteReference w:id="32"/>
      </w:r>
      <w:r w:rsidR="00002ECB" w:rsidRPr="00947B7D">
        <w:rPr>
          <w:rFonts w:eastAsia="Times New Roman" w:cs="Times New Roman"/>
          <w:noProof/>
          <w:color w:val="000000" w:themeColor="text1"/>
        </w:rPr>
        <w:t>.</w:t>
      </w:r>
      <w:r w:rsidR="00002ECB" w:rsidRPr="00002ECB">
        <w:rPr>
          <w:noProof/>
        </w:rPr>
        <w:t xml:space="preserve"> </w:t>
      </w:r>
      <w:r w:rsidR="00002ECB" w:rsidRPr="00947B7D">
        <w:rPr>
          <w:rFonts w:eastAsia="Times New Roman" w:cs="Times New Roman"/>
          <w:noProof/>
          <w:color w:val="000000" w:themeColor="text1"/>
        </w:rPr>
        <w:t xml:space="preserve">The objective is to make it easier for Member States to support research, development and innovation, including </w:t>
      </w:r>
      <w:r w:rsidR="00C07119">
        <w:rPr>
          <w:rFonts w:eastAsia="Times New Roman" w:cs="Times New Roman"/>
          <w:noProof/>
          <w:color w:val="000000" w:themeColor="text1"/>
        </w:rPr>
        <w:t>for</w:t>
      </w:r>
      <w:r w:rsidR="00002ECB" w:rsidRPr="00947B7D">
        <w:rPr>
          <w:rFonts w:eastAsia="Times New Roman" w:cs="Times New Roman"/>
          <w:noProof/>
          <w:color w:val="000000" w:themeColor="text1"/>
        </w:rPr>
        <w:t xml:space="preserve"> SMEs</w:t>
      </w:r>
      <w:r w:rsidR="001D180E">
        <w:rPr>
          <w:rFonts w:eastAsia="Times New Roman" w:cs="Times New Roman"/>
          <w:noProof/>
          <w:color w:val="000000" w:themeColor="text1"/>
        </w:rPr>
        <w:t xml:space="preserve"> and innovation clusters</w:t>
      </w:r>
      <w:r w:rsidR="00002ECB" w:rsidRPr="00947B7D">
        <w:rPr>
          <w:rFonts w:eastAsia="Times New Roman" w:cs="Times New Roman"/>
          <w:noProof/>
          <w:color w:val="000000" w:themeColor="text1"/>
        </w:rPr>
        <w:t>, while ensuring that possible competition distortions are kept to the minimum as well as providing the right incentives to enable the green and digital transit</w:t>
      </w:r>
      <w:r w:rsidR="00002ECB" w:rsidRPr="004155ED">
        <w:rPr>
          <w:rFonts w:eastAsia="Times New Roman" w:cs="Times New Roman"/>
          <w:noProof/>
          <w:color w:val="000000" w:themeColor="text1"/>
        </w:rPr>
        <w:t>ion of the EU.</w:t>
      </w:r>
      <w:r w:rsidR="009E7AAB">
        <w:rPr>
          <w:rFonts w:eastAsia="Times New Roman" w:cs="Times New Roman"/>
          <w:noProof/>
          <w:color w:val="000000" w:themeColor="text1"/>
        </w:rPr>
        <w:t xml:space="preserve"> </w:t>
      </w:r>
      <w:r w:rsidR="009E7AAB" w:rsidRPr="009E7AAB">
        <w:rPr>
          <w:rFonts w:eastAsia="Times New Roman" w:cs="Times New Roman"/>
          <w:noProof/>
          <w:color w:val="000000" w:themeColor="text1"/>
        </w:rPr>
        <w:t xml:space="preserve">Following the public consultation and the contributions received, the Commission </w:t>
      </w:r>
      <w:r w:rsidR="00C07119">
        <w:rPr>
          <w:rFonts w:eastAsia="Times New Roman" w:cs="Times New Roman"/>
          <w:noProof/>
          <w:color w:val="000000" w:themeColor="text1"/>
        </w:rPr>
        <w:t>continues</w:t>
      </w:r>
      <w:r w:rsidR="009E7AAB" w:rsidRPr="009E7AAB">
        <w:rPr>
          <w:rFonts w:eastAsia="Times New Roman" w:cs="Times New Roman"/>
          <w:noProof/>
          <w:color w:val="000000" w:themeColor="text1"/>
        </w:rPr>
        <w:t xml:space="preserve"> its reflection</w:t>
      </w:r>
      <w:r w:rsidR="00C07119">
        <w:rPr>
          <w:rFonts w:eastAsia="Times New Roman" w:cs="Times New Roman"/>
          <w:noProof/>
          <w:color w:val="000000" w:themeColor="text1"/>
        </w:rPr>
        <w:t>s</w:t>
      </w:r>
      <w:r w:rsidR="009E7AAB" w:rsidRPr="009E7AAB">
        <w:rPr>
          <w:rFonts w:eastAsia="Times New Roman" w:cs="Times New Roman"/>
          <w:noProof/>
          <w:color w:val="000000" w:themeColor="text1"/>
        </w:rPr>
        <w:t xml:space="preserve"> </w:t>
      </w:r>
      <w:r w:rsidR="001D180E">
        <w:rPr>
          <w:rFonts w:eastAsia="Times New Roman" w:cs="Times New Roman"/>
          <w:noProof/>
          <w:color w:val="000000" w:themeColor="text1"/>
        </w:rPr>
        <w:t xml:space="preserve">on </w:t>
      </w:r>
      <w:r w:rsidR="00C07119">
        <w:rPr>
          <w:rFonts w:eastAsia="Times New Roman" w:cs="Times New Roman"/>
          <w:noProof/>
          <w:color w:val="000000" w:themeColor="text1"/>
        </w:rPr>
        <w:t xml:space="preserve">how </w:t>
      </w:r>
      <w:r w:rsidR="009E7AAB" w:rsidRPr="009E7AAB">
        <w:rPr>
          <w:rFonts w:eastAsia="Times New Roman" w:cs="Times New Roman"/>
          <w:noProof/>
          <w:color w:val="000000" w:themeColor="text1"/>
        </w:rPr>
        <w:t xml:space="preserve">to modernise </w:t>
      </w:r>
      <w:r w:rsidR="00EF4E62" w:rsidRPr="009E7AAB">
        <w:rPr>
          <w:rFonts w:eastAsia="Times New Roman" w:cs="Times New Roman"/>
          <w:noProof/>
          <w:color w:val="000000" w:themeColor="text1"/>
        </w:rPr>
        <w:t>the RDI Framework</w:t>
      </w:r>
      <w:r w:rsidR="00EF4E62">
        <w:rPr>
          <w:rFonts w:eastAsia="Times New Roman" w:cs="Times New Roman"/>
          <w:noProof/>
          <w:color w:val="000000" w:themeColor="text1"/>
        </w:rPr>
        <w:t xml:space="preserve"> </w:t>
      </w:r>
      <w:r w:rsidR="009E7AAB" w:rsidRPr="009E7AAB">
        <w:rPr>
          <w:rFonts w:eastAsia="Times New Roman" w:cs="Times New Roman"/>
          <w:noProof/>
          <w:color w:val="000000" w:themeColor="text1"/>
        </w:rPr>
        <w:t xml:space="preserve">and </w:t>
      </w:r>
      <w:r w:rsidR="00C07119">
        <w:rPr>
          <w:rFonts w:eastAsia="Times New Roman" w:cs="Times New Roman"/>
          <w:noProof/>
          <w:color w:val="000000" w:themeColor="text1"/>
        </w:rPr>
        <w:t xml:space="preserve">make </w:t>
      </w:r>
      <w:r w:rsidR="00EF4E62">
        <w:rPr>
          <w:rFonts w:eastAsia="Times New Roman" w:cs="Times New Roman"/>
          <w:noProof/>
          <w:color w:val="000000" w:themeColor="text1"/>
        </w:rPr>
        <w:t xml:space="preserve">it </w:t>
      </w:r>
      <w:r w:rsidR="00C07119">
        <w:rPr>
          <w:rFonts w:eastAsia="Times New Roman" w:cs="Times New Roman"/>
          <w:noProof/>
          <w:color w:val="000000" w:themeColor="text1"/>
        </w:rPr>
        <w:t>future proof</w:t>
      </w:r>
      <w:r w:rsidR="00EF4E62">
        <w:rPr>
          <w:rFonts w:eastAsia="Times New Roman" w:cs="Times New Roman"/>
          <w:noProof/>
          <w:color w:val="000000" w:themeColor="text1"/>
        </w:rPr>
        <w:t>. G</w:t>
      </w:r>
      <w:r w:rsidR="00EF4E62" w:rsidRPr="009E7AAB">
        <w:rPr>
          <w:rFonts w:eastAsia="Times New Roman" w:cs="Times New Roman"/>
          <w:noProof/>
          <w:color w:val="000000" w:themeColor="text1"/>
        </w:rPr>
        <w:t>iven the</w:t>
      </w:r>
      <w:r w:rsidR="00EF4E62">
        <w:rPr>
          <w:rFonts w:eastAsia="Times New Roman" w:cs="Times New Roman"/>
          <w:noProof/>
          <w:color w:val="000000" w:themeColor="text1"/>
        </w:rPr>
        <w:t xml:space="preserve"> importance of the </w:t>
      </w:r>
      <w:r w:rsidR="00EF4E62" w:rsidRPr="009E7AAB">
        <w:rPr>
          <w:rFonts w:eastAsia="Times New Roman" w:cs="Times New Roman"/>
          <w:noProof/>
          <w:color w:val="000000" w:themeColor="text1"/>
        </w:rPr>
        <w:t>green and digital transition</w:t>
      </w:r>
      <w:r w:rsidR="00EF4E62">
        <w:rPr>
          <w:rFonts w:eastAsia="Times New Roman" w:cs="Times New Roman"/>
          <w:noProof/>
          <w:color w:val="000000" w:themeColor="text1"/>
        </w:rPr>
        <w:t>s</w:t>
      </w:r>
      <w:r w:rsidR="000C19D8">
        <w:rPr>
          <w:rFonts w:eastAsia="Times New Roman" w:cs="Times New Roman"/>
          <w:noProof/>
          <w:color w:val="000000" w:themeColor="text1"/>
        </w:rPr>
        <w:t xml:space="preserve"> and </w:t>
      </w:r>
      <w:r w:rsidR="000C19D8" w:rsidRPr="00390830">
        <w:rPr>
          <w:rFonts w:eastAsia="Times New Roman" w:cs="Times New Roman"/>
          <w:noProof/>
        </w:rPr>
        <w:t xml:space="preserve">the </w:t>
      </w:r>
      <w:r w:rsidR="00214E12" w:rsidRPr="00390830">
        <w:rPr>
          <w:rFonts w:eastAsia="Times New Roman" w:cs="Times New Roman"/>
          <w:noProof/>
        </w:rPr>
        <w:t>resilience</w:t>
      </w:r>
      <w:r w:rsidR="000C19D8" w:rsidRPr="00390830">
        <w:rPr>
          <w:rFonts w:eastAsia="Times New Roman" w:cs="Times New Roman"/>
          <w:noProof/>
        </w:rPr>
        <w:t xml:space="preserve"> of the </w:t>
      </w:r>
      <w:r w:rsidR="00D361FB" w:rsidRPr="00390830">
        <w:rPr>
          <w:rFonts w:eastAsia="Times New Roman" w:cs="Times New Roman"/>
          <w:noProof/>
        </w:rPr>
        <w:t>S</w:t>
      </w:r>
      <w:r w:rsidR="000C19D8" w:rsidRPr="00390830">
        <w:rPr>
          <w:rFonts w:eastAsia="Times New Roman" w:cs="Times New Roman"/>
          <w:noProof/>
        </w:rPr>
        <w:t xml:space="preserve">ingle </w:t>
      </w:r>
      <w:r w:rsidR="00D361FB" w:rsidRPr="00390830">
        <w:rPr>
          <w:rFonts w:eastAsia="Times New Roman" w:cs="Times New Roman"/>
          <w:noProof/>
        </w:rPr>
        <w:t>M</w:t>
      </w:r>
      <w:r w:rsidR="000C19D8" w:rsidRPr="00390830">
        <w:rPr>
          <w:rFonts w:eastAsia="Times New Roman" w:cs="Times New Roman"/>
          <w:noProof/>
        </w:rPr>
        <w:t>arket</w:t>
      </w:r>
      <w:r w:rsidR="00EF4E62">
        <w:rPr>
          <w:rFonts w:eastAsia="Times New Roman" w:cs="Times New Roman"/>
          <w:noProof/>
          <w:color w:val="000000" w:themeColor="text1"/>
        </w:rPr>
        <w:t xml:space="preserve">, </w:t>
      </w:r>
      <w:r w:rsidR="00D361FB">
        <w:rPr>
          <w:rFonts w:eastAsia="Times New Roman" w:cs="Times New Roman"/>
          <w:noProof/>
          <w:color w:val="000000" w:themeColor="text1"/>
        </w:rPr>
        <w:t xml:space="preserve">these reflections </w:t>
      </w:r>
      <w:r w:rsidR="00AD61AC">
        <w:rPr>
          <w:rFonts w:eastAsia="Times New Roman" w:cs="Times New Roman"/>
          <w:noProof/>
          <w:color w:val="000000" w:themeColor="text1"/>
        </w:rPr>
        <w:t xml:space="preserve">on RDI Framework modernisation </w:t>
      </w:r>
      <w:r w:rsidR="00EF4E62">
        <w:rPr>
          <w:rFonts w:eastAsia="Times New Roman" w:cs="Times New Roman"/>
          <w:noProof/>
          <w:color w:val="000000" w:themeColor="text1"/>
        </w:rPr>
        <w:t>include for example</w:t>
      </w:r>
      <w:r w:rsidR="009E7AAB" w:rsidRPr="009E7AAB">
        <w:rPr>
          <w:rFonts w:eastAsia="Times New Roman" w:cs="Times New Roman"/>
          <w:noProof/>
          <w:color w:val="000000" w:themeColor="text1"/>
        </w:rPr>
        <w:t xml:space="preserve"> areas such as testing and experim</w:t>
      </w:r>
      <w:r w:rsidR="00EF4E62">
        <w:rPr>
          <w:rFonts w:eastAsia="Times New Roman" w:cs="Times New Roman"/>
          <w:noProof/>
          <w:color w:val="000000" w:themeColor="text1"/>
        </w:rPr>
        <w:t>e</w:t>
      </w:r>
      <w:r w:rsidR="009E7AAB" w:rsidRPr="009E7AAB">
        <w:rPr>
          <w:rFonts w:eastAsia="Times New Roman" w:cs="Times New Roman"/>
          <w:noProof/>
          <w:color w:val="000000" w:themeColor="text1"/>
        </w:rPr>
        <w:t>nt</w:t>
      </w:r>
      <w:r w:rsidR="00EF4E62">
        <w:rPr>
          <w:rFonts w:eastAsia="Times New Roman" w:cs="Times New Roman"/>
          <w:noProof/>
          <w:color w:val="000000" w:themeColor="text1"/>
        </w:rPr>
        <w:t xml:space="preserve">ing </w:t>
      </w:r>
      <w:r w:rsidR="009E7AAB" w:rsidRPr="009E7AAB">
        <w:rPr>
          <w:rFonts w:eastAsia="Times New Roman" w:cs="Times New Roman"/>
          <w:noProof/>
          <w:color w:val="000000" w:themeColor="text1"/>
        </w:rPr>
        <w:t>infrastructure</w:t>
      </w:r>
      <w:r w:rsidR="00EF4E62">
        <w:rPr>
          <w:rFonts w:eastAsia="Times New Roman" w:cs="Times New Roman"/>
          <w:noProof/>
          <w:color w:val="000000" w:themeColor="text1"/>
        </w:rPr>
        <w:t xml:space="preserve"> as well as d</w:t>
      </w:r>
      <w:r w:rsidR="009E7AAB" w:rsidRPr="009E7AAB">
        <w:rPr>
          <w:rFonts w:eastAsia="Times New Roman" w:cs="Times New Roman"/>
          <w:noProof/>
          <w:color w:val="000000" w:themeColor="text1"/>
        </w:rPr>
        <w:t xml:space="preserve">eveloping and delivering breakthrough technologies. </w:t>
      </w:r>
      <w:r w:rsidR="00EF4E62">
        <w:rPr>
          <w:rFonts w:eastAsia="Times New Roman" w:cs="Times New Roman"/>
          <w:noProof/>
          <w:color w:val="000000" w:themeColor="text1"/>
        </w:rPr>
        <w:t xml:space="preserve">The Commission </w:t>
      </w:r>
      <w:r w:rsidR="009E7AAB" w:rsidRPr="009E7AAB">
        <w:rPr>
          <w:rFonts w:eastAsia="Times New Roman" w:cs="Times New Roman"/>
          <w:noProof/>
          <w:color w:val="000000" w:themeColor="text1"/>
        </w:rPr>
        <w:t>expect</w:t>
      </w:r>
      <w:r w:rsidR="00EF4E62">
        <w:rPr>
          <w:rFonts w:eastAsia="Times New Roman" w:cs="Times New Roman"/>
          <w:noProof/>
          <w:color w:val="000000" w:themeColor="text1"/>
        </w:rPr>
        <w:t xml:space="preserve">s </w:t>
      </w:r>
      <w:r w:rsidR="009E7AAB" w:rsidRPr="009E7AAB">
        <w:rPr>
          <w:rFonts w:eastAsia="Times New Roman" w:cs="Times New Roman"/>
          <w:noProof/>
          <w:color w:val="000000" w:themeColor="text1"/>
        </w:rPr>
        <w:t xml:space="preserve">the revised RDI Framework </w:t>
      </w:r>
      <w:r w:rsidR="00EF4E62">
        <w:rPr>
          <w:rFonts w:eastAsia="Times New Roman" w:cs="Times New Roman"/>
          <w:noProof/>
          <w:color w:val="000000" w:themeColor="text1"/>
        </w:rPr>
        <w:t xml:space="preserve">to </w:t>
      </w:r>
      <w:r w:rsidR="009E7AAB" w:rsidRPr="009E7AAB">
        <w:rPr>
          <w:rFonts w:eastAsia="Times New Roman" w:cs="Times New Roman"/>
          <w:noProof/>
          <w:color w:val="000000" w:themeColor="text1"/>
        </w:rPr>
        <w:t xml:space="preserve">be adopted in </w:t>
      </w:r>
      <w:r w:rsidR="00EF4E62">
        <w:rPr>
          <w:rFonts w:eastAsia="Times New Roman" w:cs="Times New Roman"/>
          <w:noProof/>
          <w:color w:val="000000" w:themeColor="text1"/>
        </w:rPr>
        <w:t>2</w:t>
      </w:r>
      <w:r w:rsidR="009E7AAB" w:rsidRPr="009E7AAB">
        <w:rPr>
          <w:rFonts w:eastAsia="Times New Roman" w:cs="Times New Roman"/>
          <w:noProof/>
          <w:color w:val="000000" w:themeColor="text1"/>
        </w:rPr>
        <w:t>022.</w:t>
      </w:r>
    </w:p>
    <w:p w14:paraId="3746680A" w14:textId="77777777" w:rsidR="00104A68" w:rsidRPr="000F147F" w:rsidRDefault="00A75FAD">
      <w:pPr>
        <w:pStyle w:val="Heading4"/>
        <w:rPr>
          <w:i w:val="0"/>
          <w:iCs w:val="0"/>
          <w:noProof/>
        </w:rPr>
      </w:pPr>
      <w:r w:rsidRPr="00DB1492">
        <w:rPr>
          <w:noProof/>
        </w:rPr>
        <w:t xml:space="preserve">Public consultation on the State </w:t>
      </w:r>
      <w:r w:rsidR="009C50CB" w:rsidRPr="00DB1492">
        <w:rPr>
          <w:noProof/>
        </w:rPr>
        <w:t xml:space="preserve">aid </w:t>
      </w:r>
      <w:r w:rsidR="00104A68" w:rsidRPr="00D46266">
        <w:rPr>
          <w:noProof/>
        </w:rPr>
        <w:t xml:space="preserve">Broadband </w:t>
      </w:r>
      <w:r w:rsidR="00D51C3A" w:rsidRPr="00D46266">
        <w:rPr>
          <w:noProof/>
        </w:rPr>
        <w:t>G</w:t>
      </w:r>
      <w:r w:rsidR="00104A68" w:rsidRPr="00D46266">
        <w:rPr>
          <w:noProof/>
        </w:rPr>
        <w:t>uidelines</w:t>
      </w:r>
    </w:p>
    <w:p w14:paraId="2312120A" w14:textId="53906ECB" w:rsidR="00D51C3A" w:rsidRDefault="00D51C3A" w:rsidP="00AD6615">
      <w:pPr>
        <w:jc w:val="both"/>
        <w:rPr>
          <w:rFonts w:eastAsia="Times New Roman" w:cs="Times New Roman"/>
          <w:noProof/>
          <w:szCs w:val="24"/>
        </w:rPr>
      </w:pPr>
      <w:r w:rsidRPr="00947B7D">
        <w:rPr>
          <w:rFonts w:eastAsia="Times New Roman" w:cs="Times New Roman"/>
          <w:noProof/>
        </w:rPr>
        <w:t>The State aid rules for the deployment of broadband networks (Broadband Guidelines)</w:t>
      </w:r>
      <w:r w:rsidRPr="00947B7D">
        <w:rPr>
          <w:rStyle w:val="FootnoteReference"/>
          <w:rFonts w:eastAsia="Times New Roman" w:cs="Times New Roman"/>
          <w:noProof/>
        </w:rPr>
        <w:footnoteReference w:id="33"/>
      </w:r>
      <w:r w:rsidR="00EF4E62">
        <w:rPr>
          <w:rFonts w:eastAsia="Times New Roman" w:cs="Times New Roman"/>
          <w:noProof/>
        </w:rPr>
        <w:t xml:space="preserve"> </w:t>
      </w:r>
      <w:r w:rsidRPr="00947B7D">
        <w:rPr>
          <w:rFonts w:eastAsia="Times New Roman" w:cs="Times New Roman"/>
          <w:noProof/>
        </w:rPr>
        <w:t>facilitat</w:t>
      </w:r>
      <w:r w:rsidR="00EF4E62">
        <w:rPr>
          <w:rFonts w:eastAsia="Times New Roman" w:cs="Times New Roman"/>
          <w:noProof/>
        </w:rPr>
        <w:t>e</w:t>
      </w:r>
      <w:r w:rsidRPr="00947B7D">
        <w:rPr>
          <w:rFonts w:eastAsia="Times New Roman" w:cs="Times New Roman"/>
          <w:noProof/>
        </w:rPr>
        <w:t xml:space="preserve"> the deployment and take-up of broadband networks in areas </w:t>
      </w:r>
      <w:r w:rsidR="0000710F" w:rsidRPr="004155ED">
        <w:rPr>
          <w:rFonts w:eastAsia="Times New Roman" w:cs="Times New Roman"/>
          <w:noProof/>
        </w:rPr>
        <w:t xml:space="preserve">with </w:t>
      </w:r>
      <w:r w:rsidRPr="004155ED">
        <w:rPr>
          <w:rFonts w:eastAsia="Times New Roman" w:cs="Times New Roman"/>
          <w:noProof/>
        </w:rPr>
        <w:t xml:space="preserve">insufficient </w:t>
      </w:r>
      <w:r w:rsidRPr="00062864">
        <w:rPr>
          <w:rFonts w:eastAsia="Times New Roman" w:cs="Times New Roman"/>
          <w:noProof/>
        </w:rPr>
        <w:t>connectivity, such as remote and sparsely populated regions</w:t>
      </w:r>
      <w:r w:rsidR="00EF4E62">
        <w:rPr>
          <w:rFonts w:eastAsia="Times New Roman" w:cs="Times New Roman"/>
          <w:noProof/>
        </w:rPr>
        <w:t>.</w:t>
      </w:r>
      <w:r w:rsidRPr="00062864">
        <w:rPr>
          <w:rFonts w:eastAsia="Times New Roman" w:cs="Times New Roman"/>
          <w:noProof/>
        </w:rPr>
        <w:t xml:space="preserve"> The</w:t>
      </w:r>
      <w:r w:rsidR="0000710F" w:rsidRPr="00062864">
        <w:rPr>
          <w:rFonts w:eastAsia="Times New Roman" w:cs="Times New Roman"/>
          <w:noProof/>
        </w:rPr>
        <w:t xml:space="preserve"> Guidelines</w:t>
      </w:r>
      <w:r w:rsidRPr="00062864">
        <w:rPr>
          <w:rFonts w:eastAsia="Times New Roman" w:cs="Times New Roman"/>
          <w:noProof/>
        </w:rPr>
        <w:t xml:space="preserve"> enable Member States to support modern infrastructure providing end-users with high</w:t>
      </w:r>
      <w:r w:rsidR="0053557E">
        <w:rPr>
          <w:rFonts w:eastAsia="Times New Roman" w:cs="Times New Roman"/>
          <w:noProof/>
        </w:rPr>
        <w:t>-</w:t>
      </w:r>
      <w:r w:rsidRPr="00062864">
        <w:rPr>
          <w:rFonts w:eastAsia="Times New Roman" w:cs="Times New Roman"/>
          <w:noProof/>
        </w:rPr>
        <w:t xml:space="preserve">quality and affordable </w:t>
      </w:r>
      <w:r w:rsidR="0000710F" w:rsidRPr="00062864">
        <w:rPr>
          <w:rFonts w:eastAsia="Times New Roman" w:cs="Times New Roman"/>
          <w:noProof/>
        </w:rPr>
        <w:t xml:space="preserve">broadband </w:t>
      </w:r>
      <w:r w:rsidRPr="00062864">
        <w:rPr>
          <w:rFonts w:eastAsia="Times New Roman" w:cs="Times New Roman"/>
          <w:noProof/>
        </w:rPr>
        <w:t xml:space="preserve">services </w:t>
      </w:r>
      <w:r w:rsidR="0000710F" w:rsidRPr="00373CE6">
        <w:rPr>
          <w:rFonts w:eastAsia="Times New Roman" w:cs="Times New Roman"/>
          <w:noProof/>
        </w:rPr>
        <w:t xml:space="preserve">in areas </w:t>
      </w:r>
      <w:r w:rsidRPr="00373CE6">
        <w:rPr>
          <w:rFonts w:eastAsia="Times New Roman" w:cs="Times New Roman"/>
          <w:noProof/>
        </w:rPr>
        <w:t xml:space="preserve">where commercial operators have </w:t>
      </w:r>
      <w:r w:rsidR="0000710F" w:rsidRPr="00373CE6">
        <w:rPr>
          <w:rFonts w:eastAsia="Times New Roman" w:cs="Times New Roman"/>
          <w:noProof/>
        </w:rPr>
        <w:t xml:space="preserve">limited </w:t>
      </w:r>
      <w:r w:rsidRPr="00373CE6">
        <w:rPr>
          <w:rFonts w:eastAsia="Times New Roman" w:cs="Times New Roman"/>
          <w:noProof/>
        </w:rPr>
        <w:t>incentive</w:t>
      </w:r>
      <w:r w:rsidR="0000710F" w:rsidRPr="00373CE6">
        <w:rPr>
          <w:rFonts w:eastAsia="Times New Roman" w:cs="Times New Roman"/>
          <w:noProof/>
        </w:rPr>
        <w:t>s</w:t>
      </w:r>
      <w:r w:rsidRPr="00373CE6">
        <w:rPr>
          <w:rFonts w:eastAsia="Times New Roman" w:cs="Times New Roman"/>
          <w:noProof/>
        </w:rPr>
        <w:t xml:space="preserve"> to invest. </w:t>
      </w:r>
    </w:p>
    <w:p w14:paraId="074ACB46" w14:textId="41370B32" w:rsidR="00104A68" w:rsidRPr="000F147F" w:rsidRDefault="00104A68" w:rsidP="00AD6615">
      <w:pPr>
        <w:jc w:val="both"/>
        <w:rPr>
          <w:rFonts w:eastAsia="Times New Roman" w:cs="Times New Roman"/>
          <w:noProof/>
          <w:color w:val="000000" w:themeColor="text1"/>
        </w:rPr>
      </w:pPr>
      <w:r w:rsidRPr="00947B7D">
        <w:rPr>
          <w:rFonts w:eastAsia="Times New Roman" w:cs="Times New Roman"/>
          <w:noProof/>
        </w:rPr>
        <w:t>In July 2021</w:t>
      </w:r>
      <w:r w:rsidR="00A75FAD" w:rsidRPr="00947B7D">
        <w:rPr>
          <w:rFonts w:eastAsia="Times New Roman" w:cs="Times New Roman"/>
          <w:noProof/>
        </w:rPr>
        <w:t>,</w:t>
      </w:r>
      <w:r w:rsidRPr="00947B7D">
        <w:rPr>
          <w:rFonts w:eastAsia="Times New Roman" w:cs="Times New Roman"/>
          <w:noProof/>
        </w:rPr>
        <w:t xml:space="preserve"> the Commission published</w:t>
      </w:r>
      <w:r w:rsidR="00A75FAD" w:rsidRPr="004155ED">
        <w:rPr>
          <w:rFonts w:eastAsia="Times New Roman" w:cs="Times New Roman"/>
          <w:noProof/>
        </w:rPr>
        <w:t xml:space="preserve"> </w:t>
      </w:r>
      <w:r w:rsidR="0053557E">
        <w:rPr>
          <w:rFonts w:eastAsia="Times New Roman" w:cs="Times New Roman"/>
          <w:noProof/>
        </w:rPr>
        <w:t>its</w:t>
      </w:r>
      <w:r w:rsidR="00A75FAD" w:rsidRPr="004155ED">
        <w:rPr>
          <w:rFonts w:eastAsia="Times New Roman" w:cs="Times New Roman"/>
          <w:noProof/>
        </w:rPr>
        <w:t xml:space="preserve"> </w:t>
      </w:r>
      <w:r w:rsidR="00D51C3A" w:rsidRPr="004155ED">
        <w:rPr>
          <w:rFonts w:eastAsia="Times New Roman" w:cs="Times New Roman"/>
          <w:noProof/>
        </w:rPr>
        <w:t>findings o</w:t>
      </w:r>
      <w:r w:rsidRPr="004155ED">
        <w:rPr>
          <w:rFonts w:eastAsia="Times New Roman" w:cs="Times New Roman"/>
          <w:noProof/>
        </w:rPr>
        <w:t xml:space="preserve">f </w:t>
      </w:r>
      <w:r w:rsidR="00D51C3A" w:rsidRPr="004155ED">
        <w:rPr>
          <w:rFonts w:eastAsia="Times New Roman" w:cs="Times New Roman"/>
          <w:noProof/>
          <w:color w:val="000000" w:themeColor="text1"/>
        </w:rPr>
        <w:t xml:space="preserve">the </w:t>
      </w:r>
      <w:r w:rsidRPr="00062864">
        <w:rPr>
          <w:rFonts w:eastAsia="Times New Roman" w:cs="Times New Roman"/>
          <w:noProof/>
          <w:color w:val="000000" w:themeColor="text1"/>
        </w:rPr>
        <w:t>evaluation</w:t>
      </w:r>
      <w:r w:rsidRPr="00947B7D">
        <w:rPr>
          <w:rFonts w:eastAsia="Times New Roman" w:cs="Times New Roman"/>
          <w:noProof/>
          <w:color w:val="000000" w:themeColor="text1"/>
        </w:rPr>
        <w:t xml:space="preserve"> of the </w:t>
      </w:r>
      <w:r w:rsidR="0053557E">
        <w:rPr>
          <w:rFonts w:eastAsia="Times New Roman" w:cs="Times New Roman"/>
          <w:noProof/>
          <w:color w:val="000000" w:themeColor="text1"/>
        </w:rPr>
        <w:t>Br</w:t>
      </w:r>
      <w:r w:rsidR="005A0306">
        <w:rPr>
          <w:rFonts w:eastAsia="Times New Roman" w:cs="Times New Roman"/>
          <w:noProof/>
          <w:color w:val="000000" w:themeColor="text1"/>
        </w:rPr>
        <w:t>oa</w:t>
      </w:r>
      <w:r w:rsidR="0053557E">
        <w:rPr>
          <w:rFonts w:eastAsia="Times New Roman" w:cs="Times New Roman"/>
          <w:noProof/>
          <w:color w:val="000000" w:themeColor="text1"/>
        </w:rPr>
        <w:t xml:space="preserve">dband </w:t>
      </w:r>
      <w:r w:rsidR="00D51C3A" w:rsidRPr="00947B7D">
        <w:rPr>
          <w:rFonts w:eastAsia="Times New Roman" w:cs="Times New Roman"/>
          <w:noProof/>
          <w:color w:val="000000" w:themeColor="text1"/>
        </w:rPr>
        <w:t>Guidelines</w:t>
      </w:r>
      <w:r w:rsidR="0053557E" w:rsidRPr="0053557E">
        <w:rPr>
          <w:rStyle w:val="FootnoteReference"/>
          <w:rFonts w:eastAsia="Times New Roman" w:cs="Times New Roman"/>
          <w:noProof/>
          <w:color w:val="000000" w:themeColor="text1"/>
        </w:rPr>
        <w:t xml:space="preserve"> </w:t>
      </w:r>
      <w:r w:rsidR="0053557E" w:rsidRPr="00947B7D">
        <w:rPr>
          <w:rStyle w:val="FootnoteReference"/>
          <w:rFonts w:eastAsia="Times New Roman" w:cs="Times New Roman"/>
          <w:noProof/>
          <w:color w:val="000000" w:themeColor="text1"/>
        </w:rPr>
        <w:footnoteReference w:id="34"/>
      </w:r>
      <w:r w:rsidR="0053557E">
        <w:rPr>
          <w:rStyle w:val="FootnoteReference"/>
          <w:rFonts w:eastAsia="Times New Roman" w:cs="Times New Roman"/>
          <w:noProof/>
          <w:color w:val="000000" w:themeColor="text1"/>
        </w:rPr>
        <w:t>.</w:t>
      </w:r>
      <w:r w:rsidR="0053557E">
        <w:rPr>
          <w:rFonts w:eastAsia="Times New Roman" w:cs="Times New Roman"/>
          <w:noProof/>
          <w:color w:val="000000" w:themeColor="text1"/>
        </w:rPr>
        <w:t xml:space="preserve"> It</w:t>
      </w:r>
      <w:r w:rsidR="00D51C3A" w:rsidRPr="00947B7D">
        <w:rPr>
          <w:rFonts w:eastAsia="Times New Roman" w:cs="Times New Roman"/>
          <w:noProof/>
          <w:color w:val="000000" w:themeColor="text1"/>
        </w:rPr>
        <w:t xml:space="preserve"> </w:t>
      </w:r>
      <w:r w:rsidRPr="004155ED">
        <w:rPr>
          <w:rFonts w:eastAsia="Times New Roman" w:cs="Times New Roman"/>
          <w:noProof/>
          <w:color w:val="000000" w:themeColor="text1"/>
        </w:rPr>
        <w:t>conclude</w:t>
      </w:r>
      <w:r w:rsidR="00A75FAD" w:rsidRPr="004155ED">
        <w:rPr>
          <w:rFonts w:eastAsia="Times New Roman" w:cs="Times New Roman"/>
          <w:noProof/>
          <w:color w:val="000000" w:themeColor="text1"/>
        </w:rPr>
        <w:t>d</w:t>
      </w:r>
      <w:r w:rsidRPr="004155ED">
        <w:rPr>
          <w:rFonts w:eastAsia="Times New Roman" w:cs="Times New Roman"/>
          <w:noProof/>
          <w:color w:val="000000" w:themeColor="text1"/>
        </w:rPr>
        <w:t xml:space="preserve"> that, overall, the existing rules work well and are fit for purpose but </w:t>
      </w:r>
      <w:r w:rsidR="0053557E">
        <w:rPr>
          <w:rFonts w:eastAsia="Times New Roman" w:cs="Times New Roman"/>
          <w:noProof/>
          <w:color w:val="000000" w:themeColor="text1"/>
        </w:rPr>
        <w:t xml:space="preserve">that </w:t>
      </w:r>
      <w:r w:rsidRPr="004155ED">
        <w:rPr>
          <w:rFonts w:eastAsia="Times New Roman" w:cs="Times New Roman"/>
          <w:noProof/>
          <w:color w:val="000000" w:themeColor="text1"/>
        </w:rPr>
        <w:t xml:space="preserve">some adjustments </w:t>
      </w:r>
      <w:r w:rsidR="0053557E">
        <w:rPr>
          <w:rFonts w:eastAsia="Times New Roman" w:cs="Times New Roman"/>
          <w:noProof/>
          <w:color w:val="000000" w:themeColor="text1"/>
        </w:rPr>
        <w:t xml:space="preserve">would be </w:t>
      </w:r>
      <w:r w:rsidRPr="004155ED">
        <w:rPr>
          <w:rFonts w:eastAsia="Times New Roman" w:cs="Times New Roman"/>
          <w:noProof/>
          <w:color w:val="000000" w:themeColor="text1"/>
        </w:rPr>
        <w:t xml:space="preserve">necessary to adapt the </w:t>
      </w:r>
      <w:r w:rsidRPr="00062864">
        <w:rPr>
          <w:rFonts w:eastAsia="Times New Roman" w:cs="Times New Roman"/>
          <w:noProof/>
          <w:color w:val="000000" w:themeColor="text1"/>
        </w:rPr>
        <w:t>current rules to recent technological progress</w:t>
      </w:r>
      <w:r w:rsidR="0053557E">
        <w:rPr>
          <w:rFonts w:eastAsia="Times New Roman" w:cs="Times New Roman"/>
          <w:noProof/>
          <w:color w:val="000000" w:themeColor="text1"/>
        </w:rPr>
        <w:t xml:space="preserve">. </w:t>
      </w:r>
      <w:r w:rsidR="0071371F">
        <w:rPr>
          <w:rFonts w:eastAsia="Times New Roman" w:cs="Times New Roman"/>
          <w:noProof/>
          <w:color w:val="000000" w:themeColor="text1"/>
        </w:rPr>
        <w:t xml:space="preserve">Adequate investements are needed to meet </w:t>
      </w:r>
      <w:r w:rsidRPr="00062864">
        <w:rPr>
          <w:rFonts w:eastAsia="Times New Roman" w:cs="Times New Roman"/>
          <w:noProof/>
          <w:color w:val="000000" w:themeColor="text1"/>
        </w:rPr>
        <w:t>the current EU policy objectives, in particular the EU 2025 Gigabit Society</w:t>
      </w:r>
      <w:r w:rsidRPr="00947B7D">
        <w:rPr>
          <w:rStyle w:val="FootnoteReference"/>
          <w:rFonts w:eastAsia="Times New Roman" w:cs="Times New Roman"/>
          <w:noProof/>
          <w:color w:val="000000" w:themeColor="text1"/>
        </w:rPr>
        <w:footnoteReference w:id="35"/>
      </w:r>
      <w:r w:rsidRPr="00947B7D">
        <w:rPr>
          <w:rFonts w:eastAsia="Times New Roman" w:cs="Times New Roman"/>
          <w:noProof/>
          <w:color w:val="000000" w:themeColor="text1"/>
        </w:rPr>
        <w:t xml:space="preserve"> and </w:t>
      </w:r>
      <w:r w:rsidR="0053557E">
        <w:rPr>
          <w:rFonts w:eastAsia="Times New Roman" w:cs="Times New Roman"/>
          <w:noProof/>
          <w:color w:val="000000" w:themeColor="text1"/>
        </w:rPr>
        <w:t xml:space="preserve">the </w:t>
      </w:r>
      <w:r w:rsidRPr="00947B7D">
        <w:rPr>
          <w:rFonts w:eastAsia="Times New Roman" w:cs="Times New Roman"/>
          <w:noProof/>
          <w:color w:val="000000" w:themeColor="text1"/>
        </w:rPr>
        <w:t>2030 Digital Compass</w:t>
      </w:r>
      <w:r w:rsidRPr="00947B7D">
        <w:rPr>
          <w:rStyle w:val="FootnoteReference"/>
          <w:rFonts w:eastAsia="Times New Roman" w:cs="Times New Roman"/>
          <w:noProof/>
          <w:color w:val="000000" w:themeColor="text1"/>
        </w:rPr>
        <w:footnoteReference w:id="36"/>
      </w:r>
      <w:r w:rsidRPr="00947B7D">
        <w:rPr>
          <w:rFonts w:eastAsia="Times New Roman" w:cs="Times New Roman"/>
          <w:noProof/>
          <w:color w:val="000000" w:themeColor="text1"/>
        </w:rPr>
        <w:t xml:space="preserve">. </w:t>
      </w:r>
      <w:r w:rsidR="00A75FAD" w:rsidRPr="00947B7D">
        <w:rPr>
          <w:rFonts w:eastAsia="Times New Roman" w:cs="Times New Roman"/>
          <w:noProof/>
          <w:color w:val="000000" w:themeColor="text1"/>
        </w:rPr>
        <w:t>In November 202</w:t>
      </w:r>
      <w:r w:rsidR="009C50CB" w:rsidRPr="00947B7D">
        <w:rPr>
          <w:rFonts w:eastAsia="Times New Roman" w:cs="Times New Roman"/>
          <w:noProof/>
          <w:color w:val="000000" w:themeColor="text1"/>
        </w:rPr>
        <w:t>1</w:t>
      </w:r>
      <w:r w:rsidR="00A75FAD" w:rsidRPr="004155ED">
        <w:rPr>
          <w:rFonts w:eastAsia="Times New Roman" w:cs="Times New Roman"/>
          <w:noProof/>
          <w:color w:val="000000" w:themeColor="text1"/>
        </w:rPr>
        <w:t>, t</w:t>
      </w:r>
      <w:r w:rsidRPr="004155ED">
        <w:rPr>
          <w:rFonts w:eastAsia="Times New Roman" w:cs="Times New Roman"/>
          <w:noProof/>
          <w:color w:val="000000" w:themeColor="text1"/>
        </w:rPr>
        <w:t xml:space="preserve">he </w:t>
      </w:r>
      <w:r w:rsidR="00A75FAD" w:rsidRPr="004155ED">
        <w:rPr>
          <w:rFonts w:eastAsia="Times New Roman" w:cs="Times New Roman"/>
          <w:noProof/>
          <w:color w:val="000000" w:themeColor="text1"/>
        </w:rPr>
        <w:t xml:space="preserve">Commission submitted for public consultation the </w:t>
      </w:r>
      <w:r w:rsidRPr="00062864">
        <w:rPr>
          <w:rFonts w:eastAsia="Times New Roman" w:cs="Times New Roman"/>
          <w:noProof/>
          <w:color w:val="000000" w:themeColor="text1"/>
        </w:rPr>
        <w:t>proposed revis</w:t>
      </w:r>
      <w:r w:rsidR="00A75FAD" w:rsidRPr="00062864">
        <w:rPr>
          <w:rFonts w:eastAsia="Times New Roman" w:cs="Times New Roman"/>
          <w:noProof/>
          <w:color w:val="000000" w:themeColor="text1"/>
        </w:rPr>
        <w:t>ed</w:t>
      </w:r>
      <w:r w:rsidR="009C50CB" w:rsidRPr="00062864">
        <w:rPr>
          <w:rFonts w:eastAsia="Times New Roman" w:cs="Times New Roman"/>
          <w:noProof/>
          <w:color w:val="000000" w:themeColor="text1"/>
        </w:rPr>
        <w:t xml:space="preserve"> Broadband </w:t>
      </w:r>
      <w:r w:rsidRPr="00373CE6">
        <w:rPr>
          <w:rFonts w:eastAsia="Times New Roman" w:cs="Times New Roman"/>
          <w:noProof/>
          <w:color w:val="000000" w:themeColor="text1"/>
        </w:rPr>
        <w:t>Guidelines</w:t>
      </w:r>
      <w:r w:rsidR="009C50CB" w:rsidRPr="00947B7D">
        <w:rPr>
          <w:rStyle w:val="FootnoteReference"/>
          <w:rFonts w:eastAsia="Times New Roman" w:cs="Times New Roman"/>
          <w:noProof/>
          <w:color w:val="000000" w:themeColor="text1"/>
        </w:rPr>
        <w:footnoteReference w:id="37"/>
      </w:r>
      <w:r w:rsidR="009C50CB" w:rsidRPr="00947B7D">
        <w:rPr>
          <w:rFonts w:eastAsia="Times New Roman" w:cs="Times New Roman"/>
          <w:noProof/>
          <w:color w:val="000000" w:themeColor="text1"/>
        </w:rPr>
        <w:t xml:space="preserve">. </w:t>
      </w:r>
      <w:r w:rsidR="00413E33" w:rsidRPr="00947B7D">
        <w:rPr>
          <w:rFonts w:eastAsia="Times New Roman" w:cs="Times New Roman"/>
          <w:noProof/>
          <w:color w:val="000000" w:themeColor="text1"/>
        </w:rPr>
        <w:t xml:space="preserve">The public consultation remained open until 11 February 2022. </w:t>
      </w:r>
      <w:r w:rsidR="009C50CB" w:rsidRPr="004155ED">
        <w:rPr>
          <w:rFonts w:eastAsia="Times New Roman" w:cs="Times New Roman"/>
          <w:noProof/>
          <w:color w:val="000000" w:themeColor="text1"/>
        </w:rPr>
        <w:t xml:space="preserve">The </w:t>
      </w:r>
      <w:r w:rsidR="00AD6615" w:rsidRPr="004155ED">
        <w:rPr>
          <w:rFonts w:eastAsia="Times New Roman" w:cs="Times New Roman"/>
          <w:noProof/>
        </w:rPr>
        <w:t xml:space="preserve">draft Guidelines </w:t>
      </w:r>
      <w:r w:rsidR="009C50CB" w:rsidRPr="004155ED">
        <w:rPr>
          <w:rFonts w:eastAsia="Times New Roman" w:cs="Times New Roman"/>
          <w:noProof/>
        </w:rPr>
        <w:t>aim</w:t>
      </w:r>
      <w:r w:rsidR="0053557E">
        <w:rPr>
          <w:rFonts w:eastAsia="Times New Roman" w:cs="Times New Roman"/>
          <w:noProof/>
        </w:rPr>
        <w:t xml:space="preserve"> to </w:t>
      </w:r>
      <w:r w:rsidR="009C50CB" w:rsidRPr="004155ED">
        <w:rPr>
          <w:rFonts w:eastAsia="Times New Roman" w:cs="Times New Roman"/>
          <w:noProof/>
        </w:rPr>
        <w:t>mak</w:t>
      </w:r>
      <w:r w:rsidR="0053557E">
        <w:rPr>
          <w:rFonts w:eastAsia="Times New Roman" w:cs="Times New Roman"/>
          <w:noProof/>
        </w:rPr>
        <w:t>e</w:t>
      </w:r>
      <w:r w:rsidR="009C50CB" w:rsidRPr="004155ED">
        <w:rPr>
          <w:rFonts w:eastAsia="Times New Roman" w:cs="Times New Roman"/>
          <w:noProof/>
        </w:rPr>
        <w:t xml:space="preserve"> it easier for Member States to </w:t>
      </w:r>
      <w:r w:rsidR="0053557E">
        <w:rPr>
          <w:rFonts w:eastAsia="Times New Roman" w:cs="Times New Roman"/>
          <w:noProof/>
        </w:rPr>
        <w:t>stimulate</w:t>
      </w:r>
      <w:r w:rsidR="009C50CB" w:rsidRPr="004155ED">
        <w:rPr>
          <w:rFonts w:eastAsia="Times New Roman" w:cs="Times New Roman"/>
          <w:noProof/>
        </w:rPr>
        <w:t xml:space="preserve"> the deployment of </w:t>
      </w:r>
      <w:r w:rsidR="0053557E">
        <w:rPr>
          <w:rFonts w:eastAsia="Times New Roman" w:cs="Times New Roman"/>
          <w:noProof/>
        </w:rPr>
        <w:t>high-</w:t>
      </w:r>
      <w:r w:rsidR="005B1727">
        <w:rPr>
          <w:rFonts w:eastAsia="Times New Roman" w:cs="Times New Roman"/>
          <w:noProof/>
        </w:rPr>
        <w:t>perform</w:t>
      </w:r>
      <w:r w:rsidR="0053557E">
        <w:rPr>
          <w:rFonts w:eastAsia="Times New Roman" w:cs="Times New Roman"/>
          <w:noProof/>
        </w:rPr>
        <w:t>ing</w:t>
      </w:r>
      <w:r w:rsidR="005B1727">
        <w:rPr>
          <w:rFonts w:eastAsia="Times New Roman" w:cs="Times New Roman"/>
          <w:noProof/>
        </w:rPr>
        <w:t xml:space="preserve"> </w:t>
      </w:r>
      <w:r w:rsidR="009C50CB" w:rsidRPr="004155ED">
        <w:rPr>
          <w:rFonts w:eastAsia="Times New Roman" w:cs="Times New Roman"/>
          <w:noProof/>
        </w:rPr>
        <w:t>broadband networks</w:t>
      </w:r>
      <w:r w:rsidR="0053557E">
        <w:rPr>
          <w:rFonts w:eastAsia="Times New Roman" w:cs="Times New Roman"/>
          <w:noProof/>
        </w:rPr>
        <w:t>,</w:t>
      </w:r>
      <w:r w:rsidR="009C50CB" w:rsidRPr="004155ED">
        <w:rPr>
          <w:rFonts w:eastAsia="Times New Roman" w:cs="Times New Roman"/>
          <w:noProof/>
        </w:rPr>
        <w:t xml:space="preserve"> including Gigabit and 5G networks</w:t>
      </w:r>
      <w:r w:rsidR="0053557E">
        <w:rPr>
          <w:rFonts w:eastAsia="Times New Roman" w:cs="Times New Roman"/>
          <w:noProof/>
        </w:rPr>
        <w:t>,</w:t>
      </w:r>
      <w:r w:rsidR="009C50CB" w:rsidRPr="004155ED">
        <w:rPr>
          <w:rFonts w:eastAsia="Times New Roman" w:cs="Times New Roman"/>
          <w:noProof/>
        </w:rPr>
        <w:t xml:space="preserve"> </w:t>
      </w:r>
      <w:r w:rsidR="000C105D" w:rsidRPr="00062864">
        <w:rPr>
          <w:rFonts w:eastAsia="Times New Roman" w:cs="Times New Roman"/>
          <w:noProof/>
        </w:rPr>
        <w:t>while</w:t>
      </w:r>
      <w:r w:rsidR="009C50CB" w:rsidRPr="00062864">
        <w:rPr>
          <w:rFonts w:eastAsia="Times New Roman" w:cs="Times New Roman"/>
          <w:noProof/>
        </w:rPr>
        <w:t xml:space="preserve"> limit</w:t>
      </w:r>
      <w:r w:rsidR="000C105D" w:rsidRPr="00062864">
        <w:rPr>
          <w:rFonts w:eastAsia="Times New Roman" w:cs="Times New Roman"/>
          <w:noProof/>
        </w:rPr>
        <w:t>ing</w:t>
      </w:r>
      <w:r w:rsidR="009C50CB" w:rsidRPr="00062864">
        <w:rPr>
          <w:rFonts w:eastAsia="Times New Roman" w:cs="Times New Roman"/>
          <w:noProof/>
        </w:rPr>
        <w:t xml:space="preserve"> competition distortions</w:t>
      </w:r>
      <w:r w:rsidR="0000710F" w:rsidRPr="00373CE6">
        <w:rPr>
          <w:rFonts w:eastAsia="Times New Roman" w:cs="Times New Roman"/>
          <w:noProof/>
        </w:rPr>
        <w:t>.</w:t>
      </w:r>
    </w:p>
    <w:p w14:paraId="5B64F466" w14:textId="77777777" w:rsidR="009F2C32" w:rsidRPr="000F147F" w:rsidRDefault="009F2C32" w:rsidP="000F147F">
      <w:pPr>
        <w:pStyle w:val="Heading4"/>
        <w:spacing w:after="200"/>
        <w:rPr>
          <w:i w:val="0"/>
          <w:iCs w:val="0"/>
          <w:noProof/>
        </w:rPr>
      </w:pPr>
      <w:r w:rsidRPr="00DB1492">
        <w:rPr>
          <w:noProof/>
        </w:rPr>
        <w:t xml:space="preserve">Scope of the General Block Exemption Regulation </w:t>
      </w:r>
      <w:r w:rsidRPr="00D46266">
        <w:rPr>
          <w:noProof/>
        </w:rPr>
        <w:t>extended to facilitate EU programmes</w:t>
      </w:r>
    </w:p>
    <w:p w14:paraId="4B00E131" w14:textId="003C294E" w:rsidR="008A4FDE" w:rsidRPr="000F147F" w:rsidRDefault="009F2C32" w:rsidP="000F147F">
      <w:pPr>
        <w:spacing w:after="0"/>
        <w:jc w:val="both"/>
        <w:rPr>
          <w:rFonts w:cs="Times New Roman"/>
          <w:noProof/>
          <w:lang w:val="en-US"/>
        </w:rPr>
      </w:pPr>
      <w:r w:rsidRPr="00947B7D">
        <w:rPr>
          <w:rFonts w:cs="Times New Roman"/>
          <w:noProof/>
          <w:lang w:val="en-US"/>
        </w:rPr>
        <w:t>With the aim of improving the interplay between EU funding rules and EU State aid rules under the new Multiannual Financial Framework</w:t>
      </w:r>
      <w:r w:rsidRPr="00947B7D">
        <w:rPr>
          <w:rStyle w:val="FootnoteReference"/>
          <w:rFonts w:cs="Times New Roman"/>
          <w:noProof/>
          <w:lang w:val="en-US"/>
        </w:rPr>
        <w:footnoteReference w:id="38"/>
      </w:r>
      <w:r w:rsidRPr="00947B7D">
        <w:rPr>
          <w:rFonts w:cs="Times New Roman"/>
          <w:noProof/>
          <w:lang w:val="en-US"/>
        </w:rPr>
        <w:t xml:space="preserve">, </w:t>
      </w:r>
      <w:r w:rsidRPr="00947B7D">
        <w:rPr>
          <w:rFonts w:cs="Times New Roman"/>
          <w:noProof/>
        </w:rPr>
        <w:t>the</w:t>
      </w:r>
      <w:r w:rsidRPr="00947B7D">
        <w:rPr>
          <w:rFonts w:cs="Times New Roman"/>
          <w:noProof/>
          <w:lang w:val="en-US"/>
        </w:rPr>
        <w:t xml:space="preserve"> Commi</w:t>
      </w:r>
      <w:r w:rsidRPr="004155ED">
        <w:rPr>
          <w:rFonts w:cs="Times New Roman"/>
          <w:noProof/>
          <w:lang w:val="en-US"/>
        </w:rPr>
        <w:t xml:space="preserve">ssion adopted in July 2021 </w:t>
      </w:r>
      <w:r w:rsidR="0043036E">
        <w:rPr>
          <w:rFonts w:cs="Times New Roman"/>
          <w:noProof/>
          <w:lang w:val="en-US"/>
        </w:rPr>
        <w:t>amendments to the</w:t>
      </w:r>
      <w:r w:rsidRPr="004155ED">
        <w:rPr>
          <w:rFonts w:cs="Times New Roman"/>
          <w:noProof/>
          <w:lang w:val="en-US"/>
        </w:rPr>
        <w:t xml:space="preserve"> </w:t>
      </w:r>
      <w:r w:rsidRPr="004155ED">
        <w:rPr>
          <w:rFonts w:cs="Times New Roman"/>
          <w:noProof/>
          <w:color w:val="000000" w:themeColor="text1"/>
          <w:lang w:val="en-US"/>
        </w:rPr>
        <w:t>General Block Exemption Regulation (GBER)</w:t>
      </w:r>
      <w:r w:rsidRPr="00947B7D">
        <w:rPr>
          <w:rStyle w:val="FootnoteReference"/>
          <w:rFonts w:cs="Times New Roman"/>
          <w:noProof/>
          <w:color w:val="000000" w:themeColor="text1"/>
          <w:lang w:val="en-US"/>
        </w:rPr>
        <w:footnoteReference w:id="39"/>
      </w:r>
      <w:r w:rsidR="0053557E">
        <w:rPr>
          <w:rFonts w:cs="Times New Roman"/>
          <w:noProof/>
          <w:color w:val="000000" w:themeColor="text1"/>
          <w:lang w:val="en-US"/>
        </w:rPr>
        <w:t>.</w:t>
      </w:r>
      <w:r w:rsidRPr="00947B7D">
        <w:rPr>
          <w:rFonts w:cs="Times New Roman"/>
          <w:noProof/>
          <w:color w:val="000000" w:themeColor="text1"/>
          <w:lang w:val="en-US"/>
        </w:rPr>
        <w:t xml:space="preserve"> </w:t>
      </w:r>
      <w:r w:rsidR="00571950">
        <w:rPr>
          <w:rFonts w:cs="Times New Roman"/>
          <w:noProof/>
          <w:color w:val="000000" w:themeColor="text1"/>
          <w:lang w:val="en-US"/>
        </w:rPr>
        <w:t>T</w:t>
      </w:r>
      <w:r w:rsidR="0043036E">
        <w:rPr>
          <w:rFonts w:cs="Times New Roman"/>
          <w:noProof/>
          <w:color w:val="000000" w:themeColor="text1"/>
          <w:lang w:val="en-US"/>
        </w:rPr>
        <w:t>hese amendments</w:t>
      </w:r>
      <w:r w:rsidR="0053557E">
        <w:rPr>
          <w:rFonts w:cs="Times New Roman"/>
          <w:noProof/>
          <w:color w:val="000000" w:themeColor="text1"/>
          <w:lang w:val="en-US"/>
        </w:rPr>
        <w:t xml:space="preserve"> </w:t>
      </w:r>
      <w:r w:rsidR="0053557E" w:rsidRPr="00571950">
        <w:rPr>
          <w:rFonts w:cs="Times New Roman"/>
          <w:noProof/>
          <w:color w:val="000000" w:themeColor="text1"/>
        </w:rPr>
        <w:t xml:space="preserve">extend the scope of the regulation and </w:t>
      </w:r>
      <w:r w:rsidRPr="00571950">
        <w:rPr>
          <w:rFonts w:cs="Times New Roman"/>
          <w:noProof/>
          <w:color w:val="000000" w:themeColor="text1"/>
        </w:rPr>
        <w:t>streamline the State aid rules applicable to national funding fall</w:t>
      </w:r>
      <w:r w:rsidR="0053557E" w:rsidRPr="00571950">
        <w:rPr>
          <w:rFonts w:cs="Times New Roman"/>
          <w:noProof/>
          <w:color w:val="000000" w:themeColor="text1"/>
        </w:rPr>
        <w:t>ing</w:t>
      </w:r>
      <w:r w:rsidRPr="00571950">
        <w:rPr>
          <w:rFonts w:cs="Times New Roman"/>
          <w:noProof/>
          <w:color w:val="000000" w:themeColor="text1"/>
        </w:rPr>
        <w:t xml:space="preserve"> </w:t>
      </w:r>
      <w:r w:rsidRPr="00571950">
        <w:rPr>
          <w:rFonts w:cs="Times New Roman"/>
          <w:noProof/>
        </w:rPr>
        <w:t>within the scope of certain recently adopted EU programmes</w:t>
      </w:r>
      <w:r w:rsidRPr="00947B7D">
        <w:rPr>
          <w:rStyle w:val="FootnoteReference"/>
          <w:rFonts w:cs="Times New Roman"/>
          <w:noProof/>
        </w:rPr>
        <w:footnoteReference w:id="40"/>
      </w:r>
      <w:r w:rsidRPr="00947B7D">
        <w:rPr>
          <w:rFonts w:cs="Times New Roman"/>
          <w:noProof/>
          <w:lang w:val="en-US"/>
        </w:rPr>
        <w:t>.</w:t>
      </w:r>
    </w:p>
    <w:p w14:paraId="7BCC0377" w14:textId="64011D24" w:rsidR="00491B09" w:rsidRPr="00F42E78" w:rsidRDefault="00491B09" w:rsidP="000F147F">
      <w:pPr>
        <w:spacing w:before="100" w:beforeAutospacing="1"/>
        <w:jc w:val="both"/>
        <w:rPr>
          <w:noProof/>
        </w:rPr>
      </w:pPr>
      <w:r w:rsidRPr="00947B7D">
        <w:rPr>
          <w:rFonts w:cs="Times New Roman"/>
          <w:noProof/>
        </w:rPr>
        <w:t xml:space="preserve">With the amendment of the GBER, State aid granted by national authorities for projects funded by programmes managed at EU level can be directly implemented by the Member States without prior notification to the Commission. However, Member States have to inform the </w:t>
      </w:r>
      <w:r w:rsidRPr="004155ED">
        <w:rPr>
          <w:rFonts w:cs="Times New Roman"/>
          <w:noProof/>
        </w:rPr>
        <w:t>Commission about the aid measure</w:t>
      </w:r>
      <w:r w:rsidR="0000710F" w:rsidRPr="004155ED">
        <w:rPr>
          <w:rFonts w:cs="Times New Roman"/>
          <w:noProof/>
        </w:rPr>
        <w:t>s</w:t>
      </w:r>
      <w:r w:rsidR="00C35FC3">
        <w:rPr>
          <w:rFonts w:cs="Times New Roman"/>
          <w:noProof/>
        </w:rPr>
        <w:t xml:space="preserve"> after they have been adopted.</w:t>
      </w:r>
      <w:r w:rsidRPr="00062864">
        <w:rPr>
          <w:rFonts w:cs="Times New Roman"/>
          <w:noProof/>
        </w:rPr>
        <w:t xml:space="preserve"> In addition, the </w:t>
      </w:r>
      <w:r w:rsidR="00E73D8E">
        <w:rPr>
          <w:rFonts w:cs="Times New Roman"/>
          <w:noProof/>
        </w:rPr>
        <w:t>updated</w:t>
      </w:r>
      <w:r w:rsidRPr="00062864">
        <w:rPr>
          <w:rFonts w:cs="Times New Roman"/>
          <w:noProof/>
        </w:rPr>
        <w:t xml:space="preserve"> GBER allow</w:t>
      </w:r>
      <w:r w:rsidR="0000710F" w:rsidRPr="00062864">
        <w:rPr>
          <w:rFonts w:cs="Times New Roman"/>
          <w:noProof/>
        </w:rPr>
        <w:t>s</w:t>
      </w:r>
      <w:r w:rsidRPr="00062864">
        <w:rPr>
          <w:rFonts w:cs="Times New Roman"/>
          <w:noProof/>
        </w:rPr>
        <w:t xml:space="preserve"> Member States to provide State aid for the digital and green transition</w:t>
      </w:r>
      <w:r w:rsidR="0000710F" w:rsidRPr="00062864">
        <w:rPr>
          <w:rFonts w:cs="Times New Roman"/>
          <w:noProof/>
        </w:rPr>
        <w:t>s</w:t>
      </w:r>
      <w:r w:rsidR="005E1B68">
        <w:rPr>
          <w:rFonts w:cs="Times New Roman"/>
          <w:noProof/>
        </w:rPr>
        <w:t xml:space="preserve">. It </w:t>
      </w:r>
      <w:r w:rsidR="002C1DA6">
        <w:rPr>
          <w:rFonts w:cs="Times New Roman"/>
          <w:noProof/>
        </w:rPr>
        <w:t>allows a degree of flexibility</w:t>
      </w:r>
      <w:r w:rsidRPr="00373CE6">
        <w:rPr>
          <w:rFonts w:cs="Times New Roman"/>
          <w:noProof/>
        </w:rPr>
        <w:t xml:space="preserve"> to rapidly support companies needing</w:t>
      </w:r>
      <w:r w:rsidR="00C73F92" w:rsidRPr="00373CE6">
        <w:rPr>
          <w:rFonts w:cs="Times New Roman"/>
          <w:noProof/>
        </w:rPr>
        <w:t xml:space="preserve"> </w:t>
      </w:r>
      <w:r w:rsidRPr="00373CE6">
        <w:rPr>
          <w:rFonts w:cs="Times New Roman"/>
          <w:noProof/>
        </w:rPr>
        <w:t xml:space="preserve">assistance due </w:t>
      </w:r>
      <w:r w:rsidR="005E1B68">
        <w:rPr>
          <w:rFonts w:cs="Times New Roman"/>
          <w:noProof/>
        </w:rPr>
        <w:t xml:space="preserve">to </w:t>
      </w:r>
      <w:r w:rsidRPr="00373CE6">
        <w:rPr>
          <w:rFonts w:cs="Times New Roman"/>
          <w:noProof/>
        </w:rPr>
        <w:t>negative economic effects</w:t>
      </w:r>
      <w:r w:rsidR="005E1B68">
        <w:rPr>
          <w:rFonts w:cs="Times New Roman"/>
          <w:noProof/>
        </w:rPr>
        <w:t xml:space="preserve"> caused by unexpected external shocks.</w:t>
      </w:r>
      <w:r w:rsidRPr="00373CE6">
        <w:rPr>
          <w:rFonts w:cs="Times New Roman"/>
          <w:noProof/>
        </w:rPr>
        <w:t xml:space="preserve"> Exempting broad categories of State aid from prior notification is a major simplification and facilitates swift implementation by the Member States.</w:t>
      </w:r>
      <w:r w:rsidRPr="00F42E78">
        <w:rPr>
          <w:noProof/>
        </w:rPr>
        <w:t xml:space="preserve"> </w:t>
      </w:r>
    </w:p>
    <w:p w14:paraId="4836BF72" w14:textId="77777777" w:rsidR="009E7AAB" w:rsidRPr="009E7AAB" w:rsidRDefault="009E7AAB" w:rsidP="009E7AAB">
      <w:pPr>
        <w:keepNext/>
        <w:keepLines/>
        <w:spacing w:before="160" w:after="120"/>
        <w:outlineLvl w:val="3"/>
        <w:rPr>
          <w:rFonts w:asciiTheme="majorHAnsi" w:eastAsiaTheme="majorEastAsia" w:hAnsiTheme="majorHAnsi" w:cstheme="majorBidi"/>
          <w:i/>
          <w:iCs/>
          <w:noProof/>
          <w:color w:val="0070C0"/>
        </w:rPr>
      </w:pPr>
      <w:r w:rsidRPr="009E7AAB">
        <w:rPr>
          <w:rFonts w:asciiTheme="majorHAnsi" w:eastAsiaTheme="majorEastAsia" w:hAnsiTheme="majorHAnsi" w:cstheme="majorBidi"/>
          <w:i/>
          <w:iCs/>
          <w:noProof/>
          <w:color w:val="0070C0"/>
        </w:rPr>
        <w:t xml:space="preserve">Green Deal GBER revision </w:t>
      </w:r>
    </w:p>
    <w:p w14:paraId="775B4237" w14:textId="3BB47CFE" w:rsidR="009E7AAB" w:rsidRPr="009E7AAB" w:rsidRDefault="009E7AAB" w:rsidP="009E7AAB">
      <w:pPr>
        <w:jc w:val="both"/>
        <w:rPr>
          <w:rFonts w:eastAsia="Times New Roman" w:cs="Times New Roman"/>
          <w:noProof/>
        </w:rPr>
      </w:pPr>
      <w:r w:rsidRPr="009E7AAB">
        <w:rPr>
          <w:rFonts w:eastAsia="Times New Roman" w:cs="Times New Roman"/>
          <w:noProof/>
        </w:rPr>
        <w:t xml:space="preserve">The GBER is currently undergoing a targeted revision that </w:t>
      </w:r>
      <w:r w:rsidR="00C84DC3">
        <w:rPr>
          <w:rFonts w:eastAsia="Times New Roman" w:cs="Times New Roman"/>
          <w:noProof/>
        </w:rPr>
        <w:t>has the objective to</w:t>
      </w:r>
      <w:r w:rsidR="00C84DC3" w:rsidRPr="009E7AAB">
        <w:rPr>
          <w:rFonts w:eastAsia="Times New Roman" w:cs="Times New Roman"/>
          <w:noProof/>
        </w:rPr>
        <w:t xml:space="preserve"> </w:t>
      </w:r>
      <w:r w:rsidRPr="009E7AAB">
        <w:rPr>
          <w:rFonts w:eastAsia="Times New Roman" w:cs="Times New Roman"/>
          <w:noProof/>
        </w:rPr>
        <w:t xml:space="preserve">allow Member States to mobilise quickly more aid for green projects, without the need for prior approval from the Commission. The revision </w:t>
      </w:r>
      <w:r w:rsidR="00CD43DE">
        <w:rPr>
          <w:rFonts w:eastAsia="Times New Roman" w:cs="Times New Roman"/>
          <w:noProof/>
        </w:rPr>
        <w:t>aims to</w:t>
      </w:r>
      <w:r w:rsidR="00FE4DB0">
        <w:rPr>
          <w:rFonts w:eastAsia="Times New Roman" w:cs="Times New Roman"/>
          <w:noProof/>
        </w:rPr>
        <w:t xml:space="preserve"> </w:t>
      </w:r>
      <w:r w:rsidRPr="009E7AAB">
        <w:rPr>
          <w:rFonts w:eastAsia="Times New Roman" w:cs="Times New Roman"/>
          <w:noProof/>
        </w:rPr>
        <w:t>widen the scope of the GBER to cover aid for investments in new technologies such as hydrogen and carbon capture</w:t>
      </w:r>
      <w:r w:rsidR="00C35FC3">
        <w:rPr>
          <w:rFonts w:eastAsia="Times New Roman" w:cs="Times New Roman"/>
          <w:noProof/>
        </w:rPr>
        <w:t>,</w:t>
      </w:r>
      <w:r w:rsidRPr="009E7AAB">
        <w:rPr>
          <w:rFonts w:eastAsia="Times New Roman" w:cs="Times New Roman"/>
          <w:noProof/>
        </w:rPr>
        <w:t xml:space="preserve"> storage or usage</w:t>
      </w:r>
      <w:r w:rsidR="00FC18B3" w:rsidRPr="0075568B">
        <w:rPr>
          <w:rFonts w:eastAsia="Times New Roman" w:cs="Times New Roman"/>
          <w:noProof/>
        </w:rPr>
        <w:t>, which are essential to</w:t>
      </w:r>
      <w:r w:rsidR="00AC5FD5">
        <w:rPr>
          <w:rFonts w:eastAsia="Times New Roman" w:cs="Times New Roman"/>
          <w:noProof/>
        </w:rPr>
        <w:t xml:space="preserve"> </w:t>
      </w:r>
      <w:r w:rsidR="00FC18B3" w:rsidRPr="0075568B">
        <w:rPr>
          <w:rFonts w:eastAsia="Times New Roman" w:cs="Times New Roman"/>
          <w:noProof/>
        </w:rPr>
        <w:t>address strategic dependencies.</w:t>
      </w:r>
      <w:r w:rsidRPr="0075568B">
        <w:rPr>
          <w:rFonts w:eastAsia="Times New Roman" w:cs="Times New Roman"/>
          <w:noProof/>
        </w:rPr>
        <w:t xml:space="preserve"> </w:t>
      </w:r>
      <w:r w:rsidR="00AC5FD5">
        <w:rPr>
          <w:rFonts w:eastAsia="Times New Roman" w:cs="Times New Roman"/>
          <w:noProof/>
        </w:rPr>
        <w:t xml:space="preserve">The scope of the </w:t>
      </w:r>
      <w:r w:rsidR="00FC18B3" w:rsidRPr="0075568B">
        <w:rPr>
          <w:rFonts w:eastAsia="Times New Roman" w:cs="Times New Roman"/>
          <w:noProof/>
        </w:rPr>
        <w:t>GBER</w:t>
      </w:r>
      <w:r w:rsidR="00AC5FD5">
        <w:rPr>
          <w:rFonts w:eastAsia="Times New Roman" w:cs="Times New Roman"/>
          <w:noProof/>
        </w:rPr>
        <w:t xml:space="preserve"> will be extended </w:t>
      </w:r>
      <w:r w:rsidR="00FC18B3" w:rsidRPr="0075568B">
        <w:rPr>
          <w:rFonts w:eastAsia="Times New Roman" w:cs="Times New Roman"/>
          <w:noProof/>
        </w:rPr>
        <w:t xml:space="preserve">to </w:t>
      </w:r>
      <w:r w:rsidRPr="009E7AAB">
        <w:rPr>
          <w:rFonts w:eastAsia="Times New Roman" w:cs="Times New Roman"/>
          <w:noProof/>
        </w:rPr>
        <w:t xml:space="preserve">areas that are key to achieve the objectives of the </w:t>
      </w:r>
      <w:r w:rsidR="00FE4DB0">
        <w:rPr>
          <w:rFonts w:eastAsia="Times New Roman" w:cs="Times New Roman"/>
          <w:noProof/>
        </w:rPr>
        <w:t xml:space="preserve">European </w:t>
      </w:r>
      <w:r w:rsidRPr="009E7AAB">
        <w:rPr>
          <w:rFonts w:eastAsia="Times New Roman" w:cs="Times New Roman"/>
          <w:noProof/>
        </w:rPr>
        <w:t xml:space="preserve">Green Deal, </w:t>
      </w:r>
      <w:r w:rsidR="00FE4DB0">
        <w:rPr>
          <w:rFonts w:eastAsia="Times New Roman" w:cs="Times New Roman"/>
          <w:noProof/>
        </w:rPr>
        <w:t xml:space="preserve">for example </w:t>
      </w:r>
      <w:r w:rsidRPr="009E7AAB">
        <w:rPr>
          <w:rFonts w:eastAsia="Times New Roman" w:cs="Times New Roman"/>
          <w:noProof/>
        </w:rPr>
        <w:t xml:space="preserve">resource efficiency and biodiversity. Moreover, the GBER revision </w:t>
      </w:r>
      <w:r w:rsidR="00C84DC3">
        <w:rPr>
          <w:rFonts w:eastAsia="Times New Roman" w:cs="Times New Roman"/>
          <w:noProof/>
        </w:rPr>
        <w:t>aims to</w:t>
      </w:r>
      <w:r w:rsidRPr="009E7AAB">
        <w:rPr>
          <w:rFonts w:eastAsia="Times New Roman" w:cs="Times New Roman"/>
          <w:noProof/>
        </w:rPr>
        <w:t xml:space="preserve"> refin</w:t>
      </w:r>
      <w:r w:rsidR="00FE4DB0">
        <w:rPr>
          <w:rFonts w:eastAsia="Times New Roman" w:cs="Times New Roman"/>
          <w:noProof/>
        </w:rPr>
        <w:t>e</w:t>
      </w:r>
      <w:r w:rsidRPr="009E7AAB">
        <w:rPr>
          <w:rFonts w:eastAsia="Times New Roman" w:cs="Times New Roman"/>
          <w:noProof/>
        </w:rPr>
        <w:t xml:space="preserve"> the provisions on aid for investments in </w:t>
      </w:r>
      <w:r w:rsidR="00FE4DB0">
        <w:rPr>
          <w:rFonts w:eastAsia="Times New Roman" w:cs="Times New Roman"/>
          <w:noProof/>
        </w:rPr>
        <w:t xml:space="preserve">key policy </w:t>
      </w:r>
      <w:r w:rsidRPr="009E7AAB">
        <w:rPr>
          <w:rFonts w:eastAsia="Times New Roman" w:cs="Times New Roman"/>
          <w:noProof/>
        </w:rPr>
        <w:t xml:space="preserve">areas such as </w:t>
      </w:r>
      <w:r w:rsidR="00FE4DB0">
        <w:rPr>
          <w:rFonts w:eastAsia="Times New Roman" w:cs="Times New Roman"/>
          <w:noProof/>
        </w:rPr>
        <w:t xml:space="preserve">the </w:t>
      </w:r>
      <w:r w:rsidRPr="009E7AAB">
        <w:rPr>
          <w:rFonts w:eastAsia="Times New Roman" w:cs="Times New Roman"/>
          <w:noProof/>
        </w:rPr>
        <w:t xml:space="preserve">energy performance of buildings and </w:t>
      </w:r>
      <w:r w:rsidR="00FE4DB0">
        <w:rPr>
          <w:rFonts w:eastAsia="Times New Roman" w:cs="Times New Roman"/>
          <w:noProof/>
        </w:rPr>
        <w:t xml:space="preserve">the </w:t>
      </w:r>
      <w:r w:rsidRPr="009E7AAB">
        <w:rPr>
          <w:rFonts w:eastAsia="Times New Roman" w:cs="Times New Roman"/>
          <w:noProof/>
        </w:rPr>
        <w:t xml:space="preserve">recharging and refuelling </w:t>
      </w:r>
      <w:r w:rsidR="00FE4DB0">
        <w:rPr>
          <w:rFonts w:eastAsia="Times New Roman" w:cs="Times New Roman"/>
          <w:noProof/>
        </w:rPr>
        <w:t xml:space="preserve">of </w:t>
      </w:r>
      <w:r w:rsidRPr="009E7AAB">
        <w:rPr>
          <w:rFonts w:eastAsia="Times New Roman" w:cs="Times New Roman"/>
          <w:noProof/>
        </w:rPr>
        <w:t>infrastructure for clean mobility</w:t>
      </w:r>
      <w:r w:rsidR="00FE4DB0">
        <w:rPr>
          <w:rFonts w:eastAsia="Times New Roman" w:cs="Times New Roman"/>
          <w:noProof/>
        </w:rPr>
        <w:t>.</w:t>
      </w:r>
      <w:r w:rsidR="00AC5FD5">
        <w:rPr>
          <w:rFonts w:eastAsia="Times New Roman" w:cs="Times New Roman"/>
          <w:noProof/>
        </w:rPr>
        <w:t xml:space="preserve"> </w:t>
      </w:r>
      <w:r w:rsidRPr="009E7AAB">
        <w:rPr>
          <w:rFonts w:eastAsia="Times New Roman" w:cs="Times New Roman"/>
          <w:noProof/>
        </w:rPr>
        <w:t xml:space="preserve">Finally, the rules </w:t>
      </w:r>
      <w:r w:rsidR="00FE4DB0">
        <w:rPr>
          <w:rFonts w:eastAsia="Times New Roman" w:cs="Times New Roman"/>
          <w:noProof/>
        </w:rPr>
        <w:t xml:space="preserve">for defining </w:t>
      </w:r>
      <w:r w:rsidR="00FE4DB0" w:rsidRPr="009E7AAB">
        <w:rPr>
          <w:rFonts w:eastAsia="Times New Roman" w:cs="Times New Roman"/>
          <w:noProof/>
        </w:rPr>
        <w:t xml:space="preserve">eligible costs and </w:t>
      </w:r>
      <w:r w:rsidR="00FE4DB0">
        <w:rPr>
          <w:rFonts w:eastAsia="Times New Roman" w:cs="Times New Roman"/>
          <w:noProof/>
        </w:rPr>
        <w:t xml:space="preserve">eligible </w:t>
      </w:r>
      <w:r w:rsidR="00FE4DB0" w:rsidRPr="009E7AAB">
        <w:rPr>
          <w:rFonts w:eastAsia="Times New Roman" w:cs="Times New Roman"/>
          <w:noProof/>
        </w:rPr>
        <w:t>aid intensities</w:t>
      </w:r>
      <w:r w:rsidR="00FE4DB0">
        <w:rPr>
          <w:rFonts w:eastAsia="Times New Roman" w:cs="Times New Roman"/>
          <w:noProof/>
        </w:rPr>
        <w:t xml:space="preserve"> </w:t>
      </w:r>
      <w:r w:rsidR="00AC5FD5">
        <w:rPr>
          <w:rFonts w:eastAsia="Times New Roman" w:cs="Times New Roman"/>
          <w:noProof/>
        </w:rPr>
        <w:t xml:space="preserve">will </w:t>
      </w:r>
      <w:r w:rsidRPr="009E7AAB">
        <w:rPr>
          <w:rFonts w:eastAsia="Times New Roman" w:cs="Times New Roman"/>
          <w:noProof/>
        </w:rPr>
        <w:t>be made more flexible</w:t>
      </w:r>
      <w:r w:rsidR="00FE4DB0">
        <w:rPr>
          <w:rFonts w:eastAsia="Times New Roman" w:cs="Times New Roman"/>
          <w:noProof/>
        </w:rPr>
        <w:t>.</w:t>
      </w:r>
      <w:r w:rsidRPr="009E7AAB">
        <w:rPr>
          <w:rFonts w:eastAsia="Times New Roman" w:cs="Times New Roman"/>
          <w:noProof/>
        </w:rPr>
        <w:t xml:space="preserve"> </w:t>
      </w:r>
    </w:p>
    <w:p w14:paraId="3D018326" w14:textId="77777777" w:rsidR="006A68CE" w:rsidRPr="000F147F" w:rsidRDefault="006A68CE" w:rsidP="006A68CE">
      <w:pPr>
        <w:pStyle w:val="Heading4"/>
        <w:rPr>
          <w:i w:val="0"/>
          <w:iCs w:val="0"/>
          <w:noProof/>
        </w:rPr>
      </w:pPr>
      <w:r w:rsidRPr="00DB1492">
        <w:rPr>
          <w:noProof/>
        </w:rPr>
        <w:t>Revision of the Risk Finance Guidelines adopted</w:t>
      </w:r>
    </w:p>
    <w:p w14:paraId="7E111F58" w14:textId="191AFE1D" w:rsidR="006A68CE" w:rsidRDefault="006A68CE" w:rsidP="006A68CE">
      <w:pPr>
        <w:jc w:val="both"/>
        <w:rPr>
          <w:rFonts w:eastAsia="Times New Roman" w:cs="Times New Roman"/>
          <w:noProof/>
        </w:rPr>
      </w:pPr>
      <w:r w:rsidRPr="00947B7D">
        <w:rPr>
          <w:rFonts w:eastAsia="Times New Roman" w:cs="Times New Roman"/>
          <w:noProof/>
        </w:rPr>
        <w:t>In December 2021, the Commission adopted revised Guidelines on State aid promot</w:t>
      </w:r>
      <w:r w:rsidRPr="004155ED">
        <w:rPr>
          <w:rFonts w:eastAsia="Times New Roman" w:cs="Times New Roman"/>
          <w:noProof/>
        </w:rPr>
        <w:t>ing risk finance investments</w:t>
      </w:r>
      <w:r w:rsidRPr="00947B7D">
        <w:rPr>
          <w:rStyle w:val="FootnoteReference"/>
          <w:noProof/>
        </w:rPr>
        <w:footnoteReference w:id="41"/>
      </w:r>
      <w:r w:rsidRPr="00947B7D">
        <w:rPr>
          <w:rFonts w:eastAsia="Times New Roman" w:cs="Times New Roman"/>
          <w:noProof/>
        </w:rPr>
        <w:t xml:space="preserve">. The revised </w:t>
      </w:r>
      <w:r w:rsidRPr="004155ED">
        <w:rPr>
          <w:rFonts w:eastAsia="Times New Roman" w:cs="Times New Roman"/>
          <w:noProof/>
        </w:rPr>
        <w:t>Guidelines provide a number of improvements</w:t>
      </w:r>
      <w:r>
        <w:rPr>
          <w:rFonts w:eastAsia="Times New Roman" w:cs="Times New Roman"/>
          <w:noProof/>
        </w:rPr>
        <w:t xml:space="preserve"> which will</w:t>
      </w:r>
      <w:r w:rsidRPr="004155ED">
        <w:rPr>
          <w:rFonts w:eastAsia="Times New Roman" w:cs="Times New Roman"/>
          <w:noProof/>
        </w:rPr>
        <w:t xml:space="preserve"> ease the </w:t>
      </w:r>
      <w:r w:rsidRPr="00062864">
        <w:rPr>
          <w:rFonts w:eastAsia="Times New Roman" w:cs="Times New Roman"/>
          <w:noProof/>
        </w:rPr>
        <w:t>application</w:t>
      </w:r>
      <w:r>
        <w:rPr>
          <w:rFonts w:eastAsia="Times New Roman" w:cs="Times New Roman"/>
          <w:noProof/>
        </w:rPr>
        <w:t xml:space="preserve"> of the Guidelines</w:t>
      </w:r>
      <w:r w:rsidRPr="00062864">
        <w:rPr>
          <w:rFonts w:eastAsia="Times New Roman" w:cs="Times New Roman"/>
          <w:noProof/>
        </w:rPr>
        <w:t>, consolidate</w:t>
      </w:r>
      <w:r w:rsidRPr="00373CE6">
        <w:rPr>
          <w:rFonts w:eastAsia="Times New Roman" w:cs="Times New Roman"/>
          <w:noProof/>
        </w:rPr>
        <w:t xml:space="preserve"> existing requirements for </w:t>
      </w:r>
      <w:r w:rsidRPr="00373CE6">
        <w:rPr>
          <w:rFonts w:eastAsia="Times New Roman" w:cs="Times New Roman"/>
          <w:i/>
          <w:iCs/>
          <w:noProof/>
        </w:rPr>
        <w:t>ex-ante</w:t>
      </w:r>
      <w:r w:rsidRPr="00373CE6">
        <w:rPr>
          <w:rFonts w:eastAsia="Times New Roman" w:cs="Times New Roman"/>
          <w:noProof/>
        </w:rPr>
        <w:t xml:space="preserve"> assessment and limit the </w:t>
      </w:r>
      <w:r w:rsidRPr="005B1727">
        <w:rPr>
          <w:rFonts w:eastAsia="Times New Roman" w:cs="Times New Roman"/>
          <w:noProof/>
        </w:rPr>
        <w:t>requirement to provide a funding gap analysis to the largest risk finance schemes.</w:t>
      </w:r>
      <w:r w:rsidRPr="009A2182">
        <w:rPr>
          <w:noProof/>
        </w:rPr>
        <w:t xml:space="preserve"> </w:t>
      </w:r>
      <w:r>
        <w:rPr>
          <w:noProof/>
        </w:rPr>
        <w:t>Moreover, t</w:t>
      </w:r>
      <w:r w:rsidRPr="005E587E">
        <w:rPr>
          <w:noProof/>
        </w:rPr>
        <w:t xml:space="preserve">he </w:t>
      </w:r>
      <w:r>
        <w:rPr>
          <w:noProof/>
        </w:rPr>
        <w:t xml:space="preserve">revised </w:t>
      </w:r>
      <w:r w:rsidRPr="005E587E">
        <w:rPr>
          <w:noProof/>
        </w:rPr>
        <w:t xml:space="preserve">Guidelines </w:t>
      </w:r>
      <w:r w:rsidRPr="009A2182">
        <w:rPr>
          <w:noProof/>
        </w:rPr>
        <w:t>introduce</w:t>
      </w:r>
      <w:r w:rsidRPr="00947B7D">
        <w:rPr>
          <w:rFonts w:eastAsia="Times New Roman" w:cs="Times New Roman"/>
          <w:noProof/>
        </w:rPr>
        <w:t xml:space="preserve"> simplified conditions for the assessment of schemes aimed exclusively at start-ups and SMEs that have not yet made their first commercial sale</w:t>
      </w:r>
      <w:r w:rsidRPr="004155ED">
        <w:rPr>
          <w:rFonts w:eastAsia="Times New Roman" w:cs="Times New Roman"/>
          <w:noProof/>
        </w:rPr>
        <w:t>s. To ensure consistency, c</w:t>
      </w:r>
      <w:r w:rsidRPr="00062864">
        <w:rPr>
          <w:rFonts w:eastAsia="Times New Roman" w:cs="Times New Roman"/>
          <w:noProof/>
        </w:rPr>
        <w:t xml:space="preserve">ertain definitions included in the Guidelines are aligned with those in the </w:t>
      </w:r>
      <w:r w:rsidR="008A43B6">
        <w:rPr>
          <w:rFonts w:eastAsia="Times New Roman" w:cs="Times New Roman"/>
          <w:noProof/>
        </w:rPr>
        <w:t>GBER</w:t>
      </w:r>
      <w:r w:rsidRPr="00947B7D">
        <w:rPr>
          <w:rStyle w:val="FootnoteReference"/>
          <w:rFonts w:eastAsia="Times New Roman" w:cs="Times New Roman"/>
          <w:noProof/>
        </w:rPr>
        <w:footnoteReference w:id="42"/>
      </w:r>
      <w:r w:rsidRPr="00947B7D">
        <w:rPr>
          <w:rFonts w:eastAsia="Times New Roman" w:cs="Times New Roman"/>
          <w:noProof/>
        </w:rPr>
        <w:t>. The revised Guidelines</w:t>
      </w:r>
      <w:r w:rsidRPr="00947B7D" w:rsidDel="00272154">
        <w:rPr>
          <w:rFonts w:eastAsia="Times New Roman" w:cs="Times New Roman"/>
          <w:noProof/>
        </w:rPr>
        <w:t xml:space="preserve"> </w:t>
      </w:r>
      <w:r w:rsidRPr="004155ED">
        <w:rPr>
          <w:rFonts w:eastAsia="Times New Roman" w:cs="Times New Roman"/>
          <w:noProof/>
        </w:rPr>
        <w:t>apply from 1 January 2022.</w:t>
      </w:r>
    </w:p>
    <w:p w14:paraId="09A41D2D" w14:textId="77777777" w:rsidR="00104A68" w:rsidRPr="000F147F" w:rsidRDefault="00104A68">
      <w:pPr>
        <w:pStyle w:val="Heading4"/>
        <w:rPr>
          <w:i w:val="0"/>
          <w:iCs w:val="0"/>
          <w:noProof/>
        </w:rPr>
      </w:pPr>
      <w:r w:rsidRPr="00DB1492">
        <w:rPr>
          <w:noProof/>
        </w:rPr>
        <w:t xml:space="preserve">Revised Communication </w:t>
      </w:r>
      <w:r w:rsidRPr="00D46266">
        <w:rPr>
          <w:noProof/>
        </w:rPr>
        <w:t xml:space="preserve">on the Short-term export credit insurance adopted </w:t>
      </w:r>
    </w:p>
    <w:p w14:paraId="77FFFF2B" w14:textId="0B5F1A36" w:rsidR="00104A68" w:rsidRPr="00542D19" w:rsidRDefault="00104A68" w:rsidP="00104A68">
      <w:pPr>
        <w:jc w:val="both"/>
        <w:rPr>
          <w:noProof/>
          <w:szCs w:val="24"/>
        </w:rPr>
      </w:pPr>
      <w:r w:rsidRPr="00947B7D">
        <w:rPr>
          <w:rFonts w:eastAsia="Times New Roman" w:cs="Times New Roman"/>
          <w:noProof/>
        </w:rPr>
        <w:t xml:space="preserve">In December 2021, the Commission adopted </w:t>
      </w:r>
      <w:r w:rsidRPr="00947B7D">
        <w:rPr>
          <w:rFonts w:eastAsia="Times New Roman" w:cs="Times New Roman"/>
          <w:noProof/>
          <w:color w:val="000000" w:themeColor="text1"/>
        </w:rPr>
        <w:t>a revised Communication on short-term export credit insurance (STEC Communication)</w:t>
      </w:r>
      <w:r w:rsidRPr="00947B7D">
        <w:rPr>
          <w:rStyle w:val="FootnoteReference"/>
          <w:rFonts w:eastAsia="Times New Roman" w:cs="Times New Roman"/>
          <w:noProof/>
          <w:color w:val="000000" w:themeColor="text1"/>
        </w:rPr>
        <w:footnoteReference w:id="43"/>
      </w:r>
      <w:r w:rsidRPr="00947B7D">
        <w:rPr>
          <w:rFonts w:eastAsia="Times New Roman" w:cs="Times New Roman"/>
          <w:noProof/>
          <w:color w:val="000000" w:themeColor="text1"/>
        </w:rPr>
        <w:t xml:space="preserve">. The Communication </w:t>
      </w:r>
      <w:r w:rsidR="008318A4" w:rsidRPr="00947B7D">
        <w:rPr>
          <w:rFonts w:eastAsia="Times New Roman" w:cs="Times New Roman"/>
          <w:noProof/>
          <w:color w:val="000000" w:themeColor="text1"/>
        </w:rPr>
        <w:t>includes</w:t>
      </w:r>
      <w:r w:rsidRPr="00947B7D">
        <w:rPr>
          <w:rFonts w:eastAsia="Times New Roman" w:cs="Times New Roman"/>
          <w:noProof/>
          <w:color w:val="000000" w:themeColor="text1"/>
        </w:rPr>
        <w:t xml:space="preserve"> a </w:t>
      </w:r>
      <w:r w:rsidR="00FE4DB0">
        <w:rPr>
          <w:rFonts w:eastAsia="Times New Roman" w:cs="Times New Roman"/>
          <w:noProof/>
          <w:color w:val="000000" w:themeColor="text1"/>
        </w:rPr>
        <w:t>limited</w:t>
      </w:r>
      <w:r w:rsidRPr="00947B7D">
        <w:rPr>
          <w:rFonts w:eastAsia="Times New Roman" w:cs="Times New Roman"/>
          <w:noProof/>
          <w:color w:val="000000" w:themeColor="text1"/>
        </w:rPr>
        <w:t xml:space="preserve"> number of amendments. For example, the Communication modifies the eligibility criteria for SME</w:t>
      </w:r>
      <w:r w:rsidRPr="004155ED">
        <w:rPr>
          <w:rFonts w:eastAsia="Times New Roman" w:cs="Times New Roman"/>
          <w:noProof/>
          <w:color w:val="000000" w:themeColor="text1"/>
        </w:rPr>
        <w:t xml:space="preserve">s, which under certain circumstances may benefit from </w:t>
      </w:r>
      <w:r w:rsidRPr="004155ED">
        <w:rPr>
          <w:rFonts w:eastAsia="Times New Roman" w:cs="Times New Roman"/>
          <w:noProof/>
        </w:rPr>
        <w:t xml:space="preserve">State insurance. Under the previous rules, the threshold for SMEs was an annual export turnover </w:t>
      </w:r>
      <w:r w:rsidR="00FE4DB0">
        <w:rPr>
          <w:rFonts w:eastAsia="Times New Roman" w:cs="Times New Roman"/>
          <w:noProof/>
        </w:rPr>
        <w:t xml:space="preserve">of maximum </w:t>
      </w:r>
      <w:r w:rsidRPr="004155ED">
        <w:rPr>
          <w:rFonts w:eastAsia="Times New Roman" w:cs="Times New Roman"/>
          <w:noProof/>
        </w:rPr>
        <w:t>EUR 2 million. The revised STEC Communication increase</w:t>
      </w:r>
      <w:r w:rsidR="00FC3E97">
        <w:rPr>
          <w:rFonts w:eastAsia="Times New Roman" w:cs="Times New Roman"/>
          <w:noProof/>
        </w:rPr>
        <w:t>s</w:t>
      </w:r>
      <w:r w:rsidRPr="004155ED">
        <w:rPr>
          <w:rFonts w:eastAsia="Times New Roman" w:cs="Times New Roman"/>
          <w:noProof/>
        </w:rPr>
        <w:t xml:space="preserve"> this threshold to EUR 2.5 million. The revis</w:t>
      </w:r>
      <w:r w:rsidRPr="00062864">
        <w:rPr>
          <w:rFonts w:eastAsia="Times New Roman" w:cs="Times New Roman"/>
          <w:noProof/>
        </w:rPr>
        <w:t>ed STEC Communication entered into force on 1 January 2022.</w:t>
      </w:r>
    </w:p>
    <w:p w14:paraId="32ECFAD3" w14:textId="77777777" w:rsidR="00104A68" w:rsidRPr="000F147F" w:rsidRDefault="00104A68">
      <w:pPr>
        <w:pStyle w:val="Heading4"/>
        <w:rPr>
          <w:i w:val="0"/>
          <w:iCs w:val="0"/>
          <w:noProof/>
        </w:rPr>
      </w:pPr>
      <w:r w:rsidRPr="00DB1492">
        <w:rPr>
          <w:noProof/>
        </w:rPr>
        <w:t>Revised Regional Aid Guidelines ad</w:t>
      </w:r>
      <w:r w:rsidRPr="00D46266">
        <w:rPr>
          <w:noProof/>
        </w:rPr>
        <w:t xml:space="preserve">opted </w:t>
      </w:r>
    </w:p>
    <w:p w14:paraId="485F4133" w14:textId="1A3AE83B" w:rsidR="00104A68" w:rsidRPr="00542D19" w:rsidRDefault="008318A4" w:rsidP="00104A68">
      <w:pPr>
        <w:jc w:val="both"/>
        <w:rPr>
          <w:noProof/>
          <w:szCs w:val="24"/>
        </w:rPr>
      </w:pPr>
      <w:r w:rsidRPr="00947B7D">
        <w:rPr>
          <w:rFonts w:eastAsia="Times New Roman" w:cs="Times New Roman"/>
          <w:noProof/>
          <w:color w:val="000000" w:themeColor="text1"/>
        </w:rPr>
        <w:t>The Regional Aid G</w:t>
      </w:r>
      <w:r w:rsidR="00104A68" w:rsidRPr="00947B7D">
        <w:rPr>
          <w:rFonts w:eastAsia="Times New Roman" w:cs="Times New Roman"/>
          <w:noProof/>
          <w:color w:val="000000" w:themeColor="text1"/>
        </w:rPr>
        <w:t xml:space="preserve">uidelines </w:t>
      </w:r>
      <w:r w:rsidRPr="00947B7D">
        <w:rPr>
          <w:rFonts w:eastAsia="Times New Roman" w:cs="Times New Roman"/>
          <w:noProof/>
          <w:color w:val="000000" w:themeColor="text1"/>
        </w:rPr>
        <w:t>allow</w:t>
      </w:r>
      <w:r w:rsidR="00104A68" w:rsidRPr="004155ED">
        <w:rPr>
          <w:rFonts w:eastAsia="Times New Roman" w:cs="Times New Roman"/>
          <w:noProof/>
          <w:color w:val="000000" w:themeColor="text1"/>
        </w:rPr>
        <w:t xml:space="preserve"> </w:t>
      </w:r>
      <w:r w:rsidR="00104A68" w:rsidRPr="004155ED">
        <w:rPr>
          <w:rFonts w:eastAsia="Times New Roman" w:cs="Times New Roman"/>
          <w:noProof/>
        </w:rPr>
        <w:t xml:space="preserve">Member States to support least favoured regions as well as regions facing transitional or structural challenges. </w:t>
      </w:r>
      <w:r w:rsidR="00FE4DB0">
        <w:rPr>
          <w:rFonts w:eastAsia="Times New Roman" w:cs="Times New Roman"/>
          <w:noProof/>
        </w:rPr>
        <w:t>T</w:t>
      </w:r>
      <w:r w:rsidR="00104A68" w:rsidRPr="00062864">
        <w:rPr>
          <w:rFonts w:eastAsia="Times New Roman" w:cs="Times New Roman"/>
          <w:noProof/>
        </w:rPr>
        <w:t xml:space="preserve">he Guidelines </w:t>
      </w:r>
      <w:r w:rsidR="00FE4DB0">
        <w:rPr>
          <w:rFonts w:eastAsia="Times New Roman" w:cs="Times New Roman"/>
          <w:noProof/>
        </w:rPr>
        <w:t xml:space="preserve">also </w:t>
      </w:r>
      <w:r w:rsidR="00104A68" w:rsidRPr="00062864">
        <w:rPr>
          <w:rFonts w:eastAsia="Times New Roman" w:cs="Times New Roman"/>
          <w:noProof/>
        </w:rPr>
        <w:t xml:space="preserve">ensure the integrity of the Single Market while taking into account </w:t>
      </w:r>
      <w:r w:rsidR="00FE4DB0">
        <w:rPr>
          <w:rFonts w:eastAsia="Times New Roman" w:cs="Times New Roman"/>
          <w:noProof/>
        </w:rPr>
        <w:t xml:space="preserve">the </w:t>
      </w:r>
      <w:r w:rsidRPr="00062864">
        <w:rPr>
          <w:rFonts w:eastAsia="Times New Roman" w:cs="Times New Roman"/>
          <w:noProof/>
        </w:rPr>
        <w:t xml:space="preserve">EU </w:t>
      </w:r>
      <w:r w:rsidR="00104A68" w:rsidRPr="00062864">
        <w:rPr>
          <w:rFonts w:eastAsia="Times New Roman" w:cs="Times New Roman"/>
          <w:noProof/>
        </w:rPr>
        <w:t>cohesion objectives</w:t>
      </w:r>
      <w:r w:rsidRPr="00062864">
        <w:rPr>
          <w:rFonts w:eastAsia="Times New Roman" w:cs="Times New Roman"/>
          <w:noProof/>
        </w:rPr>
        <w:t>.</w:t>
      </w:r>
      <w:r w:rsidR="00104A68" w:rsidRPr="00373CE6">
        <w:rPr>
          <w:rFonts w:eastAsia="Times New Roman" w:cs="Times New Roman"/>
          <w:noProof/>
        </w:rPr>
        <w:t xml:space="preserve"> Following the evaluation of the current rules in </w:t>
      </w:r>
      <w:r w:rsidR="00104A68" w:rsidRPr="00373CE6">
        <w:rPr>
          <w:rFonts w:eastAsia="Times New Roman" w:cs="Times New Roman"/>
          <w:noProof/>
          <w:color w:val="000000" w:themeColor="text1"/>
        </w:rPr>
        <w:t>2019</w:t>
      </w:r>
      <w:r w:rsidR="00104A68" w:rsidRPr="00947B7D">
        <w:rPr>
          <w:rFonts w:eastAsia="Times New Roman" w:cs="Times New Roman"/>
          <w:noProof/>
          <w:color w:val="000000" w:themeColor="text1"/>
          <w:vertAlign w:val="superscript"/>
        </w:rPr>
        <w:footnoteReference w:id="44"/>
      </w:r>
      <w:r w:rsidR="00104A68" w:rsidRPr="00947B7D">
        <w:rPr>
          <w:rFonts w:eastAsia="Times New Roman" w:cs="Times New Roman"/>
          <w:noProof/>
          <w:color w:val="000000" w:themeColor="text1"/>
        </w:rPr>
        <w:t xml:space="preserve"> and </w:t>
      </w:r>
      <w:r w:rsidRPr="00947B7D">
        <w:rPr>
          <w:rFonts w:eastAsia="Times New Roman" w:cs="Times New Roman"/>
          <w:noProof/>
          <w:color w:val="000000" w:themeColor="text1"/>
        </w:rPr>
        <w:t xml:space="preserve">an </w:t>
      </w:r>
      <w:r w:rsidR="00104A68" w:rsidRPr="00947B7D">
        <w:rPr>
          <w:rFonts w:eastAsia="Times New Roman" w:cs="Times New Roman"/>
          <w:noProof/>
          <w:color w:val="000000" w:themeColor="text1"/>
        </w:rPr>
        <w:t>extensive consultation of stakeholders on the draft text, the Com</w:t>
      </w:r>
      <w:r w:rsidR="00104A68" w:rsidRPr="004155ED">
        <w:rPr>
          <w:rFonts w:eastAsia="Times New Roman" w:cs="Times New Roman"/>
          <w:noProof/>
          <w:color w:val="000000" w:themeColor="text1"/>
        </w:rPr>
        <w:t xml:space="preserve">mission adopted </w:t>
      </w:r>
      <w:r w:rsidR="000C105D" w:rsidRPr="004155ED">
        <w:rPr>
          <w:rFonts w:eastAsia="Times New Roman" w:cs="Times New Roman"/>
          <w:noProof/>
          <w:color w:val="000000" w:themeColor="text1"/>
        </w:rPr>
        <w:t xml:space="preserve">the </w:t>
      </w:r>
      <w:r w:rsidR="00104A68" w:rsidRPr="004155ED">
        <w:rPr>
          <w:rFonts w:eastAsia="Times New Roman" w:cs="Times New Roman"/>
          <w:noProof/>
          <w:color w:val="000000" w:themeColor="text1"/>
        </w:rPr>
        <w:t>revised</w:t>
      </w:r>
      <w:r w:rsidR="000C105D" w:rsidRPr="004155ED">
        <w:rPr>
          <w:rFonts w:eastAsia="Times New Roman" w:cs="Times New Roman"/>
          <w:noProof/>
          <w:color w:val="000000" w:themeColor="text1"/>
        </w:rPr>
        <w:t xml:space="preserve"> </w:t>
      </w:r>
      <w:r w:rsidR="00104A68" w:rsidRPr="00062864">
        <w:rPr>
          <w:rFonts w:eastAsia="Times New Roman" w:cs="Times New Roman"/>
          <w:noProof/>
          <w:color w:val="000000" w:themeColor="text1"/>
        </w:rPr>
        <w:t>Regional Aid Guidelines in April 2021</w:t>
      </w:r>
      <w:r w:rsidRPr="00947B7D">
        <w:rPr>
          <w:rStyle w:val="FootnoteReference"/>
          <w:rFonts w:eastAsia="Times New Roman" w:cs="Times New Roman"/>
          <w:noProof/>
          <w:color w:val="000000" w:themeColor="text1"/>
        </w:rPr>
        <w:footnoteReference w:id="45"/>
      </w:r>
      <w:r w:rsidRPr="00947B7D">
        <w:rPr>
          <w:rFonts w:eastAsia="Times New Roman" w:cs="Times New Roman"/>
          <w:noProof/>
          <w:color w:val="000000" w:themeColor="text1"/>
        </w:rPr>
        <w:t xml:space="preserve">. </w:t>
      </w:r>
      <w:r w:rsidR="00104A68" w:rsidRPr="00947B7D">
        <w:rPr>
          <w:rFonts w:eastAsia="Times New Roman" w:cs="Times New Roman"/>
          <w:noProof/>
          <w:color w:val="000000" w:themeColor="text1"/>
        </w:rPr>
        <w:t xml:space="preserve">The revised </w:t>
      </w:r>
      <w:r w:rsidR="00104A68" w:rsidRPr="00947B7D">
        <w:rPr>
          <w:rFonts w:eastAsia="Times New Roman" w:cs="Times New Roman"/>
          <w:noProof/>
        </w:rPr>
        <w:t>guidelines include a number of targeted adjustments reflect</w:t>
      </w:r>
      <w:r w:rsidRPr="004155ED">
        <w:rPr>
          <w:rFonts w:eastAsia="Times New Roman" w:cs="Times New Roman"/>
          <w:noProof/>
        </w:rPr>
        <w:t>ing</w:t>
      </w:r>
      <w:r w:rsidR="00104A68" w:rsidRPr="004155ED">
        <w:rPr>
          <w:rFonts w:eastAsia="Times New Roman" w:cs="Times New Roman"/>
          <w:noProof/>
        </w:rPr>
        <w:t xml:space="preserve"> the experience gained from the application of the previous rules. They also </w:t>
      </w:r>
      <w:r w:rsidRPr="00062864">
        <w:rPr>
          <w:rFonts w:eastAsia="Times New Roman" w:cs="Times New Roman"/>
          <w:noProof/>
        </w:rPr>
        <w:t xml:space="preserve">take into account </w:t>
      </w:r>
      <w:r w:rsidR="00104A68" w:rsidRPr="00062864">
        <w:rPr>
          <w:rFonts w:eastAsia="Times New Roman" w:cs="Times New Roman"/>
          <w:noProof/>
        </w:rPr>
        <w:t>new policy priorities related to the European Green Deal and the European Industrial and Digital Strategies. The revised Regional Aid Guidelines entered into force on 1 January 2022.</w:t>
      </w:r>
    </w:p>
    <w:p w14:paraId="0955257C" w14:textId="77777777" w:rsidR="00105834" w:rsidRPr="000F147F" w:rsidRDefault="00EA019B">
      <w:pPr>
        <w:pStyle w:val="Heading4"/>
        <w:rPr>
          <w:i w:val="0"/>
          <w:iCs w:val="0"/>
          <w:noProof/>
        </w:rPr>
      </w:pPr>
      <w:r w:rsidRPr="00DB1492">
        <w:rPr>
          <w:noProof/>
        </w:rPr>
        <w:t>E</w:t>
      </w:r>
      <w:r w:rsidR="00105834" w:rsidRPr="00DB1492">
        <w:rPr>
          <w:noProof/>
        </w:rPr>
        <w:t>valuation of the Agricultural Block Exemption Regulation</w:t>
      </w:r>
      <w:r w:rsidR="00740B48" w:rsidRPr="00D46266">
        <w:rPr>
          <w:noProof/>
        </w:rPr>
        <w:t xml:space="preserve"> and Guidelines</w:t>
      </w:r>
      <w:r w:rsidR="00D51C3A" w:rsidRPr="00D46266">
        <w:rPr>
          <w:noProof/>
        </w:rPr>
        <w:t xml:space="preserve"> published</w:t>
      </w:r>
    </w:p>
    <w:p w14:paraId="228BC55D" w14:textId="6F2AEFD4" w:rsidR="00401231" w:rsidRPr="000F147F" w:rsidRDefault="00EA019B">
      <w:pPr>
        <w:ind w:right="4"/>
        <w:jc w:val="both"/>
        <w:rPr>
          <w:rFonts w:eastAsia="Times New Roman" w:cs="Times New Roman"/>
          <w:noProof/>
        </w:rPr>
      </w:pPr>
      <w:r w:rsidRPr="00947B7D">
        <w:rPr>
          <w:rFonts w:eastAsia="Times New Roman" w:cs="Times New Roman"/>
          <w:noProof/>
        </w:rPr>
        <w:t xml:space="preserve">In May 2021, the Commission published an </w:t>
      </w:r>
      <w:r w:rsidRPr="00F42E78">
        <w:rPr>
          <w:noProof/>
          <w:color w:val="000000" w:themeColor="text1"/>
        </w:rPr>
        <w:t>evaluation of</w:t>
      </w:r>
      <w:r w:rsidRPr="00947B7D">
        <w:rPr>
          <w:rFonts w:eastAsia="Times New Roman" w:cs="Times New Roman"/>
          <w:noProof/>
        </w:rPr>
        <w:t xml:space="preserve"> the Agricultural Block Exemption Regulation and the Guidelines for </w:t>
      </w:r>
      <w:r w:rsidR="007B24D9" w:rsidRPr="00947B7D">
        <w:rPr>
          <w:rFonts w:eastAsia="Times New Roman" w:cs="Times New Roman"/>
          <w:noProof/>
        </w:rPr>
        <w:t>S</w:t>
      </w:r>
      <w:r w:rsidRPr="00947B7D">
        <w:rPr>
          <w:rFonts w:eastAsia="Times New Roman" w:cs="Times New Roman"/>
          <w:noProof/>
        </w:rPr>
        <w:t>tate aid in the agricultural and fore</w:t>
      </w:r>
      <w:r w:rsidR="00FC3E97">
        <w:rPr>
          <w:rFonts w:eastAsia="Times New Roman" w:cs="Times New Roman"/>
          <w:noProof/>
        </w:rPr>
        <w:t>stry sectors and in rural areas</w:t>
      </w:r>
      <w:r w:rsidRPr="00947B7D">
        <w:rPr>
          <w:rStyle w:val="FootnoteReference"/>
          <w:rFonts w:eastAsia="Times New Roman" w:cs="Times New Roman"/>
          <w:noProof/>
        </w:rPr>
        <w:footnoteReference w:id="46"/>
      </w:r>
      <w:r w:rsidR="00FC3E97">
        <w:rPr>
          <w:rFonts w:eastAsia="Times New Roman" w:cs="Times New Roman"/>
          <w:noProof/>
        </w:rPr>
        <w:t>.</w:t>
      </w:r>
      <w:r w:rsidRPr="00947B7D">
        <w:rPr>
          <w:rFonts w:eastAsia="Times New Roman" w:cs="Times New Roman"/>
          <w:noProof/>
        </w:rPr>
        <w:t xml:space="preserve"> </w:t>
      </w:r>
      <w:r w:rsidR="00105834" w:rsidRPr="00947B7D">
        <w:rPr>
          <w:rFonts w:eastAsia="Times New Roman" w:cs="Times New Roman"/>
          <w:noProof/>
        </w:rPr>
        <w:t>The evaluation</w:t>
      </w:r>
      <w:r w:rsidRPr="00947B7D">
        <w:rPr>
          <w:rFonts w:eastAsia="Times New Roman" w:cs="Times New Roman"/>
          <w:noProof/>
        </w:rPr>
        <w:t xml:space="preserve"> concluded that o</w:t>
      </w:r>
      <w:r w:rsidR="00105834" w:rsidRPr="004155ED">
        <w:rPr>
          <w:rFonts w:eastAsia="Times New Roman" w:cs="Times New Roman"/>
          <w:noProof/>
        </w:rPr>
        <w:t xml:space="preserve">verall </w:t>
      </w:r>
      <w:r w:rsidR="00FE4DB0">
        <w:rPr>
          <w:rFonts w:eastAsia="Times New Roman" w:cs="Times New Roman"/>
          <w:noProof/>
        </w:rPr>
        <w:t xml:space="preserve">these rules are </w:t>
      </w:r>
      <w:r w:rsidR="00105834" w:rsidRPr="004155ED">
        <w:rPr>
          <w:rFonts w:eastAsia="Times New Roman" w:cs="Times New Roman"/>
          <w:noProof/>
        </w:rPr>
        <w:t>fit for purpose and meet the needs of the sectors concerned</w:t>
      </w:r>
      <w:r w:rsidR="00105834" w:rsidRPr="00947B7D">
        <w:rPr>
          <w:rStyle w:val="FootnoteReference"/>
          <w:rFonts w:eastAsia="Times New Roman" w:cs="Times New Roman"/>
          <w:noProof/>
        </w:rPr>
        <w:footnoteReference w:id="47"/>
      </w:r>
      <w:r w:rsidR="00105834" w:rsidRPr="00947B7D">
        <w:rPr>
          <w:rFonts w:eastAsia="Times New Roman" w:cs="Times New Roman"/>
          <w:noProof/>
        </w:rPr>
        <w:t xml:space="preserve">. However, certain targeted revisions, including clarifications of some concepts, further streamlining and simplification, </w:t>
      </w:r>
      <w:r w:rsidR="00BC5ADC">
        <w:rPr>
          <w:rFonts w:eastAsia="Times New Roman" w:cs="Times New Roman"/>
          <w:noProof/>
        </w:rPr>
        <w:t xml:space="preserve">aligment to the reform of the </w:t>
      </w:r>
      <w:r w:rsidR="00BC5ADC" w:rsidRPr="004155ED">
        <w:rPr>
          <w:rFonts w:eastAsia="Times New Roman" w:cs="Times New Roman"/>
          <w:noProof/>
        </w:rPr>
        <w:t>Common Agricultural Policy</w:t>
      </w:r>
      <w:r w:rsidR="00BC5ADC" w:rsidRPr="00947B7D">
        <w:rPr>
          <w:rStyle w:val="FootnoteReference"/>
          <w:rFonts w:eastAsia="Times New Roman" w:cs="Times New Roman"/>
          <w:noProof/>
        </w:rPr>
        <w:footnoteReference w:id="48"/>
      </w:r>
      <w:r w:rsidR="00105834" w:rsidRPr="00947B7D">
        <w:rPr>
          <w:rFonts w:eastAsia="Times New Roman" w:cs="Times New Roman"/>
          <w:noProof/>
        </w:rPr>
        <w:t>as well as adjustments to reflect the current priorities</w:t>
      </w:r>
      <w:r w:rsidR="008318A4" w:rsidRPr="00947B7D">
        <w:rPr>
          <w:rFonts w:eastAsia="Times New Roman" w:cs="Times New Roman"/>
          <w:noProof/>
        </w:rPr>
        <w:t xml:space="preserve"> of the EU</w:t>
      </w:r>
      <w:r w:rsidR="00105834" w:rsidRPr="004155ED">
        <w:rPr>
          <w:rFonts w:eastAsia="Times New Roman" w:cs="Times New Roman"/>
          <w:noProof/>
        </w:rPr>
        <w:t xml:space="preserve">, in particular </w:t>
      </w:r>
      <w:r w:rsidR="00105834" w:rsidRPr="00947B7D">
        <w:rPr>
          <w:rFonts w:eastAsia="Times New Roman" w:cs="Times New Roman"/>
          <w:noProof/>
        </w:rPr>
        <w:t>the European Green Deal</w:t>
      </w:r>
      <w:r w:rsidR="00105834" w:rsidRPr="00947B7D">
        <w:rPr>
          <w:rStyle w:val="FootnoteReference"/>
          <w:rFonts w:eastAsia="Times New Roman" w:cs="Times New Roman"/>
          <w:noProof/>
        </w:rPr>
        <w:footnoteReference w:id="49"/>
      </w:r>
      <w:r w:rsidR="00105834" w:rsidRPr="00947B7D">
        <w:rPr>
          <w:rFonts w:eastAsia="Times New Roman" w:cs="Times New Roman"/>
          <w:noProof/>
        </w:rPr>
        <w:t>.</w:t>
      </w:r>
      <w:r w:rsidR="00105834" w:rsidRPr="00947B7D">
        <w:rPr>
          <w:rFonts w:eastAsia="Times New Roman" w:cs="Times New Roman"/>
          <w:b/>
          <w:bCs/>
          <w:noProof/>
        </w:rPr>
        <w:t xml:space="preserve"> </w:t>
      </w:r>
      <w:r w:rsidR="00491B09" w:rsidRPr="00947B7D">
        <w:rPr>
          <w:rFonts w:eastAsia="Times New Roman" w:cs="Times New Roman"/>
          <w:noProof/>
        </w:rPr>
        <w:t xml:space="preserve">The next step </w:t>
      </w:r>
      <w:r w:rsidR="007E1ACA">
        <w:rPr>
          <w:rFonts w:eastAsia="Times New Roman" w:cs="Times New Roman"/>
          <w:noProof/>
        </w:rPr>
        <w:t xml:space="preserve">is </w:t>
      </w:r>
      <w:r w:rsidR="00834E67">
        <w:rPr>
          <w:rFonts w:eastAsia="Times New Roman" w:cs="Times New Roman"/>
          <w:noProof/>
        </w:rPr>
        <w:t xml:space="preserve">making </w:t>
      </w:r>
      <w:r w:rsidR="007E1ACA">
        <w:rPr>
          <w:rFonts w:eastAsia="Times New Roman" w:cs="Times New Roman"/>
          <w:noProof/>
        </w:rPr>
        <w:t>an</w:t>
      </w:r>
      <w:r w:rsidR="00491B09" w:rsidRPr="00947B7D">
        <w:rPr>
          <w:rFonts w:eastAsia="Times New Roman" w:cs="Times New Roman"/>
          <w:noProof/>
        </w:rPr>
        <w:t xml:space="preserve"> impact assessment, which look</w:t>
      </w:r>
      <w:r w:rsidR="007E1ACA">
        <w:rPr>
          <w:rFonts w:eastAsia="Times New Roman" w:cs="Times New Roman"/>
          <w:noProof/>
        </w:rPr>
        <w:t>s</w:t>
      </w:r>
      <w:r w:rsidR="00491B09" w:rsidRPr="00947B7D">
        <w:rPr>
          <w:rFonts w:eastAsia="Times New Roman" w:cs="Times New Roman"/>
          <w:noProof/>
        </w:rPr>
        <w:t xml:space="preserve"> into the issues identified during th</w:t>
      </w:r>
      <w:r w:rsidR="00834E67">
        <w:rPr>
          <w:rFonts w:eastAsia="Times New Roman" w:cs="Times New Roman"/>
          <w:noProof/>
        </w:rPr>
        <w:t>e</w:t>
      </w:r>
      <w:r w:rsidR="00491B09" w:rsidRPr="00947B7D">
        <w:rPr>
          <w:rFonts w:eastAsia="Times New Roman" w:cs="Times New Roman"/>
          <w:noProof/>
        </w:rPr>
        <w:t xml:space="preserve"> evaluation. The </w:t>
      </w:r>
      <w:r w:rsidR="00834E67">
        <w:rPr>
          <w:rFonts w:eastAsia="Times New Roman" w:cs="Times New Roman"/>
          <w:noProof/>
        </w:rPr>
        <w:t xml:space="preserve">Commission expects </w:t>
      </w:r>
      <w:r w:rsidR="00491B09" w:rsidRPr="00947B7D">
        <w:rPr>
          <w:rFonts w:eastAsia="Times New Roman" w:cs="Times New Roman"/>
          <w:noProof/>
        </w:rPr>
        <w:t xml:space="preserve">to have </w:t>
      </w:r>
      <w:r w:rsidR="00834E67">
        <w:rPr>
          <w:rFonts w:eastAsia="Times New Roman" w:cs="Times New Roman"/>
          <w:noProof/>
        </w:rPr>
        <w:t xml:space="preserve">the </w:t>
      </w:r>
      <w:r w:rsidR="00491B09" w:rsidRPr="00947B7D">
        <w:rPr>
          <w:rFonts w:eastAsia="Times New Roman" w:cs="Times New Roman"/>
          <w:noProof/>
        </w:rPr>
        <w:t xml:space="preserve">revised rules </w:t>
      </w:r>
      <w:r w:rsidR="00BC5ADC">
        <w:rPr>
          <w:rFonts w:eastAsia="Times New Roman" w:cs="Times New Roman"/>
          <w:noProof/>
        </w:rPr>
        <w:t>adopted</w:t>
      </w:r>
      <w:r w:rsidR="00491B09" w:rsidRPr="004155ED">
        <w:rPr>
          <w:rFonts w:eastAsia="Times New Roman" w:cs="Times New Roman"/>
          <w:noProof/>
        </w:rPr>
        <w:t xml:space="preserve"> by 31 December 2022 when the current ones will expire.</w:t>
      </w:r>
    </w:p>
    <w:p w14:paraId="671F46EA" w14:textId="77777777" w:rsidR="00677C0B" w:rsidRDefault="00677C0B" w:rsidP="00677C0B">
      <w:pPr>
        <w:pStyle w:val="Heading3"/>
        <w:rPr>
          <w:noProof/>
        </w:rPr>
      </w:pPr>
      <w:bookmarkStart w:id="27" w:name="_Toc102030133"/>
      <w:r>
        <w:rPr>
          <w:noProof/>
        </w:rPr>
        <w:t xml:space="preserve">2.4. </w:t>
      </w:r>
      <w:r w:rsidRPr="00482CF7">
        <w:rPr>
          <w:noProof/>
        </w:rPr>
        <w:t xml:space="preserve">Adjusting DG Competition to current </w:t>
      </w:r>
      <w:r>
        <w:rPr>
          <w:noProof/>
        </w:rPr>
        <w:t xml:space="preserve">and future </w:t>
      </w:r>
      <w:r w:rsidRPr="00482CF7">
        <w:rPr>
          <w:noProof/>
        </w:rPr>
        <w:t>enforcement needs</w:t>
      </w:r>
      <w:bookmarkEnd w:id="27"/>
    </w:p>
    <w:p w14:paraId="35F07FCF" w14:textId="77777777" w:rsidR="00677C0B" w:rsidRDefault="003F753B" w:rsidP="00677C0B">
      <w:pPr>
        <w:pStyle w:val="Heading4"/>
        <w:rPr>
          <w:noProof/>
          <w:lang w:val="en-US"/>
        </w:rPr>
      </w:pPr>
      <w:r>
        <w:rPr>
          <w:noProof/>
        </w:rPr>
        <w:t>Digital transformation</w:t>
      </w:r>
    </w:p>
    <w:p w14:paraId="66640B41" w14:textId="705283DE" w:rsidR="003F753B" w:rsidRPr="000F147F" w:rsidRDefault="000A7A86">
      <w:pPr>
        <w:jc w:val="both"/>
        <w:rPr>
          <w:noProof/>
          <w:highlight w:val="yellow"/>
          <w:lang w:val="en-US"/>
        </w:rPr>
      </w:pPr>
      <w:r>
        <w:rPr>
          <w:noProof/>
        </w:rPr>
        <w:t xml:space="preserve">The Commission recognises </w:t>
      </w:r>
      <w:r w:rsidR="003B2BDB">
        <w:rPr>
          <w:noProof/>
        </w:rPr>
        <w:t xml:space="preserve">the </w:t>
      </w:r>
      <w:r>
        <w:rPr>
          <w:noProof/>
        </w:rPr>
        <w:t xml:space="preserve">digital transformation as a major political priority for its current mandate (Europe Fit for the Digital Age), not only for driving change in markets but also for enabling public sector modernisation. </w:t>
      </w:r>
      <w:r w:rsidR="00D46266">
        <w:rPr>
          <w:noProof/>
          <w:lang w:val="en-US"/>
        </w:rPr>
        <w:t>In 2021</w:t>
      </w:r>
      <w:r>
        <w:rPr>
          <w:noProof/>
          <w:lang w:val="en-US"/>
        </w:rPr>
        <w:t>,</w:t>
      </w:r>
      <w:r w:rsidR="00D46266">
        <w:rPr>
          <w:noProof/>
          <w:lang w:val="en-US"/>
        </w:rPr>
        <w:t xml:space="preserve"> DG Competition elaborated </w:t>
      </w:r>
      <w:r w:rsidR="00834E67">
        <w:rPr>
          <w:noProof/>
          <w:lang w:val="en-US"/>
        </w:rPr>
        <w:t xml:space="preserve">on </w:t>
      </w:r>
      <w:r w:rsidR="00D46266">
        <w:rPr>
          <w:noProof/>
          <w:lang w:val="en-US"/>
        </w:rPr>
        <w:t xml:space="preserve">and endorsed a comprehensive </w:t>
      </w:r>
      <w:r w:rsidR="000C105D">
        <w:rPr>
          <w:noProof/>
          <w:lang w:val="en-US"/>
        </w:rPr>
        <w:t xml:space="preserve">internal </w:t>
      </w:r>
      <w:r w:rsidR="00D46266">
        <w:rPr>
          <w:noProof/>
          <w:lang w:val="en-US"/>
        </w:rPr>
        <w:t xml:space="preserve">Digital </w:t>
      </w:r>
      <w:r w:rsidR="00853430">
        <w:rPr>
          <w:noProof/>
          <w:lang w:val="en-US"/>
        </w:rPr>
        <w:t>S</w:t>
      </w:r>
      <w:r w:rsidR="00D46266">
        <w:rPr>
          <w:noProof/>
          <w:lang w:val="en-US"/>
        </w:rPr>
        <w:t>trategy</w:t>
      </w:r>
      <w:r w:rsidR="00834E67">
        <w:rPr>
          <w:noProof/>
          <w:lang w:val="en-US"/>
        </w:rPr>
        <w:t xml:space="preserve">, which will make DG Competition’s </w:t>
      </w:r>
      <w:r w:rsidR="003F753B" w:rsidRPr="000F147F">
        <w:rPr>
          <w:noProof/>
        </w:rPr>
        <w:t xml:space="preserve">investigatory </w:t>
      </w:r>
      <w:r w:rsidR="00677C0B" w:rsidRPr="000F147F">
        <w:rPr>
          <w:noProof/>
        </w:rPr>
        <w:t xml:space="preserve">processes </w:t>
      </w:r>
      <w:r w:rsidR="00834E67">
        <w:rPr>
          <w:noProof/>
        </w:rPr>
        <w:t xml:space="preserve">and other activities </w:t>
      </w:r>
      <w:r w:rsidR="00677C0B" w:rsidRPr="000F147F">
        <w:rPr>
          <w:noProof/>
        </w:rPr>
        <w:t>more efficient</w:t>
      </w:r>
      <w:r w:rsidR="00834E67">
        <w:rPr>
          <w:noProof/>
        </w:rPr>
        <w:t xml:space="preserve">. Moreover, the Digital Strategy will </w:t>
      </w:r>
      <w:r w:rsidR="003F753B" w:rsidRPr="000F147F">
        <w:rPr>
          <w:noProof/>
        </w:rPr>
        <w:t xml:space="preserve">strengthen </w:t>
      </w:r>
      <w:r w:rsidRPr="000F147F">
        <w:rPr>
          <w:noProof/>
        </w:rPr>
        <w:t>EU competition law enforcement</w:t>
      </w:r>
      <w:r w:rsidR="00834E67">
        <w:rPr>
          <w:noProof/>
        </w:rPr>
        <w:t xml:space="preserve"> by investing in </w:t>
      </w:r>
      <w:r w:rsidR="00677C0B" w:rsidRPr="000F147F">
        <w:rPr>
          <w:noProof/>
        </w:rPr>
        <w:t xml:space="preserve">state-of-the-art digital solutions and by modernising </w:t>
      </w:r>
      <w:r w:rsidR="00834E67">
        <w:rPr>
          <w:noProof/>
        </w:rPr>
        <w:t xml:space="preserve">DG Competition’s </w:t>
      </w:r>
      <w:r w:rsidR="00677C0B" w:rsidRPr="000F147F">
        <w:rPr>
          <w:noProof/>
        </w:rPr>
        <w:t>case management systems</w:t>
      </w:r>
      <w:r w:rsidR="00A30912" w:rsidRPr="000F147F">
        <w:rPr>
          <w:noProof/>
        </w:rPr>
        <w:t>, notably by launching CASE@EC for State Aid and document management.</w:t>
      </w:r>
      <w:r w:rsidR="00677C0B" w:rsidRPr="000F147F">
        <w:rPr>
          <w:noProof/>
        </w:rPr>
        <w:t xml:space="preserve"> </w:t>
      </w:r>
      <w:r w:rsidR="00A65600" w:rsidRPr="000F147F">
        <w:rPr>
          <w:rFonts w:cs="Times New Roman"/>
          <w:noProof/>
          <w:color w:val="000000"/>
        </w:rPr>
        <w:t xml:space="preserve">The </w:t>
      </w:r>
      <w:r w:rsidR="003F753B" w:rsidRPr="000F147F">
        <w:rPr>
          <w:rFonts w:cs="Times New Roman"/>
          <w:noProof/>
          <w:color w:val="000000"/>
        </w:rPr>
        <w:t xml:space="preserve">Digital Strategy is firmly anchored </w:t>
      </w:r>
      <w:r w:rsidR="00834E67">
        <w:rPr>
          <w:rFonts w:cs="Times New Roman"/>
          <w:noProof/>
          <w:color w:val="000000"/>
        </w:rPr>
        <w:t>in</w:t>
      </w:r>
      <w:r w:rsidR="003F753B" w:rsidRPr="000F147F">
        <w:rPr>
          <w:rFonts w:cs="Times New Roman"/>
          <w:noProof/>
          <w:color w:val="000000"/>
        </w:rPr>
        <w:t xml:space="preserve"> the European Commission’s </w:t>
      </w:r>
      <w:r w:rsidR="00853430" w:rsidRPr="000F147F">
        <w:rPr>
          <w:rFonts w:cs="Times New Roman"/>
          <w:noProof/>
          <w:color w:val="000000"/>
        </w:rPr>
        <w:t xml:space="preserve">overall </w:t>
      </w:r>
      <w:r w:rsidR="003F753B" w:rsidRPr="000F147F">
        <w:rPr>
          <w:rFonts w:cs="Times New Roman"/>
          <w:noProof/>
          <w:color w:val="000000"/>
        </w:rPr>
        <w:t xml:space="preserve">Digital Strategy </w:t>
      </w:r>
      <w:r w:rsidR="00834E67">
        <w:rPr>
          <w:rFonts w:cs="Times New Roman"/>
          <w:noProof/>
          <w:color w:val="000000"/>
        </w:rPr>
        <w:t xml:space="preserve">which </w:t>
      </w:r>
      <w:r w:rsidR="003F753B" w:rsidRPr="000F147F">
        <w:rPr>
          <w:rFonts w:cs="Times New Roman"/>
          <w:noProof/>
          <w:color w:val="000000"/>
        </w:rPr>
        <w:t>transform</w:t>
      </w:r>
      <w:r w:rsidR="00834E67">
        <w:rPr>
          <w:rFonts w:cs="Times New Roman"/>
          <w:noProof/>
          <w:color w:val="000000"/>
        </w:rPr>
        <w:t>s</w:t>
      </w:r>
      <w:r w:rsidR="003F753B" w:rsidRPr="000F147F">
        <w:rPr>
          <w:rFonts w:cs="Times New Roman"/>
          <w:noProof/>
          <w:color w:val="000000"/>
        </w:rPr>
        <w:t xml:space="preserve"> the Commission into a digitally-enabled, user-focused and data-driven organisation.</w:t>
      </w:r>
      <w:r w:rsidR="003F753B" w:rsidRPr="00062864">
        <w:rPr>
          <w:rFonts w:cs="Times New Roman"/>
          <w:i/>
          <w:iCs/>
          <w:noProof/>
          <w:color w:val="000000"/>
          <w:lang w:val="en-US"/>
        </w:rPr>
        <w:t xml:space="preserve"> </w:t>
      </w:r>
    </w:p>
    <w:p w14:paraId="27109B66" w14:textId="533A7824" w:rsidR="00677C0B" w:rsidRPr="000F147F" w:rsidRDefault="00677C0B">
      <w:pPr>
        <w:jc w:val="both"/>
        <w:rPr>
          <w:rFonts w:cs="Times New Roman"/>
          <w:noProof/>
          <w:lang w:val="en-US"/>
        </w:rPr>
      </w:pPr>
      <w:r>
        <w:rPr>
          <w:noProof/>
          <w:lang w:val="en-US"/>
        </w:rPr>
        <w:t>DG Competition is developing</w:t>
      </w:r>
      <w:r w:rsidR="00F376C2">
        <w:rPr>
          <w:noProof/>
          <w:lang w:val="en-US"/>
        </w:rPr>
        <w:t xml:space="preserve"> and improving</w:t>
      </w:r>
      <w:r>
        <w:rPr>
          <w:noProof/>
          <w:lang w:val="en-US"/>
        </w:rPr>
        <w:t xml:space="preserve"> digital solutions </w:t>
      </w:r>
      <w:r w:rsidR="00F376C2">
        <w:rPr>
          <w:noProof/>
          <w:lang w:val="en-US"/>
        </w:rPr>
        <w:t>support</w:t>
      </w:r>
      <w:r w:rsidR="00834E67">
        <w:rPr>
          <w:noProof/>
          <w:lang w:val="en-US"/>
        </w:rPr>
        <w:t>ing</w:t>
      </w:r>
      <w:r w:rsidR="00F376C2">
        <w:rPr>
          <w:noProof/>
          <w:lang w:val="en-US"/>
        </w:rPr>
        <w:t xml:space="preserve"> </w:t>
      </w:r>
      <w:r w:rsidR="00834E67">
        <w:rPr>
          <w:noProof/>
          <w:lang w:val="en-US"/>
        </w:rPr>
        <w:t xml:space="preserve">the </w:t>
      </w:r>
      <w:r w:rsidR="00F376C2">
        <w:rPr>
          <w:noProof/>
          <w:lang w:val="en-US"/>
        </w:rPr>
        <w:t>interaction</w:t>
      </w:r>
      <w:r>
        <w:rPr>
          <w:noProof/>
          <w:lang w:val="en-US"/>
        </w:rPr>
        <w:t xml:space="preserve"> </w:t>
      </w:r>
      <w:r w:rsidR="00834E67">
        <w:rPr>
          <w:noProof/>
          <w:lang w:val="en-US"/>
        </w:rPr>
        <w:t xml:space="preserve">between </w:t>
      </w:r>
      <w:r>
        <w:rPr>
          <w:noProof/>
          <w:lang w:val="en-US"/>
        </w:rPr>
        <w:t xml:space="preserve">external stakeholders such as NCAs, companies active in the Single Market, </w:t>
      </w:r>
      <w:r w:rsidRPr="00723F53">
        <w:rPr>
          <w:noProof/>
          <w:lang w:val="en-US"/>
        </w:rPr>
        <w:t>law firms and pri</w:t>
      </w:r>
      <w:r w:rsidRPr="003A26E9">
        <w:rPr>
          <w:noProof/>
          <w:lang w:val="en-US"/>
        </w:rPr>
        <w:t>vate citizens.</w:t>
      </w:r>
      <w:r>
        <w:rPr>
          <w:noProof/>
          <w:lang w:val="en-US"/>
        </w:rPr>
        <w:t xml:space="preserve"> </w:t>
      </w:r>
      <w:r w:rsidR="00A30912">
        <w:rPr>
          <w:noProof/>
          <w:lang w:val="en-US"/>
        </w:rPr>
        <w:t>In this context, DG Competition launched in 2021 three new digital solutions</w:t>
      </w:r>
      <w:r w:rsidR="0043691C">
        <w:rPr>
          <w:noProof/>
          <w:lang w:val="en-US"/>
        </w:rPr>
        <w:t>;</w:t>
      </w:r>
      <w:r w:rsidR="00A30912">
        <w:rPr>
          <w:noProof/>
          <w:lang w:val="en-US"/>
        </w:rPr>
        <w:t xml:space="preserve"> State Aid Reporting Interactive (SARI2), eConfidentiality and eRFI. </w:t>
      </w:r>
      <w:r>
        <w:rPr>
          <w:noProof/>
          <w:lang w:val="en-US"/>
        </w:rPr>
        <w:t xml:space="preserve">DG Competition also initiated a project to revamp case-related information published on the EUROPA website, with the aim to </w:t>
      </w:r>
      <w:r w:rsidR="003F753B" w:rsidRPr="00947B7D">
        <w:rPr>
          <w:rFonts w:cs="Times New Roman"/>
          <w:noProof/>
          <w:color w:val="000000"/>
          <w:lang w:val="en-US"/>
        </w:rPr>
        <w:t>better access, search and export public data on competition policy (including State Aid, Antitrust and Merger cases and decisions).</w:t>
      </w:r>
      <w:r w:rsidR="00D46266">
        <w:rPr>
          <w:noProof/>
          <w:lang w:val="en-US"/>
        </w:rPr>
        <w:t xml:space="preserve"> </w:t>
      </w:r>
      <w:r w:rsidR="00853430">
        <w:rPr>
          <w:noProof/>
          <w:lang w:val="en-US"/>
        </w:rPr>
        <w:t>G</w:t>
      </w:r>
      <w:r w:rsidR="00D46266" w:rsidRPr="00F532E0">
        <w:rPr>
          <w:noProof/>
          <w:lang w:val="en-US"/>
        </w:rPr>
        <w:t xml:space="preserve">iven </w:t>
      </w:r>
      <w:r w:rsidR="00D46266">
        <w:rPr>
          <w:noProof/>
          <w:lang w:val="en-US"/>
        </w:rPr>
        <w:t xml:space="preserve">the </w:t>
      </w:r>
      <w:r w:rsidR="00D46266" w:rsidRPr="00F532E0">
        <w:rPr>
          <w:noProof/>
          <w:lang w:val="en-US"/>
        </w:rPr>
        <w:t>sensitive and confidential nature</w:t>
      </w:r>
      <w:r w:rsidR="00D46266">
        <w:rPr>
          <w:noProof/>
          <w:lang w:val="en-US"/>
        </w:rPr>
        <w:t xml:space="preserve"> of the information </w:t>
      </w:r>
      <w:r w:rsidR="00D46266" w:rsidRPr="00F532E0">
        <w:rPr>
          <w:noProof/>
          <w:lang w:val="en-US"/>
        </w:rPr>
        <w:t>DG Competition</w:t>
      </w:r>
      <w:r w:rsidR="00D46266">
        <w:rPr>
          <w:noProof/>
          <w:lang w:val="en-US"/>
        </w:rPr>
        <w:t xml:space="preserve"> handles, </w:t>
      </w:r>
      <w:r w:rsidR="00A30912">
        <w:rPr>
          <w:noProof/>
          <w:lang w:val="en-US"/>
        </w:rPr>
        <w:t xml:space="preserve">IT </w:t>
      </w:r>
      <w:r w:rsidR="00F376C2" w:rsidRPr="00947B7D">
        <w:rPr>
          <w:rFonts w:cs="Times New Roman"/>
          <w:noProof/>
          <w:lang w:val="en-US"/>
        </w:rPr>
        <w:t xml:space="preserve">security plans for new </w:t>
      </w:r>
      <w:r w:rsidR="0043691C">
        <w:rPr>
          <w:rFonts w:cs="Times New Roman"/>
          <w:noProof/>
          <w:lang w:val="en-US"/>
        </w:rPr>
        <w:t xml:space="preserve">as well as </w:t>
      </w:r>
      <w:r w:rsidR="00F376C2" w:rsidRPr="00947B7D">
        <w:rPr>
          <w:rFonts w:cs="Times New Roman"/>
          <w:noProof/>
          <w:lang w:val="en-US"/>
        </w:rPr>
        <w:t>existing digital solutions have been drafted or updated</w:t>
      </w:r>
      <w:r w:rsidR="0043691C">
        <w:rPr>
          <w:rFonts w:cs="Times New Roman"/>
          <w:noProof/>
          <w:lang w:val="en-US"/>
        </w:rPr>
        <w:t>. T</w:t>
      </w:r>
      <w:r w:rsidR="00F376C2" w:rsidRPr="00947B7D">
        <w:rPr>
          <w:rFonts w:cs="Times New Roman"/>
          <w:noProof/>
          <w:lang w:val="en-US"/>
        </w:rPr>
        <w:t>he necessary safety and monitoring</w:t>
      </w:r>
      <w:r w:rsidR="00A30912" w:rsidRPr="00947B7D">
        <w:rPr>
          <w:rFonts w:cs="Times New Roman"/>
          <w:noProof/>
          <w:lang w:val="en-US"/>
        </w:rPr>
        <w:t xml:space="preserve"> measures are being implemented</w:t>
      </w:r>
      <w:r w:rsidR="0043691C">
        <w:rPr>
          <w:rFonts w:cs="Times New Roman"/>
          <w:noProof/>
          <w:lang w:val="en-US"/>
        </w:rPr>
        <w:t xml:space="preserve"> to </w:t>
      </w:r>
      <w:r w:rsidR="00A30912" w:rsidRPr="00947B7D">
        <w:rPr>
          <w:rFonts w:cs="Times New Roman"/>
          <w:noProof/>
          <w:lang w:val="en-US"/>
        </w:rPr>
        <w:t xml:space="preserve">enhance </w:t>
      </w:r>
      <w:r w:rsidR="0034660D">
        <w:rPr>
          <w:noProof/>
        </w:rPr>
        <w:t>cyber security and cyber resilience.</w:t>
      </w:r>
    </w:p>
    <w:p w14:paraId="43266947" w14:textId="77777777" w:rsidR="00677C0B" w:rsidRDefault="00677C0B" w:rsidP="00677C0B">
      <w:pPr>
        <w:jc w:val="both"/>
        <w:rPr>
          <w:noProof/>
          <w:lang w:val="en-US"/>
        </w:rPr>
      </w:pPr>
      <w:r w:rsidRPr="006F60FA">
        <w:rPr>
          <w:noProof/>
          <w:lang w:val="en-US"/>
        </w:rPr>
        <w:t>In 2021, DG Competition continued investing in corporate intelligence</w:t>
      </w:r>
      <w:r w:rsidR="00F376C2">
        <w:rPr>
          <w:noProof/>
          <w:lang w:val="en-US"/>
        </w:rPr>
        <w:t xml:space="preserve">, </w:t>
      </w:r>
      <w:r w:rsidR="00F376C2" w:rsidRPr="00947B7D">
        <w:rPr>
          <w:rFonts w:cs="Times New Roman"/>
          <w:noProof/>
          <w:lang w:val="en-US"/>
        </w:rPr>
        <w:t>advanced data and machine learning services and solutions to support investigations</w:t>
      </w:r>
      <w:r w:rsidRPr="006F60FA">
        <w:rPr>
          <w:noProof/>
          <w:lang w:val="en-US"/>
        </w:rPr>
        <w:t xml:space="preserve">. </w:t>
      </w:r>
      <w:r w:rsidR="00F376C2">
        <w:rPr>
          <w:noProof/>
          <w:lang w:val="en-US"/>
        </w:rPr>
        <w:t>A</w:t>
      </w:r>
      <w:r w:rsidRPr="006F60FA">
        <w:rPr>
          <w:noProof/>
          <w:lang w:val="en-US"/>
        </w:rPr>
        <w:t xml:space="preserve"> dedicated unit conducts intelligence and investigative analyses and provides forensic IT support. Moreover, the unit collects and analyses information from publicly available sources and gathers information of potential investigative interest for the detection of new cases.</w:t>
      </w:r>
    </w:p>
    <w:p w14:paraId="33A19EBD" w14:textId="77777777" w:rsidR="00677C0B" w:rsidRPr="003B2C93" w:rsidRDefault="00677C0B" w:rsidP="00677C0B">
      <w:pPr>
        <w:pStyle w:val="Heading4"/>
        <w:rPr>
          <w:noProof/>
        </w:rPr>
      </w:pPr>
      <w:r w:rsidRPr="003B2C93">
        <w:rPr>
          <w:noProof/>
        </w:rPr>
        <w:t>Resources and organisation</w:t>
      </w:r>
    </w:p>
    <w:p w14:paraId="5A53793F" w14:textId="01F64B14" w:rsidR="00677C0B" w:rsidRDefault="00677C0B" w:rsidP="00F42E78">
      <w:pPr>
        <w:jc w:val="both"/>
        <w:rPr>
          <w:noProof/>
        </w:rPr>
      </w:pPr>
      <w:r>
        <w:rPr>
          <w:rFonts w:eastAsia="Times New Roman" w:cs="Times New Roman"/>
          <w:noProof/>
          <w:szCs w:val="24"/>
        </w:rPr>
        <w:t xml:space="preserve">To better cope with </w:t>
      </w:r>
      <w:r w:rsidR="00CB0A6E">
        <w:rPr>
          <w:rFonts w:eastAsia="Times New Roman" w:cs="Times New Roman"/>
          <w:noProof/>
          <w:szCs w:val="24"/>
        </w:rPr>
        <w:t>evolving policy developments</w:t>
      </w:r>
      <w:r>
        <w:rPr>
          <w:rFonts w:eastAsia="Times New Roman" w:cs="Times New Roman"/>
          <w:noProof/>
          <w:szCs w:val="24"/>
        </w:rPr>
        <w:t>, in November 2021 DG Competition carried out a</w:t>
      </w:r>
      <w:r w:rsidRPr="00542D19">
        <w:rPr>
          <w:rFonts w:eastAsia="Times New Roman" w:cs="Times New Roman"/>
          <w:noProof/>
          <w:szCs w:val="24"/>
        </w:rPr>
        <w:t xml:space="preserve"> re-organisation</w:t>
      </w:r>
      <w:r>
        <w:rPr>
          <w:rFonts w:eastAsia="Times New Roman" w:cs="Times New Roman"/>
          <w:noProof/>
          <w:szCs w:val="24"/>
        </w:rPr>
        <w:t xml:space="preserve"> within the existing organisational structure</w:t>
      </w:r>
      <w:r w:rsidRPr="00542D19">
        <w:rPr>
          <w:rFonts w:eastAsia="Times New Roman" w:cs="Times New Roman"/>
          <w:noProof/>
          <w:szCs w:val="24"/>
        </w:rPr>
        <w:t xml:space="preserve">. </w:t>
      </w:r>
      <w:r>
        <w:rPr>
          <w:rFonts w:eastAsia="Times New Roman" w:cs="Times New Roman"/>
          <w:noProof/>
          <w:szCs w:val="24"/>
        </w:rPr>
        <w:t>T</w:t>
      </w:r>
      <w:r w:rsidRPr="00542D19">
        <w:rPr>
          <w:rFonts w:eastAsia="Times New Roman" w:cs="Times New Roman"/>
          <w:noProof/>
          <w:szCs w:val="24"/>
        </w:rPr>
        <w:t xml:space="preserve">he number of units dealing with Important Projects of Common European Interest (IPCEI) was increased from one to two. Moreover, a Task Force for the Digital Markets Act was formed to support the adoption </w:t>
      </w:r>
      <w:r>
        <w:rPr>
          <w:rFonts w:eastAsia="Times New Roman" w:cs="Times New Roman"/>
          <w:noProof/>
          <w:szCs w:val="24"/>
        </w:rPr>
        <w:t xml:space="preserve">and implementation </w:t>
      </w:r>
      <w:r w:rsidRPr="00542D19">
        <w:rPr>
          <w:rFonts w:eastAsia="Times New Roman" w:cs="Times New Roman"/>
          <w:noProof/>
          <w:szCs w:val="24"/>
        </w:rPr>
        <w:t xml:space="preserve">of the Digital Markets Act. In addition, DG Competition created a reinforced unit </w:t>
      </w:r>
      <w:r>
        <w:rPr>
          <w:rFonts w:eastAsia="Times New Roman" w:cs="Times New Roman"/>
          <w:noProof/>
          <w:szCs w:val="24"/>
        </w:rPr>
        <w:t>to</w:t>
      </w:r>
      <w:r w:rsidRPr="00542D19">
        <w:rPr>
          <w:rFonts w:eastAsia="Times New Roman" w:cs="Times New Roman"/>
          <w:noProof/>
          <w:szCs w:val="24"/>
        </w:rPr>
        <w:t xml:space="preserve"> </w:t>
      </w:r>
      <w:r>
        <w:rPr>
          <w:rFonts w:eastAsia="Times New Roman" w:cs="Times New Roman"/>
          <w:noProof/>
          <w:szCs w:val="24"/>
        </w:rPr>
        <w:t xml:space="preserve">implement </w:t>
      </w:r>
      <w:r w:rsidRPr="00542D19">
        <w:rPr>
          <w:rFonts w:eastAsia="Times New Roman" w:cs="Times New Roman"/>
          <w:noProof/>
          <w:szCs w:val="24"/>
        </w:rPr>
        <w:t>a more coordinated approach to the State</w:t>
      </w:r>
      <w:r w:rsidR="008A43B6">
        <w:rPr>
          <w:rFonts w:eastAsia="Times New Roman" w:cs="Times New Roman"/>
          <w:noProof/>
          <w:szCs w:val="24"/>
        </w:rPr>
        <w:t xml:space="preserve"> </w:t>
      </w:r>
      <w:r w:rsidRPr="00542D19">
        <w:rPr>
          <w:rFonts w:eastAsia="Times New Roman" w:cs="Times New Roman"/>
          <w:noProof/>
          <w:szCs w:val="24"/>
        </w:rPr>
        <w:t xml:space="preserve">aid policy </w:t>
      </w:r>
      <w:r w:rsidR="00AE3DD6">
        <w:rPr>
          <w:rFonts w:eastAsia="Times New Roman" w:cs="Times New Roman"/>
          <w:noProof/>
          <w:szCs w:val="24"/>
        </w:rPr>
        <w:t>r</w:t>
      </w:r>
      <w:r w:rsidRPr="00542D19">
        <w:rPr>
          <w:rFonts w:eastAsia="Times New Roman" w:cs="Times New Roman"/>
          <w:noProof/>
          <w:szCs w:val="24"/>
        </w:rPr>
        <w:t>amifications of tax legislation and aggressive tax planning.</w:t>
      </w:r>
    </w:p>
    <w:p w14:paraId="4F5F55C1" w14:textId="77777777" w:rsidR="00677C0B" w:rsidRPr="002979F3" w:rsidRDefault="00677C0B" w:rsidP="00677C0B">
      <w:pPr>
        <w:pStyle w:val="Heading4"/>
        <w:rPr>
          <w:noProof/>
        </w:rPr>
      </w:pPr>
      <w:r w:rsidRPr="00713F62">
        <w:rPr>
          <w:noProof/>
        </w:rPr>
        <w:t>The Single Market Programme</w:t>
      </w:r>
    </w:p>
    <w:p w14:paraId="1769AE39" w14:textId="77777777" w:rsidR="00677C0B" w:rsidRDefault="00677C0B" w:rsidP="00677C0B">
      <w:pPr>
        <w:jc w:val="both"/>
        <w:rPr>
          <w:noProof/>
          <w:lang w:val="en-US"/>
        </w:rPr>
      </w:pPr>
      <w:r>
        <w:rPr>
          <w:noProof/>
        </w:rPr>
        <w:t>The Single Market Programme (SMP) was adopted in April 2021</w:t>
      </w:r>
      <w:r>
        <w:rPr>
          <w:rStyle w:val="FootnoteReference"/>
          <w:noProof/>
        </w:rPr>
        <w:footnoteReference w:id="50"/>
      </w:r>
      <w:r>
        <w:rPr>
          <w:noProof/>
        </w:rPr>
        <w:t>. With a budget of EUR 4.2 billion over the period 2021-2027, the SMP provides financial support to strengthen the governance and the functioning of the Single Market and includes a competition component, that is to say a dedicated budget for competition policy. With a budget of EUR 20.4 million for 2021, the SMP supported an effective and up-to-date enforcement of EU competition policy. Funds were also used for cooperation and partnerships with public administrations in the EU and worldwide as well as</w:t>
      </w:r>
      <w:r>
        <w:rPr>
          <w:noProof/>
          <w:lang w:val="en-US"/>
        </w:rPr>
        <w:t xml:space="preserve"> competition advocacy measures. </w:t>
      </w:r>
    </w:p>
    <w:p w14:paraId="4C4D83C4" w14:textId="77777777" w:rsidR="00677C0B" w:rsidRPr="002979F3" w:rsidRDefault="00677C0B" w:rsidP="00677C0B">
      <w:pPr>
        <w:pStyle w:val="Heading4"/>
        <w:rPr>
          <w:noProof/>
        </w:rPr>
      </w:pPr>
      <w:r w:rsidRPr="003A26E9">
        <w:rPr>
          <w:noProof/>
        </w:rPr>
        <w:t>Competition a</w:t>
      </w:r>
      <w:r w:rsidRPr="00713F62">
        <w:rPr>
          <w:noProof/>
        </w:rPr>
        <w:t>dvocacy</w:t>
      </w:r>
    </w:p>
    <w:p w14:paraId="54C4E5D8" w14:textId="6FBE293A" w:rsidR="00677C0B" w:rsidRPr="00F42E78" w:rsidRDefault="00677C0B" w:rsidP="00F42E78">
      <w:pPr>
        <w:jc w:val="both"/>
        <w:rPr>
          <w:noProof/>
        </w:rPr>
      </w:pPr>
      <w:r>
        <w:rPr>
          <w:noProof/>
        </w:rPr>
        <w:t xml:space="preserve">In 2021, the Commission </w:t>
      </w:r>
      <w:r w:rsidRPr="008665D6">
        <w:rPr>
          <w:noProof/>
        </w:rPr>
        <w:t xml:space="preserve">engaged in </w:t>
      </w:r>
      <w:r>
        <w:rPr>
          <w:noProof/>
        </w:rPr>
        <w:t xml:space="preserve">competition policy </w:t>
      </w:r>
      <w:r w:rsidRPr="008665D6">
        <w:rPr>
          <w:noProof/>
        </w:rPr>
        <w:t xml:space="preserve">advocacy and outreach </w:t>
      </w:r>
      <w:r>
        <w:rPr>
          <w:noProof/>
        </w:rPr>
        <w:t>at multiple levels to support the effecti</w:t>
      </w:r>
      <w:r w:rsidR="00DB378E">
        <w:rPr>
          <w:noProof/>
        </w:rPr>
        <w:t>veness of EU competition policy, m</w:t>
      </w:r>
      <w:r w:rsidR="00597C57">
        <w:rPr>
          <w:noProof/>
        </w:rPr>
        <w:t xml:space="preserve">ost prominently with </w:t>
      </w:r>
      <w:r>
        <w:rPr>
          <w:noProof/>
        </w:rPr>
        <w:t>Executive Vice-President Vestager</w:t>
      </w:r>
      <w:r w:rsidR="00597C57">
        <w:rPr>
          <w:noProof/>
        </w:rPr>
        <w:t xml:space="preserve"> </w:t>
      </w:r>
      <w:r w:rsidR="00DB378E">
        <w:rPr>
          <w:noProof/>
        </w:rPr>
        <w:t xml:space="preserve">participating in </w:t>
      </w:r>
      <w:r w:rsidR="008A5681">
        <w:rPr>
          <w:noProof/>
        </w:rPr>
        <w:t xml:space="preserve">events and </w:t>
      </w:r>
      <w:r w:rsidR="00DB378E">
        <w:rPr>
          <w:noProof/>
        </w:rPr>
        <w:t xml:space="preserve">at </w:t>
      </w:r>
      <w:r w:rsidR="008A5681">
        <w:rPr>
          <w:noProof/>
        </w:rPr>
        <w:t>press conferenc</w:t>
      </w:r>
      <w:r w:rsidR="00853430">
        <w:rPr>
          <w:noProof/>
        </w:rPr>
        <w:t>e</w:t>
      </w:r>
      <w:r w:rsidR="008A5681">
        <w:rPr>
          <w:noProof/>
        </w:rPr>
        <w:t>s</w:t>
      </w:r>
      <w:r w:rsidR="000C105D">
        <w:rPr>
          <w:noProof/>
        </w:rPr>
        <w:t>.</w:t>
      </w:r>
      <w:r>
        <w:rPr>
          <w:noProof/>
        </w:rPr>
        <w:t xml:space="preserve"> </w:t>
      </w:r>
      <w:r w:rsidR="00597C57">
        <w:rPr>
          <w:noProof/>
        </w:rPr>
        <w:t>Pr</w:t>
      </w:r>
      <w:r>
        <w:rPr>
          <w:noProof/>
        </w:rPr>
        <w:t>ess releases, newsletters</w:t>
      </w:r>
      <w:r w:rsidR="000C105D">
        <w:rPr>
          <w:noProof/>
        </w:rPr>
        <w:t xml:space="preserve"> and</w:t>
      </w:r>
      <w:r w:rsidR="00FC3E97">
        <w:rPr>
          <w:noProof/>
        </w:rPr>
        <w:t xml:space="preserve"> social media were</w:t>
      </w:r>
      <w:r>
        <w:rPr>
          <w:noProof/>
        </w:rPr>
        <w:t xml:space="preserve"> used to communicate the benefits of competition policy. Dedicated events at </w:t>
      </w:r>
      <w:r w:rsidRPr="003A0FD3">
        <w:rPr>
          <w:noProof/>
        </w:rPr>
        <w:t>international</w:t>
      </w:r>
      <w:r>
        <w:rPr>
          <w:noProof/>
        </w:rPr>
        <w:t xml:space="preserve"> level or together with Member States were also organised. Due to the </w:t>
      </w:r>
      <w:r w:rsidR="0001076D">
        <w:rPr>
          <w:noProof/>
        </w:rPr>
        <w:t xml:space="preserve">COVID-19 </w:t>
      </w:r>
      <w:r>
        <w:rPr>
          <w:noProof/>
        </w:rPr>
        <w:t>pandemic, most events were held in virtual and/or hybrid formats in 2021.</w:t>
      </w:r>
      <w:r w:rsidRPr="00F42E78">
        <w:rPr>
          <w:noProof/>
        </w:rPr>
        <w:t xml:space="preserve"> </w:t>
      </w:r>
    </w:p>
    <w:p w14:paraId="20B28209" w14:textId="77777777" w:rsidR="00635134" w:rsidRPr="000913A1" w:rsidRDefault="1DF7ED90" w:rsidP="003425F5">
      <w:pPr>
        <w:pStyle w:val="Heading2"/>
      </w:pPr>
      <w:bookmarkStart w:id="28" w:name="_Toc94190104"/>
      <w:bookmarkStart w:id="29" w:name="_Toc94281753"/>
      <w:bookmarkStart w:id="30" w:name="_Toc94695845"/>
      <w:bookmarkStart w:id="31" w:name="_Toc95762333"/>
      <w:bookmarkStart w:id="32" w:name="_Toc102030134"/>
      <w:r w:rsidRPr="000913A1">
        <w:t xml:space="preserve">3. </w:t>
      </w:r>
      <w:r w:rsidR="00DA73B3" w:rsidRPr="000913A1">
        <w:t>C</w:t>
      </w:r>
      <w:r w:rsidRPr="000913A1">
        <w:t xml:space="preserve">ompetition </w:t>
      </w:r>
      <w:r w:rsidR="0E980082" w:rsidRPr="000913A1">
        <w:t>P</w:t>
      </w:r>
      <w:r w:rsidRPr="000913A1">
        <w:t xml:space="preserve">olicy </w:t>
      </w:r>
      <w:r w:rsidR="00E83AD6" w:rsidRPr="000913A1">
        <w:t xml:space="preserve">Enforcement </w:t>
      </w:r>
      <w:r w:rsidR="31E4A3BE" w:rsidRPr="000913A1">
        <w:t>C</w:t>
      </w:r>
      <w:r w:rsidRPr="000913A1">
        <w:t>ontribut</w:t>
      </w:r>
      <w:r w:rsidR="7CBA182C" w:rsidRPr="000913A1">
        <w:t>e</w:t>
      </w:r>
      <w:r w:rsidR="245C8CF9" w:rsidRPr="000913A1">
        <w:t>d</w:t>
      </w:r>
      <w:r w:rsidR="7CBA182C" w:rsidRPr="000913A1">
        <w:t xml:space="preserve"> </w:t>
      </w:r>
      <w:r w:rsidRPr="000913A1">
        <w:t xml:space="preserve">to </w:t>
      </w:r>
      <w:r w:rsidR="49B72E22" w:rsidRPr="000913A1">
        <w:t xml:space="preserve">the </w:t>
      </w:r>
      <w:r w:rsidR="054B8808" w:rsidRPr="000913A1">
        <w:t>D</w:t>
      </w:r>
      <w:r w:rsidRPr="000913A1">
        <w:t xml:space="preserve">igital </w:t>
      </w:r>
      <w:r w:rsidR="4C408495" w:rsidRPr="000913A1">
        <w:t>T</w:t>
      </w:r>
      <w:r w:rsidRPr="000913A1">
        <w:t xml:space="preserve">ransition and </w:t>
      </w:r>
      <w:r w:rsidR="006A1852">
        <w:t xml:space="preserve">a </w:t>
      </w:r>
      <w:r w:rsidR="002250F3" w:rsidRPr="000913A1">
        <w:t xml:space="preserve">Strong and </w:t>
      </w:r>
      <w:r w:rsidR="007B24D9" w:rsidRPr="000913A1">
        <w:t>R</w:t>
      </w:r>
      <w:r w:rsidR="002250F3" w:rsidRPr="000913A1">
        <w:t xml:space="preserve">esilient </w:t>
      </w:r>
      <w:r w:rsidRPr="000913A1">
        <w:t>Single Market</w:t>
      </w:r>
      <w:bookmarkEnd w:id="28"/>
      <w:bookmarkEnd w:id="29"/>
      <w:bookmarkEnd w:id="30"/>
      <w:bookmarkEnd w:id="31"/>
      <w:bookmarkEnd w:id="32"/>
      <w:r w:rsidRPr="000913A1">
        <w:t xml:space="preserve"> </w:t>
      </w:r>
    </w:p>
    <w:p w14:paraId="7B3362B1" w14:textId="45818BCD" w:rsidR="009759B4" w:rsidRPr="00542D19" w:rsidRDefault="226C74DD" w:rsidP="0E4EBCB3">
      <w:pPr>
        <w:spacing w:line="264" w:lineRule="auto"/>
        <w:jc w:val="both"/>
        <w:rPr>
          <w:rFonts w:eastAsia="Times New Roman" w:cs="Times New Roman"/>
          <w:noProof/>
          <w:szCs w:val="24"/>
        </w:rPr>
      </w:pPr>
      <w:r w:rsidRPr="00542D19">
        <w:rPr>
          <w:rFonts w:eastAsia="Times New Roman" w:cs="Times New Roman"/>
          <w:noProof/>
          <w:szCs w:val="24"/>
        </w:rPr>
        <w:t xml:space="preserve">Through the headline ambition “A Europe fit for the digital age”, President </w:t>
      </w:r>
      <w:r w:rsidR="00FC3E97">
        <w:rPr>
          <w:rFonts w:eastAsia="Times New Roman" w:cs="Times New Roman"/>
          <w:noProof/>
          <w:szCs w:val="24"/>
        </w:rPr>
        <w:t>v</w:t>
      </w:r>
      <w:r w:rsidRPr="00542D19">
        <w:rPr>
          <w:rFonts w:eastAsia="Times New Roman" w:cs="Times New Roman"/>
          <w:noProof/>
          <w:szCs w:val="24"/>
        </w:rPr>
        <w:t>on der Leyen defined the digital area as one of her top priorities for th</w:t>
      </w:r>
      <w:r w:rsidR="006A1852">
        <w:rPr>
          <w:rFonts w:eastAsia="Times New Roman" w:cs="Times New Roman"/>
          <w:noProof/>
          <w:szCs w:val="24"/>
        </w:rPr>
        <w:t>is</w:t>
      </w:r>
      <w:r w:rsidRPr="00542D19">
        <w:rPr>
          <w:rFonts w:eastAsia="Times New Roman" w:cs="Times New Roman"/>
          <w:noProof/>
          <w:szCs w:val="24"/>
        </w:rPr>
        <w:t xml:space="preserve"> Commission mandate. In competitive markets firms must innovate and become more efficient to prosper</w:t>
      </w:r>
      <w:r w:rsidR="00AE3DD6">
        <w:rPr>
          <w:rStyle w:val="FootnoteReference"/>
          <w:rFonts w:eastAsia="Times New Roman" w:cs="Times New Roman"/>
          <w:noProof/>
          <w:szCs w:val="24"/>
        </w:rPr>
        <w:footnoteReference w:id="51"/>
      </w:r>
      <w:r w:rsidR="00AE3DD6">
        <w:rPr>
          <w:rFonts w:eastAsia="Times New Roman" w:cs="Times New Roman"/>
          <w:noProof/>
          <w:szCs w:val="24"/>
        </w:rPr>
        <w:t xml:space="preserve">. </w:t>
      </w:r>
      <w:r w:rsidRPr="00542D19">
        <w:rPr>
          <w:rFonts w:eastAsia="Times New Roman" w:cs="Times New Roman"/>
          <w:noProof/>
          <w:szCs w:val="24"/>
        </w:rPr>
        <w:t xml:space="preserve">This applies </w:t>
      </w:r>
      <w:r w:rsidR="00401231">
        <w:rPr>
          <w:rFonts w:eastAsia="Times New Roman" w:cs="Times New Roman"/>
          <w:noProof/>
          <w:szCs w:val="24"/>
        </w:rPr>
        <w:t xml:space="preserve">both to </w:t>
      </w:r>
      <w:r w:rsidRPr="00542D19">
        <w:rPr>
          <w:rFonts w:eastAsia="Times New Roman" w:cs="Times New Roman"/>
          <w:noProof/>
          <w:szCs w:val="24"/>
        </w:rPr>
        <w:t>innovation-driven and fast-moving digital markets</w:t>
      </w:r>
      <w:r w:rsidR="00401231">
        <w:rPr>
          <w:rFonts w:eastAsia="Times New Roman" w:cs="Times New Roman"/>
          <w:noProof/>
          <w:szCs w:val="24"/>
        </w:rPr>
        <w:t xml:space="preserve"> as well as </w:t>
      </w:r>
      <w:r w:rsidR="003B2BDB">
        <w:rPr>
          <w:rFonts w:eastAsia="Times New Roman" w:cs="Times New Roman"/>
          <w:noProof/>
          <w:szCs w:val="24"/>
        </w:rPr>
        <w:t xml:space="preserve">to </w:t>
      </w:r>
      <w:r w:rsidR="00271C8F">
        <w:rPr>
          <w:rFonts w:eastAsia="Times New Roman" w:cs="Times New Roman"/>
          <w:noProof/>
          <w:szCs w:val="24"/>
        </w:rPr>
        <w:t>market</w:t>
      </w:r>
      <w:r w:rsidR="006A1852">
        <w:rPr>
          <w:rFonts w:eastAsia="Times New Roman" w:cs="Times New Roman"/>
          <w:noProof/>
          <w:szCs w:val="24"/>
        </w:rPr>
        <w:t>s</w:t>
      </w:r>
      <w:r w:rsidR="00271C8F">
        <w:rPr>
          <w:rFonts w:eastAsia="Times New Roman" w:cs="Times New Roman"/>
          <w:noProof/>
          <w:szCs w:val="24"/>
        </w:rPr>
        <w:t xml:space="preserve"> </w:t>
      </w:r>
      <w:r w:rsidR="006A1852">
        <w:rPr>
          <w:rFonts w:eastAsia="Times New Roman" w:cs="Times New Roman"/>
          <w:noProof/>
          <w:szCs w:val="24"/>
        </w:rPr>
        <w:t xml:space="preserve">that are </w:t>
      </w:r>
      <w:r w:rsidR="00271C8F">
        <w:rPr>
          <w:rFonts w:eastAsia="Times New Roman" w:cs="Times New Roman"/>
          <w:noProof/>
          <w:szCs w:val="24"/>
        </w:rPr>
        <w:t xml:space="preserve">not yet </w:t>
      </w:r>
      <w:r w:rsidR="00401231">
        <w:rPr>
          <w:rFonts w:eastAsia="Times New Roman" w:cs="Times New Roman"/>
          <w:noProof/>
          <w:szCs w:val="24"/>
        </w:rPr>
        <w:t>digital</w:t>
      </w:r>
      <w:r w:rsidRPr="00542D19">
        <w:rPr>
          <w:rFonts w:eastAsia="Times New Roman" w:cs="Times New Roman"/>
          <w:noProof/>
          <w:szCs w:val="24"/>
        </w:rPr>
        <w:t xml:space="preserve">. Effective enforcement of the EU competition rules and regulatory reforms are of vital importance </w:t>
      </w:r>
      <w:r w:rsidR="0043691C">
        <w:rPr>
          <w:rFonts w:eastAsia="Times New Roman" w:cs="Times New Roman"/>
          <w:noProof/>
          <w:szCs w:val="24"/>
        </w:rPr>
        <w:t>for</w:t>
      </w:r>
      <w:r w:rsidRPr="00542D19">
        <w:rPr>
          <w:rFonts w:eastAsia="Times New Roman" w:cs="Times New Roman"/>
          <w:noProof/>
          <w:szCs w:val="24"/>
        </w:rPr>
        <w:t xml:space="preserve"> the digital transformation of the EU economy</w:t>
      </w:r>
      <w:r w:rsidR="0043691C">
        <w:rPr>
          <w:rFonts w:eastAsia="Times New Roman" w:cs="Times New Roman"/>
          <w:noProof/>
          <w:szCs w:val="24"/>
        </w:rPr>
        <w:t xml:space="preserve">, for </w:t>
      </w:r>
      <w:r w:rsidR="00FE0197">
        <w:rPr>
          <w:rFonts w:eastAsia="Times New Roman" w:cs="Times New Roman"/>
          <w:noProof/>
          <w:szCs w:val="24"/>
        </w:rPr>
        <w:t>the</w:t>
      </w:r>
      <w:r w:rsidRPr="00542D19">
        <w:rPr>
          <w:rFonts w:eastAsia="Times New Roman" w:cs="Times New Roman"/>
          <w:noProof/>
          <w:szCs w:val="24"/>
        </w:rPr>
        <w:t xml:space="preserve"> recovery </w:t>
      </w:r>
      <w:r w:rsidR="0029169A">
        <w:rPr>
          <w:rFonts w:eastAsia="Times New Roman" w:cs="Times New Roman"/>
          <w:noProof/>
          <w:szCs w:val="24"/>
        </w:rPr>
        <w:t xml:space="preserve">from the </w:t>
      </w:r>
      <w:r w:rsidR="0001076D">
        <w:rPr>
          <w:rFonts w:eastAsia="Times New Roman" w:cs="Times New Roman"/>
          <w:noProof/>
          <w:szCs w:val="24"/>
        </w:rPr>
        <w:t xml:space="preserve">COVID-19 </w:t>
      </w:r>
      <w:r w:rsidR="0029169A">
        <w:rPr>
          <w:rFonts w:eastAsia="Times New Roman" w:cs="Times New Roman"/>
          <w:noProof/>
          <w:szCs w:val="24"/>
        </w:rPr>
        <w:t xml:space="preserve">pandemic </w:t>
      </w:r>
      <w:r w:rsidR="00401231">
        <w:rPr>
          <w:rFonts w:eastAsia="Times New Roman" w:cs="Times New Roman"/>
          <w:noProof/>
          <w:szCs w:val="24"/>
        </w:rPr>
        <w:t xml:space="preserve">and </w:t>
      </w:r>
      <w:r w:rsidR="0043691C">
        <w:rPr>
          <w:rFonts w:eastAsia="Times New Roman" w:cs="Times New Roman"/>
          <w:noProof/>
          <w:szCs w:val="24"/>
        </w:rPr>
        <w:t xml:space="preserve">for </w:t>
      </w:r>
      <w:r w:rsidR="0029169A">
        <w:rPr>
          <w:rFonts w:eastAsia="Times New Roman" w:cs="Times New Roman"/>
          <w:noProof/>
          <w:szCs w:val="24"/>
        </w:rPr>
        <w:t>strengthen</w:t>
      </w:r>
      <w:r w:rsidR="0043691C">
        <w:rPr>
          <w:rFonts w:eastAsia="Times New Roman" w:cs="Times New Roman"/>
          <w:noProof/>
          <w:szCs w:val="24"/>
        </w:rPr>
        <w:t>ing</w:t>
      </w:r>
      <w:r w:rsidR="0029169A">
        <w:rPr>
          <w:rFonts w:eastAsia="Times New Roman" w:cs="Times New Roman"/>
          <w:noProof/>
          <w:szCs w:val="24"/>
        </w:rPr>
        <w:t xml:space="preserve"> </w:t>
      </w:r>
      <w:r w:rsidR="0043691C">
        <w:rPr>
          <w:rFonts w:eastAsia="Times New Roman" w:cs="Times New Roman"/>
          <w:noProof/>
          <w:szCs w:val="24"/>
        </w:rPr>
        <w:t xml:space="preserve">the </w:t>
      </w:r>
      <w:r w:rsidR="000A3D67" w:rsidRPr="002C322C">
        <w:rPr>
          <w:rFonts w:eastAsia="Times New Roman" w:cs="Times New Roman"/>
          <w:noProof/>
          <w:szCs w:val="24"/>
        </w:rPr>
        <w:t>resilience of the</w:t>
      </w:r>
      <w:r w:rsidR="000A3D67">
        <w:rPr>
          <w:rFonts w:eastAsia="Times New Roman" w:cs="Times New Roman"/>
          <w:noProof/>
          <w:szCs w:val="24"/>
        </w:rPr>
        <w:t xml:space="preserve"> </w:t>
      </w:r>
      <w:r w:rsidR="00401231">
        <w:rPr>
          <w:rFonts w:eastAsia="Times New Roman" w:cs="Times New Roman"/>
          <w:noProof/>
          <w:szCs w:val="24"/>
        </w:rPr>
        <w:t>Single Market</w:t>
      </w:r>
      <w:r w:rsidRPr="00542D19">
        <w:rPr>
          <w:rFonts w:eastAsia="Times New Roman" w:cs="Times New Roman"/>
          <w:noProof/>
          <w:szCs w:val="24"/>
        </w:rPr>
        <w:t xml:space="preserve">. </w:t>
      </w:r>
    </w:p>
    <w:p w14:paraId="7D5E0ED1" w14:textId="77777777" w:rsidR="00ED2E5C" w:rsidRPr="00F42E78" w:rsidRDefault="0A363B5C" w:rsidP="00F42E78">
      <w:pPr>
        <w:pStyle w:val="Heading3"/>
        <w:spacing w:after="200"/>
        <w:rPr>
          <w:rStyle w:val="Heading2Char"/>
          <w:rFonts w:asciiTheme="majorHAnsi" w:hAnsiTheme="majorHAnsi"/>
        </w:rPr>
      </w:pPr>
      <w:bookmarkStart w:id="33" w:name="_Toc94190106"/>
      <w:bookmarkStart w:id="34" w:name="_Toc94281755"/>
      <w:bookmarkStart w:id="35" w:name="_Toc94695847"/>
      <w:bookmarkStart w:id="36" w:name="_Toc95762334"/>
      <w:bookmarkStart w:id="37" w:name="_Toc102030135"/>
      <w:r w:rsidRPr="00F42E78">
        <w:rPr>
          <w:rStyle w:val="Heading2Char"/>
          <w:rFonts w:asciiTheme="majorHAnsi" w:hAnsiTheme="majorHAnsi"/>
        </w:rPr>
        <w:t>3.</w:t>
      </w:r>
      <w:r w:rsidR="001E3085" w:rsidRPr="00F42E78">
        <w:rPr>
          <w:rStyle w:val="Heading2Char"/>
          <w:rFonts w:asciiTheme="majorHAnsi" w:hAnsiTheme="majorHAnsi"/>
        </w:rPr>
        <w:t>1</w:t>
      </w:r>
      <w:r w:rsidRPr="00F42E78">
        <w:rPr>
          <w:rStyle w:val="Heading2Char"/>
          <w:rFonts w:asciiTheme="majorHAnsi" w:hAnsiTheme="majorHAnsi"/>
        </w:rPr>
        <w:t xml:space="preserve">. </w:t>
      </w:r>
      <w:r w:rsidR="61266195" w:rsidRPr="00F42E78">
        <w:rPr>
          <w:rStyle w:val="Heading2Char"/>
          <w:rFonts w:asciiTheme="majorHAnsi" w:hAnsiTheme="majorHAnsi"/>
        </w:rPr>
        <w:t xml:space="preserve">Enforcement in antitrust contributed to the digital transition and </w:t>
      </w:r>
      <w:r w:rsidR="006A1852" w:rsidRPr="00F42E78">
        <w:rPr>
          <w:rStyle w:val="Heading2Char"/>
          <w:rFonts w:asciiTheme="majorHAnsi" w:hAnsiTheme="majorHAnsi"/>
        </w:rPr>
        <w:t xml:space="preserve">a </w:t>
      </w:r>
      <w:r w:rsidR="00342576" w:rsidRPr="00F42E78">
        <w:rPr>
          <w:rStyle w:val="Heading2Char"/>
          <w:rFonts w:asciiTheme="majorHAnsi" w:hAnsiTheme="majorHAnsi"/>
        </w:rPr>
        <w:t>str</w:t>
      </w:r>
      <w:r w:rsidR="00A67EA5" w:rsidRPr="00F42E78">
        <w:rPr>
          <w:rStyle w:val="Heading2Char"/>
          <w:rFonts w:asciiTheme="majorHAnsi" w:hAnsiTheme="majorHAnsi"/>
        </w:rPr>
        <w:t xml:space="preserve">ong and resilient </w:t>
      </w:r>
      <w:r w:rsidR="61266195" w:rsidRPr="00F42E78">
        <w:rPr>
          <w:rStyle w:val="Heading2Char"/>
          <w:rFonts w:asciiTheme="majorHAnsi" w:hAnsiTheme="majorHAnsi"/>
        </w:rPr>
        <w:t>Single Market</w:t>
      </w:r>
      <w:bookmarkEnd w:id="33"/>
      <w:bookmarkEnd w:id="34"/>
      <w:bookmarkEnd w:id="35"/>
      <w:bookmarkEnd w:id="36"/>
      <w:r w:rsidR="19E8E285" w:rsidRPr="00F42E78">
        <w:rPr>
          <w:rStyle w:val="Heading2Char"/>
          <w:rFonts w:asciiTheme="majorHAnsi" w:hAnsiTheme="majorHAnsi"/>
        </w:rPr>
        <w:t xml:space="preserve"> </w:t>
      </w:r>
      <w:bookmarkEnd w:id="37"/>
    </w:p>
    <w:p w14:paraId="1C6B6522" w14:textId="4C7B2512" w:rsidR="00ED725C" w:rsidRPr="000F147F" w:rsidRDefault="005F3987" w:rsidP="000F147F">
      <w:pPr>
        <w:spacing w:after="0"/>
        <w:jc w:val="both"/>
        <w:rPr>
          <w:noProof/>
          <w:color w:val="000000" w:themeColor="text1"/>
        </w:rPr>
      </w:pPr>
      <w:r w:rsidRPr="00947B7D">
        <w:rPr>
          <w:noProof/>
          <w:color w:val="000000" w:themeColor="text1"/>
        </w:rPr>
        <w:t xml:space="preserve">In 2021, the Commission </w:t>
      </w:r>
      <w:r w:rsidR="0043691C">
        <w:rPr>
          <w:noProof/>
          <w:color w:val="000000" w:themeColor="text1"/>
        </w:rPr>
        <w:t xml:space="preserve">continued to </w:t>
      </w:r>
      <w:r w:rsidRPr="00947B7D">
        <w:rPr>
          <w:noProof/>
          <w:color w:val="000000" w:themeColor="text1"/>
        </w:rPr>
        <w:t>vigorously enforce the competition rules to address competition restrictions in the Single Market</w:t>
      </w:r>
      <w:r w:rsidR="00271C8F" w:rsidRPr="00947B7D">
        <w:rPr>
          <w:noProof/>
          <w:color w:val="000000" w:themeColor="text1"/>
        </w:rPr>
        <w:t>.</w:t>
      </w:r>
    </w:p>
    <w:p w14:paraId="5F1390E8" w14:textId="77777777" w:rsidR="00ED725C" w:rsidRDefault="00ED725C" w:rsidP="00D71293">
      <w:pPr>
        <w:spacing w:after="0"/>
        <w:jc w:val="both"/>
        <w:rPr>
          <w:noProof/>
          <w:color w:val="000000" w:themeColor="text1"/>
          <w:szCs w:val="24"/>
        </w:rPr>
      </w:pPr>
    </w:p>
    <w:p w14:paraId="0CAB0008" w14:textId="1C2FC8BA" w:rsidR="00752EC2" w:rsidRPr="000F147F" w:rsidRDefault="005F3987" w:rsidP="000F147F">
      <w:pPr>
        <w:spacing w:after="0"/>
        <w:jc w:val="both"/>
        <w:rPr>
          <w:noProof/>
          <w:color w:val="000000" w:themeColor="text1"/>
        </w:rPr>
      </w:pPr>
      <w:r w:rsidRPr="00947B7D">
        <w:rPr>
          <w:noProof/>
          <w:color w:val="000000" w:themeColor="text1"/>
        </w:rPr>
        <w:t>I</w:t>
      </w:r>
      <w:r w:rsidR="00752EC2" w:rsidRPr="00947B7D">
        <w:rPr>
          <w:noProof/>
          <w:color w:val="000000" w:themeColor="text1"/>
        </w:rPr>
        <w:t xml:space="preserve">n </w:t>
      </w:r>
      <w:r w:rsidR="00401231" w:rsidRPr="00947B7D">
        <w:rPr>
          <w:noProof/>
          <w:color w:val="000000" w:themeColor="text1"/>
        </w:rPr>
        <w:t>the markets for PC video gaming the Commission f</w:t>
      </w:r>
      <w:r w:rsidR="00401231" w:rsidRPr="004155ED">
        <w:rPr>
          <w:noProof/>
          <w:color w:val="000000" w:themeColor="text1"/>
        </w:rPr>
        <w:t xml:space="preserve">ined </w:t>
      </w:r>
      <w:r w:rsidR="00401231" w:rsidRPr="004155ED">
        <w:rPr>
          <w:i/>
          <w:iCs/>
          <w:noProof/>
          <w:color w:val="000000" w:themeColor="text1"/>
        </w:rPr>
        <w:t>Valve</w:t>
      </w:r>
      <w:r w:rsidR="00401231" w:rsidRPr="004155ED">
        <w:rPr>
          <w:noProof/>
          <w:color w:val="000000" w:themeColor="text1"/>
        </w:rPr>
        <w:t>, the owner of the online PC gaming platform Steam and five publishers</w:t>
      </w:r>
      <w:r w:rsidR="002C1B78">
        <w:rPr>
          <w:noProof/>
          <w:color w:val="000000" w:themeColor="text1"/>
        </w:rPr>
        <w:t xml:space="preserve"> –</w:t>
      </w:r>
      <w:r w:rsidR="00401231" w:rsidRPr="004155ED">
        <w:rPr>
          <w:noProof/>
          <w:color w:val="000000" w:themeColor="text1"/>
        </w:rPr>
        <w:t xml:space="preserve"> </w:t>
      </w:r>
      <w:r w:rsidR="00401231" w:rsidRPr="00062864">
        <w:rPr>
          <w:i/>
          <w:iCs/>
          <w:noProof/>
          <w:color w:val="000000" w:themeColor="text1"/>
        </w:rPr>
        <w:t>Bandai Namco</w:t>
      </w:r>
      <w:r w:rsidR="00401231" w:rsidRPr="00062864">
        <w:rPr>
          <w:noProof/>
          <w:color w:val="000000" w:themeColor="text1"/>
        </w:rPr>
        <w:t xml:space="preserve">, </w:t>
      </w:r>
      <w:r w:rsidR="00401231" w:rsidRPr="00062864">
        <w:rPr>
          <w:i/>
          <w:iCs/>
          <w:noProof/>
          <w:color w:val="000000" w:themeColor="text1"/>
        </w:rPr>
        <w:t>Capcom</w:t>
      </w:r>
      <w:r w:rsidR="00401231" w:rsidRPr="00373CE6">
        <w:rPr>
          <w:noProof/>
          <w:color w:val="000000" w:themeColor="text1"/>
        </w:rPr>
        <w:t xml:space="preserve">, </w:t>
      </w:r>
      <w:r w:rsidR="00401231" w:rsidRPr="00373CE6">
        <w:rPr>
          <w:i/>
          <w:iCs/>
          <w:noProof/>
          <w:color w:val="000000" w:themeColor="text1"/>
        </w:rPr>
        <w:t>Focus Home</w:t>
      </w:r>
      <w:r w:rsidR="00401231" w:rsidRPr="00373CE6">
        <w:rPr>
          <w:noProof/>
          <w:color w:val="000000" w:themeColor="text1"/>
        </w:rPr>
        <w:t xml:space="preserve">, </w:t>
      </w:r>
      <w:r w:rsidR="00401231" w:rsidRPr="00373CE6">
        <w:rPr>
          <w:i/>
          <w:iCs/>
          <w:noProof/>
          <w:color w:val="000000" w:themeColor="text1"/>
        </w:rPr>
        <w:t xml:space="preserve">Koch Media </w:t>
      </w:r>
      <w:r w:rsidR="00401231" w:rsidRPr="005B1727">
        <w:rPr>
          <w:noProof/>
          <w:color w:val="000000" w:themeColor="text1"/>
        </w:rPr>
        <w:t xml:space="preserve">and </w:t>
      </w:r>
      <w:r w:rsidR="00401231" w:rsidRPr="005B1727">
        <w:rPr>
          <w:i/>
          <w:iCs/>
          <w:noProof/>
          <w:color w:val="000000" w:themeColor="text1"/>
        </w:rPr>
        <w:t>ZeniMax</w:t>
      </w:r>
      <w:r w:rsidR="00401231" w:rsidRPr="005B1727">
        <w:rPr>
          <w:noProof/>
          <w:color w:val="000000" w:themeColor="text1"/>
        </w:rPr>
        <w:t xml:space="preserve"> </w:t>
      </w:r>
      <w:r w:rsidR="002C1B78">
        <w:rPr>
          <w:noProof/>
          <w:color w:val="000000" w:themeColor="text1"/>
        </w:rPr>
        <w:t xml:space="preserve">– a total of </w:t>
      </w:r>
      <w:r w:rsidR="00401231" w:rsidRPr="005B1727">
        <w:rPr>
          <w:noProof/>
          <w:color w:val="000000" w:themeColor="text1"/>
        </w:rPr>
        <w:t>EUR 7.8 million for restricting cross-border sales of PC video games on the basis of customers’ geographical location within the EEA (“geo-blocking”)</w:t>
      </w:r>
      <w:r w:rsidR="00401231" w:rsidRPr="00947B7D">
        <w:rPr>
          <w:noProof/>
          <w:color w:val="000000" w:themeColor="text1"/>
          <w:vertAlign w:val="superscript"/>
        </w:rPr>
        <w:footnoteReference w:id="52"/>
      </w:r>
      <w:r w:rsidR="00401231" w:rsidRPr="00947B7D">
        <w:rPr>
          <w:noProof/>
          <w:color w:val="000000" w:themeColor="text1"/>
        </w:rPr>
        <w:t>. The fines for the publishers, totalling over EUR 6 million, were reduced because the companies cooperated with the Commission. Valve chose not to cooperate and was fined over EUR 1.6 million.</w:t>
      </w:r>
    </w:p>
    <w:p w14:paraId="172CEE07" w14:textId="77777777" w:rsidR="00752EC2" w:rsidRDefault="00057C2A" w:rsidP="008036A9">
      <w:pPr>
        <w:jc w:val="center"/>
        <w:rPr>
          <w:rFonts w:eastAsia="Times New Roman" w:cs="Times New Roman"/>
          <w:noProof/>
          <w:szCs w:val="24"/>
        </w:rPr>
      </w:pPr>
      <w:r>
        <w:rPr>
          <w:noProof/>
          <w:szCs w:val="24"/>
          <w:lang w:eastAsia="en-GB"/>
        </w:rPr>
        <w:drawing>
          <wp:inline distT="0" distB="0" distL="0" distR="0" wp14:anchorId="4C5535F8" wp14:editId="7C0435F2">
            <wp:extent cx="4274488" cy="30206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lve png.PNG"/>
                    <pic:cNvPicPr/>
                  </pic:nvPicPr>
                  <pic:blipFill>
                    <a:blip r:embed="rId22">
                      <a:extLst>
                        <a:ext uri="{28A0092B-C50C-407E-A947-70E740481C1C}">
                          <a14:useLocalDpi xmlns:a14="http://schemas.microsoft.com/office/drawing/2010/main" val="0"/>
                        </a:ext>
                      </a:extLst>
                    </a:blip>
                    <a:stretch>
                      <a:fillRect/>
                    </a:stretch>
                  </pic:blipFill>
                  <pic:spPr>
                    <a:xfrm>
                      <a:off x="0" y="0"/>
                      <a:ext cx="4303710" cy="3041346"/>
                    </a:xfrm>
                    <a:prstGeom prst="rect">
                      <a:avLst/>
                    </a:prstGeom>
                  </pic:spPr>
                </pic:pic>
              </a:graphicData>
            </a:graphic>
          </wp:inline>
        </w:drawing>
      </w:r>
    </w:p>
    <w:p w14:paraId="31B44215" w14:textId="77777777" w:rsidR="008443DE" w:rsidRPr="000F147F" w:rsidRDefault="19E8E285" w:rsidP="000F147F">
      <w:pPr>
        <w:spacing w:before="240"/>
        <w:jc w:val="both"/>
        <w:rPr>
          <w:rFonts w:eastAsia="Times New Roman" w:cs="Times New Roman"/>
          <w:noProof/>
        </w:rPr>
      </w:pPr>
      <w:r w:rsidRPr="00947B7D">
        <w:rPr>
          <w:rFonts w:eastAsia="Times New Roman" w:cs="Times New Roman"/>
          <w:noProof/>
        </w:rPr>
        <w:t>In April 202</w:t>
      </w:r>
      <w:r w:rsidR="000164F4" w:rsidRPr="00947B7D">
        <w:rPr>
          <w:rFonts w:eastAsia="Times New Roman" w:cs="Times New Roman"/>
          <w:noProof/>
        </w:rPr>
        <w:t>1</w:t>
      </w:r>
      <w:r w:rsidRPr="00947B7D">
        <w:rPr>
          <w:rFonts w:eastAsia="Times New Roman" w:cs="Times New Roman"/>
          <w:noProof/>
        </w:rPr>
        <w:t xml:space="preserve">, the Commission issued a Statement of Objections to </w:t>
      </w:r>
      <w:r w:rsidRPr="004155ED">
        <w:rPr>
          <w:rFonts w:eastAsia="Times New Roman" w:cs="Times New Roman"/>
          <w:i/>
          <w:iCs/>
          <w:noProof/>
        </w:rPr>
        <w:t>Apple</w:t>
      </w:r>
      <w:r w:rsidRPr="004155ED">
        <w:rPr>
          <w:rFonts w:eastAsia="Times New Roman" w:cs="Times New Roman"/>
          <w:noProof/>
        </w:rPr>
        <w:t xml:space="preserve"> provisionally finding that Apple distorted competition in the music streaming market as it abused its dominant position for the distribution of music streaming apps through its App Store</w:t>
      </w:r>
      <w:r w:rsidR="008F6351" w:rsidRPr="00947B7D">
        <w:rPr>
          <w:rStyle w:val="FootnoteReference"/>
          <w:rFonts w:eastAsia="Times New Roman" w:cs="Times New Roman"/>
          <w:noProof/>
        </w:rPr>
        <w:footnoteReference w:id="53"/>
      </w:r>
      <w:r w:rsidRPr="00947B7D">
        <w:rPr>
          <w:rFonts w:eastAsia="Times New Roman" w:cs="Times New Roman"/>
          <w:noProof/>
        </w:rPr>
        <w:t>. The Commission takes issue with the mandatory use of Apple's own in-app purchase mechanism imposed on music streaming app developers to distribute their apps via Apple's App Store. The Commission is also concerned that Apple applies certain restrictions on app dev</w:t>
      </w:r>
      <w:r w:rsidRPr="004155ED">
        <w:rPr>
          <w:rFonts w:eastAsia="Times New Roman" w:cs="Times New Roman"/>
          <w:noProof/>
        </w:rPr>
        <w:t xml:space="preserve">elopers preventing them from informing iPhone and iPad users of alternative, cheaper purchasing possibilities. </w:t>
      </w:r>
    </w:p>
    <w:p w14:paraId="7B3A19B9" w14:textId="4B0DEE55" w:rsidR="00554641" w:rsidRPr="00B91419" w:rsidRDefault="008443DE" w:rsidP="00554641">
      <w:pPr>
        <w:spacing w:before="240"/>
        <w:jc w:val="both"/>
        <w:rPr>
          <w:noProof/>
        </w:rPr>
      </w:pPr>
      <w:r w:rsidRPr="006D6A86">
        <w:rPr>
          <w:noProof/>
        </w:rPr>
        <w:t>The Commission also contin</w:t>
      </w:r>
      <w:r w:rsidR="0043691C">
        <w:rPr>
          <w:noProof/>
        </w:rPr>
        <w:t>ued</w:t>
      </w:r>
      <w:r w:rsidRPr="006D6A86">
        <w:rPr>
          <w:noProof/>
        </w:rPr>
        <w:t xml:space="preserve"> its investigation</w:t>
      </w:r>
      <w:r w:rsidR="00B91419">
        <w:rPr>
          <w:noProof/>
        </w:rPr>
        <w:t>s</w:t>
      </w:r>
      <w:r w:rsidRPr="006D6A86">
        <w:rPr>
          <w:noProof/>
        </w:rPr>
        <w:t xml:space="preserve"> into </w:t>
      </w:r>
      <w:r w:rsidR="0043691C">
        <w:rPr>
          <w:noProof/>
        </w:rPr>
        <w:t xml:space="preserve">potentially anti-competitive </w:t>
      </w:r>
      <w:r w:rsidRPr="006D6A86">
        <w:rPr>
          <w:noProof/>
        </w:rPr>
        <w:t>practices</w:t>
      </w:r>
      <w:r w:rsidR="0043691C">
        <w:rPr>
          <w:noProof/>
        </w:rPr>
        <w:t xml:space="preserve"> by </w:t>
      </w:r>
      <w:r w:rsidR="0043691C" w:rsidRPr="0044648F">
        <w:rPr>
          <w:i/>
          <w:noProof/>
        </w:rPr>
        <w:t>Amazon</w:t>
      </w:r>
      <w:r w:rsidRPr="00947B7D">
        <w:rPr>
          <w:rStyle w:val="FootnoteReference"/>
          <w:noProof/>
        </w:rPr>
        <w:footnoteReference w:id="54"/>
      </w:r>
      <w:r w:rsidR="00002ECB" w:rsidRPr="00947B7D">
        <w:rPr>
          <w:noProof/>
        </w:rPr>
        <w:t>.</w:t>
      </w:r>
      <w:r w:rsidR="00B91419">
        <w:rPr>
          <w:noProof/>
        </w:rPr>
        <w:t xml:space="preserve"> The Commission has concerns that Amazon </w:t>
      </w:r>
      <w:r w:rsidR="00B91419" w:rsidRPr="00B91419">
        <w:rPr>
          <w:noProof/>
        </w:rPr>
        <w:t>distort</w:t>
      </w:r>
      <w:r w:rsidR="00B91419">
        <w:rPr>
          <w:noProof/>
        </w:rPr>
        <w:t>s</w:t>
      </w:r>
      <w:r w:rsidR="00B91419" w:rsidRPr="00B91419">
        <w:rPr>
          <w:noProof/>
        </w:rPr>
        <w:t xml:space="preserve"> competition in online retail markets</w:t>
      </w:r>
      <w:r w:rsidR="00B91419">
        <w:rPr>
          <w:noProof/>
        </w:rPr>
        <w:t xml:space="preserve"> by </w:t>
      </w:r>
      <w:r w:rsidR="00B91419" w:rsidRPr="00B91419">
        <w:rPr>
          <w:noProof/>
        </w:rPr>
        <w:t xml:space="preserve">systematically relying on non-public business data of independent sellers who sell on </w:t>
      </w:r>
      <w:r w:rsidR="00B91419">
        <w:rPr>
          <w:noProof/>
        </w:rPr>
        <w:t xml:space="preserve">Amazon’s </w:t>
      </w:r>
      <w:r w:rsidR="00B91419" w:rsidRPr="00B91419">
        <w:rPr>
          <w:noProof/>
        </w:rPr>
        <w:t>marketplace</w:t>
      </w:r>
      <w:r w:rsidR="00B91419">
        <w:rPr>
          <w:noProof/>
        </w:rPr>
        <w:t xml:space="preserve">. This practice </w:t>
      </w:r>
      <w:r w:rsidR="00B91419" w:rsidRPr="00B91419">
        <w:rPr>
          <w:noProof/>
        </w:rPr>
        <w:t>benefit</w:t>
      </w:r>
      <w:r w:rsidR="00B91419">
        <w:rPr>
          <w:noProof/>
        </w:rPr>
        <w:t>s</w:t>
      </w:r>
      <w:r w:rsidR="00B91419" w:rsidRPr="00B91419">
        <w:rPr>
          <w:noProof/>
        </w:rPr>
        <w:t xml:space="preserve"> Amazon's own retail business, which directly competes with those third party sellers.</w:t>
      </w:r>
      <w:r w:rsidR="00B91419">
        <w:rPr>
          <w:noProof/>
        </w:rPr>
        <w:t xml:space="preserve"> In a separate case, the Commission investigates the possibility that Amazon gives preferential treatment to its own retail offers to the detriment </w:t>
      </w:r>
      <w:r w:rsidR="00554641">
        <w:rPr>
          <w:noProof/>
        </w:rPr>
        <w:t xml:space="preserve">of Amazon </w:t>
      </w:r>
      <w:r w:rsidR="00554641" w:rsidRPr="00B91419">
        <w:rPr>
          <w:noProof/>
        </w:rPr>
        <w:t>marketplace sellers that use Amazon's logistics and delivery services.</w:t>
      </w:r>
    </w:p>
    <w:p w14:paraId="29384033" w14:textId="3896796A" w:rsidR="4C44CD10" w:rsidRPr="00542D19" w:rsidRDefault="4C44CD10" w:rsidP="158881C6">
      <w:pPr>
        <w:spacing w:line="264" w:lineRule="auto"/>
        <w:jc w:val="both"/>
        <w:rPr>
          <w:noProof/>
          <w:szCs w:val="24"/>
        </w:rPr>
      </w:pPr>
      <w:r w:rsidRPr="00947B7D">
        <w:rPr>
          <w:rFonts w:eastAsia="Times New Roman" w:cs="Times New Roman"/>
          <w:noProof/>
        </w:rPr>
        <w:t>In June 2021, the Commission opened a formal antitrust investigation to assess whether</w:t>
      </w:r>
      <w:r w:rsidR="0043691C">
        <w:rPr>
          <w:rFonts w:eastAsia="Times New Roman" w:cs="Times New Roman"/>
          <w:noProof/>
        </w:rPr>
        <w:t xml:space="preserve"> </w:t>
      </w:r>
      <w:r w:rsidRPr="0044648F">
        <w:rPr>
          <w:rFonts w:eastAsia="Times New Roman" w:cs="Times New Roman"/>
          <w:i/>
          <w:iCs/>
          <w:noProof/>
        </w:rPr>
        <w:t>Facebook</w:t>
      </w:r>
      <w:r w:rsidRPr="0043691C">
        <w:rPr>
          <w:rFonts w:eastAsia="Times New Roman" w:cs="Times New Roman"/>
          <w:noProof/>
        </w:rPr>
        <w:t xml:space="preserve"> </w:t>
      </w:r>
      <w:r w:rsidRPr="004155ED">
        <w:rPr>
          <w:rFonts w:eastAsia="Times New Roman" w:cs="Times New Roman"/>
          <w:noProof/>
        </w:rPr>
        <w:t xml:space="preserve">violated EU competition rules by using advertising data gathered </w:t>
      </w:r>
      <w:r w:rsidR="007C4D80">
        <w:rPr>
          <w:rFonts w:eastAsia="Times New Roman" w:cs="Times New Roman"/>
          <w:noProof/>
        </w:rPr>
        <w:t>from</w:t>
      </w:r>
      <w:r w:rsidR="003B2BDB">
        <w:rPr>
          <w:rFonts w:eastAsia="Times New Roman" w:cs="Times New Roman"/>
          <w:noProof/>
        </w:rPr>
        <w:t>,</w:t>
      </w:r>
      <w:r w:rsidR="007C4D80">
        <w:rPr>
          <w:rFonts w:eastAsia="Times New Roman" w:cs="Times New Roman"/>
          <w:noProof/>
        </w:rPr>
        <w:t xml:space="preserve"> </w:t>
      </w:r>
      <w:r w:rsidRPr="004155ED">
        <w:rPr>
          <w:rFonts w:eastAsia="Times New Roman" w:cs="Times New Roman"/>
          <w:noProof/>
        </w:rPr>
        <w:t>in particular</w:t>
      </w:r>
      <w:r w:rsidR="003B2BDB">
        <w:rPr>
          <w:rFonts w:eastAsia="Times New Roman" w:cs="Times New Roman"/>
          <w:noProof/>
        </w:rPr>
        <w:t>,</w:t>
      </w:r>
      <w:r w:rsidRPr="004155ED">
        <w:rPr>
          <w:rFonts w:eastAsia="Times New Roman" w:cs="Times New Roman"/>
          <w:noProof/>
        </w:rPr>
        <w:t xml:space="preserve"> advertisers to compete with them in markets where Facebook is </w:t>
      </w:r>
      <w:r w:rsidR="00B033D2" w:rsidRPr="00062864">
        <w:rPr>
          <w:rFonts w:eastAsia="Times New Roman" w:cs="Times New Roman"/>
          <w:noProof/>
        </w:rPr>
        <w:t xml:space="preserve">also </w:t>
      </w:r>
      <w:r w:rsidRPr="00062864">
        <w:rPr>
          <w:rFonts w:eastAsia="Times New Roman" w:cs="Times New Roman"/>
          <w:noProof/>
        </w:rPr>
        <w:t>active</w:t>
      </w:r>
      <w:r w:rsidR="00B033D2" w:rsidRPr="00062864">
        <w:rPr>
          <w:rFonts w:eastAsia="Times New Roman" w:cs="Times New Roman"/>
          <w:noProof/>
        </w:rPr>
        <w:t>, for example</w:t>
      </w:r>
      <w:r w:rsidRPr="00373CE6">
        <w:rPr>
          <w:rFonts w:eastAsia="Times New Roman" w:cs="Times New Roman"/>
          <w:noProof/>
        </w:rPr>
        <w:t xml:space="preserve"> classified ads</w:t>
      </w:r>
      <w:r w:rsidR="008F6351" w:rsidRPr="00947B7D">
        <w:rPr>
          <w:rStyle w:val="FootnoteReference"/>
          <w:rFonts w:eastAsia="Times New Roman" w:cs="Times New Roman"/>
          <w:noProof/>
        </w:rPr>
        <w:footnoteReference w:id="55"/>
      </w:r>
      <w:r w:rsidRPr="00947B7D">
        <w:rPr>
          <w:rFonts w:eastAsia="Times New Roman" w:cs="Times New Roman"/>
          <w:noProof/>
        </w:rPr>
        <w:t xml:space="preserve">. </w:t>
      </w:r>
      <w:r w:rsidR="00DA7D03" w:rsidRPr="00947B7D">
        <w:rPr>
          <w:rFonts w:eastAsia="Times New Roman" w:cs="Times New Roman"/>
          <w:noProof/>
        </w:rPr>
        <w:t xml:space="preserve">The Commission has concerns that Facebook uses data from competing providers when advertising on Facebook's social network to give Facebook Marketplace a competitive advantage. </w:t>
      </w:r>
      <w:r w:rsidRPr="004155ED">
        <w:rPr>
          <w:rFonts w:eastAsia="Times New Roman" w:cs="Times New Roman"/>
          <w:noProof/>
        </w:rPr>
        <w:t xml:space="preserve">The formal </w:t>
      </w:r>
      <w:r w:rsidR="007C4D80">
        <w:rPr>
          <w:rFonts w:eastAsia="Times New Roman" w:cs="Times New Roman"/>
          <w:noProof/>
        </w:rPr>
        <w:t xml:space="preserve">antitrust </w:t>
      </w:r>
      <w:r w:rsidRPr="004155ED">
        <w:rPr>
          <w:rFonts w:eastAsia="Times New Roman" w:cs="Times New Roman"/>
          <w:noProof/>
        </w:rPr>
        <w:t xml:space="preserve">investigation will </w:t>
      </w:r>
      <w:r w:rsidR="00DA7D03" w:rsidRPr="004155ED">
        <w:rPr>
          <w:rFonts w:eastAsia="Times New Roman" w:cs="Times New Roman"/>
          <w:noProof/>
        </w:rPr>
        <w:t xml:space="preserve">also </w:t>
      </w:r>
      <w:r w:rsidRPr="004155ED">
        <w:rPr>
          <w:rFonts w:eastAsia="Times New Roman" w:cs="Times New Roman"/>
          <w:noProof/>
        </w:rPr>
        <w:t xml:space="preserve">assess whether </w:t>
      </w:r>
      <w:r w:rsidR="007C4D80">
        <w:rPr>
          <w:rFonts w:eastAsia="Times New Roman" w:cs="Times New Roman"/>
          <w:noProof/>
        </w:rPr>
        <w:t xml:space="preserve">or not </w:t>
      </w:r>
      <w:r w:rsidRPr="004155ED">
        <w:rPr>
          <w:rFonts w:eastAsia="Times New Roman" w:cs="Times New Roman"/>
          <w:noProof/>
        </w:rPr>
        <w:t xml:space="preserve">Facebook ties </w:t>
      </w:r>
      <w:r w:rsidR="007C4D80" w:rsidRPr="00062864">
        <w:rPr>
          <w:rFonts w:eastAsia="Times New Roman" w:cs="Times New Roman"/>
          <w:noProof/>
        </w:rPr>
        <w:t>Facebook Marketplace</w:t>
      </w:r>
      <w:r w:rsidR="007C4D80">
        <w:rPr>
          <w:rFonts w:eastAsia="Times New Roman" w:cs="Times New Roman"/>
          <w:noProof/>
        </w:rPr>
        <w:t>, the company’s</w:t>
      </w:r>
      <w:r w:rsidRPr="004155ED">
        <w:rPr>
          <w:rFonts w:eastAsia="Times New Roman" w:cs="Times New Roman"/>
          <w:noProof/>
        </w:rPr>
        <w:t xml:space="preserve"> on</w:t>
      </w:r>
      <w:r w:rsidRPr="00062864">
        <w:rPr>
          <w:rFonts w:eastAsia="Times New Roman" w:cs="Times New Roman"/>
          <w:noProof/>
        </w:rPr>
        <w:t>line classified ads service</w:t>
      </w:r>
      <w:r w:rsidR="00FE3E2C">
        <w:rPr>
          <w:rFonts w:eastAsia="Times New Roman" w:cs="Times New Roman"/>
          <w:noProof/>
        </w:rPr>
        <w:t>,</w:t>
      </w:r>
      <w:r w:rsidRPr="00062864">
        <w:rPr>
          <w:rFonts w:eastAsia="Times New Roman" w:cs="Times New Roman"/>
          <w:noProof/>
        </w:rPr>
        <w:t xml:space="preserve"> to its </w:t>
      </w:r>
      <w:r w:rsidR="007C4D80">
        <w:rPr>
          <w:rFonts w:eastAsia="Times New Roman" w:cs="Times New Roman"/>
          <w:noProof/>
        </w:rPr>
        <w:t xml:space="preserve">own </w:t>
      </w:r>
      <w:r w:rsidRPr="00062864">
        <w:rPr>
          <w:rFonts w:eastAsia="Times New Roman" w:cs="Times New Roman"/>
          <w:noProof/>
        </w:rPr>
        <w:t>social network</w:t>
      </w:r>
      <w:r w:rsidR="007C4D80">
        <w:rPr>
          <w:rFonts w:eastAsia="Times New Roman" w:cs="Times New Roman"/>
          <w:noProof/>
        </w:rPr>
        <w:t xml:space="preserve">. </w:t>
      </w:r>
      <w:r w:rsidRPr="00062864">
        <w:rPr>
          <w:rFonts w:eastAsia="Times New Roman" w:cs="Times New Roman"/>
          <w:noProof/>
        </w:rPr>
        <w:t xml:space="preserve">The Commission will examine </w:t>
      </w:r>
      <w:r w:rsidR="007C4D80">
        <w:rPr>
          <w:rFonts w:eastAsia="Times New Roman" w:cs="Times New Roman"/>
          <w:noProof/>
        </w:rPr>
        <w:t xml:space="preserve">if </w:t>
      </w:r>
      <w:r w:rsidRPr="00062864">
        <w:rPr>
          <w:rFonts w:eastAsia="Times New Roman" w:cs="Times New Roman"/>
          <w:noProof/>
        </w:rPr>
        <w:t xml:space="preserve">the way Facebook Marketplace is embedded in the social network </w:t>
      </w:r>
      <w:r w:rsidR="00B033D2" w:rsidRPr="00062864">
        <w:rPr>
          <w:rFonts w:eastAsia="Times New Roman" w:cs="Times New Roman"/>
          <w:noProof/>
        </w:rPr>
        <w:t xml:space="preserve">is </w:t>
      </w:r>
      <w:r w:rsidRPr="00062864">
        <w:rPr>
          <w:rFonts w:eastAsia="Times New Roman" w:cs="Times New Roman"/>
          <w:noProof/>
        </w:rPr>
        <w:t xml:space="preserve">a form of </w:t>
      </w:r>
      <w:r w:rsidR="007C4D80">
        <w:rPr>
          <w:rFonts w:eastAsia="Times New Roman" w:cs="Times New Roman"/>
          <w:noProof/>
        </w:rPr>
        <w:t xml:space="preserve">anti-competitive </w:t>
      </w:r>
      <w:r w:rsidRPr="00062864">
        <w:rPr>
          <w:rFonts w:eastAsia="Times New Roman" w:cs="Times New Roman"/>
          <w:noProof/>
        </w:rPr>
        <w:t xml:space="preserve">tying </w:t>
      </w:r>
      <w:r w:rsidR="00B033D2" w:rsidRPr="00373CE6">
        <w:rPr>
          <w:rFonts w:eastAsia="Times New Roman" w:cs="Times New Roman"/>
          <w:noProof/>
        </w:rPr>
        <w:t xml:space="preserve">that </w:t>
      </w:r>
      <w:r w:rsidRPr="00373CE6">
        <w:rPr>
          <w:rFonts w:eastAsia="Times New Roman" w:cs="Times New Roman"/>
          <w:noProof/>
        </w:rPr>
        <w:t xml:space="preserve">gives </w:t>
      </w:r>
      <w:r w:rsidR="00B033D2" w:rsidRPr="00373CE6">
        <w:rPr>
          <w:rFonts w:eastAsia="Times New Roman" w:cs="Times New Roman"/>
          <w:noProof/>
        </w:rPr>
        <w:t xml:space="preserve">the company </w:t>
      </w:r>
      <w:r w:rsidRPr="00373CE6">
        <w:rPr>
          <w:rFonts w:eastAsia="Times New Roman" w:cs="Times New Roman"/>
          <w:noProof/>
        </w:rPr>
        <w:t>an advant</w:t>
      </w:r>
      <w:r w:rsidRPr="005B1727">
        <w:rPr>
          <w:rFonts w:eastAsia="Times New Roman" w:cs="Times New Roman"/>
          <w:noProof/>
        </w:rPr>
        <w:t xml:space="preserve">age </w:t>
      </w:r>
      <w:r w:rsidR="00B033D2" w:rsidRPr="005B1727">
        <w:rPr>
          <w:rFonts w:eastAsia="Times New Roman" w:cs="Times New Roman"/>
          <w:noProof/>
        </w:rPr>
        <w:t xml:space="preserve">when </w:t>
      </w:r>
      <w:r w:rsidRPr="005B1727">
        <w:rPr>
          <w:rFonts w:eastAsia="Times New Roman" w:cs="Times New Roman"/>
          <w:noProof/>
        </w:rPr>
        <w:t>reaching customers and forecloses competing online classified ads services.</w:t>
      </w:r>
    </w:p>
    <w:p w14:paraId="6E03A27E" w14:textId="14EE8125" w:rsidR="00750F11" w:rsidRPr="000F147F" w:rsidRDefault="00B033D2" w:rsidP="000F147F">
      <w:pPr>
        <w:spacing w:line="264" w:lineRule="auto"/>
        <w:jc w:val="both"/>
        <w:rPr>
          <w:rFonts w:eastAsia="Times New Roman" w:cs="Times New Roman"/>
          <w:noProof/>
        </w:rPr>
      </w:pPr>
      <w:r w:rsidRPr="00947B7D">
        <w:rPr>
          <w:rFonts w:eastAsia="Times New Roman" w:cs="Times New Roman"/>
          <w:noProof/>
        </w:rPr>
        <w:t>I</w:t>
      </w:r>
      <w:r w:rsidR="4C44CD10" w:rsidRPr="00947B7D">
        <w:rPr>
          <w:rFonts w:eastAsia="Times New Roman" w:cs="Times New Roman"/>
          <w:noProof/>
        </w:rPr>
        <w:t>n June 202</w:t>
      </w:r>
      <w:r w:rsidR="46F9008A" w:rsidRPr="00947B7D">
        <w:rPr>
          <w:rFonts w:eastAsia="Times New Roman" w:cs="Times New Roman"/>
          <w:noProof/>
        </w:rPr>
        <w:t>1</w:t>
      </w:r>
      <w:r w:rsidR="4C44CD10" w:rsidRPr="004155ED">
        <w:rPr>
          <w:rFonts w:eastAsia="Times New Roman" w:cs="Times New Roman"/>
          <w:noProof/>
        </w:rPr>
        <w:t>, the Commission opened a formal antitrust investigation in</w:t>
      </w:r>
      <w:r w:rsidRPr="004155ED">
        <w:rPr>
          <w:rFonts w:eastAsia="Times New Roman" w:cs="Times New Roman"/>
          <w:noProof/>
        </w:rPr>
        <w:t>to</w:t>
      </w:r>
      <w:r w:rsidR="4C44CD10" w:rsidRPr="004155ED">
        <w:rPr>
          <w:rFonts w:eastAsia="Times New Roman" w:cs="Times New Roman"/>
          <w:noProof/>
        </w:rPr>
        <w:t xml:space="preserve"> the online advertising sector</w:t>
      </w:r>
      <w:r w:rsidRPr="00062864">
        <w:rPr>
          <w:rFonts w:eastAsia="Times New Roman" w:cs="Times New Roman"/>
          <w:noProof/>
        </w:rPr>
        <w:t xml:space="preserve">. The Commission </w:t>
      </w:r>
      <w:r w:rsidR="00700A19">
        <w:rPr>
          <w:rFonts w:eastAsia="Times New Roman" w:cs="Times New Roman"/>
          <w:noProof/>
        </w:rPr>
        <w:t>is investigating</w:t>
      </w:r>
      <w:r w:rsidR="00700A19" w:rsidRPr="00062864">
        <w:rPr>
          <w:rFonts w:eastAsia="Times New Roman" w:cs="Times New Roman"/>
          <w:noProof/>
        </w:rPr>
        <w:t xml:space="preserve"> </w:t>
      </w:r>
      <w:r w:rsidR="4C44CD10" w:rsidRPr="00062864">
        <w:rPr>
          <w:rFonts w:eastAsia="Times New Roman" w:cs="Times New Roman"/>
          <w:noProof/>
        </w:rPr>
        <w:t xml:space="preserve">whether </w:t>
      </w:r>
      <w:r w:rsidR="4C44CD10" w:rsidRPr="00584DFC">
        <w:rPr>
          <w:rFonts w:eastAsia="Times New Roman" w:cs="Times New Roman"/>
          <w:iCs/>
          <w:noProof/>
        </w:rPr>
        <w:t>Google</w:t>
      </w:r>
      <w:r w:rsidR="4C44CD10" w:rsidRPr="00373CE6">
        <w:rPr>
          <w:rFonts w:eastAsia="Times New Roman" w:cs="Times New Roman"/>
          <w:noProof/>
        </w:rPr>
        <w:t xml:space="preserve"> favour</w:t>
      </w:r>
      <w:r w:rsidR="009F321D" w:rsidRPr="00373CE6">
        <w:rPr>
          <w:rFonts w:eastAsia="Times New Roman" w:cs="Times New Roman"/>
          <w:noProof/>
        </w:rPr>
        <w:t>ed</w:t>
      </w:r>
      <w:r w:rsidR="4C44CD10" w:rsidRPr="00373CE6">
        <w:rPr>
          <w:rFonts w:eastAsia="Times New Roman" w:cs="Times New Roman"/>
          <w:noProof/>
        </w:rPr>
        <w:t xml:space="preserve"> its own online </w:t>
      </w:r>
      <w:r w:rsidR="4C44CD10" w:rsidRPr="005B1727">
        <w:rPr>
          <w:rFonts w:eastAsia="Times New Roman" w:cs="Times New Roman"/>
          <w:noProof/>
        </w:rPr>
        <w:t>display advertising technology in the ad</w:t>
      </w:r>
      <w:r w:rsidR="009F321D" w:rsidRPr="005B1727">
        <w:rPr>
          <w:rFonts w:eastAsia="Times New Roman" w:cs="Times New Roman"/>
          <w:noProof/>
        </w:rPr>
        <w:t>-</w:t>
      </w:r>
      <w:r w:rsidR="4C44CD10" w:rsidRPr="005B1727">
        <w:rPr>
          <w:rFonts w:eastAsia="Times New Roman" w:cs="Times New Roman"/>
          <w:noProof/>
        </w:rPr>
        <w:t>tech supply chain</w:t>
      </w:r>
      <w:r w:rsidR="00002ECB" w:rsidRPr="005B1727">
        <w:rPr>
          <w:rFonts w:eastAsia="Times New Roman" w:cs="Times New Roman"/>
          <w:noProof/>
        </w:rPr>
        <w:t xml:space="preserve"> for the benefit of YouTube </w:t>
      </w:r>
      <w:r w:rsidR="007C4D80">
        <w:rPr>
          <w:rFonts w:eastAsia="Times New Roman" w:cs="Times New Roman"/>
          <w:noProof/>
        </w:rPr>
        <w:t xml:space="preserve">and </w:t>
      </w:r>
      <w:r w:rsidR="4C44CD10" w:rsidRPr="00C75974">
        <w:rPr>
          <w:rFonts w:eastAsia="Times New Roman" w:cs="Times New Roman"/>
          <w:noProof/>
        </w:rPr>
        <w:t>to the detriment of competing providers of advertising technology services, advertisers and online publishers</w:t>
      </w:r>
      <w:r w:rsidR="008F6351" w:rsidRPr="00947B7D">
        <w:rPr>
          <w:rStyle w:val="FootnoteReference"/>
          <w:rFonts w:eastAsia="Times New Roman" w:cs="Times New Roman"/>
          <w:noProof/>
        </w:rPr>
        <w:footnoteReference w:id="56"/>
      </w:r>
      <w:r w:rsidR="4C44CD10" w:rsidRPr="00947B7D">
        <w:rPr>
          <w:rFonts w:eastAsia="Times New Roman" w:cs="Times New Roman"/>
          <w:noProof/>
        </w:rPr>
        <w:t xml:space="preserve">. </w:t>
      </w:r>
      <w:r w:rsidR="007C4D80">
        <w:rPr>
          <w:rFonts w:eastAsia="Times New Roman" w:cs="Times New Roman"/>
          <w:noProof/>
        </w:rPr>
        <w:t>Moreover, t</w:t>
      </w:r>
      <w:r w:rsidR="4C44CD10" w:rsidRPr="00947B7D">
        <w:rPr>
          <w:rFonts w:eastAsia="Times New Roman" w:cs="Times New Roman"/>
          <w:noProof/>
        </w:rPr>
        <w:t xml:space="preserve">he formal investigation will examine </w:t>
      </w:r>
      <w:r w:rsidR="4C44CD10" w:rsidRPr="004155ED">
        <w:rPr>
          <w:rFonts w:eastAsia="Times New Roman" w:cs="Times New Roman"/>
          <w:noProof/>
        </w:rPr>
        <w:t>whether Google is distorting competition by restricting access by third parties to user data for advertising purposes on websites and apps, while reserving such data for its own use. The Commission's investigation focus</w:t>
      </w:r>
      <w:r w:rsidR="009F321D" w:rsidRPr="00062864">
        <w:rPr>
          <w:rFonts w:eastAsia="Times New Roman" w:cs="Times New Roman"/>
          <w:noProof/>
        </w:rPr>
        <w:t>es</w:t>
      </w:r>
      <w:r w:rsidR="4C44CD10" w:rsidRPr="00062864">
        <w:rPr>
          <w:rFonts w:eastAsia="Times New Roman" w:cs="Times New Roman"/>
          <w:noProof/>
        </w:rPr>
        <w:t xml:space="preserve"> on display advertising where Google offers a number of services to advertisers </w:t>
      </w:r>
      <w:r w:rsidR="00F75678" w:rsidRPr="00373CE6">
        <w:rPr>
          <w:rFonts w:eastAsia="Times New Roman" w:cs="Times New Roman"/>
          <w:noProof/>
        </w:rPr>
        <w:t xml:space="preserve">as well as </w:t>
      </w:r>
      <w:r w:rsidR="007C4D80">
        <w:rPr>
          <w:rFonts w:eastAsia="Times New Roman" w:cs="Times New Roman"/>
          <w:noProof/>
        </w:rPr>
        <w:t xml:space="preserve">to </w:t>
      </w:r>
      <w:r w:rsidR="4C44CD10" w:rsidRPr="00373CE6">
        <w:rPr>
          <w:rFonts w:eastAsia="Times New Roman" w:cs="Times New Roman"/>
          <w:noProof/>
        </w:rPr>
        <w:t xml:space="preserve">publishers. </w:t>
      </w:r>
    </w:p>
    <w:p w14:paraId="1C7D9DEF" w14:textId="6AE75A90" w:rsidR="00773F65" w:rsidRPr="000F147F" w:rsidRDefault="00773F65" w:rsidP="000F147F">
      <w:pPr>
        <w:spacing w:line="264" w:lineRule="auto"/>
        <w:jc w:val="both"/>
        <w:rPr>
          <w:rFonts w:eastAsia="Times New Roman" w:cs="Times New Roman"/>
          <w:noProof/>
        </w:rPr>
      </w:pPr>
      <w:r w:rsidRPr="006D6A86">
        <w:rPr>
          <w:rFonts w:eastAsia="Times New Roman" w:cs="Times New Roman"/>
          <w:noProof/>
        </w:rPr>
        <w:t xml:space="preserve">In November 2021, the General Court </w:t>
      </w:r>
      <w:r w:rsidR="00F4302D">
        <w:rPr>
          <w:rFonts w:eastAsia="Times New Roman" w:cs="Times New Roman"/>
          <w:noProof/>
        </w:rPr>
        <w:t>largely</w:t>
      </w:r>
      <w:r w:rsidR="00602334">
        <w:rPr>
          <w:rFonts w:eastAsia="Times New Roman" w:cs="Times New Roman"/>
          <w:noProof/>
        </w:rPr>
        <w:t xml:space="preserve"> </w:t>
      </w:r>
      <w:r w:rsidRPr="006D6A86">
        <w:rPr>
          <w:rFonts w:eastAsia="Times New Roman" w:cs="Times New Roman"/>
          <w:noProof/>
        </w:rPr>
        <w:t>upheld</w:t>
      </w:r>
      <w:r w:rsidRPr="00355C06">
        <w:rPr>
          <w:rStyle w:val="FootnoteReference"/>
          <w:noProof/>
        </w:rPr>
        <w:footnoteReference w:id="57"/>
      </w:r>
      <w:r w:rsidRPr="00355C06">
        <w:rPr>
          <w:noProof/>
        </w:rPr>
        <w:t xml:space="preserve"> </w:t>
      </w:r>
      <w:r w:rsidRPr="00947B7D">
        <w:rPr>
          <w:rFonts w:eastAsia="Times New Roman" w:cs="Times New Roman"/>
          <w:noProof/>
        </w:rPr>
        <w:t xml:space="preserve">the Commission’s earlier decision in </w:t>
      </w:r>
      <w:r w:rsidR="00A131BB" w:rsidRPr="00947B7D">
        <w:rPr>
          <w:rFonts w:eastAsia="Times New Roman" w:cs="Times New Roman"/>
          <w:noProof/>
        </w:rPr>
        <w:t xml:space="preserve">the </w:t>
      </w:r>
      <w:r w:rsidRPr="004155ED">
        <w:rPr>
          <w:rFonts w:eastAsia="Times New Roman" w:cs="Times New Roman"/>
          <w:noProof/>
        </w:rPr>
        <w:t>Google shopping case.</w:t>
      </w:r>
    </w:p>
    <w:tbl>
      <w:tblPr>
        <w:tblStyle w:val="TableGrid"/>
        <w:tblW w:w="0" w:type="auto"/>
        <w:tblLook w:val="04A0" w:firstRow="1" w:lastRow="0" w:firstColumn="1" w:lastColumn="0" w:noHBand="0" w:noVBand="1"/>
      </w:tblPr>
      <w:tblGrid>
        <w:gridCol w:w="9288"/>
      </w:tblGrid>
      <w:tr w:rsidR="00750F11" w:rsidRPr="00542D19" w14:paraId="788E69F4" w14:textId="77777777" w:rsidTr="158881C6">
        <w:tc>
          <w:tcPr>
            <w:tcW w:w="9288" w:type="dxa"/>
          </w:tcPr>
          <w:p w14:paraId="1A208B81" w14:textId="77777777" w:rsidR="00750F11" w:rsidRPr="007A03B7" w:rsidRDefault="00750F11" w:rsidP="007A03B7">
            <w:pPr>
              <w:pStyle w:val="Heading5"/>
              <w:outlineLvl w:val="4"/>
            </w:pPr>
            <w:r w:rsidRPr="007A03B7">
              <w:t>The Google Search (Shopping) case</w:t>
            </w:r>
          </w:p>
          <w:p w14:paraId="6D9497BF" w14:textId="233A60BE" w:rsidR="00750F11" w:rsidRPr="000F147F" w:rsidRDefault="00750F11" w:rsidP="00F4302D">
            <w:pPr>
              <w:jc w:val="both"/>
              <w:rPr>
                <w:noProof/>
                <w:sz w:val="22"/>
              </w:rPr>
            </w:pPr>
            <w:r w:rsidRPr="158881C6">
              <w:rPr>
                <w:noProof/>
                <w:color w:val="0070C0"/>
                <w:sz w:val="22"/>
              </w:rPr>
              <w:t xml:space="preserve">In June 2017, the Commission fined </w:t>
            </w:r>
            <w:r w:rsidRPr="00947B7D">
              <w:rPr>
                <w:i/>
                <w:iCs/>
                <w:noProof/>
                <w:color w:val="0070C0"/>
                <w:sz w:val="22"/>
              </w:rPr>
              <w:t>Google</w:t>
            </w:r>
            <w:r w:rsidRPr="158881C6">
              <w:rPr>
                <w:noProof/>
                <w:color w:val="0070C0"/>
                <w:sz w:val="22"/>
              </w:rPr>
              <w:t xml:space="preserve"> EUR 2.42 billion for abuse of its market dominance as a search engine by giving an illegal advantage to another Google product, its comparison shopping service</w:t>
            </w:r>
            <w:r w:rsidRPr="158881C6">
              <w:rPr>
                <w:rStyle w:val="FootnoteReference"/>
                <w:noProof/>
                <w:color w:val="0070C0"/>
                <w:sz w:val="22"/>
              </w:rPr>
              <w:footnoteReference w:id="58"/>
            </w:r>
            <w:r w:rsidRPr="158881C6">
              <w:rPr>
                <w:noProof/>
                <w:color w:val="0070C0"/>
                <w:sz w:val="22"/>
              </w:rPr>
              <w:t>. Google’s comparison-shopping function for Europe is a product that allows consumers to compare products and prices online and find deals from online retailers, including online shops of manufacturers, platforms (such as Amazon and eBay), and other re-sellers. In 2008</w:t>
            </w:r>
            <w:r w:rsidR="00752EC2" w:rsidRPr="158881C6">
              <w:rPr>
                <w:noProof/>
                <w:color w:val="0070C0"/>
                <w:sz w:val="22"/>
              </w:rPr>
              <w:t>,</w:t>
            </w:r>
            <w:r w:rsidRPr="158881C6">
              <w:rPr>
                <w:noProof/>
                <w:color w:val="0070C0"/>
                <w:sz w:val="22"/>
              </w:rPr>
              <w:t xml:space="preserve"> Google adopted a strategy to push its own comparison shopping service. Because of Google's illegal practices, traffic to Google's comparison shopping service increased substantially, while </w:t>
            </w:r>
            <w:r w:rsidR="004A5EAA" w:rsidRPr="158881C6">
              <w:rPr>
                <w:noProof/>
                <w:color w:val="0070C0"/>
                <w:sz w:val="22"/>
              </w:rPr>
              <w:t xml:space="preserve">competing </w:t>
            </w:r>
            <w:r w:rsidR="00002ECB" w:rsidRPr="158881C6">
              <w:rPr>
                <w:noProof/>
                <w:color w:val="0070C0"/>
                <w:sz w:val="22"/>
              </w:rPr>
              <w:t>comparison shopping</w:t>
            </w:r>
            <w:r w:rsidR="004A5EAA" w:rsidRPr="158881C6">
              <w:rPr>
                <w:noProof/>
                <w:color w:val="0070C0"/>
                <w:sz w:val="22"/>
              </w:rPr>
              <w:t xml:space="preserve"> services suffered substantial traffic losses on a lasting basis. Following the Commission’s decision, Google amended the so-called shopping box to allow third-party comparison-shopping services to </w:t>
            </w:r>
            <w:r w:rsidR="00C94F4B">
              <w:rPr>
                <w:noProof/>
                <w:color w:val="0070C0"/>
                <w:sz w:val="22"/>
              </w:rPr>
              <w:t>feature</w:t>
            </w:r>
            <w:r w:rsidR="00C94F4B" w:rsidRPr="158881C6">
              <w:rPr>
                <w:noProof/>
                <w:color w:val="0070C0"/>
                <w:sz w:val="22"/>
              </w:rPr>
              <w:t xml:space="preserve"> </w:t>
            </w:r>
            <w:r w:rsidR="004A5EAA" w:rsidRPr="158881C6">
              <w:rPr>
                <w:noProof/>
                <w:color w:val="0070C0"/>
                <w:sz w:val="22"/>
              </w:rPr>
              <w:t xml:space="preserve">in the box. </w:t>
            </w:r>
            <w:r w:rsidRPr="158881C6">
              <w:rPr>
                <w:noProof/>
                <w:color w:val="0070C0"/>
                <w:sz w:val="22"/>
              </w:rPr>
              <w:t>In November 2021</w:t>
            </w:r>
            <w:r w:rsidR="00752EC2" w:rsidRPr="158881C6">
              <w:rPr>
                <w:noProof/>
                <w:color w:val="0070C0"/>
                <w:sz w:val="22"/>
              </w:rPr>
              <w:t>,</w:t>
            </w:r>
            <w:r w:rsidRPr="158881C6">
              <w:rPr>
                <w:noProof/>
                <w:color w:val="0070C0"/>
                <w:sz w:val="22"/>
              </w:rPr>
              <w:t xml:space="preserve"> the General Court </w:t>
            </w:r>
            <w:r w:rsidR="00F4302D">
              <w:rPr>
                <w:noProof/>
                <w:color w:val="0070C0"/>
                <w:sz w:val="22"/>
              </w:rPr>
              <w:t>large</w:t>
            </w:r>
            <w:r w:rsidR="008E6535">
              <w:rPr>
                <w:noProof/>
                <w:color w:val="0070C0"/>
                <w:sz w:val="22"/>
              </w:rPr>
              <w:t xml:space="preserve">ly </w:t>
            </w:r>
            <w:r w:rsidRPr="158881C6">
              <w:rPr>
                <w:noProof/>
                <w:color w:val="0070C0"/>
                <w:sz w:val="22"/>
              </w:rPr>
              <w:t>upheld the Commission’s decision</w:t>
            </w:r>
            <w:r w:rsidRPr="158881C6">
              <w:rPr>
                <w:rStyle w:val="FootnoteReference"/>
                <w:noProof/>
                <w:color w:val="0070C0"/>
                <w:sz w:val="22"/>
              </w:rPr>
              <w:footnoteReference w:id="59"/>
            </w:r>
            <w:r w:rsidRPr="158881C6">
              <w:rPr>
                <w:noProof/>
                <w:color w:val="0070C0"/>
                <w:sz w:val="22"/>
              </w:rPr>
              <w:t xml:space="preserve">. </w:t>
            </w:r>
          </w:p>
        </w:tc>
      </w:tr>
    </w:tbl>
    <w:p w14:paraId="0A83A151" w14:textId="020E7E5E" w:rsidR="00CE1864" w:rsidRPr="000F147F" w:rsidRDefault="00ED725C" w:rsidP="000F147F">
      <w:pPr>
        <w:spacing w:before="240" w:line="264" w:lineRule="auto"/>
        <w:jc w:val="both"/>
        <w:rPr>
          <w:rFonts w:eastAsia="Times New Roman" w:cs="Times New Roman"/>
          <w:noProof/>
        </w:rPr>
      </w:pPr>
      <w:r w:rsidRPr="00947B7D">
        <w:rPr>
          <w:rFonts w:eastAsia="Times New Roman" w:cs="Times New Roman"/>
          <w:noProof/>
        </w:rPr>
        <w:t xml:space="preserve">In </w:t>
      </w:r>
      <w:r w:rsidR="00576DE1">
        <w:rPr>
          <w:rFonts w:eastAsia="Times New Roman" w:cs="Times New Roman"/>
          <w:noProof/>
        </w:rPr>
        <w:t>a</w:t>
      </w:r>
      <w:r w:rsidRPr="00947B7D">
        <w:rPr>
          <w:rFonts w:eastAsia="Times New Roman" w:cs="Times New Roman"/>
          <w:noProof/>
        </w:rPr>
        <w:t xml:space="preserve"> market for pharmaceutical products, </w:t>
      </w:r>
      <w:r w:rsidR="00750F11" w:rsidRPr="00947B7D">
        <w:rPr>
          <w:rFonts w:eastAsia="Times New Roman" w:cs="Times New Roman"/>
          <w:noProof/>
        </w:rPr>
        <w:t xml:space="preserve">the Commission </w:t>
      </w:r>
      <w:r w:rsidRPr="00947B7D">
        <w:rPr>
          <w:rFonts w:eastAsia="Times New Roman" w:cs="Times New Roman"/>
          <w:noProof/>
        </w:rPr>
        <w:t xml:space="preserve">in February 2021 </w:t>
      </w:r>
      <w:r w:rsidR="00750F11" w:rsidRPr="004155ED">
        <w:rPr>
          <w:rFonts w:eastAsia="Times New Roman" w:cs="Times New Roman"/>
          <w:noProof/>
        </w:rPr>
        <w:t xml:space="preserve">accepted a set of commitments offered by </w:t>
      </w:r>
      <w:r w:rsidR="00750F11" w:rsidRPr="004155ED">
        <w:rPr>
          <w:rFonts w:eastAsia="Times New Roman" w:cs="Times New Roman"/>
          <w:i/>
          <w:iCs/>
          <w:noProof/>
        </w:rPr>
        <w:t>Aspen</w:t>
      </w:r>
      <w:r w:rsidR="00750F11" w:rsidRPr="00947B7D">
        <w:rPr>
          <w:rFonts w:eastAsia="Times New Roman" w:cs="Times New Roman"/>
          <w:i/>
          <w:iCs/>
          <w:noProof/>
          <w:vertAlign w:val="superscript"/>
        </w:rPr>
        <w:footnoteReference w:id="60"/>
      </w:r>
      <w:r w:rsidR="004A5EAA" w:rsidRPr="00947B7D">
        <w:rPr>
          <w:rFonts w:eastAsia="Times New Roman" w:cs="Times New Roman"/>
          <w:noProof/>
        </w:rPr>
        <w:t>, following an investigation into Aspen’s alleged excessive pricing. Aspen agreed</w:t>
      </w:r>
      <w:r w:rsidR="00750F11" w:rsidRPr="004155ED">
        <w:rPr>
          <w:rFonts w:eastAsia="Times New Roman" w:cs="Times New Roman"/>
          <w:noProof/>
        </w:rPr>
        <w:t xml:space="preserve"> to </w:t>
      </w:r>
      <w:r w:rsidR="004A5EAA" w:rsidRPr="004155ED">
        <w:rPr>
          <w:rFonts w:eastAsia="Times New Roman" w:cs="Times New Roman"/>
          <w:noProof/>
        </w:rPr>
        <w:t xml:space="preserve">reduce its prices by 73% on average across Europe (except Italy) </w:t>
      </w:r>
      <w:r w:rsidR="00750F11" w:rsidRPr="00062864">
        <w:rPr>
          <w:rFonts w:eastAsia="Times New Roman" w:cs="Times New Roman"/>
          <w:noProof/>
        </w:rPr>
        <w:t xml:space="preserve">for six medicines that are essential to treat serious forms of blood cancer, including myeloma and leukaemia. These price reductions will save </w:t>
      </w:r>
      <w:r w:rsidR="007C4D80">
        <w:rPr>
          <w:rFonts w:eastAsia="Times New Roman" w:cs="Times New Roman"/>
          <w:noProof/>
        </w:rPr>
        <w:t xml:space="preserve">substantial amounts for </w:t>
      </w:r>
      <w:r w:rsidR="00750F11" w:rsidRPr="00062864">
        <w:rPr>
          <w:rFonts w:eastAsia="Times New Roman" w:cs="Times New Roman"/>
          <w:noProof/>
        </w:rPr>
        <w:t>EU health systems and will ensure that these medicines remain available</w:t>
      </w:r>
      <w:r w:rsidR="004A5EAA" w:rsidRPr="00062864">
        <w:rPr>
          <w:rFonts w:eastAsia="Times New Roman" w:cs="Times New Roman"/>
          <w:noProof/>
        </w:rPr>
        <w:t xml:space="preserve"> on the market</w:t>
      </w:r>
      <w:r w:rsidR="00554641">
        <w:rPr>
          <w:rFonts w:eastAsia="Times New Roman" w:cs="Times New Roman"/>
          <w:noProof/>
        </w:rPr>
        <w:t>.</w:t>
      </w:r>
      <w:r w:rsidR="00750F11" w:rsidRPr="00373CE6">
        <w:rPr>
          <w:rFonts w:eastAsia="Times New Roman" w:cs="Times New Roman"/>
          <w:noProof/>
        </w:rPr>
        <w:t xml:space="preserve"> </w:t>
      </w:r>
    </w:p>
    <w:p w14:paraId="76D054A6" w14:textId="0907A117" w:rsidR="00342576" w:rsidRPr="000F147F" w:rsidRDefault="00342576" w:rsidP="000F147F">
      <w:pPr>
        <w:spacing w:before="240" w:line="264" w:lineRule="auto"/>
        <w:jc w:val="both"/>
        <w:rPr>
          <w:rFonts w:eastAsia="Times New Roman" w:cs="Times New Roman"/>
          <w:noProof/>
        </w:rPr>
      </w:pPr>
      <w:r w:rsidRPr="006D6A86">
        <w:rPr>
          <w:rFonts w:eastAsia="Times New Roman" w:cs="Times New Roman"/>
          <w:noProof/>
        </w:rPr>
        <w:t xml:space="preserve">In March 2021, the Commission opened a formal antitrust investigation </w:t>
      </w:r>
      <w:r w:rsidR="007C4D80">
        <w:rPr>
          <w:rFonts w:eastAsia="Times New Roman" w:cs="Times New Roman"/>
          <w:noProof/>
        </w:rPr>
        <w:t xml:space="preserve">to determine </w:t>
      </w:r>
      <w:r w:rsidRPr="006D6A86">
        <w:rPr>
          <w:rFonts w:eastAsia="Times New Roman" w:cs="Times New Roman"/>
          <w:noProof/>
        </w:rPr>
        <w:t xml:space="preserve">whether </w:t>
      </w:r>
      <w:r w:rsidRPr="006D6A86">
        <w:rPr>
          <w:rFonts w:eastAsia="Times New Roman" w:cs="Times New Roman"/>
          <w:i/>
          <w:iCs/>
          <w:noProof/>
        </w:rPr>
        <w:t>Teva</w:t>
      </w:r>
      <w:r w:rsidRPr="006D6A86">
        <w:rPr>
          <w:rFonts w:eastAsia="Times New Roman" w:cs="Times New Roman"/>
          <w:noProof/>
        </w:rPr>
        <w:t xml:space="preserve"> ha</w:t>
      </w:r>
      <w:r w:rsidR="007C4D80">
        <w:rPr>
          <w:rFonts w:eastAsia="Times New Roman" w:cs="Times New Roman"/>
          <w:noProof/>
        </w:rPr>
        <w:t>d</w:t>
      </w:r>
      <w:r w:rsidRPr="006D6A86">
        <w:rPr>
          <w:rFonts w:eastAsia="Times New Roman" w:cs="Times New Roman"/>
          <w:noProof/>
        </w:rPr>
        <w:t xml:space="preserve"> abusively blocked or delayed the entry of </w:t>
      </w:r>
      <w:r w:rsidR="00F729FC">
        <w:rPr>
          <w:rFonts w:eastAsia="Times New Roman" w:cs="Times New Roman"/>
          <w:noProof/>
        </w:rPr>
        <w:t xml:space="preserve">new firms </w:t>
      </w:r>
      <w:r w:rsidRPr="006D6A86">
        <w:rPr>
          <w:rFonts w:eastAsia="Times New Roman" w:cs="Times New Roman"/>
          <w:noProof/>
        </w:rPr>
        <w:t>competi</w:t>
      </w:r>
      <w:r w:rsidR="00F729FC">
        <w:rPr>
          <w:rFonts w:eastAsia="Times New Roman" w:cs="Times New Roman"/>
          <w:noProof/>
        </w:rPr>
        <w:t>ng with Teva’s</w:t>
      </w:r>
      <w:r w:rsidRPr="006D6A86">
        <w:rPr>
          <w:rFonts w:eastAsia="Times New Roman" w:cs="Times New Roman"/>
          <w:noProof/>
        </w:rPr>
        <w:t xml:space="preserve"> blockbuster drug Copaxone to the detriment of patients and health systems</w:t>
      </w:r>
      <w:r w:rsidRPr="00947B7D">
        <w:rPr>
          <w:rFonts w:eastAsia="Times New Roman" w:cs="Times New Roman"/>
          <w:noProof/>
          <w:vertAlign w:val="superscript"/>
        </w:rPr>
        <w:footnoteReference w:id="61"/>
      </w:r>
      <w:r w:rsidRPr="00947B7D">
        <w:rPr>
          <w:rFonts w:eastAsia="Times New Roman" w:cs="Times New Roman"/>
          <w:noProof/>
        </w:rPr>
        <w:t>.</w:t>
      </w:r>
    </w:p>
    <w:p w14:paraId="314C554C" w14:textId="77777777" w:rsidR="00773F65" w:rsidRPr="000F147F" w:rsidRDefault="00773F65" w:rsidP="000F147F">
      <w:pPr>
        <w:spacing w:line="264" w:lineRule="auto"/>
        <w:jc w:val="both"/>
        <w:rPr>
          <w:rFonts w:eastAsia="Times New Roman" w:cs="Times New Roman"/>
          <w:noProof/>
        </w:rPr>
      </w:pPr>
      <w:r w:rsidRPr="006D6A86">
        <w:rPr>
          <w:rFonts w:eastAsia="Times New Roman" w:cs="Times New Roman"/>
          <w:noProof/>
        </w:rPr>
        <w:t xml:space="preserve">In March 2021, the </w:t>
      </w:r>
      <w:r w:rsidR="004A5EAA" w:rsidRPr="006D6A86">
        <w:rPr>
          <w:rFonts w:eastAsia="Times New Roman" w:cs="Times New Roman"/>
          <w:noProof/>
        </w:rPr>
        <w:t xml:space="preserve">European </w:t>
      </w:r>
      <w:r w:rsidRPr="006D6A86">
        <w:rPr>
          <w:rFonts w:eastAsia="Times New Roman" w:cs="Times New Roman"/>
          <w:noProof/>
        </w:rPr>
        <w:t>Court</w:t>
      </w:r>
      <w:r w:rsidR="004A5EAA" w:rsidRPr="006D6A86">
        <w:rPr>
          <w:rFonts w:eastAsia="Times New Roman" w:cs="Times New Roman"/>
          <w:noProof/>
        </w:rPr>
        <w:t xml:space="preserve"> of Justice</w:t>
      </w:r>
      <w:r w:rsidRPr="006D6A86">
        <w:rPr>
          <w:rFonts w:eastAsia="Times New Roman" w:cs="Times New Roman"/>
          <w:noProof/>
        </w:rPr>
        <w:t xml:space="preserve"> upheld</w:t>
      </w:r>
      <w:r w:rsidRPr="158881C6">
        <w:rPr>
          <w:noProof/>
          <w:sz w:val="22"/>
        </w:rPr>
        <w:t xml:space="preserve"> </w:t>
      </w:r>
      <w:r w:rsidRPr="00947B7D">
        <w:rPr>
          <w:rFonts w:eastAsia="Times New Roman" w:cs="Times New Roman"/>
          <w:noProof/>
        </w:rPr>
        <w:t xml:space="preserve">the Commission’s </w:t>
      </w:r>
      <w:r w:rsidR="00266465" w:rsidRPr="00947B7D">
        <w:rPr>
          <w:rFonts w:eastAsia="Times New Roman" w:cs="Times New Roman"/>
          <w:noProof/>
        </w:rPr>
        <w:t xml:space="preserve">earlier </w:t>
      </w:r>
      <w:r w:rsidRPr="00947B7D">
        <w:rPr>
          <w:rFonts w:eastAsia="Times New Roman" w:cs="Times New Roman"/>
          <w:noProof/>
        </w:rPr>
        <w:t>decision in the Lundbeck</w:t>
      </w:r>
      <w:r w:rsidRPr="004155ED">
        <w:rPr>
          <w:rFonts w:eastAsia="Times New Roman" w:cs="Times New Roman"/>
          <w:noProof/>
        </w:rPr>
        <w:t xml:space="preserve"> case</w:t>
      </w:r>
      <w:r w:rsidR="00266465" w:rsidRPr="004155ED">
        <w:rPr>
          <w:rFonts w:eastAsia="Times New Roman" w:cs="Times New Roman"/>
          <w:noProof/>
        </w:rPr>
        <w:t xml:space="preserve"> concerning</w:t>
      </w:r>
      <w:r w:rsidR="00266465" w:rsidRPr="00266465">
        <w:rPr>
          <w:noProof/>
        </w:rPr>
        <w:t xml:space="preserve"> </w:t>
      </w:r>
      <w:r w:rsidR="00266465" w:rsidRPr="00947B7D">
        <w:rPr>
          <w:rFonts w:eastAsia="Times New Roman" w:cs="Times New Roman"/>
          <w:noProof/>
        </w:rPr>
        <w:t>pay-for-delay agreements</w:t>
      </w:r>
      <w:r w:rsidRPr="00947B7D">
        <w:rPr>
          <w:rFonts w:eastAsia="Times New Roman" w:cs="Times New Roman"/>
          <w:noProof/>
        </w:rPr>
        <w:t>.</w:t>
      </w:r>
    </w:p>
    <w:p w14:paraId="58711B26" w14:textId="6BBDF6D4" w:rsidR="00A17926" w:rsidRPr="000F147F" w:rsidRDefault="00A17926" w:rsidP="000F147F">
      <w:pPr>
        <w:widowControl w:val="0"/>
        <w:pBdr>
          <w:top w:val="single" w:sz="4" w:space="1" w:color="auto"/>
          <w:left w:val="single" w:sz="4" w:space="4" w:color="auto"/>
          <w:bottom w:val="single" w:sz="4" w:space="1" w:color="auto"/>
          <w:right w:val="single" w:sz="4" w:space="4" w:color="auto"/>
        </w:pBdr>
        <w:tabs>
          <w:tab w:val="left" w:pos="709"/>
        </w:tabs>
        <w:spacing w:after="60" w:line="240" w:lineRule="auto"/>
        <w:jc w:val="both"/>
        <w:rPr>
          <w:b/>
          <w:bCs/>
          <w:noProof/>
          <w:color w:val="0070C0"/>
          <w:lang w:val="en-IE"/>
        </w:rPr>
      </w:pPr>
      <w:r w:rsidRPr="006D6A86">
        <w:rPr>
          <w:b/>
          <w:bCs/>
          <w:noProof/>
          <w:color w:val="0070C0"/>
          <w:sz w:val="22"/>
          <w:lang w:val="en-IE"/>
        </w:rPr>
        <w:t xml:space="preserve">The </w:t>
      </w:r>
      <w:r w:rsidR="002E6845" w:rsidRPr="006D6A86">
        <w:rPr>
          <w:b/>
          <w:bCs/>
          <w:noProof/>
          <w:color w:val="0070C0"/>
          <w:sz w:val="22"/>
          <w:lang w:val="en-IE"/>
        </w:rPr>
        <w:t>Court</w:t>
      </w:r>
      <w:r w:rsidR="004A5EAA" w:rsidRPr="006D6A86">
        <w:rPr>
          <w:b/>
          <w:bCs/>
          <w:noProof/>
          <w:color w:val="0070C0"/>
          <w:sz w:val="22"/>
          <w:lang w:val="en-IE"/>
        </w:rPr>
        <w:t xml:space="preserve"> of Justice</w:t>
      </w:r>
      <w:r w:rsidR="002E6845" w:rsidRPr="006D6A86">
        <w:rPr>
          <w:b/>
          <w:bCs/>
          <w:noProof/>
          <w:color w:val="0070C0"/>
          <w:sz w:val="22"/>
          <w:lang w:val="en-IE"/>
        </w:rPr>
        <w:t xml:space="preserve">’s judgment in the </w:t>
      </w:r>
      <w:r w:rsidRPr="006D6A86">
        <w:rPr>
          <w:b/>
          <w:bCs/>
          <w:noProof/>
          <w:color w:val="0070C0"/>
          <w:sz w:val="22"/>
          <w:lang w:val="en-IE"/>
        </w:rPr>
        <w:t xml:space="preserve">Lundbeck </w:t>
      </w:r>
      <w:r w:rsidR="002E6845" w:rsidRPr="006D6A86">
        <w:rPr>
          <w:b/>
          <w:bCs/>
          <w:noProof/>
          <w:color w:val="0070C0"/>
          <w:sz w:val="22"/>
          <w:lang w:val="en-IE"/>
        </w:rPr>
        <w:t>case</w:t>
      </w:r>
      <w:r w:rsidRPr="009A2182">
        <w:rPr>
          <w:noProof/>
          <w:color w:val="0070C0"/>
          <w:vertAlign w:val="superscript"/>
        </w:rPr>
        <w:footnoteReference w:id="62"/>
      </w:r>
    </w:p>
    <w:p w14:paraId="062B7925" w14:textId="77777777" w:rsidR="004A5EAA" w:rsidRPr="000F147F" w:rsidRDefault="00C21EDC" w:rsidP="000F147F">
      <w:pPr>
        <w:widowControl w:val="0"/>
        <w:pBdr>
          <w:top w:val="single" w:sz="4" w:space="1" w:color="auto"/>
          <w:left w:val="single" w:sz="4" w:space="4" w:color="auto"/>
          <w:bottom w:val="single" w:sz="4" w:space="1" w:color="auto"/>
          <w:right w:val="single" w:sz="4" w:space="4" w:color="auto"/>
        </w:pBdr>
        <w:tabs>
          <w:tab w:val="left" w:pos="709"/>
        </w:tabs>
        <w:spacing w:after="60" w:line="240" w:lineRule="auto"/>
        <w:jc w:val="both"/>
        <w:rPr>
          <w:noProof/>
          <w:color w:val="0070C0"/>
          <w:sz w:val="22"/>
          <w:lang w:val="en-IE"/>
        </w:rPr>
      </w:pPr>
      <w:r w:rsidRPr="158881C6">
        <w:rPr>
          <w:noProof/>
          <w:color w:val="0070C0"/>
          <w:sz w:val="22"/>
          <w:lang w:val="en-IE"/>
        </w:rPr>
        <w:t>In</w:t>
      </w:r>
      <w:r w:rsidR="00A131BB" w:rsidRPr="158881C6">
        <w:rPr>
          <w:noProof/>
          <w:color w:val="0070C0"/>
          <w:sz w:val="22"/>
          <w:lang w:val="en-IE"/>
        </w:rPr>
        <w:t xml:space="preserve"> the</w:t>
      </w:r>
      <w:r w:rsidRPr="158881C6">
        <w:rPr>
          <w:noProof/>
          <w:color w:val="0070C0"/>
          <w:sz w:val="22"/>
          <w:lang w:val="en-IE"/>
        </w:rPr>
        <w:t xml:space="preserve"> </w:t>
      </w:r>
      <w:r w:rsidRPr="00947B7D">
        <w:rPr>
          <w:i/>
          <w:iCs/>
          <w:noProof/>
          <w:color w:val="0070C0"/>
          <w:sz w:val="22"/>
          <w:lang w:val="en-IE"/>
        </w:rPr>
        <w:t>Lundbeck</w:t>
      </w:r>
      <w:r w:rsidR="008012A6" w:rsidRPr="00947B7D">
        <w:rPr>
          <w:i/>
          <w:iCs/>
          <w:noProof/>
          <w:color w:val="0070C0"/>
          <w:sz w:val="22"/>
          <w:lang w:val="en-IE"/>
        </w:rPr>
        <w:t xml:space="preserve"> </w:t>
      </w:r>
      <w:r w:rsidR="008012A6" w:rsidRPr="158881C6">
        <w:rPr>
          <w:noProof/>
          <w:color w:val="0070C0"/>
          <w:sz w:val="22"/>
          <w:lang w:val="en-IE"/>
        </w:rPr>
        <w:t>case</w:t>
      </w:r>
      <w:r w:rsidRPr="158881C6">
        <w:rPr>
          <w:noProof/>
          <w:color w:val="0070C0"/>
          <w:sz w:val="22"/>
          <w:lang w:val="en-IE"/>
        </w:rPr>
        <w:t>, the European Court of Justice fully confirmed the Commission’s approach</w:t>
      </w:r>
      <w:r w:rsidRPr="158881C6">
        <w:rPr>
          <w:noProof/>
          <w:color w:val="0070C0"/>
          <w:sz w:val="22"/>
          <w:vertAlign w:val="superscript"/>
          <w:lang w:val="en-IE"/>
        </w:rPr>
        <w:footnoteReference w:id="63"/>
      </w:r>
      <w:r w:rsidRPr="158881C6">
        <w:rPr>
          <w:noProof/>
          <w:color w:val="0070C0"/>
          <w:sz w:val="22"/>
          <w:lang w:val="en-IE"/>
        </w:rPr>
        <w:t xml:space="preserve"> to pay-for-delay agreements in </w:t>
      </w:r>
      <w:r w:rsidR="004A5EAA" w:rsidRPr="158881C6">
        <w:rPr>
          <w:noProof/>
          <w:color w:val="0070C0"/>
          <w:sz w:val="22"/>
          <w:lang w:val="en-IE"/>
        </w:rPr>
        <w:t xml:space="preserve">the context of </w:t>
      </w:r>
      <w:r w:rsidRPr="158881C6">
        <w:rPr>
          <w:noProof/>
          <w:color w:val="0070C0"/>
          <w:sz w:val="22"/>
          <w:lang w:val="en-IE"/>
        </w:rPr>
        <w:t xml:space="preserve">patent disputes. In pay-for-delay agreements, a pharmaceutical company offers transfers of value to producers of generic medicines to induce them to </w:t>
      </w:r>
      <w:r w:rsidR="004A5EAA" w:rsidRPr="158881C6">
        <w:rPr>
          <w:noProof/>
          <w:color w:val="0070C0"/>
          <w:sz w:val="22"/>
          <w:lang w:val="en-IE"/>
        </w:rPr>
        <w:t xml:space="preserve">abandon </w:t>
      </w:r>
      <w:r w:rsidRPr="158881C6">
        <w:rPr>
          <w:noProof/>
          <w:color w:val="0070C0"/>
          <w:sz w:val="22"/>
          <w:lang w:val="en-IE"/>
        </w:rPr>
        <w:t>or delay the</w:t>
      </w:r>
      <w:r w:rsidR="004A5EAA" w:rsidRPr="158881C6">
        <w:rPr>
          <w:noProof/>
          <w:color w:val="0070C0"/>
          <w:sz w:val="22"/>
          <w:lang w:val="en-IE"/>
        </w:rPr>
        <w:t>ir</w:t>
      </w:r>
      <w:r w:rsidRPr="158881C6">
        <w:rPr>
          <w:noProof/>
          <w:color w:val="0070C0"/>
          <w:sz w:val="22"/>
          <w:lang w:val="en-IE"/>
        </w:rPr>
        <w:t xml:space="preserve"> market entry.</w:t>
      </w:r>
      <w:r w:rsidR="00D71293" w:rsidRPr="158881C6">
        <w:rPr>
          <w:noProof/>
          <w:color w:val="0070C0"/>
          <w:sz w:val="22"/>
          <w:lang w:val="en-IE"/>
        </w:rPr>
        <w:t xml:space="preserve"> </w:t>
      </w:r>
      <w:r w:rsidRPr="158881C6">
        <w:rPr>
          <w:noProof/>
          <w:color w:val="0070C0"/>
          <w:sz w:val="22"/>
          <w:lang w:val="en-IE"/>
        </w:rPr>
        <w:t xml:space="preserve">In 2002, Lundbeck had concluded a number of agreements with </w:t>
      </w:r>
      <w:r w:rsidR="004A5EAA" w:rsidRPr="158881C6">
        <w:rPr>
          <w:noProof/>
          <w:color w:val="0070C0"/>
          <w:sz w:val="22"/>
          <w:lang w:val="en-IE"/>
        </w:rPr>
        <w:t xml:space="preserve">different </w:t>
      </w:r>
      <w:r w:rsidR="0039367C">
        <w:rPr>
          <w:noProof/>
          <w:color w:val="0070C0"/>
          <w:sz w:val="22"/>
          <w:lang w:val="en-IE"/>
        </w:rPr>
        <w:t xml:space="preserve">makers of </w:t>
      </w:r>
      <w:r w:rsidRPr="158881C6">
        <w:rPr>
          <w:noProof/>
          <w:color w:val="0070C0"/>
          <w:sz w:val="22"/>
          <w:lang w:val="en-IE"/>
        </w:rPr>
        <w:t xml:space="preserve">generic </w:t>
      </w:r>
      <w:r w:rsidR="0039367C">
        <w:rPr>
          <w:noProof/>
          <w:color w:val="0070C0"/>
          <w:sz w:val="22"/>
          <w:lang w:val="en-IE"/>
        </w:rPr>
        <w:t>medicines</w:t>
      </w:r>
      <w:r w:rsidRPr="158881C6">
        <w:rPr>
          <w:noProof/>
          <w:color w:val="0070C0"/>
          <w:sz w:val="22"/>
          <w:lang w:val="en-IE"/>
        </w:rPr>
        <w:t xml:space="preserve"> concerning generic versions of Lundbeck's branded drug citalopram, a “blockbuster” antidepressant. The</w:t>
      </w:r>
      <w:r w:rsidR="0039367C">
        <w:rPr>
          <w:noProof/>
          <w:color w:val="0070C0"/>
          <w:sz w:val="22"/>
          <w:lang w:val="en-IE"/>
        </w:rPr>
        <w:t xml:space="preserve">se firms </w:t>
      </w:r>
      <w:r w:rsidRPr="158881C6">
        <w:rPr>
          <w:noProof/>
          <w:color w:val="0070C0"/>
          <w:sz w:val="22"/>
          <w:lang w:val="en-IE"/>
        </w:rPr>
        <w:t xml:space="preserve">agreed with Lundbeck not to enter the market in return for </w:t>
      </w:r>
      <w:r w:rsidR="004A5EAA" w:rsidRPr="158881C6">
        <w:rPr>
          <w:noProof/>
          <w:color w:val="0070C0"/>
          <w:sz w:val="22"/>
          <w:lang w:val="en-IE"/>
        </w:rPr>
        <w:t xml:space="preserve">substantial </w:t>
      </w:r>
      <w:r w:rsidRPr="158881C6">
        <w:rPr>
          <w:noProof/>
          <w:color w:val="0070C0"/>
          <w:sz w:val="22"/>
          <w:lang w:val="en-IE"/>
        </w:rPr>
        <w:t xml:space="preserve">cash payments and other inducements. These incentives amounted to tens of millions of euros. </w:t>
      </w:r>
      <w:r w:rsidR="004A5EAA" w:rsidRPr="158881C6">
        <w:rPr>
          <w:noProof/>
          <w:color w:val="0070C0"/>
          <w:sz w:val="22"/>
          <w:lang w:val="en-IE"/>
        </w:rPr>
        <w:t>Lundbeck internally spoke about a “</w:t>
      </w:r>
      <w:r w:rsidR="004A5EAA" w:rsidRPr="00947B7D">
        <w:rPr>
          <w:i/>
          <w:iCs/>
          <w:noProof/>
          <w:color w:val="0070C0"/>
          <w:sz w:val="22"/>
          <w:lang w:val="en-IE"/>
        </w:rPr>
        <w:t>club</w:t>
      </w:r>
      <w:r w:rsidR="004A5EAA" w:rsidRPr="158881C6">
        <w:rPr>
          <w:noProof/>
          <w:color w:val="0070C0"/>
          <w:sz w:val="22"/>
          <w:lang w:val="en-IE"/>
        </w:rPr>
        <w:t>” being formed and “</w:t>
      </w:r>
      <w:r w:rsidR="004A5EAA" w:rsidRPr="00947B7D">
        <w:rPr>
          <w:i/>
          <w:iCs/>
          <w:noProof/>
          <w:color w:val="0070C0"/>
          <w:sz w:val="22"/>
          <w:lang w:val="en-IE"/>
        </w:rPr>
        <w:t>a pile of $$$</w:t>
      </w:r>
      <w:r w:rsidR="004A5EAA" w:rsidRPr="158881C6">
        <w:rPr>
          <w:noProof/>
          <w:color w:val="0070C0"/>
          <w:sz w:val="22"/>
          <w:lang w:val="en-IE"/>
        </w:rPr>
        <w:t xml:space="preserve">” to be shared with the </w:t>
      </w:r>
      <w:r w:rsidR="0039367C">
        <w:rPr>
          <w:noProof/>
          <w:color w:val="0070C0"/>
          <w:sz w:val="22"/>
          <w:lang w:val="en-IE"/>
        </w:rPr>
        <w:t>g</w:t>
      </w:r>
      <w:r w:rsidR="004A5EAA" w:rsidRPr="158881C6">
        <w:rPr>
          <w:noProof/>
          <w:color w:val="0070C0"/>
          <w:sz w:val="22"/>
          <w:lang w:val="en-IE"/>
        </w:rPr>
        <w:t>enerics</w:t>
      </w:r>
      <w:r w:rsidR="0039367C">
        <w:rPr>
          <w:noProof/>
          <w:color w:val="0070C0"/>
          <w:sz w:val="22"/>
          <w:lang w:val="en-IE"/>
        </w:rPr>
        <w:t xml:space="preserve"> producers</w:t>
      </w:r>
      <w:r w:rsidR="004A5EAA" w:rsidRPr="158881C6">
        <w:rPr>
          <w:noProof/>
          <w:color w:val="0070C0"/>
          <w:sz w:val="22"/>
          <w:lang w:val="en-IE"/>
        </w:rPr>
        <w:t xml:space="preserve">. </w:t>
      </w:r>
    </w:p>
    <w:p w14:paraId="4CD328FA" w14:textId="45358999" w:rsidR="00470CE6" w:rsidRPr="000F147F" w:rsidRDefault="00C21EDC" w:rsidP="000F147F">
      <w:pPr>
        <w:widowControl w:val="0"/>
        <w:pBdr>
          <w:top w:val="single" w:sz="4" w:space="1" w:color="auto"/>
          <w:left w:val="single" w:sz="4" w:space="4" w:color="auto"/>
          <w:bottom w:val="single" w:sz="4" w:space="1" w:color="auto"/>
          <w:right w:val="single" w:sz="4" w:space="4" w:color="auto"/>
        </w:pBdr>
        <w:tabs>
          <w:tab w:val="left" w:pos="709"/>
        </w:tabs>
        <w:spacing w:after="60" w:line="240" w:lineRule="auto"/>
        <w:jc w:val="both"/>
        <w:rPr>
          <w:noProof/>
          <w:color w:val="0070C0"/>
          <w:sz w:val="22"/>
          <w:lang w:val="en-IE"/>
        </w:rPr>
      </w:pPr>
      <w:r w:rsidRPr="158881C6">
        <w:rPr>
          <w:noProof/>
          <w:color w:val="0070C0"/>
          <w:sz w:val="22"/>
          <w:lang w:val="en-IE"/>
        </w:rPr>
        <w:t>The Court of Justice upheld the Commission’s assessment that such pay-for-delay agreements constituted restrictions by object, because the value transfers could not have had any other explanation than the interest of the parties not to engage in competition on the merits. The Court also confirmed that</w:t>
      </w:r>
      <w:r w:rsidR="00FE3E2C">
        <w:rPr>
          <w:noProof/>
          <w:color w:val="0070C0"/>
          <w:sz w:val="22"/>
          <w:lang w:val="en-IE"/>
        </w:rPr>
        <w:t>,</w:t>
      </w:r>
      <w:r w:rsidRPr="158881C6">
        <w:rPr>
          <w:noProof/>
          <w:color w:val="0070C0"/>
          <w:sz w:val="22"/>
          <w:lang w:val="en-IE"/>
        </w:rPr>
        <w:t xml:space="preserve"> at the time of the agreements, Lundbeck and the </w:t>
      </w:r>
      <w:r w:rsidR="0039367C">
        <w:rPr>
          <w:noProof/>
          <w:color w:val="0070C0"/>
          <w:sz w:val="22"/>
          <w:lang w:val="en-IE"/>
        </w:rPr>
        <w:t>producers of g</w:t>
      </w:r>
      <w:r w:rsidRPr="158881C6">
        <w:rPr>
          <w:noProof/>
          <w:color w:val="0070C0"/>
          <w:sz w:val="22"/>
          <w:lang w:val="en-IE"/>
        </w:rPr>
        <w:t xml:space="preserve">eneric </w:t>
      </w:r>
      <w:r w:rsidR="0039367C">
        <w:rPr>
          <w:noProof/>
          <w:color w:val="0070C0"/>
          <w:sz w:val="22"/>
          <w:lang w:val="en-IE"/>
        </w:rPr>
        <w:t xml:space="preserve">medicines </w:t>
      </w:r>
      <w:r w:rsidRPr="158881C6">
        <w:rPr>
          <w:noProof/>
          <w:color w:val="0070C0"/>
          <w:sz w:val="22"/>
          <w:lang w:val="en-IE"/>
        </w:rPr>
        <w:t xml:space="preserve">were potential competitors, because they had real and concrete </w:t>
      </w:r>
      <w:r w:rsidR="0039367C">
        <w:rPr>
          <w:noProof/>
          <w:color w:val="0070C0"/>
          <w:sz w:val="22"/>
          <w:lang w:val="en-IE"/>
        </w:rPr>
        <w:t xml:space="preserve">opportunities to </w:t>
      </w:r>
      <w:r w:rsidRPr="158881C6">
        <w:rPr>
          <w:noProof/>
          <w:color w:val="0070C0"/>
          <w:sz w:val="22"/>
          <w:lang w:val="en-IE"/>
        </w:rPr>
        <w:t>enter the market and compet</w:t>
      </w:r>
      <w:r w:rsidR="0039367C">
        <w:rPr>
          <w:noProof/>
          <w:color w:val="0070C0"/>
          <w:sz w:val="22"/>
          <w:lang w:val="en-IE"/>
        </w:rPr>
        <w:t>e</w:t>
      </w:r>
      <w:r w:rsidRPr="158881C6">
        <w:rPr>
          <w:noProof/>
          <w:color w:val="0070C0"/>
          <w:sz w:val="22"/>
          <w:lang w:val="en-IE"/>
        </w:rPr>
        <w:t xml:space="preserve"> with Lundbeck</w:t>
      </w:r>
      <w:r w:rsidR="0039367C">
        <w:rPr>
          <w:noProof/>
          <w:color w:val="0070C0"/>
          <w:sz w:val="22"/>
          <w:lang w:val="en-IE"/>
        </w:rPr>
        <w:t xml:space="preserve">. Moreover, they </w:t>
      </w:r>
      <w:r w:rsidRPr="158881C6">
        <w:rPr>
          <w:noProof/>
          <w:color w:val="0070C0"/>
          <w:sz w:val="22"/>
          <w:lang w:val="en-IE"/>
        </w:rPr>
        <w:t xml:space="preserve">did not face any insurmountable </w:t>
      </w:r>
      <w:r w:rsidR="009F252A" w:rsidRPr="158881C6">
        <w:rPr>
          <w:noProof/>
          <w:color w:val="0070C0"/>
          <w:sz w:val="22"/>
          <w:lang w:val="en-IE"/>
        </w:rPr>
        <w:t xml:space="preserve">entry </w:t>
      </w:r>
      <w:r w:rsidRPr="158881C6">
        <w:rPr>
          <w:noProof/>
          <w:color w:val="0070C0"/>
          <w:sz w:val="22"/>
          <w:lang w:val="en-IE"/>
        </w:rPr>
        <w:t>barriers.</w:t>
      </w:r>
    </w:p>
    <w:p w14:paraId="5BD7E2EC" w14:textId="77777777" w:rsidR="00C21EDC" w:rsidRPr="00542D19" w:rsidRDefault="00773F65" w:rsidP="158881C6">
      <w:pPr>
        <w:spacing w:before="120" w:line="264" w:lineRule="auto"/>
        <w:jc w:val="both"/>
        <w:rPr>
          <w:noProof/>
          <w:szCs w:val="24"/>
        </w:rPr>
      </w:pPr>
      <w:r>
        <w:rPr>
          <w:noProof/>
          <w:lang w:val="en-US"/>
        </w:rPr>
        <w:t xml:space="preserve">Following </w:t>
      </w:r>
      <w:r w:rsidR="00CC45EB">
        <w:rPr>
          <w:noProof/>
          <w:lang w:val="en-US"/>
        </w:rPr>
        <w:t xml:space="preserve">the launch of the </w:t>
      </w:r>
      <w:r w:rsidR="00CC45EB" w:rsidRPr="00CC45EB">
        <w:rPr>
          <w:noProof/>
        </w:rPr>
        <w:t xml:space="preserve">antitrust inquiry into the sector of </w:t>
      </w:r>
      <w:r w:rsidR="0082129C">
        <w:rPr>
          <w:noProof/>
        </w:rPr>
        <w:t xml:space="preserve">the consumer </w:t>
      </w:r>
      <w:r w:rsidR="00CC45EB" w:rsidRPr="00947B7D">
        <w:rPr>
          <w:i/>
          <w:iCs/>
          <w:noProof/>
        </w:rPr>
        <w:t>Internet of Things</w:t>
      </w:r>
      <w:r w:rsidR="00CC45EB" w:rsidRPr="00CC45EB">
        <w:rPr>
          <w:noProof/>
        </w:rPr>
        <w:t xml:space="preserve"> (IoT)</w:t>
      </w:r>
      <w:r w:rsidR="00342576">
        <w:rPr>
          <w:noProof/>
        </w:rPr>
        <w:t xml:space="preserve"> in 2020</w:t>
      </w:r>
      <w:r w:rsidR="00CC45EB" w:rsidRPr="009052B1">
        <w:rPr>
          <w:noProof/>
          <w:vertAlign w:val="superscript"/>
          <w:lang w:eastAsia="fi-FI"/>
        </w:rPr>
        <w:footnoteReference w:id="64"/>
      </w:r>
      <w:r w:rsidR="00692611">
        <w:rPr>
          <w:noProof/>
        </w:rPr>
        <w:t>,</w:t>
      </w:r>
      <w:r w:rsidR="00CC45EB">
        <w:rPr>
          <w:noProof/>
        </w:rPr>
        <w:t xml:space="preserve"> </w:t>
      </w:r>
      <w:r w:rsidRPr="009052B1">
        <w:rPr>
          <w:noProof/>
          <w:lang w:val="en-US"/>
        </w:rPr>
        <w:t xml:space="preserve">the Commission </w:t>
      </w:r>
      <w:r w:rsidRPr="009052B1">
        <w:rPr>
          <w:noProof/>
        </w:rPr>
        <w:t>published</w:t>
      </w:r>
      <w:r w:rsidR="00CC45EB">
        <w:rPr>
          <w:noProof/>
        </w:rPr>
        <w:t xml:space="preserve"> </w:t>
      </w:r>
      <w:r w:rsidRPr="009052B1">
        <w:rPr>
          <w:noProof/>
        </w:rPr>
        <w:t>a preliminary report for consultation in June 2021</w:t>
      </w:r>
      <w:r w:rsidR="0082129C">
        <w:rPr>
          <w:rStyle w:val="FootnoteReference"/>
          <w:noProof/>
        </w:rPr>
        <w:footnoteReference w:id="65"/>
      </w:r>
      <w:r w:rsidRPr="009052B1">
        <w:rPr>
          <w:noProof/>
        </w:rPr>
        <w:t>. The sector inquiry focusse</w:t>
      </w:r>
      <w:r w:rsidR="00CC45EB">
        <w:rPr>
          <w:noProof/>
        </w:rPr>
        <w:t>d</w:t>
      </w:r>
      <w:r w:rsidRPr="009052B1">
        <w:rPr>
          <w:noProof/>
        </w:rPr>
        <w:t xml:space="preserve"> on products and services related to digital voice assistants, smart home devices and </w:t>
      </w:r>
      <w:r w:rsidR="0082129C" w:rsidRPr="009052B1">
        <w:rPr>
          <w:noProof/>
        </w:rPr>
        <w:t>wearabl</w:t>
      </w:r>
      <w:r w:rsidR="0082129C">
        <w:rPr>
          <w:noProof/>
        </w:rPr>
        <w:t>e devices</w:t>
      </w:r>
      <w:r w:rsidRPr="009052B1">
        <w:rPr>
          <w:noProof/>
        </w:rPr>
        <w:t xml:space="preserve">. The </w:t>
      </w:r>
      <w:r w:rsidR="00CC45EB">
        <w:rPr>
          <w:noProof/>
        </w:rPr>
        <w:t xml:space="preserve">final </w:t>
      </w:r>
      <w:r w:rsidRPr="00343D6C">
        <w:rPr>
          <w:noProof/>
        </w:rPr>
        <w:t xml:space="preserve">report </w:t>
      </w:r>
      <w:r w:rsidR="0082129C">
        <w:rPr>
          <w:noProof/>
        </w:rPr>
        <w:t>and its accompanying Staff Working Document were</w:t>
      </w:r>
      <w:r w:rsidR="00CC45EB">
        <w:rPr>
          <w:noProof/>
        </w:rPr>
        <w:t xml:space="preserve"> published </w:t>
      </w:r>
      <w:r w:rsidRPr="00343D6C">
        <w:rPr>
          <w:noProof/>
        </w:rPr>
        <w:t xml:space="preserve">in </w:t>
      </w:r>
      <w:r w:rsidR="00CC45EB">
        <w:rPr>
          <w:noProof/>
        </w:rPr>
        <w:t xml:space="preserve">January </w:t>
      </w:r>
      <w:r w:rsidRPr="00343D6C">
        <w:rPr>
          <w:noProof/>
        </w:rPr>
        <w:t>2022</w:t>
      </w:r>
      <w:r w:rsidR="0082129C" w:rsidRPr="002D4C8B">
        <w:rPr>
          <w:noProof/>
          <w:sz w:val="22"/>
          <w:vertAlign w:val="superscript"/>
        </w:rPr>
        <w:footnoteReference w:id="66"/>
      </w:r>
      <w:r w:rsidR="00CC45EB">
        <w:rPr>
          <w:noProof/>
        </w:rPr>
        <w:t>.</w:t>
      </w:r>
      <w:r w:rsidR="00C21EDC" w:rsidRPr="00947B7D">
        <w:rPr>
          <w:rFonts w:eastAsia="Times New Roman" w:cs="Times New Roman"/>
          <w:noProof/>
        </w:rPr>
        <w:t xml:space="preserve"> </w:t>
      </w:r>
    </w:p>
    <w:p w14:paraId="04296B5A" w14:textId="77777777" w:rsidR="00AA190B" w:rsidRPr="000F147F" w:rsidRDefault="00CC45EB" w:rsidP="000F147F">
      <w:pPr>
        <w:widowControl w:val="0"/>
        <w:pBdr>
          <w:top w:val="single" w:sz="4" w:space="1" w:color="auto"/>
          <w:left w:val="single" w:sz="4" w:space="4" w:color="auto"/>
          <w:bottom w:val="single" w:sz="4" w:space="1" w:color="auto"/>
          <w:right w:val="single" w:sz="4" w:space="4" w:color="auto"/>
        </w:pBdr>
        <w:tabs>
          <w:tab w:val="left" w:pos="709"/>
        </w:tabs>
        <w:spacing w:after="60" w:line="240" w:lineRule="auto"/>
        <w:jc w:val="both"/>
        <w:rPr>
          <w:b/>
          <w:bCs/>
          <w:noProof/>
          <w:color w:val="0070C0"/>
          <w:sz w:val="22"/>
        </w:rPr>
      </w:pPr>
      <w:r w:rsidRPr="00947B7D">
        <w:rPr>
          <w:b/>
          <w:bCs/>
          <w:noProof/>
          <w:color w:val="0070C0"/>
          <w:sz w:val="22"/>
        </w:rPr>
        <w:t xml:space="preserve">Final </w:t>
      </w:r>
      <w:r w:rsidR="0082129C" w:rsidRPr="00947B7D">
        <w:rPr>
          <w:b/>
          <w:bCs/>
          <w:noProof/>
          <w:color w:val="0070C0"/>
          <w:sz w:val="22"/>
        </w:rPr>
        <w:t xml:space="preserve">report </w:t>
      </w:r>
      <w:r w:rsidRPr="00947B7D">
        <w:rPr>
          <w:b/>
          <w:bCs/>
          <w:noProof/>
          <w:color w:val="0070C0"/>
          <w:sz w:val="22"/>
        </w:rPr>
        <w:t>of the s</w:t>
      </w:r>
      <w:r w:rsidR="00AA190B" w:rsidRPr="004155ED">
        <w:rPr>
          <w:b/>
          <w:bCs/>
          <w:noProof/>
          <w:color w:val="0070C0"/>
          <w:sz w:val="22"/>
        </w:rPr>
        <w:t xml:space="preserve">ector enquiry into the </w:t>
      </w:r>
      <w:r w:rsidR="0082129C" w:rsidRPr="004155ED">
        <w:rPr>
          <w:b/>
          <w:bCs/>
          <w:noProof/>
          <w:color w:val="0070C0"/>
          <w:sz w:val="22"/>
        </w:rPr>
        <w:t xml:space="preserve">consumer </w:t>
      </w:r>
      <w:r w:rsidR="00AA190B" w:rsidRPr="004155ED">
        <w:rPr>
          <w:b/>
          <w:bCs/>
          <w:noProof/>
          <w:color w:val="0070C0"/>
          <w:sz w:val="22"/>
        </w:rPr>
        <w:t>“Internet of Things”</w:t>
      </w:r>
    </w:p>
    <w:p w14:paraId="44081996" w14:textId="1861E2E6" w:rsidR="00AA190B" w:rsidRPr="000F147F" w:rsidRDefault="00AA190B" w:rsidP="000F147F">
      <w:pPr>
        <w:widowControl w:val="0"/>
        <w:pBdr>
          <w:top w:val="single" w:sz="4" w:space="1" w:color="auto"/>
          <w:left w:val="single" w:sz="4" w:space="4" w:color="auto"/>
          <w:bottom w:val="single" w:sz="4" w:space="1" w:color="auto"/>
          <w:right w:val="single" w:sz="4" w:space="4" w:color="auto"/>
        </w:pBdr>
        <w:tabs>
          <w:tab w:val="left" w:pos="709"/>
        </w:tabs>
        <w:spacing w:after="60" w:line="240" w:lineRule="auto"/>
        <w:jc w:val="both"/>
        <w:rPr>
          <w:noProof/>
          <w:color w:val="0070C0"/>
          <w:sz w:val="22"/>
        </w:rPr>
      </w:pPr>
      <w:r w:rsidRPr="158881C6">
        <w:rPr>
          <w:noProof/>
          <w:color w:val="0070C0"/>
          <w:sz w:val="22"/>
        </w:rPr>
        <w:t>In January 2022, the Commission published the findings of its sector inquiry into the consumer Internet of Things (</w:t>
      </w:r>
      <w:r w:rsidR="005233E9" w:rsidRPr="158881C6">
        <w:rPr>
          <w:noProof/>
          <w:color w:val="0070C0"/>
          <w:sz w:val="22"/>
        </w:rPr>
        <w:t>“</w:t>
      </w:r>
      <w:r w:rsidRPr="158881C6">
        <w:rPr>
          <w:noProof/>
          <w:color w:val="0070C0"/>
          <w:sz w:val="22"/>
        </w:rPr>
        <w:t>IoT</w:t>
      </w:r>
      <w:r w:rsidR="005233E9" w:rsidRPr="158881C6">
        <w:rPr>
          <w:noProof/>
          <w:color w:val="0070C0"/>
          <w:sz w:val="22"/>
        </w:rPr>
        <w:t>”</w:t>
      </w:r>
      <w:r w:rsidRPr="158881C6">
        <w:rPr>
          <w:noProof/>
          <w:color w:val="0070C0"/>
          <w:sz w:val="22"/>
        </w:rPr>
        <w:t>)</w:t>
      </w:r>
      <w:r w:rsidRPr="158881C6">
        <w:rPr>
          <w:noProof/>
          <w:color w:val="0070C0"/>
          <w:sz w:val="22"/>
          <w:vertAlign w:val="superscript"/>
        </w:rPr>
        <w:footnoteReference w:id="67"/>
      </w:r>
      <w:r w:rsidRPr="158881C6">
        <w:rPr>
          <w:noProof/>
          <w:color w:val="0070C0"/>
          <w:sz w:val="22"/>
        </w:rPr>
        <w:t>. This sector is growing rapidly and there is increasing demand for voice assistants as user interfaces for interacting with other smart devices and consumer IoT services.</w:t>
      </w:r>
      <w:r w:rsidR="003443E6" w:rsidRPr="158881C6">
        <w:rPr>
          <w:noProof/>
          <w:color w:val="0070C0"/>
          <w:sz w:val="22"/>
        </w:rPr>
        <w:t xml:space="preserve"> </w:t>
      </w:r>
      <w:r w:rsidRPr="158881C6">
        <w:rPr>
          <w:noProof/>
          <w:color w:val="0070C0"/>
          <w:sz w:val="22"/>
        </w:rPr>
        <w:t xml:space="preserve">A number of potential </w:t>
      </w:r>
      <w:r w:rsidR="003443E6" w:rsidRPr="158881C6">
        <w:rPr>
          <w:noProof/>
          <w:color w:val="0070C0"/>
          <w:sz w:val="22"/>
        </w:rPr>
        <w:t xml:space="preserve">competition </w:t>
      </w:r>
      <w:r w:rsidRPr="158881C6">
        <w:rPr>
          <w:noProof/>
          <w:color w:val="0070C0"/>
          <w:sz w:val="22"/>
        </w:rPr>
        <w:t xml:space="preserve">issues were identified, such as exclusivity and tying practices for voice assistants, limiting the possibility to use different voice assistants on the same smart device, lack of interoperability and limiting functionalities on third-party smart devices and consumer IoT services. The complex standardisation landscape and </w:t>
      </w:r>
      <w:r w:rsidR="003443E6" w:rsidRPr="158881C6">
        <w:rPr>
          <w:noProof/>
          <w:color w:val="0070C0"/>
          <w:sz w:val="22"/>
        </w:rPr>
        <w:t xml:space="preserve">complex </w:t>
      </w:r>
      <w:r w:rsidRPr="158881C6">
        <w:rPr>
          <w:noProof/>
          <w:color w:val="0070C0"/>
          <w:sz w:val="22"/>
        </w:rPr>
        <w:t xml:space="preserve">proprietary technologies </w:t>
      </w:r>
      <w:r w:rsidR="003443E6" w:rsidRPr="158881C6">
        <w:rPr>
          <w:noProof/>
          <w:color w:val="0070C0"/>
          <w:sz w:val="22"/>
        </w:rPr>
        <w:t xml:space="preserve">may </w:t>
      </w:r>
      <w:r w:rsidRPr="158881C6">
        <w:rPr>
          <w:noProof/>
          <w:color w:val="0070C0"/>
          <w:sz w:val="22"/>
        </w:rPr>
        <w:t xml:space="preserve">adversely affect the growth potential of consumer IoT products. Limiting out-of-the-box features available to users was another concern. Other potential </w:t>
      </w:r>
      <w:r w:rsidR="003443E6" w:rsidRPr="158881C6">
        <w:rPr>
          <w:noProof/>
          <w:color w:val="0070C0"/>
          <w:sz w:val="22"/>
        </w:rPr>
        <w:t xml:space="preserve">competition restraints </w:t>
      </w:r>
      <w:r w:rsidRPr="158881C6">
        <w:rPr>
          <w:noProof/>
          <w:color w:val="0070C0"/>
          <w:sz w:val="22"/>
        </w:rPr>
        <w:t>were pre-installation</w:t>
      </w:r>
      <w:r w:rsidR="003443E6" w:rsidRPr="158881C6">
        <w:rPr>
          <w:noProof/>
          <w:color w:val="0070C0"/>
          <w:sz w:val="22"/>
        </w:rPr>
        <w:t>s</w:t>
      </w:r>
      <w:r w:rsidRPr="158881C6">
        <w:rPr>
          <w:noProof/>
          <w:color w:val="0070C0"/>
          <w:sz w:val="22"/>
        </w:rPr>
        <w:t>, default-setting</w:t>
      </w:r>
      <w:r w:rsidR="003443E6" w:rsidRPr="158881C6">
        <w:rPr>
          <w:noProof/>
          <w:color w:val="0070C0"/>
          <w:sz w:val="22"/>
        </w:rPr>
        <w:t>s</w:t>
      </w:r>
      <w:r w:rsidRPr="158881C6">
        <w:rPr>
          <w:noProof/>
          <w:color w:val="0070C0"/>
          <w:sz w:val="22"/>
        </w:rPr>
        <w:t xml:space="preserve"> and prominent placement of consumer IoT services on smart devices or in relation to voice assistants. The information collected in the sector inquiry on the consumer IoT will provide guidance </w:t>
      </w:r>
      <w:r w:rsidR="002C1B78">
        <w:rPr>
          <w:noProof/>
          <w:color w:val="0070C0"/>
          <w:sz w:val="22"/>
        </w:rPr>
        <w:t>for</w:t>
      </w:r>
      <w:r w:rsidR="002C1B78" w:rsidRPr="158881C6">
        <w:rPr>
          <w:noProof/>
          <w:color w:val="0070C0"/>
          <w:sz w:val="22"/>
        </w:rPr>
        <w:t xml:space="preserve"> </w:t>
      </w:r>
      <w:r w:rsidRPr="158881C6">
        <w:rPr>
          <w:noProof/>
          <w:color w:val="0070C0"/>
          <w:sz w:val="22"/>
        </w:rPr>
        <w:t>the Commission's future enforcement and regulatory activit</w:t>
      </w:r>
      <w:r w:rsidR="003443E6" w:rsidRPr="158881C6">
        <w:rPr>
          <w:noProof/>
          <w:color w:val="0070C0"/>
          <w:sz w:val="22"/>
        </w:rPr>
        <w:t>ies</w:t>
      </w:r>
      <w:r w:rsidRPr="158881C6">
        <w:rPr>
          <w:noProof/>
          <w:color w:val="0070C0"/>
          <w:sz w:val="22"/>
        </w:rPr>
        <w:t>. It also contribute</w:t>
      </w:r>
      <w:r w:rsidR="0082129C" w:rsidRPr="158881C6">
        <w:rPr>
          <w:noProof/>
          <w:color w:val="0070C0"/>
          <w:sz w:val="22"/>
        </w:rPr>
        <w:t>s</w:t>
      </w:r>
      <w:r w:rsidRPr="158881C6">
        <w:rPr>
          <w:noProof/>
          <w:color w:val="0070C0"/>
          <w:sz w:val="22"/>
        </w:rPr>
        <w:t xml:space="preserve"> to the legislative debate on the Commission's proposal for the Digital Markets Act.</w:t>
      </w:r>
    </w:p>
    <w:p w14:paraId="05CA6AAF" w14:textId="77777777" w:rsidR="49AFB78C" w:rsidRPr="00F42E78" w:rsidRDefault="49AFB78C" w:rsidP="00F42E78">
      <w:pPr>
        <w:pStyle w:val="Heading3"/>
        <w:spacing w:before="200"/>
        <w:rPr>
          <w:rStyle w:val="Heading2Char"/>
          <w:rFonts w:asciiTheme="majorHAnsi" w:hAnsiTheme="majorHAnsi"/>
        </w:rPr>
      </w:pPr>
      <w:bookmarkStart w:id="38" w:name="_Toc94190107"/>
      <w:bookmarkStart w:id="39" w:name="_Toc94281756"/>
      <w:bookmarkStart w:id="40" w:name="_Toc94695848"/>
      <w:bookmarkStart w:id="41" w:name="_Toc95762335"/>
      <w:bookmarkStart w:id="42" w:name="_Toc102030136"/>
      <w:r w:rsidRPr="00F42E78">
        <w:rPr>
          <w:rStyle w:val="Heading2Char"/>
          <w:rFonts w:asciiTheme="majorHAnsi" w:hAnsiTheme="majorHAnsi"/>
        </w:rPr>
        <w:t>3.</w:t>
      </w:r>
      <w:r w:rsidR="001E3085" w:rsidRPr="00F42E78">
        <w:rPr>
          <w:rStyle w:val="Heading2Char"/>
          <w:rFonts w:asciiTheme="majorHAnsi" w:hAnsiTheme="majorHAnsi"/>
        </w:rPr>
        <w:t>2</w:t>
      </w:r>
      <w:r w:rsidRPr="00F42E78">
        <w:rPr>
          <w:rStyle w:val="Heading2Char"/>
          <w:rFonts w:asciiTheme="majorHAnsi" w:hAnsiTheme="majorHAnsi"/>
        </w:rPr>
        <w:t>. Merger control</w:t>
      </w:r>
      <w:r w:rsidR="5EEFE638" w:rsidRPr="00F42E78">
        <w:rPr>
          <w:rStyle w:val="Heading2Char"/>
          <w:rFonts w:asciiTheme="majorHAnsi" w:hAnsiTheme="majorHAnsi"/>
        </w:rPr>
        <w:t xml:space="preserve"> </w:t>
      </w:r>
      <w:r w:rsidR="004B61C2" w:rsidRPr="00F42E78">
        <w:rPr>
          <w:rStyle w:val="Heading2Char"/>
          <w:rFonts w:asciiTheme="majorHAnsi" w:hAnsiTheme="majorHAnsi"/>
        </w:rPr>
        <w:t xml:space="preserve">contributed to the digital transition and </w:t>
      </w:r>
      <w:r w:rsidR="00A131BB" w:rsidRPr="00F42E78">
        <w:rPr>
          <w:rStyle w:val="Heading2Char"/>
          <w:rFonts w:asciiTheme="majorHAnsi" w:hAnsiTheme="majorHAnsi"/>
        </w:rPr>
        <w:t xml:space="preserve">a </w:t>
      </w:r>
      <w:r w:rsidR="00A67EA5" w:rsidRPr="00F42E78">
        <w:rPr>
          <w:rStyle w:val="Heading2Char"/>
          <w:rFonts w:asciiTheme="majorHAnsi" w:hAnsiTheme="majorHAnsi"/>
        </w:rPr>
        <w:t xml:space="preserve">strong and </w:t>
      </w:r>
      <w:r w:rsidR="004B61C2" w:rsidRPr="00F42E78">
        <w:rPr>
          <w:rStyle w:val="Heading2Char"/>
          <w:rFonts w:asciiTheme="majorHAnsi" w:hAnsiTheme="majorHAnsi"/>
        </w:rPr>
        <w:t>resilien</w:t>
      </w:r>
      <w:r w:rsidR="00A67EA5" w:rsidRPr="00F42E78">
        <w:rPr>
          <w:rStyle w:val="Heading2Char"/>
          <w:rFonts w:asciiTheme="majorHAnsi" w:hAnsiTheme="majorHAnsi"/>
        </w:rPr>
        <w:t>t</w:t>
      </w:r>
      <w:r w:rsidR="004B61C2" w:rsidRPr="00F42E78">
        <w:rPr>
          <w:rStyle w:val="Heading2Char"/>
          <w:rFonts w:asciiTheme="majorHAnsi" w:hAnsiTheme="majorHAnsi"/>
        </w:rPr>
        <w:t xml:space="preserve"> Single Market</w:t>
      </w:r>
      <w:bookmarkEnd w:id="38"/>
      <w:bookmarkEnd w:id="39"/>
      <w:bookmarkEnd w:id="40"/>
      <w:bookmarkEnd w:id="41"/>
      <w:bookmarkEnd w:id="42"/>
    </w:p>
    <w:p w14:paraId="416B7139" w14:textId="4FE911D0" w:rsidR="005728DA" w:rsidRPr="000F147F" w:rsidRDefault="00A131BB">
      <w:pPr>
        <w:jc w:val="both"/>
        <w:rPr>
          <w:rFonts w:eastAsia="Times New Roman" w:cs="Times New Roman"/>
          <w:noProof/>
        </w:rPr>
      </w:pPr>
      <w:r w:rsidRPr="00373CE6">
        <w:rPr>
          <w:rFonts w:eastAsia="Times New Roman" w:cs="Times New Roman"/>
          <w:noProof/>
        </w:rPr>
        <w:t xml:space="preserve">Merger control </w:t>
      </w:r>
      <w:r w:rsidR="00FE0DC3" w:rsidRPr="00373CE6">
        <w:rPr>
          <w:rFonts w:eastAsia="Times New Roman" w:cs="Times New Roman"/>
          <w:noProof/>
        </w:rPr>
        <w:t>ensur</w:t>
      </w:r>
      <w:r w:rsidRPr="00373CE6">
        <w:rPr>
          <w:rFonts w:eastAsia="Times New Roman" w:cs="Times New Roman"/>
          <w:noProof/>
        </w:rPr>
        <w:t xml:space="preserve">es </w:t>
      </w:r>
      <w:r w:rsidR="00FE0DC3" w:rsidRPr="005B1727">
        <w:rPr>
          <w:rFonts w:eastAsia="Times New Roman" w:cs="Times New Roman"/>
          <w:noProof/>
        </w:rPr>
        <w:t xml:space="preserve">that </w:t>
      </w:r>
      <w:r w:rsidR="00CC0F39">
        <w:rPr>
          <w:rFonts w:eastAsia="Times New Roman" w:cs="Times New Roman"/>
          <w:noProof/>
        </w:rPr>
        <w:t xml:space="preserve">consolidation takes place in a way that preserves </w:t>
      </w:r>
      <w:r w:rsidR="00D86321" w:rsidRPr="005B1727">
        <w:rPr>
          <w:rFonts w:eastAsia="Times New Roman" w:cs="Times New Roman"/>
          <w:noProof/>
        </w:rPr>
        <w:t xml:space="preserve">sufficient </w:t>
      </w:r>
      <w:r w:rsidR="000D445D" w:rsidRPr="00C75974">
        <w:rPr>
          <w:rFonts w:eastAsia="Times New Roman" w:cs="Times New Roman"/>
          <w:noProof/>
        </w:rPr>
        <w:t xml:space="preserve">competitive pressure </w:t>
      </w:r>
      <w:r w:rsidR="00FE0DC3" w:rsidRPr="00C75974">
        <w:rPr>
          <w:rFonts w:eastAsia="Times New Roman" w:cs="Times New Roman"/>
          <w:noProof/>
        </w:rPr>
        <w:t xml:space="preserve">in the </w:t>
      </w:r>
      <w:r w:rsidRPr="00C75974">
        <w:rPr>
          <w:rFonts w:eastAsia="Times New Roman" w:cs="Times New Roman"/>
          <w:noProof/>
        </w:rPr>
        <w:t>markets affected by a merger.</w:t>
      </w:r>
      <w:r w:rsidR="00DD629F">
        <w:rPr>
          <w:rFonts w:eastAsia="Times New Roman" w:cs="Times New Roman"/>
          <w:noProof/>
        </w:rPr>
        <w:t xml:space="preserve"> Merger control prevents the creation of market structures where businesses and consumers have too little choice, face lower innovation, le</w:t>
      </w:r>
      <w:r w:rsidR="002D4C8B">
        <w:rPr>
          <w:rFonts w:eastAsia="Times New Roman" w:cs="Times New Roman"/>
          <w:noProof/>
        </w:rPr>
        <w:t xml:space="preserve">sser quality or higher prices. </w:t>
      </w:r>
      <w:r w:rsidR="00DD629F">
        <w:rPr>
          <w:rFonts w:eastAsia="Times New Roman" w:cs="Times New Roman"/>
          <w:noProof/>
        </w:rPr>
        <w:t xml:space="preserve">Merger control requires an assessment of the positive and negative effects of consolidation. </w:t>
      </w:r>
    </w:p>
    <w:p w14:paraId="51E373A5" w14:textId="5C8543D7" w:rsidR="00FE0DC3" w:rsidRPr="000F147F" w:rsidRDefault="000D445D">
      <w:pPr>
        <w:jc w:val="both"/>
        <w:rPr>
          <w:rFonts w:eastAsia="Times New Roman" w:cs="Times New Roman"/>
          <w:noProof/>
        </w:rPr>
      </w:pPr>
      <w:r w:rsidRPr="006D6A86">
        <w:rPr>
          <w:rFonts w:eastAsia="Times New Roman" w:cs="Times New Roman"/>
          <w:noProof/>
        </w:rPr>
        <w:t xml:space="preserve">In 2021, </w:t>
      </w:r>
      <w:r w:rsidR="00056D80" w:rsidRPr="006D6A86">
        <w:rPr>
          <w:rFonts w:eastAsia="Times New Roman" w:cs="Times New Roman"/>
          <w:noProof/>
        </w:rPr>
        <w:t xml:space="preserve">the </w:t>
      </w:r>
      <w:r w:rsidR="005728DA" w:rsidRPr="006D6A86">
        <w:rPr>
          <w:rFonts w:eastAsia="Times New Roman" w:cs="Times New Roman"/>
          <w:noProof/>
        </w:rPr>
        <w:t xml:space="preserve">Commission’s </w:t>
      </w:r>
      <w:r w:rsidR="00937ABC" w:rsidRPr="006D6A86">
        <w:rPr>
          <w:rFonts w:eastAsia="Times New Roman" w:cs="Times New Roman"/>
          <w:noProof/>
        </w:rPr>
        <w:t xml:space="preserve">merger activity remained at </w:t>
      </w:r>
      <w:r w:rsidR="005728DA" w:rsidRPr="006D6A86">
        <w:rPr>
          <w:rFonts w:eastAsia="Times New Roman" w:cs="Times New Roman"/>
          <w:noProof/>
        </w:rPr>
        <w:t xml:space="preserve">a very </w:t>
      </w:r>
      <w:r w:rsidR="00937ABC" w:rsidRPr="006D6A86">
        <w:rPr>
          <w:rFonts w:eastAsia="Times New Roman" w:cs="Times New Roman"/>
          <w:noProof/>
        </w:rPr>
        <w:t>high level</w:t>
      </w:r>
      <w:r w:rsidR="005728DA" w:rsidRPr="006D6A86">
        <w:rPr>
          <w:rFonts w:eastAsia="Times New Roman" w:cs="Times New Roman"/>
          <w:noProof/>
        </w:rPr>
        <w:t>. T</w:t>
      </w:r>
      <w:r w:rsidR="00937ABC" w:rsidRPr="006D6A86">
        <w:rPr>
          <w:rFonts w:eastAsia="Times New Roman" w:cs="Times New Roman"/>
          <w:noProof/>
        </w:rPr>
        <w:t xml:space="preserve">he </w:t>
      </w:r>
      <w:r w:rsidR="00056D80" w:rsidRPr="006D6A86">
        <w:rPr>
          <w:rFonts w:eastAsia="Times New Roman" w:cs="Times New Roman"/>
          <w:noProof/>
        </w:rPr>
        <w:t xml:space="preserve">Commission </w:t>
      </w:r>
      <w:r w:rsidR="00937ABC" w:rsidRPr="006D6A86">
        <w:rPr>
          <w:rFonts w:eastAsia="Times New Roman" w:cs="Times New Roman"/>
          <w:noProof/>
        </w:rPr>
        <w:t>adopt</w:t>
      </w:r>
      <w:r w:rsidR="005728DA" w:rsidRPr="006D6A86">
        <w:rPr>
          <w:rFonts w:eastAsia="Times New Roman" w:cs="Times New Roman"/>
          <w:noProof/>
        </w:rPr>
        <w:t>ed</w:t>
      </w:r>
      <w:r w:rsidR="00937ABC" w:rsidRPr="006D6A86">
        <w:rPr>
          <w:rFonts w:eastAsia="Times New Roman" w:cs="Times New Roman"/>
          <w:noProof/>
        </w:rPr>
        <w:t xml:space="preserve"> </w:t>
      </w:r>
      <w:r w:rsidR="00CE1864" w:rsidRPr="006D6A86">
        <w:rPr>
          <w:rFonts w:eastAsia="Times New Roman" w:cs="Times New Roman"/>
          <w:noProof/>
        </w:rPr>
        <w:t>3</w:t>
      </w:r>
      <w:r w:rsidR="00311C34" w:rsidRPr="006D6A86">
        <w:rPr>
          <w:rFonts w:eastAsia="Times New Roman" w:cs="Times New Roman"/>
          <w:noProof/>
        </w:rPr>
        <w:t>9</w:t>
      </w:r>
      <w:r w:rsidR="00F924E9">
        <w:rPr>
          <w:rFonts w:eastAsia="Times New Roman" w:cs="Times New Roman"/>
          <w:noProof/>
        </w:rPr>
        <w:t>6</w:t>
      </w:r>
      <w:r w:rsidR="00CE1864" w:rsidRPr="006D6A86">
        <w:rPr>
          <w:rFonts w:eastAsia="Times New Roman" w:cs="Times New Roman"/>
          <w:noProof/>
        </w:rPr>
        <w:t xml:space="preserve"> </w:t>
      </w:r>
      <w:r w:rsidR="005728DA" w:rsidRPr="00947B7D">
        <w:rPr>
          <w:rFonts w:eastAsia="Times New Roman" w:cs="Times New Roman"/>
          <w:noProof/>
        </w:rPr>
        <w:t xml:space="preserve">merger </w:t>
      </w:r>
      <w:r w:rsidR="00CE1864" w:rsidRPr="00947B7D">
        <w:rPr>
          <w:rFonts w:eastAsia="Times New Roman" w:cs="Times New Roman"/>
          <w:noProof/>
        </w:rPr>
        <w:t xml:space="preserve">decisions </w:t>
      </w:r>
      <w:r w:rsidR="00966E77" w:rsidRPr="00947B7D">
        <w:rPr>
          <w:rFonts w:eastAsia="Times New Roman" w:cs="Times New Roman"/>
          <w:noProof/>
        </w:rPr>
        <w:t xml:space="preserve">in various sectors </w:t>
      </w:r>
      <w:r w:rsidR="00F924E9">
        <w:rPr>
          <w:rFonts w:eastAsia="Times New Roman" w:cs="Times New Roman"/>
          <w:noProof/>
        </w:rPr>
        <w:t xml:space="preserve">(in 2020 the Commission adopted 352 merger decisions) </w:t>
      </w:r>
      <w:r w:rsidR="00311C34" w:rsidRPr="004155ED">
        <w:rPr>
          <w:rFonts w:eastAsia="Times New Roman" w:cs="Times New Roman"/>
          <w:noProof/>
        </w:rPr>
        <w:t>of which 309 were approved following a simplified procedure. The Commission intervened in 1</w:t>
      </w:r>
      <w:r w:rsidR="00CE1864" w:rsidRPr="004155ED">
        <w:rPr>
          <w:rFonts w:eastAsia="Times New Roman" w:cs="Times New Roman"/>
          <w:noProof/>
        </w:rPr>
        <w:t xml:space="preserve">4 </w:t>
      </w:r>
      <w:r w:rsidR="00311C34" w:rsidRPr="00062864">
        <w:rPr>
          <w:rFonts w:eastAsia="Times New Roman" w:cs="Times New Roman"/>
          <w:noProof/>
        </w:rPr>
        <w:t>proposed acquisitions</w:t>
      </w:r>
      <w:r w:rsidR="00041479" w:rsidRPr="00062864">
        <w:rPr>
          <w:rFonts w:eastAsia="Times New Roman" w:cs="Times New Roman"/>
          <w:noProof/>
        </w:rPr>
        <w:t>,</w:t>
      </w:r>
      <w:r w:rsidR="00852D9E" w:rsidRPr="00062864">
        <w:rPr>
          <w:rFonts w:eastAsia="Times New Roman" w:cs="Times New Roman"/>
          <w:noProof/>
        </w:rPr>
        <w:t xml:space="preserve"> </w:t>
      </w:r>
      <w:r w:rsidR="00041479" w:rsidRPr="00373CE6">
        <w:rPr>
          <w:rFonts w:eastAsia="Times New Roman" w:cs="Times New Roman"/>
          <w:noProof/>
        </w:rPr>
        <w:t>of which 11 transactions were approved subject to conditions</w:t>
      </w:r>
      <w:r w:rsidR="00F729FC">
        <w:rPr>
          <w:rFonts w:eastAsia="Times New Roman" w:cs="Times New Roman"/>
          <w:noProof/>
        </w:rPr>
        <w:t>.</w:t>
      </w:r>
      <w:r w:rsidR="00041479" w:rsidRPr="00373CE6">
        <w:rPr>
          <w:rFonts w:eastAsia="Times New Roman" w:cs="Times New Roman"/>
          <w:noProof/>
        </w:rPr>
        <w:t xml:space="preserve"> </w:t>
      </w:r>
      <w:r w:rsidR="00F729FC">
        <w:rPr>
          <w:rFonts w:eastAsia="Times New Roman" w:cs="Times New Roman"/>
          <w:noProof/>
        </w:rPr>
        <w:t>T</w:t>
      </w:r>
      <w:r w:rsidR="00041479" w:rsidRPr="00373CE6">
        <w:rPr>
          <w:rFonts w:eastAsia="Times New Roman" w:cs="Times New Roman"/>
          <w:noProof/>
        </w:rPr>
        <w:t>hree notified transactions were abandoned by the parties and withdrawn in Phase II</w:t>
      </w:r>
      <w:r w:rsidR="00CE1864" w:rsidRPr="00373CE6">
        <w:rPr>
          <w:rFonts w:eastAsia="Times New Roman" w:cs="Times New Roman"/>
          <w:noProof/>
        </w:rPr>
        <w:t>.</w:t>
      </w:r>
    </w:p>
    <w:p w14:paraId="1DD855EA" w14:textId="69398BAE" w:rsidR="00937ABC" w:rsidRPr="000F147F" w:rsidRDefault="005728DA">
      <w:pPr>
        <w:widowControl w:val="0"/>
        <w:tabs>
          <w:tab w:val="left" w:pos="709"/>
        </w:tabs>
        <w:jc w:val="both"/>
        <w:rPr>
          <w:noProof/>
          <w:lang w:val="en-US"/>
        </w:rPr>
      </w:pPr>
      <w:r w:rsidRPr="006D6A86">
        <w:rPr>
          <w:noProof/>
          <w:lang w:val="en-IE"/>
        </w:rPr>
        <w:t xml:space="preserve">In </w:t>
      </w:r>
      <w:r w:rsidR="00937ABC" w:rsidRPr="006D6A86">
        <w:rPr>
          <w:noProof/>
          <w:lang w:val="en-IE"/>
        </w:rPr>
        <w:t>March 2021, the Commission approved</w:t>
      </w:r>
      <w:r w:rsidRPr="006D6A86">
        <w:rPr>
          <w:noProof/>
          <w:lang w:val="en-IE"/>
        </w:rPr>
        <w:t>, following an in-depth investigation and subject to co</w:t>
      </w:r>
      <w:r w:rsidR="00966E77" w:rsidRPr="006D6A86">
        <w:rPr>
          <w:noProof/>
          <w:lang w:val="en-IE"/>
        </w:rPr>
        <w:t>nditions</w:t>
      </w:r>
      <w:r w:rsidRPr="006D6A86">
        <w:rPr>
          <w:noProof/>
          <w:lang w:val="en-IE"/>
        </w:rPr>
        <w:t xml:space="preserve">, </w:t>
      </w:r>
      <w:r w:rsidR="00937ABC" w:rsidRPr="006D6A86">
        <w:rPr>
          <w:noProof/>
          <w:lang w:val="en-IE"/>
        </w:rPr>
        <w:t xml:space="preserve">the acquisition of </w:t>
      </w:r>
      <w:r w:rsidR="00937ABC" w:rsidRPr="002D4C8B">
        <w:rPr>
          <w:i/>
          <w:iCs/>
          <w:noProof/>
          <w:lang w:val="en-IE"/>
        </w:rPr>
        <w:t>Eaton Hydraulics</w:t>
      </w:r>
      <w:r w:rsidR="00937ABC" w:rsidRPr="00F729FC">
        <w:rPr>
          <w:noProof/>
          <w:lang w:val="en-IE"/>
        </w:rPr>
        <w:t xml:space="preserve"> by </w:t>
      </w:r>
      <w:r w:rsidR="00937ABC" w:rsidRPr="002D4C8B">
        <w:rPr>
          <w:i/>
          <w:iCs/>
          <w:noProof/>
          <w:lang w:val="en-IE"/>
        </w:rPr>
        <w:t>Danfoss</w:t>
      </w:r>
      <w:r w:rsidRPr="00947B7D">
        <w:rPr>
          <w:rStyle w:val="FootnoteReference"/>
          <w:noProof/>
          <w:lang w:val="en-IE"/>
        </w:rPr>
        <w:footnoteReference w:id="68"/>
      </w:r>
      <w:r w:rsidR="00F729FC">
        <w:rPr>
          <w:i/>
          <w:iCs/>
          <w:noProof/>
          <w:lang w:val="en-IE"/>
        </w:rPr>
        <w:t>.</w:t>
      </w:r>
      <w:r w:rsidRPr="00947B7D">
        <w:rPr>
          <w:noProof/>
          <w:lang w:val="en-IE"/>
        </w:rPr>
        <w:t xml:space="preserve"> </w:t>
      </w:r>
      <w:r w:rsidR="00F729FC">
        <w:rPr>
          <w:noProof/>
          <w:lang w:val="en-IE"/>
        </w:rPr>
        <w:t xml:space="preserve">The company </w:t>
      </w:r>
      <w:r w:rsidRPr="00947B7D">
        <w:rPr>
          <w:noProof/>
          <w:lang w:val="en-IE"/>
        </w:rPr>
        <w:t>suppl</w:t>
      </w:r>
      <w:r w:rsidR="00F729FC">
        <w:rPr>
          <w:noProof/>
          <w:lang w:val="en-IE"/>
        </w:rPr>
        <w:t>ies</w:t>
      </w:r>
      <w:r w:rsidRPr="00947B7D">
        <w:rPr>
          <w:noProof/>
          <w:lang w:val="en-IE"/>
        </w:rPr>
        <w:t xml:space="preserve"> </w:t>
      </w:r>
      <w:r w:rsidR="00937ABC" w:rsidRPr="00947B7D">
        <w:rPr>
          <w:noProof/>
          <w:lang w:val="en-IE"/>
        </w:rPr>
        <w:t xml:space="preserve">hydraulic components used in machinery </w:t>
      </w:r>
      <w:r w:rsidR="00F729FC">
        <w:rPr>
          <w:noProof/>
          <w:lang w:val="en-IE"/>
        </w:rPr>
        <w:t xml:space="preserve">used in the </w:t>
      </w:r>
      <w:r w:rsidR="00937ABC" w:rsidRPr="004155ED">
        <w:rPr>
          <w:noProof/>
          <w:lang w:val="en-US"/>
        </w:rPr>
        <w:t>agricultural, industrial and construction industries.</w:t>
      </w:r>
      <w:r w:rsidR="00937ABC" w:rsidRPr="004155ED">
        <w:rPr>
          <w:noProof/>
          <w:lang w:val="en-IE"/>
        </w:rPr>
        <w:t xml:space="preserve"> </w:t>
      </w:r>
      <w:r w:rsidR="00937ABC" w:rsidRPr="004155ED">
        <w:rPr>
          <w:noProof/>
          <w:lang w:val="en-US"/>
        </w:rPr>
        <w:t xml:space="preserve">The </w:t>
      </w:r>
      <w:r w:rsidR="00937ABC" w:rsidRPr="00062864">
        <w:rPr>
          <w:noProof/>
          <w:lang w:val="en-US"/>
        </w:rPr>
        <w:t>commitments address</w:t>
      </w:r>
      <w:r w:rsidRPr="00062864">
        <w:rPr>
          <w:noProof/>
          <w:lang w:val="en-US"/>
        </w:rPr>
        <w:t>ed</w:t>
      </w:r>
      <w:r w:rsidR="00937ABC" w:rsidRPr="00062864">
        <w:rPr>
          <w:noProof/>
          <w:lang w:val="en-US"/>
        </w:rPr>
        <w:t xml:space="preserve"> the Commission’s competition concerns and ensure</w:t>
      </w:r>
      <w:r w:rsidR="00F729FC">
        <w:rPr>
          <w:noProof/>
          <w:lang w:val="en-US"/>
        </w:rPr>
        <w:t>d</w:t>
      </w:r>
      <w:r w:rsidR="00937ABC" w:rsidRPr="00062864">
        <w:rPr>
          <w:noProof/>
          <w:lang w:val="en-US"/>
        </w:rPr>
        <w:t xml:space="preserve"> that downstream </w:t>
      </w:r>
      <w:r w:rsidR="00F729FC">
        <w:rPr>
          <w:noProof/>
          <w:lang w:val="en-US"/>
        </w:rPr>
        <w:t xml:space="preserve">machine </w:t>
      </w:r>
      <w:r w:rsidR="00937ABC" w:rsidRPr="00062864">
        <w:rPr>
          <w:noProof/>
          <w:lang w:val="en-US"/>
        </w:rPr>
        <w:t xml:space="preserve">manufacturers </w:t>
      </w:r>
      <w:r w:rsidR="00F729FC">
        <w:rPr>
          <w:noProof/>
          <w:lang w:val="en-US"/>
        </w:rPr>
        <w:t xml:space="preserve">could </w:t>
      </w:r>
      <w:r w:rsidR="00937ABC" w:rsidRPr="00062864">
        <w:rPr>
          <w:noProof/>
          <w:lang w:val="en-US"/>
        </w:rPr>
        <w:t xml:space="preserve">continue to benefit from competitive prices and </w:t>
      </w:r>
      <w:r w:rsidR="00F729FC">
        <w:rPr>
          <w:noProof/>
          <w:lang w:val="en-US"/>
        </w:rPr>
        <w:t xml:space="preserve">a wide </w:t>
      </w:r>
      <w:r w:rsidR="00937ABC" w:rsidRPr="00062864">
        <w:rPr>
          <w:noProof/>
          <w:lang w:val="en-US"/>
        </w:rPr>
        <w:t xml:space="preserve">choice of innovative components for their products. </w:t>
      </w:r>
    </w:p>
    <w:p w14:paraId="0F64A4BD" w14:textId="73132004" w:rsidR="005728DA" w:rsidRPr="000F147F" w:rsidRDefault="005728DA">
      <w:pPr>
        <w:widowControl w:val="0"/>
        <w:tabs>
          <w:tab w:val="left" w:pos="709"/>
        </w:tabs>
        <w:jc w:val="both"/>
        <w:rPr>
          <w:noProof/>
          <w:lang w:val="en-IE"/>
        </w:rPr>
      </w:pPr>
      <w:r w:rsidRPr="00947B7D">
        <w:rPr>
          <w:noProof/>
          <w:lang w:val="en-IE"/>
        </w:rPr>
        <w:t>In March 2021</w:t>
      </w:r>
      <w:r w:rsidR="00966E77" w:rsidRPr="00947B7D">
        <w:rPr>
          <w:noProof/>
          <w:lang w:val="en-IE"/>
        </w:rPr>
        <w:t xml:space="preserve">, the Commission approved, following an in-depth investigation and subject to conditions, the acquisition </w:t>
      </w:r>
      <w:r w:rsidR="00966E77" w:rsidRPr="004155ED">
        <w:rPr>
          <w:noProof/>
          <w:lang w:val="en-IE"/>
        </w:rPr>
        <w:t xml:space="preserve">of </w:t>
      </w:r>
      <w:r w:rsidR="00966E77" w:rsidRPr="004155ED">
        <w:rPr>
          <w:i/>
          <w:iCs/>
          <w:noProof/>
          <w:lang w:val="en-IE"/>
        </w:rPr>
        <w:t>GrandVision</w:t>
      </w:r>
      <w:r w:rsidR="00F729FC">
        <w:rPr>
          <w:i/>
          <w:iCs/>
          <w:noProof/>
          <w:lang w:val="en-IE"/>
        </w:rPr>
        <w:t xml:space="preserve"> by EssilorLuxottica</w:t>
      </w:r>
      <w:r w:rsidR="00966E77" w:rsidRPr="00947B7D">
        <w:rPr>
          <w:noProof/>
          <w:vertAlign w:val="superscript"/>
          <w:lang w:val="en-IE"/>
        </w:rPr>
        <w:footnoteReference w:id="69"/>
      </w:r>
      <w:r w:rsidR="002D4C8B">
        <w:rPr>
          <w:iCs/>
          <w:noProof/>
          <w:lang w:val="en-IE"/>
        </w:rPr>
        <w:t>.</w:t>
      </w:r>
      <w:r w:rsidR="00966E77" w:rsidRPr="00947B7D">
        <w:rPr>
          <w:noProof/>
          <w:lang w:val="en-IE"/>
        </w:rPr>
        <w:t xml:space="preserve"> </w:t>
      </w:r>
      <w:r w:rsidR="002D4C8B">
        <w:rPr>
          <w:noProof/>
          <w:lang w:val="en-IE"/>
        </w:rPr>
        <w:t>T</w:t>
      </w:r>
      <w:r w:rsidR="00F729FC">
        <w:rPr>
          <w:noProof/>
          <w:lang w:val="en-IE"/>
        </w:rPr>
        <w:t xml:space="preserve">he company is active </w:t>
      </w:r>
      <w:r w:rsidR="00966E77" w:rsidRPr="00947B7D">
        <w:rPr>
          <w:noProof/>
          <w:lang w:val="en-IE"/>
        </w:rPr>
        <w:t xml:space="preserve">in </w:t>
      </w:r>
      <w:r w:rsidR="00F729FC">
        <w:rPr>
          <w:noProof/>
          <w:lang w:val="en-IE"/>
        </w:rPr>
        <w:t xml:space="preserve">the markets for </w:t>
      </w:r>
      <w:r w:rsidR="00966E77" w:rsidRPr="00947B7D">
        <w:rPr>
          <w:noProof/>
          <w:lang w:val="en-IE"/>
        </w:rPr>
        <w:t>eyewear products (sunglasses, lenses and frames) and retail</w:t>
      </w:r>
      <w:r w:rsidR="0040628A" w:rsidRPr="004155ED">
        <w:rPr>
          <w:noProof/>
          <w:lang w:val="en-IE"/>
        </w:rPr>
        <w:t xml:space="preserve"> </w:t>
      </w:r>
      <w:r w:rsidR="00F729FC">
        <w:rPr>
          <w:noProof/>
          <w:lang w:val="en-IE"/>
        </w:rPr>
        <w:t xml:space="preserve">sales </w:t>
      </w:r>
      <w:r w:rsidR="0040628A" w:rsidRPr="004155ED">
        <w:rPr>
          <w:noProof/>
          <w:lang w:val="en-IE"/>
        </w:rPr>
        <w:t>of such products</w:t>
      </w:r>
      <w:r w:rsidR="00966E77" w:rsidRPr="004155ED">
        <w:rPr>
          <w:noProof/>
          <w:lang w:val="en-IE"/>
        </w:rPr>
        <w:t xml:space="preserve">. </w:t>
      </w:r>
      <w:r w:rsidR="00F729FC">
        <w:rPr>
          <w:noProof/>
          <w:lang w:val="en-IE"/>
        </w:rPr>
        <w:t xml:space="preserve">By intervening, </w:t>
      </w:r>
      <w:r w:rsidRPr="00062864">
        <w:rPr>
          <w:noProof/>
          <w:lang w:val="en-IE"/>
        </w:rPr>
        <w:t>the Commission ensured that competition at retail level remains vibrant</w:t>
      </w:r>
      <w:r w:rsidR="00F729FC">
        <w:rPr>
          <w:noProof/>
          <w:lang w:val="en-IE"/>
        </w:rPr>
        <w:t xml:space="preserve"> </w:t>
      </w:r>
      <w:r w:rsidRPr="00062864">
        <w:rPr>
          <w:noProof/>
          <w:lang w:val="en-IE"/>
        </w:rPr>
        <w:t>benefit</w:t>
      </w:r>
      <w:r w:rsidR="00F729FC">
        <w:rPr>
          <w:noProof/>
          <w:lang w:val="en-IE"/>
        </w:rPr>
        <w:t xml:space="preserve">ting </w:t>
      </w:r>
      <w:r w:rsidRPr="00062864">
        <w:rPr>
          <w:noProof/>
          <w:lang w:val="en-IE"/>
        </w:rPr>
        <w:t xml:space="preserve">customers in </w:t>
      </w:r>
      <w:r w:rsidR="00966E77" w:rsidRPr="00373CE6">
        <w:rPr>
          <w:noProof/>
          <w:lang w:val="en-IE"/>
        </w:rPr>
        <w:t>Belgium, Italy and the Netherlands</w:t>
      </w:r>
      <w:r w:rsidRPr="00373CE6">
        <w:rPr>
          <w:noProof/>
          <w:lang w:val="en-IE"/>
        </w:rPr>
        <w:t>.</w:t>
      </w:r>
    </w:p>
    <w:p w14:paraId="23109904" w14:textId="7982ACE7" w:rsidR="0045718F" w:rsidRPr="000F147F" w:rsidRDefault="0045718F">
      <w:pPr>
        <w:widowControl w:val="0"/>
        <w:tabs>
          <w:tab w:val="left" w:pos="709"/>
        </w:tabs>
        <w:jc w:val="both"/>
        <w:rPr>
          <w:noProof/>
          <w:lang w:val="en-IE"/>
        </w:rPr>
      </w:pPr>
      <w:r w:rsidRPr="00947B7D">
        <w:rPr>
          <w:noProof/>
          <w:lang w:val="en-IE"/>
        </w:rPr>
        <w:t xml:space="preserve">In April 2021, </w:t>
      </w:r>
      <w:r w:rsidRPr="00947B7D">
        <w:rPr>
          <w:i/>
          <w:iCs/>
          <w:noProof/>
          <w:lang w:val="en-IE"/>
        </w:rPr>
        <w:t>Air Canada</w:t>
      </w:r>
      <w:r w:rsidRPr="00947B7D">
        <w:rPr>
          <w:noProof/>
          <w:lang w:val="en-IE"/>
        </w:rPr>
        <w:t xml:space="preserve"> and </w:t>
      </w:r>
      <w:r w:rsidRPr="004155ED">
        <w:rPr>
          <w:i/>
          <w:iCs/>
          <w:noProof/>
          <w:lang w:val="en-IE"/>
        </w:rPr>
        <w:t>Transat</w:t>
      </w:r>
      <w:r w:rsidRPr="004155ED">
        <w:rPr>
          <w:noProof/>
          <w:lang w:val="en-IE"/>
        </w:rPr>
        <w:t xml:space="preserve"> decided to terminate </w:t>
      </w:r>
      <w:r w:rsidR="002F65CC">
        <w:rPr>
          <w:noProof/>
          <w:lang w:val="en-IE"/>
        </w:rPr>
        <w:t xml:space="preserve">a </w:t>
      </w:r>
      <w:r w:rsidRPr="004155ED">
        <w:rPr>
          <w:noProof/>
          <w:lang w:val="en-IE"/>
        </w:rPr>
        <w:t>proposed merger agreement</w:t>
      </w:r>
      <w:r w:rsidRPr="00947B7D">
        <w:rPr>
          <w:rFonts w:eastAsia="Calibri" w:cs="Times New Roman"/>
          <w:noProof/>
          <w:vertAlign w:val="superscript"/>
          <w:lang w:val="en-US"/>
        </w:rPr>
        <w:footnoteReference w:id="70"/>
      </w:r>
      <w:r w:rsidRPr="00947B7D">
        <w:rPr>
          <w:noProof/>
          <w:lang w:val="en-IE"/>
        </w:rPr>
        <w:t>. This followed an in-depth investigation by the Commission into the proposed acquisition notified in April 2020, concentrating on the parties’ overlapping operations in the passenger air transport services between the EEA and Canada. The Commission's preliminary findings we</w:t>
      </w:r>
      <w:r w:rsidRPr="004155ED">
        <w:rPr>
          <w:noProof/>
          <w:lang w:val="en-IE"/>
        </w:rPr>
        <w:t>re that the proposed transaction would raise competition concerns on a large number of transatlantic routes and</w:t>
      </w:r>
      <w:r w:rsidR="003F785F">
        <w:rPr>
          <w:noProof/>
          <w:lang w:val="en-IE"/>
        </w:rPr>
        <w:t>,</w:t>
      </w:r>
      <w:r w:rsidRPr="004155ED">
        <w:rPr>
          <w:noProof/>
          <w:lang w:val="en-IE"/>
        </w:rPr>
        <w:t xml:space="preserve"> based on the results of the market test, the remedies offered by the parties appeared insufficient. </w:t>
      </w:r>
    </w:p>
    <w:p w14:paraId="4ECAE453" w14:textId="299E4298" w:rsidR="0045718F" w:rsidRPr="00237C41" w:rsidRDefault="0045718F" w:rsidP="00237C41">
      <w:pPr>
        <w:tabs>
          <w:tab w:val="left" w:pos="709"/>
        </w:tabs>
        <w:autoSpaceDE w:val="0"/>
        <w:autoSpaceDN w:val="0"/>
        <w:adjustRightInd w:val="0"/>
        <w:jc w:val="both"/>
        <w:rPr>
          <w:rFonts w:eastAsia="Calibri" w:cs="Times New Roman"/>
          <w:noProof/>
        </w:rPr>
      </w:pPr>
      <w:r w:rsidRPr="00947B7D">
        <w:rPr>
          <w:noProof/>
          <w:lang w:val="en-IE"/>
        </w:rPr>
        <w:t xml:space="preserve">In December 2021, </w:t>
      </w:r>
      <w:r w:rsidR="001F76F2">
        <w:rPr>
          <w:noProof/>
          <w:lang w:val="en-IE"/>
        </w:rPr>
        <w:t xml:space="preserve">the </w:t>
      </w:r>
      <w:r w:rsidR="001F76F2" w:rsidRPr="0044648F">
        <w:rPr>
          <w:i/>
          <w:noProof/>
          <w:lang w:val="en-IE"/>
        </w:rPr>
        <w:t>International Consolidated Airlines Group</w:t>
      </w:r>
      <w:r w:rsidR="001F76F2">
        <w:rPr>
          <w:noProof/>
          <w:lang w:val="en-IE"/>
        </w:rPr>
        <w:t xml:space="preserve"> (</w:t>
      </w:r>
      <w:r w:rsidRPr="0044648F">
        <w:rPr>
          <w:iCs/>
          <w:noProof/>
          <w:lang w:val="en-IE"/>
        </w:rPr>
        <w:t>IAG</w:t>
      </w:r>
      <w:r w:rsidR="001F76F2">
        <w:rPr>
          <w:i/>
          <w:iCs/>
          <w:noProof/>
          <w:lang w:val="en-IE"/>
        </w:rPr>
        <w:t>)</w:t>
      </w:r>
      <w:r w:rsidRPr="00947B7D">
        <w:rPr>
          <w:noProof/>
          <w:lang w:val="en-IE"/>
        </w:rPr>
        <w:t xml:space="preserve"> and </w:t>
      </w:r>
      <w:r w:rsidRPr="004155ED">
        <w:rPr>
          <w:i/>
          <w:iCs/>
          <w:noProof/>
          <w:lang w:val="en-IE"/>
        </w:rPr>
        <w:t>Air Europa</w:t>
      </w:r>
      <w:r w:rsidRPr="004155ED">
        <w:rPr>
          <w:noProof/>
          <w:lang w:val="en-IE"/>
        </w:rPr>
        <w:t xml:space="preserve"> decided to </w:t>
      </w:r>
      <w:r w:rsidR="00554641">
        <w:rPr>
          <w:noProof/>
          <w:lang w:val="en-IE"/>
        </w:rPr>
        <w:t xml:space="preserve">withdraw its </w:t>
      </w:r>
      <w:r w:rsidRPr="004155ED">
        <w:rPr>
          <w:noProof/>
          <w:lang w:val="en-IE"/>
        </w:rPr>
        <w:t>proposed merger agreement</w:t>
      </w:r>
      <w:r w:rsidR="00237C41" w:rsidRPr="00947B7D">
        <w:rPr>
          <w:rStyle w:val="FootnoteReference"/>
          <w:noProof/>
          <w:lang w:val="en-IE"/>
        </w:rPr>
        <w:footnoteReference w:id="71"/>
      </w:r>
      <w:r w:rsidR="00237C41" w:rsidRPr="00947B7D">
        <w:rPr>
          <w:noProof/>
          <w:lang w:val="en-IE"/>
        </w:rPr>
        <w:t xml:space="preserve">. </w:t>
      </w:r>
      <w:r w:rsidR="001F76F2">
        <w:rPr>
          <w:noProof/>
          <w:lang w:val="en-IE"/>
        </w:rPr>
        <w:t xml:space="preserve">The withdrawal </w:t>
      </w:r>
      <w:r w:rsidR="00237C41" w:rsidRPr="00947B7D">
        <w:rPr>
          <w:rFonts w:cs="Times New Roman"/>
          <w:noProof/>
          <w:lang w:val="en-US"/>
        </w:rPr>
        <w:t xml:space="preserve">followed an </w:t>
      </w:r>
      <w:r w:rsidR="00237C41" w:rsidRPr="00947B7D">
        <w:rPr>
          <w:rFonts w:cs="Times New Roman"/>
          <w:noProof/>
        </w:rPr>
        <w:t xml:space="preserve">in-depth investigation by </w:t>
      </w:r>
      <w:r w:rsidR="00237C41" w:rsidRPr="004155ED">
        <w:rPr>
          <w:rFonts w:cs="Times New Roman"/>
          <w:noProof/>
          <w:lang w:val="en-US"/>
        </w:rPr>
        <w:t xml:space="preserve">the Commission into the proposed acquisition of Air Europa </w:t>
      </w:r>
      <w:r w:rsidR="001F76F2">
        <w:rPr>
          <w:rFonts w:cs="Times New Roman"/>
          <w:noProof/>
          <w:lang w:val="en-US"/>
        </w:rPr>
        <w:t>b</w:t>
      </w:r>
      <w:r w:rsidR="00237C41" w:rsidRPr="004155ED">
        <w:rPr>
          <w:rFonts w:cs="Times New Roman"/>
          <w:noProof/>
          <w:lang w:val="en-US"/>
        </w:rPr>
        <w:t xml:space="preserve">y </w:t>
      </w:r>
      <w:r w:rsidR="00237C41" w:rsidRPr="00237C41">
        <w:rPr>
          <w:rFonts w:eastAsia="Calibri" w:cs="Times New Roman"/>
          <w:noProof/>
        </w:rPr>
        <w:t>IAG which controls Iberia, British Airways, and several other airlines</w:t>
      </w:r>
      <w:r w:rsidR="00237C41" w:rsidRPr="00237C41">
        <w:rPr>
          <w:rFonts w:eastAsia="Calibri" w:cs="Times New Roman"/>
          <w:noProof/>
          <w:vertAlign w:val="superscript"/>
        </w:rPr>
        <w:footnoteReference w:id="72"/>
      </w:r>
      <w:r w:rsidR="00237C41" w:rsidRPr="00237C41">
        <w:rPr>
          <w:rFonts w:eastAsia="Calibri" w:cs="Times New Roman"/>
          <w:noProof/>
        </w:rPr>
        <w:t xml:space="preserve">. </w:t>
      </w:r>
      <w:r w:rsidR="00237C41">
        <w:rPr>
          <w:rFonts w:eastAsia="Calibri" w:cs="Times New Roman"/>
          <w:noProof/>
        </w:rPr>
        <w:t>T</w:t>
      </w:r>
      <w:r w:rsidR="00237C41" w:rsidRPr="00237C41">
        <w:rPr>
          <w:rFonts w:eastAsia="Calibri" w:cs="Times New Roman"/>
          <w:noProof/>
        </w:rPr>
        <w:t xml:space="preserve">he Commission </w:t>
      </w:r>
      <w:r w:rsidR="001F76F2">
        <w:rPr>
          <w:rFonts w:eastAsia="Calibri" w:cs="Times New Roman"/>
          <w:noProof/>
        </w:rPr>
        <w:t>was</w:t>
      </w:r>
      <w:r w:rsidR="00237C41" w:rsidRPr="00237C41">
        <w:rPr>
          <w:rFonts w:eastAsia="Calibri" w:cs="Times New Roman"/>
          <w:noProof/>
        </w:rPr>
        <w:t xml:space="preserve"> concerned that the proposed </w:t>
      </w:r>
      <w:r w:rsidR="00237C41" w:rsidRPr="00947B7D">
        <w:rPr>
          <w:rFonts w:cs="Times New Roman"/>
          <w:noProof/>
        </w:rPr>
        <w:t>transaction</w:t>
      </w:r>
      <w:r w:rsidR="00237C41" w:rsidRPr="00237C41">
        <w:rPr>
          <w:rFonts w:eastAsia="Calibri" w:cs="Times New Roman"/>
          <w:noProof/>
        </w:rPr>
        <w:t xml:space="preserve"> could significantly reduce competition on 70 origin and destination city pairs within and to/from Spain, </w:t>
      </w:r>
      <w:r w:rsidR="001F76F2">
        <w:rPr>
          <w:rFonts w:eastAsia="Calibri" w:cs="Times New Roman"/>
          <w:noProof/>
        </w:rPr>
        <w:t xml:space="preserve">where </w:t>
      </w:r>
      <w:r w:rsidR="00237C41" w:rsidRPr="00237C41">
        <w:rPr>
          <w:rFonts w:eastAsia="Calibri" w:cs="Times New Roman"/>
          <w:noProof/>
        </w:rPr>
        <w:t xml:space="preserve">both airlines offer direct services. </w:t>
      </w:r>
    </w:p>
    <w:p w14:paraId="7B4BE33D" w14:textId="3ECBA489" w:rsidR="00B033D2" w:rsidRPr="00542D19" w:rsidRDefault="00056D80" w:rsidP="00056D80">
      <w:pPr>
        <w:jc w:val="both"/>
        <w:rPr>
          <w:noProof/>
          <w:lang w:val="en-US"/>
        </w:rPr>
      </w:pPr>
      <w:r w:rsidRPr="00B34E56">
        <w:rPr>
          <w:rFonts w:eastAsia="Times New Roman" w:cs="Times New Roman"/>
          <w:noProof/>
        </w:rPr>
        <w:t xml:space="preserve">In 2021, the Commission continued its in-depth investigation into the proposed acquisition of </w:t>
      </w:r>
      <w:r w:rsidRPr="00B34E56">
        <w:rPr>
          <w:rFonts w:eastAsia="Times New Roman" w:cs="Times New Roman"/>
          <w:i/>
          <w:iCs/>
          <w:noProof/>
        </w:rPr>
        <w:t>Daewoo Shipbuilding &amp; Marine Engineering</w:t>
      </w:r>
      <w:r w:rsidRPr="00B34E56">
        <w:rPr>
          <w:rFonts w:eastAsia="Times New Roman" w:cs="Times New Roman"/>
          <w:noProof/>
        </w:rPr>
        <w:t xml:space="preserve"> by </w:t>
      </w:r>
      <w:r w:rsidRPr="00B34E56">
        <w:rPr>
          <w:rFonts w:eastAsia="Times New Roman" w:cs="Times New Roman"/>
          <w:i/>
          <w:iCs/>
          <w:noProof/>
        </w:rPr>
        <w:t>Hyundai Heavy Industries Holding</w:t>
      </w:r>
      <w:r w:rsidRPr="00B34E56">
        <w:rPr>
          <w:rFonts w:eastAsia="Times New Roman" w:cs="Times New Roman"/>
          <w:noProof/>
        </w:rPr>
        <w:t>.</w:t>
      </w:r>
      <w:r w:rsidR="00B34E56">
        <w:rPr>
          <w:rFonts w:eastAsia="Times New Roman" w:cs="Times New Roman"/>
          <w:noProof/>
        </w:rPr>
        <w:t xml:space="preserve"> </w:t>
      </w:r>
      <w:r w:rsidR="00752876">
        <w:rPr>
          <w:rFonts w:eastAsia="Times New Roman" w:cs="Times New Roman"/>
          <w:noProof/>
        </w:rPr>
        <w:t>I</w:t>
      </w:r>
      <w:r w:rsidR="00B34E56">
        <w:rPr>
          <w:rFonts w:eastAsia="Times New Roman" w:cs="Times New Roman"/>
          <w:noProof/>
        </w:rPr>
        <w:t>n</w:t>
      </w:r>
      <w:r w:rsidRPr="00B34E56">
        <w:rPr>
          <w:rFonts w:eastAsia="Times New Roman" w:cs="Times New Roman"/>
          <w:noProof/>
        </w:rPr>
        <w:t xml:space="preserve"> </w:t>
      </w:r>
      <w:r w:rsidR="00597C57" w:rsidRPr="00B34E56">
        <w:rPr>
          <w:rFonts w:eastAsia="Times New Roman" w:cs="Times New Roman"/>
          <w:noProof/>
        </w:rPr>
        <w:t xml:space="preserve">January 2022 </w:t>
      </w:r>
      <w:r w:rsidR="00597C57" w:rsidRPr="00947B7D">
        <w:rPr>
          <w:rFonts w:eastAsia="Times New Roman" w:cs="Times New Roman"/>
          <w:noProof/>
        </w:rPr>
        <w:t>t</w:t>
      </w:r>
      <w:r w:rsidRPr="00947B7D">
        <w:rPr>
          <w:rFonts w:eastAsia="Times New Roman" w:cs="Times New Roman"/>
          <w:noProof/>
        </w:rPr>
        <w:t xml:space="preserve">he Commission </w:t>
      </w:r>
      <w:r w:rsidR="00597C57" w:rsidRPr="00947B7D">
        <w:rPr>
          <w:rFonts w:eastAsia="Times New Roman" w:cs="Times New Roman"/>
          <w:noProof/>
        </w:rPr>
        <w:t xml:space="preserve">prohibited </w:t>
      </w:r>
      <w:r w:rsidRPr="00947B7D">
        <w:rPr>
          <w:rFonts w:eastAsia="Times New Roman" w:cs="Times New Roman"/>
          <w:noProof/>
        </w:rPr>
        <w:t xml:space="preserve">the merger </w:t>
      </w:r>
      <w:r w:rsidR="00752876">
        <w:rPr>
          <w:rFonts w:eastAsia="Times New Roman" w:cs="Times New Roman"/>
          <w:noProof/>
        </w:rPr>
        <w:t>because</w:t>
      </w:r>
      <w:r w:rsidR="00B34E56">
        <w:rPr>
          <w:rFonts w:eastAsia="Times New Roman" w:cs="Times New Roman"/>
          <w:noProof/>
        </w:rPr>
        <w:t xml:space="preserve"> it would </w:t>
      </w:r>
      <w:r w:rsidR="00597C57" w:rsidRPr="004155ED">
        <w:rPr>
          <w:rFonts w:eastAsia="Times New Roman" w:cs="Times New Roman"/>
          <w:noProof/>
        </w:rPr>
        <w:t xml:space="preserve">have </w:t>
      </w:r>
      <w:r w:rsidRPr="00062864">
        <w:rPr>
          <w:rFonts w:eastAsia="Times New Roman" w:cs="Times New Roman"/>
          <w:noProof/>
        </w:rPr>
        <w:t>create</w:t>
      </w:r>
      <w:r w:rsidR="00597C57" w:rsidRPr="00062864">
        <w:rPr>
          <w:rFonts w:eastAsia="Times New Roman" w:cs="Times New Roman"/>
          <w:noProof/>
        </w:rPr>
        <w:t>d</w:t>
      </w:r>
      <w:r w:rsidRPr="00062864">
        <w:rPr>
          <w:rFonts w:eastAsia="Times New Roman" w:cs="Times New Roman"/>
          <w:noProof/>
        </w:rPr>
        <w:t xml:space="preserve"> a dominant position by the merged company and </w:t>
      </w:r>
      <w:r w:rsidRPr="00947B7D">
        <w:rPr>
          <w:rFonts w:eastAsia="Times New Roman" w:cs="Times New Roman"/>
          <w:noProof/>
        </w:rPr>
        <w:t>reduce</w:t>
      </w:r>
      <w:r w:rsidR="00752876">
        <w:rPr>
          <w:rFonts w:eastAsia="Times New Roman" w:cs="Times New Roman"/>
          <w:noProof/>
        </w:rPr>
        <w:t>d</w:t>
      </w:r>
      <w:r w:rsidRPr="00947B7D">
        <w:rPr>
          <w:rFonts w:eastAsia="Times New Roman" w:cs="Times New Roman"/>
          <w:noProof/>
        </w:rPr>
        <w:t xml:space="preserve"> competition in the worldwide market for the construction of large liquefied gas carriers (LLNGs).</w:t>
      </w:r>
      <w:r w:rsidRPr="004155ED">
        <w:rPr>
          <w:rFonts w:eastAsia="Times New Roman" w:cs="Times New Roman"/>
          <w:i/>
          <w:iCs/>
          <w:noProof/>
        </w:rPr>
        <w:t xml:space="preserve"> </w:t>
      </w:r>
      <w:r w:rsidRPr="004155ED">
        <w:rPr>
          <w:rFonts w:eastAsia="Times New Roman" w:cs="Times New Roman"/>
          <w:noProof/>
        </w:rPr>
        <w:t>Liquefied natural gas (</w:t>
      </w:r>
      <w:r w:rsidRPr="00062864">
        <w:rPr>
          <w:rFonts w:eastAsia="Times New Roman" w:cs="Times New Roman"/>
          <w:noProof/>
        </w:rPr>
        <w:t xml:space="preserve">LNG) contributes to the diversification of the EU’s energy sources and improves energy security. </w:t>
      </w:r>
      <w:bookmarkStart w:id="43" w:name="_Toc94190108"/>
      <w:bookmarkStart w:id="44" w:name="_Toc94281757"/>
    </w:p>
    <w:p w14:paraId="29599BBD" w14:textId="77777777" w:rsidR="00635134" w:rsidRPr="00F42E78" w:rsidRDefault="0EC43936" w:rsidP="00CB0A6E">
      <w:pPr>
        <w:pStyle w:val="Heading3"/>
        <w:spacing w:after="200"/>
        <w:rPr>
          <w:rStyle w:val="Heading2Char"/>
          <w:rFonts w:asciiTheme="majorHAnsi" w:hAnsiTheme="majorHAnsi"/>
        </w:rPr>
      </w:pPr>
      <w:bookmarkStart w:id="45" w:name="_Toc94695849"/>
      <w:bookmarkStart w:id="46" w:name="_Toc95762336"/>
      <w:bookmarkStart w:id="47" w:name="_Toc102030137"/>
      <w:r w:rsidRPr="00F42E78">
        <w:rPr>
          <w:rStyle w:val="Heading2Char"/>
          <w:rFonts w:asciiTheme="majorHAnsi" w:hAnsiTheme="majorHAnsi"/>
        </w:rPr>
        <w:t>3.</w:t>
      </w:r>
      <w:r w:rsidR="001E3085" w:rsidRPr="00F42E78">
        <w:rPr>
          <w:rStyle w:val="Heading2Char"/>
          <w:rFonts w:asciiTheme="majorHAnsi" w:hAnsiTheme="majorHAnsi"/>
        </w:rPr>
        <w:t>3</w:t>
      </w:r>
      <w:r w:rsidRPr="00F42E78">
        <w:rPr>
          <w:rStyle w:val="Heading2Char"/>
          <w:rFonts w:asciiTheme="majorHAnsi" w:hAnsiTheme="majorHAnsi"/>
        </w:rPr>
        <w:t xml:space="preserve">. State aid </w:t>
      </w:r>
      <w:r w:rsidR="1774E3DD" w:rsidRPr="00F42E78">
        <w:rPr>
          <w:rStyle w:val="Heading2Char"/>
          <w:rFonts w:asciiTheme="majorHAnsi" w:hAnsiTheme="majorHAnsi"/>
        </w:rPr>
        <w:t>control</w:t>
      </w:r>
      <w:r w:rsidRPr="00F42E78">
        <w:rPr>
          <w:rStyle w:val="Heading2Char"/>
          <w:rFonts w:asciiTheme="majorHAnsi" w:hAnsiTheme="majorHAnsi"/>
        </w:rPr>
        <w:t xml:space="preserve"> </w:t>
      </w:r>
      <w:r w:rsidR="004B61C2" w:rsidRPr="00F42E78">
        <w:rPr>
          <w:rStyle w:val="Heading2Char"/>
          <w:rFonts w:asciiTheme="majorHAnsi" w:hAnsiTheme="majorHAnsi"/>
        </w:rPr>
        <w:t xml:space="preserve">contributed to the digital transition and the resilience of </w:t>
      </w:r>
      <w:r w:rsidR="003443E6" w:rsidRPr="00F42E78">
        <w:rPr>
          <w:rStyle w:val="Heading2Char"/>
          <w:rFonts w:asciiTheme="majorHAnsi" w:hAnsiTheme="majorHAnsi"/>
        </w:rPr>
        <w:t xml:space="preserve">the </w:t>
      </w:r>
      <w:r w:rsidR="004B61C2" w:rsidRPr="00F42E78">
        <w:rPr>
          <w:rStyle w:val="Heading2Char"/>
          <w:rFonts w:asciiTheme="majorHAnsi" w:hAnsiTheme="majorHAnsi"/>
        </w:rPr>
        <w:t>Single Market</w:t>
      </w:r>
      <w:bookmarkEnd w:id="43"/>
      <w:bookmarkEnd w:id="44"/>
      <w:bookmarkEnd w:id="45"/>
      <w:bookmarkEnd w:id="46"/>
      <w:bookmarkEnd w:id="47"/>
    </w:p>
    <w:p w14:paraId="6DB86FCF" w14:textId="1C9CC91D" w:rsidR="00040CED" w:rsidRDefault="00040CED" w:rsidP="00A54FAD">
      <w:pPr>
        <w:tabs>
          <w:tab w:val="left" w:pos="142"/>
        </w:tabs>
        <w:jc w:val="both"/>
        <w:rPr>
          <w:noProof/>
          <w:lang w:val="en-US"/>
        </w:rPr>
      </w:pPr>
      <w:r>
        <w:rPr>
          <w:noProof/>
        </w:rPr>
        <w:t>Broadband infrastructure that meets the needs for very high digital speeds, capacities, and quality is key to meeting the EU 2025 connectivity</w:t>
      </w:r>
      <w:r>
        <w:rPr>
          <w:noProof/>
          <w:lang w:val="en-US"/>
        </w:rPr>
        <w:t xml:space="preserve"> objectives set out in the </w:t>
      </w:r>
      <w:r w:rsidR="0080521F" w:rsidRPr="00062864">
        <w:rPr>
          <w:rFonts w:eastAsia="Times New Roman" w:cs="Times New Roman"/>
          <w:noProof/>
          <w:color w:val="000000" w:themeColor="text1"/>
        </w:rPr>
        <w:t>EU 2025 Gigabit Society</w:t>
      </w:r>
      <w:r w:rsidR="0080521F" w:rsidRPr="00947B7D">
        <w:rPr>
          <w:rStyle w:val="FootnoteReference"/>
          <w:rFonts w:eastAsia="Times New Roman" w:cs="Times New Roman"/>
          <w:noProof/>
          <w:color w:val="000000" w:themeColor="text1"/>
        </w:rPr>
        <w:footnoteReference w:id="73"/>
      </w:r>
      <w:r w:rsidR="0080521F" w:rsidRPr="00947B7D">
        <w:rPr>
          <w:rFonts w:eastAsia="Times New Roman" w:cs="Times New Roman"/>
          <w:noProof/>
          <w:color w:val="000000" w:themeColor="text1"/>
        </w:rPr>
        <w:t xml:space="preserve"> </w:t>
      </w:r>
      <w:r w:rsidR="0080521F">
        <w:rPr>
          <w:rFonts w:eastAsia="Times New Roman" w:cs="Times New Roman"/>
          <w:noProof/>
          <w:color w:val="000000" w:themeColor="text1"/>
        </w:rPr>
        <w:t xml:space="preserve">and the </w:t>
      </w:r>
      <w:r>
        <w:rPr>
          <w:noProof/>
          <w:lang w:val="en-US"/>
        </w:rPr>
        <w:t>Digital Strategy</w:t>
      </w:r>
      <w:r>
        <w:rPr>
          <w:rStyle w:val="FootnoteReference"/>
          <w:noProof/>
          <w:lang w:val="en-US"/>
        </w:rPr>
        <w:footnoteReference w:id="74"/>
      </w:r>
      <w:r w:rsidR="0080521F" w:rsidRPr="0080521F">
        <w:rPr>
          <w:noProof/>
          <w:lang w:val="en-US"/>
        </w:rPr>
        <w:t xml:space="preserve"> a</w:t>
      </w:r>
      <w:r w:rsidR="0080521F">
        <w:rPr>
          <w:noProof/>
          <w:lang w:val="en-US"/>
        </w:rPr>
        <w:t>s well as</w:t>
      </w:r>
      <w:r w:rsidR="0080521F" w:rsidRPr="0080521F">
        <w:rPr>
          <w:noProof/>
          <w:lang w:val="en-US"/>
        </w:rPr>
        <w:t xml:space="preserve"> the </w:t>
      </w:r>
      <w:r w:rsidR="00031852" w:rsidRPr="00031852">
        <w:rPr>
          <w:noProof/>
          <w:lang w:val="en-US"/>
        </w:rPr>
        <w:t>EU 20</w:t>
      </w:r>
      <w:r w:rsidR="00031852">
        <w:rPr>
          <w:noProof/>
          <w:lang w:val="en-US"/>
        </w:rPr>
        <w:t xml:space="preserve">30 </w:t>
      </w:r>
      <w:r w:rsidR="00031852" w:rsidRPr="00031852">
        <w:rPr>
          <w:noProof/>
          <w:lang w:val="en-US"/>
        </w:rPr>
        <w:t xml:space="preserve">connectivity objectives set out </w:t>
      </w:r>
      <w:r w:rsidR="00B743C6">
        <w:rPr>
          <w:noProof/>
          <w:lang w:val="en-US"/>
        </w:rPr>
        <w:t xml:space="preserve">in the </w:t>
      </w:r>
      <w:r w:rsidR="0080521F" w:rsidRPr="0080521F">
        <w:rPr>
          <w:noProof/>
          <w:lang w:val="en-US"/>
        </w:rPr>
        <w:t>2030 Digital Compass</w:t>
      </w:r>
      <w:r w:rsidR="0080521F" w:rsidRPr="0080521F">
        <w:rPr>
          <w:rFonts w:eastAsia="Times New Roman" w:cs="Times New Roman"/>
          <w:noProof/>
          <w:color w:val="000000" w:themeColor="text1"/>
          <w:vertAlign w:val="superscript"/>
        </w:rPr>
        <w:footnoteReference w:id="75"/>
      </w:r>
      <w:r>
        <w:rPr>
          <w:noProof/>
          <w:lang w:val="en-US"/>
        </w:rPr>
        <w:t>.</w:t>
      </w:r>
      <w:r>
        <w:rPr>
          <w:noProof/>
        </w:rPr>
        <w:t xml:space="preserve"> </w:t>
      </w:r>
      <w:r>
        <w:rPr>
          <w:noProof/>
          <w:lang w:val="en-US"/>
        </w:rPr>
        <w:t>State aid contributes to the roll</w:t>
      </w:r>
      <w:r w:rsidR="00317D7A">
        <w:rPr>
          <w:noProof/>
          <w:lang w:val="en-US"/>
        </w:rPr>
        <w:t>-</w:t>
      </w:r>
      <w:r>
        <w:rPr>
          <w:noProof/>
          <w:lang w:val="en-US"/>
        </w:rPr>
        <w:t xml:space="preserve">out of high performance broadband networks in the EU in addressing market failures, that is to say situations and areas where there is no incentive for commercial operators to provide sufficient broadband coverage. </w:t>
      </w:r>
    </w:p>
    <w:p w14:paraId="57A64358" w14:textId="4C8BA6F1" w:rsidR="003B258F" w:rsidRPr="00542D19" w:rsidRDefault="19665C58" w:rsidP="158881C6">
      <w:pPr>
        <w:tabs>
          <w:tab w:val="left" w:pos="142"/>
        </w:tabs>
        <w:jc w:val="both"/>
        <w:rPr>
          <w:noProof/>
          <w:szCs w:val="24"/>
        </w:rPr>
      </w:pPr>
      <w:r w:rsidRPr="00947B7D">
        <w:rPr>
          <w:rFonts w:eastAsia="Times New Roman" w:cs="Times New Roman"/>
          <w:noProof/>
        </w:rPr>
        <w:t xml:space="preserve">In </w:t>
      </w:r>
      <w:r w:rsidR="00022D86">
        <w:rPr>
          <w:rFonts w:eastAsia="Times New Roman" w:cs="Times New Roman"/>
          <w:noProof/>
        </w:rPr>
        <w:t>2021</w:t>
      </w:r>
      <w:r w:rsidR="0036404C">
        <w:rPr>
          <w:rFonts w:eastAsia="Times New Roman" w:cs="Times New Roman"/>
          <w:noProof/>
        </w:rPr>
        <w:t>, in addition to projects supporting the roll</w:t>
      </w:r>
      <w:r w:rsidR="00317D7A">
        <w:rPr>
          <w:rFonts w:eastAsia="Times New Roman" w:cs="Times New Roman"/>
          <w:noProof/>
        </w:rPr>
        <w:t>-</w:t>
      </w:r>
      <w:r w:rsidR="0036404C">
        <w:rPr>
          <w:rFonts w:eastAsia="Times New Roman" w:cs="Times New Roman"/>
          <w:noProof/>
        </w:rPr>
        <w:t>out and take-up of fixed broadband</w:t>
      </w:r>
      <w:r w:rsidR="00317D7A">
        <w:rPr>
          <w:rFonts w:eastAsia="Times New Roman" w:cs="Times New Roman"/>
          <w:noProof/>
        </w:rPr>
        <w:t xml:space="preserve"> services</w:t>
      </w:r>
      <w:r w:rsidR="0036404C">
        <w:rPr>
          <w:rFonts w:eastAsia="Times New Roman" w:cs="Times New Roman"/>
          <w:noProof/>
        </w:rPr>
        <w:t xml:space="preserve">, </w:t>
      </w:r>
      <w:r w:rsidR="00022D86">
        <w:rPr>
          <w:rFonts w:eastAsia="Times New Roman" w:cs="Times New Roman"/>
          <w:noProof/>
        </w:rPr>
        <w:t xml:space="preserve">the Commission approved several projects </w:t>
      </w:r>
      <w:r w:rsidR="001D1889">
        <w:rPr>
          <w:rFonts w:eastAsia="Times New Roman" w:cs="Times New Roman"/>
          <w:noProof/>
        </w:rPr>
        <w:t>concerning</w:t>
      </w:r>
      <w:r w:rsidR="00022D86">
        <w:rPr>
          <w:rFonts w:eastAsia="Times New Roman" w:cs="Times New Roman"/>
          <w:noProof/>
        </w:rPr>
        <w:t xml:space="preserve"> the roll</w:t>
      </w:r>
      <w:r w:rsidR="00317D7A">
        <w:rPr>
          <w:rFonts w:eastAsia="Times New Roman" w:cs="Times New Roman"/>
          <w:noProof/>
        </w:rPr>
        <w:t>-</w:t>
      </w:r>
      <w:r w:rsidR="00022D86">
        <w:rPr>
          <w:rFonts w:eastAsia="Times New Roman" w:cs="Times New Roman"/>
          <w:noProof/>
        </w:rPr>
        <w:t>out of mobile broadband</w:t>
      </w:r>
      <w:r w:rsidR="00317D7A">
        <w:rPr>
          <w:rFonts w:eastAsia="Times New Roman" w:cs="Times New Roman"/>
          <w:noProof/>
        </w:rPr>
        <w:t xml:space="preserve"> services</w:t>
      </w:r>
      <w:r w:rsidR="00FD48D0">
        <w:rPr>
          <w:rFonts w:eastAsia="Times New Roman" w:cs="Times New Roman"/>
          <w:noProof/>
        </w:rPr>
        <w:t>, including, in</w:t>
      </w:r>
      <w:r w:rsidRPr="00947B7D">
        <w:rPr>
          <w:rFonts w:eastAsia="Times New Roman" w:cs="Times New Roman"/>
          <w:noProof/>
        </w:rPr>
        <w:t xml:space="preserve"> May 2021, a </w:t>
      </w:r>
      <w:r w:rsidR="00097320" w:rsidRPr="004155ED">
        <w:rPr>
          <w:rFonts w:eastAsia="Times New Roman" w:cs="Times New Roman"/>
          <w:noProof/>
        </w:rPr>
        <w:t xml:space="preserve">EUR </w:t>
      </w:r>
      <w:r w:rsidR="000D6CA6">
        <w:rPr>
          <w:rFonts w:eastAsia="Times New Roman" w:cs="Times New Roman"/>
          <w:noProof/>
        </w:rPr>
        <w:t>2.1 m</w:t>
      </w:r>
      <w:r w:rsidRPr="004155ED">
        <w:rPr>
          <w:rFonts w:eastAsia="Times New Roman" w:cs="Times New Roman"/>
          <w:noProof/>
        </w:rPr>
        <w:t>illion German aid scheme</w:t>
      </w:r>
      <w:r w:rsidR="00EB39F6" w:rsidRPr="00947B7D">
        <w:rPr>
          <w:rStyle w:val="FootnoteReference"/>
          <w:rFonts w:eastAsia="Times New Roman" w:cs="Times New Roman"/>
          <w:noProof/>
        </w:rPr>
        <w:footnoteReference w:id="76"/>
      </w:r>
      <w:r w:rsidR="00FD48D0">
        <w:rPr>
          <w:noProof/>
        </w:rPr>
        <w:t xml:space="preserve"> and, in December 2021, </w:t>
      </w:r>
      <w:r w:rsidR="00FD48D0" w:rsidRPr="00FD48D0">
        <w:rPr>
          <w:rFonts w:eastAsia="Times New Roman" w:cs="Times New Roman"/>
          <w:noProof/>
        </w:rPr>
        <w:t>a Spanish scheme to support the deployment of passive infrastructure for the provision of mobile communication services in areas without 4G mobile coverage</w:t>
      </w:r>
      <w:r w:rsidR="00FD48D0">
        <w:rPr>
          <w:rStyle w:val="FootnoteReference"/>
          <w:rFonts w:eastAsia="Times New Roman" w:cs="Times New Roman"/>
          <w:noProof/>
        </w:rPr>
        <w:footnoteReference w:id="77"/>
      </w:r>
      <w:r w:rsidR="00A84257">
        <w:rPr>
          <w:rFonts w:eastAsia="Times New Roman" w:cs="Times New Roman"/>
          <w:noProof/>
        </w:rPr>
        <w:t>.</w:t>
      </w:r>
    </w:p>
    <w:p w14:paraId="20727D95" w14:textId="624720AF" w:rsidR="5B66FB56" w:rsidRPr="00542D19" w:rsidRDefault="5B66FB56" w:rsidP="158881C6">
      <w:pPr>
        <w:jc w:val="both"/>
        <w:rPr>
          <w:noProof/>
          <w:szCs w:val="24"/>
        </w:rPr>
      </w:pPr>
      <w:r w:rsidRPr="00947B7D">
        <w:rPr>
          <w:rFonts w:eastAsia="Times New Roman" w:cs="Times New Roman"/>
          <w:noProof/>
        </w:rPr>
        <w:t xml:space="preserve">In June 2021, the Commission </w:t>
      </w:r>
      <w:r w:rsidR="001D278F" w:rsidRPr="00947B7D">
        <w:rPr>
          <w:rFonts w:eastAsia="Times New Roman" w:cs="Times New Roman"/>
          <w:noProof/>
        </w:rPr>
        <w:t>found</w:t>
      </w:r>
      <w:r w:rsidR="00D82176" w:rsidRPr="00947B7D">
        <w:rPr>
          <w:rFonts w:eastAsia="Times New Roman" w:cs="Times New Roman"/>
          <w:noProof/>
        </w:rPr>
        <w:t xml:space="preserve"> </w:t>
      </w:r>
      <w:r w:rsidR="00F73336" w:rsidRPr="004155ED">
        <w:rPr>
          <w:rFonts w:eastAsia="Times New Roman" w:cs="Times New Roman"/>
          <w:noProof/>
        </w:rPr>
        <w:t xml:space="preserve">that </w:t>
      </w:r>
      <w:r w:rsidR="00AA190B" w:rsidRPr="004155ED">
        <w:rPr>
          <w:rFonts w:eastAsia="Times New Roman" w:cs="Times New Roman"/>
          <w:noProof/>
        </w:rPr>
        <w:t xml:space="preserve">the </w:t>
      </w:r>
      <w:r w:rsidR="006039FA" w:rsidRPr="004155ED">
        <w:rPr>
          <w:rFonts w:eastAsia="Times New Roman" w:cs="Times New Roman"/>
          <w:noProof/>
        </w:rPr>
        <w:t xml:space="preserve">aid </w:t>
      </w:r>
      <w:r w:rsidRPr="00062864">
        <w:rPr>
          <w:rFonts w:eastAsia="Times New Roman" w:cs="Times New Roman"/>
          <w:noProof/>
        </w:rPr>
        <w:t xml:space="preserve">received by terrestrial operators for the extension of the terrestrial television network </w:t>
      </w:r>
      <w:r w:rsidR="00F73336" w:rsidRPr="00062864">
        <w:rPr>
          <w:rFonts w:eastAsia="Times New Roman" w:cs="Times New Roman"/>
          <w:noProof/>
        </w:rPr>
        <w:t>to</w:t>
      </w:r>
      <w:r w:rsidRPr="00062864">
        <w:rPr>
          <w:rFonts w:eastAsia="Times New Roman" w:cs="Times New Roman"/>
          <w:noProof/>
        </w:rPr>
        <w:t xml:space="preserve"> remote areas of Spain </w:t>
      </w:r>
      <w:r w:rsidR="00F73336" w:rsidRPr="00373CE6">
        <w:rPr>
          <w:rFonts w:eastAsia="Times New Roman" w:cs="Times New Roman"/>
          <w:noProof/>
        </w:rPr>
        <w:t>contravened</w:t>
      </w:r>
      <w:r w:rsidRPr="00373CE6">
        <w:rPr>
          <w:rFonts w:eastAsia="Times New Roman" w:cs="Times New Roman"/>
          <w:noProof/>
        </w:rPr>
        <w:t xml:space="preserve"> EU State aid rules. Following the annulment of a 2013 Commission decision</w:t>
      </w:r>
      <w:r w:rsidR="00D629D2">
        <w:rPr>
          <w:rFonts w:eastAsia="Times New Roman" w:cs="Times New Roman"/>
          <w:noProof/>
        </w:rPr>
        <w:t xml:space="preserve"> (concerning all regions but Castilla-La Mancha)</w:t>
      </w:r>
      <w:r w:rsidRPr="00373CE6">
        <w:rPr>
          <w:rFonts w:eastAsia="Times New Roman" w:cs="Times New Roman"/>
          <w:noProof/>
        </w:rPr>
        <w:t xml:space="preserve">, the </w:t>
      </w:r>
      <w:r w:rsidR="00D629D2">
        <w:rPr>
          <w:rFonts w:eastAsia="Times New Roman" w:cs="Times New Roman"/>
          <w:noProof/>
        </w:rPr>
        <w:t xml:space="preserve">Commission </w:t>
      </w:r>
      <w:r w:rsidRPr="00373CE6">
        <w:rPr>
          <w:rFonts w:eastAsia="Times New Roman" w:cs="Times New Roman"/>
          <w:noProof/>
        </w:rPr>
        <w:t>confirmed that, between 2005 and 2008, the operators of terrestrial platforms received an incompatible selective advantage over their competitors</w:t>
      </w:r>
      <w:r w:rsidR="009A2579" w:rsidRPr="00373CE6">
        <w:rPr>
          <w:rFonts w:eastAsia="Times New Roman" w:cs="Times New Roman"/>
          <w:noProof/>
        </w:rPr>
        <w:t>.</w:t>
      </w:r>
      <w:r w:rsidRPr="00373CE6">
        <w:rPr>
          <w:rFonts w:eastAsia="Times New Roman" w:cs="Times New Roman"/>
          <w:noProof/>
        </w:rPr>
        <w:t xml:space="preserve"> The Court of Justice confirmed </w:t>
      </w:r>
      <w:r w:rsidR="002937E4">
        <w:rPr>
          <w:rFonts w:eastAsia="Times New Roman" w:cs="Times New Roman"/>
          <w:noProof/>
        </w:rPr>
        <w:t xml:space="preserve">the </w:t>
      </w:r>
      <w:r w:rsidRPr="00373CE6">
        <w:rPr>
          <w:rFonts w:eastAsia="Times New Roman" w:cs="Times New Roman"/>
          <w:noProof/>
        </w:rPr>
        <w:t>Commission</w:t>
      </w:r>
      <w:r w:rsidR="00F73336" w:rsidRPr="005B1727">
        <w:rPr>
          <w:rFonts w:eastAsia="Times New Roman" w:cs="Times New Roman"/>
          <w:noProof/>
        </w:rPr>
        <w:t>’s</w:t>
      </w:r>
      <w:r w:rsidRPr="005B1727">
        <w:rPr>
          <w:rFonts w:eastAsia="Times New Roman" w:cs="Times New Roman"/>
          <w:noProof/>
        </w:rPr>
        <w:t xml:space="preserve"> decision </w:t>
      </w:r>
      <w:r w:rsidR="00D629D2">
        <w:rPr>
          <w:rFonts w:eastAsia="Times New Roman" w:cs="Times New Roman"/>
          <w:noProof/>
        </w:rPr>
        <w:t xml:space="preserve">concerning Castilla-La Mancha </w:t>
      </w:r>
      <w:r w:rsidRPr="005B1727">
        <w:rPr>
          <w:rFonts w:eastAsia="Times New Roman" w:cs="Times New Roman"/>
          <w:noProof/>
        </w:rPr>
        <w:t>in September 2018</w:t>
      </w:r>
      <w:r w:rsidR="009A2579" w:rsidRPr="00947B7D">
        <w:rPr>
          <w:rStyle w:val="FootnoteReference"/>
          <w:rFonts w:eastAsia="Times New Roman" w:cs="Times New Roman"/>
          <w:noProof/>
        </w:rPr>
        <w:footnoteReference w:id="78"/>
      </w:r>
      <w:r w:rsidR="007B7C8F" w:rsidRPr="00947B7D">
        <w:rPr>
          <w:rFonts w:eastAsia="Times New Roman" w:cs="Times New Roman"/>
          <w:noProof/>
        </w:rPr>
        <w:t>.</w:t>
      </w:r>
      <w:r w:rsidR="009A2579" w:rsidRPr="00947B7D">
        <w:rPr>
          <w:rFonts w:eastAsia="Times New Roman" w:cs="Times New Roman"/>
          <w:noProof/>
        </w:rPr>
        <w:t xml:space="preserve"> </w:t>
      </w:r>
      <w:r w:rsidRPr="00947B7D">
        <w:rPr>
          <w:rFonts w:eastAsia="Times New Roman" w:cs="Times New Roman"/>
          <w:noProof/>
        </w:rPr>
        <w:t xml:space="preserve">Since Spain </w:t>
      </w:r>
      <w:r w:rsidR="00F73336" w:rsidRPr="004155ED">
        <w:rPr>
          <w:rFonts w:eastAsia="Times New Roman" w:cs="Times New Roman"/>
          <w:noProof/>
        </w:rPr>
        <w:t xml:space="preserve">had </w:t>
      </w:r>
      <w:r w:rsidRPr="004155ED">
        <w:rPr>
          <w:rFonts w:eastAsia="Times New Roman" w:cs="Times New Roman"/>
          <w:noProof/>
        </w:rPr>
        <w:t>only partially</w:t>
      </w:r>
      <w:r w:rsidRPr="004155ED">
        <w:rPr>
          <w:rFonts w:eastAsia="Times New Roman" w:cs="Times New Roman"/>
          <w:b/>
          <w:bCs/>
          <w:noProof/>
        </w:rPr>
        <w:t xml:space="preserve"> </w:t>
      </w:r>
      <w:r w:rsidRPr="00062864">
        <w:rPr>
          <w:rFonts w:eastAsia="Times New Roman" w:cs="Times New Roman"/>
          <w:noProof/>
        </w:rPr>
        <w:t>recovered the aid,</w:t>
      </w:r>
      <w:r w:rsidRPr="00062864">
        <w:rPr>
          <w:rFonts w:eastAsia="Times New Roman" w:cs="Times New Roman"/>
          <w:b/>
          <w:bCs/>
          <w:noProof/>
        </w:rPr>
        <w:t xml:space="preserve"> </w:t>
      </w:r>
      <w:r w:rsidRPr="00062864">
        <w:rPr>
          <w:rFonts w:eastAsia="Times New Roman" w:cs="Times New Roman"/>
          <w:noProof/>
        </w:rPr>
        <w:t>the Commission initiated proceedings before the Court of Justice. In April 2021, the Court held that Spain has failed to recover the aid (C-704/19)</w:t>
      </w:r>
      <w:r w:rsidR="00EB39F6" w:rsidRPr="00947B7D">
        <w:rPr>
          <w:rStyle w:val="FootnoteReference"/>
          <w:rFonts w:eastAsia="Times New Roman" w:cs="Times New Roman"/>
          <w:noProof/>
        </w:rPr>
        <w:footnoteReference w:id="79"/>
      </w:r>
      <w:r w:rsidRPr="00947B7D">
        <w:rPr>
          <w:rFonts w:eastAsia="Times New Roman" w:cs="Times New Roman"/>
          <w:noProof/>
        </w:rPr>
        <w:t>. The recovery of this aid is ongoing.</w:t>
      </w:r>
    </w:p>
    <w:p w14:paraId="63488535" w14:textId="77777777" w:rsidR="00635134" w:rsidRPr="00CA629C" w:rsidRDefault="1AACA0E4" w:rsidP="00CA629C">
      <w:pPr>
        <w:pStyle w:val="Heading2"/>
      </w:pPr>
      <w:bookmarkStart w:id="48" w:name="_Toc94190110"/>
      <w:bookmarkStart w:id="49" w:name="_Toc94281759"/>
      <w:bookmarkStart w:id="50" w:name="_Toc94695850"/>
      <w:bookmarkStart w:id="51" w:name="_Toc95762337"/>
      <w:bookmarkStart w:id="52" w:name="_Toc102030138"/>
      <w:r w:rsidRPr="00CA629C">
        <w:t xml:space="preserve">4. </w:t>
      </w:r>
      <w:r w:rsidR="54EBD2D5" w:rsidRPr="00CA629C">
        <w:t>C</w:t>
      </w:r>
      <w:r w:rsidRPr="00CA629C">
        <w:t xml:space="preserve">ompetition policy </w:t>
      </w:r>
      <w:r w:rsidR="00AA190B" w:rsidRPr="00CA629C">
        <w:t xml:space="preserve">enforcement </w:t>
      </w:r>
      <w:r w:rsidRPr="00CA629C">
        <w:t>contribut</w:t>
      </w:r>
      <w:r w:rsidR="532AC071" w:rsidRPr="00CA629C">
        <w:t xml:space="preserve">ed </w:t>
      </w:r>
      <w:r w:rsidRPr="00CA629C">
        <w:t xml:space="preserve">to </w:t>
      </w:r>
      <w:r w:rsidR="6EE945A2" w:rsidRPr="00CA629C">
        <w:t xml:space="preserve">the </w:t>
      </w:r>
      <w:r w:rsidRPr="00CA629C">
        <w:t>green transition</w:t>
      </w:r>
      <w:bookmarkEnd w:id="48"/>
      <w:bookmarkEnd w:id="49"/>
      <w:bookmarkEnd w:id="50"/>
      <w:bookmarkEnd w:id="51"/>
      <w:bookmarkEnd w:id="52"/>
    </w:p>
    <w:p w14:paraId="702B386A" w14:textId="464BAAB4" w:rsidR="000539FF" w:rsidRDefault="00040CED" w:rsidP="158881C6">
      <w:pPr>
        <w:tabs>
          <w:tab w:val="left" w:pos="709"/>
        </w:tabs>
        <w:jc w:val="both"/>
        <w:rPr>
          <w:noProof/>
          <w:szCs w:val="24"/>
        </w:rPr>
      </w:pPr>
      <w:r w:rsidRPr="00947B7D">
        <w:rPr>
          <w:noProof/>
          <w:lang w:val="en-US"/>
        </w:rPr>
        <w:t xml:space="preserve">EU competition policy is well placed to contribute </w:t>
      </w:r>
      <w:r w:rsidRPr="00947B7D">
        <w:rPr>
          <w:rFonts w:eastAsia="Times New Roman"/>
          <w:noProof/>
        </w:rPr>
        <w:t>to the EU’s environmental objectives and climate targets, including the decarbonisation of the economy and the shift in the transport secto</w:t>
      </w:r>
      <w:r w:rsidRPr="004155ED">
        <w:rPr>
          <w:rFonts w:eastAsia="Times New Roman"/>
          <w:noProof/>
        </w:rPr>
        <w:t xml:space="preserve">r from polluting fossil fuels to alternative fuels in accordance with the Commission's mobility policy. </w:t>
      </w:r>
      <w:r w:rsidR="00455D27" w:rsidRPr="004155ED">
        <w:rPr>
          <w:rFonts w:eastAsia="Times New Roman" w:cs="Times New Roman"/>
          <w:noProof/>
        </w:rPr>
        <w:t>Competition law enforcement</w:t>
      </w:r>
      <w:r w:rsidR="00DC1DF7" w:rsidRPr="004155ED">
        <w:rPr>
          <w:rFonts w:eastAsia="Times New Roman" w:cs="Times New Roman"/>
          <w:noProof/>
        </w:rPr>
        <w:t xml:space="preserve"> </w:t>
      </w:r>
      <w:r w:rsidR="00455D27" w:rsidRPr="00062864">
        <w:rPr>
          <w:rFonts w:eastAsia="Times New Roman" w:cs="Times New Roman"/>
          <w:noProof/>
        </w:rPr>
        <w:t xml:space="preserve">contributes to the </w:t>
      </w:r>
      <w:r w:rsidR="00DB400C">
        <w:rPr>
          <w:rFonts w:eastAsia="Times New Roman" w:cs="Times New Roman"/>
          <w:noProof/>
        </w:rPr>
        <w:t xml:space="preserve">European </w:t>
      </w:r>
      <w:r w:rsidR="00455D27" w:rsidRPr="00062864">
        <w:rPr>
          <w:rFonts w:eastAsia="Times New Roman" w:cs="Times New Roman"/>
          <w:noProof/>
        </w:rPr>
        <w:t>Green Deal</w:t>
      </w:r>
      <w:r w:rsidR="002C2DB9" w:rsidRPr="00947B7D">
        <w:rPr>
          <w:rStyle w:val="FootnoteReference"/>
          <w:rFonts w:cs="Times New Roman"/>
          <w:noProof/>
        </w:rPr>
        <w:footnoteReference w:id="80"/>
      </w:r>
      <w:r w:rsidR="00455D27" w:rsidRPr="00947B7D">
        <w:rPr>
          <w:rFonts w:eastAsia="Times New Roman" w:cs="Times New Roman"/>
          <w:noProof/>
        </w:rPr>
        <w:t xml:space="preserve"> by keeping markets efficient, fair and innovative.</w:t>
      </w:r>
      <w:r w:rsidR="00462C83" w:rsidRPr="00947B7D">
        <w:rPr>
          <w:rFonts w:eastAsia="Times New Roman" w:cs="Times New Roman"/>
          <w:noProof/>
        </w:rPr>
        <w:t xml:space="preserve"> </w:t>
      </w:r>
      <w:r w:rsidR="007A5025" w:rsidRPr="004155ED">
        <w:rPr>
          <w:rFonts w:eastAsia="Times New Roman" w:cs="Times New Roman"/>
          <w:noProof/>
        </w:rPr>
        <w:t xml:space="preserve">In this context, the effective enforcement under the State aid instrument is key to avoid distortions of competition in the </w:t>
      </w:r>
      <w:r w:rsidR="0098726C" w:rsidRPr="004155ED">
        <w:rPr>
          <w:rFonts w:eastAsia="Times New Roman" w:cs="Times New Roman"/>
          <w:noProof/>
        </w:rPr>
        <w:t>Single Market</w:t>
      </w:r>
      <w:r w:rsidR="0098726C" w:rsidRPr="004155ED">
        <w:rPr>
          <w:noProof/>
        </w:rPr>
        <w:t>.</w:t>
      </w:r>
      <w:r w:rsidR="00DC1DF7" w:rsidRPr="00062864">
        <w:rPr>
          <w:noProof/>
        </w:rPr>
        <w:t xml:space="preserve"> </w:t>
      </w:r>
    </w:p>
    <w:p w14:paraId="45202581" w14:textId="77777777" w:rsidR="000539FF" w:rsidRPr="000F147F" w:rsidRDefault="000539FF">
      <w:pPr>
        <w:tabs>
          <w:tab w:val="left" w:pos="709"/>
        </w:tabs>
        <w:jc w:val="both"/>
        <w:rPr>
          <w:noProof/>
          <w:lang w:val="en-IE" w:bidi="en-US"/>
        </w:rPr>
      </w:pPr>
      <w:r w:rsidRPr="00947B7D">
        <w:rPr>
          <w:noProof/>
        </w:rPr>
        <w:t>I</w:t>
      </w:r>
      <w:r w:rsidR="007A5025" w:rsidRPr="00947B7D">
        <w:rPr>
          <w:noProof/>
        </w:rPr>
        <w:t xml:space="preserve">n </w:t>
      </w:r>
      <w:r w:rsidR="00DC1DF7" w:rsidRPr="004155ED">
        <w:rPr>
          <w:noProof/>
        </w:rPr>
        <w:t xml:space="preserve">February 2021, DG Competition organised a </w:t>
      </w:r>
      <w:r w:rsidRPr="004155ED">
        <w:rPr>
          <w:noProof/>
        </w:rPr>
        <w:t xml:space="preserve">stakeholder </w:t>
      </w:r>
      <w:r w:rsidR="00DC1DF7" w:rsidRPr="004155ED">
        <w:rPr>
          <w:noProof/>
        </w:rPr>
        <w:t>conference to d</w:t>
      </w:r>
      <w:r w:rsidR="007A5025" w:rsidRPr="00062864">
        <w:rPr>
          <w:noProof/>
        </w:rPr>
        <w:t xml:space="preserve">iscuss </w:t>
      </w:r>
      <w:r w:rsidR="007A5025" w:rsidRPr="00062864">
        <w:rPr>
          <w:rFonts w:cs="Times New Roman"/>
          <w:noProof/>
          <w:lang w:val="en-US"/>
        </w:rPr>
        <w:t>how antitrust policy, merger policy and State aid policy can best work together with environmental and climate policies.</w:t>
      </w:r>
      <w:r w:rsidRPr="000539FF">
        <w:rPr>
          <w:noProof/>
        </w:rPr>
        <w:t xml:space="preserve"> </w:t>
      </w:r>
      <w:r>
        <w:rPr>
          <w:noProof/>
        </w:rPr>
        <w:t xml:space="preserve">As </w:t>
      </w:r>
      <w:r w:rsidR="0098726C">
        <w:rPr>
          <w:noProof/>
        </w:rPr>
        <w:t xml:space="preserve">a </w:t>
      </w:r>
      <w:r>
        <w:rPr>
          <w:noProof/>
        </w:rPr>
        <w:t>follow-up, DG Competition published, in September 2021, a Competition Policy Brief on how competition policy can and will support the Green Deal objectives</w:t>
      </w:r>
      <w:r>
        <w:rPr>
          <w:rStyle w:val="FootnoteReference"/>
          <w:noProof/>
        </w:rPr>
        <w:footnoteReference w:id="81"/>
      </w:r>
      <w:r>
        <w:rPr>
          <w:noProof/>
        </w:rPr>
        <w:t>.</w:t>
      </w:r>
    </w:p>
    <w:p w14:paraId="342785C4" w14:textId="1BB93628" w:rsidR="000A3D67" w:rsidRPr="00F42E78" w:rsidRDefault="00455D27" w:rsidP="000A3D67">
      <w:pPr>
        <w:pStyle w:val="Heading3"/>
        <w:spacing w:after="200"/>
        <w:rPr>
          <w:rStyle w:val="Heading2Char"/>
          <w:rFonts w:asciiTheme="majorHAnsi" w:hAnsiTheme="majorHAnsi"/>
        </w:rPr>
      </w:pPr>
      <w:bookmarkStart w:id="53" w:name="_Toc94695852"/>
      <w:bookmarkStart w:id="54" w:name="_Toc95762338"/>
      <w:bookmarkStart w:id="55" w:name="_Toc102030139"/>
      <w:r w:rsidRPr="00F42E78">
        <w:rPr>
          <w:rStyle w:val="Heading2Char"/>
          <w:rFonts w:asciiTheme="majorHAnsi" w:hAnsiTheme="majorHAnsi"/>
        </w:rPr>
        <w:t>4.</w:t>
      </w:r>
      <w:r w:rsidR="001E3085" w:rsidRPr="00F42E78">
        <w:rPr>
          <w:rStyle w:val="Heading2Char"/>
          <w:rFonts w:asciiTheme="majorHAnsi" w:hAnsiTheme="majorHAnsi"/>
        </w:rPr>
        <w:t>1</w:t>
      </w:r>
      <w:r w:rsidRPr="00F42E78">
        <w:rPr>
          <w:rStyle w:val="Heading2Char"/>
          <w:rFonts w:asciiTheme="majorHAnsi" w:hAnsiTheme="majorHAnsi"/>
        </w:rPr>
        <w:t>. State aid control contributed to the Green transition</w:t>
      </w:r>
      <w:bookmarkEnd w:id="53"/>
      <w:bookmarkEnd w:id="54"/>
      <w:bookmarkEnd w:id="55"/>
      <w:r w:rsidR="000A3D67">
        <w:rPr>
          <w:rStyle w:val="Heading2Char"/>
          <w:rFonts w:asciiTheme="majorHAnsi" w:hAnsiTheme="majorHAnsi"/>
        </w:rPr>
        <w:t xml:space="preserve"> </w:t>
      </w:r>
    </w:p>
    <w:p w14:paraId="5B6DF4B7" w14:textId="6E1B91A1" w:rsidR="00222342" w:rsidRDefault="00222342" w:rsidP="158881C6">
      <w:pPr>
        <w:jc w:val="both"/>
        <w:rPr>
          <w:noProof/>
          <w:szCs w:val="24"/>
        </w:rPr>
      </w:pPr>
      <w:r w:rsidRPr="00947B7D">
        <w:rPr>
          <w:noProof/>
        </w:rPr>
        <w:t xml:space="preserve">In 2021, the Commission approved a number of </w:t>
      </w:r>
      <w:r w:rsidR="002F65CC">
        <w:rPr>
          <w:noProof/>
        </w:rPr>
        <w:t xml:space="preserve">State aid </w:t>
      </w:r>
      <w:r w:rsidRPr="00947B7D">
        <w:rPr>
          <w:noProof/>
        </w:rPr>
        <w:t xml:space="preserve">measures intended to support the green transition of the EU. </w:t>
      </w:r>
      <w:r w:rsidR="009E7AAB" w:rsidRPr="00C256DD">
        <w:rPr>
          <w:noProof/>
        </w:rPr>
        <w:t xml:space="preserve">In particular, 18 measures </w:t>
      </w:r>
      <w:r w:rsidR="002F65CC">
        <w:rPr>
          <w:noProof/>
        </w:rPr>
        <w:t xml:space="preserve">supporting </w:t>
      </w:r>
      <w:r w:rsidR="009E7AAB" w:rsidRPr="00C256DD">
        <w:rPr>
          <w:noProof/>
        </w:rPr>
        <w:t xml:space="preserve">renewable energy and 7 for </w:t>
      </w:r>
      <w:r w:rsidR="002F65CC">
        <w:rPr>
          <w:noProof/>
        </w:rPr>
        <w:t xml:space="preserve">supporting </w:t>
      </w:r>
      <w:r w:rsidR="009E7AAB" w:rsidRPr="00C256DD">
        <w:rPr>
          <w:noProof/>
        </w:rPr>
        <w:t>clean mobility were approved by the Commission.</w:t>
      </w:r>
    </w:p>
    <w:p w14:paraId="2451E7EC" w14:textId="74458A3E" w:rsidR="00222342" w:rsidRPr="00222342" w:rsidRDefault="00222342" w:rsidP="00222342">
      <w:pPr>
        <w:jc w:val="both"/>
        <w:rPr>
          <w:noProof/>
          <w:color w:val="000000" w:themeColor="text1"/>
        </w:rPr>
      </w:pPr>
      <w:r w:rsidRPr="00947B7D">
        <w:rPr>
          <w:noProof/>
        </w:rPr>
        <w:t xml:space="preserve">In </w:t>
      </w:r>
      <w:r w:rsidRPr="00222342">
        <w:rPr>
          <w:rFonts w:eastAsia="Calibri" w:cs="Times New Roman"/>
          <w:noProof/>
          <w:color w:val="000000" w:themeColor="text1"/>
        </w:rPr>
        <w:t>January 2021</w:t>
      </w:r>
      <w:r>
        <w:rPr>
          <w:rFonts w:eastAsia="Calibri" w:cs="Times New Roman"/>
          <w:noProof/>
          <w:color w:val="000000" w:themeColor="text1"/>
        </w:rPr>
        <w:t>,</w:t>
      </w:r>
      <w:r w:rsidRPr="00222342">
        <w:rPr>
          <w:rFonts w:eastAsia="Calibri" w:cs="Times New Roman"/>
          <w:noProof/>
          <w:color w:val="000000" w:themeColor="text1"/>
        </w:rPr>
        <w:t xml:space="preserve"> the Commission adopted a decision authorising th</w:t>
      </w:r>
      <w:r>
        <w:rPr>
          <w:rFonts w:eastAsia="Calibri" w:cs="Times New Roman"/>
          <w:noProof/>
          <w:color w:val="000000" w:themeColor="text1"/>
        </w:rPr>
        <w:t xml:space="preserve">e second </w:t>
      </w:r>
      <w:r w:rsidR="000C105D">
        <w:rPr>
          <w:rFonts w:eastAsia="Calibri" w:cs="Times New Roman"/>
          <w:noProof/>
          <w:color w:val="000000" w:themeColor="text1"/>
        </w:rPr>
        <w:t xml:space="preserve">Important Project </w:t>
      </w:r>
      <w:r>
        <w:rPr>
          <w:rFonts w:eastAsia="Calibri" w:cs="Times New Roman"/>
          <w:noProof/>
          <w:color w:val="000000" w:themeColor="text1"/>
        </w:rPr>
        <w:t xml:space="preserve">of </w:t>
      </w:r>
      <w:r w:rsidR="000C105D">
        <w:rPr>
          <w:rFonts w:eastAsia="Calibri" w:cs="Times New Roman"/>
          <w:noProof/>
          <w:color w:val="000000" w:themeColor="text1"/>
        </w:rPr>
        <w:t xml:space="preserve">Common </w:t>
      </w:r>
      <w:r>
        <w:rPr>
          <w:rFonts w:eastAsia="Calibri" w:cs="Times New Roman"/>
          <w:noProof/>
          <w:color w:val="000000" w:themeColor="text1"/>
        </w:rPr>
        <w:t xml:space="preserve">European </w:t>
      </w:r>
      <w:r w:rsidR="000C105D">
        <w:rPr>
          <w:rFonts w:eastAsia="Calibri" w:cs="Times New Roman"/>
          <w:noProof/>
          <w:color w:val="000000" w:themeColor="text1"/>
        </w:rPr>
        <w:t xml:space="preserve">Interest </w:t>
      </w:r>
      <w:r>
        <w:rPr>
          <w:rFonts w:eastAsia="Calibri" w:cs="Times New Roman"/>
          <w:noProof/>
          <w:color w:val="000000" w:themeColor="text1"/>
        </w:rPr>
        <w:t>(</w:t>
      </w:r>
      <w:r w:rsidRPr="00222342">
        <w:rPr>
          <w:rFonts w:eastAsia="Calibri" w:cs="Times New Roman"/>
          <w:noProof/>
          <w:color w:val="000000" w:themeColor="text1"/>
        </w:rPr>
        <w:t>IPCEI</w:t>
      </w:r>
      <w:r>
        <w:rPr>
          <w:rFonts w:eastAsia="Calibri" w:cs="Times New Roman"/>
          <w:noProof/>
          <w:color w:val="000000" w:themeColor="text1"/>
        </w:rPr>
        <w:t>) on batteries</w:t>
      </w:r>
      <w:r w:rsidRPr="00222342">
        <w:rPr>
          <w:rFonts w:eastAsia="Calibri" w:cs="Times New Roman"/>
          <w:noProof/>
          <w:color w:val="000000" w:themeColor="text1"/>
          <w:vertAlign w:val="superscript"/>
        </w:rPr>
        <w:footnoteReference w:id="82"/>
      </w:r>
      <w:r w:rsidR="008C6213">
        <w:rPr>
          <w:rFonts w:eastAsia="Calibri" w:cs="Times New Roman"/>
          <w:noProof/>
          <w:color w:val="000000" w:themeColor="text1"/>
        </w:rPr>
        <w:t>.</w:t>
      </w:r>
      <w:r>
        <w:rPr>
          <w:rFonts w:eastAsia="Calibri" w:cs="Times New Roman"/>
          <w:noProof/>
          <w:color w:val="000000" w:themeColor="text1"/>
        </w:rPr>
        <w:t xml:space="preserve"> </w:t>
      </w:r>
      <w:r w:rsidRPr="00947B7D">
        <w:rPr>
          <w:noProof/>
        </w:rPr>
        <w:t xml:space="preserve">The project, </w:t>
      </w:r>
      <w:r w:rsidR="002F65CC">
        <w:rPr>
          <w:noProof/>
        </w:rPr>
        <w:t>entitled</w:t>
      </w:r>
      <w:r w:rsidRPr="00947B7D">
        <w:rPr>
          <w:noProof/>
        </w:rPr>
        <w:t xml:space="preserve"> European Battery Innovation, will support research and innovation in the battery value chain. The twelve Member States will provide up to EUR 2.9 billion in funding in the coming years. The public funding is expected to unlock an additional EUR 9 billion in private investments. The project complements the first IPCEI in the battery value chain approved in December 2019</w:t>
      </w:r>
      <w:r w:rsidR="009E7AAB">
        <w:rPr>
          <w:rStyle w:val="FootnoteReference"/>
          <w:noProof/>
        </w:rPr>
        <w:footnoteReference w:id="83"/>
      </w:r>
      <w:r w:rsidRPr="00947B7D">
        <w:rPr>
          <w:noProof/>
        </w:rPr>
        <w:t xml:space="preserve">. The project is consistent with the Commission’s policies to shift from </w:t>
      </w:r>
      <w:r w:rsidRPr="004155ED">
        <w:rPr>
          <w:noProof/>
        </w:rPr>
        <w:t xml:space="preserve">the use of fossil fuels to alternative fuel technologies and </w:t>
      </w:r>
      <w:r w:rsidR="008B0A7A">
        <w:rPr>
          <w:noProof/>
        </w:rPr>
        <w:t xml:space="preserve">green and digital transitions </w:t>
      </w:r>
      <w:r w:rsidRPr="004155ED">
        <w:rPr>
          <w:noProof/>
        </w:rPr>
        <w:t>of the EU economy under the European Green Deal and the Digital Strategy</w:t>
      </w:r>
      <w:r w:rsidRPr="00222342">
        <w:rPr>
          <w:rFonts w:eastAsia="Calibri" w:cs="Times New Roman"/>
          <w:noProof/>
          <w:color w:val="000000" w:themeColor="text1"/>
          <w:vertAlign w:val="superscript"/>
        </w:rPr>
        <w:footnoteReference w:id="84"/>
      </w:r>
      <w:r w:rsidR="00CA2AF1">
        <w:rPr>
          <w:noProof/>
        </w:rPr>
        <w:t xml:space="preserve"> as well as to increase the resilience of the EU’s economy</w:t>
      </w:r>
      <w:r w:rsidRPr="00222342">
        <w:rPr>
          <w:rFonts w:eastAsia="Calibri" w:cs="Times New Roman"/>
          <w:noProof/>
          <w:color w:val="000000" w:themeColor="text1"/>
        </w:rPr>
        <w:t>.</w:t>
      </w:r>
    </w:p>
    <w:p w14:paraId="753B2199" w14:textId="269ABD90" w:rsidR="4F29212F" w:rsidRPr="006900E2" w:rsidRDefault="00455D27">
      <w:pPr>
        <w:ind w:right="4"/>
        <w:jc w:val="both"/>
        <w:rPr>
          <w:rFonts w:eastAsia="Times New Roman" w:cs="Times New Roman"/>
          <w:noProof/>
        </w:rPr>
      </w:pPr>
      <w:r w:rsidRPr="00947B7D">
        <w:rPr>
          <w:noProof/>
        </w:rPr>
        <w:t>I</w:t>
      </w:r>
      <w:r w:rsidR="47E8FCD8" w:rsidRPr="00947B7D">
        <w:rPr>
          <w:rFonts w:eastAsia="Times New Roman" w:cs="Times New Roman"/>
          <w:noProof/>
        </w:rPr>
        <w:t>n February</w:t>
      </w:r>
      <w:r w:rsidR="00841027" w:rsidRPr="004155ED">
        <w:rPr>
          <w:rFonts w:eastAsia="Times New Roman" w:cs="Times New Roman"/>
          <w:noProof/>
        </w:rPr>
        <w:t xml:space="preserve"> 2021</w:t>
      </w:r>
      <w:r w:rsidR="000847BA" w:rsidRPr="004155ED">
        <w:rPr>
          <w:rFonts w:eastAsia="Times New Roman" w:cs="Times New Roman"/>
          <w:noProof/>
        </w:rPr>
        <w:t xml:space="preserve">, the Commission approved </w:t>
      </w:r>
      <w:r w:rsidR="47E8FCD8" w:rsidRPr="004155ED">
        <w:rPr>
          <w:rFonts w:eastAsia="Times New Roman" w:cs="Times New Roman"/>
          <w:noProof/>
        </w:rPr>
        <w:t xml:space="preserve">Romanian plans to support the upgrade of the district heating system </w:t>
      </w:r>
      <w:r w:rsidR="003443E6" w:rsidRPr="00062864">
        <w:rPr>
          <w:rFonts w:eastAsia="Times New Roman" w:cs="Times New Roman"/>
          <w:noProof/>
        </w:rPr>
        <w:t xml:space="preserve">in </w:t>
      </w:r>
      <w:r w:rsidR="47E8FCD8" w:rsidRPr="00062864">
        <w:rPr>
          <w:rFonts w:eastAsia="Times New Roman" w:cs="Times New Roman"/>
          <w:noProof/>
        </w:rPr>
        <w:t>Bucharest</w:t>
      </w:r>
      <w:r w:rsidR="003563F9" w:rsidRPr="00947B7D">
        <w:rPr>
          <w:rStyle w:val="FootnoteReference"/>
          <w:rFonts w:eastAsia="Times New Roman" w:cs="Times New Roman"/>
          <w:noProof/>
        </w:rPr>
        <w:footnoteReference w:id="85"/>
      </w:r>
      <w:r w:rsidR="47E8FCD8" w:rsidRPr="00947B7D">
        <w:rPr>
          <w:rFonts w:eastAsia="Times New Roman" w:cs="Times New Roman"/>
          <w:noProof/>
        </w:rPr>
        <w:t>. Th</w:t>
      </w:r>
      <w:r w:rsidR="00785571" w:rsidRPr="00947B7D">
        <w:rPr>
          <w:rFonts w:eastAsia="Times New Roman" w:cs="Times New Roman"/>
          <w:noProof/>
        </w:rPr>
        <w:t>e</w:t>
      </w:r>
      <w:r w:rsidR="47E8FCD8" w:rsidRPr="004155ED">
        <w:rPr>
          <w:rFonts w:eastAsia="Times New Roman" w:cs="Times New Roman"/>
          <w:noProof/>
        </w:rPr>
        <w:t xml:space="preserve"> </w:t>
      </w:r>
      <w:r w:rsidRPr="004155ED">
        <w:rPr>
          <w:rFonts w:eastAsia="Times New Roman" w:cs="Times New Roman"/>
          <w:noProof/>
        </w:rPr>
        <w:t xml:space="preserve">EUR </w:t>
      </w:r>
      <w:r w:rsidR="47E8FCD8" w:rsidRPr="004155ED">
        <w:rPr>
          <w:rFonts w:eastAsia="Times New Roman" w:cs="Times New Roman"/>
          <w:noProof/>
        </w:rPr>
        <w:t xml:space="preserve">254 million aid measure funded </w:t>
      </w:r>
      <w:r w:rsidR="003443E6" w:rsidRPr="00062864">
        <w:rPr>
          <w:rFonts w:eastAsia="Times New Roman" w:cs="Times New Roman"/>
          <w:noProof/>
        </w:rPr>
        <w:t xml:space="preserve">by </w:t>
      </w:r>
      <w:r w:rsidR="47E8FCD8" w:rsidRPr="00062864">
        <w:rPr>
          <w:rFonts w:eastAsia="Times New Roman" w:cs="Times New Roman"/>
          <w:noProof/>
        </w:rPr>
        <w:t>EU structural funds will help Romania achieve its energy</w:t>
      </w:r>
      <w:r w:rsidR="008D703D">
        <w:rPr>
          <w:rFonts w:eastAsia="Times New Roman" w:cs="Times New Roman"/>
          <w:noProof/>
        </w:rPr>
        <w:t xml:space="preserve"> </w:t>
      </w:r>
      <w:r w:rsidR="47E8FCD8" w:rsidRPr="00062864">
        <w:rPr>
          <w:rFonts w:eastAsia="Times New Roman" w:cs="Times New Roman"/>
          <w:noProof/>
        </w:rPr>
        <w:t>efficiency targets and will contribute to the reduction of greenhouse gas</w:t>
      </w:r>
      <w:r w:rsidR="00785571" w:rsidRPr="00373CE6">
        <w:rPr>
          <w:rFonts w:eastAsia="Times New Roman" w:cs="Times New Roman"/>
          <w:noProof/>
        </w:rPr>
        <w:t>es</w:t>
      </w:r>
      <w:r w:rsidR="47E8FCD8" w:rsidRPr="00373CE6">
        <w:rPr>
          <w:rFonts w:eastAsia="Times New Roman" w:cs="Times New Roman"/>
          <w:noProof/>
        </w:rPr>
        <w:t xml:space="preserve"> and other pollutants without unduly distorting competition.</w:t>
      </w:r>
    </w:p>
    <w:p w14:paraId="7884D4C1" w14:textId="77777777" w:rsidR="008443DE" w:rsidRPr="00542D19" w:rsidRDefault="008443DE" w:rsidP="00671526">
      <w:pPr>
        <w:jc w:val="both"/>
        <w:rPr>
          <w:rFonts w:eastAsia="Times New Roman" w:cs="Times New Roman"/>
          <w:noProof/>
          <w:szCs w:val="24"/>
        </w:rPr>
      </w:pPr>
      <w:r>
        <w:rPr>
          <w:rFonts w:eastAsia="Times New Roman" w:cs="Times New Roman"/>
          <w:noProof/>
          <w:szCs w:val="24"/>
        </w:rPr>
        <w:t>I</w:t>
      </w:r>
      <w:r w:rsidRPr="00E10CBF">
        <w:rPr>
          <w:rFonts w:eastAsia="Times New Roman" w:cs="Times New Roman"/>
          <w:noProof/>
          <w:szCs w:val="24"/>
        </w:rPr>
        <w:t xml:space="preserve">n </w:t>
      </w:r>
      <w:r>
        <w:rPr>
          <w:rFonts w:eastAsia="Times New Roman" w:cs="Times New Roman"/>
          <w:noProof/>
          <w:szCs w:val="24"/>
        </w:rPr>
        <w:t>A</w:t>
      </w:r>
      <w:r w:rsidRPr="00E10CBF">
        <w:rPr>
          <w:rFonts w:eastAsia="Times New Roman" w:cs="Times New Roman"/>
          <w:noProof/>
          <w:szCs w:val="24"/>
        </w:rPr>
        <w:t>pril 2021, the Commission approved the prolongation and modification of a German scheme to support the production of electricity from renewable energy sources and from mine gas, as well as reductions of charges to fund support for electricity from renewable sources. The reduction of charges will be available to energy-intensive companies and shore-side electricity supply to ships while at berth in ports</w:t>
      </w:r>
      <w:r>
        <w:rPr>
          <w:rFonts w:eastAsia="Times New Roman" w:cs="Times New Roman"/>
          <w:noProof/>
          <w:szCs w:val="24"/>
        </w:rPr>
        <w:t>.</w:t>
      </w:r>
    </w:p>
    <w:p w14:paraId="1AE2D8CA" w14:textId="77777777" w:rsidR="00785571" w:rsidRPr="00542D19" w:rsidRDefault="083A1CE7" w:rsidP="4F29212F">
      <w:pPr>
        <w:jc w:val="both"/>
        <w:rPr>
          <w:rFonts w:eastAsia="Times New Roman" w:cs="Times New Roman"/>
          <w:noProof/>
          <w:szCs w:val="24"/>
        </w:rPr>
      </w:pPr>
      <w:r w:rsidRPr="00947B7D">
        <w:rPr>
          <w:rFonts w:eastAsia="Times New Roman" w:cs="Times New Roman"/>
          <w:noProof/>
        </w:rPr>
        <w:t>In May 2021, the Commission approved</w:t>
      </w:r>
      <w:r w:rsidR="00370805" w:rsidRPr="004155ED">
        <w:rPr>
          <w:rFonts w:eastAsia="Times New Roman" w:cs="Times New Roman"/>
          <w:noProof/>
        </w:rPr>
        <w:t xml:space="preserve"> </w:t>
      </w:r>
      <w:r w:rsidRPr="004155ED">
        <w:rPr>
          <w:rFonts w:eastAsia="Times New Roman" w:cs="Times New Roman"/>
          <w:noProof/>
        </w:rPr>
        <w:t>a Danish aid scheme to support electricity production from renewable sources. The measure will help Denmark reach its renewable energy targets without unduly distorting competition and will contribute to the European objective of achieving climate neutrali</w:t>
      </w:r>
      <w:r w:rsidRPr="00062864">
        <w:rPr>
          <w:rFonts w:eastAsia="Times New Roman" w:cs="Times New Roman"/>
          <w:noProof/>
        </w:rPr>
        <w:t>ty by 2050</w:t>
      </w:r>
      <w:r w:rsidR="003563F9" w:rsidRPr="00947B7D">
        <w:rPr>
          <w:rStyle w:val="FootnoteReference"/>
          <w:rFonts w:eastAsia="Times New Roman" w:cs="Times New Roman"/>
          <w:noProof/>
        </w:rPr>
        <w:footnoteReference w:id="86"/>
      </w:r>
      <w:r w:rsidRPr="00947B7D">
        <w:rPr>
          <w:rFonts w:eastAsia="Times New Roman" w:cs="Times New Roman"/>
          <w:noProof/>
        </w:rPr>
        <w:t>.</w:t>
      </w:r>
    </w:p>
    <w:p w14:paraId="0BA38DC9" w14:textId="3887A5FF" w:rsidR="24ACC16A" w:rsidRPr="00542D19" w:rsidRDefault="00222342" w:rsidP="4F29212F">
      <w:pPr>
        <w:jc w:val="both"/>
        <w:rPr>
          <w:noProof/>
          <w:szCs w:val="24"/>
        </w:rPr>
      </w:pPr>
      <w:r w:rsidRPr="00947B7D">
        <w:rPr>
          <w:rFonts w:eastAsia="Times New Roman" w:cs="Times New Roman"/>
          <w:noProof/>
        </w:rPr>
        <w:t xml:space="preserve">In June 2021, </w:t>
      </w:r>
      <w:r w:rsidR="00370805" w:rsidRPr="004155ED">
        <w:rPr>
          <w:rFonts w:eastAsia="Times New Roman" w:cs="Times New Roman"/>
          <w:noProof/>
        </w:rPr>
        <w:t>t</w:t>
      </w:r>
      <w:r w:rsidR="00CF5F81" w:rsidRPr="004155ED">
        <w:rPr>
          <w:rFonts w:eastAsia="Times New Roman" w:cs="Times New Roman"/>
          <w:noProof/>
        </w:rPr>
        <w:t xml:space="preserve">he </w:t>
      </w:r>
      <w:r w:rsidR="24ACC16A" w:rsidRPr="00062864">
        <w:rPr>
          <w:rFonts w:eastAsia="Times New Roman" w:cs="Times New Roman"/>
          <w:noProof/>
        </w:rPr>
        <w:t xml:space="preserve">Commission approved the prolongation and modification of an existing German scheme to support the production of electricity </w:t>
      </w:r>
      <w:r w:rsidR="00370805" w:rsidRPr="00062864">
        <w:rPr>
          <w:rFonts w:eastAsia="Times New Roman" w:cs="Times New Roman"/>
          <w:noProof/>
        </w:rPr>
        <w:t xml:space="preserve">by </w:t>
      </w:r>
      <w:r w:rsidR="24ACC16A" w:rsidRPr="00373CE6">
        <w:rPr>
          <w:rFonts w:eastAsia="Times New Roman" w:cs="Times New Roman"/>
          <w:noProof/>
        </w:rPr>
        <w:t>new, modernised and retrofitted highly efficient cogeneration plants</w:t>
      </w:r>
      <w:r w:rsidR="00370805" w:rsidRPr="00373CE6">
        <w:rPr>
          <w:rFonts w:eastAsia="Times New Roman" w:cs="Times New Roman"/>
          <w:noProof/>
        </w:rPr>
        <w:t>.</w:t>
      </w:r>
      <w:r w:rsidR="24ACC16A" w:rsidRPr="00373CE6">
        <w:rPr>
          <w:rFonts w:eastAsia="Times New Roman" w:cs="Times New Roman"/>
          <w:noProof/>
        </w:rPr>
        <w:t xml:space="preserve"> The approved scheme will promote energy efficiency and contribute to further reductions in CO2 emissions</w:t>
      </w:r>
      <w:r w:rsidR="003563F9" w:rsidRPr="00947B7D">
        <w:rPr>
          <w:rStyle w:val="FootnoteReference"/>
          <w:rFonts w:eastAsia="Times New Roman" w:cs="Times New Roman"/>
          <w:noProof/>
        </w:rPr>
        <w:footnoteReference w:id="87"/>
      </w:r>
      <w:r w:rsidR="24ACC16A" w:rsidRPr="00947B7D">
        <w:rPr>
          <w:rFonts w:eastAsia="Times New Roman" w:cs="Times New Roman"/>
          <w:noProof/>
        </w:rPr>
        <w:t xml:space="preserve">. </w:t>
      </w:r>
    </w:p>
    <w:p w14:paraId="1C8307AD" w14:textId="2F3A62B2" w:rsidR="00A72B14" w:rsidRPr="00542D19" w:rsidRDefault="02C056C6" w:rsidP="00A72B14">
      <w:pPr>
        <w:jc w:val="both"/>
        <w:rPr>
          <w:rFonts w:cs="Times New Roman"/>
          <w:noProof/>
          <w:szCs w:val="24"/>
          <w:lang w:val="en-US"/>
        </w:rPr>
      </w:pPr>
      <w:r w:rsidRPr="00947B7D">
        <w:rPr>
          <w:rFonts w:eastAsia="Times New Roman" w:cs="Times New Roman"/>
          <w:noProof/>
        </w:rPr>
        <w:t>In July 2021, the</w:t>
      </w:r>
      <w:r w:rsidRPr="004155ED" w:rsidDel="00B57504">
        <w:rPr>
          <w:rFonts w:eastAsia="Times New Roman" w:cs="Times New Roman"/>
          <w:noProof/>
        </w:rPr>
        <w:t xml:space="preserve"> </w:t>
      </w:r>
      <w:r w:rsidRPr="004155ED">
        <w:rPr>
          <w:rFonts w:eastAsia="Times New Roman" w:cs="Times New Roman"/>
          <w:noProof/>
        </w:rPr>
        <w:t xml:space="preserve">Commission approved </w:t>
      </w:r>
      <w:r w:rsidR="00370805" w:rsidRPr="00062864">
        <w:rPr>
          <w:rFonts w:eastAsia="Times New Roman" w:cs="Times New Roman"/>
          <w:noProof/>
        </w:rPr>
        <w:t xml:space="preserve">a EUR </w:t>
      </w:r>
      <w:r w:rsidRPr="00062864">
        <w:rPr>
          <w:rFonts w:eastAsia="Times New Roman" w:cs="Times New Roman"/>
          <w:noProof/>
        </w:rPr>
        <w:t xml:space="preserve">30.5 billion French scheme to support to operators of </w:t>
      </w:r>
      <w:r w:rsidR="0098726C" w:rsidRPr="00373CE6">
        <w:rPr>
          <w:rFonts w:eastAsia="Times New Roman" w:cs="Times New Roman"/>
          <w:noProof/>
        </w:rPr>
        <w:t xml:space="preserve">onshore </w:t>
      </w:r>
      <w:r w:rsidRPr="00373CE6">
        <w:rPr>
          <w:rFonts w:eastAsia="Times New Roman" w:cs="Times New Roman"/>
          <w:noProof/>
        </w:rPr>
        <w:t>solar, onshore wind and hydroelectric installations. The measure will help France achieve its renewable energy targets without unduly distorting competition and will contribute to the European objective of achieving climate neutrality by 2050</w:t>
      </w:r>
      <w:r w:rsidR="003563F9" w:rsidRPr="00947B7D">
        <w:rPr>
          <w:rStyle w:val="FootnoteReference"/>
          <w:rFonts w:eastAsia="Times New Roman" w:cs="Times New Roman"/>
          <w:noProof/>
        </w:rPr>
        <w:footnoteReference w:id="88"/>
      </w:r>
      <w:r w:rsidRPr="00947B7D">
        <w:rPr>
          <w:rFonts w:eastAsia="Times New Roman" w:cs="Times New Roman"/>
          <w:noProof/>
        </w:rPr>
        <w:t>.</w:t>
      </w:r>
    </w:p>
    <w:p w14:paraId="69CA3F67" w14:textId="6395A013" w:rsidR="02C056C6" w:rsidRPr="006900E2" w:rsidRDefault="00B57504">
      <w:pPr>
        <w:jc w:val="both"/>
        <w:rPr>
          <w:noProof/>
          <w:lang w:val="en-US"/>
        </w:rPr>
      </w:pPr>
      <w:r w:rsidRPr="00947B7D">
        <w:rPr>
          <w:rFonts w:cs="Times New Roman"/>
          <w:noProof/>
          <w:lang w:val="en-US"/>
        </w:rPr>
        <w:t xml:space="preserve">In addition, in </w:t>
      </w:r>
      <w:r w:rsidR="00A72B14" w:rsidRPr="004155ED">
        <w:rPr>
          <w:rFonts w:cs="Times New Roman"/>
          <w:noProof/>
          <w:lang w:val="en-US"/>
        </w:rPr>
        <w:t>December 2021, the Commission approved</w:t>
      </w:r>
      <w:r w:rsidR="00785571" w:rsidRPr="00062864">
        <w:rPr>
          <w:rFonts w:cs="Times New Roman"/>
          <w:noProof/>
          <w:lang w:val="en-US"/>
        </w:rPr>
        <w:t xml:space="preserve"> </w:t>
      </w:r>
      <w:r w:rsidR="00A72B14" w:rsidRPr="00062864">
        <w:rPr>
          <w:rFonts w:cs="Times New Roman"/>
          <w:noProof/>
          <w:lang w:val="en-US"/>
        </w:rPr>
        <w:t xml:space="preserve">a </w:t>
      </w:r>
      <w:r w:rsidR="00AA190B" w:rsidRPr="00373CE6">
        <w:rPr>
          <w:rFonts w:cs="Times New Roman"/>
          <w:noProof/>
          <w:lang w:val="en-US"/>
        </w:rPr>
        <w:t>EUR 9</w:t>
      </w:r>
      <w:r w:rsidR="000B4250" w:rsidRPr="00373CE6">
        <w:rPr>
          <w:rFonts w:cs="Times New Roman"/>
          <w:noProof/>
          <w:lang w:val="en-US"/>
        </w:rPr>
        <w:t xml:space="preserve">00 million </w:t>
      </w:r>
      <w:r w:rsidR="00A72B14" w:rsidRPr="00373CE6">
        <w:rPr>
          <w:rFonts w:cs="Times New Roman"/>
          <w:noProof/>
          <w:lang w:val="en-US"/>
        </w:rPr>
        <w:t>German scheme to support investments in the production of renewable hydrogen in non-EU countries, which will be th</w:t>
      </w:r>
      <w:r w:rsidR="000B4250" w:rsidRPr="005B1727">
        <w:rPr>
          <w:rFonts w:cs="Times New Roman"/>
          <w:noProof/>
          <w:lang w:val="en-US"/>
        </w:rPr>
        <w:t>en imported and sold in the EU</w:t>
      </w:r>
      <w:r w:rsidR="000F385D" w:rsidRPr="00947B7D">
        <w:rPr>
          <w:rStyle w:val="FootnoteReference"/>
          <w:rFonts w:cs="Times New Roman"/>
          <w:noProof/>
          <w:lang w:val="en-US"/>
        </w:rPr>
        <w:footnoteReference w:id="89"/>
      </w:r>
      <w:r w:rsidR="00A72B14" w:rsidRPr="00947B7D">
        <w:rPr>
          <w:rFonts w:cs="Times New Roman"/>
          <w:noProof/>
          <w:lang w:val="en-US"/>
        </w:rPr>
        <w:t xml:space="preserve">. The scheme, called </w:t>
      </w:r>
      <w:r w:rsidR="00A72B14" w:rsidRPr="004155ED">
        <w:rPr>
          <w:rFonts w:cs="Times New Roman"/>
          <w:noProof/>
          <w:lang w:val="en-US"/>
        </w:rPr>
        <w:t>H2Global</w:t>
      </w:r>
      <w:r w:rsidR="00A72B14" w:rsidRPr="00062864">
        <w:rPr>
          <w:rFonts w:cs="Times New Roman"/>
          <w:noProof/>
          <w:lang w:val="en-US"/>
        </w:rPr>
        <w:t>, aims at meeting the EU demand</w:t>
      </w:r>
      <w:r w:rsidR="00A72B14" w:rsidRPr="00373CE6">
        <w:rPr>
          <w:rFonts w:cs="Times New Roman"/>
          <w:noProof/>
          <w:lang w:val="en-US"/>
        </w:rPr>
        <w:t xml:space="preserve"> for renewable hydrogen that is expected to increase in the coming years by supporting the development of the unexploited renewable resource potential outside the EU. </w:t>
      </w:r>
      <w:r w:rsidR="00486A86">
        <w:rPr>
          <w:rFonts w:cs="Times New Roman"/>
          <w:noProof/>
          <w:lang w:val="en-US"/>
        </w:rPr>
        <w:t>Moreover, H2Global</w:t>
      </w:r>
      <w:r w:rsidR="000B4250" w:rsidRPr="00373CE6">
        <w:rPr>
          <w:rFonts w:cs="Times New Roman"/>
          <w:noProof/>
          <w:lang w:val="en-US"/>
        </w:rPr>
        <w:t xml:space="preserve"> </w:t>
      </w:r>
      <w:r w:rsidR="00A72B14" w:rsidRPr="00373CE6">
        <w:rPr>
          <w:rFonts w:cs="Times New Roman"/>
          <w:noProof/>
          <w:lang w:val="en-US"/>
        </w:rPr>
        <w:t xml:space="preserve">will support projects leading to substantial reductions in greenhouse emissions, in line </w:t>
      </w:r>
      <w:r w:rsidR="00486A86">
        <w:rPr>
          <w:rFonts w:cs="Times New Roman"/>
          <w:noProof/>
          <w:lang w:val="en-US"/>
        </w:rPr>
        <w:t xml:space="preserve">with </w:t>
      </w:r>
      <w:r w:rsidR="00A72B14" w:rsidRPr="00373CE6">
        <w:rPr>
          <w:rFonts w:cs="Times New Roman"/>
          <w:noProof/>
          <w:lang w:val="en-US"/>
        </w:rPr>
        <w:t xml:space="preserve">the environmental and climate </w:t>
      </w:r>
      <w:r w:rsidR="003A71A0" w:rsidRPr="005B1727">
        <w:rPr>
          <w:rFonts w:cs="Times New Roman"/>
          <w:noProof/>
          <w:lang w:val="en-US"/>
        </w:rPr>
        <w:t xml:space="preserve">objectives set out in the </w:t>
      </w:r>
      <w:r w:rsidR="00486A86">
        <w:rPr>
          <w:rFonts w:cs="Times New Roman"/>
          <w:noProof/>
          <w:lang w:val="en-US"/>
        </w:rPr>
        <w:t xml:space="preserve">European </w:t>
      </w:r>
      <w:r w:rsidR="003A71A0" w:rsidRPr="005B1727">
        <w:rPr>
          <w:rFonts w:cs="Times New Roman"/>
          <w:noProof/>
          <w:lang w:val="en-US"/>
        </w:rPr>
        <w:t xml:space="preserve">Green </w:t>
      </w:r>
      <w:r w:rsidR="00A72B14" w:rsidRPr="005B1727">
        <w:rPr>
          <w:rFonts w:cs="Times New Roman"/>
          <w:noProof/>
          <w:lang w:val="en-US"/>
        </w:rPr>
        <w:t>Deal.</w:t>
      </w:r>
      <w:r w:rsidR="003A71A0" w:rsidRPr="005B1727">
        <w:rPr>
          <w:noProof/>
          <w:lang w:val="en-US"/>
        </w:rPr>
        <w:t xml:space="preserve"> </w:t>
      </w:r>
    </w:p>
    <w:p w14:paraId="518D044E" w14:textId="12E068FF" w:rsidR="000A3D67" w:rsidRPr="00F42E78" w:rsidRDefault="4A485CB5" w:rsidP="000A3D67">
      <w:pPr>
        <w:pStyle w:val="Heading3"/>
        <w:spacing w:after="200"/>
        <w:rPr>
          <w:rStyle w:val="Heading2Char"/>
          <w:rFonts w:asciiTheme="majorHAnsi" w:hAnsiTheme="majorHAnsi"/>
        </w:rPr>
      </w:pPr>
      <w:bookmarkStart w:id="56" w:name="_Toc94190113"/>
      <w:bookmarkStart w:id="57" w:name="_Toc94281762"/>
      <w:bookmarkStart w:id="58" w:name="_Toc94695853"/>
      <w:bookmarkStart w:id="59" w:name="_Toc95762339"/>
      <w:bookmarkStart w:id="60" w:name="_Toc102030140"/>
      <w:r w:rsidRPr="00F42E78">
        <w:rPr>
          <w:rStyle w:val="Heading2Char"/>
          <w:rFonts w:asciiTheme="majorHAnsi" w:hAnsiTheme="majorHAnsi"/>
        </w:rPr>
        <w:t>4.</w:t>
      </w:r>
      <w:r w:rsidR="001E3085" w:rsidRPr="00F42E78">
        <w:rPr>
          <w:rStyle w:val="Heading2Char"/>
          <w:rFonts w:asciiTheme="majorHAnsi" w:hAnsiTheme="majorHAnsi"/>
        </w:rPr>
        <w:t>2</w:t>
      </w:r>
      <w:r w:rsidRPr="00F42E78">
        <w:rPr>
          <w:rStyle w:val="Heading2Char"/>
          <w:rFonts w:asciiTheme="majorHAnsi" w:hAnsiTheme="majorHAnsi"/>
        </w:rPr>
        <w:t xml:space="preserve"> Antitrust enforcement </w:t>
      </w:r>
      <w:r w:rsidR="009B40F5" w:rsidRPr="00F42E78">
        <w:rPr>
          <w:rStyle w:val="Heading2Char"/>
          <w:rFonts w:asciiTheme="majorHAnsi" w:hAnsiTheme="majorHAnsi"/>
        </w:rPr>
        <w:t xml:space="preserve">and merger control </w:t>
      </w:r>
      <w:r w:rsidRPr="00F42E78">
        <w:rPr>
          <w:rStyle w:val="Heading2Char"/>
          <w:rFonts w:asciiTheme="majorHAnsi" w:hAnsiTheme="majorHAnsi"/>
        </w:rPr>
        <w:t>contribute</w:t>
      </w:r>
      <w:r w:rsidR="00AA190B" w:rsidRPr="00F42E78">
        <w:rPr>
          <w:rStyle w:val="Heading2Char"/>
          <w:rFonts w:asciiTheme="majorHAnsi" w:hAnsiTheme="majorHAnsi"/>
        </w:rPr>
        <w:t>d</w:t>
      </w:r>
      <w:r w:rsidRPr="00F42E78">
        <w:rPr>
          <w:rStyle w:val="Heading2Char"/>
          <w:rFonts w:asciiTheme="majorHAnsi" w:hAnsiTheme="majorHAnsi"/>
        </w:rPr>
        <w:t xml:space="preserve"> to the green transition</w:t>
      </w:r>
      <w:bookmarkEnd w:id="56"/>
      <w:bookmarkEnd w:id="57"/>
      <w:bookmarkEnd w:id="58"/>
      <w:bookmarkEnd w:id="59"/>
      <w:bookmarkEnd w:id="60"/>
      <w:r w:rsidR="000A3D67">
        <w:rPr>
          <w:rStyle w:val="Heading2Char"/>
          <w:rFonts w:asciiTheme="majorHAnsi" w:hAnsiTheme="majorHAnsi"/>
        </w:rPr>
        <w:t xml:space="preserve"> </w:t>
      </w:r>
    </w:p>
    <w:p w14:paraId="0B30B2BE" w14:textId="07AD36C9" w:rsidR="4A485CB5" w:rsidRPr="00542D19" w:rsidRDefault="4A485CB5" w:rsidP="005C5150">
      <w:pPr>
        <w:jc w:val="both"/>
        <w:rPr>
          <w:noProof/>
          <w:szCs w:val="24"/>
        </w:rPr>
      </w:pPr>
      <w:r w:rsidRPr="00947B7D">
        <w:rPr>
          <w:rFonts w:eastAsia="Times New Roman" w:cs="Times New Roman"/>
          <w:noProof/>
        </w:rPr>
        <w:t xml:space="preserve">In July 2021, the Commission </w:t>
      </w:r>
      <w:r w:rsidR="00592EA0" w:rsidRPr="004155ED">
        <w:rPr>
          <w:rFonts w:eastAsia="Times New Roman" w:cs="Times New Roman"/>
          <w:noProof/>
        </w:rPr>
        <w:t>found that the</w:t>
      </w:r>
      <w:r w:rsidRPr="004155ED">
        <w:rPr>
          <w:rFonts w:eastAsia="Times New Roman" w:cs="Times New Roman"/>
          <w:noProof/>
        </w:rPr>
        <w:t xml:space="preserve"> car manufacturers</w:t>
      </w:r>
      <w:r w:rsidR="00592EA0" w:rsidRPr="00062864">
        <w:rPr>
          <w:rFonts w:eastAsia="Times New Roman" w:cs="Times New Roman"/>
          <w:noProof/>
        </w:rPr>
        <w:t xml:space="preserve"> </w:t>
      </w:r>
      <w:r w:rsidRPr="00062864">
        <w:rPr>
          <w:rFonts w:eastAsia="Times New Roman" w:cs="Times New Roman"/>
          <w:i/>
          <w:iCs/>
          <w:noProof/>
        </w:rPr>
        <w:t>Daimler</w:t>
      </w:r>
      <w:r w:rsidRPr="00373CE6">
        <w:rPr>
          <w:rFonts w:eastAsia="Times New Roman" w:cs="Times New Roman"/>
          <w:noProof/>
        </w:rPr>
        <w:t xml:space="preserve">, </w:t>
      </w:r>
      <w:r w:rsidRPr="00373CE6">
        <w:rPr>
          <w:rFonts w:eastAsia="Times New Roman" w:cs="Times New Roman"/>
          <w:i/>
          <w:iCs/>
          <w:noProof/>
        </w:rPr>
        <w:t>BMW</w:t>
      </w:r>
      <w:r w:rsidRPr="00373CE6">
        <w:rPr>
          <w:rFonts w:eastAsia="Times New Roman" w:cs="Times New Roman"/>
          <w:noProof/>
        </w:rPr>
        <w:t xml:space="preserve"> and </w:t>
      </w:r>
      <w:r w:rsidRPr="005B1727">
        <w:rPr>
          <w:rFonts w:eastAsia="Times New Roman" w:cs="Times New Roman"/>
          <w:i/>
          <w:iCs/>
          <w:noProof/>
        </w:rPr>
        <w:t>Volkswagen group</w:t>
      </w:r>
      <w:r w:rsidRPr="005B1727">
        <w:rPr>
          <w:rFonts w:eastAsia="Times New Roman" w:cs="Times New Roman"/>
          <w:noProof/>
        </w:rPr>
        <w:t xml:space="preserve"> (</w:t>
      </w:r>
      <w:r w:rsidRPr="005B1727">
        <w:rPr>
          <w:rFonts w:eastAsia="Times New Roman" w:cs="Times New Roman"/>
          <w:i/>
          <w:iCs/>
          <w:noProof/>
        </w:rPr>
        <w:t>Volkswagen</w:t>
      </w:r>
      <w:r w:rsidRPr="00C75974">
        <w:rPr>
          <w:rFonts w:eastAsia="Times New Roman" w:cs="Times New Roman"/>
          <w:noProof/>
        </w:rPr>
        <w:t xml:space="preserve">, </w:t>
      </w:r>
      <w:r w:rsidRPr="00C75974">
        <w:rPr>
          <w:rFonts w:eastAsia="Times New Roman" w:cs="Times New Roman"/>
          <w:i/>
          <w:iCs/>
          <w:noProof/>
        </w:rPr>
        <w:t>Audi</w:t>
      </w:r>
      <w:r w:rsidRPr="00C75974">
        <w:rPr>
          <w:rFonts w:eastAsia="Times New Roman" w:cs="Times New Roman"/>
          <w:noProof/>
        </w:rPr>
        <w:t xml:space="preserve"> and </w:t>
      </w:r>
      <w:r w:rsidRPr="00C75974">
        <w:rPr>
          <w:rFonts w:eastAsia="Times New Roman" w:cs="Times New Roman"/>
          <w:i/>
          <w:iCs/>
          <w:noProof/>
        </w:rPr>
        <w:t>Porsche</w:t>
      </w:r>
      <w:r w:rsidRPr="00C75974">
        <w:rPr>
          <w:rFonts w:eastAsia="Times New Roman" w:cs="Times New Roman"/>
          <w:noProof/>
        </w:rPr>
        <w:t>) breached EU antitrust rules by colluding on technical development in the area of nitrogen oxide cleaning</w:t>
      </w:r>
      <w:r w:rsidR="00F751C9" w:rsidRPr="00C75974">
        <w:rPr>
          <w:rFonts w:eastAsia="Times New Roman" w:cs="Times New Roman"/>
          <w:noProof/>
        </w:rPr>
        <w:t xml:space="preserve"> for diesel cars</w:t>
      </w:r>
      <w:r w:rsidR="003563F9" w:rsidRPr="00947B7D">
        <w:rPr>
          <w:rStyle w:val="FootnoteReference"/>
          <w:rFonts w:eastAsia="Times New Roman" w:cs="Times New Roman"/>
          <w:noProof/>
        </w:rPr>
        <w:footnoteReference w:id="90"/>
      </w:r>
      <w:r w:rsidRPr="00947B7D">
        <w:rPr>
          <w:rFonts w:eastAsia="Times New Roman" w:cs="Times New Roman"/>
          <w:noProof/>
        </w:rPr>
        <w:t>. The Commission imposed fine</w:t>
      </w:r>
      <w:r w:rsidR="00F751C9" w:rsidRPr="004155ED">
        <w:rPr>
          <w:rFonts w:eastAsia="Times New Roman" w:cs="Times New Roman"/>
          <w:noProof/>
        </w:rPr>
        <w:t>s</w:t>
      </w:r>
      <w:r w:rsidRPr="004155ED">
        <w:rPr>
          <w:rFonts w:eastAsia="Times New Roman" w:cs="Times New Roman"/>
          <w:noProof/>
        </w:rPr>
        <w:t xml:space="preserve"> of EUR 875.2 million</w:t>
      </w:r>
      <w:r w:rsidR="00F751C9" w:rsidRPr="00062864">
        <w:rPr>
          <w:rFonts w:eastAsia="Times New Roman" w:cs="Times New Roman"/>
          <w:noProof/>
        </w:rPr>
        <w:t xml:space="preserve"> after all parties had agreed to settle the case under the cartel settlement procedure.</w:t>
      </w:r>
      <w:r w:rsidRPr="00373CE6">
        <w:rPr>
          <w:rFonts w:eastAsia="Times New Roman" w:cs="Times New Roman"/>
          <w:noProof/>
        </w:rPr>
        <w:t xml:space="preserve"> Daimler was not fined </w:t>
      </w:r>
      <w:r w:rsidR="0098726C" w:rsidRPr="00373CE6">
        <w:rPr>
          <w:rFonts w:eastAsia="Times New Roman" w:cs="Times New Roman"/>
          <w:noProof/>
        </w:rPr>
        <w:t xml:space="preserve">because </w:t>
      </w:r>
      <w:r w:rsidRPr="00373CE6">
        <w:rPr>
          <w:rFonts w:eastAsia="Times New Roman" w:cs="Times New Roman"/>
          <w:noProof/>
        </w:rPr>
        <w:t xml:space="preserve">it revealed the existence of the cartel to the Commission. </w:t>
      </w:r>
      <w:r w:rsidR="00F751C9" w:rsidRPr="005B1727">
        <w:rPr>
          <w:rFonts w:eastAsia="Times New Roman" w:cs="Times New Roman"/>
          <w:noProof/>
        </w:rPr>
        <w:t>The car manufactures had colluded to hold back the full potential of a jointly developed technology to limit harmful emissions of diesel cars by signalling to each other that they would not compete on over-fulfilling EU car emission standards.</w:t>
      </w:r>
    </w:p>
    <w:p w14:paraId="6645E290" w14:textId="20696D05" w:rsidR="4A485CB5" w:rsidRPr="00542D19" w:rsidRDefault="4A485CB5" w:rsidP="4F29212F">
      <w:pPr>
        <w:jc w:val="both"/>
        <w:rPr>
          <w:noProof/>
          <w:szCs w:val="24"/>
        </w:rPr>
      </w:pPr>
      <w:r w:rsidRPr="00947B7D">
        <w:rPr>
          <w:rFonts w:eastAsia="Times New Roman" w:cs="Times New Roman"/>
          <w:noProof/>
        </w:rPr>
        <w:t xml:space="preserve">In April 2021, the Commission fined railway companies </w:t>
      </w:r>
      <w:r w:rsidRPr="004155ED">
        <w:rPr>
          <w:rFonts w:eastAsia="Times New Roman" w:cs="Times New Roman"/>
          <w:i/>
          <w:iCs/>
          <w:noProof/>
        </w:rPr>
        <w:t>Österreichische Bundesbahnen</w:t>
      </w:r>
      <w:r w:rsidRPr="004155ED">
        <w:rPr>
          <w:rFonts w:eastAsia="Times New Roman" w:cs="Times New Roman"/>
          <w:noProof/>
        </w:rPr>
        <w:t xml:space="preserve"> (ÖBB), </w:t>
      </w:r>
      <w:r w:rsidRPr="00062864">
        <w:rPr>
          <w:rFonts w:eastAsia="Times New Roman" w:cs="Times New Roman"/>
          <w:i/>
          <w:iCs/>
          <w:noProof/>
        </w:rPr>
        <w:t>Deutsche Bahn</w:t>
      </w:r>
      <w:r w:rsidRPr="00062864">
        <w:rPr>
          <w:rFonts w:eastAsia="Times New Roman" w:cs="Times New Roman"/>
          <w:noProof/>
        </w:rPr>
        <w:t xml:space="preserve"> (DB) and </w:t>
      </w:r>
      <w:r w:rsidRPr="00373CE6">
        <w:rPr>
          <w:rFonts w:eastAsia="Times New Roman" w:cs="Times New Roman"/>
          <w:i/>
          <w:iCs/>
          <w:noProof/>
        </w:rPr>
        <w:t>Société Nationale des Chemins de fer belges / Nationale Maatschappij</w:t>
      </w:r>
      <w:r w:rsidRPr="00373CE6">
        <w:rPr>
          <w:rFonts w:eastAsia="Times New Roman" w:cs="Times New Roman"/>
          <w:noProof/>
        </w:rPr>
        <w:t xml:space="preserve"> </w:t>
      </w:r>
      <w:r w:rsidRPr="00373CE6">
        <w:rPr>
          <w:rFonts w:eastAsia="Times New Roman" w:cs="Times New Roman"/>
          <w:i/>
          <w:iCs/>
          <w:noProof/>
        </w:rPr>
        <w:t>der Belgische Spoorwegen</w:t>
      </w:r>
      <w:r w:rsidRPr="005B1727">
        <w:rPr>
          <w:rFonts w:eastAsia="Times New Roman" w:cs="Times New Roman"/>
          <w:noProof/>
        </w:rPr>
        <w:t xml:space="preserve"> (SNCB) a total of EUR 48 million for </w:t>
      </w:r>
      <w:r w:rsidR="00F751C9" w:rsidRPr="005B1727">
        <w:rPr>
          <w:rFonts w:eastAsia="Times New Roman" w:cs="Times New Roman"/>
          <w:noProof/>
        </w:rPr>
        <w:t xml:space="preserve">their </w:t>
      </w:r>
      <w:r w:rsidRPr="005B1727">
        <w:rPr>
          <w:rFonts w:eastAsia="Times New Roman" w:cs="Times New Roman"/>
          <w:noProof/>
        </w:rPr>
        <w:t xml:space="preserve">participation in </w:t>
      </w:r>
      <w:r w:rsidR="00F751C9" w:rsidRPr="00C75974">
        <w:rPr>
          <w:rFonts w:eastAsia="Times New Roman" w:cs="Times New Roman"/>
          <w:noProof/>
        </w:rPr>
        <w:t xml:space="preserve">a </w:t>
      </w:r>
      <w:r w:rsidRPr="00C75974">
        <w:rPr>
          <w:rFonts w:eastAsia="Times New Roman" w:cs="Times New Roman"/>
          <w:noProof/>
        </w:rPr>
        <w:t>customer allocation cartel</w:t>
      </w:r>
      <w:r w:rsidR="003563F9" w:rsidRPr="00947B7D">
        <w:rPr>
          <w:rStyle w:val="FootnoteReference"/>
          <w:rFonts w:eastAsia="Times New Roman" w:cs="Times New Roman"/>
          <w:noProof/>
        </w:rPr>
        <w:footnoteReference w:id="91"/>
      </w:r>
      <w:r w:rsidRPr="00947B7D">
        <w:rPr>
          <w:rFonts w:eastAsia="Times New Roman" w:cs="Times New Roman"/>
          <w:noProof/>
        </w:rPr>
        <w:t>. The infringement concerned cross-border rail cargo transport services in the E</w:t>
      </w:r>
      <w:r w:rsidRPr="004155ED">
        <w:rPr>
          <w:rFonts w:eastAsia="Times New Roman" w:cs="Times New Roman"/>
          <w:noProof/>
        </w:rPr>
        <w:t>U provided by ÖBB, DB and SNCB under the freight sharing model and carried out in</w:t>
      </w:r>
      <w:r w:rsidR="001A64FA">
        <w:rPr>
          <w:rFonts w:eastAsia="Times New Roman" w:cs="Times New Roman"/>
          <w:noProof/>
        </w:rPr>
        <w:t xml:space="preserve"> so-called </w:t>
      </w:r>
      <w:r w:rsidRPr="004155ED">
        <w:rPr>
          <w:rFonts w:eastAsia="Times New Roman" w:cs="Times New Roman"/>
          <w:noProof/>
        </w:rPr>
        <w:t>blocktrains</w:t>
      </w:r>
      <w:r w:rsidR="002C71AB" w:rsidRPr="00947B7D">
        <w:rPr>
          <w:rStyle w:val="FootnoteReference"/>
          <w:rFonts w:eastAsia="Times New Roman" w:cs="Times New Roman"/>
          <w:noProof/>
        </w:rPr>
        <w:footnoteReference w:id="92"/>
      </w:r>
      <w:r w:rsidRPr="00947B7D">
        <w:rPr>
          <w:rFonts w:eastAsia="Times New Roman" w:cs="Times New Roman"/>
          <w:noProof/>
        </w:rPr>
        <w:t xml:space="preserve">. The Commission's investigation revealed that the three railway companies coordinated </w:t>
      </w:r>
      <w:r w:rsidR="00F751C9" w:rsidRPr="004155ED">
        <w:rPr>
          <w:rFonts w:eastAsia="Times New Roman" w:cs="Times New Roman"/>
          <w:noProof/>
        </w:rPr>
        <w:t xml:space="preserve">their conduct </w:t>
      </w:r>
      <w:r w:rsidRPr="004155ED">
        <w:rPr>
          <w:rFonts w:eastAsia="Times New Roman" w:cs="Times New Roman"/>
          <w:noProof/>
        </w:rPr>
        <w:t>by exchanging collusive information on customer requests fo</w:t>
      </w:r>
      <w:r w:rsidRPr="00062864">
        <w:rPr>
          <w:rFonts w:eastAsia="Times New Roman" w:cs="Times New Roman"/>
          <w:noProof/>
        </w:rPr>
        <w:t xml:space="preserve">r competitive offers and </w:t>
      </w:r>
      <w:r w:rsidR="00F751C9" w:rsidRPr="00062864">
        <w:rPr>
          <w:rFonts w:eastAsia="Times New Roman" w:cs="Times New Roman"/>
          <w:noProof/>
        </w:rPr>
        <w:t xml:space="preserve">providing </w:t>
      </w:r>
      <w:r w:rsidRPr="00373CE6">
        <w:rPr>
          <w:rFonts w:eastAsia="Times New Roman" w:cs="Times New Roman"/>
          <w:noProof/>
        </w:rPr>
        <w:t xml:space="preserve">each other with </w:t>
      </w:r>
      <w:r w:rsidR="00F751C9" w:rsidRPr="00373CE6">
        <w:rPr>
          <w:rFonts w:eastAsia="Times New Roman" w:cs="Times New Roman"/>
          <w:noProof/>
        </w:rPr>
        <w:t xml:space="preserve">cover </w:t>
      </w:r>
      <w:r w:rsidRPr="00373CE6">
        <w:rPr>
          <w:rFonts w:eastAsia="Times New Roman" w:cs="Times New Roman"/>
          <w:noProof/>
        </w:rPr>
        <w:t>quotes to protect their respective business.</w:t>
      </w:r>
    </w:p>
    <w:p w14:paraId="2211895A" w14:textId="0B0B5D0D" w:rsidR="00982AB5" w:rsidRPr="00542D19" w:rsidRDefault="00982AB5" w:rsidP="00982AB5">
      <w:pPr>
        <w:jc w:val="both"/>
        <w:rPr>
          <w:noProof/>
          <w:szCs w:val="24"/>
        </w:rPr>
      </w:pPr>
      <w:r w:rsidRPr="00947B7D">
        <w:rPr>
          <w:rFonts w:eastAsia="Times New Roman" w:cs="Times New Roman"/>
          <w:noProof/>
        </w:rPr>
        <w:t xml:space="preserve">In September 2021, the Commission made legally binding measures proposed by Greece to allow the competitors of </w:t>
      </w:r>
      <w:r w:rsidR="006E6E4A" w:rsidRPr="004155ED">
        <w:rPr>
          <w:rFonts w:eastAsia="Times New Roman" w:cs="Times New Roman"/>
          <w:i/>
          <w:iCs/>
          <w:noProof/>
        </w:rPr>
        <w:t>Public Power Corporation</w:t>
      </w:r>
      <w:r w:rsidR="006E6E4A" w:rsidRPr="004155ED">
        <w:rPr>
          <w:rFonts w:eastAsia="Times New Roman" w:cs="Times New Roman"/>
          <w:noProof/>
        </w:rPr>
        <w:t xml:space="preserve"> (</w:t>
      </w:r>
      <w:r w:rsidRPr="00062864">
        <w:rPr>
          <w:rFonts w:eastAsia="Times New Roman" w:cs="Times New Roman"/>
          <w:noProof/>
        </w:rPr>
        <w:t>PPC</w:t>
      </w:r>
      <w:r w:rsidR="006E6E4A" w:rsidRPr="00062864">
        <w:rPr>
          <w:rFonts w:eastAsia="Times New Roman" w:cs="Times New Roman"/>
          <w:noProof/>
        </w:rPr>
        <w:t>)</w:t>
      </w:r>
      <w:r w:rsidRPr="00373CE6">
        <w:rPr>
          <w:rFonts w:eastAsia="Times New Roman" w:cs="Times New Roman"/>
          <w:noProof/>
        </w:rPr>
        <w:t xml:space="preserve"> to purchase more electricity on a longer-term basis</w:t>
      </w:r>
      <w:r w:rsidRPr="00947B7D">
        <w:rPr>
          <w:rStyle w:val="FootnoteReference"/>
          <w:rFonts w:eastAsia="Times New Roman" w:cs="Times New Roman"/>
          <w:noProof/>
        </w:rPr>
        <w:footnoteReference w:id="93"/>
      </w:r>
      <w:r w:rsidRPr="00947B7D">
        <w:rPr>
          <w:rFonts w:eastAsia="Times New Roman" w:cs="Times New Roman"/>
          <w:noProof/>
        </w:rPr>
        <w:t xml:space="preserve">. Greece submitted these measures to remove the distortion created by PPC's exclusive access to lignite-fired generation, which the Commission and </w:t>
      </w:r>
      <w:r w:rsidR="00A13781">
        <w:rPr>
          <w:rFonts w:eastAsia="Times New Roman" w:cs="Times New Roman"/>
          <w:noProof/>
        </w:rPr>
        <w:t xml:space="preserve">the EU </w:t>
      </w:r>
      <w:r w:rsidRPr="00947B7D">
        <w:rPr>
          <w:rFonts w:eastAsia="Times New Roman" w:cs="Times New Roman"/>
          <w:noProof/>
        </w:rPr>
        <w:t>courts had found to create an inequality of opport</w:t>
      </w:r>
      <w:r w:rsidRPr="004155ED">
        <w:rPr>
          <w:rFonts w:eastAsia="Times New Roman" w:cs="Times New Roman"/>
          <w:noProof/>
        </w:rPr>
        <w:t>unity in Greek electricity markets. The proposed remedies will lapse when existing lignite plants stop operating commercially or, at the latest, by 31 December 2024</w:t>
      </w:r>
      <w:r w:rsidR="009331D0">
        <w:rPr>
          <w:rStyle w:val="FootnoteReference"/>
          <w:rFonts w:eastAsia="Times New Roman" w:cs="Times New Roman"/>
          <w:noProof/>
        </w:rPr>
        <w:footnoteReference w:id="94"/>
      </w:r>
      <w:r w:rsidRPr="004155ED">
        <w:rPr>
          <w:rFonts w:eastAsia="Times New Roman" w:cs="Times New Roman"/>
          <w:noProof/>
        </w:rPr>
        <w:t xml:space="preserve">. </w:t>
      </w:r>
    </w:p>
    <w:p w14:paraId="15CF0FC6" w14:textId="2B892C2B" w:rsidR="00FE0860" w:rsidRPr="006900E2" w:rsidRDefault="00FE0860">
      <w:pPr>
        <w:jc w:val="both"/>
        <w:rPr>
          <w:rFonts w:eastAsia="ヒラギノ角ゴ Pro W3"/>
          <w:noProof/>
          <w:color w:val="000000"/>
          <w:lang w:val="en-IE" w:eastAsia="en-GB"/>
        </w:rPr>
      </w:pPr>
      <w:r w:rsidRPr="00947B7D">
        <w:rPr>
          <w:noProof/>
          <w:lang w:val="en-IE"/>
        </w:rPr>
        <w:t xml:space="preserve">In December 2021, the Commission fined </w:t>
      </w:r>
      <w:r w:rsidRPr="004155ED">
        <w:rPr>
          <w:i/>
          <w:iCs/>
          <w:noProof/>
          <w:lang w:val="en-IE"/>
        </w:rPr>
        <w:t>Abengoa S.A.</w:t>
      </w:r>
      <w:r w:rsidRPr="004155ED">
        <w:rPr>
          <w:noProof/>
          <w:lang w:val="en-IE"/>
        </w:rPr>
        <w:t xml:space="preserve"> and its subsidiary </w:t>
      </w:r>
      <w:r w:rsidRPr="00062864">
        <w:rPr>
          <w:i/>
          <w:iCs/>
          <w:noProof/>
          <w:lang w:val="en-IE"/>
        </w:rPr>
        <w:t>Abengoa Bionenergía S.A.</w:t>
      </w:r>
      <w:r w:rsidRPr="00947B7D">
        <w:rPr>
          <w:noProof/>
          <w:vertAlign w:val="superscript"/>
          <w:lang w:val="en-IE"/>
        </w:rPr>
        <w:footnoteReference w:id="95"/>
      </w:r>
      <w:r w:rsidRPr="00947B7D">
        <w:rPr>
          <w:noProof/>
          <w:lang w:val="en-IE"/>
        </w:rPr>
        <w:t>, EUR 20 million for participation in a cartel concerning the wholesale price formation mechanism in the European ethanol market. Biofuels can contribute to promote cleaner transport and reduce greenhouse gas emissions and therefore</w:t>
      </w:r>
      <w:r w:rsidRPr="004155ED">
        <w:rPr>
          <w:noProof/>
        </w:rPr>
        <w:t xml:space="preserve"> play a key role in the </w:t>
      </w:r>
      <w:r w:rsidR="00DB400C">
        <w:rPr>
          <w:noProof/>
        </w:rPr>
        <w:t>g</w:t>
      </w:r>
      <w:r w:rsidRPr="00062864">
        <w:rPr>
          <w:noProof/>
          <w:lang w:val="en-IE"/>
        </w:rPr>
        <w:t>reen transition</w:t>
      </w:r>
      <w:r w:rsidRPr="00062864">
        <w:rPr>
          <w:rFonts w:eastAsia="ヒラギノ角ゴ Pro W3"/>
          <w:noProof/>
          <w:color w:val="000000"/>
          <w:lang w:val="en-IE" w:eastAsia="en-GB"/>
        </w:rPr>
        <w:t>.</w:t>
      </w:r>
    </w:p>
    <w:p w14:paraId="439CDCBF" w14:textId="77777777" w:rsidR="00D160BC" w:rsidRPr="00AA172B" w:rsidRDefault="009B40F5">
      <w:pPr>
        <w:jc w:val="both"/>
        <w:rPr>
          <w:rFonts w:cs="Times New Roman"/>
          <w:noProof/>
        </w:rPr>
      </w:pPr>
      <w:r w:rsidRPr="00947B7D">
        <w:rPr>
          <w:rFonts w:cs="Times New Roman"/>
          <w:noProof/>
        </w:rPr>
        <w:t xml:space="preserve">In the field of merger control, </w:t>
      </w:r>
      <w:r w:rsidR="00D160BC" w:rsidRPr="004155ED">
        <w:rPr>
          <w:rFonts w:cs="Times New Roman"/>
          <w:noProof/>
        </w:rPr>
        <w:t xml:space="preserve">the Commission approved </w:t>
      </w:r>
      <w:r w:rsidR="008462DE" w:rsidRPr="004155ED">
        <w:rPr>
          <w:rFonts w:cs="Times New Roman"/>
          <w:noProof/>
        </w:rPr>
        <w:t xml:space="preserve">with </w:t>
      </w:r>
      <w:r w:rsidR="007863F1" w:rsidRPr="00062864">
        <w:rPr>
          <w:rFonts w:cs="Times New Roman"/>
          <w:noProof/>
        </w:rPr>
        <w:t>condition</w:t>
      </w:r>
      <w:r w:rsidR="008462DE" w:rsidRPr="00062864">
        <w:rPr>
          <w:rFonts w:cs="Times New Roman"/>
          <w:noProof/>
        </w:rPr>
        <w:t xml:space="preserve">s </w:t>
      </w:r>
      <w:r w:rsidR="00D160BC" w:rsidRPr="00373CE6">
        <w:rPr>
          <w:rFonts w:cs="Times New Roman"/>
          <w:noProof/>
        </w:rPr>
        <w:t xml:space="preserve">the acquisition of </w:t>
      </w:r>
      <w:r w:rsidR="00D160BC" w:rsidRPr="00373CE6">
        <w:rPr>
          <w:rFonts w:cs="Times New Roman"/>
          <w:i/>
          <w:iCs/>
          <w:noProof/>
        </w:rPr>
        <w:t xml:space="preserve">Suez </w:t>
      </w:r>
      <w:r w:rsidR="00D160BC" w:rsidRPr="00373CE6">
        <w:rPr>
          <w:rFonts w:cs="Times New Roman"/>
          <w:noProof/>
        </w:rPr>
        <w:t>by</w:t>
      </w:r>
      <w:r w:rsidR="00D160BC" w:rsidRPr="00373CE6">
        <w:rPr>
          <w:rFonts w:cs="Times New Roman"/>
          <w:i/>
          <w:iCs/>
          <w:noProof/>
        </w:rPr>
        <w:t xml:space="preserve"> Veolia</w:t>
      </w:r>
      <w:r w:rsidR="002A577B" w:rsidRPr="00947B7D">
        <w:rPr>
          <w:rStyle w:val="FootnoteReference"/>
          <w:rFonts w:cs="Times New Roman"/>
          <w:noProof/>
        </w:rPr>
        <w:footnoteReference w:id="96"/>
      </w:r>
      <w:r w:rsidR="007863F1" w:rsidRPr="00947B7D">
        <w:rPr>
          <w:rFonts w:cs="Times New Roman"/>
          <w:noProof/>
        </w:rPr>
        <w:t xml:space="preserve"> </w:t>
      </w:r>
      <w:r w:rsidRPr="004155ED">
        <w:rPr>
          <w:rFonts w:cs="Times New Roman"/>
          <w:noProof/>
        </w:rPr>
        <w:t>in December 2021.</w:t>
      </w:r>
      <w:r w:rsidR="007863F1" w:rsidRPr="004155ED">
        <w:rPr>
          <w:rFonts w:cs="Times New Roman"/>
          <w:noProof/>
        </w:rPr>
        <w:t>Veolia</w:t>
      </w:r>
      <w:r w:rsidR="00B279B0" w:rsidRPr="00062864">
        <w:rPr>
          <w:rFonts w:cs="Times New Roman"/>
          <w:noProof/>
        </w:rPr>
        <w:t xml:space="preserve"> </w:t>
      </w:r>
      <w:r w:rsidR="007863F1" w:rsidRPr="00062864">
        <w:rPr>
          <w:rFonts w:cs="Times New Roman"/>
          <w:noProof/>
        </w:rPr>
        <w:t>and</w:t>
      </w:r>
      <w:r w:rsidR="00B279B0" w:rsidRPr="00373CE6">
        <w:rPr>
          <w:rFonts w:cs="Times New Roman"/>
          <w:noProof/>
        </w:rPr>
        <w:t xml:space="preserve"> </w:t>
      </w:r>
      <w:r w:rsidR="007863F1" w:rsidRPr="00373CE6">
        <w:rPr>
          <w:rFonts w:cs="Times New Roman"/>
          <w:noProof/>
        </w:rPr>
        <w:t>Suez</w:t>
      </w:r>
      <w:r w:rsidR="00B279B0" w:rsidRPr="00373CE6">
        <w:rPr>
          <w:rFonts w:cs="Times New Roman"/>
          <w:noProof/>
        </w:rPr>
        <w:t xml:space="preserve"> </w:t>
      </w:r>
      <w:r w:rsidR="007863F1" w:rsidRPr="00373CE6">
        <w:rPr>
          <w:rFonts w:cs="Times New Roman"/>
          <w:noProof/>
        </w:rPr>
        <w:t xml:space="preserve">are </w:t>
      </w:r>
      <w:r w:rsidR="008462DE" w:rsidRPr="005B1727">
        <w:rPr>
          <w:rFonts w:cs="Times New Roman"/>
          <w:noProof/>
        </w:rPr>
        <w:t xml:space="preserve">active </w:t>
      </w:r>
      <w:r w:rsidR="007863F1" w:rsidRPr="005B1727">
        <w:rPr>
          <w:rFonts w:cs="Times New Roman"/>
          <w:noProof/>
        </w:rPr>
        <w:t>in the water treatment and waste management sectors. The two companies offer a wide range of services to municipal and industrial customers</w:t>
      </w:r>
      <w:r w:rsidR="008462DE" w:rsidRPr="005B1727">
        <w:rPr>
          <w:rFonts w:cs="Times New Roman"/>
          <w:noProof/>
        </w:rPr>
        <w:t>.</w:t>
      </w:r>
      <w:r w:rsidR="007863F1" w:rsidRPr="00C75974">
        <w:rPr>
          <w:rFonts w:cs="Times New Roman"/>
          <w:noProof/>
        </w:rPr>
        <w:t xml:space="preserve"> </w:t>
      </w:r>
      <w:r w:rsidR="00AD130F" w:rsidRPr="00C75974">
        <w:rPr>
          <w:rFonts w:cs="Times New Roman"/>
          <w:noProof/>
        </w:rPr>
        <w:t xml:space="preserve">The Commission’s investigation revealed that </w:t>
      </w:r>
      <w:r w:rsidR="008462DE" w:rsidRPr="00C75974">
        <w:rPr>
          <w:rFonts w:cs="Times New Roman"/>
          <w:noProof/>
        </w:rPr>
        <w:t>t</w:t>
      </w:r>
      <w:r w:rsidR="00D160BC" w:rsidRPr="00C75974">
        <w:rPr>
          <w:rFonts w:cs="Times New Roman"/>
          <w:noProof/>
        </w:rPr>
        <w:t xml:space="preserve">he transaction would lead to significant horizontal overlaps in </w:t>
      </w:r>
      <w:r w:rsidR="008462DE" w:rsidRPr="00F07F0A">
        <w:rPr>
          <w:rFonts w:cs="Times New Roman"/>
          <w:noProof/>
        </w:rPr>
        <w:t xml:space="preserve">several </w:t>
      </w:r>
      <w:r w:rsidR="00D160BC" w:rsidRPr="00F07F0A">
        <w:rPr>
          <w:rFonts w:cs="Times New Roman"/>
          <w:noProof/>
        </w:rPr>
        <w:t>markets in France and in EEA</w:t>
      </w:r>
      <w:r w:rsidR="000F7B67" w:rsidRPr="00F07F0A">
        <w:rPr>
          <w:rFonts w:cs="Times New Roman"/>
          <w:noProof/>
        </w:rPr>
        <w:t>.</w:t>
      </w:r>
      <w:r w:rsidR="007863F1" w:rsidRPr="00542672">
        <w:rPr>
          <w:rFonts w:cs="Times New Roman"/>
          <w:noProof/>
        </w:rPr>
        <w:t xml:space="preserve"> </w:t>
      </w:r>
      <w:r w:rsidR="008462DE" w:rsidRPr="0031030F">
        <w:rPr>
          <w:rFonts w:cs="Times New Roman"/>
          <w:noProof/>
        </w:rPr>
        <w:t xml:space="preserve">These </w:t>
      </w:r>
      <w:r w:rsidR="00D160BC" w:rsidRPr="0031030F">
        <w:rPr>
          <w:rFonts w:cs="Times New Roman"/>
          <w:noProof/>
        </w:rPr>
        <w:t xml:space="preserve">overlaps would risk eliminating the competitive pressure exerted by Suez </w:t>
      </w:r>
      <w:r w:rsidR="008462DE" w:rsidRPr="00347CA6">
        <w:rPr>
          <w:rFonts w:cs="Times New Roman"/>
          <w:noProof/>
        </w:rPr>
        <w:t xml:space="preserve">on Veolia. </w:t>
      </w:r>
      <w:r w:rsidR="00D160BC" w:rsidRPr="00AA172B">
        <w:rPr>
          <w:rFonts w:cs="Times New Roman"/>
          <w:noProof/>
        </w:rPr>
        <w:t>Customers would therefore have faced a reduced choice of service solutions, often limited to the merged entity, without having any real bargaining power.</w:t>
      </w:r>
      <w:r w:rsidR="00AD130F" w:rsidRPr="00AA172B">
        <w:rPr>
          <w:rFonts w:cs="Times New Roman"/>
          <w:noProof/>
        </w:rPr>
        <w:t xml:space="preserve"> </w:t>
      </w:r>
    </w:p>
    <w:p w14:paraId="73CD5F9A" w14:textId="77777777" w:rsidR="006B6311" w:rsidRPr="00542D19" w:rsidRDefault="003BA39A" w:rsidP="00CA629C">
      <w:pPr>
        <w:pStyle w:val="Heading2"/>
      </w:pPr>
      <w:bookmarkStart w:id="61" w:name="_Toc94190115"/>
      <w:bookmarkStart w:id="62" w:name="_Toc94281764"/>
      <w:bookmarkStart w:id="63" w:name="_Toc94695855"/>
      <w:bookmarkStart w:id="64" w:name="_Toc95762340"/>
      <w:bookmarkStart w:id="65" w:name="_Toc102030141"/>
      <w:r w:rsidRPr="009A2182">
        <w:t>5</w:t>
      </w:r>
      <w:r w:rsidRPr="00542D19">
        <w:t xml:space="preserve">. </w:t>
      </w:r>
      <w:r w:rsidR="003B14F7" w:rsidRPr="00542D19">
        <w:t xml:space="preserve">Competition Policy Contributed </w:t>
      </w:r>
      <w:r w:rsidR="003B14F7">
        <w:t xml:space="preserve">to </w:t>
      </w:r>
      <w:r w:rsidRPr="00542D19">
        <w:t xml:space="preserve">An Economy that </w:t>
      </w:r>
      <w:r w:rsidR="3C71617F" w:rsidRPr="00542D19">
        <w:t>W</w:t>
      </w:r>
      <w:r w:rsidRPr="00542D19">
        <w:t xml:space="preserve">orks for </w:t>
      </w:r>
      <w:bookmarkEnd w:id="61"/>
      <w:bookmarkEnd w:id="62"/>
      <w:bookmarkEnd w:id="63"/>
      <w:r w:rsidR="003B14F7">
        <w:t>people</w:t>
      </w:r>
      <w:bookmarkEnd w:id="64"/>
      <w:bookmarkEnd w:id="65"/>
    </w:p>
    <w:p w14:paraId="28D99D71" w14:textId="1C43C66E" w:rsidR="00323075" w:rsidRPr="006900E2" w:rsidRDefault="00323075" w:rsidP="006900E2">
      <w:pPr>
        <w:spacing w:line="264" w:lineRule="auto"/>
        <w:jc w:val="both"/>
        <w:rPr>
          <w:noProof/>
        </w:rPr>
      </w:pPr>
      <w:bookmarkStart w:id="66" w:name="_Toc94190117"/>
      <w:bookmarkStart w:id="67" w:name="_Toc94281767"/>
      <w:bookmarkStart w:id="68" w:name="_Toc94695856"/>
      <w:r w:rsidRPr="00947B7D">
        <w:rPr>
          <w:rFonts w:cs="Times New Roman"/>
          <w:noProof/>
          <w:lang w:val="en-US" w:eastAsia="en-GB"/>
        </w:rPr>
        <w:t xml:space="preserve">The social market economy is </w:t>
      </w:r>
      <w:r w:rsidR="0098726C" w:rsidRPr="004155ED">
        <w:rPr>
          <w:rFonts w:cs="Times New Roman"/>
          <w:noProof/>
          <w:lang w:val="en-US" w:eastAsia="en-GB"/>
        </w:rPr>
        <w:t xml:space="preserve">one of the </w:t>
      </w:r>
      <w:r w:rsidRPr="004155ED">
        <w:rPr>
          <w:rFonts w:cs="Times New Roman"/>
          <w:noProof/>
          <w:lang w:val="en-US" w:eastAsia="en-GB"/>
        </w:rPr>
        <w:t>foundation</w:t>
      </w:r>
      <w:r w:rsidR="0098726C" w:rsidRPr="00062864">
        <w:rPr>
          <w:rFonts w:cs="Times New Roman"/>
          <w:noProof/>
          <w:lang w:val="en-US" w:eastAsia="en-GB"/>
        </w:rPr>
        <w:t>s</w:t>
      </w:r>
      <w:r w:rsidRPr="00062864">
        <w:rPr>
          <w:rFonts w:cs="Times New Roman"/>
          <w:noProof/>
          <w:lang w:val="en-US" w:eastAsia="en-GB"/>
        </w:rPr>
        <w:t xml:space="preserve"> </w:t>
      </w:r>
      <w:r w:rsidR="0098726C" w:rsidRPr="00373CE6">
        <w:rPr>
          <w:rFonts w:cs="Times New Roman"/>
          <w:noProof/>
          <w:lang w:val="en-US" w:eastAsia="en-GB"/>
        </w:rPr>
        <w:t xml:space="preserve">that </w:t>
      </w:r>
      <w:r w:rsidRPr="00373CE6">
        <w:rPr>
          <w:rFonts w:cs="Times New Roman"/>
          <w:noProof/>
          <w:lang w:val="en-US" w:eastAsia="en-GB"/>
        </w:rPr>
        <w:t xml:space="preserve">the EU is built upon and EU competition policy underpins it. </w:t>
      </w:r>
      <w:r w:rsidRPr="005B1727">
        <w:rPr>
          <w:rFonts w:cs="Times New Roman"/>
          <w:noProof/>
          <w:lang w:val="en-US"/>
        </w:rPr>
        <w:t xml:space="preserve">In 2021, </w:t>
      </w:r>
      <w:r w:rsidR="001A64FA">
        <w:rPr>
          <w:rFonts w:cs="Times New Roman"/>
          <w:noProof/>
          <w:lang w:val="en-US"/>
        </w:rPr>
        <w:t xml:space="preserve">DG Competition </w:t>
      </w:r>
      <w:r w:rsidRPr="005B1727">
        <w:rPr>
          <w:rFonts w:cs="Times New Roman"/>
          <w:noProof/>
          <w:lang w:val="en-US"/>
        </w:rPr>
        <w:t>supported th</w:t>
      </w:r>
      <w:r w:rsidR="001A64FA">
        <w:rPr>
          <w:rFonts w:cs="Times New Roman"/>
          <w:noProof/>
          <w:lang w:val="en-US"/>
        </w:rPr>
        <w:t>is</w:t>
      </w:r>
      <w:r w:rsidRPr="005B1727">
        <w:rPr>
          <w:rFonts w:cs="Times New Roman"/>
          <w:noProof/>
          <w:lang w:val="en-US"/>
        </w:rPr>
        <w:t xml:space="preserve"> headline ambition </w:t>
      </w:r>
      <w:r w:rsidRPr="00C75974">
        <w:rPr>
          <w:rFonts w:cs="Times New Roman"/>
          <w:noProof/>
          <w:lang w:val="en-US"/>
        </w:rPr>
        <w:t>by</w:t>
      </w:r>
      <w:r w:rsidRPr="00F42E78">
        <w:rPr>
          <w:noProof/>
          <w:lang w:val="en-US"/>
        </w:rPr>
        <w:t xml:space="preserve"> </w:t>
      </w:r>
      <w:r w:rsidRPr="00947B7D">
        <w:rPr>
          <w:noProof/>
        </w:rPr>
        <w:t xml:space="preserve">enforcing </w:t>
      </w:r>
      <w:r w:rsidR="0098726C" w:rsidRPr="004155ED">
        <w:rPr>
          <w:noProof/>
        </w:rPr>
        <w:t xml:space="preserve">the </w:t>
      </w:r>
      <w:r w:rsidRPr="004155ED">
        <w:rPr>
          <w:noProof/>
        </w:rPr>
        <w:t xml:space="preserve">competition rules </w:t>
      </w:r>
      <w:r w:rsidR="0098726C" w:rsidRPr="00062864">
        <w:rPr>
          <w:noProof/>
        </w:rPr>
        <w:t xml:space="preserve">and protecting competition on fair and equal terms. </w:t>
      </w:r>
      <w:r w:rsidR="0098726C" w:rsidRPr="00373CE6">
        <w:rPr>
          <w:rStyle w:val="s3"/>
          <w:rFonts w:cs="Times New Roman"/>
          <w:noProof/>
        </w:rPr>
        <w:t xml:space="preserve">The </w:t>
      </w:r>
      <w:r w:rsidRPr="00373CE6">
        <w:rPr>
          <w:rStyle w:val="s3"/>
          <w:rFonts w:cs="Times New Roman"/>
          <w:noProof/>
        </w:rPr>
        <w:t xml:space="preserve">digital </w:t>
      </w:r>
      <w:r w:rsidR="001A64FA">
        <w:rPr>
          <w:rStyle w:val="s3"/>
          <w:rFonts w:cs="Times New Roman"/>
          <w:noProof/>
        </w:rPr>
        <w:t xml:space="preserve">dimension </w:t>
      </w:r>
      <w:r w:rsidR="0098726C" w:rsidRPr="00373CE6">
        <w:rPr>
          <w:rStyle w:val="s3"/>
          <w:rFonts w:cs="Times New Roman"/>
          <w:noProof/>
        </w:rPr>
        <w:t xml:space="preserve">was </w:t>
      </w:r>
      <w:r w:rsidR="001A64FA">
        <w:rPr>
          <w:rStyle w:val="s3"/>
          <w:rFonts w:cs="Times New Roman"/>
          <w:noProof/>
        </w:rPr>
        <w:t>taken into account</w:t>
      </w:r>
      <w:r w:rsidR="0098726C" w:rsidRPr="00373CE6">
        <w:rPr>
          <w:rStyle w:val="s3"/>
          <w:rFonts w:cs="Times New Roman"/>
          <w:noProof/>
        </w:rPr>
        <w:t xml:space="preserve"> for example when </w:t>
      </w:r>
      <w:r w:rsidRPr="00373CE6">
        <w:rPr>
          <w:rFonts w:cs="Times New Roman"/>
          <w:noProof/>
        </w:rPr>
        <w:t xml:space="preserve">implementing </w:t>
      </w:r>
      <w:r w:rsidRPr="005B1727">
        <w:rPr>
          <w:rFonts w:cs="Times New Roman"/>
          <w:noProof/>
          <w:color w:val="000000" w:themeColor="text1"/>
        </w:rPr>
        <w:t xml:space="preserve">the Recovery and Resilience Facility, the Capital Markets Union, the Banking Union, and </w:t>
      </w:r>
      <w:r w:rsidR="0098726C" w:rsidRPr="005B1727">
        <w:rPr>
          <w:rFonts w:cs="Times New Roman"/>
          <w:noProof/>
          <w:color w:val="000000" w:themeColor="text1"/>
        </w:rPr>
        <w:t xml:space="preserve">ensuring </w:t>
      </w:r>
      <w:r w:rsidRPr="00C75974">
        <w:rPr>
          <w:rFonts w:cs="Times New Roman"/>
          <w:noProof/>
          <w:color w:val="000000" w:themeColor="text1"/>
        </w:rPr>
        <w:t>effective taxation</w:t>
      </w:r>
      <w:r w:rsidRPr="00947B7D">
        <w:rPr>
          <w:rStyle w:val="FootnoteReference"/>
          <w:rFonts w:cs="Times New Roman"/>
          <w:noProof/>
        </w:rPr>
        <w:footnoteReference w:id="97"/>
      </w:r>
      <w:r w:rsidRPr="00947B7D">
        <w:rPr>
          <w:rStyle w:val="s3"/>
          <w:rFonts w:cs="Times New Roman"/>
          <w:noProof/>
        </w:rPr>
        <w:t>.</w:t>
      </w:r>
    </w:p>
    <w:p w14:paraId="3F79D3B0" w14:textId="77777777" w:rsidR="002A509A" w:rsidRPr="00F42E78" w:rsidRDefault="005A3035" w:rsidP="00F42E78">
      <w:pPr>
        <w:pStyle w:val="Heading3"/>
        <w:rPr>
          <w:noProof/>
        </w:rPr>
      </w:pPr>
      <w:bookmarkStart w:id="69" w:name="_Toc102030142"/>
      <w:r w:rsidRPr="00F42E78">
        <w:rPr>
          <w:noProof/>
        </w:rPr>
        <w:t>5.</w:t>
      </w:r>
      <w:r w:rsidR="00E51FA4" w:rsidRPr="00F42E78">
        <w:rPr>
          <w:noProof/>
        </w:rPr>
        <w:t>1</w:t>
      </w:r>
      <w:r w:rsidRPr="00F42E78">
        <w:rPr>
          <w:noProof/>
        </w:rPr>
        <w:t xml:space="preserve">. </w:t>
      </w:r>
      <w:r w:rsidR="002A509A" w:rsidRPr="00F42E78">
        <w:rPr>
          <w:noProof/>
        </w:rPr>
        <w:t>Resilient European financial services</w:t>
      </w:r>
      <w:bookmarkEnd w:id="69"/>
    </w:p>
    <w:p w14:paraId="3FBAE666" w14:textId="77777777" w:rsidR="004ED089" w:rsidRPr="006900E2" w:rsidRDefault="00AB3481">
      <w:pPr>
        <w:pStyle w:val="Heading4"/>
        <w:rPr>
          <w:i w:val="0"/>
          <w:iCs w:val="0"/>
          <w:noProof/>
        </w:rPr>
      </w:pPr>
      <w:r w:rsidRPr="00DB1492">
        <w:rPr>
          <w:noProof/>
        </w:rPr>
        <w:t>A</w:t>
      </w:r>
      <w:r w:rsidR="00323075" w:rsidRPr="00D46266">
        <w:rPr>
          <w:noProof/>
        </w:rPr>
        <w:t>ntitrust enforcement in financial services</w:t>
      </w:r>
      <w:bookmarkEnd w:id="66"/>
      <w:bookmarkEnd w:id="67"/>
      <w:bookmarkEnd w:id="68"/>
    </w:p>
    <w:p w14:paraId="00259A45" w14:textId="2BAE6554" w:rsidR="005D136A" w:rsidRPr="006900E2" w:rsidRDefault="00323075" w:rsidP="006900E2">
      <w:pPr>
        <w:spacing w:line="264" w:lineRule="auto"/>
        <w:jc w:val="both"/>
        <w:rPr>
          <w:noProof/>
          <w:lang w:val="en-IE"/>
        </w:rPr>
      </w:pPr>
      <w:r w:rsidRPr="00947B7D">
        <w:rPr>
          <w:noProof/>
          <w:color w:val="000000"/>
          <w:lang w:val="en-IE"/>
        </w:rPr>
        <w:t xml:space="preserve">EU competition policy plays an important role in ensuring that competition takes place on fair and equal terms throughout the financial services sector. </w:t>
      </w:r>
      <w:r w:rsidR="005D136A" w:rsidRPr="004155ED">
        <w:rPr>
          <w:noProof/>
          <w:lang w:val="en-IE"/>
        </w:rPr>
        <w:t xml:space="preserve">In 2021, </w:t>
      </w:r>
      <w:r w:rsidR="00B906F0" w:rsidRPr="004155ED">
        <w:rPr>
          <w:noProof/>
          <w:lang w:val="en-IE"/>
        </w:rPr>
        <w:t>the Commission focus</w:t>
      </w:r>
      <w:r w:rsidR="009F071C">
        <w:rPr>
          <w:noProof/>
          <w:lang w:val="en-IE"/>
        </w:rPr>
        <w:t>ed strongly</w:t>
      </w:r>
      <w:r w:rsidR="00B906F0" w:rsidRPr="004155ED">
        <w:rPr>
          <w:noProof/>
          <w:lang w:val="en-IE"/>
        </w:rPr>
        <w:t xml:space="preserve"> on cart</w:t>
      </w:r>
      <w:r w:rsidR="00B906F0" w:rsidRPr="00062864">
        <w:rPr>
          <w:noProof/>
          <w:lang w:val="en-IE"/>
        </w:rPr>
        <w:t>el</w:t>
      </w:r>
      <w:r w:rsidR="005D136A" w:rsidRPr="00062864">
        <w:rPr>
          <w:noProof/>
          <w:lang w:val="en-IE"/>
        </w:rPr>
        <w:t xml:space="preserve"> enforcement</w:t>
      </w:r>
      <w:r w:rsidR="00B906F0" w:rsidRPr="00373CE6">
        <w:rPr>
          <w:noProof/>
          <w:lang w:val="en-IE"/>
        </w:rPr>
        <w:t xml:space="preserve"> in the financial services</w:t>
      </w:r>
      <w:r w:rsidR="007C5FF4" w:rsidRPr="00373CE6">
        <w:rPr>
          <w:noProof/>
          <w:lang w:val="en-IE"/>
        </w:rPr>
        <w:t xml:space="preserve"> sector</w:t>
      </w:r>
      <w:r w:rsidR="00F751C9" w:rsidRPr="00373CE6">
        <w:rPr>
          <w:noProof/>
          <w:lang w:val="en-IE"/>
        </w:rPr>
        <w:t xml:space="preserve">, imposing fines </w:t>
      </w:r>
      <w:r w:rsidR="00DD43B7">
        <w:rPr>
          <w:noProof/>
          <w:lang w:val="en-IE"/>
        </w:rPr>
        <w:t xml:space="preserve">totalling </w:t>
      </w:r>
      <w:r w:rsidR="00F751C9" w:rsidRPr="00373CE6">
        <w:rPr>
          <w:noProof/>
          <w:lang w:val="en-IE"/>
        </w:rPr>
        <w:t>EUR 740 million on 16 different financial institutions</w:t>
      </w:r>
      <w:r w:rsidR="005D136A" w:rsidRPr="00373CE6">
        <w:rPr>
          <w:noProof/>
          <w:lang w:val="en-IE"/>
        </w:rPr>
        <w:t xml:space="preserve">. </w:t>
      </w:r>
    </w:p>
    <w:p w14:paraId="3D9BF9EC" w14:textId="2D793638" w:rsidR="005D136A" w:rsidRPr="006900E2" w:rsidRDefault="005D136A" w:rsidP="006900E2">
      <w:pPr>
        <w:spacing w:line="264" w:lineRule="auto"/>
        <w:jc w:val="both"/>
        <w:rPr>
          <w:noProof/>
          <w:lang w:val="en-IE"/>
        </w:rPr>
      </w:pPr>
      <w:r w:rsidRPr="00947B7D">
        <w:rPr>
          <w:noProof/>
          <w:lang w:val="en-IE"/>
        </w:rPr>
        <w:t>In April 2021</w:t>
      </w:r>
      <w:r w:rsidRPr="00947B7D">
        <w:rPr>
          <w:noProof/>
          <w:vertAlign w:val="superscript"/>
          <w:lang w:val="en-IE"/>
        </w:rPr>
        <w:footnoteReference w:id="98"/>
      </w:r>
      <w:r w:rsidRPr="00947B7D">
        <w:rPr>
          <w:noProof/>
          <w:lang w:val="en-IE"/>
        </w:rPr>
        <w:t xml:space="preserve">, the Commission adopted a decision against </w:t>
      </w:r>
      <w:r w:rsidRPr="00DB400C">
        <w:rPr>
          <w:i/>
          <w:noProof/>
          <w:lang w:val="en-IE"/>
        </w:rPr>
        <w:t>Bank of America Merrill Lynch</w:t>
      </w:r>
      <w:r w:rsidRPr="00947B7D">
        <w:rPr>
          <w:noProof/>
          <w:lang w:val="en-IE"/>
        </w:rPr>
        <w:t xml:space="preserve">, </w:t>
      </w:r>
      <w:r w:rsidRPr="00DB400C">
        <w:rPr>
          <w:i/>
          <w:noProof/>
          <w:lang w:val="en-IE"/>
        </w:rPr>
        <w:t>Crédit Agricole</w:t>
      </w:r>
      <w:r w:rsidRPr="00947B7D">
        <w:rPr>
          <w:noProof/>
          <w:lang w:val="en-IE"/>
        </w:rPr>
        <w:t xml:space="preserve">, </w:t>
      </w:r>
      <w:r w:rsidRPr="00DB400C">
        <w:rPr>
          <w:i/>
          <w:noProof/>
          <w:lang w:val="en-IE"/>
        </w:rPr>
        <w:t>Credit Suisse</w:t>
      </w:r>
      <w:r w:rsidRPr="00947B7D">
        <w:rPr>
          <w:noProof/>
          <w:lang w:val="en-IE"/>
        </w:rPr>
        <w:t xml:space="preserve"> and </w:t>
      </w:r>
      <w:r w:rsidRPr="00DB400C">
        <w:rPr>
          <w:i/>
          <w:noProof/>
          <w:lang w:val="en-IE"/>
        </w:rPr>
        <w:t>Deutsche Bank</w:t>
      </w:r>
      <w:r w:rsidRPr="004155ED">
        <w:rPr>
          <w:noProof/>
          <w:lang w:val="en-IE"/>
        </w:rPr>
        <w:t xml:space="preserve"> for taking part in a cartel </w:t>
      </w:r>
      <w:r w:rsidR="002C1B78">
        <w:rPr>
          <w:noProof/>
          <w:lang w:val="en-IE"/>
        </w:rPr>
        <w:t>related to</w:t>
      </w:r>
      <w:r w:rsidR="001A64FA">
        <w:rPr>
          <w:noProof/>
          <w:lang w:val="en-IE"/>
        </w:rPr>
        <w:t xml:space="preserve"> </w:t>
      </w:r>
      <w:r w:rsidRPr="004155ED">
        <w:rPr>
          <w:noProof/>
          <w:lang w:val="en-IE"/>
        </w:rPr>
        <w:t>Supra-sovereign, Sovereign and Agency bonds denominated in US Dollars (USD SSA bonds).</w:t>
      </w:r>
      <w:r w:rsidRPr="005D136A">
        <w:rPr>
          <w:noProof/>
        </w:rPr>
        <w:t xml:space="preserve"> </w:t>
      </w:r>
      <w:r w:rsidRPr="00947B7D">
        <w:rPr>
          <w:noProof/>
          <w:lang w:val="en-IE"/>
        </w:rPr>
        <w:t xml:space="preserve">The four investment banks </w:t>
      </w:r>
      <w:r w:rsidR="00B77457">
        <w:rPr>
          <w:noProof/>
          <w:lang w:val="en-IE"/>
        </w:rPr>
        <w:t xml:space="preserve">cooperated </w:t>
      </w:r>
      <w:r w:rsidR="002C1B78">
        <w:rPr>
          <w:noProof/>
          <w:lang w:val="en-IE"/>
        </w:rPr>
        <w:t xml:space="preserve">through </w:t>
      </w:r>
      <w:r w:rsidRPr="004155ED">
        <w:rPr>
          <w:noProof/>
          <w:lang w:val="en-IE"/>
        </w:rPr>
        <w:t>a core group of traders that exchanged commercial</w:t>
      </w:r>
      <w:r w:rsidR="00B77457">
        <w:rPr>
          <w:noProof/>
          <w:lang w:val="en-IE"/>
        </w:rPr>
        <w:t>ly</w:t>
      </w:r>
      <w:r w:rsidRPr="004155ED">
        <w:rPr>
          <w:noProof/>
          <w:lang w:val="en-IE"/>
        </w:rPr>
        <w:t xml:space="preserve"> sensitive information</w:t>
      </w:r>
      <w:r w:rsidR="00B77457">
        <w:rPr>
          <w:noProof/>
          <w:lang w:val="en-IE"/>
        </w:rPr>
        <w:t>. The cartel participants</w:t>
      </w:r>
      <w:r w:rsidRPr="004155ED">
        <w:rPr>
          <w:noProof/>
          <w:lang w:val="en-IE"/>
        </w:rPr>
        <w:t xml:space="preserve">, </w:t>
      </w:r>
      <w:r w:rsidR="00B77457">
        <w:rPr>
          <w:noProof/>
          <w:lang w:val="en-IE"/>
        </w:rPr>
        <w:t xml:space="preserve">communicated via </w:t>
      </w:r>
      <w:r w:rsidRPr="004155ED">
        <w:rPr>
          <w:noProof/>
          <w:lang w:val="en-IE"/>
        </w:rPr>
        <w:t xml:space="preserve">multilateral or bilateral chatrooms </w:t>
      </w:r>
      <w:r w:rsidR="00B77457">
        <w:rPr>
          <w:noProof/>
          <w:lang w:val="en-IE"/>
        </w:rPr>
        <w:t>using</w:t>
      </w:r>
      <w:r w:rsidRPr="004155ED">
        <w:rPr>
          <w:noProof/>
          <w:lang w:val="en-IE"/>
        </w:rPr>
        <w:t xml:space="preserve"> Bloomberg terminals.</w:t>
      </w:r>
    </w:p>
    <w:p w14:paraId="23CF96B3" w14:textId="0698B89F" w:rsidR="00C21EDC" w:rsidRPr="00542D19" w:rsidRDefault="00F751C9" w:rsidP="158881C6">
      <w:pPr>
        <w:spacing w:line="264" w:lineRule="auto"/>
        <w:jc w:val="both"/>
        <w:rPr>
          <w:noProof/>
          <w:szCs w:val="24"/>
        </w:rPr>
      </w:pPr>
      <w:r w:rsidRPr="00947B7D">
        <w:rPr>
          <w:noProof/>
          <w:lang w:val="en-IE"/>
        </w:rPr>
        <w:t>I</w:t>
      </w:r>
      <w:r w:rsidR="000913A1" w:rsidRPr="004155ED">
        <w:rPr>
          <w:rFonts w:eastAsia="Times New Roman" w:cs="Times New Roman"/>
          <w:noProof/>
        </w:rPr>
        <w:t xml:space="preserve">n May 2021, </w:t>
      </w:r>
      <w:r w:rsidR="00B77457">
        <w:rPr>
          <w:rFonts w:eastAsia="Times New Roman" w:cs="Times New Roman"/>
          <w:noProof/>
        </w:rPr>
        <w:t xml:space="preserve">the Commission </w:t>
      </w:r>
      <w:r w:rsidRPr="004155ED">
        <w:rPr>
          <w:rFonts w:eastAsia="Times New Roman" w:cs="Times New Roman"/>
          <w:noProof/>
        </w:rPr>
        <w:t>sanctioned another bond-trading cartel, imposing fines</w:t>
      </w:r>
      <w:r w:rsidR="00152C13">
        <w:rPr>
          <w:rFonts w:eastAsia="Times New Roman" w:cs="Times New Roman"/>
          <w:noProof/>
        </w:rPr>
        <w:t xml:space="preserve"> totalling </w:t>
      </w:r>
      <w:r w:rsidRPr="004155ED">
        <w:rPr>
          <w:rFonts w:eastAsia="Times New Roman" w:cs="Times New Roman"/>
          <w:noProof/>
        </w:rPr>
        <w:t>EUR 371 million</w:t>
      </w:r>
      <w:r w:rsidR="00C53CFC" w:rsidRPr="00062864">
        <w:rPr>
          <w:rFonts w:eastAsia="Times New Roman" w:cs="Times New Roman"/>
          <w:noProof/>
        </w:rPr>
        <w:t>.</w:t>
      </w:r>
      <w:r w:rsidR="00C21EDC" w:rsidRPr="00062864">
        <w:rPr>
          <w:rFonts w:eastAsia="Times New Roman" w:cs="Times New Roman"/>
          <w:noProof/>
        </w:rPr>
        <w:t xml:space="preserve"> </w:t>
      </w:r>
      <w:r w:rsidR="00A86EBC" w:rsidRPr="00373CE6">
        <w:rPr>
          <w:rFonts w:eastAsia="Times New Roman" w:cs="Times New Roman"/>
          <w:noProof/>
        </w:rPr>
        <w:t xml:space="preserve">The Commission </w:t>
      </w:r>
      <w:r w:rsidR="00C53CFC" w:rsidRPr="00373CE6">
        <w:rPr>
          <w:rFonts w:eastAsia="Times New Roman" w:cs="Times New Roman"/>
          <w:noProof/>
        </w:rPr>
        <w:t xml:space="preserve">concluded </w:t>
      </w:r>
      <w:r w:rsidR="00C21EDC" w:rsidRPr="00373CE6">
        <w:rPr>
          <w:rFonts w:eastAsia="Times New Roman" w:cs="Times New Roman"/>
          <w:noProof/>
        </w:rPr>
        <w:t xml:space="preserve">that </w:t>
      </w:r>
      <w:r w:rsidR="00C21EDC" w:rsidRPr="005B1727">
        <w:rPr>
          <w:rFonts w:eastAsia="Times New Roman" w:cs="Times New Roman"/>
          <w:i/>
          <w:iCs/>
          <w:noProof/>
        </w:rPr>
        <w:t>Bank of America</w:t>
      </w:r>
      <w:r w:rsidR="00C21EDC" w:rsidRPr="005B1727">
        <w:rPr>
          <w:rFonts w:eastAsia="Times New Roman" w:cs="Times New Roman"/>
          <w:noProof/>
        </w:rPr>
        <w:t xml:space="preserve">, </w:t>
      </w:r>
      <w:r w:rsidR="00C21EDC" w:rsidRPr="00C75974">
        <w:rPr>
          <w:rFonts w:eastAsia="Times New Roman" w:cs="Times New Roman"/>
          <w:i/>
          <w:iCs/>
          <w:noProof/>
        </w:rPr>
        <w:t>Natixis</w:t>
      </w:r>
      <w:r w:rsidR="00C21EDC" w:rsidRPr="00C75974">
        <w:rPr>
          <w:rFonts w:eastAsia="Times New Roman" w:cs="Times New Roman"/>
          <w:noProof/>
        </w:rPr>
        <w:t xml:space="preserve">, </w:t>
      </w:r>
      <w:r w:rsidR="00C21EDC" w:rsidRPr="00C75974">
        <w:rPr>
          <w:rFonts w:eastAsia="Times New Roman" w:cs="Times New Roman"/>
          <w:i/>
          <w:iCs/>
          <w:noProof/>
        </w:rPr>
        <w:t>Nomura</w:t>
      </w:r>
      <w:r w:rsidR="00C21EDC" w:rsidRPr="00C75974">
        <w:rPr>
          <w:rFonts w:eastAsia="Times New Roman" w:cs="Times New Roman"/>
          <w:noProof/>
        </w:rPr>
        <w:t xml:space="preserve">, </w:t>
      </w:r>
      <w:r w:rsidR="00C21EDC" w:rsidRPr="00F07F0A">
        <w:rPr>
          <w:rFonts w:eastAsia="Times New Roman" w:cs="Times New Roman"/>
          <w:i/>
          <w:iCs/>
          <w:noProof/>
        </w:rPr>
        <w:t>RBS</w:t>
      </w:r>
      <w:r w:rsidR="00C21EDC" w:rsidRPr="00F07F0A">
        <w:rPr>
          <w:rFonts w:eastAsia="Times New Roman" w:cs="Times New Roman"/>
          <w:noProof/>
        </w:rPr>
        <w:t xml:space="preserve"> (now </w:t>
      </w:r>
      <w:r w:rsidR="00C21EDC" w:rsidRPr="00542672">
        <w:rPr>
          <w:rFonts w:eastAsia="Times New Roman" w:cs="Times New Roman"/>
          <w:i/>
          <w:iCs/>
          <w:noProof/>
        </w:rPr>
        <w:t>NatWest</w:t>
      </w:r>
      <w:r w:rsidR="00C21EDC" w:rsidRPr="0031030F">
        <w:rPr>
          <w:rFonts w:eastAsia="Times New Roman" w:cs="Times New Roman"/>
          <w:noProof/>
        </w:rPr>
        <w:t xml:space="preserve">), </w:t>
      </w:r>
      <w:r w:rsidR="00C21EDC" w:rsidRPr="0031030F">
        <w:rPr>
          <w:rFonts w:eastAsia="Times New Roman" w:cs="Times New Roman"/>
          <w:i/>
          <w:iCs/>
          <w:noProof/>
        </w:rPr>
        <w:t>UBS</w:t>
      </w:r>
      <w:r w:rsidR="00C21EDC" w:rsidRPr="00347CA6">
        <w:rPr>
          <w:rFonts w:eastAsia="Times New Roman" w:cs="Times New Roman"/>
          <w:noProof/>
        </w:rPr>
        <w:t xml:space="preserve">, </w:t>
      </w:r>
      <w:r w:rsidR="00C21EDC" w:rsidRPr="00347CA6">
        <w:rPr>
          <w:rFonts w:eastAsia="Times New Roman" w:cs="Times New Roman"/>
          <w:i/>
          <w:iCs/>
          <w:noProof/>
        </w:rPr>
        <w:t>UniCredit</w:t>
      </w:r>
      <w:r w:rsidR="00C21EDC" w:rsidRPr="00347CA6">
        <w:rPr>
          <w:rFonts w:eastAsia="Times New Roman" w:cs="Times New Roman"/>
          <w:noProof/>
        </w:rPr>
        <w:t xml:space="preserve"> and </w:t>
      </w:r>
      <w:r w:rsidR="00C21EDC" w:rsidRPr="00347CA6">
        <w:rPr>
          <w:rFonts w:eastAsia="Times New Roman" w:cs="Times New Roman"/>
          <w:i/>
          <w:iCs/>
          <w:noProof/>
        </w:rPr>
        <w:t>WestLB</w:t>
      </w:r>
      <w:r w:rsidR="00C21EDC" w:rsidRPr="00347CA6">
        <w:rPr>
          <w:rFonts w:eastAsia="Times New Roman" w:cs="Times New Roman"/>
          <w:noProof/>
        </w:rPr>
        <w:t xml:space="preserve"> (now </w:t>
      </w:r>
      <w:r w:rsidR="00C21EDC" w:rsidRPr="00AA172B">
        <w:rPr>
          <w:rFonts w:eastAsia="Times New Roman" w:cs="Times New Roman"/>
          <w:i/>
          <w:iCs/>
          <w:noProof/>
        </w:rPr>
        <w:t>Portigon</w:t>
      </w:r>
      <w:r w:rsidR="00C21EDC" w:rsidRPr="00AA172B">
        <w:rPr>
          <w:rFonts w:eastAsia="Times New Roman" w:cs="Times New Roman"/>
          <w:noProof/>
        </w:rPr>
        <w:t>) breached EU antitrust rules</w:t>
      </w:r>
      <w:r w:rsidR="00B77457">
        <w:rPr>
          <w:rFonts w:eastAsia="Times New Roman" w:cs="Times New Roman"/>
          <w:noProof/>
        </w:rPr>
        <w:t>.</w:t>
      </w:r>
      <w:r w:rsidR="00C21EDC" w:rsidRPr="00AA172B">
        <w:rPr>
          <w:rFonts w:eastAsia="Times New Roman" w:cs="Times New Roman"/>
          <w:noProof/>
        </w:rPr>
        <w:t xml:space="preserve"> </w:t>
      </w:r>
      <w:r w:rsidR="00B77457">
        <w:rPr>
          <w:rFonts w:eastAsia="Times New Roman" w:cs="Times New Roman"/>
          <w:noProof/>
        </w:rPr>
        <w:t>A</w:t>
      </w:r>
      <w:r w:rsidR="00C21EDC" w:rsidRPr="00AE5653">
        <w:rPr>
          <w:rFonts w:eastAsia="Times New Roman" w:cs="Times New Roman"/>
          <w:noProof/>
        </w:rPr>
        <w:t xml:space="preserve"> group of traders </w:t>
      </w:r>
      <w:r w:rsidR="00B77457">
        <w:rPr>
          <w:rFonts w:eastAsia="Times New Roman" w:cs="Times New Roman"/>
          <w:noProof/>
        </w:rPr>
        <w:t xml:space="preserve">employed by these companies participated </w:t>
      </w:r>
      <w:r w:rsidR="00C21EDC" w:rsidRPr="00AE5653">
        <w:rPr>
          <w:rFonts w:eastAsia="Times New Roman" w:cs="Times New Roman"/>
          <w:noProof/>
        </w:rPr>
        <w:t>in a cartel in the primary and secondary market</w:t>
      </w:r>
      <w:r w:rsidR="00B77457">
        <w:rPr>
          <w:rFonts w:eastAsia="Times New Roman" w:cs="Times New Roman"/>
          <w:noProof/>
        </w:rPr>
        <w:t>s</w:t>
      </w:r>
      <w:r w:rsidR="00C21EDC" w:rsidRPr="00AE5653">
        <w:rPr>
          <w:rFonts w:eastAsia="Times New Roman" w:cs="Times New Roman"/>
          <w:noProof/>
        </w:rPr>
        <w:t xml:space="preserve"> for European Government Bonds (EGB)</w:t>
      </w:r>
      <w:r w:rsidR="00C21EDC" w:rsidRPr="00947B7D">
        <w:rPr>
          <w:rStyle w:val="FootnoteReference"/>
          <w:rFonts w:eastAsia="Times New Roman" w:cs="Times New Roman"/>
          <w:noProof/>
        </w:rPr>
        <w:footnoteReference w:id="99"/>
      </w:r>
      <w:r w:rsidR="00C21EDC" w:rsidRPr="00947B7D">
        <w:rPr>
          <w:rFonts w:eastAsia="Times New Roman" w:cs="Times New Roman"/>
          <w:noProof/>
        </w:rPr>
        <w:t>.</w:t>
      </w:r>
    </w:p>
    <w:p w14:paraId="6DD50939" w14:textId="1D9F5CED" w:rsidR="009B6BB2" w:rsidRPr="000F147F" w:rsidRDefault="009B6BB2">
      <w:pPr>
        <w:jc w:val="both"/>
        <w:rPr>
          <w:rFonts w:eastAsia="Times New Roman" w:cs="Times New Roman"/>
          <w:noProof/>
        </w:rPr>
      </w:pPr>
      <w:r w:rsidRPr="00947B7D">
        <w:rPr>
          <w:noProof/>
          <w:lang w:val="en-IE"/>
        </w:rPr>
        <w:t>In</w:t>
      </w:r>
      <w:r w:rsidRPr="004155ED">
        <w:rPr>
          <w:noProof/>
        </w:rPr>
        <w:t xml:space="preserve"> December 2021, the Commission </w:t>
      </w:r>
      <w:r w:rsidR="00F751C9" w:rsidRPr="004155ED">
        <w:rPr>
          <w:noProof/>
        </w:rPr>
        <w:t>sanctioned a</w:t>
      </w:r>
      <w:r w:rsidRPr="00062864">
        <w:rPr>
          <w:noProof/>
        </w:rPr>
        <w:t xml:space="preserve"> third </w:t>
      </w:r>
      <w:r w:rsidR="00F751C9" w:rsidRPr="00062864">
        <w:rPr>
          <w:noProof/>
        </w:rPr>
        <w:t>cartel</w:t>
      </w:r>
      <w:r w:rsidRPr="00373CE6">
        <w:rPr>
          <w:noProof/>
        </w:rPr>
        <w:t xml:space="preserve"> in</w:t>
      </w:r>
      <w:r w:rsidR="00F751C9" w:rsidRPr="00373CE6">
        <w:rPr>
          <w:noProof/>
        </w:rPr>
        <w:t xml:space="preserve"> </w:t>
      </w:r>
      <w:r w:rsidRPr="00373CE6">
        <w:rPr>
          <w:noProof/>
        </w:rPr>
        <w:t>the Foreign Exchange spot trading market</w:t>
      </w:r>
      <w:r w:rsidRPr="00947B7D">
        <w:rPr>
          <w:noProof/>
          <w:vertAlign w:val="superscript"/>
        </w:rPr>
        <w:footnoteReference w:id="100"/>
      </w:r>
      <w:r w:rsidRPr="00947B7D">
        <w:rPr>
          <w:noProof/>
        </w:rPr>
        <w:t xml:space="preserve">. The Commission fined </w:t>
      </w:r>
      <w:r w:rsidRPr="00584DFC">
        <w:rPr>
          <w:i/>
          <w:noProof/>
        </w:rPr>
        <w:t>Barclays</w:t>
      </w:r>
      <w:r w:rsidRPr="00947B7D">
        <w:rPr>
          <w:noProof/>
        </w:rPr>
        <w:t xml:space="preserve">, </w:t>
      </w:r>
      <w:r w:rsidRPr="00584DFC">
        <w:rPr>
          <w:i/>
          <w:noProof/>
        </w:rPr>
        <w:t>RBS HSBC</w:t>
      </w:r>
      <w:r w:rsidRPr="00947B7D">
        <w:rPr>
          <w:noProof/>
        </w:rPr>
        <w:t xml:space="preserve"> and </w:t>
      </w:r>
      <w:r w:rsidRPr="00584DFC">
        <w:rPr>
          <w:i/>
          <w:noProof/>
        </w:rPr>
        <w:t>Credit Suisse</w:t>
      </w:r>
      <w:r w:rsidRPr="00947B7D">
        <w:rPr>
          <w:noProof/>
        </w:rPr>
        <w:t xml:space="preserve"> a total amount of EUR 344 million (</w:t>
      </w:r>
      <w:r w:rsidR="00B77457">
        <w:rPr>
          <w:noProof/>
        </w:rPr>
        <w:t xml:space="preserve">adding to </w:t>
      </w:r>
      <w:r w:rsidRPr="00947B7D">
        <w:rPr>
          <w:noProof/>
        </w:rPr>
        <w:t>the EUR 1.7 billion</w:t>
      </w:r>
      <w:r w:rsidRPr="004155ED">
        <w:rPr>
          <w:noProof/>
        </w:rPr>
        <w:t xml:space="preserve"> that had already been imposed </w:t>
      </w:r>
      <w:r w:rsidR="00B77457">
        <w:rPr>
          <w:noProof/>
        </w:rPr>
        <w:t xml:space="preserve">on these firms </w:t>
      </w:r>
      <w:r w:rsidRPr="004155ED">
        <w:rPr>
          <w:noProof/>
        </w:rPr>
        <w:t>in the two earlier Forex cases).</w:t>
      </w:r>
    </w:p>
    <w:p w14:paraId="20CFB264" w14:textId="77777777" w:rsidR="00C21EDC" w:rsidRPr="000F147F" w:rsidRDefault="00C21EDC">
      <w:pPr>
        <w:jc w:val="both"/>
        <w:rPr>
          <w:rFonts w:eastAsia="Times New Roman" w:cs="Times New Roman"/>
          <w:noProof/>
        </w:rPr>
      </w:pPr>
      <w:r w:rsidRPr="006D6A86">
        <w:rPr>
          <w:rFonts w:eastAsia="Times New Roman" w:cs="Times New Roman"/>
          <w:noProof/>
        </w:rPr>
        <w:t xml:space="preserve">In June 2021, the Commission issued a Statement of Objections to </w:t>
      </w:r>
      <w:r w:rsidRPr="006D6A86">
        <w:rPr>
          <w:rFonts w:eastAsia="Times New Roman" w:cs="Times New Roman"/>
          <w:i/>
          <w:iCs/>
          <w:noProof/>
        </w:rPr>
        <w:t>Insurance Ireland</w:t>
      </w:r>
      <w:r w:rsidRPr="006D6A86">
        <w:rPr>
          <w:rFonts w:eastAsia="Times New Roman" w:cs="Times New Roman"/>
          <w:noProof/>
        </w:rPr>
        <w:t>, an association of Irish insurers</w:t>
      </w:r>
      <w:r w:rsidR="00571984" w:rsidRPr="006D6A86">
        <w:rPr>
          <w:rFonts w:eastAsia="Times New Roman" w:cs="Times New Roman"/>
          <w:noProof/>
        </w:rPr>
        <w:t xml:space="preserve">. The Commission took the </w:t>
      </w:r>
      <w:r w:rsidRPr="006D6A86">
        <w:rPr>
          <w:rFonts w:eastAsia="Times New Roman" w:cs="Times New Roman"/>
          <w:noProof/>
        </w:rPr>
        <w:t xml:space="preserve">preliminary view that </w:t>
      </w:r>
      <w:r w:rsidR="00571984" w:rsidRPr="006D6A86">
        <w:rPr>
          <w:rFonts w:eastAsia="Times New Roman" w:cs="Times New Roman"/>
          <w:noProof/>
        </w:rPr>
        <w:t>Insurance Ireland b</w:t>
      </w:r>
      <w:r w:rsidRPr="006D6A86">
        <w:rPr>
          <w:rFonts w:eastAsia="Times New Roman" w:cs="Times New Roman"/>
          <w:noProof/>
        </w:rPr>
        <w:t>reached EU antitrust rules by restricting competition in the Irish motor vehicle insurance market</w:t>
      </w:r>
      <w:r w:rsidRPr="00947B7D">
        <w:rPr>
          <w:rStyle w:val="FootnoteReference"/>
          <w:rFonts w:eastAsia="Times New Roman" w:cs="Times New Roman"/>
          <w:noProof/>
        </w:rPr>
        <w:footnoteReference w:id="101"/>
      </w:r>
      <w:r w:rsidRPr="00947B7D">
        <w:rPr>
          <w:rFonts w:eastAsia="Times New Roman" w:cs="Times New Roman"/>
          <w:noProof/>
        </w:rPr>
        <w:t xml:space="preserve">. </w:t>
      </w:r>
    </w:p>
    <w:p w14:paraId="5AFB6258" w14:textId="77777777" w:rsidR="002A509A" w:rsidRPr="000F147F" w:rsidRDefault="002A509A">
      <w:pPr>
        <w:pStyle w:val="Heading4"/>
        <w:rPr>
          <w:i w:val="0"/>
          <w:iCs w:val="0"/>
          <w:noProof/>
        </w:rPr>
      </w:pPr>
      <w:r w:rsidRPr="00DB1492">
        <w:rPr>
          <w:noProof/>
        </w:rPr>
        <w:t>State aid enforcement in financial se</w:t>
      </w:r>
      <w:r w:rsidRPr="00D46266">
        <w:rPr>
          <w:noProof/>
        </w:rPr>
        <w:t>rvices</w:t>
      </w:r>
    </w:p>
    <w:p w14:paraId="78F8B6C3" w14:textId="0413C7C8" w:rsidR="00FB3BC8" w:rsidRPr="00373CE6" w:rsidRDefault="0098726C">
      <w:pPr>
        <w:jc w:val="both"/>
        <w:rPr>
          <w:rFonts w:cs="Times New Roman"/>
          <w:noProof/>
        </w:rPr>
      </w:pPr>
      <w:r w:rsidRPr="00947B7D">
        <w:rPr>
          <w:rFonts w:cs="Times New Roman"/>
          <w:noProof/>
        </w:rPr>
        <w:t>T</w:t>
      </w:r>
      <w:r w:rsidR="00815E36" w:rsidRPr="004155ED">
        <w:rPr>
          <w:rFonts w:cs="Times New Roman"/>
          <w:noProof/>
        </w:rPr>
        <w:t xml:space="preserve">he Commission authorised the prolongation of </w:t>
      </w:r>
      <w:r w:rsidR="00571984" w:rsidRPr="004155ED">
        <w:rPr>
          <w:rFonts w:cs="Times New Roman"/>
          <w:noProof/>
        </w:rPr>
        <w:t xml:space="preserve">several </w:t>
      </w:r>
      <w:r w:rsidR="00815E36" w:rsidRPr="00062864">
        <w:rPr>
          <w:rFonts w:cs="Times New Roman"/>
          <w:noProof/>
        </w:rPr>
        <w:t xml:space="preserve">existing </w:t>
      </w:r>
      <w:r w:rsidR="00571984" w:rsidRPr="00062864">
        <w:rPr>
          <w:rFonts w:cs="Times New Roman"/>
          <w:noProof/>
        </w:rPr>
        <w:t xml:space="preserve">State aid </w:t>
      </w:r>
      <w:r w:rsidR="00815E36" w:rsidRPr="00373CE6">
        <w:rPr>
          <w:rFonts w:cs="Times New Roman"/>
          <w:noProof/>
        </w:rPr>
        <w:t xml:space="preserve">schemes </w:t>
      </w:r>
      <w:r w:rsidR="00571984" w:rsidRPr="00373CE6">
        <w:rPr>
          <w:rFonts w:cs="Times New Roman"/>
          <w:noProof/>
        </w:rPr>
        <w:t xml:space="preserve">allowing </w:t>
      </w:r>
      <w:r w:rsidR="0082129C" w:rsidRPr="005B1727">
        <w:rPr>
          <w:rFonts w:cs="Times New Roman"/>
          <w:noProof/>
        </w:rPr>
        <w:t xml:space="preserve">Member States </w:t>
      </w:r>
      <w:r w:rsidR="00815E36" w:rsidRPr="005B1727">
        <w:rPr>
          <w:rFonts w:cs="Times New Roman"/>
          <w:noProof/>
        </w:rPr>
        <w:t xml:space="preserve">to continue </w:t>
      </w:r>
      <w:r w:rsidR="00571984" w:rsidRPr="00C75974">
        <w:rPr>
          <w:rFonts w:cs="Times New Roman"/>
          <w:noProof/>
        </w:rPr>
        <w:t xml:space="preserve">strengthening the </w:t>
      </w:r>
      <w:r w:rsidR="00815E36" w:rsidRPr="00C75974">
        <w:rPr>
          <w:rFonts w:cs="Times New Roman"/>
          <w:noProof/>
        </w:rPr>
        <w:t xml:space="preserve">resilience of the </w:t>
      </w:r>
      <w:r w:rsidR="00571984" w:rsidRPr="00C75974">
        <w:rPr>
          <w:rFonts w:cs="Times New Roman"/>
          <w:noProof/>
        </w:rPr>
        <w:t xml:space="preserve">financial </w:t>
      </w:r>
      <w:r w:rsidR="00815E36" w:rsidRPr="00C75974">
        <w:rPr>
          <w:rFonts w:cs="Times New Roman"/>
          <w:noProof/>
        </w:rPr>
        <w:t>sector</w:t>
      </w:r>
      <w:r w:rsidR="00571984" w:rsidRPr="00C75974">
        <w:rPr>
          <w:rFonts w:cs="Times New Roman"/>
          <w:noProof/>
        </w:rPr>
        <w:t xml:space="preserve">, </w:t>
      </w:r>
      <w:r w:rsidR="00815E36" w:rsidRPr="00F07F0A">
        <w:rPr>
          <w:rFonts w:cs="Times New Roman"/>
          <w:noProof/>
        </w:rPr>
        <w:t xml:space="preserve">without </w:t>
      </w:r>
      <w:r w:rsidR="00571984" w:rsidRPr="00F07F0A">
        <w:rPr>
          <w:rFonts w:cs="Times New Roman"/>
          <w:noProof/>
        </w:rPr>
        <w:t xml:space="preserve">having to </w:t>
      </w:r>
      <w:r w:rsidR="00815E36" w:rsidRPr="00542672">
        <w:rPr>
          <w:rFonts w:cs="Times New Roman"/>
          <w:noProof/>
        </w:rPr>
        <w:t xml:space="preserve">grant new </w:t>
      </w:r>
      <w:r w:rsidR="00571984" w:rsidRPr="0031030F">
        <w:rPr>
          <w:rFonts w:cs="Times New Roman"/>
          <w:noProof/>
        </w:rPr>
        <w:t xml:space="preserve">State </w:t>
      </w:r>
      <w:r w:rsidR="00815E36" w:rsidRPr="0031030F">
        <w:rPr>
          <w:rFonts w:cs="Times New Roman"/>
          <w:noProof/>
        </w:rPr>
        <w:t xml:space="preserve">aid to individual financial institutions. </w:t>
      </w:r>
      <w:r w:rsidR="00B77457">
        <w:rPr>
          <w:rFonts w:cs="Times New Roman"/>
          <w:noProof/>
        </w:rPr>
        <w:t>Moreover, t</w:t>
      </w:r>
      <w:r w:rsidR="00815E36" w:rsidRPr="00347CA6">
        <w:rPr>
          <w:rFonts w:cs="Times New Roman"/>
          <w:noProof/>
        </w:rPr>
        <w:t>he Commission authorised the prolongation of schemes for the re</w:t>
      </w:r>
      <w:r w:rsidR="00815E36" w:rsidRPr="00AA172B">
        <w:rPr>
          <w:rFonts w:cs="Times New Roman"/>
          <w:noProof/>
        </w:rPr>
        <w:t xml:space="preserve">structuring or orderly market exit of </w:t>
      </w:r>
      <w:r w:rsidR="00976901" w:rsidRPr="00AA172B">
        <w:rPr>
          <w:rFonts w:cs="Times New Roman"/>
          <w:noProof/>
        </w:rPr>
        <w:t>banks</w:t>
      </w:r>
      <w:r w:rsidR="00815E36" w:rsidRPr="00AA172B">
        <w:rPr>
          <w:rFonts w:cs="Times New Roman"/>
          <w:noProof/>
        </w:rPr>
        <w:t xml:space="preserve"> in</w:t>
      </w:r>
      <w:r w:rsidR="00B77457">
        <w:rPr>
          <w:rFonts w:cs="Times New Roman"/>
          <w:noProof/>
        </w:rPr>
        <w:t xml:space="preserve"> distress located in</w:t>
      </w:r>
      <w:r w:rsidR="00815E36" w:rsidRPr="00AA172B">
        <w:rPr>
          <w:rFonts w:cs="Times New Roman"/>
          <w:noProof/>
        </w:rPr>
        <w:t xml:space="preserve"> Poland</w:t>
      </w:r>
      <w:r w:rsidR="00815E36" w:rsidRPr="00947B7D">
        <w:rPr>
          <w:rStyle w:val="FootnoteReference"/>
          <w:rFonts w:cs="Times New Roman"/>
          <w:noProof/>
        </w:rPr>
        <w:footnoteReference w:id="102"/>
      </w:r>
      <w:r w:rsidR="00815E36" w:rsidRPr="00947B7D">
        <w:rPr>
          <w:rFonts w:cs="Times New Roman"/>
          <w:noProof/>
        </w:rPr>
        <w:t>, Ireland</w:t>
      </w:r>
      <w:r w:rsidR="00815E36" w:rsidRPr="00947B7D">
        <w:rPr>
          <w:rStyle w:val="FootnoteReference"/>
          <w:rFonts w:cs="Times New Roman"/>
          <w:noProof/>
        </w:rPr>
        <w:footnoteReference w:id="103"/>
      </w:r>
      <w:r w:rsidR="00815E36" w:rsidRPr="00947B7D">
        <w:rPr>
          <w:rFonts w:cs="Times New Roman"/>
          <w:noProof/>
        </w:rPr>
        <w:t xml:space="preserve"> and Denmark</w:t>
      </w:r>
      <w:r w:rsidR="00815E36" w:rsidRPr="00947B7D">
        <w:rPr>
          <w:rStyle w:val="FootnoteReference"/>
          <w:rFonts w:cs="Times New Roman"/>
          <w:noProof/>
        </w:rPr>
        <w:footnoteReference w:id="104"/>
      </w:r>
      <w:r w:rsidR="00B77457">
        <w:rPr>
          <w:rFonts w:cs="Times New Roman"/>
          <w:noProof/>
        </w:rPr>
        <w:t xml:space="preserve">. In addition, the Commission </w:t>
      </w:r>
      <w:r w:rsidR="00815E36" w:rsidRPr="004155ED">
        <w:rPr>
          <w:rFonts w:cs="Times New Roman"/>
          <w:noProof/>
        </w:rPr>
        <w:t>address</w:t>
      </w:r>
      <w:r w:rsidR="00B77457">
        <w:rPr>
          <w:rFonts w:cs="Times New Roman"/>
          <w:noProof/>
        </w:rPr>
        <w:t>ed</w:t>
      </w:r>
      <w:r w:rsidR="00815E36" w:rsidRPr="004155ED">
        <w:rPr>
          <w:rFonts w:cs="Times New Roman"/>
          <w:noProof/>
        </w:rPr>
        <w:t xml:space="preserve"> potential liquidity </w:t>
      </w:r>
      <w:r w:rsidR="00976901" w:rsidRPr="004155ED">
        <w:rPr>
          <w:rFonts w:cs="Times New Roman"/>
          <w:noProof/>
        </w:rPr>
        <w:t xml:space="preserve">shortages </w:t>
      </w:r>
      <w:r w:rsidR="00B77457">
        <w:rPr>
          <w:rFonts w:cs="Times New Roman"/>
          <w:noProof/>
        </w:rPr>
        <w:t xml:space="preserve">of </w:t>
      </w:r>
      <w:r w:rsidR="00815E36" w:rsidRPr="00062864">
        <w:rPr>
          <w:rFonts w:cs="Times New Roman"/>
          <w:noProof/>
        </w:rPr>
        <w:t>banks in Greece</w:t>
      </w:r>
      <w:r w:rsidR="00815E36" w:rsidRPr="00947B7D">
        <w:rPr>
          <w:rStyle w:val="FootnoteReference"/>
          <w:rFonts w:cs="Times New Roman"/>
          <w:noProof/>
        </w:rPr>
        <w:footnoteReference w:id="105"/>
      </w:r>
      <w:r w:rsidR="00815E36" w:rsidRPr="00947B7D">
        <w:rPr>
          <w:rFonts w:cs="Times New Roman"/>
          <w:noProof/>
        </w:rPr>
        <w:t xml:space="preserve">. </w:t>
      </w:r>
      <w:r w:rsidR="00B77457">
        <w:rPr>
          <w:rFonts w:cs="Times New Roman"/>
          <w:noProof/>
        </w:rPr>
        <w:t>Finally</w:t>
      </w:r>
      <w:r w:rsidR="00976901" w:rsidRPr="004155ED">
        <w:rPr>
          <w:rFonts w:cs="Times New Roman"/>
          <w:noProof/>
        </w:rPr>
        <w:t xml:space="preserve">, </w:t>
      </w:r>
      <w:r w:rsidR="00FB3BC8" w:rsidRPr="004155ED">
        <w:rPr>
          <w:rFonts w:cs="Times New Roman"/>
          <w:noProof/>
        </w:rPr>
        <w:t>t</w:t>
      </w:r>
      <w:r w:rsidR="00815E36" w:rsidRPr="00062864">
        <w:rPr>
          <w:rFonts w:cs="Times New Roman"/>
          <w:noProof/>
        </w:rPr>
        <w:t>he Commission a</w:t>
      </w:r>
      <w:r w:rsidR="00976901" w:rsidRPr="00062864">
        <w:rPr>
          <w:rFonts w:cs="Times New Roman"/>
          <w:noProof/>
        </w:rPr>
        <w:t xml:space="preserve">uthorised </w:t>
      </w:r>
      <w:r w:rsidR="00815E36" w:rsidRPr="00373CE6">
        <w:rPr>
          <w:rFonts w:cs="Times New Roman"/>
          <w:noProof/>
        </w:rPr>
        <w:t>the prolongation of market-consistent guarantee schemes for the securitisation of non-performing loans</w:t>
      </w:r>
      <w:r w:rsidR="006201E9" w:rsidRPr="00373CE6">
        <w:rPr>
          <w:rFonts w:cs="Times New Roman"/>
          <w:noProof/>
        </w:rPr>
        <w:t xml:space="preserve"> </w:t>
      </w:r>
      <w:r w:rsidR="00815E36" w:rsidRPr="00373CE6">
        <w:rPr>
          <w:rFonts w:cs="Times New Roman"/>
          <w:noProof/>
        </w:rPr>
        <w:t>in Greece (Herc</w:t>
      </w:r>
      <w:r w:rsidR="00815E36" w:rsidRPr="005B1727">
        <w:rPr>
          <w:rFonts w:cs="Times New Roman"/>
          <w:noProof/>
        </w:rPr>
        <w:t>ules</w:t>
      </w:r>
      <w:r w:rsidR="00815E36" w:rsidRPr="00947B7D">
        <w:rPr>
          <w:rStyle w:val="FootnoteReference"/>
          <w:rFonts w:cs="Times New Roman"/>
          <w:noProof/>
        </w:rPr>
        <w:footnoteReference w:id="106"/>
      </w:r>
      <w:r w:rsidR="00815E36" w:rsidRPr="00947B7D">
        <w:rPr>
          <w:rFonts w:cs="Times New Roman"/>
          <w:noProof/>
        </w:rPr>
        <w:t>) and Italy (GACS</w:t>
      </w:r>
      <w:r w:rsidR="00815E36" w:rsidRPr="00947B7D">
        <w:rPr>
          <w:rStyle w:val="FootnoteReference"/>
          <w:rFonts w:cs="Times New Roman"/>
          <w:noProof/>
        </w:rPr>
        <w:footnoteReference w:id="107"/>
      </w:r>
      <w:r w:rsidR="00815E36" w:rsidRPr="00947B7D">
        <w:rPr>
          <w:rFonts w:cs="Times New Roman"/>
          <w:noProof/>
        </w:rPr>
        <w:t>)</w:t>
      </w:r>
      <w:r w:rsidR="00976901" w:rsidRPr="004155ED">
        <w:rPr>
          <w:rFonts w:cs="Times New Roman"/>
          <w:noProof/>
        </w:rPr>
        <w:t xml:space="preserve">. These guarantee schemes help </w:t>
      </w:r>
      <w:r w:rsidR="00815E36" w:rsidRPr="004155ED">
        <w:rPr>
          <w:rFonts w:cs="Times New Roman"/>
          <w:noProof/>
        </w:rPr>
        <w:t xml:space="preserve">banks </w:t>
      </w:r>
      <w:r w:rsidR="00976901" w:rsidRPr="00062864">
        <w:rPr>
          <w:rFonts w:cs="Times New Roman"/>
          <w:noProof/>
        </w:rPr>
        <w:t xml:space="preserve">to </w:t>
      </w:r>
      <w:r w:rsidR="00815E36" w:rsidRPr="00062864">
        <w:rPr>
          <w:rFonts w:cs="Times New Roman"/>
          <w:noProof/>
        </w:rPr>
        <w:t xml:space="preserve">clean up their balance sheets without granting </w:t>
      </w:r>
      <w:r w:rsidR="00976901" w:rsidRPr="00373CE6">
        <w:rPr>
          <w:rFonts w:cs="Times New Roman"/>
          <w:noProof/>
        </w:rPr>
        <w:t xml:space="preserve">State </w:t>
      </w:r>
      <w:r w:rsidR="00815E36" w:rsidRPr="00373CE6">
        <w:rPr>
          <w:rFonts w:cs="Times New Roman"/>
          <w:noProof/>
        </w:rPr>
        <w:t xml:space="preserve">aid or distorting competition. </w:t>
      </w:r>
    </w:p>
    <w:p w14:paraId="78884D26" w14:textId="301D48D4" w:rsidR="00815E36" w:rsidRPr="000F147F" w:rsidRDefault="00CF60EB">
      <w:pPr>
        <w:jc w:val="both"/>
        <w:rPr>
          <w:rFonts w:cs="Times New Roman"/>
          <w:noProof/>
          <w:lang w:val="en-US"/>
        </w:rPr>
      </w:pPr>
      <w:r w:rsidRPr="005B1727">
        <w:rPr>
          <w:rFonts w:cs="Times New Roman"/>
          <w:noProof/>
        </w:rPr>
        <w:t>For Cyprus</w:t>
      </w:r>
      <w:r w:rsidRPr="00947B7D">
        <w:rPr>
          <w:rFonts w:cs="Times New Roman"/>
          <w:noProof/>
          <w:vertAlign w:val="superscript"/>
        </w:rPr>
        <w:footnoteReference w:id="108"/>
      </w:r>
      <w:r w:rsidR="00427F8D" w:rsidRPr="00947B7D">
        <w:rPr>
          <w:rFonts w:cs="Times New Roman"/>
          <w:noProof/>
        </w:rPr>
        <w:t xml:space="preserve"> </w:t>
      </w:r>
      <w:r w:rsidRPr="004155ED">
        <w:rPr>
          <w:rFonts w:cs="Times New Roman"/>
          <w:noProof/>
        </w:rPr>
        <w:t>and Greece</w:t>
      </w:r>
      <w:r w:rsidRPr="00947B7D">
        <w:rPr>
          <w:rFonts w:cs="Times New Roman"/>
          <w:noProof/>
          <w:vertAlign w:val="superscript"/>
        </w:rPr>
        <w:footnoteReference w:id="109"/>
      </w:r>
      <w:r w:rsidRPr="00947B7D">
        <w:rPr>
          <w:rFonts w:cs="Times New Roman"/>
          <w:noProof/>
        </w:rPr>
        <w:t xml:space="preserve">, </w:t>
      </w:r>
      <w:r w:rsidR="00815E36" w:rsidRPr="004155ED">
        <w:rPr>
          <w:rFonts w:cs="Times New Roman"/>
          <w:noProof/>
        </w:rPr>
        <w:t xml:space="preserve">the Commission authorised indirect </w:t>
      </w:r>
      <w:r w:rsidR="00B77457">
        <w:rPr>
          <w:rFonts w:cs="Times New Roman"/>
          <w:noProof/>
        </w:rPr>
        <w:t xml:space="preserve">State </w:t>
      </w:r>
      <w:r w:rsidR="00815E36" w:rsidRPr="004155ED">
        <w:rPr>
          <w:rFonts w:cs="Times New Roman"/>
          <w:noProof/>
        </w:rPr>
        <w:t xml:space="preserve">aid to </w:t>
      </w:r>
      <w:r w:rsidR="00B77457">
        <w:rPr>
          <w:rFonts w:cs="Times New Roman"/>
          <w:noProof/>
        </w:rPr>
        <w:t xml:space="preserve">several </w:t>
      </w:r>
      <w:r w:rsidR="00815E36" w:rsidRPr="004155ED">
        <w:rPr>
          <w:rFonts w:cs="Times New Roman"/>
          <w:noProof/>
        </w:rPr>
        <w:t>financial institutions</w:t>
      </w:r>
      <w:r w:rsidR="00B77457">
        <w:rPr>
          <w:rFonts w:cs="Times New Roman"/>
          <w:noProof/>
        </w:rPr>
        <w:t xml:space="preserve">. The State aid </w:t>
      </w:r>
      <w:r w:rsidR="00815E36" w:rsidRPr="004155ED">
        <w:rPr>
          <w:rFonts w:cs="Times New Roman"/>
          <w:noProof/>
        </w:rPr>
        <w:t xml:space="preserve">schemes </w:t>
      </w:r>
      <w:r w:rsidR="00B77457">
        <w:rPr>
          <w:rFonts w:cs="Times New Roman"/>
          <w:noProof/>
        </w:rPr>
        <w:t xml:space="preserve">are </w:t>
      </w:r>
      <w:r w:rsidR="00815E36" w:rsidRPr="004155ED">
        <w:rPr>
          <w:rFonts w:cs="Times New Roman"/>
          <w:noProof/>
        </w:rPr>
        <w:t>primarily geared at providing social support to vulnerable households at risk of losing their home</w:t>
      </w:r>
      <w:r w:rsidR="006201E9" w:rsidRPr="00062864">
        <w:rPr>
          <w:rFonts w:cs="Times New Roman"/>
          <w:noProof/>
        </w:rPr>
        <w:t>s</w:t>
      </w:r>
      <w:r w:rsidR="00815E36" w:rsidRPr="00062864">
        <w:rPr>
          <w:rFonts w:cs="Times New Roman"/>
          <w:noProof/>
        </w:rPr>
        <w:t xml:space="preserve">. </w:t>
      </w:r>
      <w:r w:rsidR="00FB3BC8" w:rsidRPr="00373CE6">
        <w:rPr>
          <w:rFonts w:cs="Times New Roman"/>
          <w:noProof/>
        </w:rPr>
        <w:t>In addition, t</w:t>
      </w:r>
      <w:r w:rsidR="00815E36" w:rsidRPr="00373CE6">
        <w:rPr>
          <w:rFonts w:cs="Times New Roman"/>
          <w:noProof/>
        </w:rPr>
        <w:t>he Commission authorised Member States</w:t>
      </w:r>
      <w:r w:rsidR="006E4733" w:rsidRPr="00373CE6">
        <w:rPr>
          <w:rFonts w:cs="Times New Roman"/>
          <w:noProof/>
        </w:rPr>
        <w:t>’</w:t>
      </w:r>
      <w:r w:rsidR="00815E36" w:rsidRPr="00373CE6">
        <w:rPr>
          <w:rFonts w:cs="Times New Roman"/>
          <w:noProof/>
        </w:rPr>
        <w:t xml:space="preserve"> support </w:t>
      </w:r>
      <w:r w:rsidR="006E4733" w:rsidRPr="005B1727">
        <w:rPr>
          <w:rFonts w:cs="Times New Roman"/>
          <w:noProof/>
        </w:rPr>
        <w:t xml:space="preserve">of </w:t>
      </w:r>
      <w:r w:rsidR="006201E9" w:rsidRPr="005B1727">
        <w:rPr>
          <w:rFonts w:cs="Times New Roman"/>
          <w:noProof/>
        </w:rPr>
        <w:t xml:space="preserve">recently founded </w:t>
      </w:r>
      <w:r w:rsidR="00815E36" w:rsidRPr="00C75974">
        <w:rPr>
          <w:rFonts w:cs="Times New Roman"/>
          <w:noProof/>
        </w:rPr>
        <w:t xml:space="preserve">SMEs and start-ups </w:t>
      </w:r>
      <w:r w:rsidR="006E4733" w:rsidRPr="00C75974">
        <w:rPr>
          <w:rFonts w:cs="Times New Roman"/>
          <w:noProof/>
        </w:rPr>
        <w:t>frequently held back by l</w:t>
      </w:r>
      <w:r w:rsidR="00815E36" w:rsidRPr="00C75974">
        <w:rPr>
          <w:rFonts w:cs="Times New Roman"/>
          <w:noProof/>
        </w:rPr>
        <w:t xml:space="preserve">imited access to finance. </w:t>
      </w:r>
      <w:r w:rsidR="006E4733" w:rsidRPr="00C75974">
        <w:rPr>
          <w:rFonts w:cs="Times New Roman"/>
          <w:noProof/>
        </w:rPr>
        <w:t xml:space="preserve">To </w:t>
      </w:r>
      <w:r w:rsidR="006E4733" w:rsidRPr="00F07F0A">
        <w:rPr>
          <w:rFonts w:cs="Times New Roman"/>
          <w:noProof/>
        </w:rPr>
        <w:t>this end, the</w:t>
      </w:r>
      <w:r w:rsidR="00815E36" w:rsidRPr="00F07F0A">
        <w:rPr>
          <w:rFonts w:cs="Times New Roman"/>
          <w:noProof/>
        </w:rPr>
        <w:t xml:space="preserve"> Commission approved a modification of the existing risk finance scheme in France</w:t>
      </w:r>
      <w:r w:rsidR="00815E36" w:rsidRPr="00947B7D">
        <w:rPr>
          <w:rStyle w:val="FootnoteReference"/>
          <w:rFonts w:cs="Times New Roman"/>
          <w:noProof/>
        </w:rPr>
        <w:footnoteReference w:id="110"/>
      </w:r>
      <w:r w:rsidR="00815E36" w:rsidRPr="00947B7D">
        <w:rPr>
          <w:rFonts w:cs="Times New Roman"/>
          <w:noProof/>
        </w:rPr>
        <w:t xml:space="preserve">. </w:t>
      </w:r>
    </w:p>
    <w:p w14:paraId="2004A3D1" w14:textId="77777777" w:rsidR="004ED089" w:rsidRPr="00F42E78" w:rsidRDefault="00291ADE" w:rsidP="009439DA">
      <w:pPr>
        <w:pStyle w:val="Heading3"/>
        <w:spacing w:after="120"/>
        <w:rPr>
          <w:noProof/>
        </w:rPr>
      </w:pPr>
      <w:bookmarkStart w:id="70" w:name="_Toc94190118"/>
      <w:bookmarkStart w:id="71" w:name="_Toc94281768"/>
      <w:bookmarkStart w:id="72" w:name="_Toc102030143"/>
      <w:r w:rsidRPr="00F42E78">
        <w:rPr>
          <w:noProof/>
        </w:rPr>
        <w:t>5.</w:t>
      </w:r>
      <w:r w:rsidR="00B51CCA" w:rsidRPr="00F42E78">
        <w:rPr>
          <w:noProof/>
        </w:rPr>
        <w:t>2</w:t>
      </w:r>
      <w:r w:rsidR="006201E9" w:rsidRPr="00F42E78">
        <w:rPr>
          <w:noProof/>
        </w:rPr>
        <w:t>.</w:t>
      </w:r>
      <w:r w:rsidR="00AB3481" w:rsidRPr="00F42E78">
        <w:rPr>
          <w:noProof/>
        </w:rPr>
        <w:t xml:space="preserve"> </w:t>
      </w:r>
      <w:r w:rsidR="3EE0FF91" w:rsidRPr="00F42E78">
        <w:rPr>
          <w:noProof/>
        </w:rPr>
        <w:t xml:space="preserve">Fiscal State aid </w:t>
      </w:r>
      <w:r w:rsidR="303A8E54" w:rsidRPr="00F42E78">
        <w:rPr>
          <w:noProof/>
        </w:rPr>
        <w:t xml:space="preserve">and </w:t>
      </w:r>
      <w:r w:rsidR="00AB3481" w:rsidRPr="00F42E78">
        <w:rPr>
          <w:noProof/>
        </w:rPr>
        <w:t>selective tax advantages</w:t>
      </w:r>
      <w:bookmarkEnd w:id="70"/>
      <w:bookmarkEnd w:id="71"/>
      <w:bookmarkEnd w:id="72"/>
    </w:p>
    <w:p w14:paraId="6D0D49E3" w14:textId="3861282E" w:rsidR="00231735" w:rsidRPr="00482BBA" w:rsidRDefault="00231735" w:rsidP="00231735">
      <w:pPr>
        <w:ind w:right="4"/>
        <w:jc w:val="both"/>
        <w:rPr>
          <w:rFonts w:cs="Times New Roman"/>
          <w:noProof/>
          <w:lang w:val="en-US"/>
        </w:rPr>
      </w:pPr>
      <w:r w:rsidRPr="00947B7D">
        <w:rPr>
          <w:rFonts w:cs="Times New Roman"/>
          <w:noProof/>
          <w:lang w:val="en-US"/>
        </w:rPr>
        <w:t>T</w:t>
      </w:r>
      <w:r w:rsidRPr="004155ED">
        <w:rPr>
          <w:rFonts w:cs="Times New Roman"/>
          <w:noProof/>
          <w:lang w:val="en-US"/>
        </w:rPr>
        <w:t xml:space="preserve">he Commission approved in 2021 </w:t>
      </w:r>
      <w:r w:rsidRPr="00062864">
        <w:rPr>
          <w:rFonts w:cs="Times New Roman"/>
          <w:noProof/>
          <w:lang w:val="en-US"/>
        </w:rPr>
        <w:t>several State aid schemes deferring payment of</w:t>
      </w:r>
      <w:r w:rsidR="002E202E">
        <w:rPr>
          <w:rFonts w:cs="Times New Roman"/>
          <w:noProof/>
          <w:lang w:val="en-US"/>
        </w:rPr>
        <w:t xml:space="preserve"> </w:t>
      </w:r>
      <w:r w:rsidRPr="00062864">
        <w:rPr>
          <w:rFonts w:cs="Times New Roman"/>
          <w:noProof/>
          <w:lang w:val="en-US"/>
        </w:rPr>
        <w:t xml:space="preserve">taxes to mitigate </w:t>
      </w:r>
      <w:r w:rsidRPr="00373CE6">
        <w:rPr>
          <w:rFonts w:cs="Times New Roman"/>
          <w:noProof/>
          <w:lang w:val="en-US"/>
        </w:rPr>
        <w:t xml:space="preserve">the economic impact of </w:t>
      </w:r>
      <w:r w:rsidR="00057E89">
        <w:rPr>
          <w:rFonts w:cs="Times New Roman"/>
          <w:noProof/>
          <w:lang w:val="en-US"/>
        </w:rPr>
        <w:t xml:space="preserve">the </w:t>
      </w:r>
      <w:r w:rsidR="0001076D">
        <w:rPr>
          <w:rFonts w:cs="Times New Roman"/>
          <w:noProof/>
          <w:lang w:val="en-US"/>
        </w:rPr>
        <w:t>COVID-19</w:t>
      </w:r>
      <w:r w:rsidR="0001076D" w:rsidRPr="00373CE6">
        <w:rPr>
          <w:rFonts w:cs="Times New Roman"/>
          <w:noProof/>
          <w:lang w:val="en-US"/>
        </w:rPr>
        <w:t xml:space="preserve"> </w:t>
      </w:r>
      <w:r w:rsidRPr="00373CE6">
        <w:rPr>
          <w:rFonts w:cs="Times New Roman"/>
          <w:noProof/>
          <w:lang w:val="en-US"/>
        </w:rPr>
        <w:t>pandemic.</w:t>
      </w:r>
      <w:r w:rsidRPr="005B1727">
        <w:rPr>
          <w:rFonts w:cs="Times New Roman"/>
          <w:noProof/>
          <w:lang w:val="en-US"/>
        </w:rPr>
        <w:t xml:space="preserve"> I</w:t>
      </w:r>
      <w:r w:rsidRPr="00C75974">
        <w:rPr>
          <w:rFonts w:cs="Times New Roman"/>
          <w:noProof/>
          <w:lang w:val="en-US"/>
        </w:rPr>
        <w:t>n January 2021, the</w:t>
      </w:r>
      <w:r w:rsidRPr="00F07F0A" w:rsidDel="00B57504">
        <w:rPr>
          <w:rFonts w:cs="Times New Roman"/>
          <w:noProof/>
          <w:lang w:val="en-US"/>
        </w:rPr>
        <w:t xml:space="preserve"> </w:t>
      </w:r>
      <w:r w:rsidRPr="00F07F0A">
        <w:rPr>
          <w:rFonts w:cs="Times New Roman"/>
          <w:noProof/>
          <w:lang w:val="en-US"/>
        </w:rPr>
        <w:t>Commission approved</w:t>
      </w:r>
      <w:r w:rsidRPr="00542672">
        <w:rPr>
          <w:rFonts w:cs="Times New Roman"/>
          <w:noProof/>
          <w:lang w:val="en-US"/>
        </w:rPr>
        <w:t xml:space="preserve"> under the Temporary Framework</w:t>
      </w:r>
      <w:r w:rsidRPr="0031030F">
        <w:rPr>
          <w:rFonts w:cs="Times New Roman"/>
          <w:noProof/>
          <w:lang w:val="en-US"/>
        </w:rPr>
        <w:t xml:space="preserve"> </w:t>
      </w:r>
      <w:r w:rsidR="008A43B6">
        <w:rPr>
          <w:rFonts w:cs="Times New Roman"/>
          <w:noProof/>
          <w:lang w:val="en-US"/>
        </w:rPr>
        <w:t xml:space="preserve">for State aid measures </w:t>
      </w:r>
      <w:r w:rsidRPr="0031030F">
        <w:rPr>
          <w:rFonts w:cs="Times New Roman"/>
          <w:noProof/>
          <w:lang w:val="en-US"/>
        </w:rPr>
        <w:t xml:space="preserve">a EUR 156 million Lithuanian aid scheme for </w:t>
      </w:r>
      <w:r w:rsidRPr="00347CA6">
        <w:rPr>
          <w:rFonts w:cs="Times New Roman"/>
          <w:noProof/>
          <w:lang w:val="en-US"/>
        </w:rPr>
        <w:t xml:space="preserve">companies negatively affected by the </w:t>
      </w:r>
      <w:r w:rsidR="0001076D">
        <w:rPr>
          <w:rFonts w:cs="Times New Roman"/>
          <w:noProof/>
          <w:lang w:val="en-US"/>
        </w:rPr>
        <w:t>COVID-19</w:t>
      </w:r>
      <w:r w:rsidR="0001076D" w:rsidRPr="00373CE6">
        <w:rPr>
          <w:rFonts w:cs="Times New Roman"/>
          <w:noProof/>
          <w:lang w:val="en-US"/>
        </w:rPr>
        <w:t xml:space="preserve"> </w:t>
      </w:r>
      <w:r w:rsidRPr="00347CA6">
        <w:rPr>
          <w:rFonts w:cs="Times New Roman"/>
          <w:noProof/>
          <w:lang w:val="en-US"/>
        </w:rPr>
        <w:t>pandemic</w:t>
      </w:r>
      <w:r w:rsidRPr="00947B7D">
        <w:rPr>
          <w:rStyle w:val="FootnoteReference"/>
          <w:rFonts w:cs="Times New Roman"/>
          <w:noProof/>
          <w:lang w:val="en-US"/>
        </w:rPr>
        <w:footnoteReference w:id="111"/>
      </w:r>
      <w:r w:rsidRPr="00947B7D">
        <w:rPr>
          <w:rFonts w:cs="Times New Roman"/>
          <w:noProof/>
          <w:lang w:val="en-US"/>
        </w:rPr>
        <w:t xml:space="preserve">. The public support </w:t>
      </w:r>
      <w:r w:rsidRPr="004155ED">
        <w:rPr>
          <w:rFonts w:cs="Times New Roman"/>
          <w:noProof/>
          <w:lang w:val="en-US"/>
        </w:rPr>
        <w:t xml:space="preserve">includes tax deferrals and tax-related liquidity measures (for example </w:t>
      </w:r>
      <w:r w:rsidRPr="00062864">
        <w:rPr>
          <w:rFonts w:cs="Times New Roman"/>
          <w:noProof/>
          <w:lang w:val="en-US"/>
        </w:rPr>
        <w:t xml:space="preserve">payment in instalments of tax arrears, interest free </w:t>
      </w:r>
      <w:r w:rsidR="00057E89">
        <w:rPr>
          <w:rFonts w:cs="Times New Roman"/>
          <w:noProof/>
          <w:lang w:val="en-US"/>
        </w:rPr>
        <w:t xml:space="preserve">debt </w:t>
      </w:r>
      <w:r w:rsidRPr="00062864">
        <w:rPr>
          <w:rFonts w:cs="Times New Roman"/>
          <w:noProof/>
          <w:lang w:val="en-US"/>
        </w:rPr>
        <w:t>periods as well as suspension</w:t>
      </w:r>
      <w:r w:rsidR="00057E89">
        <w:rPr>
          <w:rFonts w:cs="Times New Roman"/>
          <w:noProof/>
          <w:lang w:val="en-US"/>
        </w:rPr>
        <w:t>s</w:t>
      </w:r>
      <w:r w:rsidRPr="00062864">
        <w:rPr>
          <w:rFonts w:cs="Times New Roman"/>
          <w:noProof/>
          <w:lang w:val="en-US"/>
        </w:rPr>
        <w:t xml:space="preserve"> of tax debt recovery). </w:t>
      </w:r>
    </w:p>
    <w:p w14:paraId="31D875D0" w14:textId="6CFA4EED" w:rsidR="003F76A1" w:rsidRPr="000F147F" w:rsidRDefault="00E51FA4">
      <w:pPr>
        <w:ind w:right="4"/>
        <w:jc w:val="both"/>
        <w:rPr>
          <w:rFonts w:cs="Times New Roman"/>
          <w:noProof/>
          <w:lang w:val="en-US"/>
        </w:rPr>
      </w:pPr>
      <w:r w:rsidRPr="00947B7D">
        <w:rPr>
          <w:rFonts w:cs="Times New Roman"/>
          <w:noProof/>
          <w:lang w:val="en-US"/>
        </w:rPr>
        <w:t xml:space="preserve">In </w:t>
      </w:r>
      <w:r w:rsidR="003F76A1" w:rsidRPr="004155ED">
        <w:rPr>
          <w:rFonts w:cs="Times New Roman"/>
          <w:noProof/>
          <w:lang w:val="en-US"/>
        </w:rPr>
        <w:t>March 2021, the Commission</w:t>
      </w:r>
      <w:r w:rsidR="00976901" w:rsidRPr="004155ED">
        <w:rPr>
          <w:rFonts w:cs="Times New Roman"/>
          <w:noProof/>
          <w:lang w:val="en-US"/>
        </w:rPr>
        <w:t xml:space="preserve"> </w:t>
      </w:r>
      <w:r w:rsidR="00BE63F0" w:rsidRPr="00062864">
        <w:rPr>
          <w:rFonts w:cs="Times New Roman"/>
          <w:noProof/>
          <w:lang w:val="en-US"/>
        </w:rPr>
        <w:t xml:space="preserve">had decided to </w:t>
      </w:r>
      <w:r w:rsidR="00976901" w:rsidRPr="00062864">
        <w:rPr>
          <w:rFonts w:cs="Times New Roman"/>
          <w:noProof/>
          <w:lang w:val="en-US"/>
        </w:rPr>
        <w:t xml:space="preserve">refer </w:t>
      </w:r>
      <w:r w:rsidR="003F76A1" w:rsidRPr="00373CE6">
        <w:rPr>
          <w:rFonts w:cs="Times New Roman"/>
          <w:noProof/>
          <w:lang w:val="en-US"/>
        </w:rPr>
        <w:t>the United Kingdom to the Court of Justice</w:t>
      </w:r>
      <w:r w:rsidR="00D35AF2" w:rsidRPr="00373CE6">
        <w:rPr>
          <w:rFonts w:cs="Times New Roman"/>
          <w:noProof/>
          <w:lang w:val="en-US"/>
        </w:rPr>
        <w:t xml:space="preserve"> </w:t>
      </w:r>
      <w:r w:rsidR="003F76A1" w:rsidRPr="00373CE6">
        <w:rPr>
          <w:rFonts w:cs="Times New Roman"/>
          <w:noProof/>
          <w:lang w:val="en-US"/>
        </w:rPr>
        <w:t xml:space="preserve">for failing to fully recover illegal State aid of up to </w:t>
      </w:r>
      <w:r w:rsidRPr="00373CE6">
        <w:rPr>
          <w:rFonts w:cs="Times New Roman"/>
          <w:noProof/>
          <w:lang w:val="en-US"/>
        </w:rPr>
        <w:t xml:space="preserve">EUR </w:t>
      </w:r>
      <w:r w:rsidR="003F76A1" w:rsidRPr="005B1727">
        <w:rPr>
          <w:rFonts w:cs="Times New Roman"/>
          <w:noProof/>
          <w:lang w:val="en-US"/>
        </w:rPr>
        <w:t>100 million</w:t>
      </w:r>
      <w:r w:rsidR="00976901" w:rsidRPr="005B1727">
        <w:rPr>
          <w:rFonts w:cs="Times New Roman"/>
          <w:noProof/>
          <w:lang w:val="en-US"/>
        </w:rPr>
        <w:t xml:space="preserve">. </w:t>
      </w:r>
      <w:r w:rsidR="00D35AF2" w:rsidRPr="00C75974">
        <w:rPr>
          <w:rFonts w:cs="Times New Roman"/>
          <w:noProof/>
          <w:lang w:val="en-US"/>
        </w:rPr>
        <w:t xml:space="preserve">The illegal State aid </w:t>
      </w:r>
      <w:r w:rsidR="00BE63F0" w:rsidRPr="00C75974">
        <w:rPr>
          <w:rFonts w:cs="Times New Roman"/>
          <w:noProof/>
          <w:lang w:val="en-US"/>
        </w:rPr>
        <w:t xml:space="preserve">had been </w:t>
      </w:r>
      <w:r w:rsidR="003F76A1" w:rsidRPr="00C75974">
        <w:rPr>
          <w:rFonts w:cs="Times New Roman"/>
          <w:noProof/>
          <w:lang w:val="en-US"/>
        </w:rPr>
        <w:t>granted as a tax exemption for passive interest and royalties in Gibraltar</w:t>
      </w:r>
      <w:r w:rsidR="00D35AF2" w:rsidRPr="00C75974">
        <w:rPr>
          <w:rFonts w:cs="Times New Roman"/>
          <w:noProof/>
          <w:lang w:val="en-US"/>
        </w:rPr>
        <w:t xml:space="preserve"> </w:t>
      </w:r>
      <w:r w:rsidR="00BE63F0" w:rsidRPr="00C75974">
        <w:rPr>
          <w:rFonts w:cs="Times New Roman"/>
          <w:noProof/>
          <w:lang w:val="en-US"/>
        </w:rPr>
        <w:t>between 2011 and 2013</w:t>
      </w:r>
      <w:r w:rsidR="00590975" w:rsidRPr="00947B7D">
        <w:rPr>
          <w:rStyle w:val="FootnoteReference"/>
          <w:rFonts w:cs="Times New Roman"/>
          <w:noProof/>
          <w:lang w:val="en-US"/>
        </w:rPr>
        <w:footnoteReference w:id="112"/>
      </w:r>
      <w:r w:rsidR="009E3A36" w:rsidRPr="00947B7D">
        <w:rPr>
          <w:rFonts w:cs="Times New Roman"/>
          <w:noProof/>
          <w:lang w:val="en-US"/>
        </w:rPr>
        <w:t>. Th</w:t>
      </w:r>
      <w:r w:rsidR="00D35AF2" w:rsidRPr="004155ED">
        <w:rPr>
          <w:rFonts w:cs="Times New Roman"/>
          <w:noProof/>
          <w:lang w:val="en-US"/>
        </w:rPr>
        <w:t>e</w:t>
      </w:r>
      <w:r w:rsidR="009E3A36" w:rsidRPr="004155ED">
        <w:rPr>
          <w:rFonts w:cs="Times New Roman"/>
          <w:noProof/>
          <w:lang w:val="en-US"/>
        </w:rPr>
        <w:t xml:space="preserve"> </w:t>
      </w:r>
      <w:r w:rsidR="00D35AF2" w:rsidRPr="00062864">
        <w:rPr>
          <w:rFonts w:cs="Times New Roman"/>
          <w:noProof/>
          <w:lang w:val="en-US"/>
        </w:rPr>
        <w:t xml:space="preserve">Commission </w:t>
      </w:r>
      <w:r w:rsidR="00BE63F0" w:rsidRPr="00062864">
        <w:rPr>
          <w:rFonts w:cs="Times New Roman"/>
          <w:noProof/>
          <w:lang w:val="en-US"/>
        </w:rPr>
        <w:t xml:space="preserve">had </w:t>
      </w:r>
      <w:r w:rsidR="006E4733" w:rsidRPr="00373CE6">
        <w:rPr>
          <w:rFonts w:cs="Times New Roman"/>
          <w:noProof/>
          <w:lang w:val="en-US"/>
        </w:rPr>
        <w:t xml:space="preserve">declared this </w:t>
      </w:r>
      <w:r w:rsidR="003F76A1" w:rsidRPr="00373CE6">
        <w:rPr>
          <w:rFonts w:cs="Times New Roman"/>
          <w:noProof/>
          <w:lang w:val="en-US"/>
        </w:rPr>
        <w:t xml:space="preserve">corporate tax exemption regime </w:t>
      </w:r>
      <w:r w:rsidR="006E4733" w:rsidRPr="005B1727">
        <w:rPr>
          <w:rFonts w:cs="Times New Roman"/>
          <w:noProof/>
          <w:lang w:val="en-US"/>
        </w:rPr>
        <w:t>unlawful and incompatible with State aid rules</w:t>
      </w:r>
      <w:r w:rsidR="00BE63F0" w:rsidRPr="005B1727">
        <w:rPr>
          <w:rFonts w:cs="Times New Roman"/>
          <w:noProof/>
          <w:lang w:val="en-US"/>
        </w:rPr>
        <w:t xml:space="preserve"> in 2018 and</w:t>
      </w:r>
      <w:r w:rsidR="00D35AF2" w:rsidRPr="00C75974">
        <w:rPr>
          <w:rFonts w:cs="Times New Roman"/>
          <w:noProof/>
          <w:lang w:val="en-US"/>
        </w:rPr>
        <w:t xml:space="preserve"> </w:t>
      </w:r>
      <w:r w:rsidR="00BE63F0" w:rsidRPr="00C75974">
        <w:rPr>
          <w:rFonts w:cs="Times New Roman"/>
          <w:noProof/>
          <w:lang w:val="en-US"/>
        </w:rPr>
        <w:t>m</w:t>
      </w:r>
      <w:r w:rsidR="003F76A1" w:rsidRPr="00C75974">
        <w:rPr>
          <w:rFonts w:cs="Times New Roman"/>
          <w:noProof/>
          <w:lang w:val="en-US"/>
        </w:rPr>
        <w:t xml:space="preserve">ore than two years after the Commission decision, the Gibraltar authorities </w:t>
      </w:r>
      <w:r w:rsidR="00BE63F0" w:rsidRPr="00C75974">
        <w:rPr>
          <w:rFonts w:cs="Times New Roman"/>
          <w:noProof/>
          <w:lang w:val="en-US"/>
        </w:rPr>
        <w:t xml:space="preserve">had </w:t>
      </w:r>
      <w:r w:rsidR="003F76A1" w:rsidRPr="00C75974">
        <w:rPr>
          <w:rFonts w:cs="Times New Roman"/>
          <w:noProof/>
          <w:lang w:val="en-US"/>
        </w:rPr>
        <w:t>recovered</w:t>
      </w:r>
      <w:r w:rsidR="006201E9" w:rsidRPr="00F07F0A">
        <w:rPr>
          <w:rFonts w:cs="Times New Roman"/>
          <w:noProof/>
          <w:lang w:val="en-US"/>
        </w:rPr>
        <w:t xml:space="preserve"> l</w:t>
      </w:r>
      <w:r w:rsidR="00C1752F" w:rsidRPr="00F07F0A">
        <w:rPr>
          <w:rFonts w:cs="Times New Roman"/>
          <w:noProof/>
          <w:lang w:val="en-US"/>
        </w:rPr>
        <w:t xml:space="preserve">ess </w:t>
      </w:r>
      <w:r w:rsidR="003F76A1" w:rsidRPr="00F07F0A">
        <w:rPr>
          <w:rFonts w:cs="Times New Roman"/>
          <w:noProof/>
          <w:lang w:val="en-US"/>
        </w:rPr>
        <w:t>th</w:t>
      </w:r>
      <w:r w:rsidR="00C1752F" w:rsidRPr="00542672">
        <w:rPr>
          <w:rFonts w:cs="Times New Roman"/>
          <w:noProof/>
          <w:lang w:val="en-US"/>
        </w:rPr>
        <w:t>a</w:t>
      </w:r>
      <w:r w:rsidR="003F76A1" w:rsidRPr="0031030F">
        <w:rPr>
          <w:rFonts w:cs="Times New Roman"/>
          <w:noProof/>
          <w:lang w:val="en-US"/>
        </w:rPr>
        <w:t>n 20% of the total illegal aid</w:t>
      </w:r>
      <w:r w:rsidR="003F76A1" w:rsidRPr="00947B7D">
        <w:rPr>
          <w:rStyle w:val="FootnoteReference"/>
          <w:rFonts w:cs="Times New Roman"/>
          <w:noProof/>
          <w:lang w:val="en-US"/>
        </w:rPr>
        <w:footnoteReference w:id="113"/>
      </w:r>
      <w:r w:rsidR="00C1752F" w:rsidRPr="00947B7D">
        <w:rPr>
          <w:rFonts w:cs="Times New Roman"/>
          <w:noProof/>
          <w:lang w:val="en-US"/>
        </w:rPr>
        <w:t>.</w:t>
      </w:r>
      <w:r w:rsidR="003F76A1" w:rsidRPr="004155ED">
        <w:rPr>
          <w:rFonts w:cs="Times New Roman"/>
          <w:noProof/>
          <w:lang w:val="en-US"/>
        </w:rPr>
        <w:t xml:space="preserve"> </w:t>
      </w:r>
      <w:r w:rsidR="00614E49">
        <w:rPr>
          <w:rFonts w:cs="Times New Roman"/>
          <w:noProof/>
          <w:lang w:val="en-US"/>
        </w:rPr>
        <w:t xml:space="preserve">Because </w:t>
      </w:r>
      <w:r w:rsidR="00BE63F0" w:rsidRPr="00062864">
        <w:rPr>
          <w:rFonts w:cs="Times New Roman"/>
          <w:noProof/>
          <w:lang w:val="en-US"/>
        </w:rPr>
        <w:t>the pending aid amounts and due recovery interest were fully repaid in escrow accounts between May 2021 and July 2021,</w:t>
      </w:r>
      <w:r w:rsidR="00614E49">
        <w:rPr>
          <w:rFonts w:cs="Times New Roman"/>
          <w:noProof/>
          <w:lang w:val="en-US"/>
        </w:rPr>
        <w:t xml:space="preserve"> </w:t>
      </w:r>
      <w:r w:rsidR="00BE63F0" w:rsidRPr="00062864">
        <w:rPr>
          <w:rFonts w:cs="Times New Roman"/>
          <w:noProof/>
          <w:lang w:val="en-US"/>
        </w:rPr>
        <w:t>the Commission repeal</w:t>
      </w:r>
      <w:r w:rsidR="00614E49">
        <w:rPr>
          <w:rFonts w:cs="Times New Roman"/>
          <w:noProof/>
          <w:lang w:val="en-US"/>
        </w:rPr>
        <w:t>ed</w:t>
      </w:r>
      <w:r w:rsidR="00BE63F0" w:rsidRPr="00062864">
        <w:rPr>
          <w:rFonts w:cs="Times New Roman"/>
          <w:noProof/>
          <w:lang w:val="en-US"/>
        </w:rPr>
        <w:t xml:space="preserve"> its previous decision to initiate Article 108(2) TFEU </w:t>
      </w:r>
      <w:r w:rsidR="00614E49">
        <w:rPr>
          <w:rFonts w:cs="Times New Roman"/>
          <w:noProof/>
          <w:lang w:val="en-US"/>
        </w:rPr>
        <w:t xml:space="preserve">proceedings </w:t>
      </w:r>
      <w:r w:rsidR="00BE63F0" w:rsidRPr="00062864">
        <w:rPr>
          <w:rFonts w:cs="Times New Roman"/>
          <w:noProof/>
          <w:lang w:val="en-US"/>
        </w:rPr>
        <w:t>against the United Kingdom.</w:t>
      </w:r>
    </w:p>
    <w:p w14:paraId="582C7937" w14:textId="5A19F1A0" w:rsidR="08F35633" w:rsidRPr="00F42E78" w:rsidRDefault="005A3FF8" w:rsidP="00F42E78">
      <w:pPr>
        <w:pStyle w:val="Heading3"/>
        <w:spacing w:after="200"/>
        <w:rPr>
          <w:noProof/>
        </w:rPr>
      </w:pPr>
      <w:bookmarkStart w:id="73" w:name="_Toc94190119"/>
      <w:bookmarkStart w:id="74" w:name="_Toc94281769"/>
      <w:bookmarkStart w:id="75" w:name="_Toc94695857"/>
      <w:bookmarkStart w:id="76" w:name="_Toc102030144"/>
      <w:r w:rsidRPr="00F42E78">
        <w:rPr>
          <w:noProof/>
        </w:rPr>
        <w:t>5.3</w:t>
      </w:r>
      <w:r w:rsidR="5926E892" w:rsidRPr="00F42E78">
        <w:rPr>
          <w:noProof/>
        </w:rPr>
        <w:t xml:space="preserve">. Competition policy continued </w:t>
      </w:r>
      <w:r w:rsidR="5926E892" w:rsidRPr="00584DFC">
        <w:rPr>
          <w:noProof/>
        </w:rPr>
        <w:t>to mitigat</w:t>
      </w:r>
      <w:r w:rsidR="00614E49" w:rsidRPr="00584DFC">
        <w:rPr>
          <w:noProof/>
        </w:rPr>
        <w:t>e</w:t>
      </w:r>
      <w:r w:rsidR="5926E892" w:rsidRPr="00584DFC">
        <w:rPr>
          <w:noProof/>
        </w:rPr>
        <w:t xml:space="preserve"> the economic</w:t>
      </w:r>
      <w:r w:rsidR="5926E892" w:rsidRPr="00F42E78">
        <w:rPr>
          <w:noProof/>
        </w:rPr>
        <w:t xml:space="preserve"> and social fall-out </w:t>
      </w:r>
      <w:r w:rsidR="00057E89">
        <w:rPr>
          <w:noProof/>
        </w:rPr>
        <w:t>from</w:t>
      </w:r>
      <w:r w:rsidR="5926E892" w:rsidRPr="00F42E78">
        <w:rPr>
          <w:noProof/>
        </w:rPr>
        <w:t xml:space="preserve"> the </w:t>
      </w:r>
      <w:r w:rsidR="00220181">
        <w:rPr>
          <w:noProof/>
        </w:rPr>
        <w:t>COVID-19</w:t>
      </w:r>
      <w:r w:rsidR="00220181" w:rsidRPr="00F42E78">
        <w:rPr>
          <w:noProof/>
        </w:rPr>
        <w:t xml:space="preserve"> </w:t>
      </w:r>
      <w:r w:rsidR="5926E892" w:rsidRPr="00F42E78">
        <w:rPr>
          <w:noProof/>
        </w:rPr>
        <w:t>pandemic</w:t>
      </w:r>
      <w:bookmarkEnd w:id="73"/>
      <w:bookmarkEnd w:id="74"/>
      <w:bookmarkEnd w:id="75"/>
      <w:bookmarkEnd w:id="76"/>
      <w:r w:rsidR="5926E892" w:rsidRPr="00F42E78">
        <w:rPr>
          <w:noProof/>
        </w:rPr>
        <w:t xml:space="preserve"> </w:t>
      </w:r>
    </w:p>
    <w:p w14:paraId="3D3305DA" w14:textId="6D38EDDC" w:rsidR="00285F86" w:rsidRPr="00542D19" w:rsidRDefault="00C3505D" w:rsidP="158881C6">
      <w:pPr>
        <w:jc w:val="both"/>
        <w:rPr>
          <w:noProof/>
          <w:szCs w:val="24"/>
        </w:rPr>
      </w:pPr>
      <w:r w:rsidRPr="00947B7D">
        <w:rPr>
          <w:rFonts w:cs="Times New Roman"/>
          <w:noProof/>
          <w:lang w:val="en-US"/>
        </w:rPr>
        <w:t xml:space="preserve">The Commission used the full flexibility of </w:t>
      </w:r>
      <w:r w:rsidR="0098726C" w:rsidRPr="004155ED">
        <w:rPr>
          <w:rFonts w:cs="Times New Roman"/>
          <w:noProof/>
          <w:lang w:val="en-US"/>
        </w:rPr>
        <w:t xml:space="preserve">the </w:t>
      </w:r>
      <w:r w:rsidRPr="004155ED">
        <w:rPr>
          <w:rFonts w:cs="Times New Roman"/>
          <w:noProof/>
          <w:lang w:val="en-US"/>
        </w:rPr>
        <w:t>State aid rules for exceptional circumstances to ad</w:t>
      </w:r>
      <w:r w:rsidR="00614E49">
        <w:rPr>
          <w:rFonts w:cs="Times New Roman"/>
          <w:noProof/>
          <w:lang w:val="en-US"/>
        </w:rPr>
        <w:t>a</w:t>
      </w:r>
      <w:r w:rsidRPr="004155ED">
        <w:rPr>
          <w:rFonts w:cs="Times New Roman"/>
          <w:noProof/>
          <w:lang w:val="en-US"/>
        </w:rPr>
        <w:t xml:space="preserve">pt the </w:t>
      </w:r>
      <w:r w:rsidRPr="00DB400C">
        <w:rPr>
          <w:rFonts w:cs="Times New Roman"/>
          <w:noProof/>
          <w:lang w:val="en-US"/>
        </w:rPr>
        <w:t>Temporary Framework</w:t>
      </w:r>
      <w:r w:rsidR="00187668">
        <w:rPr>
          <w:rFonts w:cs="Times New Roman"/>
          <w:noProof/>
          <w:lang w:val="en-US"/>
        </w:rPr>
        <w:t xml:space="preserve"> for State aid measures</w:t>
      </w:r>
      <w:r w:rsidR="00614E49" w:rsidRPr="00DB400C">
        <w:rPr>
          <w:rFonts w:cs="Times New Roman"/>
          <w:noProof/>
          <w:lang w:val="en-US"/>
        </w:rPr>
        <w:t xml:space="preserve">. The change </w:t>
      </w:r>
      <w:r w:rsidRPr="00373CE6">
        <w:rPr>
          <w:rFonts w:cs="Times New Roman"/>
          <w:noProof/>
          <w:lang w:val="en-US"/>
        </w:rPr>
        <w:t>provide</w:t>
      </w:r>
      <w:r w:rsidR="00F57EBB" w:rsidRPr="005B1727">
        <w:rPr>
          <w:rFonts w:cs="Times New Roman"/>
          <w:noProof/>
          <w:lang w:val="en-US"/>
        </w:rPr>
        <w:t>d</w:t>
      </w:r>
      <w:r w:rsidRPr="005B1727">
        <w:rPr>
          <w:rFonts w:cs="Times New Roman"/>
          <w:noProof/>
          <w:lang w:val="en-US"/>
        </w:rPr>
        <w:t xml:space="preserve"> Member States with a tailor-made toolbox support</w:t>
      </w:r>
      <w:r w:rsidR="00614E49">
        <w:rPr>
          <w:rFonts w:cs="Times New Roman"/>
          <w:noProof/>
          <w:lang w:val="en-US"/>
        </w:rPr>
        <w:t>ing</w:t>
      </w:r>
      <w:r w:rsidRPr="005B1727">
        <w:rPr>
          <w:rFonts w:cs="Times New Roman"/>
          <w:noProof/>
          <w:lang w:val="en-US"/>
        </w:rPr>
        <w:t xml:space="preserve"> the economy during the </w:t>
      </w:r>
      <w:r w:rsidR="009122E8">
        <w:rPr>
          <w:rFonts w:cs="Times New Roman"/>
          <w:noProof/>
          <w:lang w:val="en-US"/>
        </w:rPr>
        <w:t>COVID-19</w:t>
      </w:r>
      <w:r w:rsidR="009122E8" w:rsidRPr="005B1727">
        <w:rPr>
          <w:rFonts w:cs="Times New Roman"/>
          <w:noProof/>
          <w:lang w:val="en-US"/>
        </w:rPr>
        <w:t xml:space="preserve"> </w:t>
      </w:r>
      <w:r w:rsidR="00973816" w:rsidRPr="00C75974">
        <w:rPr>
          <w:rFonts w:cs="Times New Roman"/>
          <w:noProof/>
          <w:lang w:val="en-US"/>
        </w:rPr>
        <w:t>pandemic</w:t>
      </w:r>
      <w:r w:rsidRPr="00C75974">
        <w:rPr>
          <w:rFonts w:cs="Times New Roman"/>
          <w:noProof/>
          <w:lang w:val="en-US"/>
        </w:rPr>
        <w:t xml:space="preserve">. Since </w:t>
      </w:r>
      <w:r w:rsidR="00973816" w:rsidRPr="00C75974">
        <w:rPr>
          <w:rFonts w:cs="Times New Roman"/>
          <w:noProof/>
          <w:lang w:val="en-US"/>
        </w:rPr>
        <w:t xml:space="preserve">it was first adopted in </w:t>
      </w:r>
      <w:r w:rsidRPr="00C75974">
        <w:rPr>
          <w:rFonts w:cs="Times New Roman"/>
          <w:noProof/>
          <w:lang w:val="en-US"/>
        </w:rPr>
        <w:t>March 2020, the Commission adapt</w:t>
      </w:r>
      <w:r w:rsidR="00973816" w:rsidRPr="00F07F0A">
        <w:rPr>
          <w:rFonts w:cs="Times New Roman"/>
          <w:noProof/>
          <w:lang w:val="en-US"/>
        </w:rPr>
        <w:t>ed</w:t>
      </w:r>
      <w:r w:rsidRPr="00F07F0A">
        <w:rPr>
          <w:rFonts w:cs="Times New Roman"/>
          <w:noProof/>
          <w:lang w:val="en-US"/>
        </w:rPr>
        <w:t xml:space="preserve"> the rules to the developing needs of Member States and bu</w:t>
      </w:r>
      <w:r w:rsidRPr="00542672">
        <w:rPr>
          <w:rFonts w:cs="Times New Roman"/>
          <w:noProof/>
          <w:lang w:val="en-US"/>
        </w:rPr>
        <w:t>sinesses</w:t>
      </w:r>
      <w:r w:rsidR="00973816" w:rsidRPr="0031030F">
        <w:rPr>
          <w:rFonts w:cs="Times New Roman"/>
          <w:noProof/>
          <w:lang w:val="en-US"/>
        </w:rPr>
        <w:t>.</w:t>
      </w:r>
      <w:r w:rsidRPr="0031030F">
        <w:rPr>
          <w:rFonts w:cs="Times New Roman"/>
          <w:noProof/>
          <w:lang w:val="en-US"/>
        </w:rPr>
        <w:t xml:space="preserve"> </w:t>
      </w:r>
      <w:r w:rsidR="00973816" w:rsidRPr="00347CA6">
        <w:rPr>
          <w:rFonts w:cs="Times New Roman"/>
          <w:noProof/>
          <w:lang w:val="en-US"/>
        </w:rPr>
        <w:t xml:space="preserve">Two </w:t>
      </w:r>
      <w:r w:rsidR="00614E49">
        <w:rPr>
          <w:rFonts w:cs="Times New Roman"/>
          <w:noProof/>
          <w:lang w:val="en-US"/>
        </w:rPr>
        <w:t xml:space="preserve">additional </w:t>
      </w:r>
      <w:r w:rsidR="00973816" w:rsidRPr="00347CA6">
        <w:rPr>
          <w:rFonts w:cs="Times New Roman"/>
          <w:noProof/>
          <w:lang w:val="en-US"/>
        </w:rPr>
        <w:t xml:space="preserve">amendments were adopted in </w:t>
      </w:r>
      <w:r w:rsidR="00614E49">
        <w:rPr>
          <w:rFonts w:cs="Times New Roman"/>
          <w:noProof/>
          <w:lang w:val="en-US"/>
        </w:rPr>
        <w:t xml:space="preserve">January and November </w:t>
      </w:r>
      <w:r w:rsidR="00973816" w:rsidRPr="00347CA6">
        <w:rPr>
          <w:rFonts w:cs="Times New Roman"/>
          <w:noProof/>
          <w:lang w:val="en-US"/>
        </w:rPr>
        <w:t>2021</w:t>
      </w:r>
      <w:r w:rsidR="00CB79B7" w:rsidRPr="00947B7D">
        <w:rPr>
          <w:rStyle w:val="FootnoteReference"/>
          <w:rFonts w:cs="Times New Roman"/>
          <w:noProof/>
          <w:lang w:val="en-US"/>
        </w:rPr>
        <w:footnoteReference w:id="114"/>
      </w:r>
      <w:r w:rsidRPr="00947B7D">
        <w:rPr>
          <w:rFonts w:cs="Times New Roman"/>
          <w:noProof/>
          <w:lang w:val="en-US"/>
        </w:rPr>
        <w:t>.</w:t>
      </w:r>
      <w:r w:rsidR="00BD74D3" w:rsidRPr="004155ED">
        <w:rPr>
          <w:rFonts w:cs="Times New Roman"/>
          <w:noProof/>
          <w:lang w:val="en-US"/>
        </w:rPr>
        <w:t xml:space="preserve"> The </w:t>
      </w:r>
      <w:r w:rsidR="00D23787" w:rsidRPr="004155ED">
        <w:rPr>
          <w:rFonts w:cs="Times New Roman"/>
          <w:noProof/>
          <w:lang w:val="en-US"/>
        </w:rPr>
        <w:t>s</w:t>
      </w:r>
      <w:r w:rsidR="00BD74D3" w:rsidRPr="00062864">
        <w:rPr>
          <w:rFonts w:cs="Times New Roman"/>
          <w:noProof/>
          <w:lang w:val="en-US"/>
        </w:rPr>
        <w:t xml:space="preserve">ixth amendment sets out </w:t>
      </w:r>
      <w:r w:rsidR="00AA56D0" w:rsidRPr="00062864">
        <w:rPr>
          <w:rFonts w:cs="Times New Roman"/>
          <w:noProof/>
          <w:lang w:val="en-US"/>
        </w:rPr>
        <w:t>a</w:t>
      </w:r>
      <w:r w:rsidR="00BD74D3" w:rsidRPr="00373CE6">
        <w:rPr>
          <w:rFonts w:cs="Times New Roman"/>
          <w:noProof/>
          <w:lang w:val="en-US"/>
        </w:rPr>
        <w:t xml:space="preserve"> path towards a </w:t>
      </w:r>
      <w:r w:rsidR="00AA56D0" w:rsidRPr="00373CE6">
        <w:rPr>
          <w:rFonts w:cs="Times New Roman"/>
          <w:noProof/>
          <w:lang w:val="en-US"/>
        </w:rPr>
        <w:t>step-by-step</w:t>
      </w:r>
      <w:r w:rsidR="00BD74D3" w:rsidRPr="00373CE6">
        <w:rPr>
          <w:rFonts w:cs="Times New Roman"/>
          <w:noProof/>
          <w:lang w:val="en-US"/>
        </w:rPr>
        <w:t xml:space="preserve"> phase-out of </w:t>
      </w:r>
      <w:r w:rsidR="00D23787" w:rsidRPr="005B1727">
        <w:rPr>
          <w:rFonts w:cs="Times New Roman"/>
          <w:noProof/>
          <w:lang w:val="en-US"/>
        </w:rPr>
        <w:t xml:space="preserve">the </w:t>
      </w:r>
      <w:r w:rsidR="00BD74D3" w:rsidRPr="005B1727">
        <w:rPr>
          <w:rFonts w:cs="Times New Roman"/>
          <w:noProof/>
          <w:lang w:val="en-US"/>
        </w:rPr>
        <w:t xml:space="preserve">crisis measures while avoiding cliff-edge effects and </w:t>
      </w:r>
      <w:r w:rsidR="00973816" w:rsidRPr="00C75974">
        <w:rPr>
          <w:rFonts w:cs="Times New Roman"/>
          <w:noProof/>
          <w:lang w:val="en-US"/>
        </w:rPr>
        <w:t>limit</w:t>
      </w:r>
      <w:r w:rsidR="00AA56D0" w:rsidRPr="00C75974">
        <w:rPr>
          <w:rFonts w:cs="Times New Roman"/>
          <w:noProof/>
          <w:lang w:val="en-US"/>
        </w:rPr>
        <w:t>ing</w:t>
      </w:r>
      <w:r w:rsidR="00973816" w:rsidRPr="00C75974">
        <w:rPr>
          <w:rFonts w:cs="Times New Roman"/>
          <w:noProof/>
          <w:lang w:val="en-US"/>
        </w:rPr>
        <w:t xml:space="preserve"> </w:t>
      </w:r>
      <w:r w:rsidR="00BD74D3" w:rsidRPr="00C75974">
        <w:rPr>
          <w:rFonts w:cs="Times New Roman"/>
          <w:noProof/>
          <w:lang w:val="en-US"/>
        </w:rPr>
        <w:t xml:space="preserve">the risk </w:t>
      </w:r>
      <w:r w:rsidR="00AA56D0" w:rsidRPr="00F07F0A">
        <w:rPr>
          <w:rFonts w:cs="Times New Roman"/>
          <w:noProof/>
          <w:lang w:val="en-US"/>
        </w:rPr>
        <w:t>for</w:t>
      </w:r>
      <w:r w:rsidR="00BD74D3" w:rsidRPr="00F07F0A">
        <w:rPr>
          <w:rFonts w:cs="Times New Roman"/>
          <w:noProof/>
          <w:lang w:val="en-US"/>
        </w:rPr>
        <w:t xml:space="preserve"> greater economic divergence </w:t>
      </w:r>
      <w:r w:rsidR="00AA56D0" w:rsidRPr="00542672">
        <w:rPr>
          <w:rFonts w:cs="Times New Roman"/>
          <w:noProof/>
          <w:lang w:val="en-US"/>
        </w:rPr>
        <w:t>between M</w:t>
      </w:r>
      <w:r w:rsidR="00AA56D0" w:rsidRPr="0031030F">
        <w:rPr>
          <w:rFonts w:cs="Times New Roman"/>
          <w:noProof/>
          <w:lang w:val="en-US"/>
        </w:rPr>
        <w:t>ember States</w:t>
      </w:r>
      <w:r w:rsidR="00BD74D3" w:rsidRPr="0031030F">
        <w:rPr>
          <w:rFonts w:cs="Times New Roman"/>
          <w:noProof/>
          <w:lang w:val="en-US"/>
        </w:rPr>
        <w:t>.</w:t>
      </w:r>
    </w:p>
    <w:p w14:paraId="697451FC" w14:textId="77777777" w:rsidR="00AA56D0" w:rsidRPr="000F147F" w:rsidRDefault="00AA56D0">
      <w:pPr>
        <w:pStyle w:val="Heading4"/>
        <w:rPr>
          <w:i w:val="0"/>
          <w:iCs w:val="0"/>
          <w:noProof/>
        </w:rPr>
      </w:pPr>
      <w:bookmarkStart w:id="77" w:name="_Toc94695859"/>
      <w:r w:rsidRPr="00DB1492">
        <w:rPr>
          <w:noProof/>
        </w:rPr>
        <w:t>State aid decisions under Article 107(3)</w:t>
      </w:r>
      <w:r w:rsidR="004A5EAA">
        <w:rPr>
          <w:noProof/>
        </w:rPr>
        <w:t>(</w:t>
      </w:r>
      <w:r w:rsidRPr="00DB1492">
        <w:rPr>
          <w:noProof/>
        </w:rPr>
        <w:t>b</w:t>
      </w:r>
      <w:r w:rsidR="004A5EAA">
        <w:rPr>
          <w:noProof/>
        </w:rPr>
        <w:t>)</w:t>
      </w:r>
      <w:r w:rsidRPr="00DB1492">
        <w:rPr>
          <w:noProof/>
        </w:rPr>
        <w:t xml:space="preserve"> </w:t>
      </w:r>
      <w:r w:rsidR="00582D90" w:rsidRPr="004155ED">
        <w:rPr>
          <w:rFonts w:cs="Times New Roman"/>
          <w:noProof/>
        </w:rPr>
        <w:t>TFEU</w:t>
      </w:r>
      <w:r w:rsidR="00582D90" w:rsidRPr="00DB1492">
        <w:rPr>
          <w:noProof/>
        </w:rPr>
        <w:t xml:space="preserve"> </w:t>
      </w:r>
      <w:r w:rsidRPr="00DB1492">
        <w:rPr>
          <w:noProof/>
        </w:rPr>
        <w:t>and the Temporary Framework</w:t>
      </w:r>
      <w:bookmarkEnd w:id="77"/>
    </w:p>
    <w:p w14:paraId="2B6EAC76" w14:textId="4FFFFB2A" w:rsidR="009E7AAB" w:rsidRDefault="009E7AAB" w:rsidP="000F147F">
      <w:pPr>
        <w:spacing w:before="200"/>
        <w:ind w:right="6"/>
        <w:jc w:val="both"/>
        <w:rPr>
          <w:rFonts w:cs="Times New Roman"/>
          <w:noProof/>
        </w:rPr>
      </w:pPr>
      <w:r>
        <w:rPr>
          <w:rFonts w:cs="Times New Roman"/>
          <w:noProof/>
        </w:rPr>
        <w:t>T</w:t>
      </w:r>
      <w:r w:rsidR="00BC398E" w:rsidRPr="004155ED">
        <w:rPr>
          <w:rFonts w:cs="Times New Roman"/>
          <w:noProof/>
        </w:rPr>
        <w:t>he Commission continued to assess aid measures under Article 107(3)</w:t>
      </w:r>
      <w:r w:rsidR="00ED40F1">
        <w:rPr>
          <w:rFonts w:cs="Times New Roman"/>
          <w:noProof/>
        </w:rPr>
        <w:t>(b</w:t>
      </w:r>
      <w:r w:rsidR="00BC398E" w:rsidRPr="004155ED">
        <w:rPr>
          <w:rFonts w:cs="Times New Roman"/>
          <w:noProof/>
        </w:rPr>
        <w:t>) TFEU</w:t>
      </w:r>
      <w:r w:rsidR="007401A6">
        <w:rPr>
          <w:rFonts w:cs="Times New Roman"/>
          <w:noProof/>
        </w:rPr>
        <w:t xml:space="preserve">, </w:t>
      </w:r>
      <w:r w:rsidR="007401A6" w:rsidRPr="007401A6">
        <w:rPr>
          <w:rFonts w:cs="Times New Roman"/>
          <w:noProof/>
        </w:rPr>
        <w:t>Article 107(3)(c) TFEU</w:t>
      </w:r>
      <w:r w:rsidR="00BC398E" w:rsidRPr="004155ED">
        <w:rPr>
          <w:rFonts w:cs="Times New Roman"/>
          <w:noProof/>
        </w:rPr>
        <w:t xml:space="preserve"> and </w:t>
      </w:r>
      <w:r w:rsidR="00AA56D0" w:rsidRPr="00062864">
        <w:rPr>
          <w:rFonts w:cs="Times New Roman"/>
          <w:noProof/>
        </w:rPr>
        <w:t>the</w:t>
      </w:r>
      <w:r w:rsidR="00BC398E" w:rsidRPr="00062864">
        <w:rPr>
          <w:rFonts w:cs="Times New Roman"/>
          <w:noProof/>
        </w:rPr>
        <w:t xml:space="preserve"> Temporary Framework</w:t>
      </w:r>
      <w:r w:rsidR="00187668">
        <w:rPr>
          <w:rFonts w:cs="Times New Roman"/>
          <w:noProof/>
        </w:rPr>
        <w:t xml:space="preserve"> for State aid measures</w:t>
      </w:r>
      <w:r w:rsidR="00AA56D0" w:rsidRPr="00373CE6">
        <w:rPr>
          <w:rFonts w:cs="Times New Roman"/>
          <w:noProof/>
        </w:rPr>
        <w:t xml:space="preserve">. </w:t>
      </w:r>
      <w:r w:rsidR="00B015AA" w:rsidRPr="00B015AA">
        <w:rPr>
          <w:rFonts w:cs="Times New Roman"/>
          <w:noProof/>
        </w:rPr>
        <w:t xml:space="preserve">The Temporary Framework for State aid measures, which was initially established with an expiry date of 31 December 2020, provides </w:t>
      </w:r>
      <w:r w:rsidR="00BE6DCE">
        <w:rPr>
          <w:rFonts w:cs="Times New Roman"/>
          <w:noProof/>
        </w:rPr>
        <w:t xml:space="preserve">for </w:t>
      </w:r>
      <w:r w:rsidR="00B015AA" w:rsidRPr="00B015AA">
        <w:rPr>
          <w:rFonts w:cs="Times New Roman"/>
          <w:noProof/>
        </w:rPr>
        <w:t xml:space="preserve">a number of aid measures that the Commission considers compatible under Article 107(3)(b) and Article 107(3)(c) TFEU, such as limited amount of aid, selective tax advantages and State guarantees for loans. </w:t>
      </w:r>
      <w:r w:rsidRPr="009E7AAB">
        <w:rPr>
          <w:rFonts w:cs="Times New Roman"/>
          <w:noProof/>
        </w:rPr>
        <w:t>By the end of 2021, the Commission had taken more than 1180 decisions in all Member States, including those under the Temporary Framework</w:t>
      </w:r>
      <w:r w:rsidR="005422F7">
        <w:rPr>
          <w:rFonts w:cs="Times New Roman"/>
          <w:noProof/>
        </w:rPr>
        <w:t xml:space="preserve"> for State aid measures</w:t>
      </w:r>
      <w:r w:rsidR="00AA253D" w:rsidRPr="00AA253D">
        <w:rPr>
          <w:noProof/>
        </w:rPr>
        <w:t>.</w:t>
      </w:r>
    </w:p>
    <w:p w14:paraId="0D9B127F" w14:textId="77777777" w:rsidR="00D158B2" w:rsidRDefault="009E7AAB" w:rsidP="007574A6">
      <w:pPr>
        <w:spacing w:line="264" w:lineRule="auto"/>
        <w:ind w:right="4"/>
        <w:jc w:val="both"/>
        <w:rPr>
          <w:rFonts w:eastAsia="Times New Roman" w:cs="Times New Roman"/>
          <w:noProof/>
          <w:lang w:val="en-US"/>
        </w:rPr>
      </w:pPr>
      <w:r>
        <w:rPr>
          <w:rFonts w:cs="Times New Roman"/>
          <w:noProof/>
        </w:rPr>
        <w:t>In 2021, for example, t</w:t>
      </w:r>
      <w:r w:rsidR="00BC398E" w:rsidRPr="00373CE6">
        <w:rPr>
          <w:rFonts w:cs="Times New Roman"/>
          <w:noProof/>
          <w:color w:val="000000"/>
          <w:lang w:val="en-US"/>
        </w:rPr>
        <w:t>he Commission approved</w:t>
      </w:r>
      <w:r w:rsidR="00AA56D0" w:rsidRPr="00373CE6">
        <w:rPr>
          <w:rFonts w:cs="Times New Roman"/>
          <w:noProof/>
          <w:color w:val="000000"/>
          <w:lang w:val="en-US"/>
        </w:rPr>
        <w:t xml:space="preserve"> under the </w:t>
      </w:r>
      <w:r w:rsidR="005824F2" w:rsidRPr="005B1727">
        <w:rPr>
          <w:rFonts w:cs="Times New Roman"/>
          <w:noProof/>
          <w:color w:val="000000"/>
          <w:lang w:val="en-US"/>
        </w:rPr>
        <w:t>T</w:t>
      </w:r>
      <w:r w:rsidR="00AA56D0" w:rsidRPr="005B1727">
        <w:rPr>
          <w:rFonts w:cs="Times New Roman"/>
          <w:noProof/>
          <w:color w:val="000000"/>
          <w:lang w:val="en-US"/>
        </w:rPr>
        <w:t>emporary</w:t>
      </w:r>
      <w:r w:rsidR="00BC398E" w:rsidRPr="00C75974">
        <w:rPr>
          <w:rFonts w:cs="Times New Roman"/>
          <w:noProof/>
          <w:color w:val="000000"/>
          <w:lang w:val="en-US"/>
        </w:rPr>
        <w:t xml:space="preserve"> </w:t>
      </w:r>
      <w:r w:rsidR="005824F2" w:rsidRPr="00C75974">
        <w:rPr>
          <w:rFonts w:cs="Times New Roman"/>
          <w:noProof/>
          <w:color w:val="000000"/>
          <w:lang w:val="en-US"/>
        </w:rPr>
        <w:t>F</w:t>
      </w:r>
      <w:r w:rsidR="00AA56D0" w:rsidRPr="00C75974">
        <w:rPr>
          <w:rFonts w:cs="Times New Roman"/>
          <w:noProof/>
          <w:color w:val="000000"/>
          <w:lang w:val="en-US"/>
        </w:rPr>
        <w:t xml:space="preserve">ramework </w:t>
      </w:r>
      <w:r w:rsidR="00BC398E" w:rsidRPr="00C75974">
        <w:rPr>
          <w:rFonts w:cs="Times New Roman"/>
          <w:noProof/>
          <w:color w:val="000000"/>
          <w:lang w:val="en-US"/>
        </w:rPr>
        <w:t xml:space="preserve">a </w:t>
      </w:r>
      <w:r w:rsidR="00D23787" w:rsidRPr="00F07F0A">
        <w:rPr>
          <w:rFonts w:cs="Times New Roman"/>
          <w:noProof/>
          <w:color w:val="000000"/>
          <w:lang w:val="en-US"/>
        </w:rPr>
        <w:t xml:space="preserve">EUR </w:t>
      </w:r>
      <w:r w:rsidR="00BC398E" w:rsidRPr="00F07F0A">
        <w:rPr>
          <w:rFonts w:cs="Times New Roman"/>
          <w:noProof/>
          <w:color w:val="000000"/>
          <w:lang w:val="en-US"/>
        </w:rPr>
        <w:t xml:space="preserve">800 million Greek scheme to support companies active in tourism affected by the </w:t>
      </w:r>
      <w:r w:rsidR="0001076D">
        <w:rPr>
          <w:rFonts w:cs="Times New Roman"/>
          <w:noProof/>
          <w:lang w:val="en-US"/>
        </w:rPr>
        <w:t>COVID-19</w:t>
      </w:r>
      <w:r w:rsidR="0001076D" w:rsidRPr="00373CE6">
        <w:rPr>
          <w:rFonts w:cs="Times New Roman"/>
          <w:noProof/>
          <w:lang w:val="en-US"/>
        </w:rPr>
        <w:t xml:space="preserve"> </w:t>
      </w:r>
      <w:r w:rsidR="00AA56D0" w:rsidRPr="00542672">
        <w:rPr>
          <w:rFonts w:cs="Times New Roman"/>
          <w:noProof/>
          <w:color w:val="000000"/>
          <w:lang w:val="en-US"/>
        </w:rPr>
        <w:t>pandemic</w:t>
      </w:r>
      <w:r w:rsidR="00BC398E" w:rsidRPr="00947B7D">
        <w:rPr>
          <w:rStyle w:val="FootnoteReference"/>
          <w:rFonts w:cs="Times New Roman"/>
          <w:noProof/>
          <w:color w:val="000000"/>
          <w:lang w:val="en-US"/>
        </w:rPr>
        <w:footnoteReference w:id="115"/>
      </w:r>
      <w:r w:rsidR="00BC398E" w:rsidRPr="00947B7D">
        <w:rPr>
          <w:rFonts w:cs="Times New Roman"/>
          <w:noProof/>
          <w:color w:val="000000"/>
          <w:lang w:val="en-US"/>
        </w:rPr>
        <w:t xml:space="preserve">. The Commission concluded that the measure </w:t>
      </w:r>
      <w:r w:rsidR="00D23787" w:rsidRPr="004155ED">
        <w:rPr>
          <w:rFonts w:cs="Times New Roman"/>
          <w:noProof/>
          <w:color w:val="000000"/>
          <w:lang w:val="en-US"/>
        </w:rPr>
        <w:t>was</w:t>
      </w:r>
      <w:r w:rsidR="00BC398E" w:rsidRPr="004155ED">
        <w:rPr>
          <w:rFonts w:cs="Times New Roman"/>
          <w:noProof/>
          <w:color w:val="000000"/>
          <w:lang w:val="en-US"/>
        </w:rPr>
        <w:t xml:space="preserve"> necessary, appropriate and proportionate to remedy a serious disturbance in the Greek economy.</w:t>
      </w:r>
      <w:r w:rsidR="00AC5CCA">
        <w:rPr>
          <w:rFonts w:eastAsia="Times New Roman" w:cs="Times New Roman"/>
          <w:noProof/>
          <w:lang w:val="en-US"/>
        </w:rPr>
        <w:t xml:space="preserve"> </w:t>
      </w:r>
      <w:r w:rsidR="00ED40F1">
        <w:rPr>
          <w:rFonts w:eastAsia="Times New Roman" w:cs="Times New Roman"/>
          <w:noProof/>
          <w:lang w:val="en-US"/>
        </w:rPr>
        <w:t>As regards Italy</w:t>
      </w:r>
      <w:r w:rsidR="00AC5CCA">
        <w:rPr>
          <w:rFonts w:eastAsia="Times New Roman" w:cs="Times New Roman"/>
          <w:noProof/>
          <w:lang w:val="en-US"/>
        </w:rPr>
        <w:t>, i</w:t>
      </w:r>
      <w:r w:rsidR="00D23787" w:rsidRPr="00062864">
        <w:rPr>
          <w:rFonts w:eastAsia="Times New Roman" w:cs="Times New Roman"/>
          <w:noProof/>
          <w:lang w:val="en-US"/>
        </w:rPr>
        <w:t xml:space="preserve">n </w:t>
      </w:r>
      <w:r w:rsidR="00BC398E" w:rsidRPr="00373CE6">
        <w:rPr>
          <w:rFonts w:eastAsia="Times New Roman" w:cs="Times New Roman"/>
          <w:noProof/>
          <w:lang w:val="en-US"/>
        </w:rPr>
        <w:t xml:space="preserve">October 2021, the Commission approved </w:t>
      </w:r>
      <w:r w:rsidR="00AC5CCA">
        <w:rPr>
          <w:rFonts w:eastAsia="Times New Roman" w:cs="Times New Roman"/>
          <w:noProof/>
          <w:lang w:val="en-US"/>
        </w:rPr>
        <w:t xml:space="preserve">under the Temporary Framework </w:t>
      </w:r>
      <w:r w:rsidR="00BC398E" w:rsidRPr="00373CE6">
        <w:rPr>
          <w:rFonts w:eastAsia="Times New Roman" w:cs="Times New Roman"/>
          <w:noProof/>
          <w:lang w:val="en-US"/>
        </w:rPr>
        <w:t xml:space="preserve">a </w:t>
      </w:r>
      <w:r w:rsidR="00D23787" w:rsidRPr="00373CE6">
        <w:rPr>
          <w:rFonts w:eastAsia="Times New Roman" w:cs="Times New Roman"/>
          <w:noProof/>
          <w:lang w:val="en-US"/>
        </w:rPr>
        <w:t xml:space="preserve">EUR </w:t>
      </w:r>
      <w:r w:rsidR="00BC398E" w:rsidRPr="00373CE6">
        <w:rPr>
          <w:rFonts w:eastAsia="Times New Roman" w:cs="Times New Roman"/>
          <w:noProof/>
          <w:lang w:val="en-US"/>
        </w:rPr>
        <w:t xml:space="preserve">31.9 billion Italian scheme to support companies affected by the </w:t>
      </w:r>
      <w:r w:rsidR="0001076D">
        <w:rPr>
          <w:rFonts w:cs="Times New Roman"/>
          <w:noProof/>
          <w:lang w:val="en-US"/>
        </w:rPr>
        <w:t>COVID-19</w:t>
      </w:r>
      <w:r w:rsidR="0001076D" w:rsidRPr="00373CE6">
        <w:rPr>
          <w:rFonts w:cs="Times New Roman"/>
          <w:noProof/>
          <w:lang w:val="en-US"/>
        </w:rPr>
        <w:t xml:space="preserve"> </w:t>
      </w:r>
      <w:r w:rsidR="00AA56D0" w:rsidRPr="005B1727">
        <w:rPr>
          <w:rFonts w:eastAsia="Times New Roman" w:cs="Times New Roman"/>
          <w:noProof/>
          <w:lang w:val="en-US"/>
        </w:rPr>
        <w:t>pandemic</w:t>
      </w:r>
      <w:r w:rsidR="00ED40F1" w:rsidRPr="00947B7D">
        <w:rPr>
          <w:rStyle w:val="FootnoteReference"/>
          <w:rFonts w:eastAsia="Times New Roman" w:cs="Times New Roman"/>
          <w:noProof/>
          <w:lang w:val="en-US"/>
        </w:rPr>
        <w:footnoteReference w:id="116"/>
      </w:r>
      <w:r w:rsidR="00ED40F1" w:rsidRPr="00947B7D">
        <w:rPr>
          <w:rFonts w:eastAsia="Times New Roman" w:cs="Times New Roman"/>
          <w:noProof/>
          <w:lang w:val="en-US"/>
        </w:rPr>
        <w:t>.</w:t>
      </w:r>
    </w:p>
    <w:p w14:paraId="2E3EBCED" w14:textId="3643B427" w:rsidR="00FA5034" w:rsidRDefault="00D158B2" w:rsidP="007574A6">
      <w:pPr>
        <w:spacing w:line="264" w:lineRule="auto"/>
        <w:ind w:right="4"/>
        <w:jc w:val="both"/>
        <w:rPr>
          <w:rFonts w:eastAsia="Times New Roman" w:cs="Times New Roman"/>
          <w:noProof/>
          <w:lang w:val="en-US"/>
        </w:rPr>
      </w:pPr>
      <w:r w:rsidRPr="00AA253D">
        <w:rPr>
          <w:noProof/>
        </w:rPr>
        <w:t>A number of these measures have been co-financed by cohesion policy, following the two packages of measures launched by the Commission: the Coronavirus Response Investment Initiative (CRII), the Coronavirus Response Investment Initiative Plus (CRII+) and REACT-EU package.</w:t>
      </w:r>
    </w:p>
    <w:p w14:paraId="2E7A2FED" w14:textId="70F77EDE" w:rsidR="00BC398E" w:rsidRPr="006900E2" w:rsidRDefault="00FA5034" w:rsidP="00627317">
      <w:pPr>
        <w:spacing w:before="200"/>
        <w:ind w:right="6"/>
        <w:jc w:val="both"/>
        <w:rPr>
          <w:rFonts w:eastAsia="Times New Roman" w:cs="Times New Roman"/>
          <w:noProof/>
          <w:lang w:val="en-US"/>
        </w:rPr>
      </w:pPr>
      <w:r w:rsidRPr="00947B7D">
        <w:rPr>
          <w:rFonts w:cs="Times New Roman"/>
          <w:noProof/>
          <w:lang w:val="en-US"/>
        </w:rPr>
        <w:t xml:space="preserve">In </w:t>
      </w:r>
      <w:r w:rsidRPr="004155ED">
        <w:rPr>
          <w:rFonts w:cs="Times New Roman"/>
          <w:noProof/>
          <w:lang w:val="en-US"/>
        </w:rPr>
        <w:t xml:space="preserve">March 2021, the </w:t>
      </w:r>
      <w:r w:rsidRPr="00062864">
        <w:rPr>
          <w:rFonts w:cs="Times New Roman"/>
          <w:noProof/>
          <w:lang w:val="en-US"/>
        </w:rPr>
        <w:t xml:space="preserve">Commission approved a French State guarantee scheme of </w:t>
      </w:r>
      <w:r w:rsidRPr="00373CE6">
        <w:rPr>
          <w:rFonts w:cs="Times New Roman"/>
          <w:noProof/>
          <w:lang w:val="en-US"/>
        </w:rPr>
        <w:t xml:space="preserve">up to EUR 20 billion </w:t>
      </w:r>
      <w:r w:rsidRPr="005B1727">
        <w:rPr>
          <w:rFonts w:cs="Times New Roman"/>
          <w:noProof/>
          <w:lang w:val="en-US"/>
        </w:rPr>
        <w:t xml:space="preserve">intended to support the economy in the context of the </w:t>
      </w:r>
      <w:r w:rsidR="0001076D">
        <w:rPr>
          <w:rFonts w:cs="Times New Roman"/>
          <w:noProof/>
          <w:lang w:val="en-US"/>
        </w:rPr>
        <w:t>COVID-19</w:t>
      </w:r>
      <w:r w:rsidR="0001076D" w:rsidRPr="00373CE6">
        <w:rPr>
          <w:rFonts w:cs="Times New Roman"/>
          <w:noProof/>
          <w:lang w:val="en-US"/>
        </w:rPr>
        <w:t xml:space="preserve"> </w:t>
      </w:r>
      <w:r w:rsidRPr="00C75974">
        <w:rPr>
          <w:rFonts w:cs="Times New Roman"/>
          <w:noProof/>
          <w:lang w:val="en-US"/>
        </w:rPr>
        <w:t>pandemic</w:t>
      </w:r>
      <w:r w:rsidRPr="00947B7D">
        <w:rPr>
          <w:rStyle w:val="FootnoteReference"/>
          <w:rFonts w:cs="Times New Roman"/>
          <w:noProof/>
          <w:lang w:val="en-US"/>
        </w:rPr>
        <w:footnoteReference w:id="117"/>
      </w:r>
      <w:r w:rsidRPr="00947B7D">
        <w:rPr>
          <w:rFonts w:cs="Times New Roman"/>
          <w:noProof/>
          <w:lang w:val="en-US"/>
        </w:rPr>
        <w:t>.</w:t>
      </w:r>
      <w:r w:rsidRPr="004155ED">
        <w:rPr>
          <w:rFonts w:cs="Times New Roman"/>
          <w:noProof/>
          <w:lang w:val="en-US"/>
        </w:rPr>
        <w:t xml:space="preserve"> The scheme </w:t>
      </w:r>
      <w:r w:rsidRPr="00E403DE">
        <w:rPr>
          <w:rFonts w:cs="Times New Roman"/>
          <w:noProof/>
          <w:lang w:val="en-US"/>
        </w:rPr>
        <w:t xml:space="preserve">provides long-term funding to companies and facilitates new investments supporting the recovery from the </w:t>
      </w:r>
      <w:r w:rsidR="0001076D">
        <w:rPr>
          <w:rFonts w:cs="Times New Roman"/>
          <w:noProof/>
          <w:lang w:val="en-US"/>
        </w:rPr>
        <w:t>COVID-19</w:t>
      </w:r>
      <w:r w:rsidR="0001076D" w:rsidRPr="00373CE6">
        <w:rPr>
          <w:rFonts w:cs="Times New Roman"/>
          <w:noProof/>
          <w:lang w:val="en-US"/>
        </w:rPr>
        <w:t xml:space="preserve"> </w:t>
      </w:r>
      <w:r w:rsidRPr="00E403DE">
        <w:rPr>
          <w:rFonts w:cs="Times New Roman"/>
          <w:noProof/>
          <w:lang w:val="en-US"/>
        </w:rPr>
        <w:t xml:space="preserve">pandemic. </w:t>
      </w:r>
    </w:p>
    <w:p w14:paraId="208D68D9" w14:textId="44A04C0B" w:rsidR="30E62BE1" w:rsidRPr="006900E2" w:rsidRDefault="00220181">
      <w:pPr>
        <w:pStyle w:val="Heading4"/>
        <w:rPr>
          <w:i w:val="0"/>
          <w:iCs w:val="0"/>
          <w:noProof/>
        </w:rPr>
      </w:pPr>
      <w:bookmarkStart w:id="78" w:name="_Toc94190122"/>
      <w:bookmarkStart w:id="79" w:name="_Toc94281771"/>
      <w:bookmarkStart w:id="80" w:name="_Toc94695860"/>
      <w:r>
        <w:rPr>
          <w:noProof/>
        </w:rPr>
        <w:t>COVID-19</w:t>
      </w:r>
      <w:r w:rsidR="00187668">
        <w:rPr>
          <w:noProof/>
        </w:rPr>
        <w:t xml:space="preserve"> </w:t>
      </w:r>
      <w:r w:rsidR="53CCA70E" w:rsidRPr="00DB1492">
        <w:rPr>
          <w:noProof/>
        </w:rPr>
        <w:t>related State aid decisions and policy initiatives</w:t>
      </w:r>
      <w:bookmarkEnd w:id="78"/>
      <w:bookmarkEnd w:id="79"/>
      <w:bookmarkEnd w:id="80"/>
    </w:p>
    <w:p w14:paraId="6BFC06D3" w14:textId="003C6B08" w:rsidR="0B433B05" w:rsidRPr="006900E2" w:rsidRDefault="00D23787" w:rsidP="006900E2">
      <w:pPr>
        <w:spacing w:line="264" w:lineRule="auto"/>
        <w:jc w:val="both"/>
        <w:rPr>
          <w:rFonts w:eastAsia="Times New Roman" w:cs="Times New Roman"/>
          <w:noProof/>
        </w:rPr>
      </w:pPr>
      <w:r w:rsidRPr="00947B7D">
        <w:rPr>
          <w:rFonts w:eastAsia="Times New Roman" w:cs="Times New Roman"/>
          <w:noProof/>
        </w:rPr>
        <w:t>I</w:t>
      </w:r>
      <w:r w:rsidR="00D36EAC" w:rsidRPr="004155ED">
        <w:rPr>
          <w:rFonts w:eastAsia="Times New Roman" w:cs="Times New Roman"/>
          <w:noProof/>
        </w:rPr>
        <w:t xml:space="preserve">n </w:t>
      </w:r>
      <w:r w:rsidR="0B433B05" w:rsidRPr="004155ED">
        <w:rPr>
          <w:rFonts w:eastAsia="Times New Roman" w:cs="Times New Roman"/>
          <w:noProof/>
        </w:rPr>
        <w:t>August 2021, the</w:t>
      </w:r>
      <w:r w:rsidR="61936C60" w:rsidRPr="00062864">
        <w:rPr>
          <w:rFonts w:eastAsia="Times New Roman" w:cs="Times New Roman"/>
          <w:noProof/>
        </w:rPr>
        <w:t xml:space="preserve"> Commission approved</w:t>
      </w:r>
      <w:r w:rsidRPr="00062864">
        <w:rPr>
          <w:rFonts w:eastAsia="Times New Roman" w:cs="Times New Roman"/>
          <w:noProof/>
        </w:rPr>
        <w:t xml:space="preserve"> </w:t>
      </w:r>
      <w:r w:rsidR="005824F2" w:rsidRPr="00373CE6">
        <w:rPr>
          <w:rFonts w:eastAsia="Times New Roman" w:cs="Times New Roman"/>
          <w:noProof/>
        </w:rPr>
        <w:t xml:space="preserve">a set </w:t>
      </w:r>
      <w:r w:rsidR="61936C60" w:rsidRPr="00373CE6">
        <w:rPr>
          <w:rFonts w:eastAsia="Times New Roman" w:cs="Times New Roman"/>
          <w:noProof/>
        </w:rPr>
        <w:t>of guarantees on synthetic securitisation tranches under the European Guarantee Fund managed by the European Investment Bank Group</w:t>
      </w:r>
      <w:r w:rsidR="009F0952" w:rsidRPr="00947B7D">
        <w:rPr>
          <w:rStyle w:val="FootnoteReference"/>
          <w:rFonts w:eastAsia="Times New Roman" w:cs="Times New Roman"/>
          <w:noProof/>
        </w:rPr>
        <w:footnoteReference w:id="118"/>
      </w:r>
      <w:r w:rsidR="009F0952" w:rsidRPr="00947B7D">
        <w:rPr>
          <w:rFonts w:eastAsia="Times New Roman" w:cs="Times New Roman"/>
          <w:noProof/>
        </w:rPr>
        <w:t>.</w:t>
      </w:r>
      <w:r w:rsidR="0B433B05" w:rsidRPr="004155ED">
        <w:rPr>
          <w:rFonts w:eastAsia="Times New Roman" w:cs="Times New Roman"/>
          <w:noProof/>
        </w:rPr>
        <w:t xml:space="preserve"> The </w:t>
      </w:r>
      <w:r w:rsidR="005824F2" w:rsidRPr="004155ED">
        <w:rPr>
          <w:rFonts w:eastAsia="Times New Roman" w:cs="Times New Roman"/>
          <w:noProof/>
        </w:rPr>
        <w:t xml:space="preserve">initiative </w:t>
      </w:r>
      <w:r w:rsidR="0B433B05" w:rsidRPr="00062864">
        <w:rPr>
          <w:rFonts w:eastAsia="Times New Roman" w:cs="Times New Roman"/>
          <w:noProof/>
        </w:rPr>
        <w:t>support</w:t>
      </w:r>
      <w:r w:rsidR="005824F2" w:rsidRPr="00062864">
        <w:rPr>
          <w:rFonts w:eastAsia="Times New Roman" w:cs="Times New Roman"/>
          <w:noProof/>
        </w:rPr>
        <w:t>s</w:t>
      </w:r>
      <w:r w:rsidR="0B433B05" w:rsidRPr="00373CE6">
        <w:rPr>
          <w:rFonts w:eastAsia="Times New Roman" w:cs="Times New Roman"/>
          <w:noProof/>
        </w:rPr>
        <w:t xml:space="preserve"> companies affected by the </w:t>
      </w:r>
      <w:r w:rsidR="00220181">
        <w:rPr>
          <w:rFonts w:eastAsia="Times New Roman" w:cs="Times New Roman"/>
          <w:noProof/>
        </w:rPr>
        <w:t>COVID-19</w:t>
      </w:r>
      <w:r w:rsidR="00220181" w:rsidRPr="00373CE6">
        <w:rPr>
          <w:rFonts w:eastAsia="Times New Roman" w:cs="Times New Roman"/>
          <w:noProof/>
        </w:rPr>
        <w:t xml:space="preserve"> </w:t>
      </w:r>
      <w:r w:rsidR="005824F2" w:rsidRPr="00373CE6">
        <w:rPr>
          <w:rFonts w:eastAsia="Times New Roman" w:cs="Times New Roman"/>
          <w:noProof/>
        </w:rPr>
        <w:t>pandemic</w:t>
      </w:r>
      <w:r w:rsidR="0B433B05" w:rsidRPr="00373CE6">
        <w:rPr>
          <w:rFonts w:eastAsia="Times New Roman" w:cs="Times New Roman"/>
          <w:noProof/>
        </w:rPr>
        <w:t xml:space="preserve"> in 22 participating Member States</w:t>
      </w:r>
      <w:r w:rsidR="00062352" w:rsidRPr="00947B7D">
        <w:rPr>
          <w:rStyle w:val="FootnoteReference"/>
          <w:rFonts w:eastAsia="Times New Roman" w:cs="Times New Roman"/>
          <w:noProof/>
        </w:rPr>
        <w:footnoteReference w:id="119"/>
      </w:r>
      <w:r w:rsidR="0B433B05" w:rsidRPr="00947B7D">
        <w:rPr>
          <w:rFonts w:eastAsia="Times New Roman" w:cs="Times New Roman"/>
          <w:noProof/>
        </w:rPr>
        <w:t xml:space="preserve">. </w:t>
      </w:r>
    </w:p>
    <w:p w14:paraId="3E9EBD1F" w14:textId="77777777" w:rsidR="005824F2" w:rsidRPr="006900E2" w:rsidRDefault="005824F2">
      <w:pPr>
        <w:pStyle w:val="Heading4"/>
        <w:rPr>
          <w:i w:val="0"/>
          <w:iCs w:val="0"/>
          <w:noProof/>
        </w:rPr>
      </w:pPr>
      <w:r w:rsidRPr="00DB1492">
        <w:rPr>
          <w:noProof/>
        </w:rPr>
        <w:t>State aid decisions under Article 107(2)</w:t>
      </w:r>
      <w:r w:rsidR="004A5EAA">
        <w:rPr>
          <w:noProof/>
        </w:rPr>
        <w:t>(</w:t>
      </w:r>
      <w:r w:rsidRPr="00DB1492">
        <w:rPr>
          <w:noProof/>
        </w:rPr>
        <w:t>b</w:t>
      </w:r>
      <w:r w:rsidR="004A5EAA">
        <w:rPr>
          <w:noProof/>
        </w:rPr>
        <w:t>)</w:t>
      </w:r>
      <w:r w:rsidRPr="00DB1492">
        <w:rPr>
          <w:noProof/>
        </w:rPr>
        <w:t xml:space="preserve"> TFEU</w:t>
      </w:r>
    </w:p>
    <w:p w14:paraId="6ACA1A76" w14:textId="32C2A51F" w:rsidR="00E14A21" w:rsidRPr="004155ED" w:rsidRDefault="00E14A21" w:rsidP="006900E2">
      <w:pPr>
        <w:spacing w:line="264" w:lineRule="auto"/>
        <w:ind w:right="4"/>
        <w:jc w:val="both"/>
        <w:rPr>
          <w:rFonts w:cs="Times New Roman"/>
          <w:noProof/>
        </w:rPr>
      </w:pPr>
      <w:r w:rsidRPr="004155ED">
        <w:rPr>
          <w:rFonts w:cs="Times New Roman"/>
          <w:noProof/>
          <w:lang w:val="en-US"/>
        </w:rPr>
        <w:t>Article 107(2)</w:t>
      </w:r>
      <w:r w:rsidR="004A5EAA" w:rsidRPr="00062864">
        <w:rPr>
          <w:rFonts w:cs="Times New Roman"/>
          <w:noProof/>
          <w:lang w:val="en-US"/>
        </w:rPr>
        <w:t>(</w:t>
      </w:r>
      <w:r w:rsidRPr="00062864">
        <w:rPr>
          <w:rFonts w:cs="Times New Roman"/>
          <w:noProof/>
          <w:lang w:val="en-US"/>
        </w:rPr>
        <w:t>b</w:t>
      </w:r>
      <w:r w:rsidR="004A5EAA" w:rsidRPr="00373CE6">
        <w:rPr>
          <w:rFonts w:cs="Times New Roman"/>
          <w:noProof/>
          <w:lang w:val="en-US"/>
        </w:rPr>
        <w:t>)</w:t>
      </w:r>
      <w:r w:rsidRPr="00373CE6">
        <w:rPr>
          <w:rFonts w:cs="Times New Roman"/>
          <w:noProof/>
          <w:lang w:val="en-US"/>
        </w:rPr>
        <w:t xml:space="preserve"> TFEU</w:t>
      </w:r>
      <w:r w:rsidR="00AC5CCA">
        <w:rPr>
          <w:rFonts w:cs="Times New Roman"/>
          <w:noProof/>
          <w:lang w:val="en-US"/>
        </w:rPr>
        <w:t xml:space="preserve"> </w:t>
      </w:r>
      <w:r w:rsidRPr="00373CE6">
        <w:rPr>
          <w:rFonts w:cs="Times New Roman"/>
          <w:noProof/>
          <w:lang w:val="en-US"/>
        </w:rPr>
        <w:t xml:space="preserve">enables the Commission to approve State aid measures granted by Member States to compensate </w:t>
      </w:r>
      <w:r w:rsidR="00EB1D97">
        <w:rPr>
          <w:rFonts w:cs="Times New Roman"/>
          <w:noProof/>
          <w:lang w:val="en-US"/>
        </w:rPr>
        <w:t>undertakings</w:t>
      </w:r>
      <w:r w:rsidRPr="00373CE6">
        <w:rPr>
          <w:rFonts w:cs="Times New Roman"/>
          <w:noProof/>
          <w:lang w:val="en-US"/>
        </w:rPr>
        <w:t xml:space="preserve"> for damage directly caused by exceptional occurrences such as the </w:t>
      </w:r>
      <w:r w:rsidR="0001076D">
        <w:rPr>
          <w:rFonts w:cs="Times New Roman"/>
          <w:noProof/>
          <w:lang w:val="en-US"/>
        </w:rPr>
        <w:t>COVID-19</w:t>
      </w:r>
      <w:r w:rsidR="0001076D" w:rsidRPr="00373CE6">
        <w:rPr>
          <w:rFonts w:cs="Times New Roman"/>
          <w:noProof/>
          <w:lang w:val="en-US"/>
        </w:rPr>
        <w:t xml:space="preserve"> </w:t>
      </w:r>
      <w:r w:rsidR="00F3186B" w:rsidRPr="005B1727">
        <w:rPr>
          <w:rFonts w:cs="Times New Roman"/>
          <w:noProof/>
          <w:lang w:val="en-US"/>
        </w:rPr>
        <w:t>pandemic</w:t>
      </w:r>
      <w:r w:rsidRPr="005B1727">
        <w:rPr>
          <w:rFonts w:cs="Times New Roman"/>
          <w:noProof/>
          <w:lang w:val="en-US"/>
        </w:rPr>
        <w:t xml:space="preserve"> </w:t>
      </w:r>
      <w:r w:rsidRPr="00C75974">
        <w:rPr>
          <w:rFonts w:cs="Times New Roman"/>
          <w:noProof/>
        </w:rPr>
        <w:t>(</w:t>
      </w:r>
      <w:r w:rsidR="00F3186B" w:rsidRPr="00C75974">
        <w:rPr>
          <w:rFonts w:cs="Times New Roman"/>
          <w:noProof/>
        </w:rPr>
        <w:t>for example</w:t>
      </w:r>
      <w:r w:rsidRPr="00C75974">
        <w:rPr>
          <w:rFonts w:cs="Times New Roman"/>
          <w:noProof/>
        </w:rPr>
        <w:t xml:space="preserve"> in transport, tour</w:t>
      </w:r>
      <w:r w:rsidRPr="00F07F0A">
        <w:rPr>
          <w:rFonts w:cs="Times New Roman"/>
          <w:noProof/>
        </w:rPr>
        <w:t>ism, culture, hospitality and retail</w:t>
      </w:r>
      <w:r w:rsidR="00AC5CCA">
        <w:rPr>
          <w:rFonts w:cs="Times New Roman"/>
          <w:noProof/>
        </w:rPr>
        <w:t xml:space="preserve"> sales</w:t>
      </w:r>
      <w:r w:rsidR="00E04191" w:rsidRPr="00F07F0A">
        <w:rPr>
          <w:rFonts w:cs="Times New Roman"/>
          <w:noProof/>
        </w:rPr>
        <w:t>)</w:t>
      </w:r>
      <w:r w:rsidRPr="00F07F0A">
        <w:rPr>
          <w:rFonts w:cs="Times New Roman"/>
          <w:noProof/>
        </w:rPr>
        <w:t xml:space="preserve">. Member States </w:t>
      </w:r>
      <w:r w:rsidR="00FB1619">
        <w:rPr>
          <w:rFonts w:cs="Times New Roman"/>
          <w:noProof/>
        </w:rPr>
        <w:t>may</w:t>
      </w:r>
      <w:r w:rsidRPr="00F07F0A">
        <w:rPr>
          <w:rFonts w:cs="Times New Roman"/>
          <w:noProof/>
        </w:rPr>
        <w:t xml:space="preserve"> notify </w:t>
      </w:r>
      <w:r w:rsidR="00F3186B" w:rsidRPr="00542672">
        <w:rPr>
          <w:rFonts w:cs="Times New Roman"/>
          <w:noProof/>
        </w:rPr>
        <w:t xml:space="preserve">to the Commission </w:t>
      </w:r>
      <w:r w:rsidRPr="0031030F">
        <w:rPr>
          <w:rFonts w:cs="Times New Roman"/>
          <w:noProof/>
        </w:rPr>
        <w:t>damage compensation measures</w:t>
      </w:r>
      <w:r w:rsidR="00AC5CCA">
        <w:rPr>
          <w:rFonts w:cs="Times New Roman"/>
          <w:noProof/>
        </w:rPr>
        <w:t xml:space="preserve"> </w:t>
      </w:r>
      <w:r w:rsidRPr="00347CA6">
        <w:rPr>
          <w:rFonts w:cs="Times New Roman"/>
          <w:noProof/>
        </w:rPr>
        <w:t xml:space="preserve">under Article 107(2)(b) TFEU </w:t>
      </w:r>
      <w:r w:rsidR="00F3186B" w:rsidRPr="00AA172B">
        <w:rPr>
          <w:rFonts w:cs="Times New Roman"/>
          <w:noProof/>
        </w:rPr>
        <w:t xml:space="preserve">provided that </w:t>
      </w:r>
      <w:r w:rsidR="00ED40F1">
        <w:rPr>
          <w:rFonts w:cs="Times New Roman"/>
          <w:noProof/>
        </w:rPr>
        <w:t>the aid is proportionate and there is a direct causal link between the exceptional occurrence (the COVID-19 pandemic) and the damage suffered by the beneficiaries</w:t>
      </w:r>
      <w:r w:rsidRPr="00947B7D">
        <w:rPr>
          <w:rStyle w:val="FootnoteReference"/>
          <w:rFonts w:cs="Times New Roman"/>
          <w:noProof/>
        </w:rPr>
        <w:footnoteReference w:id="120"/>
      </w:r>
      <w:r w:rsidRPr="00947B7D">
        <w:rPr>
          <w:rFonts w:cs="Times New Roman"/>
          <w:noProof/>
        </w:rPr>
        <w:t xml:space="preserve">. </w:t>
      </w:r>
    </w:p>
    <w:p w14:paraId="666616A7" w14:textId="32F306BB" w:rsidR="00E14A21" w:rsidRPr="003669F0" w:rsidRDefault="00E14A21" w:rsidP="006900E2">
      <w:pPr>
        <w:spacing w:line="264" w:lineRule="auto"/>
        <w:ind w:right="4"/>
        <w:jc w:val="both"/>
        <w:rPr>
          <w:rFonts w:cs="Times New Roman"/>
          <w:noProof/>
        </w:rPr>
      </w:pPr>
      <w:r w:rsidRPr="00062864">
        <w:rPr>
          <w:rFonts w:cs="Times New Roman"/>
          <w:noProof/>
        </w:rPr>
        <w:t xml:space="preserve">For example, </w:t>
      </w:r>
      <w:r w:rsidRPr="00062864">
        <w:rPr>
          <w:rFonts w:cs="Times New Roman"/>
          <w:noProof/>
          <w:lang w:val="en-US"/>
        </w:rPr>
        <w:t>in January 2021 th</w:t>
      </w:r>
      <w:r w:rsidRPr="00373CE6">
        <w:rPr>
          <w:rFonts w:cs="Times New Roman"/>
          <w:noProof/>
          <w:lang w:val="en-US"/>
        </w:rPr>
        <w:t xml:space="preserve">e </w:t>
      </w:r>
      <w:r w:rsidR="00FB1619" w:rsidRPr="00373CE6">
        <w:rPr>
          <w:rFonts w:cs="Times New Roman"/>
          <w:noProof/>
          <w:lang w:val="en-US"/>
        </w:rPr>
        <w:t>Commission</w:t>
      </w:r>
      <w:r w:rsidRPr="003669F0">
        <w:rPr>
          <w:rFonts w:cs="Times New Roman"/>
          <w:noProof/>
        </w:rPr>
        <w:t xml:space="preserve"> </w:t>
      </w:r>
      <w:r w:rsidR="00F3186B" w:rsidRPr="003669F0">
        <w:rPr>
          <w:rFonts w:cs="Times New Roman"/>
          <w:noProof/>
        </w:rPr>
        <w:t xml:space="preserve">authorised </w:t>
      </w:r>
      <w:r w:rsidRPr="003669F0">
        <w:rPr>
          <w:rFonts w:cs="Times New Roman"/>
          <w:noProof/>
        </w:rPr>
        <w:t xml:space="preserve">a </w:t>
      </w:r>
      <w:r w:rsidR="00F3186B" w:rsidRPr="003669F0">
        <w:rPr>
          <w:rFonts w:cs="Times New Roman"/>
          <w:noProof/>
        </w:rPr>
        <w:t xml:space="preserve">EUR </w:t>
      </w:r>
      <w:r w:rsidRPr="003669F0">
        <w:rPr>
          <w:rFonts w:cs="Times New Roman"/>
          <w:noProof/>
        </w:rPr>
        <w:t xml:space="preserve">12 billion German umbrella scheme to compensate companies for damages suffered due to restrictive measures </w:t>
      </w:r>
      <w:r w:rsidR="00AC5CCA" w:rsidRPr="003669F0">
        <w:rPr>
          <w:rFonts w:cs="Times New Roman"/>
          <w:noProof/>
        </w:rPr>
        <w:t xml:space="preserve">introduced </w:t>
      </w:r>
      <w:r w:rsidRPr="003669F0">
        <w:rPr>
          <w:rFonts w:cs="Times New Roman"/>
          <w:noProof/>
        </w:rPr>
        <w:t xml:space="preserve">to contain the </w:t>
      </w:r>
      <w:r w:rsidR="0001076D">
        <w:rPr>
          <w:rFonts w:cs="Times New Roman"/>
          <w:noProof/>
          <w:lang w:val="en-US"/>
        </w:rPr>
        <w:t>COVID-19</w:t>
      </w:r>
      <w:r w:rsidR="0001076D" w:rsidRPr="00373CE6">
        <w:rPr>
          <w:rFonts w:cs="Times New Roman"/>
          <w:noProof/>
          <w:lang w:val="en-US"/>
        </w:rPr>
        <w:t xml:space="preserve"> </w:t>
      </w:r>
      <w:r w:rsidR="00F3186B" w:rsidRPr="003669F0">
        <w:rPr>
          <w:rFonts w:cs="Times New Roman"/>
          <w:noProof/>
        </w:rPr>
        <w:t>pandemic</w:t>
      </w:r>
      <w:r w:rsidRPr="003669F0">
        <w:rPr>
          <w:rStyle w:val="FootnoteReference"/>
          <w:rFonts w:cs="Times New Roman"/>
          <w:noProof/>
        </w:rPr>
        <w:footnoteReference w:id="121"/>
      </w:r>
      <w:r w:rsidR="00597AAC" w:rsidRPr="003669F0">
        <w:rPr>
          <w:rFonts w:cs="Times New Roman"/>
          <w:noProof/>
        </w:rPr>
        <w:t>.</w:t>
      </w:r>
      <w:r w:rsidRPr="003669F0">
        <w:rPr>
          <w:rFonts w:cs="Times New Roman"/>
          <w:noProof/>
        </w:rPr>
        <w:t xml:space="preserve"> Under th</w:t>
      </w:r>
      <w:r w:rsidR="00AC5CCA" w:rsidRPr="003669F0">
        <w:rPr>
          <w:rFonts w:cs="Times New Roman"/>
          <w:noProof/>
        </w:rPr>
        <w:t>is</w:t>
      </w:r>
      <w:r w:rsidRPr="003669F0">
        <w:rPr>
          <w:rFonts w:cs="Times New Roman"/>
          <w:noProof/>
        </w:rPr>
        <w:t xml:space="preserve"> scheme, companies from all sectors will be entitled to compensation for damages suffered during the lockdown periods </w:t>
      </w:r>
      <w:r w:rsidR="00EB1D97" w:rsidRPr="003669F0">
        <w:rPr>
          <w:rFonts w:cs="Times New Roman"/>
          <w:noProof/>
        </w:rPr>
        <w:t xml:space="preserve">as a consequence of restrictions </w:t>
      </w:r>
      <w:r w:rsidRPr="003669F0">
        <w:rPr>
          <w:rFonts w:cs="Times New Roman"/>
          <w:noProof/>
        </w:rPr>
        <w:t>imposed by the German government in March/April and November/December 2020</w:t>
      </w:r>
      <w:r w:rsidR="00AC5CCA" w:rsidRPr="003669F0">
        <w:rPr>
          <w:rFonts w:cs="Times New Roman"/>
          <w:noProof/>
        </w:rPr>
        <w:t>.</w:t>
      </w:r>
      <w:r w:rsidRPr="003669F0">
        <w:rPr>
          <w:rFonts w:cs="Times New Roman"/>
          <w:noProof/>
        </w:rPr>
        <w:t xml:space="preserve"> </w:t>
      </w:r>
    </w:p>
    <w:p w14:paraId="48A14F34" w14:textId="2A925318" w:rsidR="008B3BBA" w:rsidRDefault="00F3186B" w:rsidP="158881C6">
      <w:pPr>
        <w:spacing w:line="264" w:lineRule="auto"/>
        <w:ind w:right="4"/>
        <w:jc w:val="both"/>
        <w:rPr>
          <w:noProof/>
          <w:szCs w:val="24"/>
        </w:rPr>
      </w:pPr>
      <w:r w:rsidRPr="003669F0">
        <w:rPr>
          <w:rFonts w:cs="Times New Roman"/>
          <w:noProof/>
        </w:rPr>
        <w:t xml:space="preserve">In </w:t>
      </w:r>
      <w:r w:rsidR="00E14A21" w:rsidRPr="003669F0">
        <w:rPr>
          <w:rFonts w:cs="Times New Roman"/>
          <w:noProof/>
        </w:rPr>
        <w:t>April</w:t>
      </w:r>
      <w:r w:rsidRPr="003669F0">
        <w:rPr>
          <w:rFonts w:cs="Times New Roman"/>
          <w:noProof/>
        </w:rPr>
        <w:t xml:space="preserve"> 2021</w:t>
      </w:r>
      <w:r w:rsidR="00E14A21" w:rsidRPr="003669F0">
        <w:rPr>
          <w:rFonts w:cs="Times New Roman"/>
          <w:noProof/>
        </w:rPr>
        <w:t xml:space="preserve"> the Commission </w:t>
      </w:r>
      <w:r w:rsidRPr="003669F0">
        <w:rPr>
          <w:rFonts w:cs="Times New Roman"/>
          <w:noProof/>
        </w:rPr>
        <w:t>authorised under</w:t>
      </w:r>
      <w:r w:rsidRPr="00062864">
        <w:rPr>
          <w:rFonts w:cs="Times New Roman"/>
          <w:noProof/>
          <w:lang w:val="en-US"/>
        </w:rPr>
        <w:t xml:space="preserve"> Article 107(2)</w:t>
      </w:r>
      <w:r w:rsidR="002639D1">
        <w:rPr>
          <w:rFonts w:cs="Times New Roman"/>
          <w:noProof/>
          <w:lang w:val="en-US"/>
        </w:rPr>
        <w:t>(b</w:t>
      </w:r>
      <w:r w:rsidRPr="00062864">
        <w:rPr>
          <w:rFonts w:cs="Times New Roman"/>
          <w:noProof/>
          <w:lang w:val="en-US"/>
        </w:rPr>
        <w:t>)</w:t>
      </w:r>
      <w:r w:rsidRPr="00E403DE">
        <w:rPr>
          <w:rFonts w:cs="Times New Roman"/>
          <w:noProof/>
          <w:lang w:val="en-US"/>
        </w:rPr>
        <w:t xml:space="preserve"> </w:t>
      </w:r>
      <w:r w:rsidR="003C47BC" w:rsidRPr="002944D1">
        <w:rPr>
          <w:noProof/>
          <w:lang w:val="en-US"/>
        </w:rPr>
        <w:t>TFEU</w:t>
      </w:r>
      <w:r w:rsidRPr="00062864">
        <w:rPr>
          <w:rFonts w:cs="Times New Roman"/>
          <w:noProof/>
          <w:lang w:val="en-US"/>
        </w:rPr>
        <w:t xml:space="preserve"> a </w:t>
      </w:r>
      <w:r w:rsidR="005372D2">
        <w:rPr>
          <w:rFonts w:cs="Times New Roman"/>
          <w:noProof/>
          <w:lang w:val="en-US"/>
        </w:rPr>
        <w:t>Danish</w:t>
      </w:r>
      <w:r w:rsidRPr="00062864">
        <w:rPr>
          <w:rFonts w:cs="Times New Roman"/>
          <w:noProof/>
          <w:lang w:val="en-US"/>
        </w:rPr>
        <w:t xml:space="preserve"> scheme of </w:t>
      </w:r>
      <w:r w:rsidR="00D23787" w:rsidRPr="00373CE6">
        <w:rPr>
          <w:rFonts w:cs="Times New Roman"/>
          <w:noProof/>
          <w:lang w:val="en-US"/>
        </w:rPr>
        <w:t xml:space="preserve">EUR </w:t>
      </w:r>
      <w:r w:rsidR="00E14A21" w:rsidRPr="00373CE6">
        <w:rPr>
          <w:rFonts w:cs="Times New Roman"/>
          <w:noProof/>
          <w:lang w:val="en-US"/>
        </w:rPr>
        <w:t>1.74 billion to compensate mink farmers and mink</w:t>
      </w:r>
      <w:r w:rsidR="00AC5CCA">
        <w:rPr>
          <w:rFonts w:cs="Times New Roman"/>
          <w:noProof/>
          <w:lang w:val="en-US"/>
        </w:rPr>
        <w:t xml:space="preserve"> farming</w:t>
      </w:r>
      <w:r w:rsidR="00E14A21" w:rsidRPr="00373CE6">
        <w:rPr>
          <w:rFonts w:cs="Times New Roman"/>
          <w:noProof/>
          <w:lang w:val="en-US"/>
        </w:rPr>
        <w:t xml:space="preserve">-related businesses for measures taken in the context of the </w:t>
      </w:r>
      <w:r w:rsidR="0001076D">
        <w:rPr>
          <w:rFonts w:cs="Times New Roman"/>
          <w:noProof/>
          <w:lang w:val="en-US"/>
        </w:rPr>
        <w:t>COVID-19</w:t>
      </w:r>
      <w:r w:rsidR="0001076D" w:rsidRPr="00373CE6">
        <w:rPr>
          <w:rFonts w:cs="Times New Roman"/>
          <w:noProof/>
          <w:lang w:val="en-US"/>
        </w:rPr>
        <w:t xml:space="preserve"> </w:t>
      </w:r>
      <w:r w:rsidR="00853430" w:rsidRPr="00373CE6">
        <w:rPr>
          <w:rFonts w:cs="Times New Roman"/>
          <w:noProof/>
          <w:lang w:val="en-US"/>
        </w:rPr>
        <w:t>pandemic</w:t>
      </w:r>
      <w:r w:rsidR="00E14A21" w:rsidRPr="00947B7D">
        <w:rPr>
          <w:rStyle w:val="FootnoteReference"/>
          <w:rFonts w:cs="Times New Roman"/>
          <w:noProof/>
          <w:lang w:val="en-US"/>
        </w:rPr>
        <w:footnoteReference w:id="122"/>
      </w:r>
      <w:r w:rsidR="00926EFE" w:rsidRPr="00947B7D">
        <w:rPr>
          <w:rFonts w:cs="Times New Roman"/>
          <w:noProof/>
          <w:lang w:val="en-US"/>
        </w:rPr>
        <w:t>.</w:t>
      </w:r>
      <w:r w:rsidR="00E14A21" w:rsidRPr="004155ED">
        <w:rPr>
          <w:rFonts w:cs="Times New Roman"/>
          <w:noProof/>
          <w:lang w:val="en-US"/>
        </w:rPr>
        <w:t xml:space="preserve"> </w:t>
      </w:r>
      <w:r w:rsidR="007A671B" w:rsidRPr="004155ED">
        <w:rPr>
          <w:rFonts w:cs="Times New Roman"/>
          <w:noProof/>
          <w:lang w:val="en-US"/>
        </w:rPr>
        <w:t xml:space="preserve">In May 2021, the Commission </w:t>
      </w:r>
      <w:r w:rsidR="00AC5CCA" w:rsidRPr="00592B36">
        <w:rPr>
          <w:rFonts w:cs="Times New Roman"/>
          <w:noProof/>
          <w:lang w:val="en-IE"/>
        </w:rPr>
        <w:t>authorised</w:t>
      </w:r>
      <w:r w:rsidR="007A671B" w:rsidRPr="00062864">
        <w:rPr>
          <w:rFonts w:cs="Times New Roman"/>
          <w:noProof/>
          <w:lang w:val="en-US"/>
        </w:rPr>
        <w:t xml:space="preserve"> a EUR 10 billion German scheme to compensate companies </w:t>
      </w:r>
      <w:r w:rsidR="00AC5CCA">
        <w:rPr>
          <w:rFonts w:cs="Times New Roman"/>
          <w:noProof/>
          <w:lang w:val="en-US"/>
        </w:rPr>
        <w:t xml:space="preserve">in all </w:t>
      </w:r>
      <w:r w:rsidR="007A671B" w:rsidRPr="00062864">
        <w:rPr>
          <w:rFonts w:cs="Times New Roman"/>
          <w:noProof/>
          <w:lang w:val="en-US"/>
        </w:rPr>
        <w:t xml:space="preserve">sectors for damage </w:t>
      </w:r>
      <w:r w:rsidR="00AC5CCA">
        <w:rPr>
          <w:rFonts w:cs="Times New Roman"/>
          <w:noProof/>
          <w:lang w:val="en-US"/>
        </w:rPr>
        <w:t xml:space="preserve">caused by the </w:t>
      </w:r>
      <w:r w:rsidR="007A671B" w:rsidRPr="00062864">
        <w:rPr>
          <w:rFonts w:cs="Times New Roman"/>
          <w:noProof/>
          <w:lang w:val="en-US"/>
        </w:rPr>
        <w:t xml:space="preserve">emergency measures taken to limit the spread of the </w:t>
      </w:r>
      <w:r w:rsidR="0001076D">
        <w:rPr>
          <w:rFonts w:cs="Times New Roman"/>
          <w:noProof/>
          <w:lang w:val="en-US"/>
        </w:rPr>
        <w:t>COVID-19</w:t>
      </w:r>
      <w:r w:rsidR="007A671B" w:rsidRPr="00947B7D">
        <w:rPr>
          <w:rStyle w:val="FootnoteReference"/>
          <w:rFonts w:cs="Times New Roman"/>
          <w:noProof/>
          <w:lang w:val="en-US"/>
        </w:rPr>
        <w:footnoteReference w:id="123"/>
      </w:r>
      <w:r w:rsidR="00926EFE" w:rsidRPr="00947B7D">
        <w:rPr>
          <w:rFonts w:cs="Times New Roman"/>
          <w:noProof/>
          <w:lang w:val="en-US"/>
        </w:rPr>
        <w:t>.</w:t>
      </w:r>
      <w:r w:rsidR="00597AAC" w:rsidRPr="004155ED">
        <w:rPr>
          <w:rFonts w:cs="Times New Roman"/>
          <w:noProof/>
          <w:lang w:val="en-US"/>
        </w:rPr>
        <w:t xml:space="preserve"> </w:t>
      </w:r>
      <w:r w:rsidR="007A671B" w:rsidRPr="004155ED">
        <w:rPr>
          <w:rFonts w:cs="Times New Roman"/>
          <w:noProof/>
          <w:lang w:val="en-US"/>
        </w:rPr>
        <w:t xml:space="preserve">Moreover, </w:t>
      </w:r>
      <w:r w:rsidR="007A671B" w:rsidRPr="00062864">
        <w:rPr>
          <w:rFonts w:eastAsia="Times New Roman" w:cs="Times New Roman"/>
          <w:noProof/>
          <w:color w:val="000000"/>
          <w:lang w:val="en-US"/>
        </w:rPr>
        <w:t>i</w:t>
      </w:r>
      <w:r w:rsidR="00E14A21" w:rsidRPr="00062864">
        <w:rPr>
          <w:rFonts w:eastAsia="Times New Roman" w:cs="Times New Roman"/>
          <w:noProof/>
          <w:color w:val="000000"/>
          <w:lang w:val="en-US"/>
        </w:rPr>
        <w:t xml:space="preserve">n July 2021, the Commission approved a </w:t>
      </w:r>
      <w:r w:rsidR="00390B85" w:rsidRPr="00373CE6">
        <w:rPr>
          <w:rFonts w:eastAsia="Times New Roman" w:cs="Times New Roman"/>
          <w:noProof/>
          <w:color w:val="000000"/>
          <w:lang w:val="en-US"/>
        </w:rPr>
        <w:t xml:space="preserve">EUR </w:t>
      </w:r>
      <w:r w:rsidR="00E14A21" w:rsidRPr="00373CE6">
        <w:rPr>
          <w:rFonts w:eastAsia="Times New Roman" w:cs="Times New Roman"/>
          <w:noProof/>
          <w:color w:val="000000"/>
          <w:lang w:val="en-US"/>
        </w:rPr>
        <w:t>800 million Italian scheme to compensate airports and ground</w:t>
      </w:r>
      <w:r w:rsidR="00E51C57">
        <w:rPr>
          <w:rFonts w:eastAsia="Times New Roman" w:cs="Times New Roman"/>
          <w:noProof/>
          <w:color w:val="000000"/>
          <w:lang w:val="en-US"/>
        </w:rPr>
        <w:t xml:space="preserve"> </w:t>
      </w:r>
      <w:r w:rsidR="00E14A21" w:rsidRPr="00373CE6">
        <w:rPr>
          <w:rFonts w:eastAsia="Times New Roman" w:cs="Times New Roman"/>
          <w:noProof/>
          <w:color w:val="000000"/>
          <w:lang w:val="en-US"/>
        </w:rPr>
        <w:t xml:space="preserve">handling operators for the damage </w:t>
      </w:r>
      <w:r w:rsidR="00E51C57">
        <w:rPr>
          <w:rFonts w:eastAsia="Times New Roman" w:cs="Times New Roman"/>
          <w:noProof/>
          <w:color w:val="000000"/>
          <w:lang w:val="en-US"/>
        </w:rPr>
        <w:t xml:space="preserve">caused by </w:t>
      </w:r>
      <w:r w:rsidR="00E14A21" w:rsidRPr="00373CE6">
        <w:rPr>
          <w:rFonts w:eastAsia="Times New Roman" w:cs="Times New Roman"/>
          <w:noProof/>
          <w:color w:val="000000"/>
          <w:lang w:val="en-US"/>
        </w:rPr>
        <w:t xml:space="preserve">the </w:t>
      </w:r>
      <w:r w:rsidR="0001076D">
        <w:rPr>
          <w:rFonts w:cs="Times New Roman"/>
          <w:noProof/>
          <w:lang w:val="en-US"/>
        </w:rPr>
        <w:t>COVID-19</w:t>
      </w:r>
      <w:r w:rsidR="0001076D" w:rsidRPr="00373CE6">
        <w:rPr>
          <w:rFonts w:cs="Times New Roman"/>
          <w:noProof/>
          <w:lang w:val="en-US"/>
        </w:rPr>
        <w:t xml:space="preserve"> </w:t>
      </w:r>
      <w:r w:rsidR="00853430" w:rsidRPr="00373CE6">
        <w:rPr>
          <w:rFonts w:eastAsia="Times New Roman" w:cs="Times New Roman"/>
          <w:noProof/>
          <w:color w:val="000000"/>
          <w:lang w:val="en-US"/>
        </w:rPr>
        <w:t>pandemic</w:t>
      </w:r>
      <w:r w:rsidR="00E51C57">
        <w:rPr>
          <w:rFonts w:eastAsia="Times New Roman" w:cs="Times New Roman"/>
          <w:noProof/>
          <w:color w:val="000000"/>
          <w:lang w:val="en-US"/>
        </w:rPr>
        <w:t>, in particular,</w:t>
      </w:r>
      <w:r w:rsidR="00E14A21" w:rsidRPr="00373CE6">
        <w:rPr>
          <w:rFonts w:eastAsia="Times New Roman" w:cs="Times New Roman"/>
          <w:noProof/>
          <w:color w:val="000000"/>
          <w:lang w:val="en-US"/>
        </w:rPr>
        <w:t xml:space="preserve"> the travel restrictions imp</w:t>
      </w:r>
      <w:r w:rsidR="00E51C57">
        <w:rPr>
          <w:rFonts w:eastAsia="Times New Roman" w:cs="Times New Roman"/>
          <w:noProof/>
          <w:color w:val="000000"/>
          <w:lang w:val="en-US"/>
        </w:rPr>
        <w:t xml:space="preserve">osed </w:t>
      </w:r>
      <w:r w:rsidR="00E14A21" w:rsidRPr="00373CE6">
        <w:rPr>
          <w:rFonts w:eastAsia="Times New Roman" w:cs="Times New Roman"/>
          <w:noProof/>
          <w:color w:val="000000"/>
          <w:lang w:val="en-US"/>
        </w:rPr>
        <w:t>to limit the spread of the virus</w:t>
      </w:r>
      <w:r w:rsidR="00E14A21" w:rsidRPr="00947B7D">
        <w:rPr>
          <w:rStyle w:val="FootnoteReference"/>
          <w:rFonts w:eastAsia="Times New Roman" w:cs="Times New Roman"/>
          <w:noProof/>
          <w:color w:val="000000"/>
          <w:lang w:val="en-US"/>
        </w:rPr>
        <w:footnoteReference w:id="124"/>
      </w:r>
      <w:r w:rsidR="00E14A21" w:rsidRPr="00947B7D">
        <w:rPr>
          <w:rFonts w:eastAsia="Times New Roman" w:cs="Times New Roman"/>
          <w:noProof/>
          <w:color w:val="000000"/>
          <w:lang w:val="en-US"/>
        </w:rPr>
        <w:t>.</w:t>
      </w:r>
    </w:p>
    <w:p w14:paraId="6F6864EA" w14:textId="77777777" w:rsidR="008B3BBA" w:rsidRPr="000F147F" w:rsidRDefault="008B3BBA">
      <w:pPr>
        <w:pStyle w:val="Heading4"/>
        <w:rPr>
          <w:i w:val="0"/>
          <w:iCs w:val="0"/>
          <w:noProof/>
        </w:rPr>
      </w:pPr>
      <w:r w:rsidRPr="00DB1492">
        <w:rPr>
          <w:noProof/>
        </w:rPr>
        <w:t>State aid to the aviation sector</w:t>
      </w:r>
    </w:p>
    <w:p w14:paraId="12F45BD9" w14:textId="0F4694A8" w:rsidR="007E0483" w:rsidRPr="000F147F" w:rsidRDefault="00E51C57" w:rsidP="000F147F">
      <w:pPr>
        <w:spacing w:line="264" w:lineRule="auto"/>
        <w:jc w:val="both"/>
        <w:rPr>
          <w:rFonts w:eastAsia="Times New Roman" w:cs="Times New Roman"/>
          <w:noProof/>
        </w:rPr>
      </w:pPr>
      <w:r>
        <w:rPr>
          <w:noProof/>
        </w:rPr>
        <w:t>Throughout 2021, t</w:t>
      </w:r>
      <w:r w:rsidR="0098726C" w:rsidRPr="00947B7D">
        <w:rPr>
          <w:noProof/>
        </w:rPr>
        <w:t>he a</w:t>
      </w:r>
      <w:r w:rsidR="007E0483" w:rsidRPr="004155ED">
        <w:rPr>
          <w:noProof/>
        </w:rPr>
        <w:t xml:space="preserve">viation sector </w:t>
      </w:r>
      <w:r w:rsidR="00531F92" w:rsidRPr="004155ED">
        <w:rPr>
          <w:noProof/>
        </w:rPr>
        <w:t xml:space="preserve">continued to be </w:t>
      </w:r>
      <w:r w:rsidR="0069005E">
        <w:rPr>
          <w:noProof/>
        </w:rPr>
        <w:t xml:space="preserve">one of </w:t>
      </w:r>
      <w:r w:rsidR="0098726C" w:rsidRPr="00062864">
        <w:rPr>
          <w:noProof/>
        </w:rPr>
        <w:t xml:space="preserve">the </w:t>
      </w:r>
      <w:r w:rsidR="007E0483" w:rsidRPr="00062864">
        <w:rPr>
          <w:noProof/>
        </w:rPr>
        <w:t xml:space="preserve">most severely affected by the </w:t>
      </w:r>
      <w:r w:rsidR="00220181">
        <w:rPr>
          <w:noProof/>
        </w:rPr>
        <w:t>COVID-19</w:t>
      </w:r>
      <w:r w:rsidR="00220181" w:rsidRPr="00062864">
        <w:rPr>
          <w:noProof/>
        </w:rPr>
        <w:t xml:space="preserve"> </w:t>
      </w:r>
      <w:r w:rsidR="007E0483" w:rsidRPr="00062864">
        <w:rPr>
          <w:noProof/>
        </w:rPr>
        <w:t>pandemic</w:t>
      </w:r>
      <w:r>
        <w:rPr>
          <w:noProof/>
        </w:rPr>
        <w:t>. During this year</w:t>
      </w:r>
      <w:r w:rsidR="007E0483" w:rsidRPr="00373CE6">
        <w:rPr>
          <w:noProof/>
          <w:lang w:val="en-IE"/>
        </w:rPr>
        <w:t xml:space="preserve">, the Commission adopted 35 decisions allowing State aid </w:t>
      </w:r>
      <w:r w:rsidR="0098726C" w:rsidRPr="00373CE6">
        <w:rPr>
          <w:noProof/>
          <w:lang w:val="en-IE"/>
        </w:rPr>
        <w:t xml:space="preserve">to </w:t>
      </w:r>
      <w:r w:rsidR="002D1C7C">
        <w:rPr>
          <w:noProof/>
          <w:lang w:val="en-IE"/>
        </w:rPr>
        <w:t>undertakings</w:t>
      </w:r>
      <w:r w:rsidR="002D1C7C" w:rsidRPr="00373CE6">
        <w:rPr>
          <w:noProof/>
          <w:lang w:val="en-IE"/>
        </w:rPr>
        <w:t xml:space="preserve"> </w:t>
      </w:r>
      <w:r w:rsidR="007E0483" w:rsidRPr="00373CE6">
        <w:rPr>
          <w:noProof/>
          <w:lang w:val="en-IE"/>
        </w:rPr>
        <w:t xml:space="preserve">active in </w:t>
      </w:r>
      <w:r w:rsidR="002D1C7C">
        <w:rPr>
          <w:noProof/>
          <w:lang w:val="en-IE"/>
        </w:rPr>
        <w:t>the</w:t>
      </w:r>
      <w:r w:rsidR="007E0483" w:rsidRPr="00373CE6">
        <w:rPr>
          <w:noProof/>
          <w:lang w:val="en-IE"/>
        </w:rPr>
        <w:t xml:space="preserve"> aviatio</w:t>
      </w:r>
      <w:r w:rsidR="0098726C" w:rsidRPr="005B1727">
        <w:rPr>
          <w:noProof/>
          <w:lang w:val="en-IE"/>
        </w:rPr>
        <w:t>n</w:t>
      </w:r>
      <w:r w:rsidR="007E0483" w:rsidRPr="005B1727">
        <w:rPr>
          <w:noProof/>
        </w:rPr>
        <w:t xml:space="preserve"> </w:t>
      </w:r>
      <w:r w:rsidR="002D1C7C">
        <w:rPr>
          <w:noProof/>
        </w:rPr>
        <w:t xml:space="preserve">sector </w:t>
      </w:r>
      <w:r w:rsidR="007E0483" w:rsidRPr="005B1727">
        <w:rPr>
          <w:noProof/>
        </w:rPr>
        <w:t xml:space="preserve">to </w:t>
      </w:r>
      <w:r>
        <w:rPr>
          <w:noProof/>
        </w:rPr>
        <w:t xml:space="preserve">fulfil </w:t>
      </w:r>
      <w:r w:rsidR="007E0483" w:rsidRPr="005B1727">
        <w:rPr>
          <w:noProof/>
        </w:rPr>
        <w:t xml:space="preserve">their liquidity and capital needs brought about by the </w:t>
      </w:r>
      <w:r w:rsidR="0001076D">
        <w:rPr>
          <w:rFonts w:cs="Times New Roman"/>
          <w:noProof/>
          <w:lang w:val="en-US"/>
        </w:rPr>
        <w:t>COVID-19</w:t>
      </w:r>
      <w:r w:rsidR="0001076D" w:rsidRPr="00373CE6">
        <w:rPr>
          <w:rFonts w:cs="Times New Roman"/>
          <w:noProof/>
          <w:lang w:val="en-US"/>
        </w:rPr>
        <w:t xml:space="preserve"> </w:t>
      </w:r>
      <w:r>
        <w:rPr>
          <w:noProof/>
        </w:rPr>
        <w:t>pandemic</w:t>
      </w:r>
      <w:r w:rsidR="0098726C" w:rsidRPr="00C75974">
        <w:rPr>
          <w:noProof/>
        </w:rPr>
        <w:t>.</w:t>
      </w:r>
      <w:r w:rsidR="007E0483" w:rsidRPr="00C75974">
        <w:rPr>
          <w:noProof/>
        </w:rPr>
        <w:t xml:space="preserve"> </w:t>
      </w:r>
      <w:r w:rsidR="007E0483" w:rsidRPr="00947B7D">
        <w:rPr>
          <w:noProof/>
        </w:rPr>
        <w:t xml:space="preserve">These </w:t>
      </w:r>
      <w:r>
        <w:rPr>
          <w:noProof/>
        </w:rPr>
        <w:t xml:space="preserve">State </w:t>
      </w:r>
      <w:r w:rsidR="007E0483" w:rsidRPr="00947B7D">
        <w:rPr>
          <w:noProof/>
        </w:rPr>
        <w:t xml:space="preserve">aid measures were </w:t>
      </w:r>
      <w:r>
        <w:rPr>
          <w:noProof/>
        </w:rPr>
        <w:t xml:space="preserve">most frequently </w:t>
      </w:r>
      <w:r w:rsidR="007E0483" w:rsidRPr="00947B7D">
        <w:rPr>
          <w:noProof/>
        </w:rPr>
        <w:t xml:space="preserve">approved under the Temporary Framework </w:t>
      </w:r>
      <w:r w:rsidR="00187668">
        <w:rPr>
          <w:noProof/>
        </w:rPr>
        <w:t xml:space="preserve">for State aid measures </w:t>
      </w:r>
      <w:r w:rsidR="007E0483" w:rsidRPr="00947B7D">
        <w:rPr>
          <w:noProof/>
        </w:rPr>
        <w:t>or Article 107(2)(b) TFEU</w:t>
      </w:r>
      <w:r w:rsidR="007F2525" w:rsidRPr="004155ED">
        <w:rPr>
          <w:noProof/>
        </w:rPr>
        <w:t>.</w:t>
      </w:r>
      <w:r w:rsidR="00355C06" w:rsidRPr="004155ED">
        <w:rPr>
          <w:noProof/>
        </w:rPr>
        <w:t xml:space="preserve"> </w:t>
      </w:r>
    </w:p>
    <w:p w14:paraId="43744A9B" w14:textId="1DCA31D4" w:rsidR="00592EA0" w:rsidRDefault="00D04531" w:rsidP="000F147F">
      <w:pPr>
        <w:spacing w:line="264" w:lineRule="auto"/>
        <w:jc w:val="both"/>
        <w:rPr>
          <w:rFonts w:cs="Times New Roman"/>
          <w:noProof/>
          <w:lang w:val="en-US"/>
        </w:rPr>
      </w:pPr>
      <w:r>
        <w:rPr>
          <w:rFonts w:eastAsia="Times New Roman" w:cs="Times New Roman"/>
          <w:noProof/>
        </w:rPr>
        <w:t xml:space="preserve">The Commission approved State aid </w:t>
      </w:r>
      <w:r w:rsidR="007E0483" w:rsidRPr="006D6A86">
        <w:rPr>
          <w:rFonts w:eastAsia="Times New Roman" w:cs="Times New Roman"/>
          <w:noProof/>
        </w:rPr>
        <w:t>to the a</w:t>
      </w:r>
      <w:r>
        <w:rPr>
          <w:rFonts w:eastAsia="Times New Roman" w:cs="Times New Roman"/>
          <w:noProof/>
        </w:rPr>
        <w:t>irlines</w:t>
      </w:r>
      <w:r w:rsidR="00531F92" w:rsidRPr="006D6A86">
        <w:rPr>
          <w:rFonts w:eastAsia="Times New Roman" w:cs="Times New Roman"/>
          <w:noProof/>
        </w:rPr>
        <w:t xml:space="preserve"> </w:t>
      </w:r>
      <w:r w:rsidR="00531F92" w:rsidRPr="006D6A86">
        <w:rPr>
          <w:noProof/>
          <w:lang w:val="en-IE"/>
        </w:rPr>
        <w:t>Air France</w:t>
      </w:r>
      <w:r w:rsidR="00531F92" w:rsidRPr="00947B7D">
        <w:rPr>
          <w:rStyle w:val="FootnoteReference"/>
          <w:noProof/>
          <w:lang w:val="en-IE"/>
        </w:rPr>
        <w:footnoteReference w:id="125"/>
      </w:r>
      <w:r w:rsidR="00531F92" w:rsidRPr="00947B7D">
        <w:rPr>
          <w:noProof/>
          <w:lang w:val="en-IE"/>
        </w:rPr>
        <w:t>, TUI</w:t>
      </w:r>
      <w:r w:rsidR="00531F92" w:rsidRPr="00947B7D">
        <w:rPr>
          <w:rStyle w:val="FootnoteReference"/>
          <w:noProof/>
          <w:lang w:val="en-IE"/>
        </w:rPr>
        <w:footnoteReference w:id="126"/>
      </w:r>
      <w:r w:rsidR="00531F92" w:rsidRPr="00947B7D">
        <w:rPr>
          <w:noProof/>
          <w:lang w:val="en-IE"/>
        </w:rPr>
        <w:t>, Scandinavian Airlines Systems</w:t>
      </w:r>
      <w:r w:rsidR="00531F92" w:rsidRPr="00947B7D">
        <w:rPr>
          <w:rStyle w:val="FootnoteReference"/>
          <w:noProof/>
          <w:lang w:val="en-IE"/>
        </w:rPr>
        <w:footnoteReference w:id="127"/>
      </w:r>
      <w:r>
        <w:rPr>
          <w:noProof/>
          <w:lang w:val="en-IE"/>
        </w:rPr>
        <w:t xml:space="preserve">, </w:t>
      </w:r>
      <w:r w:rsidR="00531F92" w:rsidRPr="004155ED">
        <w:rPr>
          <w:noProof/>
          <w:lang w:val="en-IE"/>
        </w:rPr>
        <w:t>Finnair</w:t>
      </w:r>
      <w:r w:rsidR="008B3BBA" w:rsidRPr="00947B7D">
        <w:rPr>
          <w:rStyle w:val="FootnoteReference"/>
          <w:rFonts w:cs="Times New Roman"/>
          <w:noProof/>
          <w:lang w:val="en-US"/>
        </w:rPr>
        <w:footnoteReference w:id="128"/>
      </w:r>
      <w:r>
        <w:rPr>
          <w:noProof/>
          <w:lang w:val="en-IE"/>
        </w:rPr>
        <w:t xml:space="preserve"> and others</w:t>
      </w:r>
      <w:r w:rsidR="008B3BBA" w:rsidRPr="00947B7D">
        <w:rPr>
          <w:rFonts w:cs="Times New Roman"/>
          <w:noProof/>
          <w:lang w:val="en-US"/>
        </w:rPr>
        <w:t>.</w:t>
      </w:r>
      <w:r>
        <w:rPr>
          <w:rFonts w:cs="Times New Roman"/>
          <w:noProof/>
          <w:lang w:val="en-US"/>
        </w:rPr>
        <w:t xml:space="preserve"> </w:t>
      </w:r>
      <w:r w:rsidR="00592EA0" w:rsidRPr="00947B7D">
        <w:rPr>
          <w:rFonts w:cs="Times New Roman"/>
          <w:noProof/>
          <w:lang w:val="en-US"/>
        </w:rPr>
        <w:t xml:space="preserve">Moreover, the Commission assessed several rescue or restructuring </w:t>
      </w:r>
      <w:r w:rsidR="00472EE2">
        <w:rPr>
          <w:rFonts w:cs="Times New Roman"/>
          <w:noProof/>
          <w:lang w:val="en-US"/>
        </w:rPr>
        <w:t xml:space="preserve">measures </w:t>
      </w:r>
      <w:r>
        <w:rPr>
          <w:rFonts w:cs="Times New Roman"/>
          <w:noProof/>
          <w:lang w:val="en-US"/>
        </w:rPr>
        <w:t xml:space="preserve">for </w:t>
      </w:r>
      <w:r w:rsidR="00592EA0" w:rsidRPr="00947B7D">
        <w:rPr>
          <w:rFonts w:cs="Times New Roman"/>
          <w:noProof/>
          <w:lang w:val="en-US"/>
        </w:rPr>
        <w:t>airlines such as TAP</w:t>
      </w:r>
      <w:r w:rsidR="00592EA0" w:rsidRPr="00947B7D">
        <w:rPr>
          <w:rStyle w:val="FootnoteReference"/>
          <w:rFonts w:cs="Times New Roman"/>
          <w:noProof/>
          <w:lang w:val="en-US"/>
        </w:rPr>
        <w:footnoteReference w:id="129"/>
      </w:r>
      <w:r w:rsidR="00592EA0" w:rsidRPr="00947B7D">
        <w:rPr>
          <w:rFonts w:cs="Times New Roman"/>
          <w:noProof/>
          <w:lang w:val="en-US"/>
        </w:rPr>
        <w:t xml:space="preserve"> and</w:t>
      </w:r>
      <w:r w:rsidR="00F37CB5">
        <w:rPr>
          <w:rFonts w:cs="Times New Roman"/>
          <w:noProof/>
          <w:lang w:val="en-US"/>
        </w:rPr>
        <w:t xml:space="preserve"> Condor</w:t>
      </w:r>
      <w:r w:rsidR="00F37CB5">
        <w:rPr>
          <w:rStyle w:val="FootnoteReference"/>
          <w:rFonts w:cs="Times New Roman"/>
          <w:noProof/>
          <w:lang w:val="en-US"/>
        </w:rPr>
        <w:footnoteReference w:id="130"/>
      </w:r>
      <w:r w:rsidR="00592EA0" w:rsidRPr="00947B7D">
        <w:rPr>
          <w:rFonts w:cs="Times New Roman"/>
          <w:noProof/>
          <w:lang w:val="en-US"/>
        </w:rPr>
        <w:t xml:space="preserve"> and </w:t>
      </w:r>
      <w:r w:rsidR="00592EA0" w:rsidRPr="004A63A8">
        <w:rPr>
          <w:rFonts w:cs="Times New Roman"/>
          <w:noProof/>
        </w:rPr>
        <w:t>authorised</w:t>
      </w:r>
      <w:r w:rsidR="00592EA0" w:rsidRPr="00947B7D">
        <w:rPr>
          <w:rFonts w:cs="Times New Roman"/>
          <w:noProof/>
          <w:lang w:val="en-US"/>
        </w:rPr>
        <w:t xml:space="preserve"> </w:t>
      </w:r>
      <w:r>
        <w:rPr>
          <w:rFonts w:cs="Times New Roman"/>
          <w:noProof/>
          <w:lang w:val="en-US"/>
        </w:rPr>
        <w:t xml:space="preserve">State </w:t>
      </w:r>
      <w:r w:rsidR="00592EA0" w:rsidRPr="00947B7D">
        <w:rPr>
          <w:rFonts w:cs="Times New Roman"/>
          <w:noProof/>
          <w:lang w:val="en-US"/>
        </w:rPr>
        <w:t>aid to ensure the long-term viability of th</w:t>
      </w:r>
      <w:r w:rsidR="00472EE2">
        <w:rPr>
          <w:rFonts w:cs="Times New Roman"/>
          <w:noProof/>
          <w:lang w:val="en-US"/>
        </w:rPr>
        <w:t>o</w:t>
      </w:r>
      <w:r w:rsidR="00592EA0" w:rsidRPr="00947B7D">
        <w:rPr>
          <w:rFonts w:cs="Times New Roman"/>
          <w:noProof/>
          <w:lang w:val="en-US"/>
        </w:rPr>
        <w:t xml:space="preserve">se </w:t>
      </w:r>
      <w:r>
        <w:rPr>
          <w:rFonts w:cs="Times New Roman"/>
          <w:noProof/>
          <w:lang w:val="en-US"/>
        </w:rPr>
        <w:t>and other airlines</w:t>
      </w:r>
      <w:r w:rsidR="00592EA0" w:rsidRPr="00947B7D">
        <w:rPr>
          <w:rFonts w:cs="Times New Roman"/>
          <w:noProof/>
          <w:lang w:val="en-US"/>
        </w:rPr>
        <w:t>.</w:t>
      </w:r>
    </w:p>
    <w:p w14:paraId="35678D9F" w14:textId="13E31F7F" w:rsidR="009E7AAB" w:rsidRPr="000F147F" w:rsidRDefault="009E7AAB" w:rsidP="000F147F">
      <w:pPr>
        <w:spacing w:line="264" w:lineRule="auto"/>
        <w:jc w:val="both"/>
        <w:rPr>
          <w:rFonts w:cs="Times New Roman"/>
          <w:noProof/>
          <w:lang w:val="en-US"/>
        </w:rPr>
      </w:pPr>
      <w:r w:rsidRPr="00D112F5">
        <w:rPr>
          <w:rFonts w:cs="Times New Roman"/>
          <w:noProof/>
          <w:lang w:val="en-US"/>
        </w:rPr>
        <w:t>In September 2021, the Commission adopted two decisions regarding the Italian airline Alitalia. After in-depth investigation</w:t>
      </w:r>
      <w:r w:rsidR="00E51C57">
        <w:rPr>
          <w:rFonts w:cs="Times New Roman"/>
          <w:noProof/>
          <w:lang w:val="en-US"/>
        </w:rPr>
        <w:t>s</w:t>
      </w:r>
      <w:r w:rsidRPr="00D112F5">
        <w:rPr>
          <w:rFonts w:cs="Times New Roman"/>
          <w:noProof/>
          <w:lang w:val="en-US"/>
        </w:rPr>
        <w:t xml:space="preserve"> </w:t>
      </w:r>
      <w:r w:rsidR="00E51C57">
        <w:rPr>
          <w:rFonts w:cs="Times New Roman"/>
          <w:noProof/>
          <w:lang w:val="en-US"/>
        </w:rPr>
        <w:t xml:space="preserve">into </w:t>
      </w:r>
      <w:r w:rsidRPr="00D112F5">
        <w:rPr>
          <w:rFonts w:cs="Times New Roman"/>
          <w:noProof/>
          <w:lang w:val="en-US"/>
        </w:rPr>
        <w:t xml:space="preserve">two </w:t>
      </w:r>
      <w:r w:rsidR="00E51C57">
        <w:rPr>
          <w:rFonts w:cs="Times New Roman"/>
          <w:noProof/>
          <w:lang w:val="en-US"/>
        </w:rPr>
        <w:t>S</w:t>
      </w:r>
      <w:r w:rsidRPr="00D112F5">
        <w:rPr>
          <w:rFonts w:cs="Times New Roman"/>
          <w:noProof/>
          <w:lang w:val="en-US"/>
        </w:rPr>
        <w:t>tate loans</w:t>
      </w:r>
      <w:r w:rsidR="00E51C57">
        <w:rPr>
          <w:rFonts w:cs="Times New Roman"/>
          <w:noProof/>
          <w:lang w:val="en-US"/>
        </w:rPr>
        <w:t xml:space="preserve"> amounting to </w:t>
      </w:r>
      <w:r w:rsidRPr="00D112F5">
        <w:rPr>
          <w:rFonts w:cs="Times New Roman"/>
          <w:noProof/>
          <w:lang w:val="en-US"/>
        </w:rPr>
        <w:t>EUR 900 million</w:t>
      </w:r>
      <w:r w:rsidR="00E51C57">
        <w:rPr>
          <w:rFonts w:cs="Times New Roman"/>
          <w:noProof/>
          <w:lang w:val="en-US"/>
        </w:rPr>
        <w:t xml:space="preserve"> in total granted in 201</w:t>
      </w:r>
      <w:r w:rsidR="004A63A8">
        <w:rPr>
          <w:rFonts w:cs="Times New Roman"/>
          <w:noProof/>
          <w:lang w:val="en-US"/>
        </w:rPr>
        <w:t>7</w:t>
      </w:r>
      <w:r w:rsidRPr="00D112F5">
        <w:rPr>
          <w:rFonts w:cs="Times New Roman"/>
          <w:noProof/>
          <w:lang w:val="en-US"/>
        </w:rPr>
        <w:t>, the Commission concluded that these loans constitute</w:t>
      </w:r>
      <w:r w:rsidR="00E51C57">
        <w:rPr>
          <w:rFonts w:cs="Times New Roman"/>
          <w:noProof/>
          <w:lang w:val="en-US"/>
        </w:rPr>
        <w:t>d</w:t>
      </w:r>
      <w:r w:rsidRPr="00D112F5">
        <w:rPr>
          <w:rFonts w:cs="Times New Roman"/>
          <w:noProof/>
          <w:lang w:val="en-US"/>
        </w:rPr>
        <w:t xml:space="preserve"> </w:t>
      </w:r>
      <w:r w:rsidR="002D1C7C">
        <w:rPr>
          <w:rFonts w:cs="Times New Roman"/>
          <w:noProof/>
          <w:lang w:val="en-US"/>
        </w:rPr>
        <w:t xml:space="preserve">unlawful and incompatible </w:t>
      </w:r>
      <w:r w:rsidRPr="00D112F5">
        <w:rPr>
          <w:rFonts w:cs="Times New Roman"/>
          <w:noProof/>
          <w:lang w:val="en-US"/>
        </w:rPr>
        <w:t>State aid</w:t>
      </w:r>
      <w:r>
        <w:rPr>
          <w:rStyle w:val="FootnoteReference"/>
          <w:rFonts w:cs="Times New Roman"/>
          <w:noProof/>
          <w:lang w:val="en-US"/>
        </w:rPr>
        <w:footnoteReference w:id="131"/>
      </w:r>
      <w:r w:rsidRPr="00D112F5">
        <w:rPr>
          <w:rFonts w:cs="Times New Roman"/>
          <w:noProof/>
          <w:lang w:val="en-US"/>
        </w:rPr>
        <w:t>.</w:t>
      </w:r>
      <w:r w:rsidR="007E5616">
        <w:rPr>
          <w:rFonts w:cs="Times New Roman"/>
          <w:noProof/>
          <w:lang w:val="en-US"/>
        </w:rPr>
        <w:t xml:space="preserve"> </w:t>
      </w:r>
      <w:r>
        <w:rPr>
          <w:rFonts w:cs="Times New Roman"/>
          <w:noProof/>
          <w:lang w:val="en-US"/>
        </w:rPr>
        <w:t>In a separate decision</w:t>
      </w:r>
      <w:r>
        <w:rPr>
          <w:rStyle w:val="FootnoteReference"/>
          <w:rFonts w:cs="Times New Roman"/>
          <w:noProof/>
          <w:lang w:val="en-US"/>
        </w:rPr>
        <w:footnoteReference w:id="132"/>
      </w:r>
      <w:r w:rsidRPr="00D112F5">
        <w:rPr>
          <w:rFonts w:cs="Times New Roman"/>
          <w:noProof/>
          <w:lang w:val="en-US"/>
        </w:rPr>
        <w:t>, the Commission</w:t>
      </w:r>
      <w:r w:rsidR="007E5616">
        <w:rPr>
          <w:rFonts w:cs="Times New Roman"/>
          <w:noProof/>
          <w:lang w:val="en-US"/>
        </w:rPr>
        <w:t xml:space="preserve"> </w:t>
      </w:r>
      <w:r w:rsidRPr="00D112F5">
        <w:rPr>
          <w:rFonts w:cs="Times New Roman"/>
          <w:noProof/>
          <w:lang w:val="en-US"/>
        </w:rPr>
        <w:t xml:space="preserve">found that the new Italian airline ITA, that is set to take over </w:t>
      </w:r>
      <w:r w:rsidR="005A27B5">
        <w:rPr>
          <w:rFonts w:cs="Times New Roman"/>
          <w:noProof/>
          <w:lang w:val="en-US"/>
        </w:rPr>
        <w:t xml:space="preserve">a </w:t>
      </w:r>
      <w:r w:rsidRPr="00D112F5">
        <w:rPr>
          <w:rFonts w:cs="Times New Roman"/>
          <w:noProof/>
          <w:lang w:val="en-US"/>
        </w:rPr>
        <w:t>part of Alitalia’s assets, is not the economic successor of Alitalia and th</w:t>
      </w:r>
      <w:r w:rsidR="007E5616">
        <w:rPr>
          <w:rFonts w:cs="Times New Roman"/>
          <w:noProof/>
          <w:lang w:val="en-US"/>
        </w:rPr>
        <w:t>erefore</w:t>
      </w:r>
      <w:r w:rsidRPr="00D112F5">
        <w:rPr>
          <w:rFonts w:cs="Times New Roman"/>
          <w:noProof/>
          <w:lang w:val="en-US"/>
        </w:rPr>
        <w:t xml:space="preserve"> not liable to repay illegal aid received by Alitalia. </w:t>
      </w:r>
      <w:r w:rsidR="007E5616">
        <w:rPr>
          <w:rFonts w:cs="Times New Roman"/>
          <w:noProof/>
          <w:lang w:val="en-US"/>
        </w:rPr>
        <w:t>Moreover, the Commission f</w:t>
      </w:r>
      <w:r w:rsidRPr="00D112F5">
        <w:rPr>
          <w:rFonts w:cs="Times New Roman"/>
          <w:noProof/>
          <w:lang w:val="en-US"/>
        </w:rPr>
        <w:t xml:space="preserve">ound that </w:t>
      </w:r>
      <w:r w:rsidR="007E5616">
        <w:rPr>
          <w:rFonts w:cs="Times New Roman"/>
          <w:noProof/>
          <w:lang w:val="en-US"/>
        </w:rPr>
        <w:t xml:space="preserve">the EUR 1.35 billion </w:t>
      </w:r>
      <w:r w:rsidRPr="00D112F5">
        <w:rPr>
          <w:rFonts w:cs="Times New Roman"/>
          <w:noProof/>
          <w:lang w:val="en-US"/>
        </w:rPr>
        <w:t xml:space="preserve">capital injection </w:t>
      </w:r>
      <w:r w:rsidR="007E5616">
        <w:rPr>
          <w:rFonts w:cs="Times New Roman"/>
          <w:noProof/>
          <w:lang w:val="en-US"/>
        </w:rPr>
        <w:t>into ITA w</w:t>
      </w:r>
      <w:r w:rsidR="005422F7">
        <w:rPr>
          <w:rFonts w:cs="Times New Roman"/>
          <w:noProof/>
          <w:lang w:val="en-US"/>
        </w:rPr>
        <w:t>as</w:t>
      </w:r>
      <w:r w:rsidRPr="00D112F5">
        <w:rPr>
          <w:rFonts w:cs="Times New Roman"/>
          <w:noProof/>
          <w:lang w:val="en-US"/>
        </w:rPr>
        <w:t xml:space="preserve"> </w:t>
      </w:r>
      <w:r w:rsidR="005422F7">
        <w:rPr>
          <w:rFonts w:cs="Times New Roman"/>
          <w:noProof/>
          <w:lang w:val="en-US"/>
        </w:rPr>
        <w:t>market conform</w:t>
      </w:r>
      <w:r w:rsidR="007E5616">
        <w:rPr>
          <w:rFonts w:cs="Times New Roman"/>
          <w:noProof/>
          <w:lang w:val="en-US"/>
        </w:rPr>
        <w:t xml:space="preserve">. Consequently, the capital injections did not constitute </w:t>
      </w:r>
      <w:r w:rsidRPr="00D112F5">
        <w:rPr>
          <w:rFonts w:cs="Times New Roman"/>
          <w:noProof/>
          <w:lang w:val="en-US"/>
        </w:rPr>
        <w:t>State aid under EU rules.</w:t>
      </w:r>
    </w:p>
    <w:p w14:paraId="5F5EEDAE" w14:textId="77777777" w:rsidR="30E62BE1" w:rsidRPr="000F147F" w:rsidRDefault="06186AB4">
      <w:pPr>
        <w:pStyle w:val="Heading4"/>
        <w:rPr>
          <w:i w:val="0"/>
          <w:iCs w:val="0"/>
          <w:noProof/>
        </w:rPr>
      </w:pPr>
      <w:bookmarkStart w:id="81" w:name="_Toc94190123"/>
      <w:bookmarkStart w:id="82" w:name="_Toc94281772"/>
      <w:bookmarkStart w:id="83" w:name="_Toc94695861"/>
      <w:r w:rsidRPr="00DB1492">
        <w:rPr>
          <w:noProof/>
        </w:rPr>
        <w:t xml:space="preserve">The </w:t>
      </w:r>
      <w:r w:rsidR="51218F22" w:rsidRPr="00D46266">
        <w:rPr>
          <w:noProof/>
        </w:rPr>
        <w:t xml:space="preserve">Recovery and </w:t>
      </w:r>
      <w:r w:rsidR="48E21522" w:rsidRPr="00D46266">
        <w:rPr>
          <w:noProof/>
        </w:rPr>
        <w:t>R</w:t>
      </w:r>
      <w:r w:rsidR="51218F22" w:rsidRPr="00D46266">
        <w:rPr>
          <w:noProof/>
        </w:rPr>
        <w:t xml:space="preserve">esilience </w:t>
      </w:r>
      <w:r w:rsidR="3C6691C0" w:rsidRPr="008A5681">
        <w:rPr>
          <w:noProof/>
        </w:rPr>
        <w:t>F</w:t>
      </w:r>
      <w:r w:rsidR="51218F22" w:rsidRPr="008A5681">
        <w:rPr>
          <w:noProof/>
        </w:rPr>
        <w:t>a</w:t>
      </w:r>
      <w:r w:rsidR="28A088D4" w:rsidRPr="008A5681">
        <w:rPr>
          <w:noProof/>
        </w:rPr>
        <w:t>cility</w:t>
      </w:r>
      <w:r w:rsidR="4E866B2E" w:rsidRPr="003F753B">
        <w:rPr>
          <w:noProof/>
        </w:rPr>
        <w:t xml:space="preserve"> bec</w:t>
      </w:r>
      <w:r w:rsidR="0E979DF8" w:rsidRPr="003F753B">
        <w:rPr>
          <w:noProof/>
        </w:rPr>
        <w:t>a</w:t>
      </w:r>
      <w:r w:rsidR="4E866B2E" w:rsidRPr="003F753B">
        <w:rPr>
          <w:noProof/>
        </w:rPr>
        <w:t>me operational</w:t>
      </w:r>
      <w:r w:rsidR="32365C75" w:rsidRPr="003F753B">
        <w:rPr>
          <w:noProof/>
        </w:rPr>
        <w:t xml:space="preserve"> - Preparing the exit from the crisis</w:t>
      </w:r>
      <w:bookmarkEnd w:id="81"/>
      <w:bookmarkEnd w:id="82"/>
      <w:bookmarkEnd w:id="83"/>
    </w:p>
    <w:p w14:paraId="57D11017" w14:textId="43AD2047" w:rsidR="00117EC5" w:rsidRPr="000F147F" w:rsidRDefault="493C1547" w:rsidP="000F147F">
      <w:pPr>
        <w:spacing w:line="264" w:lineRule="auto"/>
        <w:jc w:val="both"/>
        <w:rPr>
          <w:rFonts w:eastAsia="Times New Roman" w:cs="Times New Roman"/>
          <w:noProof/>
        </w:rPr>
      </w:pPr>
      <w:r w:rsidRPr="00947B7D">
        <w:rPr>
          <w:rFonts w:eastAsia="Times New Roman" w:cs="Times New Roman"/>
          <w:noProof/>
        </w:rPr>
        <w:t xml:space="preserve">The </w:t>
      </w:r>
      <w:r w:rsidR="004E08B5" w:rsidRPr="004155ED">
        <w:rPr>
          <w:rFonts w:eastAsia="Times New Roman" w:cs="Times New Roman"/>
          <w:noProof/>
        </w:rPr>
        <w:t>Recovery and Resilience Fa</w:t>
      </w:r>
      <w:r w:rsidR="008B3BBA" w:rsidRPr="004155ED">
        <w:rPr>
          <w:rFonts w:eastAsia="Times New Roman" w:cs="Times New Roman"/>
          <w:noProof/>
        </w:rPr>
        <w:t>c</w:t>
      </w:r>
      <w:r w:rsidR="004E08B5" w:rsidRPr="00062864">
        <w:rPr>
          <w:rFonts w:eastAsia="Times New Roman" w:cs="Times New Roman"/>
          <w:noProof/>
        </w:rPr>
        <w:t>ility (</w:t>
      </w:r>
      <w:r w:rsidRPr="00062864">
        <w:rPr>
          <w:rFonts w:eastAsia="Times New Roman" w:cs="Times New Roman"/>
          <w:noProof/>
        </w:rPr>
        <w:t>RRF</w:t>
      </w:r>
      <w:r w:rsidR="004E08B5" w:rsidRPr="00373CE6">
        <w:rPr>
          <w:rFonts w:eastAsia="Times New Roman" w:cs="Times New Roman"/>
          <w:noProof/>
        </w:rPr>
        <w:t>)</w:t>
      </w:r>
      <w:r w:rsidRPr="00373CE6">
        <w:rPr>
          <w:rFonts w:eastAsia="Times New Roman" w:cs="Times New Roman"/>
          <w:noProof/>
        </w:rPr>
        <w:t xml:space="preserve"> entered into force on 19 February 2021</w:t>
      </w:r>
      <w:r w:rsidR="004C2047" w:rsidRPr="00947B7D">
        <w:rPr>
          <w:rStyle w:val="FootnoteReference"/>
          <w:rFonts w:eastAsia="Times New Roman" w:cs="Times New Roman"/>
          <w:noProof/>
        </w:rPr>
        <w:footnoteReference w:id="133"/>
      </w:r>
      <w:r w:rsidRPr="00947B7D">
        <w:rPr>
          <w:rFonts w:eastAsia="Times New Roman" w:cs="Times New Roman"/>
          <w:noProof/>
        </w:rPr>
        <w:t xml:space="preserve">. It finances reforms and investments in Member States from the start of the pandemic in February 2020 until 31 December 2026. </w:t>
      </w:r>
      <w:r w:rsidR="009440D4" w:rsidRPr="004155ED">
        <w:rPr>
          <w:rFonts w:eastAsia="Times New Roman" w:cs="Times New Roman"/>
          <w:noProof/>
        </w:rPr>
        <w:t xml:space="preserve">The </w:t>
      </w:r>
      <w:r w:rsidR="00117EC5" w:rsidRPr="004155ED">
        <w:rPr>
          <w:rFonts w:eastAsia="Times New Roman" w:cs="Times New Roman"/>
          <w:noProof/>
        </w:rPr>
        <w:t xml:space="preserve">RRF </w:t>
      </w:r>
      <w:r w:rsidR="009440D4" w:rsidRPr="00062864">
        <w:rPr>
          <w:rFonts w:eastAsia="Times New Roman" w:cs="Times New Roman"/>
          <w:noProof/>
        </w:rPr>
        <w:t xml:space="preserve">is the </w:t>
      </w:r>
      <w:r w:rsidR="007C5FF4" w:rsidRPr="00373CE6">
        <w:rPr>
          <w:rFonts w:eastAsia="Times New Roman" w:cs="Times New Roman"/>
          <w:noProof/>
        </w:rPr>
        <w:t>centrepiece</w:t>
      </w:r>
      <w:r w:rsidR="009440D4" w:rsidRPr="00373CE6">
        <w:rPr>
          <w:rFonts w:eastAsia="Times New Roman" w:cs="Times New Roman"/>
          <w:noProof/>
        </w:rPr>
        <w:t xml:space="preserve"> of NextGenerationEU, a temporary recovery instrument that allows the Commission to raise funds to help repair the immediate economic and social damage brought about by the </w:t>
      </w:r>
      <w:r w:rsidR="0001076D">
        <w:rPr>
          <w:rFonts w:cs="Times New Roman"/>
          <w:noProof/>
          <w:lang w:val="en-US"/>
        </w:rPr>
        <w:t>COVID-19</w:t>
      </w:r>
      <w:r w:rsidR="0001076D" w:rsidRPr="00373CE6">
        <w:rPr>
          <w:rFonts w:cs="Times New Roman"/>
          <w:noProof/>
          <w:lang w:val="en-US"/>
        </w:rPr>
        <w:t xml:space="preserve"> </w:t>
      </w:r>
      <w:r w:rsidR="009440D4" w:rsidRPr="00373CE6">
        <w:rPr>
          <w:rFonts w:eastAsia="Times New Roman" w:cs="Times New Roman"/>
          <w:noProof/>
        </w:rPr>
        <w:t>pandemic.</w:t>
      </w:r>
    </w:p>
    <w:p w14:paraId="0A632112" w14:textId="639719E5" w:rsidR="493C1547" w:rsidRPr="00542D19" w:rsidRDefault="493C1547" w:rsidP="158881C6">
      <w:pPr>
        <w:spacing w:line="264" w:lineRule="auto"/>
        <w:jc w:val="both"/>
        <w:rPr>
          <w:noProof/>
          <w:szCs w:val="24"/>
        </w:rPr>
      </w:pPr>
      <w:r w:rsidRPr="006D6A86">
        <w:rPr>
          <w:rFonts w:eastAsia="Times New Roman" w:cs="Times New Roman"/>
          <w:noProof/>
        </w:rPr>
        <w:t>The aim of the</w:t>
      </w:r>
      <w:r w:rsidR="00117EC5" w:rsidRPr="006D6A86">
        <w:rPr>
          <w:rFonts w:eastAsia="Times New Roman" w:cs="Times New Roman"/>
          <w:noProof/>
        </w:rPr>
        <w:t xml:space="preserve"> </w:t>
      </w:r>
      <w:r w:rsidR="00390B85" w:rsidRPr="006D6A86">
        <w:rPr>
          <w:rFonts w:eastAsia="Times New Roman" w:cs="Times New Roman"/>
          <w:noProof/>
        </w:rPr>
        <w:t>RRF</w:t>
      </w:r>
      <w:r w:rsidR="004C2047" w:rsidRPr="00947B7D">
        <w:rPr>
          <w:rStyle w:val="FootnoteReference"/>
          <w:rFonts w:eastAsia="Times New Roman" w:cs="Times New Roman"/>
          <w:noProof/>
        </w:rPr>
        <w:footnoteReference w:id="134"/>
      </w:r>
      <w:r w:rsidRPr="00947B7D">
        <w:rPr>
          <w:rFonts w:eastAsia="Times New Roman" w:cs="Times New Roman"/>
          <w:noProof/>
        </w:rPr>
        <w:t xml:space="preserve"> is to mitigate the econo</w:t>
      </w:r>
      <w:r w:rsidRPr="004155ED">
        <w:rPr>
          <w:rFonts w:eastAsia="Times New Roman" w:cs="Times New Roman"/>
          <w:noProof/>
        </w:rPr>
        <w:t xml:space="preserve">mic and social impact of the </w:t>
      </w:r>
      <w:r w:rsidR="00305198">
        <w:rPr>
          <w:rFonts w:eastAsia="Times New Roman" w:cs="Times New Roman"/>
          <w:noProof/>
        </w:rPr>
        <w:t xml:space="preserve">COVID-19 </w:t>
      </w:r>
      <w:r w:rsidRPr="004155ED">
        <w:rPr>
          <w:rFonts w:eastAsia="Times New Roman" w:cs="Times New Roman"/>
          <w:noProof/>
        </w:rPr>
        <w:t>pandemic</w:t>
      </w:r>
      <w:r w:rsidR="00117EC5" w:rsidRPr="004155ED">
        <w:rPr>
          <w:rFonts w:eastAsia="Times New Roman" w:cs="Times New Roman"/>
          <w:noProof/>
        </w:rPr>
        <w:t xml:space="preserve"> </w:t>
      </w:r>
      <w:r w:rsidRPr="00062864">
        <w:rPr>
          <w:rFonts w:eastAsia="Times New Roman" w:cs="Times New Roman"/>
          <w:noProof/>
        </w:rPr>
        <w:t xml:space="preserve">and </w:t>
      </w:r>
      <w:r w:rsidR="00390B85" w:rsidRPr="00062864">
        <w:rPr>
          <w:rFonts w:eastAsia="Times New Roman" w:cs="Times New Roman"/>
          <w:noProof/>
        </w:rPr>
        <w:t xml:space="preserve">make the EU </w:t>
      </w:r>
      <w:r w:rsidRPr="00373CE6">
        <w:rPr>
          <w:rFonts w:eastAsia="Times New Roman" w:cs="Times New Roman"/>
          <w:noProof/>
        </w:rPr>
        <w:t>more sustainable, resilient and better prepared for the challenges and opportunities of the green and digital transitions.</w:t>
      </w:r>
      <w:r w:rsidR="00390B85" w:rsidRPr="00373CE6">
        <w:rPr>
          <w:rFonts w:eastAsia="Times New Roman" w:cs="Times New Roman"/>
          <w:noProof/>
        </w:rPr>
        <w:t xml:space="preserve"> </w:t>
      </w:r>
      <w:r w:rsidR="00117EC5" w:rsidRPr="00373CE6">
        <w:rPr>
          <w:rFonts w:eastAsia="Times New Roman" w:cs="Times New Roman"/>
          <w:noProof/>
        </w:rPr>
        <w:t xml:space="preserve">The RRF </w:t>
      </w:r>
      <w:r w:rsidRPr="00373CE6">
        <w:rPr>
          <w:rFonts w:eastAsia="Times New Roman" w:cs="Times New Roman"/>
          <w:noProof/>
        </w:rPr>
        <w:t xml:space="preserve">allows the Commission to raise funds to help Member States </w:t>
      </w:r>
      <w:r w:rsidRPr="005B1727">
        <w:rPr>
          <w:rFonts w:eastAsia="Times New Roman" w:cs="Times New Roman"/>
          <w:noProof/>
        </w:rPr>
        <w:t>implement reforms and investments that are in line with the EU’s priorities</w:t>
      </w:r>
      <w:r w:rsidR="00117EC5" w:rsidRPr="005B1727">
        <w:rPr>
          <w:rFonts w:eastAsia="Times New Roman" w:cs="Times New Roman"/>
          <w:noProof/>
        </w:rPr>
        <w:t xml:space="preserve">. </w:t>
      </w:r>
    </w:p>
    <w:p w14:paraId="17F8536F" w14:textId="42EE06CC" w:rsidR="009536E1" w:rsidRPr="000F147F" w:rsidRDefault="009536E1" w:rsidP="000F147F">
      <w:pPr>
        <w:pStyle w:val="ListParagraph"/>
        <w:spacing w:line="264" w:lineRule="auto"/>
        <w:ind w:left="0"/>
        <w:jc w:val="both"/>
        <w:rPr>
          <w:rFonts w:eastAsia="Times New Roman" w:cs="Times New Roman"/>
          <w:noProof/>
        </w:rPr>
      </w:pPr>
      <w:r w:rsidRPr="00947B7D">
        <w:rPr>
          <w:rFonts w:cs="Times New Roman"/>
          <w:noProof/>
        </w:rPr>
        <w:t xml:space="preserve">To benefit from </w:t>
      </w:r>
      <w:r w:rsidR="007C5FF4" w:rsidRPr="004155ED">
        <w:rPr>
          <w:rFonts w:cs="Times New Roman"/>
          <w:noProof/>
        </w:rPr>
        <w:t xml:space="preserve">RRF </w:t>
      </w:r>
      <w:r w:rsidRPr="004155ED">
        <w:rPr>
          <w:rFonts w:cs="Times New Roman"/>
          <w:noProof/>
        </w:rPr>
        <w:t xml:space="preserve">support, Member States must submit Recovery and Resilience Plans (RRPs) to the Commission. These plans set out the reforms and public investment projects that each Member State plans to implement with the support of the RRF. </w:t>
      </w:r>
      <w:r w:rsidR="000C105D" w:rsidRPr="00062864">
        <w:rPr>
          <w:rFonts w:cs="Times New Roman"/>
          <w:noProof/>
        </w:rPr>
        <w:t>DG Competition has provided guidance</w:t>
      </w:r>
      <w:r w:rsidR="009E7AAB">
        <w:rPr>
          <w:rStyle w:val="FootnoteReference"/>
          <w:rFonts w:cs="Times New Roman"/>
          <w:noProof/>
        </w:rPr>
        <w:footnoteReference w:id="135"/>
      </w:r>
      <w:r w:rsidR="000C105D" w:rsidRPr="00062864">
        <w:rPr>
          <w:rFonts w:cs="Times New Roman"/>
          <w:noProof/>
        </w:rPr>
        <w:t xml:space="preserve"> to accompany and facilitate the implementation of the RRPs to ensure that supported investment and reform projects are compatible with State aid rules. </w:t>
      </w:r>
      <w:r w:rsidR="00AE5653">
        <w:rPr>
          <w:rFonts w:cs="Times New Roman"/>
          <w:noProof/>
        </w:rPr>
        <w:t>DG Competition also provided p</w:t>
      </w:r>
      <w:r w:rsidR="00AE5653">
        <w:rPr>
          <w:noProof/>
        </w:rPr>
        <w:t xml:space="preserve">ractical guidance to Member States for a swift treatment of State aid notifications </w:t>
      </w:r>
      <w:r w:rsidR="000D5DF5">
        <w:rPr>
          <w:noProof/>
        </w:rPr>
        <w:t xml:space="preserve">within </w:t>
      </w:r>
      <w:r w:rsidR="00AE5653">
        <w:rPr>
          <w:noProof/>
        </w:rPr>
        <w:t xml:space="preserve">the </w:t>
      </w:r>
      <w:r w:rsidR="000D5DF5">
        <w:rPr>
          <w:noProof/>
        </w:rPr>
        <w:t xml:space="preserve">RRF </w:t>
      </w:r>
      <w:r w:rsidR="00AE5653">
        <w:rPr>
          <w:noProof/>
        </w:rPr>
        <w:t>framework</w:t>
      </w:r>
      <w:r w:rsidR="009E7AAB">
        <w:rPr>
          <w:rStyle w:val="FootnoteReference"/>
          <w:noProof/>
        </w:rPr>
        <w:footnoteReference w:id="136"/>
      </w:r>
      <w:r w:rsidR="000D5DF5">
        <w:rPr>
          <w:noProof/>
        </w:rPr>
        <w:t>.</w:t>
      </w:r>
      <w:r w:rsidR="00AE5653" w:rsidRPr="00062864" w:rsidDel="00AE5653">
        <w:rPr>
          <w:rFonts w:cs="Times New Roman"/>
          <w:noProof/>
        </w:rPr>
        <w:t xml:space="preserve"> </w:t>
      </w:r>
    </w:p>
    <w:p w14:paraId="2CA57D07" w14:textId="77777777" w:rsidR="39DE888D" w:rsidRPr="00542D19" w:rsidRDefault="005A3FF8" w:rsidP="00CA629C">
      <w:pPr>
        <w:pStyle w:val="Heading2"/>
      </w:pPr>
      <w:bookmarkStart w:id="84" w:name="_Toc94190125"/>
      <w:bookmarkStart w:id="85" w:name="_Toc94281774"/>
      <w:bookmarkStart w:id="86" w:name="_Toc94695862"/>
      <w:bookmarkStart w:id="87" w:name="_Toc95762341"/>
      <w:bookmarkStart w:id="88" w:name="_Toc102030145"/>
      <w:r>
        <w:t>6</w:t>
      </w:r>
      <w:r w:rsidR="22F0321D" w:rsidRPr="00542D19">
        <w:t xml:space="preserve">. Joining </w:t>
      </w:r>
      <w:r w:rsidR="15C25D10" w:rsidRPr="00542D19">
        <w:t>F</w:t>
      </w:r>
      <w:r w:rsidR="22F0321D" w:rsidRPr="00542D19">
        <w:t xml:space="preserve">orces </w:t>
      </w:r>
      <w:r w:rsidR="3B8F82FB" w:rsidRPr="00542D19">
        <w:t>S</w:t>
      </w:r>
      <w:r w:rsidR="22F0321D" w:rsidRPr="00542D19">
        <w:t xml:space="preserve">haping a European and </w:t>
      </w:r>
      <w:r w:rsidR="6D55FC3F" w:rsidRPr="00542D19">
        <w:t>G</w:t>
      </w:r>
      <w:r w:rsidR="22F0321D" w:rsidRPr="00542D19">
        <w:t xml:space="preserve">lobal </w:t>
      </w:r>
      <w:r w:rsidR="2C1DDE5A" w:rsidRPr="00542D19">
        <w:t>C</w:t>
      </w:r>
      <w:r w:rsidR="22F0321D" w:rsidRPr="00542D19">
        <w:t xml:space="preserve">ompetition </w:t>
      </w:r>
      <w:r w:rsidR="563F6AE6" w:rsidRPr="00542D19">
        <w:t>C</w:t>
      </w:r>
      <w:r w:rsidR="22F0321D" w:rsidRPr="00542D19">
        <w:t>ultur</w:t>
      </w:r>
      <w:r w:rsidR="0CDF03DD" w:rsidRPr="00542D19">
        <w:t>e</w:t>
      </w:r>
      <w:bookmarkEnd w:id="84"/>
      <w:bookmarkEnd w:id="85"/>
      <w:bookmarkEnd w:id="86"/>
      <w:bookmarkEnd w:id="87"/>
      <w:bookmarkEnd w:id="88"/>
    </w:p>
    <w:p w14:paraId="63BA35C1" w14:textId="77777777" w:rsidR="708750D9" w:rsidRPr="008A5681" w:rsidRDefault="005A3FF8" w:rsidP="00F42E78">
      <w:pPr>
        <w:pStyle w:val="Heading3"/>
        <w:rPr>
          <w:rStyle w:val="Heading2Char"/>
          <w:rFonts w:asciiTheme="majorHAnsi" w:hAnsiTheme="majorHAnsi"/>
        </w:rPr>
      </w:pPr>
      <w:bookmarkStart w:id="89" w:name="_Toc94190127"/>
      <w:bookmarkStart w:id="90" w:name="_Toc94281775"/>
      <w:bookmarkStart w:id="91" w:name="_Toc94695863"/>
      <w:bookmarkStart w:id="92" w:name="_Toc95762342"/>
      <w:bookmarkStart w:id="93" w:name="_Toc102030146"/>
      <w:r w:rsidRPr="00DB1492">
        <w:rPr>
          <w:rStyle w:val="Heading2Char"/>
          <w:rFonts w:asciiTheme="majorHAnsi" w:hAnsiTheme="majorHAnsi"/>
        </w:rPr>
        <w:t>6</w:t>
      </w:r>
      <w:r w:rsidR="3710107A" w:rsidRPr="00D46266">
        <w:rPr>
          <w:rStyle w:val="Heading2Char"/>
          <w:rFonts w:asciiTheme="majorHAnsi" w:hAnsiTheme="majorHAnsi"/>
        </w:rPr>
        <w:t>.</w:t>
      </w:r>
      <w:r w:rsidR="005A3035" w:rsidRPr="00D46266">
        <w:rPr>
          <w:rStyle w:val="Heading2Char"/>
          <w:rFonts w:asciiTheme="majorHAnsi" w:hAnsiTheme="majorHAnsi"/>
        </w:rPr>
        <w:t>1</w:t>
      </w:r>
      <w:r w:rsidR="3710107A" w:rsidRPr="00D46266">
        <w:rPr>
          <w:rStyle w:val="Heading2Char"/>
          <w:rFonts w:asciiTheme="majorHAnsi" w:hAnsiTheme="majorHAnsi"/>
        </w:rPr>
        <w:t xml:space="preserve">. </w:t>
      </w:r>
      <w:r w:rsidR="3A0228E4" w:rsidRPr="008A5681">
        <w:rPr>
          <w:rStyle w:val="Heading2Char"/>
          <w:rFonts w:asciiTheme="majorHAnsi" w:hAnsiTheme="majorHAnsi"/>
        </w:rPr>
        <w:t>Policy Cohesion through the European Competition Network</w:t>
      </w:r>
      <w:bookmarkEnd w:id="89"/>
      <w:bookmarkEnd w:id="90"/>
      <w:bookmarkEnd w:id="91"/>
      <w:bookmarkEnd w:id="92"/>
      <w:bookmarkEnd w:id="93"/>
    </w:p>
    <w:p w14:paraId="01C4C437" w14:textId="747F4009" w:rsidR="00531F92" w:rsidRPr="000F147F" w:rsidRDefault="00470F67" w:rsidP="00584DFC">
      <w:pPr>
        <w:tabs>
          <w:tab w:val="left" w:pos="709"/>
        </w:tabs>
        <w:spacing w:before="200"/>
        <w:jc w:val="both"/>
        <w:rPr>
          <w:rFonts w:eastAsia="Times New Roman" w:cs="Times New Roman"/>
          <w:noProof/>
          <w:lang w:val="en-IE"/>
        </w:rPr>
      </w:pPr>
      <w:r w:rsidRPr="00947B7D">
        <w:rPr>
          <w:rFonts w:eastAsia="Times New Roman" w:cs="Times New Roman"/>
          <w:noProof/>
          <w:lang w:val="en-IE"/>
        </w:rPr>
        <w:t>In 2021, the Commission continued to ensure the coherent application of Articles 101 and 102 through the ECN</w:t>
      </w:r>
      <w:r w:rsidRPr="00947B7D">
        <w:rPr>
          <w:rStyle w:val="FootnoteReference"/>
          <w:rFonts w:eastAsia="Times New Roman" w:cs="Times New Roman"/>
          <w:noProof/>
          <w:lang w:val="en-IE"/>
        </w:rPr>
        <w:footnoteReference w:id="137"/>
      </w:r>
      <w:r w:rsidRPr="00947B7D">
        <w:rPr>
          <w:rFonts w:eastAsia="Times New Roman" w:cs="Times New Roman"/>
          <w:noProof/>
          <w:lang w:val="en-IE"/>
        </w:rPr>
        <w:t>. Two of the key</w:t>
      </w:r>
      <w:r w:rsidR="007E5616">
        <w:rPr>
          <w:rFonts w:eastAsia="Times New Roman" w:cs="Times New Roman"/>
          <w:noProof/>
          <w:lang w:val="en-IE"/>
        </w:rPr>
        <w:t xml:space="preserve"> </w:t>
      </w:r>
      <w:r w:rsidRPr="00947B7D">
        <w:rPr>
          <w:rFonts w:eastAsia="Times New Roman" w:cs="Times New Roman"/>
          <w:noProof/>
          <w:lang w:val="en-IE"/>
        </w:rPr>
        <w:t xml:space="preserve">cooperation </w:t>
      </w:r>
      <w:r w:rsidR="007E5616">
        <w:rPr>
          <w:rFonts w:eastAsia="Times New Roman" w:cs="Times New Roman"/>
          <w:noProof/>
          <w:lang w:val="en-IE"/>
        </w:rPr>
        <w:t xml:space="preserve">and support </w:t>
      </w:r>
      <w:r w:rsidRPr="00947B7D">
        <w:rPr>
          <w:rFonts w:eastAsia="Times New Roman" w:cs="Times New Roman"/>
          <w:noProof/>
          <w:lang w:val="en-IE"/>
        </w:rPr>
        <w:t xml:space="preserve">mechanisms in Regulation 1/2003 are </w:t>
      </w:r>
      <w:r w:rsidR="00A408BB">
        <w:rPr>
          <w:rFonts w:eastAsia="Times New Roman" w:cs="Times New Roman"/>
          <w:noProof/>
          <w:lang w:val="en-IE"/>
        </w:rPr>
        <w:t xml:space="preserve">first, </w:t>
      </w:r>
      <w:r w:rsidR="007E5616">
        <w:rPr>
          <w:rFonts w:eastAsia="Times New Roman" w:cs="Times New Roman"/>
          <w:noProof/>
          <w:lang w:val="en-IE"/>
        </w:rPr>
        <w:t xml:space="preserve">the </w:t>
      </w:r>
      <w:r w:rsidRPr="00947B7D">
        <w:rPr>
          <w:rFonts w:eastAsia="Times New Roman" w:cs="Times New Roman"/>
          <w:noProof/>
          <w:lang w:val="en-IE"/>
        </w:rPr>
        <w:t>national competition authorities</w:t>
      </w:r>
      <w:r w:rsidR="007E5616">
        <w:rPr>
          <w:rFonts w:eastAsia="Times New Roman" w:cs="Times New Roman"/>
          <w:noProof/>
          <w:lang w:val="en-IE"/>
        </w:rPr>
        <w:t xml:space="preserve">’ </w:t>
      </w:r>
      <w:r w:rsidR="00A408BB">
        <w:rPr>
          <w:rFonts w:eastAsia="Times New Roman" w:cs="Times New Roman"/>
          <w:noProof/>
          <w:lang w:val="en-IE"/>
        </w:rPr>
        <w:t xml:space="preserve">(NCAs) </w:t>
      </w:r>
      <w:r w:rsidR="007E5616">
        <w:rPr>
          <w:rFonts w:eastAsia="Times New Roman" w:cs="Times New Roman"/>
          <w:noProof/>
          <w:lang w:val="en-IE"/>
        </w:rPr>
        <w:t xml:space="preserve">obligation </w:t>
      </w:r>
      <w:r w:rsidRPr="00947B7D">
        <w:rPr>
          <w:rFonts w:eastAsia="Times New Roman" w:cs="Times New Roman"/>
          <w:noProof/>
          <w:lang w:val="en-IE"/>
        </w:rPr>
        <w:t>to inform the Commission about new investigation</w:t>
      </w:r>
      <w:r w:rsidR="007E5616">
        <w:rPr>
          <w:rFonts w:eastAsia="Times New Roman" w:cs="Times New Roman"/>
          <w:noProof/>
          <w:lang w:val="en-IE"/>
        </w:rPr>
        <w:t>s</w:t>
      </w:r>
      <w:r w:rsidRPr="00947B7D">
        <w:rPr>
          <w:rFonts w:eastAsia="Times New Roman" w:cs="Times New Roman"/>
          <w:noProof/>
          <w:lang w:val="en-IE"/>
        </w:rPr>
        <w:t xml:space="preserve"> </w:t>
      </w:r>
      <w:r w:rsidR="007E5616">
        <w:rPr>
          <w:rFonts w:eastAsia="Times New Roman" w:cs="Times New Roman"/>
          <w:noProof/>
          <w:lang w:val="en-IE"/>
        </w:rPr>
        <w:t xml:space="preserve">already </w:t>
      </w:r>
      <w:r w:rsidRPr="00947B7D">
        <w:rPr>
          <w:rFonts w:eastAsia="Times New Roman" w:cs="Times New Roman"/>
          <w:noProof/>
          <w:lang w:val="en-IE"/>
        </w:rPr>
        <w:t xml:space="preserve">at the stage of the first formal investigative measure and </w:t>
      </w:r>
      <w:r w:rsidR="00A408BB">
        <w:rPr>
          <w:rFonts w:eastAsia="Times New Roman" w:cs="Times New Roman"/>
          <w:noProof/>
          <w:lang w:val="en-IE"/>
        </w:rPr>
        <w:t xml:space="preserve">second, </w:t>
      </w:r>
      <w:r w:rsidRPr="00947B7D">
        <w:rPr>
          <w:rFonts w:eastAsia="Times New Roman" w:cs="Times New Roman"/>
          <w:noProof/>
          <w:lang w:val="en-IE"/>
        </w:rPr>
        <w:t>to consult the Comm</w:t>
      </w:r>
      <w:r w:rsidRPr="004155ED">
        <w:rPr>
          <w:rFonts w:eastAsia="Times New Roman" w:cs="Times New Roman"/>
          <w:noProof/>
          <w:lang w:val="en-IE"/>
        </w:rPr>
        <w:t xml:space="preserve">ission on envisaged decisions. </w:t>
      </w:r>
      <w:r w:rsidRPr="00947B7D">
        <w:rPr>
          <w:rFonts w:eastAsia="Times New Roman" w:cs="Times New Roman"/>
          <w:noProof/>
          <w:lang w:val="en-IE"/>
        </w:rPr>
        <w:t xml:space="preserve">In 2021, </w:t>
      </w:r>
      <w:r w:rsidRPr="004155ED">
        <w:rPr>
          <w:rFonts w:eastAsia="Times New Roman" w:cs="Times New Roman"/>
          <w:noProof/>
          <w:lang w:val="en-IE"/>
        </w:rPr>
        <w:t xml:space="preserve">145 new investigations were launched within the network and </w:t>
      </w:r>
      <w:r w:rsidRPr="00062864">
        <w:rPr>
          <w:rFonts w:eastAsia="Times New Roman" w:cs="Times New Roman"/>
          <w:noProof/>
          <w:lang w:val="en-IE"/>
        </w:rPr>
        <w:t xml:space="preserve">84 </w:t>
      </w:r>
      <w:r w:rsidR="00A408BB">
        <w:rPr>
          <w:rFonts w:eastAsia="Times New Roman" w:cs="Times New Roman"/>
          <w:noProof/>
          <w:lang w:val="en-IE"/>
        </w:rPr>
        <w:t xml:space="preserve">planned </w:t>
      </w:r>
      <w:r w:rsidRPr="00062864">
        <w:rPr>
          <w:rFonts w:eastAsia="Times New Roman" w:cs="Times New Roman"/>
          <w:noProof/>
          <w:lang w:val="en-IE"/>
        </w:rPr>
        <w:t xml:space="preserve">decisions were submitted. </w:t>
      </w:r>
    </w:p>
    <w:p w14:paraId="74A8333D" w14:textId="7E5E2353" w:rsidR="00470F67" w:rsidRPr="00542D19" w:rsidRDefault="00470F67" w:rsidP="00470F67">
      <w:pPr>
        <w:tabs>
          <w:tab w:val="left" w:pos="709"/>
        </w:tabs>
        <w:jc w:val="both"/>
        <w:rPr>
          <w:rFonts w:eastAsia="Times New Roman" w:cs="Times New Roman"/>
          <w:noProof/>
          <w:szCs w:val="24"/>
          <w:lang w:val="en-IE"/>
        </w:rPr>
      </w:pPr>
      <w:r w:rsidRPr="00542D19">
        <w:rPr>
          <w:rFonts w:eastAsia="Times New Roman" w:cs="Times New Roman"/>
          <w:noProof/>
          <w:szCs w:val="24"/>
          <w:lang w:val="en-IE"/>
        </w:rPr>
        <w:t>In addition to th</w:t>
      </w:r>
      <w:r w:rsidR="00D23787" w:rsidRPr="00542D19">
        <w:rPr>
          <w:rFonts w:eastAsia="Times New Roman" w:cs="Times New Roman"/>
          <w:noProof/>
          <w:szCs w:val="24"/>
          <w:lang w:val="en-IE"/>
        </w:rPr>
        <w:t>e</w:t>
      </w:r>
      <w:r w:rsidRPr="00542D19">
        <w:rPr>
          <w:rFonts w:eastAsia="Times New Roman" w:cs="Times New Roman"/>
          <w:noProof/>
          <w:szCs w:val="24"/>
          <w:lang w:val="en-IE"/>
        </w:rPr>
        <w:t xml:space="preserve"> cooperation mechanisms set out in Regulation 1/2003, other ECN cooperation </w:t>
      </w:r>
      <w:r w:rsidR="00A408BB">
        <w:rPr>
          <w:rFonts w:eastAsia="Times New Roman" w:cs="Times New Roman"/>
          <w:noProof/>
          <w:szCs w:val="24"/>
          <w:lang w:val="en-IE"/>
        </w:rPr>
        <w:t xml:space="preserve">mechanisms </w:t>
      </w:r>
      <w:r w:rsidRPr="00542D19">
        <w:rPr>
          <w:rFonts w:eastAsia="Times New Roman" w:cs="Times New Roman"/>
          <w:noProof/>
          <w:szCs w:val="24"/>
          <w:lang w:val="en-IE"/>
        </w:rPr>
        <w:t>ensure a coherent enforcement of the EU competition rules</w:t>
      </w:r>
      <w:r w:rsidR="00A408BB">
        <w:rPr>
          <w:rFonts w:eastAsia="Times New Roman" w:cs="Times New Roman"/>
          <w:noProof/>
          <w:szCs w:val="24"/>
          <w:lang w:val="en-IE"/>
        </w:rPr>
        <w:t xml:space="preserve"> across jurisdictions</w:t>
      </w:r>
      <w:r w:rsidRPr="00542D19">
        <w:rPr>
          <w:rFonts w:eastAsia="Times New Roman" w:cs="Times New Roman"/>
          <w:noProof/>
          <w:szCs w:val="24"/>
          <w:lang w:val="en-IE"/>
        </w:rPr>
        <w:t xml:space="preserve">. ECN members meet regularly to discuss </w:t>
      </w:r>
      <w:r w:rsidR="00A408BB">
        <w:rPr>
          <w:rFonts w:eastAsia="Times New Roman" w:cs="Times New Roman"/>
          <w:noProof/>
          <w:szCs w:val="24"/>
          <w:lang w:val="en-IE"/>
        </w:rPr>
        <w:t xml:space="preserve">recently opened </w:t>
      </w:r>
      <w:r w:rsidRPr="00542D19">
        <w:rPr>
          <w:rFonts w:eastAsia="Times New Roman" w:cs="Times New Roman"/>
          <w:noProof/>
          <w:szCs w:val="24"/>
          <w:lang w:val="en-IE"/>
        </w:rPr>
        <w:t>cases</w:t>
      </w:r>
      <w:r w:rsidR="00A408BB">
        <w:rPr>
          <w:rFonts w:eastAsia="Times New Roman" w:cs="Times New Roman"/>
          <w:noProof/>
          <w:szCs w:val="24"/>
          <w:lang w:val="en-IE"/>
        </w:rPr>
        <w:t xml:space="preserve">, </w:t>
      </w:r>
      <w:r w:rsidRPr="00542D19">
        <w:rPr>
          <w:rFonts w:eastAsia="Times New Roman" w:cs="Times New Roman"/>
          <w:noProof/>
          <w:szCs w:val="24"/>
          <w:lang w:val="en-IE"/>
        </w:rPr>
        <w:t>policy issues</w:t>
      </w:r>
      <w:r w:rsidR="00A408BB">
        <w:rPr>
          <w:rFonts w:eastAsia="Times New Roman" w:cs="Times New Roman"/>
          <w:noProof/>
          <w:szCs w:val="24"/>
          <w:lang w:val="en-IE"/>
        </w:rPr>
        <w:t xml:space="preserve"> </w:t>
      </w:r>
      <w:r w:rsidRPr="00542D19">
        <w:rPr>
          <w:rFonts w:eastAsia="Times New Roman" w:cs="Times New Roman"/>
          <w:noProof/>
          <w:szCs w:val="24"/>
          <w:lang w:val="en-IE"/>
        </w:rPr>
        <w:t>a</w:t>
      </w:r>
      <w:r w:rsidR="00A408BB">
        <w:rPr>
          <w:rFonts w:eastAsia="Times New Roman" w:cs="Times New Roman"/>
          <w:noProof/>
          <w:szCs w:val="24"/>
          <w:lang w:val="en-IE"/>
        </w:rPr>
        <w:t xml:space="preserve">nd </w:t>
      </w:r>
      <w:r w:rsidRPr="00542D19">
        <w:rPr>
          <w:rFonts w:eastAsia="Times New Roman" w:cs="Times New Roman"/>
          <w:noProof/>
          <w:szCs w:val="24"/>
          <w:lang w:val="en-IE"/>
        </w:rPr>
        <w:t>matters of strategic importance</w:t>
      </w:r>
      <w:r w:rsidR="00A408BB">
        <w:rPr>
          <w:rFonts w:eastAsia="Times New Roman" w:cs="Times New Roman"/>
          <w:noProof/>
          <w:szCs w:val="24"/>
          <w:lang w:val="en-IE"/>
        </w:rPr>
        <w:t>.</w:t>
      </w:r>
      <w:r w:rsidRPr="00542D19">
        <w:rPr>
          <w:rFonts w:eastAsia="Times New Roman" w:cs="Times New Roman"/>
          <w:noProof/>
          <w:szCs w:val="24"/>
          <w:lang w:val="en-IE"/>
        </w:rPr>
        <w:t xml:space="preserve"> In 2021</w:t>
      </w:r>
      <w:r w:rsidRPr="007E0483">
        <w:rPr>
          <w:rFonts w:eastAsia="Times New Roman" w:cs="Times New Roman"/>
          <w:noProof/>
          <w:szCs w:val="24"/>
          <w:lang w:val="en-IE"/>
        </w:rPr>
        <w:t xml:space="preserve">, </w:t>
      </w:r>
      <w:r w:rsidRPr="00542D19">
        <w:rPr>
          <w:rFonts w:eastAsia="Times New Roman" w:cs="Times New Roman"/>
          <w:noProof/>
          <w:szCs w:val="24"/>
          <w:lang w:val="en-IE"/>
        </w:rPr>
        <w:t xml:space="preserve">horizontal working groups and sector-specific sub-groups </w:t>
      </w:r>
      <w:r w:rsidR="00A408BB">
        <w:rPr>
          <w:rFonts w:eastAsia="Times New Roman" w:cs="Times New Roman"/>
          <w:noProof/>
          <w:szCs w:val="24"/>
          <w:lang w:val="en-IE"/>
        </w:rPr>
        <w:t xml:space="preserve">held 37 meetings </w:t>
      </w:r>
      <w:r w:rsidRPr="00542D19">
        <w:rPr>
          <w:rFonts w:eastAsia="Times New Roman" w:cs="Times New Roman"/>
          <w:noProof/>
          <w:szCs w:val="24"/>
          <w:lang w:val="en-IE"/>
        </w:rPr>
        <w:t xml:space="preserve">where </w:t>
      </w:r>
      <w:r w:rsidR="00A408BB">
        <w:rPr>
          <w:rFonts w:eastAsia="Times New Roman" w:cs="Times New Roman"/>
          <w:noProof/>
          <w:szCs w:val="24"/>
          <w:lang w:val="en-IE"/>
        </w:rPr>
        <w:t xml:space="preserve">NCA </w:t>
      </w:r>
      <w:r w:rsidRPr="00542D19">
        <w:rPr>
          <w:rFonts w:eastAsia="Times New Roman" w:cs="Times New Roman"/>
          <w:noProof/>
          <w:szCs w:val="24"/>
          <w:lang w:val="en-IE"/>
        </w:rPr>
        <w:t>officials</w:t>
      </w:r>
      <w:r w:rsidR="00A408BB">
        <w:rPr>
          <w:rFonts w:eastAsia="Times New Roman" w:cs="Times New Roman"/>
          <w:noProof/>
          <w:szCs w:val="24"/>
          <w:lang w:val="en-IE"/>
        </w:rPr>
        <w:t xml:space="preserve"> </w:t>
      </w:r>
      <w:r w:rsidRPr="00542D19">
        <w:rPr>
          <w:rFonts w:eastAsia="Times New Roman" w:cs="Times New Roman"/>
          <w:noProof/>
          <w:szCs w:val="24"/>
          <w:lang w:val="en-IE"/>
        </w:rPr>
        <w:t>exchanged views</w:t>
      </w:r>
      <w:r w:rsidR="00A408BB">
        <w:rPr>
          <w:rFonts w:eastAsia="Times New Roman" w:cs="Times New Roman"/>
          <w:noProof/>
          <w:szCs w:val="24"/>
          <w:lang w:val="en-IE"/>
        </w:rPr>
        <w:t xml:space="preserve"> and experience</w:t>
      </w:r>
      <w:r w:rsidR="00C42D1E" w:rsidRPr="00542D19">
        <w:rPr>
          <w:rFonts w:eastAsia="Times New Roman" w:cs="Times New Roman"/>
          <w:noProof/>
          <w:szCs w:val="24"/>
          <w:lang w:val="en-IE"/>
        </w:rPr>
        <w:t>.</w:t>
      </w:r>
    </w:p>
    <w:p w14:paraId="73C2B361" w14:textId="268C7801" w:rsidR="00C42D1E" w:rsidRPr="00542D19" w:rsidRDefault="006E5834" w:rsidP="00470F67">
      <w:pPr>
        <w:tabs>
          <w:tab w:val="left" w:pos="709"/>
        </w:tabs>
        <w:jc w:val="both"/>
        <w:rPr>
          <w:rFonts w:eastAsia="Times New Roman" w:cs="Times New Roman"/>
          <w:noProof/>
          <w:szCs w:val="24"/>
          <w:lang w:val="en-IE"/>
        </w:rPr>
      </w:pPr>
      <w:r w:rsidRPr="00947B7D">
        <w:rPr>
          <w:rFonts w:eastAsia="Times New Roman" w:cs="Times New Roman"/>
          <w:noProof/>
          <w:lang w:val="en-IE"/>
        </w:rPr>
        <w:t xml:space="preserve">In 2021, the Commission monitored and assisted Member States in their efforts </w:t>
      </w:r>
      <w:r w:rsidR="00A408BB">
        <w:rPr>
          <w:rFonts w:eastAsia="Times New Roman" w:cs="Times New Roman"/>
          <w:noProof/>
          <w:lang w:val="en-IE"/>
        </w:rPr>
        <w:t xml:space="preserve">to </w:t>
      </w:r>
      <w:r w:rsidRPr="00947B7D">
        <w:rPr>
          <w:rFonts w:eastAsia="Times New Roman" w:cs="Times New Roman"/>
          <w:noProof/>
          <w:lang w:val="en-IE"/>
        </w:rPr>
        <w:t>incorporat</w:t>
      </w:r>
      <w:r w:rsidR="00A408BB">
        <w:rPr>
          <w:rFonts w:eastAsia="Times New Roman" w:cs="Times New Roman"/>
          <w:noProof/>
          <w:lang w:val="en-IE"/>
        </w:rPr>
        <w:t>e</w:t>
      </w:r>
      <w:r w:rsidRPr="00947B7D">
        <w:rPr>
          <w:rFonts w:eastAsia="Times New Roman" w:cs="Times New Roman"/>
          <w:noProof/>
          <w:lang w:val="en-IE"/>
        </w:rPr>
        <w:t xml:space="preserve"> the </w:t>
      </w:r>
      <w:r w:rsidRPr="004155ED">
        <w:rPr>
          <w:rFonts w:eastAsia="Times New Roman" w:cs="Times New Roman"/>
          <w:noProof/>
          <w:lang w:val="en-IE"/>
        </w:rPr>
        <w:t>ECN+ Directive</w:t>
      </w:r>
      <w:r w:rsidRPr="00947B7D">
        <w:rPr>
          <w:rStyle w:val="FootnoteReference"/>
          <w:rFonts w:eastAsia="Times New Roman" w:cs="Times New Roman"/>
          <w:noProof/>
          <w:lang w:val="en-IE"/>
        </w:rPr>
        <w:footnoteReference w:id="138"/>
      </w:r>
      <w:r w:rsidRPr="00947B7D">
        <w:rPr>
          <w:rFonts w:eastAsia="Times New Roman" w:cs="Times New Roman"/>
          <w:noProof/>
          <w:lang w:val="en-IE"/>
        </w:rPr>
        <w:t xml:space="preserve"> into national law. </w:t>
      </w:r>
      <w:r w:rsidR="00A408BB">
        <w:rPr>
          <w:rFonts w:eastAsia="Times New Roman" w:cs="Times New Roman"/>
          <w:noProof/>
          <w:lang w:val="en-IE"/>
        </w:rPr>
        <w:t xml:space="preserve">This had to be done </w:t>
      </w:r>
      <w:r w:rsidRPr="00947B7D">
        <w:rPr>
          <w:rFonts w:eastAsia="Times New Roman" w:cs="Times New Roman"/>
          <w:noProof/>
          <w:lang w:val="en-IE"/>
        </w:rPr>
        <w:t>by 4 February 2021. In March 2021, the Commission open</w:t>
      </w:r>
      <w:r w:rsidR="00A408BB">
        <w:rPr>
          <w:rFonts w:eastAsia="Times New Roman" w:cs="Times New Roman"/>
          <w:noProof/>
          <w:lang w:val="en-IE"/>
        </w:rPr>
        <w:t>ed</w:t>
      </w:r>
      <w:r w:rsidRPr="00947B7D">
        <w:rPr>
          <w:rFonts w:eastAsia="Times New Roman" w:cs="Times New Roman"/>
          <w:noProof/>
          <w:lang w:val="en-IE"/>
        </w:rPr>
        <w:t xml:space="preserve"> infringement procedures</w:t>
      </w:r>
      <w:r w:rsidR="00A408BB">
        <w:rPr>
          <w:rFonts w:eastAsia="Times New Roman" w:cs="Times New Roman"/>
          <w:noProof/>
          <w:lang w:val="en-IE"/>
        </w:rPr>
        <w:t xml:space="preserve"> against 22 Member States because they had failed to </w:t>
      </w:r>
      <w:r w:rsidR="00612104">
        <w:rPr>
          <w:rFonts w:eastAsia="Times New Roman" w:cs="Times New Roman"/>
          <w:noProof/>
          <w:lang w:val="en-IE"/>
        </w:rPr>
        <w:t>notifiy</w:t>
      </w:r>
      <w:r w:rsidR="009B4CB5">
        <w:rPr>
          <w:rFonts w:eastAsia="Times New Roman" w:cs="Times New Roman"/>
          <w:noProof/>
          <w:lang w:val="en-IE"/>
        </w:rPr>
        <w:t xml:space="preserve"> </w:t>
      </w:r>
      <w:r w:rsidR="00A408BB">
        <w:rPr>
          <w:rFonts w:eastAsia="Times New Roman" w:cs="Times New Roman"/>
          <w:noProof/>
          <w:lang w:val="en-IE"/>
        </w:rPr>
        <w:t xml:space="preserve">that they </w:t>
      </w:r>
      <w:r w:rsidR="00612104">
        <w:rPr>
          <w:rFonts w:eastAsia="Times New Roman" w:cs="Times New Roman"/>
          <w:noProof/>
          <w:lang w:val="en-IE"/>
        </w:rPr>
        <w:t xml:space="preserve">had </w:t>
      </w:r>
      <w:r w:rsidR="00A408BB">
        <w:rPr>
          <w:rFonts w:eastAsia="Times New Roman" w:cs="Times New Roman"/>
          <w:noProof/>
          <w:lang w:val="en-IE"/>
        </w:rPr>
        <w:t xml:space="preserve">implemented the ECN+ Directive </w:t>
      </w:r>
      <w:r w:rsidR="00612104">
        <w:rPr>
          <w:rFonts w:eastAsia="Times New Roman" w:cs="Times New Roman"/>
          <w:noProof/>
          <w:lang w:val="en-IE"/>
        </w:rPr>
        <w:t>before t</w:t>
      </w:r>
      <w:r w:rsidRPr="004155ED">
        <w:rPr>
          <w:rFonts w:eastAsia="Times New Roman" w:cs="Times New Roman"/>
          <w:noProof/>
          <w:lang w:val="en-IE"/>
        </w:rPr>
        <w:t>he deadline</w:t>
      </w:r>
      <w:r w:rsidR="00612104">
        <w:rPr>
          <w:rFonts w:eastAsia="Times New Roman" w:cs="Times New Roman"/>
          <w:noProof/>
          <w:lang w:val="en-IE"/>
        </w:rPr>
        <w:t>. O</w:t>
      </w:r>
      <w:r w:rsidRPr="004155ED">
        <w:rPr>
          <w:rFonts w:eastAsia="Times New Roman" w:cs="Times New Roman"/>
          <w:noProof/>
          <w:lang w:val="en-IE"/>
        </w:rPr>
        <w:t>f th</w:t>
      </w:r>
      <w:r w:rsidR="00DB400C">
        <w:rPr>
          <w:rFonts w:eastAsia="Times New Roman" w:cs="Times New Roman"/>
          <w:noProof/>
          <w:lang w:val="en-IE"/>
        </w:rPr>
        <w:t>e 22 Member States, 14</w:t>
      </w:r>
      <w:r w:rsidR="00612104">
        <w:rPr>
          <w:rFonts w:eastAsia="Times New Roman" w:cs="Times New Roman"/>
          <w:noProof/>
          <w:lang w:val="en-IE"/>
        </w:rPr>
        <w:t xml:space="preserve"> subsequently </w:t>
      </w:r>
      <w:r w:rsidRPr="004155ED">
        <w:rPr>
          <w:rFonts w:eastAsia="Times New Roman" w:cs="Times New Roman"/>
          <w:noProof/>
          <w:lang w:val="en-IE"/>
        </w:rPr>
        <w:t xml:space="preserve">notified </w:t>
      </w:r>
      <w:r w:rsidR="00612104">
        <w:rPr>
          <w:rFonts w:eastAsia="Times New Roman" w:cs="Times New Roman"/>
          <w:noProof/>
          <w:lang w:val="en-IE"/>
        </w:rPr>
        <w:t>implementation</w:t>
      </w:r>
      <w:r w:rsidR="005D6DFC">
        <w:rPr>
          <w:rFonts w:eastAsia="Times New Roman" w:cs="Times New Roman"/>
          <w:noProof/>
          <w:lang w:val="en-IE"/>
        </w:rPr>
        <w:t xml:space="preserve"> before the end o</w:t>
      </w:r>
      <w:r w:rsidRPr="004155ED">
        <w:rPr>
          <w:rFonts w:eastAsia="Times New Roman" w:cs="Times New Roman"/>
          <w:noProof/>
          <w:lang w:val="en-IE"/>
        </w:rPr>
        <w:t xml:space="preserve">f </w:t>
      </w:r>
      <w:r w:rsidR="005D6DFC">
        <w:rPr>
          <w:rFonts w:eastAsia="Times New Roman" w:cs="Times New Roman"/>
          <w:noProof/>
          <w:lang w:val="en-IE"/>
        </w:rPr>
        <w:t>2021</w:t>
      </w:r>
      <w:r w:rsidRPr="004155ED">
        <w:rPr>
          <w:rFonts w:eastAsia="Times New Roman" w:cs="Times New Roman"/>
          <w:noProof/>
          <w:lang w:val="en-IE"/>
        </w:rPr>
        <w:t xml:space="preserve">. </w:t>
      </w:r>
      <w:r w:rsidR="005D6DFC">
        <w:rPr>
          <w:rFonts w:eastAsia="Times New Roman" w:cs="Times New Roman"/>
          <w:noProof/>
          <w:lang w:val="en-IE"/>
        </w:rPr>
        <w:t>Before closing the infringement proceedings, t</w:t>
      </w:r>
      <w:r w:rsidRPr="004155ED">
        <w:rPr>
          <w:rFonts w:eastAsia="Times New Roman" w:cs="Times New Roman"/>
          <w:noProof/>
          <w:lang w:val="en-IE"/>
        </w:rPr>
        <w:t xml:space="preserve">he </w:t>
      </w:r>
      <w:r w:rsidR="005D6DFC">
        <w:rPr>
          <w:rFonts w:eastAsia="Times New Roman" w:cs="Times New Roman"/>
          <w:noProof/>
          <w:lang w:val="en-IE"/>
        </w:rPr>
        <w:t>Commission will verify that the ECN+ Directive has been correctly implemented. In 2021, t</w:t>
      </w:r>
      <w:r w:rsidRPr="00062864">
        <w:rPr>
          <w:rFonts w:eastAsia="Times New Roman" w:cs="Times New Roman"/>
          <w:noProof/>
          <w:lang w:val="en-IE"/>
        </w:rPr>
        <w:t xml:space="preserve">he Commission </w:t>
      </w:r>
      <w:r w:rsidR="005D6DFC">
        <w:rPr>
          <w:rFonts w:eastAsia="Times New Roman" w:cs="Times New Roman"/>
          <w:noProof/>
          <w:lang w:val="en-IE"/>
        </w:rPr>
        <w:t xml:space="preserve">continued to assist the </w:t>
      </w:r>
      <w:r w:rsidRPr="00062864">
        <w:rPr>
          <w:rFonts w:eastAsia="Times New Roman" w:cs="Times New Roman"/>
          <w:noProof/>
          <w:lang w:val="en-IE"/>
        </w:rPr>
        <w:t xml:space="preserve">remaining Member States </w:t>
      </w:r>
      <w:r w:rsidR="005D6DFC">
        <w:rPr>
          <w:rFonts w:eastAsia="Times New Roman" w:cs="Times New Roman"/>
          <w:noProof/>
          <w:lang w:val="en-IE"/>
        </w:rPr>
        <w:t xml:space="preserve">when finalising </w:t>
      </w:r>
      <w:r w:rsidRPr="00062864">
        <w:rPr>
          <w:rFonts w:eastAsia="Times New Roman" w:cs="Times New Roman"/>
          <w:noProof/>
          <w:lang w:val="en-IE"/>
        </w:rPr>
        <w:t xml:space="preserve">the </w:t>
      </w:r>
      <w:r w:rsidR="005D6DFC">
        <w:rPr>
          <w:rFonts w:eastAsia="Times New Roman" w:cs="Times New Roman"/>
          <w:noProof/>
          <w:lang w:val="en-IE"/>
        </w:rPr>
        <w:t>implementation of the Directive.</w:t>
      </w:r>
      <w:r w:rsidRPr="00062864">
        <w:rPr>
          <w:rFonts w:eastAsia="Times New Roman" w:cs="Times New Roman"/>
          <w:noProof/>
          <w:lang w:val="en-IE"/>
        </w:rPr>
        <w:t xml:space="preserve"> </w:t>
      </w:r>
    </w:p>
    <w:p w14:paraId="0F6889B3" w14:textId="77777777" w:rsidR="170C3481" w:rsidRPr="008A5681" w:rsidRDefault="009C5579" w:rsidP="00F42E78">
      <w:pPr>
        <w:pStyle w:val="Heading3"/>
        <w:rPr>
          <w:rStyle w:val="Heading2Char"/>
          <w:rFonts w:asciiTheme="majorHAnsi" w:hAnsiTheme="majorHAnsi"/>
        </w:rPr>
      </w:pPr>
      <w:bookmarkStart w:id="94" w:name="_Toc94190128"/>
      <w:bookmarkStart w:id="95" w:name="_Toc94281776"/>
      <w:bookmarkStart w:id="96" w:name="_Toc94695864"/>
      <w:bookmarkStart w:id="97" w:name="_Toc95762343"/>
      <w:bookmarkStart w:id="98" w:name="_Toc102030147"/>
      <w:r w:rsidRPr="00DB1492">
        <w:rPr>
          <w:rStyle w:val="Heading2Char"/>
          <w:rFonts w:asciiTheme="majorHAnsi" w:hAnsiTheme="majorHAnsi"/>
        </w:rPr>
        <w:t>6</w:t>
      </w:r>
      <w:r w:rsidR="1ADB568B" w:rsidRPr="00D46266">
        <w:rPr>
          <w:rStyle w:val="Heading2Char"/>
          <w:rFonts w:asciiTheme="majorHAnsi" w:hAnsiTheme="majorHAnsi"/>
        </w:rPr>
        <w:t>.</w:t>
      </w:r>
      <w:r w:rsidR="005A3035" w:rsidRPr="00D46266">
        <w:rPr>
          <w:rStyle w:val="Heading2Char"/>
          <w:rFonts w:asciiTheme="majorHAnsi" w:hAnsiTheme="majorHAnsi"/>
        </w:rPr>
        <w:t>2</w:t>
      </w:r>
      <w:r w:rsidR="1ADB568B" w:rsidRPr="00D46266">
        <w:rPr>
          <w:rStyle w:val="Heading2Char"/>
          <w:rFonts w:asciiTheme="majorHAnsi" w:hAnsiTheme="majorHAnsi"/>
        </w:rPr>
        <w:t xml:space="preserve">. </w:t>
      </w:r>
      <w:r w:rsidR="18998951" w:rsidRPr="008A5681">
        <w:rPr>
          <w:rStyle w:val="Heading2Char"/>
          <w:rFonts w:asciiTheme="majorHAnsi" w:hAnsiTheme="majorHAnsi"/>
        </w:rPr>
        <w:t>Competition policy cooperation across the world</w:t>
      </w:r>
      <w:bookmarkEnd w:id="94"/>
      <w:bookmarkEnd w:id="95"/>
      <w:bookmarkEnd w:id="96"/>
      <w:bookmarkEnd w:id="97"/>
      <w:bookmarkEnd w:id="98"/>
    </w:p>
    <w:p w14:paraId="38775C70" w14:textId="77777777" w:rsidR="1806D250" w:rsidRPr="000F147F" w:rsidRDefault="1806D250">
      <w:pPr>
        <w:pStyle w:val="Heading4"/>
        <w:rPr>
          <w:i w:val="0"/>
          <w:iCs w:val="0"/>
          <w:noProof/>
        </w:rPr>
      </w:pPr>
      <w:r w:rsidRPr="008A5681">
        <w:rPr>
          <w:noProof/>
        </w:rPr>
        <w:t>Multilateral relations</w:t>
      </w:r>
    </w:p>
    <w:p w14:paraId="5622084E" w14:textId="77777777" w:rsidR="702EB061" w:rsidRPr="00542D19" w:rsidRDefault="702EB061" w:rsidP="4F29212F">
      <w:pPr>
        <w:tabs>
          <w:tab w:val="left" w:pos="709"/>
        </w:tabs>
        <w:jc w:val="both"/>
        <w:rPr>
          <w:noProof/>
          <w:szCs w:val="24"/>
        </w:rPr>
      </w:pPr>
      <w:r w:rsidRPr="00542D19">
        <w:rPr>
          <w:rFonts w:eastAsia="Times New Roman" w:cs="Times New Roman"/>
          <w:noProof/>
          <w:szCs w:val="24"/>
          <w:lang w:val="en-IE"/>
        </w:rPr>
        <w:t>In 2021, the Commission continued its active engagement in competition-related international fora such as the OECD Competition Committee, the International Competition Network (ICN), and United Nations Conference on Trade and Development (UNCTAD).</w:t>
      </w:r>
    </w:p>
    <w:p w14:paraId="72A58D72" w14:textId="77777777" w:rsidR="702EB061" w:rsidRPr="00542D19" w:rsidRDefault="702EB061" w:rsidP="4F29212F">
      <w:pPr>
        <w:tabs>
          <w:tab w:val="left" w:pos="709"/>
        </w:tabs>
        <w:jc w:val="both"/>
        <w:rPr>
          <w:noProof/>
          <w:szCs w:val="24"/>
        </w:rPr>
      </w:pPr>
      <w:r w:rsidRPr="00542D19">
        <w:rPr>
          <w:rFonts w:eastAsia="Times New Roman" w:cs="Times New Roman"/>
          <w:noProof/>
          <w:szCs w:val="24"/>
          <w:lang w:val="en-IE"/>
        </w:rPr>
        <w:t xml:space="preserve">At </w:t>
      </w:r>
      <w:r w:rsidR="3A29956D" w:rsidRPr="00542D19">
        <w:rPr>
          <w:rFonts w:eastAsia="Times New Roman" w:cs="Times New Roman"/>
          <w:noProof/>
          <w:szCs w:val="24"/>
          <w:lang w:val="en-IE"/>
        </w:rPr>
        <w:t xml:space="preserve">the </w:t>
      </w:r>
      <w:r w:rsidRPr="00542D19">
        <w:rPr>
          <w:rFonts w:eastAsia="Times New Roman" w:cs="Times New Roman"/>
          <w:noProof/>
          <w:szCs w:val="24"/>
          <w:lang w:val="en-IE"/>
        </w:rPr>
        <w:t>OECD Competition Committee meeting</w:t>
      </w:r>
      <w:r w:rsidR="00A710FB" w:rsidRPr="00542D19">
        <w:rPr>
          <w:rFonts w:eastAsia="Times New Roman" w:cs="Times New Roman"/>
          <w:noProof/>
          <w:szCs w:val="24"/>
          <w:lang w:val="en-IE"/>
        </w:rPr>
        <w:t>s</w:t>
      </w:r>
      <w:r w:rsidRPr="00542D19">
        <w:rPr>
          <w:rFonts w:eastAsia="Times New Roman" w:cs="Times New Roman"/>
          <w:noProof/>
          <w:szCs w:val="24"/>
          <w:lang w:val="en-IE"/>
        </w:rPr>
        <w:t xml:space="preserve"> </w:t>
      </w:r>
      <w:r w:rsidR="00A710FB" w:rsidRPr="00542D19">
        <w:rPr>
          <w:rFonts w:eastAsia="Times New Roman" w:cs="Times New Roman"/>
          <w:noProof/>
          <w:szCs w:val="24"/>
          <w:lang w:val="en-IE"/>
        </w:rPr>
        <w:t>of</w:t>
      </w:r>
      <w:r w:rsidRPr="00542D19">
        <w:rPr>
          <w:rFonts w:eastAsia="Times New Roman" w:cs="Times New Roman"/>
          <w:noProof/>
          <w:szCs w:val="24"/>
          <w:lang w:val="en-IE"/>
        </w:rPr>
        <w:t xml:space="preserve"> 2021, the Commission contributed to discussions on competition enforcement and regulatory alternatives</w:t>
      </w:r>
      <w:r w:rsidR="16BEA20B" w:rsidRPr="00542D19">
        <w:rPr>
          <w:rFonts w:eastAsia="Times New Roman" w:cs="Times New Roman"/>
          <w:noProof/>
          <w:szCs w:val="24"/>
          <w:lang w:val="en-IE"/>
        </w:rPr>
        <w:t xml:space="preserve">, </w:t>
      </w:r>
      <w:r w:rsidRPr="00542D19">
        <w:rPr>
          <w:rFonts w:eastAsia="Times New Roman" w:cs="Times New Roman"/>
          <w:noProof/>
          <w:szCs w:val="24"/>
          <w:lang w:val="en-IE"/>
        </w:rPr>
        <w:t>competition compliance programmes, potential competition</w:t>
      </w:r>
      <w:r w:rsidR="009D52FE">
        <w:rPr>
          <w:rFonts w:eastAsia="Times New Roman" w:cs="Times New Roman"/>
          <w:noProof/>
          <w:szCs w:val="24"/>
          <w:lang w:val="en-IE"/>
        </w:rPr>
        <w:t>,</w:t>
      </w:r>
      <w:r w:rsidRPr="00542D19">
        <w:rPr>
          <w:rFonts w:eastAsia="Times New Roman" w:cs="Times New Roman"/>
          <w:noProof/>
          <w:szCs w:val="24"/>
          <w:lang w:val="en-IE"/>
        </w:rPr>
        <w:t xml:space="preserve"> methodologies to measure market competition</w:t>
      </w:r>
      <w:r w:rsidR="794B7C62" w:rsidRPr="00542D19">
        <w:rPr>
          <w:rFonts w:eastAsia="Times New Roman" w:cs="Times New Roman"/>
          <w:noProof/>
          <w:szCs w:val="24"/>
          <w:lang w:val="en-IE"/>
        </w:rPr>
        <w:t xml:space="preserve">, </w:t>
      </w:r>
      <w:r w:rsidRPr="00542D19">
        <w:rPr>
          <w:rFonts w:eastAsia="Times New Roman" w:cs="Times New Roman"/>
          <w:noProof/>
          <w:szCs w:val="24"/>
          <w:lang w:val="en-IE"/>
        </w:rPr>
        <w:t>environmental considerations in competition enforcement and the promotion of competitive neutrality by competition authorities.</w:t>
      </w:r>
      <w:r w:rsidR="00A710FB" w:rsidRPr="00542D19">
        <w:rPr>
          <w:rFonts w:eastAsia="Times New Roman" w:cs="Times New Roman"/>
          <w:noProof/>
          <w:szCs w:val="24"/>
          <w:lang w:val="en-IE"/>
        </w:rPr>
        <w:t xml:space="preserve"> </w:t>
      </w:r>
      <w:r w:rsidRPr="00542D19">
        <w:rPr>
          <w:rFonts w:eastAsia="Times New Roman" w:cs="Times New Roman"/>
          <w:noProof/>
          <w:szCs w:val="24"/>
          <w:lang w:val="en-IE"/>
        </w:rPr>
        <w:t xml:space="preserve">As co-chair of the ICN Unilateral Conduct Working Group, the Commission continued </w:t>
      </w:r>
      <w:r w:rsidR="005F78C0" w:rsidRPr="00542D19">
        <w:rPr>
          <w:rFonts w:eastAsia="Times New Roman" w:cs="Times New Roman"/>
          <w:noProof/>
          <w:szCs w:val="24"/>
          <w:lang w:val="en-IE"/>
        </w:rPr>
        <w:t>a</w:t>
      </w:r>
      <w:r w:rsidRPr="00542D19">
        <w:rPr>
          <w:rFonts w:eastAsia="Times New Roman" w:cs="Times New Roman"/>
          <w:noProof/>
          <w:szCs w:val="24"/>
          <w:lang w:val="en-IE"/>
        </w:rPr>
        <w:t xml:space="preserve"> multi-annual project assess</w:t>
      </w:r>
      <w:r w:rsidR="00AB7309" w:rsidRPr="00542D19">
        <w:rPr>
          <w:rFonts w:eastAsia="Times New Roman" w:cs="Times New Roman"/>
          <w:noProof/>
          <w:szCs w:val="24"/>
          <w:lang w:val="en-IE"/>
        </w:rPr>
        <w:t xml:space="preserve">ing </w:t>
      </w:r>
      <w:r w:rsidRPr="00542D19">
        <w:rPr>
          <w:rFonts w:eastAsia="Times New Roman" w:cs="Times New Roman"/>
          <w:noProof/>
          <w:szCs w:val="24"/>
          <w:lang w:val="en-IE"/>
        </w:rPr>
        <w:t>dominance and market power in digital markets.</w:t>
      </w:r>
      <w:r w:rsidR="00A710FB" w:rsidRPr="00542D19">
        <w:rPr>
          <w:rFonts w:eastAsia="Times New Roman" w:cs="Times New Roman"/>
          <w:noProof/>
          <w:szCs w:val="24"/>
          <w:lang w:val="en-IE"/>
        </w:rPr>
        <w:t xml:space="preserve"> </w:t>
      </w:r>
      <w:r w:rsidRPr="00542D19">
        <w:rPr>
          <w:rFonts w:eastAsia="Times New Roman" w:cs="Times New Roman"/>
          <w:noProof/>
          <w:szCs w:val="24"/>
          <w:lang w:val="en-IE"/>
        </w:rPr>
        <w:t xml:space="preserve">In 2021, the Commission </w:t>
      </w:r>
      <w:r w:rsidRPr="00542D19">
        <w:rPr>
          <w:rFonts w:eastAsia="Times New Roman" w:cs="Times New Roman"/>
          <w:noProof/>
          <w:szCs w:val="24"/>
        </w:rPr>
        <w:t>participated in the 19th meeting of the UNCTAD Intergovernmental Group of Experts on Competition Law and Policy.</w:t>
      </w:r>
      <w:r w:rsidR="00C64A7D" w:rsidRPr="00542D19">
        <w:rPr>
          <w:rFonts w:eastAsia="Times New Roman" w:cs="Times New Roman"/>
          <w:noProof/>
          <w:szCs w:val="24"/>
        </w:rPr>
        <w:t xml:space="preserve"> </w:t>
      </w:r>
    </w:p>
    <w:p w14:paraId="54304AF2" w14:textId="77777777" w:rsidR="702EB061" w:rsidRPr="00542D19" w:rsidRDefault="00A710FB" w:rsidP="4F29212F">
      <w:pPr>
        <w:tabs>
          <w:tab w:val="left" w:pos="709"/>
        </w:tabs>
        <w:jc w:val="both"/>
        <w:rPr>
          <w:noProof/>
          <w:szCs w:val="24"/>
        </w:rPr>
      </w:pPr>
      <w:r w:rsidRPr="00947B7D">
        <w:rPr>
          <w:rFonts w:eastAsia="Times New Roman" w:cs="Times New Roman"/>
          <w:noProof/>
          <w:lang w:val="en-IE"/>
        </w:rPr>
        <w:t>T</w:t>
      </w:r>
      <w:r w:rsidR="702EB061" w:rsidRPr="004155ED">
        <w:rPr>
          <w:rFonts w:eastAsia="Times New Roman" w:cs="Times New Roman"/>
          <w:noProof/>
          <w:lang w:val="en-IE"/>
        </w:rPr>
        <w:t xml:space="preserve">he Commission continued its endeavours to improve international </w:t>
      </w:r>
      <w:r w:rsidRPr="004155ED">
        <w:rPr>
          <w:rFonts w:eastAsia="Times New Roman" w:cs="Times New Roman"/>
          <w:noProof/>
          <w:lang w:val="en-IE"/>
        </w:rPr>
        <w:t xml:space="preserve">subsidy </w:t>
      </w:r>
      <w:r w:rsidR="702EB061" w:rsidRPr="00062864">
        <w:rPr>
          <w:rFonts w:eastAsia="Times New Roman" w:cs="Times New Roman"/>
          <w:noProof/>
          <w:lang w:val="en-IE"/>
        </w:rPr>
        <w:t>rules</w:t>
      </w:r>
      <w:r w:rsidRPr="00062864">
        <w:rPr>
          <w:rFonts w:eastAsia="Times New Roman" w:cs="Times New Roman"/>
          <w:noProof/>
          <w:lang w:val="en-IE"/>
        </w:rPr>
        <w:t>.</w:t>
      </w:r>
      <w:r w:rsidR="702EB061" w:rsidRPr="00373CE6">
        <w:rPr>
          <w:rFonts w:eastAsia="Times New Roman" w:cs="Times New Roman"/>
          <w:noProof/>
          <w:lang w:val="en-IE"/>
        </w:rPr>
        <w:t xml:space="preserve"> Reforming the subsidy rules is one of the EU’s main priorities </w:t>
      </w:r>
      <w:r w:rsidRPr="00373CE6">
        <w:rPr>
          <w:rFonts w:eastAsia="Times New Roman" w:cs="Times New Roman"/>
          <w:noProof/>
          <w:lang w:val="en-IE"/>
        </w:rPr>
        <w:t xml:space="preserve">when reviewing </w:t>
      </w:r>
      <w:r w:rsidR="00F5370E" w:rsidRPr="00373CE6">
        <w:rPr>
          <w:rFonts w:eastAsia="Times New Roman" w:cs="Times New Roman"/>
          <w:noProof/>
          <w:lang w:val="en-IE"/>
        </w:rPr>
        <w:t xml:space="preserve">the </w:t>
      </w:r>
      <w:r w:rsidR="702EB061" w:rsidRPr="00373CE6">
        <w:rPr>
          <w:rFonts w:eastAsia="Times New Roman" w:cs="Times New Roman"/>
          <w:noProof/>
          <w:lang w:val="en-IE"/>
        </w:rPr>
        <w:t>W</w:t>
      </w:r>
      <w:r w:rsidR="00F5370E" w:rsidRPr="005B1727">
        <w:rPr>
          <w:rFonts w:eastAsia="Times New Roman" w:cs="Times New Roman"/>
          <w:noProof/>
          <w:lang w:val="en-IE"/>
        </w:rPr>
        <w:t xml:space="preserve">orld </w:t>
      </w:r>
      <w:r w:rsidR="702EB061" w:rsidRPr="005B1727">
        <w:rPr>
          <w:rFonts w:eastAsia="Times New Roman" w:cs="Times New Roman"/>
          <w:noProof/>
          <w:lang w:val="en-IE"/>
        </w:rPr>
        <w:t>T</w:t>
      </w:r>
      <w:r w:rsidR="00F5370E" w:rsidRPr="00C75974">
        <w:rPr>
          <w:rFonts w:eastAsia="Times New Roman" w:cs="Times New Roman"/>
          <w:noProof/>
          <w:lang w:val="en-IE"/>
        </w:rPr>
        <w:t xml:space="preserve">rade </w:t>
      </w:r>
      <w:r w:rsidR="702EB061" w:rsidRPr="00C75974">
        <w:rPr>
          <w:rFonts w:eastAsia="Times New Roman" w:cs="Times New Roman"/>
          <w:noProof/>
          <w:lang w:val="en-IE"/>
        </w:rPr>
        <w:t>O</w:t>
      </w:r>
      <w:r w:rsidR="00F5370E" w:rsidRPr="00C75974">
        <w:rPr>
          <w:rFonts w:eastAsia="Times New Roman" w:cs="Times New Roman"/>
          <w:noProof/>
          <w:lang w:val="en-IE"/>
        </w:rPr>
        <w:t>rganization</w:t>
      </w:r>
      <w:r w:rsidR="702EB061" w:rsidRPr="00F07F0A">
        <w:rPr>
          <w:rFonts w:eastAsia="Times New Roman" w:cs="Times New Roman"/>
          <w:noProof/>
          <w:lang w:val="en-IE"/>
        </w:rPr>
        <w:t xml:space="preserve"> trade rules, as confirmed in the joint statement of the EU, US and Japan</w:t>
      </w:r>
      <w:r w:rsidR="00F54513" w:rsidRPr="00947B7D">
        <w:rPr>
          <w:rStyle w:val="FootnoteReference"/>
          <w:rFonts w:eastAsia="Times New Roman" w:cs="Times New Roman"/>
          <w:noProof/>
          <w:lang w:val="en-IE"/>
        </w:rPr>
        <w:footnoteReference w:id="139"/>
      </w:r>
      <w:r w:rsidR="702EB061" w:rsidRPr="00947B7D">
        <w:rPr>
          <w:rFonts w:eastAsia="Times New Roman" w:cs="Times New Roman"/>
          <w:noProof/>
          <w:lang w:val="en-IE"/>
        </w:rPr>
        <w:t xml:space="preserve">. </w:t>
      </w:r>
    </w:p>
    <w:p w14:paraId="5BB7FB8E" w14:textId="77777777" w:rsidR="702EB061" w:rsidRPr="000F147F" w:rsidRDefault="702EB061">
      <w:pPr>
        <w:pStyle w:val="Heading4"/>
        <w:rPr>
          <w:noProof/>
        </w:rPr>
      </w:pPr>
      <w:r w:rsidRPr="00DB1492">
        <w:rPr>
          <w:noProof/>
        </w:rPr>
        <w:t>Bilateral relations</w:t>
      </w:r>
    </w:p>
    <w:p w14:paraId="3C3A6807" w14:textId="49D851A9" w:rsidR="009D52FE" w:rsidRDefault="702EB061" w:rsidP="009D52FE">
      <w:pPr>
        <w:tabs>
          <w:tab w:val="left" w:pos="709"/>
        </w:tabs>
        <w:jc w:val="both"/>
        <w:rPr>
          <w:rFonts w:eastAsia="Times New Roman" w:cs="Times New Roman"/>
          <w:noProof/>
          <w:szCs w:val="24"/>
          <w:lang w:val="en-IE"/>
        </w:rPr>
      </w:pPr>
      <w:r w:rsidRPr="00947B7D">
        <w:rPr>
          <w:rFonts w:eastAsia="Times New Roman" w:cs="Times New Roman"/>
          <w:noProof/>
          <w:lang w:val="en-US"/>
        </w:rPr>
        <w:t xml:space="preserve">In December 2021, the Commission and the US competition authorities launched the EU-US Joint Technology Competition Policy Dialogue to </w:t>
      </w:r>
      <w:r w:rsidRPr="004155ED">
        <w:rPr>
          <w:rFonts w:eastAsia="Times New Roman" w:cs="Times New Roman"/>
          <w:noProof/>
        </w:rPr>
        <w:t xml:space="preserve">develop common approaches and strengthen the cooperation on competition policy and </w:t>
      </w:r>
      <w:r w:rsidR="00E32279">
        <w:rPr>
          <w:rFonts w:eastAsia="Times New Roman" w:cs="Times New Roman"/>
          <w:noProof/>
        </w:rPr>
        <w:t xml:space="preserve">competition policy </w:t>
      </w:r>
      <w:r w:rsidRPr="004155ED">
        <w:rPr>
          <w:rFonts w:eastAsia="Times New Roman" w:cs="Times New Roman"/>
          <w:noProof/>
        </w:rPr>
        <w:t>enforcement in the tech</w:t>
      </w:r>
      <w:r w:rsidR="0CB5E3FA" w:rsidRPr="004155ED">
        <w:rPr>
          <w:rFonts w:eastAsia="Times New Roman" w:cs="Times New Roman"/>
          <w:noProof/>
        </w:rPr>
        <w:t>nology</w:t>
      </w:r>
      <w:r w:rsidRPr="00062864">
        <w:rPr>
          <w:rFonts w:eastAsia="Times New Roman" w:cs="Times New Roman"/>
          <w:noProof/>
        </w:rPr>
        <w:t xml:space="preserve"> sectors</w:t>
      </w:r>
      <w:r w:rsidR="00851D89" w:rsidRPr="00947B7D">
        <w:rPr>
          <w:rStyle w:val="FootnoteReference"/>
          <w:rFonts w:eastAsia="Times New Roman" w:cs="Times New Roman"/>
          <w:noProof/>
        </w:rPr>
        <w:footnoteReference w:id="140"/>
      </w:r>
      <w:r w:rsidRPr="00947B7D">
        <w:rPr>
          <w:rFonts w:eastAsia="Times New Roman" w:cs="Times New Roman"/>
          <w:noProof/>
        </w:rPr>
        <w:t>.</w:t>
      </w:r>
      <w:r w:rsidR="00A710FB" w:rsidRPr="004155ED">
        <w:rPr>
          <w:rFonts w:eastAsia="Times New Roman" w:cs="Times New Roman"/>
          <w:noProof/>
        </w:rPr>
        <w:t xml:space="preserve"> </w:t>
      </w:r>
      <w:r w:rsidR="00A710FB" w:rsidRPr="004155ED">
        <w:rPr>
          <w:rFonts w:eastAsia="Times New Roman" w:cs="Times New Roman"/>
          <w:noProof/>
          <w:lang w:val="en-US"/>
        </w:rPr>
        <w:t xml:space="preserve">The Commission </w:t>
      </w:r>
      <w:r w:rsidR="00E32279">
        <w:rPr>
          <w:rFonts w:eastAsia="Times New Roman" w:cs="Times New Roman"/>
          <w:noProof/>
          <w:lang w:val="en-US"/>
        </w:rPr>
        <w:t xml:space="preserve">remained </w:t>
      </w:r>
      <w:r w:rsidR="00A710FB" w:rsidRPr="004155ED">
        <w:rPr>
          <w:rFonts w:eastAsia="Times New Roman" w:cs="Times New Roman"/>
          <w:noProof/>
          <w:lang w:val="en-US"/>
        </w:rPr>
        <w:t xml:space="preserve">in close contact </w:t>
      </w:r>
      <w:r w:rsidRPr="004155ED">
        <w:rPr>
          <w:rFonts w:eastAsia="Times New Roman" w:cs="Times New Roman"/>
          <w:noProof/>
          <w:lang w:val="en-US"/>
        </w:rPr>
        <w:t>with the Korean</w:t>
      </w:r>
      <w:r w:rsidR="00E32279">
        <w:rPr>
          <w:rFonts w:eastAsia="Times New Roman" w:cs="Times New Roman"/>
          <w:noProof/>
          <w:lang w:val="en-US"/>
        </w:rPr>
        <w:t xml:space="preserve"> Fair Trade Commission and the </w:t>
      </w:r>
      <w:r w:rsidRPr="004155ED">
        <w:rPr>
          <w:rFonts w:eastAsia="Times New Roman" w:cs="Times New Roman"/>
          <w:noProof/>
          <w:lang w:val="en-US"/>
        </w:rPr>
        <w:t>Japanese</w:t>
      </w:r>
      <w:r w:rsidRPr="00062864">
        <w:rPr>
          <w:rFonts w:eastAsia="Times New Roman" w:cs="Times New Roman"/>
          <w:noProof/>
          <w:lang w:val="en-US"/>
        </w:rPr>
        <w:t xml:space="preserve"> Fair Trade Commission under the respective cooperation agreements</w:t>
      </w:r>
      <w:r w:rsidR="00851D89" w:rsidRPr="00947B7D">
        <w:rPr>
          <w:rStyle w:val="FootnoteReference"/>
          <w:rFonts w:eastAsia="Times New Roman" w:cs="Times New Roman"/>
          <w:noProof/>
          <w:lang w:val="en-US"/>
        </w:rPr>
        <w:footnoteReference w:id="141"/>
      </w:r>
      <w:r w:rsidRPr="00947B7D">
        <w:rPr>
          <w:rFonts w:eastAsia="Times New Roman" w:cs="Times New Roman"/>
          <w:noProof/>
          <w:lang w:val="en-US"/>
        </w:rPr>
        <w:t xml:space="preserve">. </w:t>
      </w:r>
      <w:r w:rsidR="00E32279">
        <w:rPr>
          <w:rFonts w:eastAsia="Times New Roman" w:cs="Times New Roman"/>
          <w:noProof/>
          <w:lang w:val="en-US"/>
        </w:rPr>
        <w:t xml:space="preserve">In 2021, </w:t>
      </w:r>
      <w:r w:rsidR="00E32279">
        <w:rPr>
          <w:rFonts w:eastAsia="Times New Roman" w:cs="Times New Roman"/>
          <w:noProof/>
          <w:lang w:val="en-IE"/>
        </w:rPr>
        <w:t>t</w:t>
      </w:r>
      <w:r w:rsidR="00B967C7" w:rsidRPr="00947B7D">
        <w:rPr>
          <w:rFonts w:eastAsia="Times New Roman" w:cs="Times New Roman"/>
          <w:noProof/>
          <w:lang w:val="en-IE"/>
        </w:rPr>
        <w:t>he Commission continued the negotiations with Japan on a Second Generation Competition</w:t>
      </w:r>
      <w:r w:rsidR="00B967C7" w:rsidRPr="004155ED">
        <w:rPr>
          <w:rFonts w:eastAsia="Times New Roman" w:cs="Times New Roman"/>
          <w:noProof/>
          <w:lang w:val="en-IE"/>
        </w:rPr>
        <w:t xml:space="preserve"> Cooperation Agreement</w:t>
      </w:r>
      <w:r w:rsidR="00B967C7" w:rsidRPr="00947B7D">
        <w:rPr>
          <w:rStyle w:val="FootnoteReference"/>
          <w:rFonts w:eastAsia="Times New Roman" w:cs="Times New Roman"/>
          <w:noProof/>
          <w:lang w:val="en-IE"/>
        </w:rPr>
        <w:footnoteReference w:id="142"/>
      </w:r>
      <w:r w:rsidR="00B967C7" w:rsidRPr="00947B7D">
        <w:rPr>
          <w:rFonts w:eastAsia="Times New Roman" w:cs="Times New Roman"/>
          <w:noProof/>
          <w:lang w:val="en-IE"/>
        </w:rPr>
        <w:t>.</w:t>
      </w:r>
      <w:r w:rsidR="000D5DF5">
        <w:rPr>
          <w:rFonts w:eastAsia="Times New Roman" w:cs="Times New Roman"/>
          <w:noProof/>
          <w:lang w:val="en-IE"/>
        </w:rPr>
        <w:t xml:space="preserve"> </w:t>
      </w:r>
      <w:r w:rsidR="00A710FB" w:rsidRPr="004155ED">
        <w:rPr>
          <w:rFonts w:eastAsia="Times New Roman" w:cs="Times New Roman"/>
          <w:noProof/>
          <w:lang w:val="en-IE"/>
        </w:rPr>
        <w:t>As regards the draft Second Generation Cooperation Agreement between the EU and Canada, the Commission is in regular contact with the Canadian Competition Bureau to find a solution on data protection</w:t>
      </w:r>
      <w:r w:rsidR="000D5DF5">
        <w:rPr>
          <w:rFonts w:eastAsia="Times New Roman" w:cs="Times New Roman"/>
          <w:noProof/>
          <w:lang w:val="en-IE"/>
        </w:rPr>
        <w:t xml:space="preserve"> standards</w:t>
      </w:r>
      <w:r w:rsidR="00A710FB" w:rsidRPr="004155ED">
        <w:rPr>
          <w:rFonts w:eastAsia="Times New Roman" w:cs="Times New Roman"/>
          <w:noProof/>
          <w:lang w:val="en-IE"/>
        </w:rPr>
        <w:t xml:space="preserve"> in Canada </w:t>
      </w:r>
      <w:r w:rsidR="000D5DF5">
        <w:rPr>
          <w:rFonts w:eastAsia="Times New Roman" w:cs="Times New Roman"/>
          <w:noProof/>
          <w:lang w:val="en-IE"/>
        </w:rPr>
        <w:t xml:space="preserve">that are </w:t>
      </w:r>
      <w:r w:rsidR="00A710FB" w:rsidRPr="004155ED">
        <w:rPr>
          <w:rFonts w:eastAsia="Times New Roman" w:cs="Times New Roman"/>
          <w:noProof/>
          <w:lang w:val="en-IE"/>
        </w:rPr>
        <w:t>consistent with the standards established by the Opinion of the Court of Justice on the 2014 EU</w:t>
      </w:r>
      <w:r w:rsidR="000D5DF5">
        <w:rPr>
          <w:rFonts w:eastAsia="Times New Roman" w:cs="Times New Roman"/>
          <w:noProof/>
          <w:lang w:val="en-IE"/>
        </w:rPr>
        <w:t>-</w:t>
      </w:r>
      <w:r w:rsidR="00A710FB" w:rsidRPr="004155ED">
        <w:rPr>
          <w:rFonts w:eastAsia="Times New Roman" w:cs="Times New Roman"/>
          <w:noProof/>
          <w:lang w:val="en-IE"/>
        </w:rPr>
        <w:t>Canada Passenger Name Record Agreement</w:t>
      </w:r>
      <w:r w:rsidR="00A710FB" w:rsidRPr="00947B7D">
        <w:rPr>
          <w:rStyle w:val="FootnoteReference"/>
          <w:rFonts w:eastAsia="Times New Roman" w:cs="Times New Roman"/>
          <w:noProof/>
          <w:lang w:val="en-IE"/>
        </w:rPr>
        <w:footnoteReference w:id="143"/>
      </w:r>
      <w:r w:rsidR="00A710FB" w:rsidRPr="00947B7D">
        <w:rPr>
          <w:rFonts w:eastAsia="Times New Roman" w:cs="Times New Roman"/>
          <w:noProof/>
          <w:lang w:val="en-IE"/>
        </w:rPr>
        <w:t xml:space="preserve">. </w:t>
      </w:r>
      <w:r w:rsidR="000D5DF5">
        <w:rPr>
          <w:rFonts w:eastAsia="Times New Roman" w:cs="Times New Roman"/>
          <w:noProof/>
          <w:lang w:val="en-IE"/>
        </w:rPr>
        <w:t>Finally, t</w:t>
      </w:r>
      <w:r w:rsidR="00B967C7" w:rsidRPr="00062864">
        <w:rPr>
          <w:rFonts w:eastAsia="Times New Roman" w:cs="Times New Roman"/>
          <w:noProof/>
          <w:lang w:val="en-US"/>
        </w:rPr>
        <w:t xml:space="preserve">he Commission continued its close </w:t>
      </w:r>
      <w:r w:rsidR="000D5DF5">
        <w:rPr>
          <w:rFonts w:eastAsia="Times New Roman" w:cs="Times New Roman"/>
          <w:noProof/>
          <w:lang w:val="en-US"/>
        </w:rPr>
        <w:t xml:space="preserve">competition policy </w:t>
      </w:r>
      <w:r w:rsidR="00B967C7" w:rsidRPr="00062864">
        <w:rPr>
          <w:rFonts w:eastAsia="Times New Roman" w:cs="Times New Roman"/>
          <w:noProof/>
          <w:lang w:val="en-US"/>
        </w:rPr>
        <w:t xml:space="preserve">cooperation with China's State Administration for Market Regulation under the 2019 cooperation </w:t>
      </w:r>
      <w:r w:rsidR="000D5DF5">
        <w:rPr>
          <w:rFonts w:eastAsia="Times New Roman" w:cs="Times New Roman"/>
          <w:noProof/>
          <w:lang w:val="en-US"/>
        </w:rPr>
        <w:t>agreements</w:t>
      </w:r>
      <w:r w:rsidR="00B967C7" w:rsidRPr="00947B7D">
        <w:rPr>
          <w:rStyle w:val="FootnoteReference"/>
          <w:rFonts w:eastAsia="Times New Roman" w:cs="Times New Roman"/>
          <w:noProof/>
          <w:lang w:val="en-US"/>
        </w:rPr>
        <w:footnoteReference w:id="144"/>
      </w:r>
      <w:r w:rsidR="00B967C7" w:rsidRPr="00947B7D">
        <w:rPr>
          <w:rFonts w:eastAsia="Times New Roman" w:cs="Times New Roman"/>
          <w:noProof/>
          <w:lang w:val="en-US"/>
        </w:rPr>
        <w:t>.</w:t>
      </w:r>
    </w:p>
    <w:p w14:paraId="27B5AE89" w14:textId="77777777" w:rsidR="702EB061" w:rsidRPr="00542D19" w:rsidRDefault="702EB061" w:rsidP="4F29212F">
      <w:pPr>
        <w:tabs>
          <w:tab w:val="left" w:pos="284"/>
          <w:tab w:val="left" w:pos="567"/>
          <w:tab w:val="left" w:pos="709"/>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jc w:val="both"/>
        <w:rPr>
          <w:noProof/>
          <w:szCs w:val="24"/>
        </w:rPr>
      </w:pPr>
      <w:r w:rsidRPr="00542D19">
        <w:rPr>
          <w:rFonts w:eastAsia="Times New Roman" w:cs="Times New Roman"/>
          <w:noProof/>
          <w:szCs w:val="24"/>
          <w:lang w:val="en-IE"/>
        </w:rPr>
        <w:t xml:space="preserve">The Commission aims at including provisions on competition and State aid control when negotiating Free Trade Agreements (FTAs). In 2021, the Commission continued FTA negotiations with Australia, Azerbaijan, Chile, Indonesia, New Zealand and Uzbekistan. </w:t>
      </w:r>
    </w:p>
    <w:p w14:paraId="7FF57703" w14:textId="0AB94582" w:rsidR="702EB061" w:rsidRDefault="007319BD" w:rsidP="4F29212F">
      <w:pPr>
        <w:tabs>
          <w:tab w:val="left" w:pos="709"/>
        </w:tabs>
        <w:jc w:val="both"/>
        <w:rPr>
          <w:rFonts w:eastAsia="Times New Roman" w:cs="Times New Roman"/>
          <w:noProof/>
          <w:szCs w:val="24"/>
          <w:lang w:val="en-IE"/>
        </w:rPr>
      </w:pPr>
      <w:r>
        <w:rPr>
          <w:rFonts w:eastAsia="Times New Roman" w:cs="Times New Roman"/>
          <w:noProof/>
          <w:szCs w:val="24"/>
          <w:lang w:val="en-IE"/>
        </w:rPr>
        <w:t>For</w:t>
      </w:r>
      <w:r w:rsidR="005F78C0" w:rsidRPr="00542D19">
        <w:rPr>
          <w:rFonts w:eastAsia="Times New Roman" w:cs="Times New Roman"/>
          <w:noProof/>
          <w:szCs w:val="24"/>
          <w:lang w:val="en-IE"/>
        </w:rPr>
        <w:t xml:space="preserve"> </w:t>
      </w:r>
      <w:r w:rsidR="702EB061" w:rsidRPr="00542D19">
        <w:rPr>
          <w:rFonts w:eastAsia="Times New Roman" w:cs="Times New Roman"/>
          <w:noProof/>
          <w:szCs w:val="24"/>
          <w:lang w:val="en-IE"/>
        </w:rPr>
        <w:t xml:space="preserve">the candidate countries and </w:t>
      </w:r>
      <w:r>
        <w:rPr>
          <w:rFonts w:eastAsia="Times New Roman" w:cs="Times New Roman"/>
          <w:noProof/>
          <w:szCs w:val="24"/>
          <w:lang w:val="en-IE"/>
        </w:rPr>
        <w:t xml:space="preserve">the </w:t>
      </w:r>
      <w:r w:rsidR="702EB061" w:rsidRPr="00542D19">
        <w:rPr>
          <w:rFonts w:eastAsia="Times New Roman" w:cs="Times New Roman"/>
          <w:noProof/>
          <w:szCs w:val="24"/>
          <w:lang w:val="en-IE"/>
        </w:rPr>
        <w:t>potential candidate</w:t>
      </w:r>
      <w:r w:rsidR="009A00AC">
        <w:rPr>
          <w:rFonts w:eastAsia="Times New Roman" w:cs="Times New Roman"/>
          <w:noProof/>
          <w:szCs w:val="24"/>
          <w:lang w:val="en-IE"/>
        </w:rPr>
        <w:t>s</w:t>
      </w:r>
      <w:r w:rsidR="702EB061" w:rsidRPr="00542D19">
        <w:rPr>
          <w:rFonts w:eastAsia="Times New Roman" w:cs="Times New Roman"/>
          <w:noProof/>
          <w:szCs w:val="24"/>
          <w:lang w:val="en-IE"/>
        </w:rPr>
        <w:t xml:space="preserve">, the Commission's main policy objective is to </w:t>
      </w:r>
      <w:r>
        <w:rPr>
          <w:rFonts w:eastAsia="Times New Roman" w:cs="Times New Roman"/>
          <w:noProof/>
          <w:szCs w:val="24"/>
          <w:lang w:val="en-IE"/>
        </w:rPr>
        <w:t xml:space="preserve">assist </w:t>
      </w:r>
      <w:r w:rsidR="702EB061" w:rsidRPr="00542D19">
        <w:rPr>
          <w:rFonts w:eastAsia="Times New Roman" w:cs="Times New Roman"/>
          <w:noProof/>
          <w:szCs w:val="24"/>
          <w:lang w:val="en-IE"/>
        </w:rPr>
        <w:t>the</w:t>
      </w:r>
      <w:r>
        <w:rPr>
          <w:rFonts w:eastAsia="Times New Roman" w:cs="Times New Roman"/>
          <w:noProof/>
          <w:szCs w:val="24"/>
          <w:lang w:val="en-IE"/>
        </w:rPr>
        <w:t>m when adopting</w:t>
      </w:r>
      <w:r w:rsidR="702EB061" w:rsidRPr="00542D19">
        <w:rPr>
          <w:rFonts w:eastAsia="Times New Roman" w:cs="Times New Roman"/>
          <w:noProof/>
          <w:szCs w:val="24"/>
          <w:lang w:val="en-IE"/>
        </w:rPr>
        <w:t xml:space="preserve"> leg</w:t>
      </w:r>
      <w:r>
        <w:rPr>
          <w:rFonts w:eastAsia="Times New Roman" w:cs="Times New Roman"/>
          <w:noProof/>
          <w:szCs w:val="24"/>
          <w:lang w:val="en-IE"/>
        </w:rPr>
        <w:t>al</w:t>
      </w:r>
      <w:r w:rsidR="702EB061" w:rsidRPr="00542D19">
        <w:rPr>
          <w:rFonts w:eastAsia="Times New Roman" w:cs="Times New Roman"/>
          <w:noProof/>
          <w:szCs w:val="24"/>
          <w:lang w:val="en-IE"/>
        </w:rPr>
        <w:t xml:space="preserve"> frameworks</w:t>
      </w:r>
      <w:r>
        <w:rPr>
          <w:rFonts w:eastAsia="Times New Roman" w:cs="Times New Roman"/>
          <w:noProof/>
          <w:szCs w:val="24"/>
          <w:lang w:val="en-IE"/>
        </w:rPr>
        <w:t xml:space="preserve"> for competition policy, creating </w:t>
      </w:r>
      <w:r w:rsidR="702EB061" w:rsidRPr="00542D19">
        <w:rPr>
          <w:rFonts w:eastAsia="Times New Roman" w:cs="Times New Roman"/>
          <w:noProof/>
          <w:szCs w:val="24"/>
          <w:lang w:val="en-IE"/>
        </w:rPr>
        <w:t>well-functioning operationally independent competition authorities</w:t>
      </w:r>
      <w:r>
        <w:rPr>
          <w:rFonts w:eastAsia="Times New Roman" w:cs="Times New Roman"/>
          <w:noProof/>
          <w:szCs w:val="24"/>
          <w:lang w:val="en-IE"/>
        </w:rPr>
        <w:t xml:space="preserve"> and </w:t>
      </w:r>
      <w:r w:rsidR="702EB061" w:rsidRPr="00542D19">
        <w:rPr>
          <w:rFonts w:eastAsia="Times New Roman" w:cs="Times New Roman"/>
          <w:noProof/>
          <w:szCs w:val="24"/>
          <w:lang w:val="en-IE"/>
        </w:rPr>
        <w:t>build</w:t>
      </w:r>
      <w:r>
        <w:rPr>
          <w:rFonts w:eastAsia="Times New Roman" w:cs="Times New Roman"/>
          <w:noProof/>
          <w:szCs w:val="24"/>
          <w:lang w:val="en-IE"/>
        </w:rPr>
        <w:t>ing</w:t>
      </w:r>
      <w:r w:rsidR="702EB061" w:rsidRPr="00542D19">
        <w:rPr>
          <w:rFonts w:eastAsia="Times New Roman" w:cs="Times New Roman"/>
          <w:noProof/>
          <w:szCs w:val="24"/>
          <w:lang w:val="en-IE"/>
        </w:rPr>
        <w:t xml:space="preserve"> up solid enforcement record</w:t>
      </w:r>
      <w:r>
        <w:rPr>
          <w:rFonts w:eastAsia="Times New Roman" w:cs="Times New Roman"/>
          <w:noProof/>
          <w:szCs w:val="24"/>
          <w:lang w:val="en-IE"/>
        </w:rPr>
        <w:t>s</w:t>
      </w:r>
      <w:r w:rsidR="702EB061" w:rsidRPr="00542D19">
        <w:rPr>
          <w:rFonts w:eastAsia="Times New Roman" w:cs="Times New Roman"/>
          <w:noProof/>
          <w:szCs w:val="24"/>
          <w:lang w:val="en-IE"/>
        </w:rPr>
        <w:t xml:space="preserve">. In 2021, the Commission continued to monitor candidate countries’ </w:t>
      </w:r>
      <w:r w:rsidR="009A00AC">
        <w:rPr>
          <w:rFonts w:eastAsia="Times New Roman" w:cs="Times New Roman"/>
          <w:noProof/>
          <w:szCs w:val="24"/>
          <w:lang w:val="en-IE"/>
        </w:rPr>
        <w:t xml:space="preserve">and potential candidates’ </w:t>
      </w:r>
      <w:r w:rsidR="702EB061" w:rsidRPr="00542D19">
        <w:rPr>
          <w:rFonts w:eastAsia="Times New Roman" w:cs="Times New Roman"/>
          <w:noProof/>
          <w:szCs w:val="24"/>
          <w:lang w:val="en-IE"/>
        </w:rPr>
        <w:t xml:space="preserve">compliance with their commitments under the Stabilisation and Association agreements. </w:t>
      </w:r>
    </w:p>
    <w:p w14:paraId="06E3A59B" w14:textId="254F3C36" w:rsidR="009D52FE" w:rsidRPr="00542D19" w:rsidRDefault="007319BD" w:rsidP="158881C6">
      <w:pPr>
        <w:tabs>
          <w:tab w:val="left" w:pos="709"/>
        </w:tabs>
        <w:jc w:val="both"/>
        <w:rPr>
          <w:noProof/>
          <w:szCs w:val="24"/>
        </w:rPr>
      </w:pPr>
      <w:r>
        <w:rPr>
          <w:noProof/>
          <w:lang w:val="en-IE"/>
        </w:rPr>
        <w:t>T</w:t>
      </w:r>
      <w:r w:rsidRPr="007319BD">
        <w:rPr>
          <w:noProof/>
          <w:lang w:val="en-IE"/>
        </w:rPr>
        <w:t>o develop cooperation in the competition field</w:t>
      </w:r>
      <w:r>
        <w:rPr>
          <w:noProof/>
          <w:lang w:val="en-IE"/>
        </w:rPr>
        <w:t>, t</w:t>
      </w:r>
      <w:r w:rsidR="009D52FE" w:rsidRPr="00947B7D">
        <w:rPr>
          <w:noProof/>
          <w:lang w:val="en-IE"/>
        </w:rPr>
        <w:t xml:space="preserve">he Commission also </w:t>
      </w:r>
      <w:r>
        <w:rPr>
          <w:noProof/>
          <w:lang w:val="en-IE"/>
        </w:rPr>
        <w:t xml:space="preserve">continued to </w:t>
      </w:r>
      <w:r w:rsidR="009D52FE" w:rsidRPr="00947B7D">
        <w:rPr>
          <w:noProof/>
          <w:lang w:val="en-IE"/>
        </w:rPr>
        <w:t>engag</w:t>
      </w:r>
      <w:r>
        <w:rPr>
          <w:noProof/>
          <w:lang w:val="en-IE"/>
        </w:rPr>
        <w:t>e</w:t>
      </w:r>
      <w:r w:rsidR="009D52FE" w:rsidRPr="00947B7D">
        <w:rPr>
          <w:noProof/>
          <w:lang w:val="en-IE"/>
        </w:rPr>
        <w:t xml:space="preserve"> with </w:t>
      </w:r>
      <w:r>
        <w:rPr>
          <w:noProof/>
          <w:lang w:val="en-IE"/>
        </w:rPr>
        <w:t xml:space="preserve">a number </w:t>
      </w:r>
      <w:r w:rsidR="002B0AAC">
        <w:rPr>
          <w:noProof/>
          <w:lang w:val="en-IE"/>
        </w:rPr>
        <w:t xml:space="preserve">of </w:t>
      </w:r>
      <w:r w:rsidR="009D52FE" w:rsidRPr="00947B7D">
        <w:rPr>
          <w:noProof/>
          <w:lang w:val="en-IE"/>
        </w:rPr>
        <w:t>national and regional authorities</w:t>
      </w:r>
      <w:r>
        <w:rPr>
          <w:noProof/>
          <w:lang w:val="en-IE"/>
        </w:rPr>
        <w:t xml:space="preserve"> in Africa</w:t>
      </w:r>
      <w:r w:rsidR="009D52FE" w:rsidRPr="00947B7D">
        <w:rPr>
          <w:noProof/>
          <w:lang w:val="en-IE"/>
        </w:rPr>
        <w:t>. In 2021, the Commission hosted jo</w:t>
      </w:r>
      <w:r w:rsidR="009D52FE" w:rsidRPr="004155ED">
        <w:rPr>
          <w:noProof/>
          <w:lang w:val="en-IE"/>
        </w:rPr>
        <w:t xml:space="preserve">int workshops with the South African Competition Commission on digital aspects of competition </w:t>
      </w:r>
      <w:r>
        <w:rPr>
          <w:noProof/>
          <w:lang w:val="en-IE"/>
        </w:rPr>
        <w:t>policy</w:t>
      </w:r>
      <w:r w:rsidR="009D52FE" w:rsidRPr="004155ED">
        <w:rPr>
          <w:noProof/>
          <w:lang w:val="en-IE"/>
        </w:rPr>
        <w:t xml:space="preserve"> and </w:t>
      </w:r>
      <w:r>
        <w:rPr>
          <w:noProof/>
          <w:lang w:val="en-IE"/>
        </w:rPr>
        <w:t xml:space="preserve">on </w:t>
      </w:r>
      <w:r w:rsidR="009D52FE" w:rsidRPr="004155ED">
        <w:rPr>
          <w:noProof/>
          <w:lang w:val="en-IE"/>
        </w:rPr>
        <w:t>cooperation</w:t>
      </w:r>
      <w:r>
        <w:rPr>
          <w:noProof/>
          <w:lang w:val="en-IE"/>
        </w:rPr>
        <w:t xml:space="preserve"> between competition authorities</w:t>
      </w:r>
      <w:r w:rsidR="009D52FE" w:rsidRPr="004155ED">
        <w:rPr>
          <w:noProof/>
          <w:lang w:val="en-IE"/>
        </w:rPr>
        <w:t>.</w:t>
      </w:r>
    </w:p>
    <w:p w14:paraId="6654D3FE" w14:textId="77777777" w:rsidR="3FACB49B" w:rsidRPr="009C5579" w:rsidRDefault="4876311E" w:rsidP="00531F92">
      <w:pPr>
        <w:keepNext/>
        <w:rPr>
          <w:i/>
          <w:noProof/>
          <w:color w:val="0070C0"/>
        </w:rPr>
      </w:pPr>
      <w:bookmarkStart w:id="99" w:name="_Toc94190129"/>
      <w:bookmarkStart w:id="100" w:name="_Toc94281777"/>
      <w:bookmarkStart w:id="101" w:name="_Toc94695865"/>
      <w:r w:rsidRPr="009C5579">
        <w:rPr>
          <w:i/>
          <w:noProof/>
          <w:color w:val="0070C0"/>
        </w:rPr>
        <w:t>A regular and constructive inter-institutional dialogue</w:t>
      </w:r>
      <w:bookmarkEnd w:id="99"/>
      <w:bookmarkEnd w:id="100"/>
      <w:bookmarkEnd w:id="101"/>
    </w:p>
    <w:p w14:paraId="5F55A950" w14:textId="0AEDBA8E" w:rsidR="00DD33DE" w:rsidRPr="00542D19" w:rsidRDefault="00DD33DE" w:rsidP="00DD33DE">
      <w:pPr>
        <w:spacing w:before="240" w:after="240" w:line="240" w:lineRule="auto"/>
        <w:jc w:val="both"/>
        <w:rPr>
          <w:rFonts w:eastAsia="Times New Roman" w:cs="Times New Roman"/>
          <w:noProof/>
          <w:szCs w:val="24"/>
        </w:rPr>
      </w:pPr>
      <w:r w:rsidRPr="00542D19">
        <w:rPr>
          <w:rFonts w:eastAsia="Times New Roman" w:cs="Times New Roman"/>
          <w:noProof/>
          <w:szCs w:val="24"/>
        </w:rPr>
        <w:t xml:space="preserve">The European Parliament, the Council, the European Economic and Social Committee and the European Committee of the Regions are key partners </w:t>
      </w:r>
      <w:r w:rsidR="00E32279">
        <w:rPr>
          <w:rFonts w:eastAsia="Times New Roman" w:cs="Times New Roman"/>
          <w:noProof/>
          <w:szCs w:val="24"/>
        </w:rPr>
        <w:t>to</w:t>
      </w:r>
      <w:r w:rsidR="005F78C0" w:rsidRPr="00542D19">
        <w:rPr>
          <w:rFonts w:eastAsia="Times New Roman" w:cs="Times New Roman"/>
          <w:noProof/>
          <w:szCs w:val="24"/>
        </w:rPr>
        <w:t xml:space="preserve"> the Commission </w:t>
      </w:r>
      <w:r w:rsidRPr="00542D19">
        <w:rPr>
          <w:rFonts w:eastAsia="Times New Roman" w:cs="Times New Roman"/>
          <w:noProof/>
          <w:szCs w:val="24"/>
        </w:rPr>
        <w:t xml:space="preserve">in the </w:t>
      </w:r>
      <w:r w:rsidR="005F78C0" w:rsidRPr="00542D19">
        <w:rPr>
          <w:rFonts w:eastAsia="Times New Roman" w:cs="Times New Roman"/>
          <w:noProof/>
          <w:szCs w:val="24"/>
        </w:rPr>
        <w:t xml:space="preserve">continuing dialogues </w:t>
      </w:r>
      <w:r w:rsidRPr="00542D19">
        <w:rPr>
          <w:rFonts w:eastAsia="Times New Roman" w:cs="Times New Roman"/>
          <w:noProof/>
          <w:szCs w:val="24"/>
        </w:rPr>
        <w:t xml:space="preserve">on competition policy. </w:t>
      </w:r>
      <w:r w:rsidR="005F78C0" w:rsidRPr="00542D19">
        <w:rPr>
          <w:rFonts w:eastAsia="Times New Roman" w:cs="Times New Roman"/>
          <w:noProof/>
          <w:szCs w:val="24"/>
        </w:rPr>
        <w:t xml:space="preserve">Despite the </w:t>
      </w:r>
      <w:r w:rsidR="0001076D">
        <w:rPr>
          <w:rFonts w:cs="Times New Roman"/>
          <w:noProof/>
          <w:lang w:val="en-US"/>
        </w:rPr>
        <w:t>COVID-19</w:t>
      </w:r>
      <w:r w:rsidR="0001076D" w:rsidRPr="00373CE6">
        <w:rPr>
          <w:rFonts w:cs="Times New Roman"/>
          <w:noProof/>
          <w:lang w:val="en-US"/>
        </w:rPr>
        <w:t xml:space="preserve"> </w:t>
      </w:r>
      <w:r w:rsidR="005F78C0" w:rsidRPr="00542D19">
        <w:rPr>
          <w:rFonts w:eastAsia="Times New Roman" w:cs="Times New Roman"/>
          <w:noProof/>
          <w:szCs w:val="24"/>
        </w:rPr>
        <w:t xml:space="preserve">pandemic, the </w:t>
      </w:r>
      <w:r w:rsidRPr="00542D19">
        <w:rPr>
          <w:rFonts w:eastAsia="Times New Roman" w:cs="Times New Roman"/>
          <w:noProof/>
          <w:szCs w:val="24"/>
        </w:rPr>
        <w:t>dialogue</w:t>
      </w:r>
      <w:r w:rsidR="005F78C0" w:rsidRPr="00542D19">
        <w:rPr>
          <w:rFonts w:eastAsia="Times New Roman" w:cs="Times New Roman"/>
          <w:noProof/>
          <w:szCs w:val="24"/>
        </w:rPr>
        <w:t>s</w:t>
      </w:r>
      <w:r w:rsidRPr="00542D19">
        <w:rPr>
          <w:rFonts w:eastAsia="Times New Roman" w:cs="Times New Roman"/>
          <w:noProof/>
          <w:szCs w:val="24"/>
        </w:rPr>
        <w:t xml:space="preserve"> continued </w:t>
      </w:r>
      <w:r w:rsidR="005F78C0" w:rsidRPr="00542D19">
        <w:rPr>
          <w:rFonts w:eastAsia="Times New Roman" w:cs="Times New Roman"/>
          <w:noProof/>
          <w:szCs w:val="24"/>
        </w:rPr>
        <w:t xml:space="preserve">in </w:t>
      </w:r>
      <w:r w:rsidRPr="00542D19">
        <w:rPr>
          <w:rFonts w:eastAsia="Times New Roman" w:cs="Times New Roman"/>
          <w:noProof/>
          <w:szCs w:val="24"/>
        </w:rPr>
        <w:t>2021</w:t>
      </w:r>
      <w:r w:rsidR="00E32279">
        <w:rPr>
          <w:rFonts w:eastAsia="Times New Roman" w:cs="Times New Roman"/>
          <w:noProof/>
          <w:szCs w:val="24"/>
        </w:rPr>
        <w:t xml:space="preserve"> </w:t>
      </w:r>
      <w:r w:rsidRPr="00542D19">
        <w:rPr>
          <w:rFonts w:eastAsia="Times New Roman" w:cs="Times New Roman"/>
          <w:noProof/>
          <w:szCs w:val="24"/>
        </w:rPr>
        <w:t xml:space="preserve">through in-person meetings </w:t>
      </w:r>
      <w:r w:rsidR="00163842" w:rsidRPr="00542D19">
        <w:rPr>
          <w:rFonts w:eastAsia="Times New Roman" w:cs="Times New Roman"/>
          <w:noProof/>
          <w:szCs w:val="24"/>
        </w:rPr>
        <w:t>and remote participation</w:t>
      </w:r>
      <w:r w:rsidRPr="00542D19">
        <w:rPr>
          <w:rFonts w:eastAsia="Times New Roman" w:cs="Times New Roman"/>
          <w:noProof/>
          <w:szCs w:val="24"/>
        </w:rPr>
        <w:t>.</w:t>
      </w:r>
    </w:p>
    <w:p w14:paraId="744D4D6F" w14:textId="5A945842" w:rsidR="00DD33DE" w:rsidRPr="006900E2" w:rsidRDefault="00DD33DE" w:rsidP="006900E2">
      <w:pPr>
        <w:spacing w:before="240" w:after="240" w:line="240" w:lineRule="auto"/>
        <w:jc w:val="both"/>
        <w:rPr>
          <w:rFonts w:eastAsia="Times New Roman" w:cs="Times New Roman"/>
          <w:noProof/>
        </w:rPr>
      </w:pPr>
      <w:r w:rsidRPr="00947B7D">
        <w:rPr>
          <w:rFonts w:eastAsia="Times New Roman" w:cs="Times New Roman"/>
          <w:noProof/>
        </w:rPr>
        <w:t xml:space="preserve">In the European Parliament, Executive Vice-President Vestager participated </w:t>
      </w:r>
      <w:r w:rsidR="005F78C0" w:rsidRPr="004155ED">
        <w:rPr>
          <w:rFonts w:eastAsia="Times New Roman" w:cs="Times New Roman"/>
          <w:noProof/>
        </w:rPr>
        <w:t xml:space="preserve">in 2021 </w:t>
      </w:r>
      <w:r w:rsidRPr="004155ED">
        <w:rPr>
          <w:rFonts w:eastAsia="Times New Roman" w:cs="Times New Roman"/>
          <w:noProof/>
        </w:rPr>
        <w:t xml:space="preserve">in </w:t>
      </w:r>
      <w:r w:rsidR="005F78C0" w:rsidRPr="00062864">
        <w:rPr>
          <w:rFonts w:eastAsia="Times New Roman" w:cs="Times New Roman"/>
          <w:noProof/>
        </w:rPr>
        <w:t xml:space="preserve">a number of </w:t>
      </w:r>
      <w:r w:rsidRPr="00062864">
        <w:rPr>
          <w:rFonts w:eastAsia="Times New Roman" w:cs="Times New Roman"/>
          <w:noProof/>
        </w:rPr>
        <w:t>exchanges of views, including d</w:t>
      </w:r>
      <w:r w:rsidR="00E32279">
        <w:rPr>
          <w:rFonts w:eastAsia="Times New Roman" w:cs="Times New Roman"/>
          <w:noProof/>
        </w:rPr>
        <w:t xml:space="preserve">ialogues </w:t>
      </w:r>
      <w:r w:rsidRPr="00062864">
        <w:rPr>
          <w:rFonts w:eastAsia="Times New Roman" w:cs="Times New Roman"/>
          <w:noProof/>
        </w:rPr>
        <w:t xml:space="preserve">on the Digital Markets Act in the </w:t>
      </w:r>
      <w:r w:rsidR="000C105D" w:rsidRPr="00373CE6">
        <w:rPr>
          <w:rFonts w:eastAsia="Times New Roman" w:cs="Times New Roman"/>
          <w:noProof/>
        </w:rPr>
        <w:t xml:space="preserve">Committee on </w:t>
      </w:r>
      <w:r w:rsidRPr="00373CE6">
        <w:rPr>
          <w:rFonts w:eastAsia="Times New Roman" w:cs="Times New Roman"/>
          <w:noProof/>
        </w:rPr>
        <w:t>Economic and Monetary Affairs</w:t>
      </w:r>
      <w:r w:rsidR="67EA3E91" w:rsidRPr="00373CE6">
        <w:rPr>
          <w:rFonts w:eastAsia="Times New Roman" w:cs="Times New Roman"/>
          <w:noProof/>
        </w:rPr>
        <w:t>,</w:t>
      </w:r>
      <w:r w:rsidRPr="00373CE6">
        <w:rPr>
          <w:rFonts w:eastAsia="Times New Roman" w:cs="Times New Roman"/>
          <w:noProof/>
        </w:rPr>
        <w:t xml:space="preserve"> the </w:t>
      </w:r>
      <w:r w:rsidR="000C105D" w:rsidRPr="005B1727">
        <w:rPr>
          <w:rFonts w:eastAsia="Times New Roman" w:cs="Times New Roman"/>
          <w:noProof/>
        </w:rPr>
        <w:t xml:space="preserve">Committee on the </w:t>
      </w:r>
      <w:r w:rsidRPr="005B1727">
        <w:rPr>
          <w:rFonts w:eastAsia="Times New Roman" w:cs="Times New Roman"/>
          <w:noProof/>
        </w:rPr>
        <w:t>Internal Market</w:t>
      </w:r>
      <w:r w:rsidR="00A471DE" w:rsidRPr="00C75974">
        <w:rPr>
          <w:rFonts w:eastAsia="Times New Roman" w:cs="Times New Roman"/>
          <w:noProof/>
        </w:rPr>
        <w:t xml:space="preserve"> and</w:t>
      </w:r>
      <w:r w:rsidR="005F78C0" w:rsidRPr="00C75974">
        <w:rPr>
          <w:rFonts w:eastAsia="Times New Roman" w:cs="Times New Roman"/>
          <w:noProof/>
        </w:rPr>
        <w:t xml:space="preserve"> </w:t>
      </w:r>
      <w:r w:rsidRPr="00F07F0A">
        <w:rPr>
          <w:rFonts w:eastAsia="Times New Roman" w:cs="Times New Roman"/>
          <w:noProof/>
        </w:rPr>
        <w:t>C</w:t>
      </w:r>
      <w:r w:rsidRPr="0031030F">
        <w:rPr>
          <w:rFonts w:eastAsia="Times New Roman" w:cs="Times New Roman"/>
          <w:noProof/>
        </w:rPr>
        <w:t>onsumer Protection</w:t>
      </w:r>
      <w:r w:rsidR="67EA3E91" w:rsidRPr="0031030F">
        <w:rPr>
          <w:rFonts w:eastAsia="Times New Roman" w:cs="Times New Roman"/>
          <w:noProof/>
        </w:rPr>
        <w:t xml:space="preserve">, the </w:t>
      </w:r>
      <w:r w:rsidR="67EA3E91" w:rsidRPr="006900E2">
        <w:rPr>
          <w:rFonts w:eastAsia="Times New Roman" w:cs="Times New Roman"/>
          <w:noProof/>
          <w:szCs w:val="24"/>
        </w:rPr>
        <w:t>Committee on Legal Affairs</w:t>
      </w:r>
      <w:r w:rsidRPr="006D6A86">
        <w:rPr>
          <w:rFonts w:eastAsia="Times New Roman" w:cs="Times New Roman"/>
          <w:noProof/>
        </w:rPr>
        <w:t xml:space="preserve"> as well as in the </w:t>
      </w:r>
      <w:r w:rsidR="00A471DE" w:rsidRPr="006D6A86">
        <w:rPr>
          <w:rFonts w:eastAsia="Times New Roman" w:cs="Times New Roman"/>
          <w:noProof/>
        </w:rPr>
        <w:t xml:space="preserve">Committee on </w:t>
      </w:r>
      <w:r w:rsidRPr="006D6A86">
        <w:rPr>
          <w:rFonts w:eastAsia="Times New Roman" w:cs="Times New Roman"/>
          <w:noProof/>
        </w:rPr>
        <w:t>Industry, Research and Energy</w:t>
      </w:r>
      <w:r w:rsidR="005F78C0" w:rsidRPr="006D6A86">
        <w:rPr>
          <w:rFonts w:eastAsia="Times New Roman" w:cs="Times New Roman"/>
          <w:noProof/>
        </w:rPr>
        <w:t xml:space="preserve">. </w:t>
      </w:r>
      <w:r w:rsidR="00E32279">
        <w:rPr>
          <w:rFonts w:eastAsia="Times New Roman" w:cs="Times New Roman"/>
          <w:noProof/>
        </w:rPr>
        <w:t xml:space="preserve">Moreover, </w:t>
      </w:r>
      <w:r w:rsidR="005F78C0" w:rsidRPr="006D6A86">
        <w:rPr>
          <w:rFonts w:eastAsia="Times New Roman" w:cs="Times New Roman"/>
          <w:noProof/>
        </w:rPr>
        <w:t>Executive Vice-</w:t>
      </w:r>
      <w:r w:rsidR="00A471DE" w:rsidRPr="006D6A86">
        <w:rPr>
          <w:rFonts w:eastAsia="Times New Roman" w:cs="Times New Roman"/>
          <w:noProof/>
        </w:rPr>
        <w:t xml:space="preserve">President </w:t>
      </w:r>
      <w:r w:rsidR="005F78C0" w:rsidRPr="006D6A86">
        <w:rPr>
          <w:rFonts w:eastAsia="Times New Roman" w:cs="Times New Roman"/>
          <w:noProof/>
        </w:rPr>
        <w:t>Vestager</w:t>
      </w:r>
      <w:r w:rsidR="00E32279">
        <w:rPr>
          <w:rFonts w:eastAsia="Times New Roman" w:cs="Times New Roman"/>
          <w:noProof/>
        </w:rPr>
        <w:t xml:space="preserve"> </w:t>
      </w:r>
      <w:r w:rsidRPr="006D6A86">
        <w:rPr>
          <w:rFonts w:eastAsia="Times New Roman" w:cs="Times New Roman"/>
          <w:noProof/>
        </w:rPr>
        <w:t>exchange</w:t>
      </w:r>
      <w:r w:rsidR="00D6385C" w:rsidRPr="006D6A86">
        <w:rPr>
          <w:rFonts w:eastAsia="Times New Roman" w:cs="Times New Roman"/>
          <w:noProof/>
        </w:rPr>
        <w:t>d</w:t>
      </w:r>
      <w:r w:rsidRPr="006D6A86">
        <w:rPr>
          <w:rFonts w:eastAsia="Times New Roman" w:cs="Times New Roman"/>
          <w:noProof/>
        </w:rPr>
        <w:t xml:space="preserve"> views with the the Subcommittee on Tax </w:t>
      </w:r>
      <w:r w:rsidR="00A471DE" w:rsidRPr="006D6A86">
        <w:rPr>
          <w:rFonts w:eastAsia="Times New Roman" w:cs="Times New Roman"/>
          <w:noProof/>
        </w:rPr>
        <w:t xml:space="preserve">Matters </w:t>
      </w:r>
      <w:r w:rsidRPr="006D6A86">
        <w:rPr>
          <w:rFonts w:eastAsia="Times New Roman" w:cs="Times New Roman"/>
          <w:noProof/>
        </w:rPr>
        <w:t xml:space="preserve">on </w:t>
      </w:r>
      <w:r w:rsidR="00A471DE" w:rsidRPr="006D6A86">
        <w:rPr>
          <w:rFonts w:eastAsia="Times New Roman" w:cs="Times New Roman"/>
          <w:noProof/>
        </w:rPr>
        <w:t xml:space="preserve">digital taxation </w:t>
      </w:r>
      <w:r w:rsidRPr="006D6A86">
        <w:rPr>
          <w:rFonts w:eastAsia="Times New Roman" w:cs="Times New Roman"/>
          <w:noProof/>
        </w:rPr>
        <w:t xml:space="preserve">and </w:t>
      </w:r>
      <w:r w:rsidR="00D6385C" w:rsidRPr="006D6A86">
        <w:rPr>
          <w:rFonts w:eastAsia="Times New Roman" w:cs="Times New Roman"/>
          <w:noProof/>
        </w:rPr>
        <w:t>S</w:t>
      </w:r>
      <w:r w:rsidRPr="006D6A86">
        <w:rPr>
          <w:rFonts w:eastAsia="Times New Roman" w:cs="Times New Roman"/>
          <w:noProof/>
        </w:rPr>
        <w:t xml:space="preserve">tate </w:t>
      </w:r>
      <w:r w:rsidR="00A471DE" w:rsidRPr="006D6A86">
        <w:rPr>
          <w:rFonts w:eastAsia="Times New Roman" w:cs="Times New Roman"/>
          <w:noProof/>
        </w:rPr>
        <w:t xml:space="preserve">aid </w:t>
      </w:r>
      <w:r w:rsidRPr="006D6A86">
        <w:rPr>
          <w:rFonts w:eastAsia="Times New Roman" w:cs="Times New Roman"/>
          <w:noProof/>
        </w:rPr>
        <w:t xml:space="preserve">in the </w:t>
      </w:r>
      <w:r w:rsidR="00A471DE" w:rsidRPr="006D6A86">
        <w:rPr>
          <w:rFonts w:eastAsia="Times New Roman" w:cs="Times New Roman"/>
          <w:noProof/>
        </w:rPr>
        <w:t>tax area</w:t>
      </w:r>
      <w:r w:rsidR="00D6385C" w:rsidRPr="006D6A86">
        <w:rPr>
          <w:rFonts w:eastAsia="Times New Roman" w:cs="Times New Roman"/>
          <w:noProof/>
        </w:rPr>
        <w:t xml:space="preserve">. </w:t>
      </w:r>
      <w:r w:rsidR="00E32279">
        <w:rPr>
          <w:rFonts w:eastAsia="Times New Roman" w:cs="Times New Roman"/>
          <w:noProof/>
        </w:rPr>
        <w:t xml:space="preserve">In addition, </w:t>
      </w:r>
      <w:r w:rsidR="00A471DE" w:rsidRPr="006D6A86">
        <w:rPr>
          <w:rFonts w:eastAsia="Times New Roman" w:cs="Times New Roman"/>
          <w:noProof/>
        </w:rPr>
        <w:t>Executive Vice-President Vestager participated in plenary debates on competition policy</w:t>
      </w:r>
      <w:r w:rsidR="00E32279">
        <w:rPr>
          <w:rFonts w:eastAsia="Times New Roman" w:cs="Times New Roman"/>
          <w:noProof/>
        </w:rPr>
        <w:t>;</w:t>
      </w:r>
      <w:r w:rsidR="00A471DE" w:rsidRPr="006D6A86">
        <w:rPr>
          <w:rFonts w:eastAsia="Times New Roman" w:cs="Times New Roman"/>
          <w:noProof/>
        </w:rPr>
        <w:t xml:space="preserve"> on the Climate, Energy and Environmental State aid guidelines, on the Digital Markets Act and on the EU-US Trade and Technology Council. </w:t>
      </w:r>
      <w:r w:rsidR="00E32279">
        <w:rPr>
          <w:rFonts w:eastAsia="Times New Roman" w:cs="Times New Roman"/>
          <w:noProof/>
        </w:rPr>
        <w:t xml:space="preserve">Finally, </w:t>
      </w:r>
      <w:r w:rsidR="00A471DE" w:rsidRPr="006D6A86">
        <w:rPr>
          <w:rFonts w:eastAsia="Times New Roman" w:cs="Times New Roman"/>
          <w:noProof/>
        </w:rPr>
        <w:t>Executive Vice-President Vestager particpated in several structured dialogues wi</w:t>
      </w:r>
      <w:r w:rsidR="00B662ED">
        <w:rPr>
          <w:rFonts w:eastAsia="Times New Roman" w:cs="Times New Roman"/>
          <w:noProof/>
        </w:rPr>
        <w:t>t</w:t>
      </w:r>
      <w:r w:rsidR="00A471DE" w:rsidRPr="006D6A86">
        <w:rPr>
          <w:rFonts w:eastAsia="Times New Roman" w:cs="Times New Roman"/>
          <w:noProof/>
        </w:rPr>
        <w:t xml:space="preserve">h committees of the European Parliament, </w:t>
      </w:r>
      <w:r w:rsidR="00E32279">
        <w:rPr>
          <w:rFonts w:eastAsia="Times New Roman" w:cs="Times New Roman"/>
          <w:noProof/>
        </w:rPr>
        <w:t xml:space="preserve">for example in </w:t>
      </w:r>
      <w:r w:rsidR="00A471DE" w:rsidRPr="006D6A86">
        <w:rPr>
          <w:rFonts w:eastAsia="Times New Roman" w:cs="Times New Roman"/>
          <w:noProof/>
        </w:rPr>
        <w:t xml:space="preserve">a structured dialogue with the Committee on Economic and Monetary Affairs. </w:t>
      </w:r>
    </w:p>
    <w:p w14:paraId="54A08054" w14:textId="21F08969" w:rsidR="002D5D16" w:rsidRPr="00542D19" w:rsidRDefault="002D5D16" w:rsidP="00DD33DE">
      <w:pPr>
        <w:spacing w:before="240" w:after="240" w:line="240" w:lineRule="auto"/>
        <w:jc w:val="both"/>
        <w:rPr>
          <w:rFonts w:eastAsia="Times New Roman" w:cs="Times New Roman"/>
          <w:noProof/>
          <w:szCs w:val="24"/>
        </w:rPr>
      </w:pPr>
      <w:r w:rsidRPr="00542D19">
        <w:rPr>
          <w:rFonts w:eastAsia="Times New Roman" w:cs="Times New Roman"/>
          <w:noProof/>
          <w:szCs w:val="24"/>
        </w:rPr>
        <w:t xml:space="preserve">In its </w:t>
      </w:r>
      <w:r w:rsidR="00A471DE">
        <w:rPr>
          <w:rFonts w:eastAsia="Times New Roman" w:cs="Times New Roman"/>
          <w:noProof/>
          <w:szCs w:val="24"/>
        </w:rPr>
        <w:t xml:space="preserve">written </w:t>
      </w:r>
      <w:r w:rsidRPr="00542D19">
        <w:rPr>
          <w:rFonts w:eastAsia="Times New Roman" w:cs="Times New Roman"/>
          <w:noProof/>
          <w:szCs w:val="24"/>
        </w:rPr>
        <w:t>response</w:t>
      </w:r>
      <w:r w:rsidR="00A471DE">
        <w:rPr>
          <w:rFonts w:eastAsia="Times New Roman" w:cs="Times New Roman"/>
          <w:noProof/>
          <w:szCs w:val="24"/>
        </w:rPr>
        <w:t xml:space="preserve"> of September 2021</w:t>
      </w:r>
      <w:r w:rsidRPr="00542D19">
        <w:rPr>
          <w:rFonts w:eastAsia="Times New Roman" w:cs="Times New Roman"/>
          <w:noProof/>
          <w:szCs w:val="24"/>
        </w:rPr>
        <w:t xml:space="preserve"> to the Parliament’s </w:t>
      </w:r>
      <w:r w:rsidR="00A471DE">
        <w:rPr>
          <w:rFonts w:eastAsia="Times New Roman" w:cs="Times New Roman"/>
          <w:noProof/>
          <w:szCs w:val="24"/>
        </w:rPr>
        <w:t>resolution</w:t>
      </w:r>
      <w:r w:rsidR="00A471DE" w:rsidRPr="00542D19">
        <w:rPr>
          <w:rFonts w:eastAsia="Times New Roman" w:cs="Times New Roman"/>
          <w:noProof/>
          <w:szCs w:val="24"/>
        </w:rPr>
        <w:t xml:space="preserve"> </w:t>
      </w:r>
      <w:r w:rsidRPr="00542D19">
        <w:rPr>
          <w:rFonts w:eastAsia="Times New Roman" w:cs="Times New Roman"/>
          <w:noProof/>
          <w:szCs w:val="24"/>
        </w:rPr>
        <w:t xml:space="preserve">on </w:t>
      </w:r>
      <w:r w:rsidR="00A471DE">
        <w:rPr>
          <w:rFonts w:eastAsia="Times New Roman" w:cs="Times New Roman"/>
          <w:noProof/>
          <w:szCs w:val="24"/>
        </w:rPr>
        <w:t>competition policy</w:t>
      </w:r>
      <w:r w:rsidRPr="00542D19">
        <w:rPr>
          <w:rFonts w:eastAsia="Times New Roman" w:cs="Times New Roman"/>
          <w:noProof/>
          <w:szCs w:val="24"/>
        </w:rPr>
        <w:t xml:space="preserve"> (rapporteur Van Overtveldt; ECR, BE), the Commission highlighted, among other things, the adoption of the Temporary Framework for State aid</w:t>
      </w:r>
      <w:r w:rsidR="00187668">
        <w:rPr>
          <w:rFonts w:eastAsia="Times New Roman" w:cs="Times New Roman"/>
          <w:noProof/>
          <w:szCs w:val="24"/>
        </w:rPr>
        <w:t xml:space="preserve"> measures</w:t>
      </w:r>
      <w:r w:rsidRPr="00542D19">
        <w:rPr>
          <w:rFonts w:eastAsia="Times New Roman" w:cs="Times New Roman"/>
          <w:noProof/>
          <w:szCs w:val="24"/>
        </w:rPr>
        <w:t xml:space="preserve">, the </w:t>
      </w:r>
      <w:r w:rsidR="0001076D">
        <w:rPr>
          <w:rFonts w:cs="Times New Roman"/>
          <w:noProof/>
          <w:lang w:val="en-US"/>
        </w:rPr>
        <w:t>COVID-19</w:t>
      </w:r>
      <w:r w:rsidR="0001076D" w:rsidRPr="00373CE6">
        <w:rPr>
          <w:rFonts w:cs="Times New Roman"/>
          <w:noProof/>
          <w:lang w:val="en-US"/>
        </w:rPr>
        <w:t xml:space="preserve"> </w:t>
      </w:r>
      <w:r w:rsidRPr="00542D19">
        <w:rPr>
          <w:rFonts w:eastAsia="Times New Roman" w:cs="Times New Roman"/>
          <w:noProof/>
          <w:szCs w:val="24"/>
        </w:rPr>
        <w:t>crisis</w:t>
      </w:r>
      <w:r w:rsidR="00E32279">
        <w:rPr>
          <w:rFonts w:eastAsia="Times New Roman" w:cs="Times New Roman"/>
          <w:noProof/>
          <w:szCs w:val="24"/>
        </w:rPr>
        <w:t xml:space="preserve">, </w:t>
      </w:r>
      <w:r w:rsidRPr="00542D19">
        <w:rPr>
          <w:rFonts w:eastAsia="Times New Roman" w:cs="Times New Roman"/>
          <w:noProof/>
          <w:szCs w:val="24"/>
        </w:rPr>
        <w:t>investigations into Member States’ tax ruling practices and changes in tax legislation</w:t>
      </w:r>
      <w:r w:rsidR="00E32279">
        <w:rPr>
          <w:rFonts w:eastAsia="Times New Roman" w:cs="Times New Roman"/>
          <w:noProof/>
          <w:szCs w:val="24"/>
        </w:rPr>
        <w:t xml:space="preserve">. </w:t>
      </w:r>
      <w:r w:rsidR="00372444">
        <w:rPr>
          <w:rFonts w:eastAsia="Times New Roman" w:cs="Times New Roman"/>
          <w:noProof/>
          <w:szCs w:val="24"/>
        </w:rPr>
        <w:t xml:space="preserve">Moreover, the Commission higlighted </w:t>
      </w:r>
      <w:r w:rsidRPr="00542D19">
        <w:rPr>
          <w:rFonts w:eastAsia="Times New Roman" w:cs="Times New Roman"/>
          <w:noProof/>
          <w:szCs w:val="24"/>
        </w:rPr>
        <w:t>the proposal for a Digital Markets Act</w:t>
      </w:r>
      <w:r w:rsidR="00372444">
        <w:rPr>
          <w:rFonts w:eastAsia="Times New Roman" w:cs="Times New Roman"/>
          <w:noProof/>
          <w:szCs w:val="24"/>
        </w:rPr>
        <w:t xml:space="preserve"> and </w:t>
      </w:r>
      <w:r w:rsidRPr="00542D19">
        <w:rPr>
          <w:rFonts w:eastAsia="Times New Roman" w:cs="Times New Roman"/>
          <w:noProof/>
          <w:szCs w:val="24"/>
        </w:rPr>
        <w:t xml:space="preserve">the ongoing revision of the </w:t>
      </w:r>
      <w:r w:rsidRPr="002944D1">
        <w:rPr>
          <w:noProof/>
          <w:lang w:val="en-IE"/>
        </w:rPr>
        <w:t xml:space="preserve">State aid rules </w:t>
      </w:r>
      <w:r w:rsidR="00372444" w:rsidRPr="002944D1">
        <w:rPr>
          <w:noProof/>
          <w:lang w:val="en-IE"/>
        </w:rPr>
        <w:t xml:space="preserve">(most </w:t>
      </w:r>
      <w:r w:rsidR="00372444" w:rsidRPr="006C27DA">
        <w:rPr>
          <w:rFonts w:eastAsia="Times New Roman" w:cs="Times New Roman"/>
          <w:noProof/>
          <w:szCs w:val="24"/>
          <w:lang w:val="en-IE"/>
        </w:rPr>
        <w:t>im</w:t>
      </w:r>
      <w:r w:rsidR="006C27DA">
        <w:rPr>
          <w:rFonts w:eastAsia="Times New Roman" w:cs="Times New Roman"/>
          <w:noProof/>
          <w:szCs w:val="24"/>
          <w:lang w:val="en-IE"/>
        </w:rPr>
        <w:t>p</w:t>
      </w:r>
      <w:r w:rsidR="00372444" w:rsidRPr="006C27DA">
        <w:rPr>
          <w:rFonts w:eastAsia="Times New Roman" w:cs="Times New Roman"/>
          <w:noProof/>
          <w:szCs w:val="24"/>
          <w:lang w:val="en-IE"/>
        </w:rPr>
        <w:t>ortantly</w:t>
      </w:r>
      <w:r w:rsidR="00372444" w:rsidRPr="002944D1">
        <w:rPr>
          <w:noProof/>
          <w:lang w:val="en-IE"/>
        </w:rPr>
        <w:t xml:space="preserve"> </w:t>
      </w:r>
      <w:r w:rsidRPr="002944D1">
        <w:rPr>
          <w:noProof/>
          <w:lang w:val="en-IE"/>
        </w:rPr>
        <w:t xml:space="preserve">the </w:t>
      </w:r>
      <w:r w:rsidR="00372444" w:rsidRPr="002944D1">
        <w:rPr>
          <w:noProof/>
          <w:lang w:val="en-IE"/>
        </w:rPr>
        <w:t>r</w:t>
      </w:r>
      <w:r w:rsidRPr="002944D1">
        <w:rPr>
          <w:noProof/>
          <w:lang w:val="en-IE"/>
        </w:rPr>
        <w:t>evision</w:t>
      </w:r>
      <w:r w:rsidR="00372444" w:rsidRPr="002944D1">
        <w:rPr>
          <w:noProof/>
          <w:lang w:val="en-IE"/>
        </w:rPr>
        <w:t xml:space="preserve"> of EEAG</w:t>
      </w:r>
      <w:r w:rsidRPr="002944D1">
        <w:rPr>
          <w:noProof/>
          <w:lang w:val="en-IE"/>
        </w:rPr>
        <w:t xml:space="preserve"> </w:t>
      </w:r>
      <w:r w:rsidR="00372444" w:rsidRPr="002944D1">
        <w:rPr>
          <w:noProof/>
          <w:lang w:val="en-IE"/>
        </w:rPr>
        <w:t xml:space="preserve">which </w:t>
      </w:r>
      <w:r w:rsidRPr="002944D1">
        <w:rPr>
          <w:noProof/>
          <w:lang w:val="en-IE"/>
        </w:rPr>
        <w:t>follow</w:t>
      </w:r>
      <w:r w:rsidR="00372444" w:rsidRPr="002944D1">
        <w:rPr>
          <w:noProof/>
          <w:lang w:val="en-IE"/>
        </w:rPr>
        <w:t xml:space="preserve">ed </w:t>
      </w:r>
      <w:r w:rsidRPr="002944D1">
        <w:rPr>
          <w:noProof/>
          <w:lang w:val="en-IE"/>
        </w:rPr>
        <w:t>the so-called fitness check</w:t>
      </w:r>
      <w:r w:rsidR="006C27DA">
        <w:rPr>
          <w:rFonts w:eastAsia="Times New Roman" w:cs="Times New Roman"/>
          <w:noProof/>
          <w:szCs w:val="24"/>
          <w:lang w:val="en-IE"/>
        </w:rPr>
        <w:t>)</w:t>
      </w:r>
      <w:r w:rsidRPr="006C27DA">
        <w:rPr>
          <w:rFonts w:eastAsia="Times New Roman" w:cs="Times New Roman"/>
          <w:noProof/>
          <w:szCs w:val="24"/>
          <w:lang w:val="en-IE"/>
        </w:rPr>
        <w:t>.</w:t>
      </w:r>
    </w:p>
    <w:p w14:paraId="2C67EAA9" w14:textId="6756E798" w:rsidR="001376CC" w:rsidRDefault="00372444" w:rsidP="00264167">
      <w:pPr>
        <w:spacing w:before="240" w:after="240" w:line="240" w:lineRule="auto"/>
        <w:jc w:val="both"/>
        <w:rPr>
          <w:rFonts w:eastAsia="Times New Roman" w:cs="Times New Roman"/>
          <w:noProof/>
          <w:szCs w:val="24"/>
        </w:rPr>
      </w:pPr>
      <w:r>
        <w:rPr>
          <w:rFonts w:eastAsia="Times New Roman" w:cs="Times New Roman"/>
          <w:noProof/>
          <w:szCs w:val="24"/>
        </w:rPr>
        <w:t>In 2021, i</w:t>
      </w:r>
      <w:r w:rsidR="00DD33DE" w:rsidRPr="00542D19">
        <w:rPr>
          <w:rFonts w:eastAsia="Times New Roman" w:cs="Times New Roman"/>
          <w:noProof/>
          <w:szCs w:val="24"/>
        </w:rPr>
        <w:t>n the Council, Executive Vice-President Vestage</w:t>
      </w:r>
      <w:r w:rsidR="00D6385C" w:rsidRPr="00542D19">
        <w:rPr>
          <w:rFonts w:eastAsia="Times New Roman" w:cs="Times New Roman"/>
          <w:noProof/>
          <w:szCs w:val="24"/>
        </w:rPr>
        <w:t>r</w:t>
      </w:r>
      <w:r w:rsidR="00DD33DE" w:rsidRPr="00542D19">
        <w:rPr>
          <w:rFonts w:eastAsia="Times New Roman" w:cs="Times New Roman"/>
          <w:noProof/>
          <w:szCs w:val="24"/>
        </w:rPr>
        <w:t xml:space="preserve"> participated in exchanges of views and debates on competition policy matters, including </w:t>
      </w:r>
      <w:r w:rsidR="00A471DE">
        <w:rPr>
          <w:rFonts w:eastAsia="Times New Roman" w:cs="Times New Roman"/>
          <w:noProof/>
          <w:szCs w:val="24"/>
        </w:rPr>
        <w:t>several</w:t>
      </w:r>
      <w:r w:rsidR="00DD33DE" w:rsidRPr="00542D19">
        <w:rPr>
          <w:rFonts w:eastAsia="Times New Roman" w:cs="Times New Roman"/>
          <w:noProof/>
          <w:szCs w:val="24"/>
        </w:rPr>
        <w:t xml:space="preserve"> meetings</w:t>
      </w:r>
      <w:r w:rsidR="00A471DE" w:rsidRPr="00A471DE">
        <w:rPr>
          <w:rFonts w:eastAsia="Times New Roman" w:cs="Times New Roman"/>
          <w:noProof/>
          <w:szCs w:val="24"/>
        </w:rPr>
        <w:t xml:space="preserve"> of the Competitiveness Council - Internal market and industry</w:t>
      </w:r>
      <w:r>
        <w:rPr>
          <w:rFonts w:eastAsia="Times New Roman" w:cs="Times New Roman"/>
          <w:noProof/>
          <w:szCs w:val="24"/>
        </w:rPr>
        <w:t>.</w:t>
      </w:r>
    </w:p>
    <w:p w14:paraId="47737D97" w14:textId="27470B7C" w:rsidR="00CC54D5" w:rsidRDefault="00CC54D5" w:rsidP="00CC54D5">
      <w:pPr>
        <w:rPr>
          <w:rFonts w:eastAsia="Times New Roman" w:cs="Times New Roman"/>
          <w:noProof/>
          <w:szCs w:val="24"/>
        </w:rPr>
      </w:pPr>
      <w:r>
        <w:rPr>
          <w:rFonts w:eastAsia="Times New Roman" w:cs="Times New Roman"/>
          <w:noProof/>
          <w:szCs w:val="24"/>
        </w:rPr>
        <w:br w:type="page"/>
      </w:r>
    </w:p>
    <w:p w14:paraId="7DAAAF3B" w14:textId="1DEF07D0" w:rsidR="00CC54D5" w:rsidRDefault="00CC54D5" w:rsidP="00CC54D5">
      <w:pPr>
        <w:rPr>
          <w:rFonts w:eastAsia="Times New Roman" w:cs="Times New Roman"/>
          <w:noProof/>
          <w:szCs w:val="24"/>
          <w:lang w:val="en-US"/>
        </w:rPr>
      </w:pPr>
    </w:p>
    <w:p w14:paraId="6B905BE7" w14:textId="1EED9605" w:rsidR="00CC54D5" w:rsidRDefault="00CC54D5" w:rsidP="00CC54D5">
      <w:pPr>
        <w:rPr>
          <w:rFonts w:eastAsia="Times New Roman" w:cs="Times New Roman"/>
          <w:noProof/>
          <w:szCs w:val="24"/>
        </w:rPr>
      </w:pPr>
      <w:r>
        <w:rPr>
          <w:rFonts w:eastAsia="Times New Roman" w:cs="Times New Roman"/>
          <w:noProof/>
          <w:szCs w:val="24"/>
          <w:lang w:eastAsia="en-GB"/>
        </w:rPr>
        <w:drawing>
          <wp:inline distT="0" distB="0" distL="0" distR="0" wp14:anchorId="271757B5" wp14:editId="409D2038">
            <wp:extent cx="5760720" cy="5073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titrust.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5073650"/>
                    </a:xfrm>
                    <a:prstGeom prst="rect">
                      <a:avLst/>
                    </a:prstGeom>
                  </pic:spPr>
                </pic:pic>
              </a:graphicData>
            </a:graphic>
          </wp:inline>
        </w:drawing>
      </w:r>
    </w:p>
    <w:p w14:paraId="58332B4C" w14:textId="77777777" w:rsidR="00CC54D5" w:rsidRDefault="00CC54D5">
      <w:pPr>
        <w:rPr>
          <w:rFonts w:eastAsia="Times New Roman" w:cs="Times New Roman"/>
          <w:noProof/>
          <w:szCs w:val="24"/>
        </w:rPr>
      </w:pPr>
      <w:r>
        <w:rPr>
          <w:rFonts w:eastAsia="Times New Roman" w:cs="Times New Roman"/>
          <w:noProof/>
          <w:szCs w:val="24"/>
        </w:rPr>
        <w:br w:type="page"/>
      </w:r>
    </w:p>
    <w:p w14:paraId="15607657" w14:textId="77777777" w:rsidR="00CC54D5" w:rsidRDefault="00CC54D5" w:rsidP="00CC54D5">
      <w:pPr>
        <w:tabs>
          <w:tab w:val="left" w:pos="1171"/>
        </w:tabs>
        <w:rPr>
          <w:rFonts w:eastAsia="Times New Roman" w:cs="Times New Roman"/>
          <w:noProof/>
          <w:szCs w:val="24"/>
        </w:rPr>
      </w:pPr>
    </w:p>
    <w:p w14:paraId="1BA0F5A4" w14:textId="27186DB8" w:rsidR="00CC54D5" w:rsidRDefault="00CC54D5" w:rsidP="00CC54D5">
      <w:pPr>
        <w:tabs>
          <w:tab w:val="left" w:pos="1171"/>
        </w:tabs>
        <w:rPr>
          <w:rFonts w:eastAsia="Times New Roman" w:cs="Times New Roman"/>
          <w:noProof/>
          <w:szCs w:val="24"/>
        </w:rPr>
      </w:pPr>
      <w:r>
        <w:rPr>
          <w:rFonts w:eastAsia="Times New Roman" w:cs="Times New Roman"/>
          <w:noProof/>
          <w:szCs w:val="24"/>
          <w:lang w:eastAsia="en-GB"/>
        </w:rPr>
        <w:drawing>
          <wp:inline distT="0" distB="0" distL="0" distR="0" wp14:anchorId="6F35E383" wp14:editId="1B73CC28">
            <wp:extent cx="5760720" cy="5488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rgers snake.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5488940"/>
                    </a:xfrm>
                    <a:prstGeom prst="rect">
                      <a:avLst/>
                    </a:prstGeom>
                  </pic:spPr>
                </pic:pic>
              </a:graphicData>
            </a:graphic>
          </wp:inline>
        </w:drawing>
      </w:r>
      <w:r>
        <w:rPr>
          <w:rFonts w:eastAsia="Times New Roman" w:cs="Times New Roman"/>
          <w:noProof/>
          <w:szCs w:val="24"/>
        </w:rPr>
        <w:tab/>
      </w:r>
    </w:p>
    <w:p w14:paraId="51257765" w14:textId="77777777" w:rsidR="00CC54D5" w:rsidRPr="00CC54D5" w:rsidRDefault="00CC54D5" w:rsidP="00CC54D5">
      <w:pPr>
        <w:tabs>
          <w:tab w:val="left" w:pos="1171"/>
        </w:tabs>
        <w:rPr>
          <w:rFonts w:eastAsia="Times New Roman" w:cs="Times New Roman"/>
          <w:noProof/>
          <w:szCs w:val="24"/>
        </w:rPr>
      </w:pPr>
    </w:p>
    <w:sectPr w:rsidR="00CC54D5" w:rsidRPr="00CC54D5" w:rsidSect="00947B7D">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4A62B" w16cex:dateUtc="2022-03-10T15:30:00Z"/>
  <w16cex:commentExtensible w16cex:durableId="25D9AF78" w16cex:dateUtc="2022-03-14T11:11:00Z"/>
  <w16cex:commentExtensible w16cex:durableId="25D9B0EE" w16cex:dateUtc="2022-03-14T11:17:00Z"/>
  <w16cex:commentExtensible w16cex:durableId="25D4AF1B" w16cex:dateUtc="2022-03-10T16:08:00Z"/>
  <w16cex:commentExtensible w16cex:durableId="25D9B1C1" w16cex:dateUtc="2022-03-14T11:21:00Z"/>
  <w16cex:commentExtensible w16cex:durableId="25D4B04B" w16cex:dateUtc="2022-03-10T16: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98C651" w16cid:durableId="25D4A62B"/>
  <w16cid:commentId w16cid:paraId="5C3A89D6" w16cid:durableId="25D8FD92"/>
  <w16cid:commentId w16cid:paraId="0E5ADB8E" w16cid:durableId="25D9AF46"/>
  <w16cid:commentId w16cid:paraId="23EDD2FD" w16cid:durableId="25D9AF47"/>
  <w16cid:commentId w16cid:paraId="7AEEE124" w16cid:durableId="25D9AF48"/>
  <w16cid:commentId w16cid:paraId="7D77AD80" w16cid:durableId="25D8FD93"/>
  <w16cid:commentId w16cid:paraId="4863B526" w16cid:durableId="25D9AF78"/>
  <w16cid:commentId w16cid:paraId="7CBD3F07" w16cid:durableId="25D8FD94"/>
  <w16cid:commentId w16cid:paraId="2DC2689B" w16cid:durableId="25D9AF4B"/>
  <w16cid:commentId w16cid:paraId="3AF8CB1D" w16cid:durableId="25D9B0EE"/>
  <w16cid:commentId w16cid:paraId="438EE51E" w16cid:durableId="25D4AF1B"/>
  <w16cid:commentId w16cid:paraId="56109F69" w16cid:durableId="25D8FD96"/>
  <w16cid:commentId w16cid:paraId="5D69A4E9" w16cid:durableId="25D9B1C1"/>
  <w16cid:commentId w16cid:paraId="0AECD7D7" w16cid:durableId="25D9AF4E"/>
  <w16cid:commentId w16cid:paraId="52366413" w16cid:durableId="25D4B04B"/>
  <w16cid:commentId w16cid:paraId="34F95AD2" w16cid:durableId="25D9AF50"/>
  <w16cid:commentId w16cid:paraId="077F3206" w16cid:durableId="25D9AF51"/>
  <w16cid:commentId w16cid:paraId="766CCA0B" w16cid:durableId="25D9AF52"/>
  <w16cid:commentId w16cid:paraId="4B107BE6" w16cid:durableId="25D9AF53"/>
  <w16cid:commentId w16cid:paraId="0E59756B" w16cid:durableId="25D8FD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F5DBE" w14:textId="77777777" w:rsidR="001C1ABD" w:rsidRDefault="001C1ABD">
      <w:pPr>
        <w:spacing w:after="0" w:line="240" w:lineRule="auto"/>
      </w:pPr>
      <w:r>
        <w:separator/>
      </w:r>
    </w:p>
  </w:endnote>
  <w:endnote w:type="continuationSeparator" w:id="0">
    <w:p w14:paraId="336BB49D" w14:textId="77777777" w:rsidR="001C1ABD" w:rsidRDefault="001C1ABD">
      <w:pPr>
        <w:spacing w:after="0" w:line="240" w:lineRule="auto"/>
      </w:pPr>
      <w:r>
        <w:continuationSeparator/>
      </w:r>
    </w:p>
  </w:endnote>
  <w:endnote w:type="continuationNotice" w:id="1">
    <w:p w14:paraId="099E7F24" w14:textId="77777777" w:rsidR="001C1ABD" w:rsidRDefault="001C1A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EC Square Sans Pro">
    <w:altName w:val="Bahnschrift Light"/>
    <w:charset w:val="00"/>
    <w:family w:val="swiss"/>
    <w:pitch w:val="variable"/>
    <w:sig w:usb0="00000001"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B66B2" w14:textId="77777777" w:rsidR="002F2EFC" w:rsidRPr="002F2EFC" w:rsidRDefault="002F2EFC" w:rsidP="002F2E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2C93F" w14:textId="09404A3F" w:rsidR="009739BA" w:rsidRPr="002F2EFC" w:rsidRDefault="002F2EFC" w:rsidP="002F2EFC">
    <w:pPr>
      <w:pStyle w:val="FooterCoverPage"/>
      <w:rPr>
        <w:rFonts w:ascii="Arial" w:hAnsi="Arial" w:cs="Arial"/>
        <w:b/>
        <w:sz w:val="48"/>
      </w:rPr>
    </w:pPr>
    <w:r w:rsidRPr="002F2EFC">
      <w:rPr>
        <w:rFonts w:ascii="Arial" w:hAnsi="Arial" w:cs="Arial"/>
        <w:b/>
        <w:sz w:val="48"/>
      </w:rPr>
      <w:t>EN</w:t>
    </w:r>
    <w:r w:rsidRPr="002F2EFC">
      <w:rPr>
        <w:rFonts w:ascii="Arial" w:hAnsi="Arial" w:cs="Arial"/>
        <w:b/>
        <w:sz w:val="48"/>
      </w:rPr>
      <w:tab/>
    </w:r>
    <w:r w:rsidRPr="002F2EFC">
      <w:rPr>
        <w:rFonts w:ascii="Arial" w:hAnsi="Arial" w:cs="Arial"/>
        <w:b/>
        <w:sz w:val="48"/>
      </w:rPr>
      <w:tab/>
    </w:r>
    <w:r w:rsidRPr="002F2EFC">
      <w:tab/>
    </w:r>
    <w:r w:rsidRPr="002F2EFC">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35DF0" w14:textId="77777777" w:rsidR="002F2EFC" w:rsidRPr="002F2EFC" w:rsidRDefault="002F2EFC" w:rsidP="002F2EFC">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FA68A" w14:textId="77777777" w:rsidR="001C1ABD" w:rsidRDefault="001C1ABD">
    <w:pPr>
      <w:pStyle w:val="Footer"/>
      <w:rPr>
        <w:rFonts w:ascii="Arial" w:hAnsi="Arial" w:cs="Arial"/>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70224710"/>
      <w:docPartObj>
        <w:docPartGallery w:val="Page Numbers (Bottom of Page)"/>
        <w:docPartUnique/>
      </w:docPartObj>
    </w:sdtPr>
    <w:sdtEndPr>
      <w:rPr>
        <w:rFonts w:ascii="Times New Roman" w:hAnsi="Times New Roman" w:cs="Times New Roman"/>
        <w:noProof/>
      </w:rPr>
    </w:sdtEndPr>
    <w:sdtContent>
      <w:p w14:paraId="4117E05B" w14:textId="4DAC3BA8" w:rsidR="001C1ABD" w:rsidRDefault="001C1ABD" w:rsidP="002374A0">
        <w:pPr>
          <w:pStyle w:val="Footer"/>
          <w:jc w:val="center"/>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sidR="002F2EFC">
          <w:rPr>
            <w:rFonts w:cs="Times New Roman"/>
            <w:noProof/>
          </w:rPr>
          <w:t>1</w:t>
        </w:r>
        <w:r>
          <w:rPr>
            <w:rFonts w:cs="Times New Roman"/>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FD7AB" w14:textId="77777777" w:rsidR="001C1ABD" w:rsidRDefault="001C1A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94CAC" w14:textId="77777777" w:rsidR="001C1ABD" w:rsidRDefault="001C1ABD">
      <w:pPr>
        <w:spacing w:after="0" w:line="240" w:lineRule="auto"/>
      </w:pPr>
      <w:r>
        <w:separator/>
      </w:r>
    </w:p>
  </w:footnote>
  <w:footnote w:type="continuationSeparator" w:id="0">
    <w:p w14:paraId="2DA793A1" w14:textId="77777777" w:rsidR="001C1ABD" w:rsidRDefault="001C1ABD">
      <w:pPr>
        <w:spacing w:after="0" w:line="240" w:lineRule="auto"/>
      </w:pPr>
      <w:r>
        <w:continuationSeparator/>
      </w:r>
    </w:p>
  </w:footnote>
  <w:footnote w:type="continuationNotice" w:id="1">
    <w:p w14:paraId="2FB83C78" w14:textId="77777777" w:rsidR="001C1ABD" w:rsidRDefault="001C1ABD">
      <w:pPr>
        <w:spacing w:after="0" w:line="240" w:lineRule="auto"/>
      </w:pPr>
    </w:p>
  </w:footnote>
  <w:footnote w:id="2">
    <w:p w14:paraId="1A7D8FB7" w14:textId="77777777" w:rsidR="001C1ABD" w:rsidRPr="00215C96" w:rsidRDefault="001C1ABD" w:rsidP="00B23430">
      <w:pPr>
        <w:pStyle w:val="FootnoteText"/>
        <w:jc w:val="both"/>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Communication from the Commission to the European Parliament, the Council, the European Economic and Social Committee and the Committee of the Regions - </w:t>
      </w:r>
      <w:r w:rsidRPr="00215C96">
        <w:rPr>
          <w:rFonts w:eastAsia="Calibri" w:cs="Times New Roman"/>
          <w:noProof/>
          <w:color w:val="000000" w:themeColor="text1"/>
          <w:sz w:val="16"/>
          <w:szCs w:val="16"/>
        </w:rPr>
        <w:t>A competition policy fit for new challenges, COM(2021)713, 18.11.2021.</w:t>
      </w:r>
    </w:p>
  </w:footnote>
  <w:footnote w:id="3">
    <w:p w14:paraId="5DFF23D0" w14:textId="77777777" w:rsidR="001C1ABD" w:rsidRPr="00215C96" w:rsidRDefault="001C1ABD" w:rsidP="00427B74">
      <w:pPr>
        <w:spacing w:after="0"/>
        <w:jc w:val="both"/>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w:t>
      </w:r>
      <w:r w:rsidRPr="00215C96">
        <w:rPr>
          <w:rFonts w:eastAsia="Calibri" w:cs="Times New Roman"/>
          <w:noProof/>
          <w:color w:val="000000" w:themeColor="text1"/>
          <w:sz w:val="16"/>
          <w:szCs w:val="16"/>
        </w:rPr>
        <w:t xml:space="preserve">Proposal for a Regulation of the European Parliament and the Council on foreign subsidies distorting the internal market, </w:t>
      </w:r>
      <w:r w:rsidRPr="00215C96">
        <w:rPr>
          <w:rFonts w:eastAsia="Calibri" w:cs="Times New Roman"/>
          <w:noProof/>
          <w:sz w:val="16"/>
          <w:szCs w:val="16"/>
        </w:rPr>
        <w:t>COM(2021) 223 final, 5.5.2021.</w:t>
      </w:r>
    </w:p>
  </w:footnote>
  <w:footnote w:id="4">
    <w:p w14:paraId="200DD594" w14:textId="77777777" w:rsidR="001C1ABD" w:rsidRPr="003D2AC2" w:rsidRDefault="001C1ABD">
      <w:pPr>
        <w:pStyle w:val="FootnoteText"/>
        <w:jc w:val="both"/>
        <w:rPr>
          <w:sz w:val="16"/>
          <w:szCs w:val="16"/>
          <w:lang w:val="en-IE"/>
        </w:rPr>
      </w:pPr>
      <w:r w:rsidRPr="00947B7D">
        <w:rPr>
          <w:rStyle w:val="FootnoteReference"/>
          <w:sz w:val="16"/>
          <w:szCs w:val="16"/>
        </w:rPr>
        <w:footnoteRef/>
      </w:r>
      <w:r w:rsidRPr="00947B7D">
        <w:rPr>
          <w:sz w:val="16"/>
          <w:szCs w:val="16"/>
        </w:rPr>
        <w:t xml:space="preserve"> </w:t>
      </w:r>
      <w:r w:rsidRPr="00215C96">
        <w:rPr>
          <w:rFonts w:cs="Times New Roman"/>
          <w:sz w:val="16"/>
          <w:szCs w:val="16"/>
          <w:lang w:val="en-IE"/>
        </w:rPr>
        <w:t>Regulation (EU) 2021/690 of the European Parliament and of the Council of 28 April 2021 establishing a programme for the internal market, competitiveness of enterprises, including small and medium-sized enterprises, the area of plants, animals, food and feed, and European statistics (Single Market Programme) and repealing Regulations (EU) No 99/2013, (EU) No 1287/2013, (EU) No 254/2014 and (EU) No 652/2014 (Text with EEA relevance), OJ L 153, 3.5.2021, p. 1–47. The Regulation applies retroactively, from 1 January 2021</w:t>
      </w:r>
      <w:r w:rsidRPr="00947B7D">
        <w:rPr>
          <w:sz w:val="16"/>
          <w:szCs w:val="16"/>
          <w:lang w:val="en-IE"/>
        </w:rPr>
        <w:t>.</w:t>
      </w:r>
    </w:p>
  </w:footnote>
  <w:footnote w:id="5">
    <w:p w14:paraId="4DC761A3" w14:textId="77777777" w:rsidR="001C1ABD" w:rsidRPr="00215C96" w:rsidRDefault="001C1ABD" w:rsidP="004C396E">
      <w:pPr>
        <w:spacing w:after="0"/>
        <w:jc w:val="both"/>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w:t>
      </w:r>
      <w:r w:rsidRPr="00215C96">
        <w:rPr>
          <w:rFonts w:eastAsia="Calibri" w:cs="Times New Roman"/>
          <w:noProof/>
          <w:sz w:val="16"/>
          <w:szCs w:val="16"/>
        </w:rPr>
        <w:t>Shaping Europe’s Digital Future, Commission publication of 19.2.2020, ISBN 978-92-76-16362-6.</w:t>
      </w:r>
    </w:p>
  </w:footnote>
  <w:footnote w:id="6">
    <w:p w14:paraId="74F98001" w14:textId="77777777" w:rsidR="001C1ABD" w:rsidRPr="000A1EA6" w:rsidRDefault="001C1ABD" w:rsidP="00427B74">
      <w:pPr>
        <w:pStyle w:val="FootnoteText"/>
        <w:rPr>
          <w:sz w:val="16"/>
          <w:szCs w:val="16"/>
        </w:rPr>
      </w:pPr>
      <w:r>
        <w:rPr>
          <w:rStyle w:val="FootnoteReference"/>
        </w:rPr>
        <w:footnoteRef/>
      </w:r>
      <w:r>
        <w:t xml:space="preserve"> </w:t>
      </w:r>
      <w:r w:rsidRPr="000A1EA6">
        <w:rPr>
          <w:sz w:val="16"/>
          <w:szCs w:val="16"/>
        </w:rPr>
        <w:t>Proposal for a R</w:t>
      </w:r>
      <w:r>
        <w:rPr>
          <w:sz w:val="16"/>
          <w:szCs w:val="16"/>
        </w:rPr>
        <w:t>egulation of the</w:t>
      </w:r>
      <w:r w:rsidRPr="00427B74">
        <w:rPr>
          <w:sz w:val="16"/>
          <w:szCs w:val="16"/>
        </w:rPr>
        <w:t xml:space="preserve"> European Parliament and of the Council</w:t>
      </w:r>
      <w:r w:rsidRPr="000A1EA6">
        <w:rPr>
          <w:sz w:val="16"/>
          <w:szCs w:val="16"/>
        </w:rPr>
        <w:t xml:space="preserve"> on a Single Market For Digital Services (Digital Services Act) an</w:t>
      </w:r>
      <w:r w:rsidRPr="00427B74">
        <w:rPr>
          <w:sz w:val="16"/>
          <w:szCs w:val="16"/>
        </w:rPr>
        <w:t>d amending Directive 2000/31/EC</w:t>
      </w:r>
      <w:r>
        <w:rPr>
          <w:sz w:val="16"/>
          <w:szCs w:val="16"/>
        </w:rPr>
        <w:t xml:space="preserve">, </w:t>
      </w:r>
      <w:r w:rsidRPr="00427B74">
        <w:rPr>
          <w:sz w:val="16"/>
          <w:szCs w:val="16"/>
        </w:rPr>
        <w:t xml:space="preserve">COM(2020) </w:t>
      </w:r>
      <w:r w:rsidRPr="000A1EA6">
        <w:rPr>
          <w:sz w:val="16"/>
          <w:szCs w:val="16"/>
        </w:rPr>
        <w:t>825 final</w:t>
      </w:r>
      <w:r>
        <w:rPr>
          <w:sz w:val="16"/>
          <w:szCs w:val="16"/>
        </w:rPr>
        <w:t>, 15.12.2020.</w:t>
      </w:r>
    </w:p>
  </w:footnote>
  <w:footnote w:id="7">
    <w:p w14:paraId="22B0A5BE" w14:textId="77777777" w:rsidR="001C1ABD" w:rsidRPr="00215C96" w:rsidRDefault="001C1ABD" w:rsidP="00904AD2">
      <w:pPr>
        <w:pStyle w:val="FootnoteText"/>
        <w:jc w:val="both"/>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Proposal for a Regulation of the European Parliament and of the Council on contestable and fair markets in the digital sector (Digital Markets Act), COM(2020) 842 final, 15.12.2020. </w:t>
      </w:r>
    </w:p>
  </w:footnote>
  <w:footnote w:id="8">
    <w:p w14:paraId="6DD33BC5" w14:textId="77777777" w:rsidR="001C1ABD" w:rsidRPr="00EA3652" w:rsidRDefault="001C1ABD" w:rsidP="00F22163">
      <w:pPr>
        <w:pStyle w:val="FootnoteText"/>
        <w:jc w:val="both"/>
      </w:pPr>
      <w:r w:rsidRPr="00B42247">
        <w:rPr>
          <w:rStyle w:val="FootnoteReference"/>
          <w:rFonts w:cs="Times New Roman"/>
          <w:sz w:val="16"/>
          <w:szCs w:val="16"/>
        </w:rPr>
        <w:footnoteRef/>
      </w:r>
      <w:r w:rsidRPr="00B42247">
        <w:rPr>
          <w:rStyle w:val="FootnoteReference"/>
          <w:rFonts w:cs="Times New Roman"/>
          <w:sz w:val="16"/>
          <w:szCs w:val="16"/>
        </w:rPr>
        <w:t xml:space="preserve"> </w:t>
      </w:r>
      <w:r w:rsidRPr="00B42247">
        <w:rPr>
          <w:rFonts w:cs="Times New Roman"/>
          <w:sz w:val="16"/>
          <w:szCs w:val="16"/>
        </w:rPr>
        <w:t xml:space="preserve">Press release, “Regulating ‘big tech’: Council agrees on enhancing competition in the digital sphere”, 25 November 2021, available at </w:t>
      </w:r>
      <w:hyperlink r:id="rId1" w:history="1">
        <w:r w:rsidRPr="00B42247">
          <w:rPr>
            <w:rFonts w:cs="Times New Roman"/>
            <w:sz w:val="16"/>
            <w:szCs w:val="16"/>
          </w:rPr>
          <w:t>https://www.consilium.europa.eu/en/press/press-releases/2021/11/25/regulating-big-tech-council-agrees-on-enhancing-competition-in-the-digital-sphere/</w:t>
        </w:r>
      </w:hyperlink>
      <w:r w:rsidRPr="00B42247">
        <w:rPr>
          <w:rFonts w:cs="Times New Roman"/>
          <w:sz w:val="16"/>
          <w:szCs w:val="16"/>
        </w:rPr>
        <w:t xml:space="preserve">; and press release, “Digital Markets Act: Parliament ready to start negotiations with Council”, 15 December 2021, available at </w:t>
      </w:r>
      <w:hyperlink r:id="rId2" w:history="1">
        <w:r w:rsidRPr="00B42247">
          <w:rPr>
            <w:rFonts w:cs="Times New Roman"/>
            <w:sz w:val="16"/>
            <w:szCs w:val="16"/>
          </w:rPr>
          <w:t>https://www.europarl.europa.eu/news/en/press-room/20211210IPR19211/digital-markets-act-parliament-ready-to-start-negotiations-with-council</w:t>
        </w:r>
      </w:hyperlink>
      <w:r>
        <w:rPr>
          <w:rFonts w:cs="Times New Roman"/>
          <w:sz w:val="16"/>
          <w:szCs w:val="16"/>
        </w:rPr>
        <w:t>.</w:t>
      </w:r>
    </w:p>
  </w:footnote>
  <w:footnote w:id="9">
    <w:p w14:paraId="5BA8D4EC" w14:textId="77777777" w:rsidR="001C1ABD" w:rsidRPr="000F147F" w:rsidRDefault="001C1ABD" w:rsidP="000F147F">
      <w:pPr>
        <w:spacing w:after="0"/>
        <w:jc w:val="both"/>
        <w:rPr>
          <w:sz w:val="16"/>
          <w:szCs w:val="16"/>
        </w:rPr>
      </w:pPr>
      <w:r w:rsidRPr="00215C96">
        <w:rPr>
          <w:rStyle w:val="FootnoteReference"/>
          <w:rFonts w:cs="Times New Roman"/>
          <w:sz w:val="16"/>
          <w:szCs w:val="16"/>
        </w:rPr>
        <w:footnoteRef/>
      </w:r>
      <w:r w:rsidRPr="00215C96">
        <w:rPr>
          <w:rFonts w:cs="Times New Roman"/>
          <w:sz w:val="16"/>
          <w:szCs w:val="16"/>
        </w:rPr>
        <w:t xml:space="preserve"> </w:t>
      </w:r>
      <w:r w:rsidRPr="00215C96">
        <w:rPr>
          <w:rFonts w:eastAsia="Calibri" w:cs="Times New Roman"/>
          <w:sz w:val="16"/>
          <w:szCs w:val="16"/>
        </w:rPr>
        <w:t>Proposal for a Regulation of the European Parliament and of the Council on foreign subsidies distorting the internal market, COM(2021) 223 final, 5.5.2021.</w:t>
      </w:r>
    </w:p>
  </w:footnote>
  <w:footnote w:id="10">
    <w:p w14:paraId="76FD5259" w14:textId="77777777" w:rsidR="001C1ABD" w:rsidRPr="003D2AC2" w:rsidRDefault="001C1ABD" w:rsidP="008A68CE">
      <w:pPr>
        <w:pStyle w:val="FootnoteText"/>
        <w:jc w:val="both"/>
        <w:rPr>
          <w:rFonts w:cs="Times New Roman"/>
          <w:sz w:val="16"/>
          <w:szCs w:val="16"/>
          <w:lang w:val="en-IE"/>
        </w:rPr>
      </w:pPr>
      <w:r w:rsidRPr="00215C96">
        <w:rPr>
          <w:rStyle w:val="FootnoteReference"/>
          <w:rFonts w:cs="Times New Roman"/>
          <w:sz w:val="16"/>
          <w:szCs w:val="16"/>
        </w:rPr>
        <w:footnoteRef/>
      </w:r>
      <w:r w:rsidRPr="00215C96">
        <w:rPr>
          <w:rFonts w:cs="Times New Roman"/>
          <w:sz w:val="16"/>
          <w:szCs w:val="16"/>
        </w:rPr>
        <w:t xml:space="preserve"> The proposal includes three tools: </w:t>
      </w:r>
      <w:r>
        <w:rPr>
          <w:rFonts w:cs="Times New Roman"/>
          <w:sz w:val="16"/>
          <w:szCs w:val="16"/>
        </w:rPr>
        <w:t>(</w:t>
      </w:r>
      <w:r w:rsidRPr="00215C96">
        <w:rPr>
          <w:rFonts w:cs="Times New Roman"/>
          <w:sz w:val="16"/>
          <w:szCs w:val="16"/>
        </w:rPr>
        <w:t xml:space="preserve">i.) proposed </w:t>
      </w:r>
      <w:r>
        <w:rPr>
          <w:rFonts w:cs="Times New Roman"/>
          <w:sz w:val="16"/>
          <w:szCs w:val="16"/>
        </w:rPr>
        <w:t xml:space="preserve">concentrations </w:t>
      </w:r>
      <w:r w:rsidRPr="00215C96">
        <w:rPr>
          <w:rFonts w:cs="Times New Roman"/>
          <w:sz w:val="16"/>
          <w:szCs w:val="16"/>
        </w:rPr>
        <w:t xml:space="preserve">where the </w:t>
      </w:r>
      <w:r>
        <w:rPr>
          <w:rFonts w:cs="Times New Roman"/>
          <w:sz w:val="16"/>
          <w:szCs w:val="16"/>
        </w:rPr>
        <w:t>target</w:t>
      </w:r>
      <w:r w:rsidRPr="00215C96">
        <w:rPr>
          <w:rFonts w:cs="Times New Roman"/>
          <w:sz w:val="16"/>
          <w:szCs w:val="16"/>
        </w:rPr>
        <w:t xml:space="preserve"> company has a</w:t>
      </w:r>
      <w:r>
        <w:rPr>
          <w:rFonts w:cs="Times New Roman"/>
          <w:sz w:val="16"/>
          <w:szCs w:val="16"/>
        </w:rPr>
        <w:t>n EU</w:t>
      </w:r>
      <w:r w:rsidRPr="00215C96">
        <w:rPr>
          <w:rFonts w:cs="Times New Roman"/>
          <w:sz w:val="16"/>
          <w:szCs w:val="16"/>
        </w:rPr>
        <w:t xml:space="preserve"> turnover </w:t>
      </w:r>
      <w:r>
        <w:rPr>
          <w:rFonts w:cs="Times New Roman"/>
          <w:sz w:val="16"/>
          <w:szCs w:val="16"/>
        </w:rPr>
        <w:t>of at least</w:t>
      </w:r>
      <w:r w:rsidRPr="00215C96">
        <w:rPr>
          <w:rFonts w:cs="Times New Roman"/>
          <w:sz w:val="16"/>
          <w:szCs w:val="16"/>
        </w:rPr>
        <w:t xml:space="preserve"> EUR 500 million and the foreign </w:t>
      </w:r>
      <w:r>
        <w:rPr>
          <w:rFonts w:cs="Times New Roman"/>
          <w:sz w:val="16"/>
          <w:szCs w:val="16"/>
        </w:rPr>
        <w:t>financial contribution</w:t>
      </w:r>
      <w:r w:rsidRPr="00215C96">
        <w:rPr>
          <w:rFonts w:cs="Times New Roman"/>
          <w:sz w:val="16"/>
          <w:szCs w:val="16"/>
        </w:rPr>
        <w:t xml:space="preserve"> exceeds EUR 50 million, would have to be notified to the Commission; </w:t>
      </w:r>
      <w:r>
        <w:rPr>
          <w:rFonts w:cs="Times New Roman"/>
          <w:sz w:val="16"/>
          <w:szCs w:val="16"/>
        </w:rPr>
        <w:t>(</w:t>
      </w:r>
      <w:r w:rsidRPr="00215C96">
        <w:rPr>
          <w:rFonts w:cs="Times New Roman"/>
          <w:sz w:val="16"/>
          <w:szCs w:val="16"/>
        </w:rPr>
        <w:t xml:space="preserve">ii.) bids in </w:t>
      </w:r>
      <w:r>
        <w:rPr>
          <w:rFonts w:cs="Times New Roman"/>
          <w:sz w:val="16"/>
          <w:szCs w:val="16"/>
        </w:rPr>
        <w:t xml:space="preserve">EU </w:t>
      </w:r>
      <w:r w:rsidRPr="00215C96">
        <w:rPr>
          <w:rFonts w:cs="Times New Roman"/>
          <w:sz w:val="16"/>
          <w:szCs w:val="16"/>
        </w:rPr>
        <w:t xml:space="preserve">public procurement </w:t>
      </w:r>
      <w:r>
        <w:rPr>
          <w:rFonts w:cs="Times New Roman"/>
          <w:sz w:val="16"/>
          <w:szCs w:val="16"/>
        </w:rPr>
        <w:t xml:space="preserve">procedures </w:t>
      </w:r>
      <w:r w:rsidRPr="00215C96">
        <w:rPr>
          <w:rFonts w:cs="Times New Roman"/>
          <w:sz w:val="16"/>
          <w:szCs w:val="16"/>
        </w:rPr>
        <w:t xml:space="preserve">involving foreign </w:t>
      </w:r>
      <w:r>
        <w:rPr>
          <w:rFonts w:cs="Times New Roman"/>
          <w:sz w:val="16"/>
          <w:szCs w:val="16"/>
        </w:rPr>
        <w:t>financial contributions</w:t>
      </w:r>
      <w:r w:rsidRPr="00215C96">
        <w:rPr>
          <w:rFonts w:cs="Times New Roman"/>
          <w:sz w:val="16"/>
          <w:szCs w:val="16"/>
        </w:rPr>
        <w:t xml:space="preserve"> </w:t>
      </w:r>
      <w:r>
        <w:rPr>
          <w:rFonts w:cs="Times New Roman"/>
          <w:sz w:val="16"/>
          <w:szCs w:val="16"/>
        </w:rPr>
        <w:t>where</w:t>
      </w:r>
      <w:r w:rsidRPr="00215C96">
        <w:rPr>
          <w:rFonts w:cs="Times New Roman"/>
          <w:sz w:val="16"/>
          <w:szCs w:val="16"/>
        </w:rPr>
        <w:t xml:space="preserve"> the value of the procurement </w:t>
      </w:r>
      <w:r>
        <w:rPr>
          <w:rFonts w:cs="Times New Roman"/>
          <w:sz w:val="16"/>
          <w:szCs w:val="16"/>
        </w:rPr>
        <w:t>is at least</w:t>
      </w:r>
      <w:r w:rsidRPr="00215C96">
        <w:rPr>
          <w:rFonts w:cs="Times New Roman"/>
          <w:sz w:val="16"/>
          <w:szCs w:val="16"/>
        </w:rPr>
        <w:t xml:space="preserve"> EUR 250 million would have to be notified to the Commission; and </w:t>
      </w:r>
      <w:r>
        <w:rPr>
          <w:rFonts w:cs="Times New Roman"/>
          <w:sz w:val="16"/>
          <w:szCs w:val="16"/>
        </w:rPr>
        <w:t>(</w:t>
      </w:r>
      <w:r w:rsidRPr="00215C96">
        <w:rPr>
          <w:rFonts w:cs="Times New Roman"/>
          <w:sz w:val="16"/>
          <w:szCs w:val="16"/>
        </w:rPr>
        <w:t xml:space="preserve">iii.) the Commission would be empowered to investigate ex-officio other market situations, </w:t>
      </w:r>
      <w:r>
        <w:rPr>
          <w:rFonts w:cs="Times New Roman"/>
          <w:sz w:val="16"/>
          <w:szCs w:val="16"/>
        </w:rPr>
        <w:t xml:space="preserve">including </w:t>
      </w:r>
      <w:r w:rsidRPr="00215C96">
        <w:rPr>
          <w:rFonts w:cs="Times New Roman"/>
          <w:sz w:val="16"/>
          <w:szCs w:val="16"/>
        </w:rPr>
        <w:t>smaller concentrations and smaller public procurement procedures. The Commission would have exclusive competence to enforce the Regulation. When the negative effects of</w:t>
      </w:r>
      <w:r>
        <w:rPr>
          <w:rFonts w:cs="Times New Roman"/>
          <w:sz w:val="16"/>
          <w:szCs w:val="16"/>
        </w:rPr>
        <w:t xml:space="preserve"> the</w:t>
      </w:r>
      <w:r w:rsidRPr="00215C96">
        <w:rPr>
          <w:rFonts w:cs="Times New Roman"/>
          <w:sz w:val="16"/>
          <w:szCs w:val="16"/>
        </w:rPr>
        <w:t xml:space="preserve"> foreign </w:t>
      </w:r>
      <w:r>
        <w:rPr>
          <w:rFonts w:cs="Times New Roman"/>
          <w:sz w:val="16"/>
          <w:szCs w:val="16"/>
        </w:rPr>
        <w:t>subsidy</w:t>
      </w:r>
      <w:r w:rsidRPr="00215C96">
        <w:rPr>
          <w:rFonts w:cs="Times New Roman"/>
          <w:sz w:val="16"/>
          <w:szCs w:val="16"/>
        </w:rPr>
        <w:t xml:space="preserve"> outweigh </w:t>
      </w:r>
      <w:r>
        <w:rPr>
          <w:rFonts w:cs="Times New Roman"/>
          <w:sz w:val="16"/>
          <w:szCs w:val="16"/>
        </w:rPr>
        <w:t>its</w:t>
      </w:r>
      <w:r w:rsidRPr="00215C96">
        <w:rPr>
          <w:rFonts w:cs="Times New Roman"/>
          <w:sz w:val="16"/>
          <w:szCs w:val="16"/>
        </w:rPr>
        <w:t xml:space="preserve"> positive effects, the Commission will have the power to impose </w:t>
      </w:r>
      <w:r>
        <w:rPr>
          <w:rFonts w:cs="Times New Roman"/>
          <w:sz w:val="16"/>
          <w:szCs w:val="16"/>
        </w:rPr>
        <w:t xml:space="preserve">redress </w:t>
      </w:r>
      <w:r w:rsidRPr="00215C96">
        <w:rPr>
          <w:rFonts w:cs="Times New Roman"/>
          <w:sz w:val="16"/>
          <w:szCs w:val="16"/>
        </w:rPr>
        <w:t xml:space="preserve">measures or accept commitments to remedy the distortion. Such measures and commitments include a range of structural or behavioural remedies, such as the divestment of certain assets or the prohibition of a certain market behaviour. The Commission will also have the power to prohibit a subsidised </w:t>
      </w:r>
      <w:r>
        <w:rPr>
          <w:rFonts w:cs="Times New Roman"/>
          <w:sz w:val="16"/>
          <w:szCs w:val="16"/>
        </w:rPr>
        <w:t>concentration</w:t>
      </w:r>
      <w:r w:rsidRPr="00215C96">
        <w:rPr>
          <w:rFonts w:cs="Times New Roman"/>
          <w:sz w:val="16"/>
          <w:szCs w:val="16"/>
        </w:rPr>
        <w:t xml:space="preserve"> or the award of a public procurement contract to a subsidised bidder.</w:t>
      </w:r>
    </w:p>
  </w:footnote>
  <w:footnote w:id="11">
    <w:p w14:paraId="6F4D20C2" w14:textId="77777777" w:rsidR="001C1ABD" w:rsidRPr="00215C96" w:rsidRDefault="001C1ABD">
      <w:pPr>
        <w:pStyle w:val="FootnoteText"/>
        <w:jc w:val="both"/>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Public consultation on the draft revised Regulation on vertical agreements and vertical guidelines, from 09.07.2021 to 17.09.2021. See: https://ec.europa.eu/competition-policy/public-consultations/2021-vber_en</w:t>
      </w:r>
    </w:p>
  </w:footnote>
  <w:footnote w:id="12">
    <w:p w14:paraId="7CEE9933" w14:textId="77777777" w:rsidR="001C1ABD" w:rsidRPr="00215C96" w:rsidRDefault="001C1ABD" w:rsidP="00270D9D">
      <w:pPr>
        <w:pStyle w:val="FootnoteText"/>
        <w:jc w:val="both"/>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Commission Staff Working Document - Evaluation of the Horizontal Block Exemption Regulation, SWD (2021) 103, 6.5.2021. </w:t>
      </w:r>
    </w:p>
  </w:footnote>
  <w:footnote w:id="13">
    <w:p w14:paraId="68783AED" w14:textId="77777777" w:rsidR="001C1ABD" w:rsidRPr="00215C96" w:rsidRDefault="001C1ABD" w:rsidP="00070C67">
      <w:pPr>
        <w:pStyle w:val="FootnoteText"/>
        <w:jc w:val="both"/>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Public consultation - Horizontal agreements between companies, 13.7.2021 to 5.10.2021. See: https://ec.europa.eu/info/law/better-regulation/have-your-say/initiatives/13058-Horizontal-agreements-between-companies-revision-of-EU-competition-rules/public-consultation_en</w:t>
      </w:r>
    </w:p>
  </w:footnote>
  <w:footnote w:id="14">
    <w:p w14:paraId="5F08C3FF" w14:textId="2B11E7CB" w:rsidR="001C1ABD" w:rsidRPr="00070C67" w:rsidRDefault="001C1ABD" w:rsidP="00070C67">
      <w:pPr>
        <w:pStyle w:val="FootnoteText"/>
        <w:jc w:val="both"/>
      </w:pPr>
      <w:r w:rsidRPr="00070C67">
        <w:rPr>
          <w:rStyle w:val="FootnoteReference"/>
          <w:sz w:val="16"/>
          <w:szCs w:val="16"/>
        </w:rPr>
        <w:footnoteRef/>
      </w:r>
      <w:r w:rsidRPr="00070C67">
        <w:rPr>
          <w:sz w:val="16"/>
          <w:szCs w:val="16"/>
        </w:rPr>
        <w:t xml:space="preserve"> The 2030 UN Agenda for Sustainable Development identifies 17 Sustainable Development Goals (such as climate action, affordable and clean energy or industry, innovation and infrastructure and 169 targets (including but not limited to strengthening resilience and adaptive capacity to climate-related disasters, ending deforestation and restoring degraded forests or developing sustainable, resilient and inclusive infrastructures).</w:t>
      </w:r>
    </w:p>
  </w:footnote>
  <w:footnote w:id="15">
    <w:p w14:paraId="67798A9C" w14:textId="77777777" w:rsidR="001C1ABD" w:rsidRPr="00215C96" w:rsidRDefault="001C1ABD" w:rsidP="00106A7D">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An Evaluation Report and a Staff Working Document (SWD) summarise the conclusions. Report from the Commission, Commission Evaluation Report on the operation of the Motor Vehicle Block Exemption Regulation (EU) No 461/2010, COM(2021)264, 28.05.2021. Commission Staff Working Document of the Motor Vehicle Block Exemption Regulation accompanying the document Report from the Commission, Commission Evaluation Report on the operation of the Motor Vehicle Block Exemption Regulation (EU) No 461/2010, SWD(2021)112, 28.05.2021</w:t>
      </w:r>
      <w:r>
        <w:rPr>
          <w:rFonts w:cs="Times New Roman"/>
          <w:sz w:val="16"/>
          <w:szCs w:val="16"/>
        </w:rPr>
        <w:t>.</w:t>
      </w:r>
    </w:p>
  </w:footnote>
  <w:footnote w:id="16">
    <w:p w14:paraId="3CC76DD2" w14:textId="77777777" w:rsidR="001C1ABD" w:rsidRPr="00215C96" w:rsidRDefault="001C1ABD" w:rsidP="00EE2061">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Commission Regulation (EU) No 330/2010 of 20 April 2010 on the application of Article 101(3) of the Treaty on the Functioning of the European Union to categories of vertical agreements and concerted practices, OJ L 102, 23.4.2010, pp. 1–7</w:t>
      </w:r>
      <w:r>
        <w:rPr>
          <w:rFonts w:cs="Times New Roman"/>
          <w:sz w:val="16"/>
          <w:szCs w:val="16"/>
        </w:rPr>
        <w:t>.</w:t>
      </w:r>
    </w:p>
  </w:footnote>
  <w:footnote w:id="17">
    <w:p w14:paraId="49CCE163" w14:textId="77777777" w:rsidR="001C1ABD" w:rsidRPr="00215C96" w:rsidRDefault="001C1ABD" w:rsidP="0061088B">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Commission Notice on the definition of relevant market for the purposes of Community competition law, OJ C 372, 9.12.1997, pp. 5–13.</w:t>
      </w:r>
    </w:p>
  </w:footnote>
  <w:footnote w:id="18">
    <w:p w14:paraId="53EF7379" w14:textId="77777777" w:rsidR="001C1ABD" w:rsidRPr="00215C96" w:rsidRDefault="001C1ABD" w:rsidP="00EE2061">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Commission Staff Working Document, Evaluation of the Commission Notice on the definition of relevant market for the purposes of Community competition law of 9 December 1997, SWD(2021) 199, 12.7.2021. See: https://ec.europa.eu/competition-policy/system/files/2021-07/evaluation_</w:t>
      </w:r>
      <w:r>
        <w:rPr>
          <w:rFonts w:cs="Times New Roman"/>
          <w:sz w:val="16"/>
          <w:szCs w:val="16"/>
        </w:rPr>
        <w:t>market-definition-notice_en.pdf</w:t>
      </w:r>
    </w:p>
  </w:footnote>
  <w:footnote w:id="19">
    <w:p w14:paraId="242DC100" w14:textId="77777777" w:rsidR="001C1ABD" w:rsidRPr="00215C96" w:rsidRDefault="001C1ABD" w:rsidP="006E5834">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Collective bargaining agreements for self-employed – scope of application EU competition rules, consultation period 5.3.2021 – 31.5.2021. See: https://ec.europa.eu/info/law/better-regulation/have-your-say/initiatives/12483-Collective-bargaining-agreements-for-self-employed-scope-of-application-EU-competition-rules/public-consultation_en</w:t>
      </w:r>
    </w:p>
  </w:footnote>
  <w:footnote w:id="20">
    <w:p w14:paraId="0A51E0E3" w14:textId="77777777" w:rsidR="001C1ABD" w:rsidRPr="003D2AC2" w:rsidRDefault="001C1ABD" w:rsidP="008D4274">
      <w:pPr>
        <w:pStyle w:val="FootnoteText"/>
        <w:jc w:val="both"/>
        <w:rPr>
          <w:rFonts w:cs="Times New Roman"/>
          <w:sz w:val="16"/>
          <w:szCs w:val="16"/>
          <w:lang w:val="en-IE"/>
        </w:rPr>
      </w:pPr>
      <w:r w:rsidRPr="00215C96">
        <w:rPr>
          <w:rStyle w:val="FootnoteReference"/>
          <w:rFonts w:cs="Times New Roman"/>
          <w:sz w:val="16"/>
          <w:szCs w:val="16"/>
        </w:rPr>
        <w:footnoteRef/>
      </w:r>
      <w:r w:rsidRPr="00215C96">
        <w:rPr>
          <w:rFonts w:cs="Times New Roman"/>
          <w:sz w:val="16"/>
          <w:szCs w:val="16"/>
        </w:rPr>
        <w:t xml:space="preserve"> Communication from the Commission Guidelines on the application of EU competition law to collective agreements regarding the working conditions of solo self-employed persons, 9.12.2021 C(2021) 8838 final ANNEX.</w:t>
      </w:r>
      <w:r w:rsidRPr="00947B7D">
        <w:rPr>
          <w:sz w:val="16"/>
          <w:szCs w:val="16"/>
        </w:rPr>
        <w:t xml:space="preserve"> </w:t>
      </w:r>
      <w:r w:rsidRPr="00215C96">
        <w:rPr>
          <w:rFonts w:cs="Times New Roman"/>
          <w:sz w:val="16"/>
          <w:szCs w:val="16"/>
        </w:rPr>
        <w:t>The draft Guidelines are part of a package of initiatives by the Commission also including a proposal for a Directive on improving working conditions in platform work and a Communication on harnessing the full benefits of digitisation for the future of work.</w:t>
      </w:r>
    </w:p>
  </w:footnote>
  <w:footnote w:id="21">
    <w:p w14:paraId="022D2DAD" w14:textId="77777777" w:rsidR="001C1ABD" w:rsidRPr="00215C96" w:rsidRDefault="001C1ABD" w:rsidP="00F42E78">
      <w:pPr>
        <w:pStyle w:val="FootnoteText"/>
        <w:jc w:val="both"/>
        <w:rPr>
          <w:rFonts w:cs="Times New Roman"/>
          <w:sz w:val="16"/>
          <w:szCs w:val="16"/>
        </w:rPr>
      </w:pPr>
      <w:r w:rsidRPr="00215C96">
        <w:rPr>
          <w:rStyle w:val="FootnoteReference"/>
          <w:rFonts w:cs="Times New Roman"/>
          <w:sz w:val="16"/>
          <w:szCs w:val="16"/>
        </w:rPr>
        <w:footnoteRef/>
      </w:r>
      <w:r>
        <w:rPr>
          <w:rFonts w:cs="Times New Roman"/>
          <w:sz w:val="16"/>
          <w:szCs w:val="16"/>
        </w:rPr>
        <w:t xml:space="preserve"> </w:t>
      </w:r>
      <w:r w:rsidRPr="00215C96">
        <w:rPr>
          <w:rFonts w:cs="Times New Roman"/>
          <w:sz w:val="16"/>
          <w:szCs w:val="16"/>
        </w:rPr>
        <w:t>Commission Staff Working Document, Evaluation of procedural and jurisdictional aspects of EU merger control, SWD(2021) 66 final, 26.3.2021.</w:t>
      </w:r>
    </w:p>
  </w:footnote>
  <w:footnote w:id="22">
    <w:p w14:paraId="1A3DE4B9" w14:textId="5310B6E6" w:rsidR="001C1ABD" w:rsidRPr="00215C96" w:rsidRDefault="001C1ABD" w:rsidP="00694E5F">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w:t>
      </w:r>
      <w:r w:rsidRPr="00AD6B91">
        <w:rPr>
          <w:rFonts w:cs="Times New Roman"/>
          <w:sz w:val="16"/>
          <w:szCs w:val="16"/>
        </w:rPr>
        <w:t>Communication from the Commission: Guidance on the application of the referral mechanism set out in Article 22 of the Merger Regulation to certain categories of cases, OJ C 113, 31.3.2021, pp. 1–6.</w:t>
      </w:r>
    </w:p>
  </w:footnote>
  <w:footnote w:id="23">
    <w:p w14:paraId="537C3A64" w14:textId="7AEF95EF" w:rsidR="001C1ABD" w:rsidRPr="00215C96" w:rsidRDefault="001C1ABD" w:rsidP="000C4658">
      <w:pPr>
        <w:pStyle w:val="FootnoteText"/>
        <w:jc w:val="both"/>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w:t>
      </w:r>
      <w:r w:rsidRPr="00215C96">
        <w:rPr>
          <w:rFonts w:eastAsia="Times New Roman" w:cs="Times New Roman"/>
          <w:sz w:val="16"/>
          <w:szCs w:val="16"/>
        </w:rPr>
        <w:t>Article 22 of the Merger Regulation allows Member States to ask the Commission to examine any concentration that does not have an EU dimension</w:t>
      </w:r>
      <w:r>
        <w:rPr>
          <w:rFonts w:eastAsia="Times New Roman" w:cs="Times New Roman"/>
          <w:sz w:val="16"/>
          <w:szCs w:val="16"/>
        </w:rPr>
        <w:t>,</w:t>
      </w:r>
      <w:r w:rsidRPr="00215C96">
        <w:rPr>
          <w:rFonts w:eastAsia="Times New Roman" w:cs="Times New Roman"/>
          <w:sz w:val="16"/>
          <w:szCs w:val="16"/>
        </w:rPr>
        <w:t xml:space="preserve"> but which affects cross-border trade and threatens to significantly affect competition within the territory of the Member State(s)</w:t>
      </w:r>
      <w:r>
        <w:rPr>
          <w:rFonts w:eastAsia="Times New Roman" w:cs="Times New Roman"/>
          <w:sz w:val="16"/>
          <w:szCs w:val="16"/>
        </w:rPr>
        <w:t xml:space="preserve"> </w:t>
      </w:r>
      <w:r w:rsidRPr="00215C96">
        <w:rPr>
          <w:rFonts w:eastAsia="Times New Roman" w:cs="Times New Roman"/>
          <w:sz w:val="16"/>
          <w:szCs w:val="16"/>
        </w:rPr>
        <w:t>making the request</w:t>
      </w:r>
      <w:r>
        <w:rPr>
          <w:rFonts w:eastAsia="Times New Roman" w:cs="Times New Roman"/>
          <w:sz w:val="16"/>
          <w:szCs w:val="16"/>
        </w:rPr>
        <w:t>,</w:t>
      </w:r>
      <w:r w:rsidRPr="00215C96">
        <w:rPr>
          <w:rFonts w:eastAsia="Times New Roman" w:cs="Times New Roman"/>
          <w:sz w:val="16"/>
          <w:szCs w:val="16"/>
        </w:rPr>
        <w:t xml:space="preserve"> irrespective of whether such transaction is notifiable under the national merger control rules of the referring Member State</w:t>
      </w:r>
      <w:r>
        <w:rPr>
          <w:rFonts w:eastAsia="Times New Roman" w:cs="Times New Roman"/>
          <w:sz w:val="16"/>
          <w:szCs w:val="16"/>
        </w:rPr>
        <w:t>(s)</w:t>
      </w:r>
      <w:r w:rsidRPr="00215C96">
        <w:rPr>
          <w:rFonts w:eastAsia="Times New Roman" w:cs="Times New Roman"/>
          <w:noProof/>
          <w:sz w:val="16"/>
          <w:szCs w:val="16"/>
        </w:rPr>
        <w:t>.</w:t>
      </w:r>
    </w:p>
  </w:footnote>
  <w:footnote w:id="24">
    <w:p w14:paraId="5FD8ED1C" w14:textId="77777777" w:rsidR="001C1ABD" w:rsidRPr="00215C96" w:rsidRDefault="001C1ABD" w:rsidP="006D18A9">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vertAlign w:val="superscript"/>
        </w:rPr>
        <w:t xml:space="preserve"> </w:t>
      </w:r>
      <w:r w:rsidRPr="00215C96">
        <w:rPr>
          <w:rFonts w:cs="Times New Roman"/>
          <w:sz w:val="16"/>
          <w:szCs w:val="16"/>
        </w:rPr>
        <w:t>Communication from the Commission Sixth Amendment to the Temporary Framework for State aid measures to support the economy in the current COVID-19 outbreak and amendment to the Annex to the Communication from the Commission to the Member States on the application of Articles 107 and 108 of the Treaty on the Functioning of the European Union to short-term export-credit insurance 2021/C 473/01, C/2021/8442, OJ C 473, 24.11.2021, pp. 1–15.</w:t>
      </w:r>
    </w:p>
  </w:footnote>
  <w:footnote w:id="25">
    <w:p w14:paraId="200D42C2" w14:textId="77777777" w:rsidR="001C1ABD" w:rsidRPr="00215C96" w:rsidRDefault="001C1ABD" w:rsidP="00373CE6">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Public consultations from 7.6.2021 to 2.8.2021. See: https://ec.europa.eu/competition-policy/public-consultations/2021-ceeag_en</w:t>
      </w:r>
    </w:p>
  </w:footnote>
  <w:footnote w:id="26">
    <w:p w14:paraId="37C6E26C" w14:textId="77777777" w:rsidR="001C1ABD" w:rsidRPr="00215C96" w:rsidRDefault="001C1ABD" w:rsidP="00373CE6">
      <w:pPr>
        <w:pStyle w:val="FootnoteText"/>
        <w:jc w:val="both"/>
        <w:rPr>
          <w:rFonts w:cs="Times New Roman"/>
          <w:sz w:val="16"/>
          <w:szCs w:val="16"/>
        </w:rPr>
      </w:pPr>
      <w:r w:rsidRPr="00215C96">
        <w:rPr>
          <w:rStyle w:val="FootnoteReference"/>
          <w:rFonts w:cs="Times New Roman"/>
          <w:sz w:val="16"/>
          <w:szCs w:val="16"/>
        </w:rPr>
        <w:footnoteRef/>
      </w:r>
      <w:r w:rsidRPr="00947B7D">
        <w:rPr>
          <w:sz w:val="16"/>
          <w:szCs w:val="16"/>
        </w:rPr>
        <w:t xml:space="preserve"> </w:t>
      </w:r>
      <w:r w:rsidRPr="00215C96">
        <w:rPr>
          <w:rFonts w:cs="Times New Roman"/>
          <w:sz w:val="16"/>
          <w:szCs w:val="16"/>
        </w:rPr>
        <w:t>Communication from the Commission: Guidelines on State aid for climate, environmental protection and energy, 27.1.2022, C(2022) 481 final.</w:t>
      </w:r>
    </w:p>
  </w:footnote>
  <w:footnote w:id="27">
    <w:p w14:paraId="63E909D2" w14:textId="77777777" w:rsidR="001C1ABD" w:rsidRPr="00215C96" w:rsidRDefault="001C1ABD" w:rsidP="00500DD6">
      <w:pPr>
        <w:pStyle w:val="FootnoteText"/>
        <w:rPr>
          <w:rFonts w:cs="Times New Roman"/>
          <w:sz w:val="16"/>
          <w:szCs w:val="16"/>
        </w:rPr>
      </w:pPr>
      <w:r w:rsidRPr="00215C96">
        <w:rPr>
          <w:rFonts w:cs="Times New Roman"/>
          <w:sz w:val="16"/>
          <w:szCs w:val="16"/>
          <w:vertAlign w:val="superscript"/>
        </w:rPr>
        <w:footnoteRef/>
      </w:r>
      <w:r w:rsidRPr="00215C96">
        <w:rPr>
          <w:rFonts w:cs="Times New Roman"/>
          <w:sz w:val="16"/>
          <w:szCs w:val="16"/>
          <w:vertAlign w:val="superscript"/>
        </w:rPr>
        <w:t xml:space="preserve"> </w:t>
      </w:r>
      <w:r w:rsidRPr="00215C96">
        <w:rPr>
          <w:rFonts w:cs="Times New Roman"/>
          <w:sz w:val="16"/>
          <w:szCs w:val="16"/>
        </w:rPr>
        <w:t>See: https://ec.europa.eu/commission/presscorner/detail/en/qanda_22_566</w:t>
      </w:r>
    </w:p>
  </w:footnote>
  <w:footnote w:id="28">
    <w:p w14:paraId="62AEBC27" w14:textId="77777777" w:rsidR="001C1ABD" w:rsidRPr="006E06D7" w:rsidRDefault="001C1ABD">
      <w:pPr>
        <w:pStyle w:val="FootnoteText"/>
        <w:rPr>
          <w:lang w:val="en-IE"/>
        </w:rPr>
      </w:pPr>
      <w:r w:rsidRPr="006E06D7">
        <w:rPr>
          <w:rStyle w:val="FootnoteReference"/>
        </w:rPr>
        <w:footnoteRef/>
      </w:r>
      <w:r w:rsidRPr="006E06D7">
        <w:t xml:space="preserve"> </w:t>
      </w:r>
      <w:r w:rsidRPr="006E06D7">
        <w:rPr>
          <w:rFonts w:cs="Times New Roman"/>
          <w:sz w:val="16"/>
          <w:szCs w:val="16"/>
        </w:rPr>
        <w:t>In the past, funding under the IPCEI Communication has been approved to projects related to batteries, microprocessors and certain infrastructures.</w:t>
      </w:r>
    </w:p>
  </w:footnote>
  <w:footnote w:id="29">
    <w:p w14:paraId="7E2AAD27" w14:textId="77777777" w:rsidR="001C1ABD" w:rsidRPr="00215C96" w:rsidRDefault="001C1ABD" w:rsidP="00202752">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Public consultations form 23.2.2021 to 20.4.2021. See: https://ec.europa.eu/competition-policy/public-consultations/2021-ipcei_en</w:t>
      </w:r>
    </w:p>
  </w:footnote>
  <w:footnote w:id="30">
    <w:p w14:paraId="4641B8A3" w14:textId="77777777" w:rsidR="001C1ABD" w:rsidRPr="00215C96" w:rsidRDefault="001C1ABD" w:rsidP="00202752">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Communication from the Commission: Criteria for the analysis of the compatibility with the internal market of State aid to promote the execution of important projects of common European interest, C(2021) 8481 final.</w:t>
      </w:r>
    </w:p>
  </w:footnote>
  <w:footnote w:id="31">
    <w:p w14:paraId="62552EA3" w14:textId="77777777" w:rsidR="001C1ABD" w:rsidRPr="00215C96" w:rsidRDefault="001C1ABD" w:rsidP="005E3767">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Framework for State aid for research and development and innovation, OJ C 198, 27.6.2014, p. 1.</w:t>
      </w:r>
    </w:p>
  </w:footnote>
  <w:footnote w:id="32">
    <w:p w14:paraId="78EB12DB" w14:textId="77777777" w:rsidR="001C1ABD" w:rsidRPr="00215C96" w:rsidRDefault="001C1ABD" w:rsidP="00002ECB">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Public consultations from 8.4.2021 to 3.6.2021. See: </w:t>
      </w:r>
      <w:hyperlink r:id="rId3" w:history="1">
        <w:r w:rsidRPr="00AD0C38">
          <w:rPr>
            <w:rStyle w:val="Hyperlink"/>
            <w:rFonts w:cs="Times New Roman"/>
            <w:sz w:val="16"/>
            <w:szCs w:val="16"/>
          </w:rPr>
          <w:t>https://ec.europa.eu/competition-policy/public-consultations/2021-rdi_en</w:t>
        </w:r>
      </w:hyperlink>
      <w:r>
        <w:rPr>
          <w:rFonts w:cs="Times New Roman"/>
          <w:sz w:val="16"/>
          <w:szCs w:val="16"/>
        </w:rPr>
        <w:t xml:space="preserve"> </w:t>
      </w:r>
    </w:p>
  </w:footnote>
  <w:footnote w:id="33">
    <w:p w14:paraId="6D3F4E1F" w14:textId="77777777" w:rsidR="001C1ABD" w:rsidRPr="00215C96" w:rsidRDefault="001C1ABD" w:rsidP="00D51C3A">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Communication from the Commission: EU Guidelines for the application of State aid rules in relation to the rapid deployment of broadband networks, OJ C 25, 26.1.2013, pp. 1-26.</w:t>
      </w:r>
    </w:p>
  </w:footnote>
  <w:footnote w:id="34">
    <w:p w14:paraId="1DEFC6B7" w14:textId="77777777" w:rsidR="001C1ABD" w:rsidRPr="00215C96" w:rsidRDefault="001C1ABD" w:rsidP="0053557E">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Commission Staff Working Document – Evaluation of the State Aid rules for broadband infrastructure deployment, SWD(2021) 194 final, 7.7.2021. </w:t>
      </w:r>
    </w:p>
  </w:footnote>
  <w:footnote w:id="35">
    <w:p w14:paraId="42C327D3" w14:textId="77777777" w:rsidR="001C1ABD" w:rsidRPr="00215C96" w:rsidRDefault="001C1ABD" w:rsidP="00104A68">
      <w:pPr>
        <w:pStyle w:val="FootnoteText"/>
        <w:jc w:val="both"/>
        <w:rPr>
          <w:rFonts w:cs="Times New Roman"/>
          <w:sz w:val="16"/>
          <w:szCs w:val="16"/>
          <w:lang w:val="en-US"/>
        </w:rPr>
      </w:pPr>
      <w:r w:rsidRPr="00215C96">
        <w:rPr>
          <w:rFonts w:cs="Times New Roman"/>
          <w:sz w:val="16"/>
          <w:szCs w:val="16"/>
          <w:vertAlign w:val="superscript"/>
        </w:rPr>
        <w:footnoteRef/>
      </w:r>
      <w:r w:rsidRPr="00215C96">
        <w:rPr>
          <w:rFonts w:cs="Times New Roman"/>
          <w:sz w:val="16"/>
          <w:szCs w:val="16"/>
        </w:rPr>
        <w:t xml:space="preserve"> Communication from the Commission to the European Parliament, the Council, the European Economic and Social Committee and the Committee of the Regions: Connectivity for a Competitive Digital Single Market – Towards a European Gigabit Society, </w:t>
      </w:r>
      <w:r w:rsidRPr="00215C96">
        <w:rPr>
          <w:rFonts w:cs="Times New Roman"/>
          <w:sz w:val="16"/>
          <w:szCs w:val="16"/>
          <w:lang w:val="en-US"/>
        </w:rPr>
        <w:t xml:space="preserve">COM (2016) 0587 final. </w:t>
      </w:r>
    </w:p>
  </w:footnote>
  <w:footnote w:id="36">
    <w:p w14:paraId="53DBA344" w14:textId="77777777" w:rsidR="001C1ABD" w:rsidRPr="00215C96" w:rsidRDefault="001C1ABD" w:rsidP="00104A68">
      <w:pPr>
        <w:pStyle w:val="FootnoteText"/>
        <w:jc w:val="both"/>
        <w:rPr>
          <w:rFonts w:cs="Times New Roman"/>
          <w:sz w:val="16"/>
          <w:szCs w:val="16"/>
          <w:lang w:val="en-US"/>
        </w:rPr>
      </w:pPr>
      <w:r w:rsidRPr="00215C96">
        <w:rPr>
          <w:rFonts w:cs="Times New Roman"/>
          <w:sz w:val="16"/>
          <w:szCs w:val="16"/>
          <w:vertAlign w:val="superscript"/>
        </w:rPr>
        <w:footnoteRef/>
      </w:r>
      <w:r w:rsidRPr="00215C96">
        <w:rPr>
          <w:rFonts w:cs="Times New Roman"/>
          <w:sz w:val="16"/>
          <w:szCs w:val="16"/>
          <w:vertAlign w:val="superscript"/>
          <w:lang w:val="en-US"/>
        </w:rPr>
        <w:t xml:space="preserve"> </w:t>
      </w:r>
      <w:r w:rsidRPr="00215C96">
        <w:rPr>
          <w:rFonts w:cs="Times New Roman"/>
          <w:sz w:val="16"/>
          <w:szCs w:val="16"/>
          <w:lang w:val="en-US"/>
        </w:rPr>
        <w:t xml:space="preserve">Communication from the Commission to the European Parliament, the Council, the European Economic and Social Committee and the Committee of the Regions, Digital Compass: the European way for the Digital Decade, COM (2021) 118 final, 9.3.2021. </w:t>
      </w:r>
    </w:p>
  </w:footnote>
  <w:footnote w:id="37">
    <w:p w14:paraId="2C134AD6" w14:textId="77777777" w:rsidR="001C1ABD" w:rsidRPr="003D2AC2" w:rsidRDefault="001C1ABD">
      <w:pPr>
        <w:pStyle w:val="FootnoteText"/>
        <w:rPr>
          <w:sz w:val="16"/>
          <w:szCs w:val="16"/>
          <w:lang w:val="en-IE"/>
        </w:rPr>
      </w:pPr>
      <w:r w:rsidRPr="00215C96">
        <w:rPr>
          <w:rStyle w:val="FootnoteReference"/>
          <w:rFonts w:cs="Times New Roman"/>
          <w:sz w:val="16"/>
          <w:szCs w:val="16"/>
        </w:rPr>
        <w:footnoteRef/>
      </w:r>
      <w:r w:rsidRPr="00215C96">
        <w:rPr>
          <w:rFonts w:cs="Times New Roman"/>
          <w:sz w:val="16"/>
          <w:szCs w:val="16"/>
        </w:rPr>
        <w:t xml:space="preserve"> Draft </w:t>
      </w:r>
      <w:r w:rsidRPr="00215C96">
        <w:rPr>
          <w:rFonts w:cs="Times New Roman"/>
          <w:sz w:val="16"/>
          <w:szCs w:val="16"/>
          <w:lang w:val="en-US"/>
        </w:rPr>
        <w:t xml:space="preserve">Communication from the Commission Guidelines on State aid for broadband networks, of 19.11.2021, </w:t>
      </w:r>
    </w:p>
  </w:footnote>
  <w:footnote w:id="38">
    <w:p w14:paraId="7B2AB321" w14:textId="77777777" w:rsidR="001C1ABD" w:rsidRPr="00215C96" w:rsidRDefault="001C1ABD" w:rsidP="009F2C32">
      <w:pPr>
        <w:pStyle w:val="FootnoteText"/>
        <w:jc w:val="both"/>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See: https://ec.europa.eu/info/strategy/eu-budget/long-term-eu-budget/2021-2027_en</w:t>
      </w:r>
    </w:p>
  </w:footnote>
  <w:footnote w:id="39">
    <w:p w14:paraId="3026EC74" w14:textId="77777777" w:rsidR="001C1ABD" w:rsidRPr="00215C96" w:rsidRDefault="001C1ABD" w:rsidP="009F2C32">
      <w:pPr>
        <w:pStyle w:val="FootnoteText"/>
        <w:jc w:val="both"/>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Commission Regulation (EU) 2021/1237 of 23 July 2021 amending Regulation (EU) No 651/2014 declaring certain categories of aid compatible with the internal market in application of Articles 107 and 108 of the Treaty (Text with EEA relevance), OJ L 270, 29.7.2021, p.39. Public funding that fulfils the conditions of State aid as defined in Article 107(1) of the TFEU must normally be notified to the Commission and approved before it is put into effect, in order to ensure that public spending does not cause unfair competition for companies operating within the EU's internal market. However, Member States are not obliged to notify State aid to the Commission, if the aid in question meets all the relevant criteria set out in the GBER.</w:t>
      </w:r>
    </w:p>
  </w:footnote>
  <w:footnote w:id="40">
    <w:p w14:paraId="6049F488" w14:textId="6D5E5DED" w:rsidR="001C1ABD" w:rsidRPr="00215C96" w:rsidRDefault="001C1ABD" w:rsidP="009F2C32">
      <w:pPr>
        <w:pStyle w:val="FootnoteText"/>
        <w:jc w:val="both"/>
        <w:rPr>
          <w:rFonts w:cs="Times New Roman"/>
          <w:sz w:val="16"/>
          <w:szCs w:val="16"/>
          <w:lang w:val="en-US"/>
        </w:rPr>
      </w:pPr>
      <w:r w:rsidRPr="00215C96">
        <w:rPr>
          <w:rStyle w:val="FootnoteReference"/>
          <w:rFonts w:cs="Times New Roman"/>
          <w:sz w:val="16"/>
          <w:szCs w:val="16"/>
        </w:rPr>
        <w:footnoteRef/>
      </w:r>
      <w:r w:rsidRPr="00215C96">
        <w:rPr>
          <w:rFonts w:cs="Times New Roman"/>
          <w:sz w:val="16"/>
          <w:szCs w:val="16"/>
        </w:rPr>
        <w:t xml:space="preserve"> The concerned national funds are those relating to: Financing and investment operations supported by the InvestEU Fund; Research, Development and Innovation (RDI) projects having received a “Seal of Excellence” under Horizon 2020 or Horizon Europe, as well as co-funded research and development projects or Teaming actions under Horizon 2020 or Horizon Europe; </w:t>
      </w:r>
      <w:r w:rsidRPr="00AA17BB">
        <w:rPr>
          <w:rFonts w:cs="Times New Roman"/>
          <w:sz w:val="16"/>
          <w:szCs w:val="16"/>
        </w:rPr>
        <w:t>certain trans-European</w:t>
      </w:r>
      <w:r>
        <w:rPr>
          <w:rFonts w:cs="Times New Roman"/>
          <w:sz w:val="16"/>
          <w:szCs w:val="16"/>
        </w:rPr>
        <w:t xml:space="preserve"> </w:t>
      </w:r>
      <w:r w:rsidRPr="00AA17BB">
        <w:rPr>
          <w:rFonts w:cs="Times New Roman"/>
          <w:sz w:val="16"/>
          <w:szCs w:val="16"/>
        </w:rPr>
        <w:t xml:space="preserve">digital connectivity infrastructure projects funded or having received a “Seal of Excellence” under the Connecting Europe Facility; </w:t>
      </w:r>
      <w:r w:rsidRPr="00215C96">
        <w:rPr>
          <w:rFonts w:cs="Times New Roman"/>
          <w:sz w:val="16"/>
          <w:szCs w:val="16"/>
        </w:rPr>
        <w:t>European Territorial Cooperation (ETC) projects, also known as Interreg.</w:t>
      </w:r>
    </w:p>
  </w:footnote>
  <w:footnote w:id="41">
    <w:p w14:paraId="71EC6B4D" w14:textId="77777777" w:rsidR="001C1ABD" w:rsidRPr="00215C96" w:rsidRDefault="001C1ABD" w:rsidP="006A68CE">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Communication from the Commission: Guidelines on State aid to promote risk finance investments, OJ C 508, 16.12.2021, pp. 1–36.</w:t>
      </w:r>
      <w:r w:rsidRPr="00215C96" w:rsidDel="00F066A8">
        <w:rPr>
          <w:rFonts w:cs="Times New Roman"/>
          <w:sz w:val="16"/>
          <w:szCs w:val="16"/>
        </w:rPr>
        <w:t xml:space="preserve"> </w:t>
      </w:r>
    </w:p>
  </w:footnote>
  <w:footnote w:id="42">
    <w:p w14:paraId="15DD5E63" w14:textId="77777777" w:rsidR="001C1ABD" w:rsidRPr="00215C96" w:rsidRDefault="001C1ABD" w:rsidP="006A68CE">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Commission Regulation (EU) No 651/2014 of 17 June 2014 declaring certain categories of aid compatible with the internal market in application of Articles 107 and 108 of the Treaty (Text with EEA relevance), OJ L 187, 26.6.2014, pp. 1-78.</w:t>
      </w:r>
    </w:p>
  </w:footnote>
  <w:footnote w:id="43">
    <w:p w14:paraId="1185C22E" w14:textId="77777777" w:rsidR="001C1ABD" w:rsidRPr="00215C96" w:rsidRDefault="001C1ABD" w:rsidP="00104A68">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Communication from the Commission to the Member States on the application of Articles 107 and 108 of the Treaty on the Functioning of the European Union to short-term export credit insurance, OJ C 497, 10.12.2021, pp.5-13. </w:t>
      </w:r>
    </w:p>
  </w:footnote>
  <w:footnote w:id="44">
    <w:p w14:paraId="53770CA4" w14:textId="77777777" w:rsidR="001C1ABD" w:rsidRPr="00215C96" w:rsidRDefault="001C1ABD" w:rsidP="00104A68">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Guidelines on regional State aid for 2014-2020, OJ C 209, 23.7.2013, p. 1.</w:t>
      </w:r>
    </w:p>
  </w:footnote>
  <w:footnote w:id="45">
    <w:p w14:paraId="192CD6AF" w14:textId="77777777" w:rsidR="001C1ABD" w:rsidRPr="00215C96" w:rsidRDefault="001C1ABD" w:rsidP="008318A4">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Communication from the Commission: Guidelines on regional State aid, OJ C 153, 29.4.2021, pp. 1–46.</w:t>
      </w:r>
    </w:p>
  </w:footnote>
  <w:footnote w:id="46">
    <w:p w14:paraId="6834A8A6" w14:textId="08FA0A6F" w:rsidR="001C1ABD" w:rsidRPr="00215C96" w:rsidRDefault="001C1ABD" w:rsidP="00EA019B">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vertAlign w:val="superscript"/>
        </w:rPr>
        <w:t xml:space="preserve"> </w:t>
      </w:r>
      <w:r w:rsidRPr="00215C96">
        <w:rPr>
          <w:rFonts w:cs="Times New Roman"/>
          <w:sz w:val="16"/>
          <w:szCs w:val="16"/>
        </w:rPr>
        <w:t>The validity of these rules was previously extended until 31 December 2022. See: Commission Notice amending the European Union Guidelines for State aid in the agricultural and forestry sectors and in rural areas 2014 to 2020 as regards their period of application and making temporary adaptations to take into account the impact of the COVID-19 pandemic (Text with EEA relevance), OJ 424,</w:t>
      </w:r>
      <w:r>
        <w:rPr>
          <w:rFonts w:cs="Times New Roman"/>
          <w:sz w:val="16"/>
          <w:szCs w:val="16"/>
        </w:rPr>
        <w:t xml:space="preserve"> </w:t>
      </w:r>
      <w:r w:rsidRPr="00215C96">
        <w:rPr>
          <w:rFonts w:cs="Times New Roman"/>
          <w:sz w:val="16"/>
          <w:szCs w:val="16"/>
        </w:rPr>
        <w:t>8.12.2020, pp.</w:t>
      </w:r>
      <w:r>
        <w:rPr>
          <w:rFonts w:cs="Times New Roman"/>
          <w:sz w:val="16"/>
          <w:szCs w:val="16"/>
        </w:rPr>
        <w:t xml:space="preserve"> </w:t>
      </w:r>
      <w:r w:rsidRPr="00215C96">
        <w:rPr>
          <w:rFonts w:cs="Times New Roman"/>
          <w:sz w:val="16"/>
          <w:szCs w:val="16"/>
        </w:rPr>
        <w:t>30-31</w:t>
      </w:r>
      <w:r>
        <w:rPr>
          <w:rFonts w:cs="Times New Roman"/>
          <w:sz w:val="16"/>
          <w:szCs w:val="16"/>
        </w:rPr>
        <w:t>.</w:t>
      </w:r>
      <w:r w:rsidRPr="00215C96">
        <w:rPr>
          <w:rFonts w:cs="Times New Roman"/>
          <w:sz w:val="16"/>
          <w:szCs w:val="16"/>
        </w:rPr>
        <w:t xml:space="preserve"> </w:t>
      </w:r>
    </w:p>
  </w:footnote>
  <w:footnote w:id="47">
    <w:p w14:paraId="4736E788" w14:textId="77777777" w:rsidR="001C1ABD" w:rsidRPr="00215C96" w:rsidRDefault="001C1ABD" w:rsidP="00105834">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The evaluation assessed how the current rules and have performed, in light of their main objectives: minimising distortions of competition and trade in the agricultural and forestry sector; ensuring the consistency of the agricultural State aid rules with the Common Agricultural Policy (CAP), in particular rural development objectives under the CAP; and simplifying procedures and reducing administrative costs. See: https://ec.europa.eu/info/law/better-regulation/have-your-say/initiatives/2089-Agricultural-State-aid-guidelines-review_en</w:t>
      </w:r>
    </w:p>
  </w:footnote>
  <w:footnote w:id="48">
    <w:p w14:paraId="776EBFAF" w14:textId="77777777" w:rsidR="001C1ABD" w:rsidRPr="00215C96" w:rsidRDefault="001C1ABD" w:rsidP="00BC5ADC">
      <w:pPr>
        <w:pStyle w:val="FootnoteText"/>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See: https://ec.europa.eu/info/food-farming-fisheries/key-policies/common-agricultural-policy/new-cap-2023-27_en</w:t>
      </w:r>
    </w:p>
  </w:footnote>
  <w:footnote w:id="49">
    <w:p w14:paraId="3303B45E" w14:textId="77777777" w:rsidR="001C1ABD" w:rsidRPr="00215C96" w:rsidRDefault="001C1ABD" w:rsidP="00105834">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vertAlign w:val="superscript"/>
        </w:rPr>
        <w:t xml:space="preserve"> </w:t>
      </w:r>
      <w:r w:rsidRPr="00215C96">
        <w:rPr>
          <w:rFonts w:cs="Times New Roman"/>
          <w:sz w:val="16"/>
          <w:szCs w:val="16"/>
        </w:rPr>
        <w:t xml:space="preserve">See: </w:t>
      </w:r>
      <w:hyperlink r:id="rId4">
        <w:r w:rsidRPr="00215C96">
          <w:rPr>
            <w:rFonts w:cs="Times New Roman"/>
            <w:sz w:val="16"/>
            <w:szCs w:val="16"/>
          </w:rPr>
          <w:t>https://ec.europa.eu/info/strategy/priorities-2019-2024/european-green-deal_en</w:t>
        </w:r>
      </w:hyperlink>
    </w:p>
  </w:footnote>
  <w:footnote w:id="50">
    <w:p w14:paraId="302B4381" w14:textId="77777777" w:rsidR="001C1ABD" w:rsidRPr="00215C96" w:rsidRDefault="001C1ABD" w:rsidP="00677C0B">
      <w:pPr>
        <w:pStyle w:val="FootnoteText"/>
        <w:jc w:val="both"/>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Regulation (EU) 2021/690 of the European Parliament and of the Council of 28 April 2021 establishing a programme for the internal market, competitiveness of enterprises, including small and medium-sized enterprises, the area of plants, animals, food and feed, and European statistics (Single Market Programme) and repealing Regulations (EU) No 99/2013, (EU) No 1287/2013, (EU) No 254/2014 and (EU) No 652/2014 (Text with EEA relevance), OJ L 153, 3.5.2021, p</w:t>
      </w:r>
      <w:r>
        <w:rPr>
          <w:rFonts w:cs="Times New Roman"/>
          <w:sz w:val="16"/>
          <w:szCs w:val="16"/>
        </w:rPr>
        <w:t>p</w:t>
      </w:r>
      <w:r w:rsidRPr="00215C96">
        <w:rPr>
          <w:rFonts w:cs="Times New Roman"/>
          <w:sz w:val="16"/>
          <w:szCs w:val="16"/>
        </w:rPr>
        <w:t>. 1–47. The Regulation applies retroactively, from 1 January 2021.</w:t>
      </w:r>
    </w:p>
  </w:footnote>
  <w:footnote w:id="51">
    <w:p w14:paraId="0A8E5541" w14:textId="2F93460D" w:rsidR="001C1ABD" w:rsidRPr="00390830" w:rsidRDefault="001C1ABD" w:rsidP="00A824BF">
      <w:pPr>
        <w:pStyle w:val="FootnoteText"/>
        <w:jc w:val="both"/>
        <w:rPr>
          <w:sz w:val="16"/>
          <w:szCs w:val="16"/>
        </w:rPr>
      </w:pPr>
      <w:r>
        <w:rPr>
          <w:rStyle w:val="FootnoteReference"/>
        </w:rPr>
        <w:footnoteRef/>
      </w:r>
      <w:r>
        <w:t xml:space="preserve"> </w:t>
      </w:r>
      <w:r w:rsidRPr="00390830">
        <w:rPr>
          <w:sz w:val="16"/>
          <w:szCs w:val="16"/>
        </w:rPr>
        <w:t xml:space="preserve">The importance of competition and innovation is also highlighted in the </w:t>
      </w:r>
      <w:r w:rsidRPr="00AE3DD6">
        <w:rPr>
          <w:sz w:val="16"/>
          <w:szCs w:val="16"/>
        </w:rPr>
        <w:t>Communication from the Commission to the European Parliament, the Council, the European Economic and Social and the Committee of the Regions “An SME Strategy for a sustainable and digit</w:t>
      </w:r>
      <w:r>
        <w:rPr>
          <w:sz w:val="16"/>
          <w:szCs w:val="16"/>
        </w:rPr>
        <w:t xml:space="preserve">al Europe” - 10.3.2020 </w:t>
      </w:r>
      <w:r w:rsidRPr="00632596">
        <w:rPr>
          <w:sz w:val="16"/>
          <w:szCs w:val="16"/>
          <w:lang w:val="en-US"/>
        </w:rPr>
        <w:t>COM(2020) 103 final</w:t>
      </w:r>
      <w:r w:rsidRPr="00AE3DD6">
        <w:rPr>
          <w:sz w:val="16"/>
          <w:szCs w:val="16"/>
        </w:rPr>
        <w:t xml:space="preserve"> and in the </w:t>
      </w:r>
      <w:r w:rsidRPr="00AE3DD6">
        <w:rPr>
          <w:rFonts w:cs="Times New Roman"/>
          <w:sz w:val="16"/>
          <w:szCs w:val="16"/>
        </w:rPr>
        <w:t>C</w:t>
      </w:r>
      <w:r w:rsidRPr="00AE3DD6">
        <w:rPr>
          <w:sz w:val="16"/>
          <w:szCs w:val="16"/>
        </w:rPr>
        <w:t>ommunication from the Commission to the European Parliament, the Council, the European Economic and Social and the Committee of the Regi</w:t>
      </w:r>
      <w:r w:rsidRPr="00C04247">
        <w:rPr>
          <w:sz w:val="16"/>
          <w:szCs w:val="16"/>
        </w:rPr>
        <w:t>ons “</w:t>
      </w:r>
      <w:r w:rsidRPr="0066080A">
        <w:rPr>
          <w:rFonts w:cs="Times New Roman"/>
          <w:sz w:val="16"/>
          <w:szCs w:val="16"/>
        </w:rPr>
        <w:t>Updating the 2020 New Industrial Strategy: Building a stronger Single Market for Europe’s</w:t>
      </w:r>
      <w:r>
        <w:rPr>
          <w:rFonts w:cs="Times New Roman"/>
          <w:sz w:val="16"/>
          <w:szCs w:val="16"/>
        </w:rPr>
        <w:t xml:space="preserve"> recovery” – 25.5.2021 </w:t>
      </w:r>
      <w:r w:rsidRPr="00632596">
        <w:rPr>
          <w:rFonts w:cs="Times New Roman"/>
          <w:sz w:val="16"/>
          <w:szCs w:val="16"/>
          <w:lang w:val="en-US"/>
        </w:rPr>
        <w:t>COM(2021) 350 final</w:t>
      </w:r>
      <w:r w:rsidRPr="00F171E5">
        <w:rPr>
          <w:rFonts w:cs="Times New Roman"/>
          <w:sz w:val="16"/>
          <w:szCs w:val="16"/>
        </w:rPr>
        <w:t>.</w:t>
      </w:r>
    </w:p>
  </w:footnote>
  <w:footnote w:id="52">
    <w:p w14:paraId="06C97F0A" w14:textId="77777777" w:rsidR="001C1ABD" w:rsidRPr="00215C96" w:rsidRDefault="001C1ABD" w:rsidP="00002ECB">
      <w:pPr>
        <w:pStyle w:val="FootnoteText"/>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Case</w:t>
      </w:r>
      <w:r>
        <w:rPr>
          <w:rFonts w:cs="Times New Roman"/>
          <w:sz w:val="16"/>
          <w:szCs w:val="16"/>
        </w:rPr>
        <w:t>s</w:t>
      </w:r>
      <w:r w:rsidRPr="00215C96">
        <w:rPr>
          <w:rFonts w:cs="Times New Roman"/>
          <w:sz w:val="16"/>
          <w:szCs w:val="16"/>
        </w:rPr>
        <w:t xml:space="preserve"> AT.40413, </w:t>
      </w:r>
      <w:r w:rsidRPr="00947B7D">
        <w:rPr>
          <w:rFonts w:cs="Times New Roman"/>
          <w:i/>
          <w:iCs/>
          <w:sz w:val="16"/>
          <w:szCs w:val="16"/>
        </w:rPr>
        <w:t>Focus Home</w:t>
      </w:r>
      <w:r>
        <w:rPr>
          <w:rFonts w:cs="Times New Roman"/>
          <w:sz w:val="16"/>
          <w:szCs w:val="16"/>
        </w:rPr>
        <w:t xml:space="preserve">; </w:t>
      </w:r>
      <w:r w:rsidRPr="00215C96">
        <w:rPr>
          <w:rFonts w:cs="Times New Roman"/>
          <w:sz w:val="16"/>
          <w:szCs w:val="16"/>
        </w:rPr>
        <w:t xml:space="preserve">AT.40414, </w:t>
      </w:r>
      <w:r w:rsidRPr="00947B7D">
        <w:rPr>
          <w:rFonts w:cs="Times New Roman"/>
          <w:i/>
          <w:iCs/>
          <w:sz w:val="16"/>
          <w:szCs w:val="16"/>
        </w:rPr>
        <w:t>Koch Media</w:t>
      </w:r>
      <w:r>
        <w:rPr>
          <w:rFonts w:cs="Times New Roman"/>
          <w:sz w:val="16"/>
          <w:szCs w:val="16"/>
        </w:rPr>
        <w:t xml:space="preserve">; </w:t>
      </w:r>
      <w:r w:rsidRPr="00215C96">
        <w:rPr>
          <w:rFonts w:cs="Times New Roman"/>
          <w:sz w:val="16"/>
          <w:szCs w:val="16"/>
        </w:rPr>
        <w:t xml:space="preserve">AT.40420, </w:t>
      </w:r>
      <w:r w:rsidRPr="00947B7D">
        <w:rPr>
          <w:rFonts w:cs="Times New Roman"/>
          <w:i/>
          <w:iCs/>
          <w:sz w:val="16"/>
          <w:szCs w:val="16"/>
        </w:rPr>
        <w:t>ZeniMax</w:t>
      </w:r>
      <w:r>
        <w:rPr>
          <w:rFonts w:cs="Times New Roman"/>
          <w:sz w:val="16"/>
          <w:szCs w:val="16"/>
        </w:rPr>
        <w:t xml:space="preserve">; </w:t>
      </w:r>
      <w:r w:rsidRPr="00215C96">
        <w:rPr>
          <w:rFonts w:cs="Times New Roman"/>
          <w:sz w:val="16"/>
          <w:szCs w:val="16"/>
        </w:rPr>
        <w:t xml:space="preserve">AT.40422, </w:t>
      </w:r>
      <w:r w:rsidRPr="00947B7D">
        <w:rPr>
          <w:rFonts w:cs="Times New Roman"/>
          <w:i/>
          <w:iCs/>
          <w:sz w:val="16"/>
          <w:szCs w:val="16"/>
        </w:rPr>
        <w:t>Bandai Namco</w:t>
      </w:r>
      <w:r>
        <w:rPr>
          <w:rFonts w:cs="Times New Roman"/>
          <w:sz w:val="16"/>
          <w:szCs w:val="16"/>
        </w:rPr>
        <w:t xml:space="preserve"> and </w:t>
      </w:r>
      <w:r w:rsidRPr="00215C96">
        <w:rPr>
          <w:rFonts w:cs="Times New Roman"/>
          <w:sz w:val="16"/>
          <w:szCs w:val="16"/>
        </w:rPr>
        <w:t xml:space="preserve">AT.40424, </w:t>
      </w:r>
      <w:r w:rsidRPr="00947B7D">
        <w:rPr>
          <w:rFonts w:cs="Times New Roman"/>
          <w:i/>
          <w:iCs/>
          <w:sz w:val="16"/>
          <w:szCs w:val="16"/>
        </w:rPr>
        <w:t>Capcom</w:t>
      </w:r>
      <w:r w:rsidRPr="00215C96">
        <w:rPr>
          <w:rFonts w:cs="Times New Roman"/>
          <w:sz w:val="16"/>
          <w:szCs w:val="16"/>
        </w:rPr>
        <w:t xml:space="preserve">. </w:t>
      </w:r>
      <w:r>
        <w:rPr>
          <w:rFonts w:cs="Times New Roman"/>
          <w:sz w:val="16"/>
          <w:szCs w:val="16"/>
        </w:rPr>
        <w:t xml:space="preserve">See </w:t>
      </w:r>
      <w:hyperlink r:id="rId5" w:history="1">
        <w:r w:rsidRPr="00AD0C38">
          <w:rPr>
            <w:rStyle w:val="Hyperlink"/>
            <w:rFonts w:cs="Times New Roman"/>
            <w:sz w:val="16"/>
            <w:szCs w:val="16"/>
          </w:rPr>
          <w:t>https://ec.europa.eu/commission/presscorner/detail/es/ip_21_170</w:t>
        </w:r>
      </w:hyperlink>
      <w:r>
        <w:rPr>
          <w:rFonts w:cs="Times New Roman"/>
          <w:sz w:val="16"/>
          <w:szCs w:val="16"/>
        </w:rPr>
        <w:t>.</w:t>
      </w:r>
    </w:p>
  </w:footnote>
  <w:footnote w:id="53">
    <w:p w14:paraId="7B1B4792" w14:textId="49A3371F" w:rsidR="001C1ABD" w:rsidRPr="00215C96" w:rsidRDefault="001C1ABD" w:rsidP="000C4658">
      <w:pPr>
        <w:pStyle w:val="FootnoteText"/>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Case AT.40437, </w:t>
      </w:r>
      <w:r w:rsidRPr="00947B7D">
        <w:rPr>
          <w:rFonts w:cs="Times New Roman"/>
          <w:i/>
          <w:iCs/>
          <w:sz w:val="16"/>
          <w:szCs w:val="16"/>
        </w:rPr>
        <w:t>Apple - App Store Practices (music streaming)</w:t>
      </w:r>
      <w:r w:rsidRPr="00215C96">
        <w:rPr>
          <w:rFonts w:cs="Times New Roman"/>
          <w:sz w:val="16"/>
          <w:szCs w:val="16"/>
        </w:rPr>
        <w:t xml:space="preserve">. See: </w:t>
      </w:r>
      <w:r w:rsidRPr="00700A19">
        <w:rPr>
          <w:rFonts w:cs="Times New Roman"/>
          <w:sz w:val="16"/>
          <w:szCs w:val="16"/>
        </w:rPr>
        <w:t>https://ec.europa.eu/commission/presscorner/detail/en/speech_21_2093</w:t>
      </w:r>
    </w:p>
  </w:footnote>
  <w:footnote w:id="54">
    <w:p w14:paraId="60959AEE" w14:textId="77777777" w:rsidR="001C1ABD" w:rsidRPr="007E63A8" w:rsidRDefault="001C1ABD" w:rsidP="008443DE">
      <w:pPr>
        <w:pStyle w:val="FootnoteText"/>
        <w:rPr>
          <w:sz w:val="16"/>
          <w:szCs w:val="16"/>
        </w:rPr>
      </w:pPr>
      <w:r>
        <w:rPr>
          <w:rStyle w:val="FootnoteReference"/>
        </w:rPr>
        <w:footnoteRef/>
      </w:r>
      <w:r>
        <w:t xml:space="preserve"> </w:t>
      </w:r>
      <w:r>
        <w:rPr>
          <w:sz w:val="16"/>
          <w:szCs w:val="16"/>
        </w:rPr>
        <w:t>Case AT.40462,</w:t>
      </w:r>
      <w:r w:rsidRPr="005E787D">
        <w:rPr>
          <w:sz w:val="16"/>
          <w:szCs w:val="16"/>
        </w:rPr>
        <w:t xml:space="preserve"> </w:t>
      </w:r>
      <w:r w:rsidRPr="00947B7D">
        <w:rPr>
          <w:i/>
          <w:iCs/>
          <w:sz w:val="16"/>
          <w:szCs w:val="16"/>
        </w:rPr>
        <w:t>Amazon Marketplace</w:t>
      </w:r>
      <w:r w:rsidRPr="00AA6BDC">
        <w:rPr>
          <w:sz w:val="16"/>
          <w:szCs w:val="16"/>
        </w:rPr>
        <w:t xml:space="preserve"> and </w:t>
      </w:r>
      <w:r w:rsidRPr="005E787D">
        <w:rPr>
          <w:sz w:val="16"/>
          <w:szCs w:val="16"/>
        </w:rPr>
        <w:t xml:space="preserve">Case AT.40703 - </w:t>
      </w:r>
      <w:r w:rsidRPr="00947B7D">
        <w:rPr>
          <w:i/>
          <w:iCs/>
          <w:sz w:val="16"/>
          <w:szCs w:val="16"/>
        </w:rPr>
        <w:t>Amazon - Buy Box.</w:t>
      </w:r>
      <w:r w:rsidRPr="005E787D">
        <w:rPr>
          <w:sz w:val="16"/>
          <w:szCs w:val="16"/>
        </w:rPr>
        <w:t xml:space="preserve"> </w:t>
      </w:r>
      <w:r>
        <w:rPr>
          <w:sz w:val="16"/>
          <w:szCs w:val="16"/>
        </w:rPr>
        <w:t>See</w:t>
      </w:r>
      <w:r w:rsidRPr="007E63A8">
        <w:rPr>
          <w:sz w:val="16"/>
          <w:szCs w:val="16"/>
        </w:rPr>
        <w:t>:</w:t>
      </w:r>
    </w:p>
    <w:p w14:paraId="66659611" w14:textId="77777777" w:rsidR="001C1ABD" w:rsidRPr="005E787D" w:rsidRDefault="002F2EFC" w:rsidP="008443DE">
      <w:pPr>
        <w:pStyle w:val="FootnoteText"/>
        <w:rPr>
          <w:lang w:val="en-US"/>
        </w:rPr>
      </w:pPr>
      <w:hyperlink r:id="rId6" w:history="1">
        <w:r w:rsidR="001C1ABD" w:rsidRPr="005E787D">
          <w:rPr>
            <w:rStyle w:val="Hyperlink"/>
            <w:sz w:val="16"/>
            <w:szCs w:val="16"/>
          </w:rPr>
          <w:t>https://ec.europa.eu/commission/presscorner/detail/en/ip_20_2077</w:t>
        </w:r>
      </w:hyperlink>
      <w:r w:rsidR="001C1ABD" w:rsidRPr="005E787D">
        <w:rPr>
          <w:sz w:val="16"/>
          <w:szCs w:val="16"/>
        </w:rPr>
        <w:t>.</w:t>
      </w:r>
    </w:p>
  </w:footnote>
  <w:footnote w:id="55">
    <w:p w14:paraId="623B02CF" w14:textId="77777777" w:rsidR="001C1ABD" w:rsidRPr="00215C96" w:rsidRDefault="001C1ABD" w:rsidP="00CC4985">
      <w:pPr>
        <w:pStyle w:val="FootnoteText"/>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Case AT.40684, </w:t>
      </w:r>
      <w:r w:rsidRPr="00947B7D">
        <w:rPr>
          <w:rFonts w:cs="Times New Roman"/>
          <w:i/>
          <w:iCs/>
          <w:sz w:val="16"/>
          <w:szCs w:val="16"/>
        </w:rPr>
        <w:t>Facebook leveraging</w:t>
      </w:r>
      <w:r w:rsidRPr="00215C96">
        <w:rPr>
          <w:rFonts w:cs="Times New Roman"/>
          <w:sz w:val="16"/>
          <w:szCs w:val="16"/>
        </w:rPr>
        <w:t xml:space="preserve">. See: </w:t>
      </w:r>
      <w:hyperlink r:id="rId7" w:history="1">
        <w:r w:rsidRPr="00215C96">
          <w:rPr>
            <w:rStyle w:val="Hyperlink"/>
            <w:rFonts w:cs="Times New Roman"/>
            <w:sz w:val="16"/>
            <w:szCs w:val="16"/>
          </w:rPr>
          <w:t>https://ec.europa.eu/competition/elojade/isef/index.cfm?fuseaction=dsp_result&amp;policy_area_id=1,2,3</w:t>
        </w:r>
      </w:hyperlink>
    </w:p>
  </w:footnote>
  <w:footnote w:id="56">
    <w:p w14:paraId="0CE7A9FA" w14:textId="77777777" w:rsidR="001C1ABD" w:rsidRPr="00215C96" w:rsidRDefault="001C1ABD" w:rsidP="000C4658">
      <w:pPr>
        <w:pStyle w:val="FootnoteText"/>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Case AT.40670, </w:t>
      </w:r>
      <w:r w:rsidRPr="00947B7D">
        <w:rPr>
          <w:rFonts w:cs="Times New Roman"/>
          <w:i/>
          <w:iCs/>
          <w:sz w:val="16"/>
          <w:szCs w:val="16"/>
        </w:rPr>
        <w:t>Google - Adtech and Data-related practices</w:t>
      </w:r>
      <w:r w:rsidRPr="00215C96">
        <w:rPr>
          <w:rFonts w:cs="Times New Roman"/>
          <w:sz w:val="16"/>
          <w:szCs w:val="16"/>
        </w:rPr>
        <w:t xml:space="preserve">. See: </w:t>
      </w:r>
      <w:hyperlink r:id="rId8" w:history="1">
        <w:r w:rsidRPr="00215C96">
          <w:rPr>
            <w:rStyle w:val="Hyperlink"/>
            <w:rFonts w:cs="Times New Roman"/>
            <w:sz w:val="16"/>
            <w:szCs w:val="16"/>
          </w:rPr>
          <w:t>https://ec.europa.eu/competition/elojade/isef/index.cfm?fuseaction=dsp_result&amp;policy_area_id=1,2,3</w:t>
        </w:r>
      </w:hyperlink>
      <w:r w:rsidRPr="00215C96">
        <w:rPr>
          <w:rFonts w:cs="Times New Roman"/>
          <w:sz w:val="16"/>
          <w:szCs w:val="16"/>
        </w:rPr>
        <w:t xml:space="preserve"> </w:t>
      </w:r>
    </w:p>
  </w:footnote>
  <w:footnote w:id="57">
    <w:p w14:paraId="2E708914" w14:textId="2CC19616" w:rsidR="001C1ABD" w:rsidRPr="00215C96" w:rsidRDefault="001C1ABD" w:rsidP="00773F65">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vertAlign w:val="superscript"/>
        </w:rPr>
        <w:t xml:space="preserve"> </w:t>
      </w:r>
      <w:r w:rsidRPr="00215C96">
        <w:rPr>
          <w:rFonts w:cs="Times New Roman"/>
          <w:sz w:val="16"/>
          <w:szCs w:val="16"/>
        </w:rPr>
        <w:t>Judgment of the General Court of 10.11.2021, Case T-612/17</w:t>
      </w:r>
      <w:r>
        <w:rPr>
          <w:rFonts w:cs="Times New Roman"/>
          <w:sz w:val="16"/>
          <w:szCs w:val="16"/>
        </w:rPr>
        <w:t xml:space="preserve">, </w:t>
      </w:r>
      <w:r w:rsidRPr="00947B7D">
        <w:rPr>
          <w:rFonts w:cs="Times New Roman"/>
          <w:i/>
          <w:iCs/>
          <w:sz w:val="16"/>
          <w:szCs w:val="16"/>
        </w:rPr>
        <w:t>Google LLC and Alphabet, Inc. v European Commission,</w:t>
      </w:r>
      <w:r>
        <w:rPr>
          <w:rFonts w:cs="Times New Roman"/>
          <w:i/>
          <w:iCs/>
          <w:sz w:val="16"/>
          <w:szCs w:val="16"/>
        </w:rPr>
        <w:t xml:space="preserve"> </w:t>
      </w:r>
      <w:r>
        <w:rPr>
          <w:rFonts w:cs="Times New Roman"/>
          <w:iCs/>
          <w:sz w:val="16"/>
          <w:szCs w:val="16"/>
        </w:rPr>
        <w:t>EU:T:2021:763</w:t>
      </w:r>
      <w:r w:rsidRPr="00215C96">
        <w:rPr>
          <w:rFonts w:cs="Times New Roman"/>
          <w:sz w:val="16"/>
          <w:szCs w:val="16"/>
        </w:rPr>
        <w:t>.</w:t>
      </w:r>
    </w:p>
  </w:footnote>
  <w:footnote w:id="58">
    <w:p w14:paraId="2E479304" w14:textId="77777777" w:rsidR="001C1ABD" w:rsidRPr="00215C96" w:rsidRDefault="001C1ABD" w:rsidP="0001076D">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Case AT.39740, </w:t>
      </w:r>
      <w:r w:rsidRPr="00947B7D">
        <w:rPr>
          <w:rFonts w:cs="Times New Roman"/>
          <w:i/>
          <w:iCs/>
          <w:sz w:val="16"/>
          <w:szCs w:val="16"/>
        </w:rPr>
        <w:t>Google Search (Shopping)</w:t>
      </w:r>
      <w:r w:rsidRPr="00215C96">
        <w:rPr>
          <w:rFonts w:cs="Times New Roman"/>
          <w:sz w:val="16"/>
          <w:szCs w:val="16"/>
        </w:rPr>
        <w:t>. See: https://ec.europa.eu/competition/antitrust/cases/dec_docs/39740/39740_14996_3.pdf.</w:t>
      </w:r>
    </w:p>
  </w:footnote>
  <w:footnote w:id="59">
    <w:p w14:paraId="0ADFD6A0" w14:textId="7F92CBB4" w:rsidR="001C1ABD" w:rsidRPr="00215C96" w:rsidRDefault="001C1ABD" w:rsidP="00750F11">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vertAlign w:val="superscript"/>
        </w:rPr>
        <w:t xml:space="preserve"> </w:t>
      </w:r>
      <w:r w:rsidRPr="00215C96">
        <w:rPr>
          <w:rFonts w:cs="Times New Roman"/>
          <w:sz w:val="16"/>
          <w:szCs w:val="16"/>
        </w:rPr>
        <w:t xml:space="preserve">Judgment of the General Court of 10.11.2021, </w:t>
      </w:r>
      <w:r w:rsidRPr="00F6669D">
        <w:rPr>
          <w:rFonts w:cs="Times New Roman"/>
          <w:i/>
          <w:iCs/>
          <w:sz w:val="16"/>
          <w:szCs w:val="16"/>
        </w:rPr>
        <w:t xml:space="preserve">Case T-612/17, Google LLC and Alphabet, Inc. v European Commission, </w:t>
      </w:r>
      <w:r w:rsidRPr="00F6669D">
        <w:rPr>
          <w:rFonts w:cs="Times New Roman"/>
          <w:iCs/>
          <w:sz w:val="16"/>
          <w:szCs w:val="16"/>
        </w:rPr>
        <w:t>EU:T:2021:763</w:t>
      </w:r>
      <w:r w:rsidRPr="00F6669D">
        <w:rPr>
          <w:rFonts w:cs="Times New Roman"/>
          <w:i/>
          <w:iCs/>
          <w:sz w:val="16"/>
          <w:szCs w:val="16"/>
        </w:rPr>
        <w:t>.</w:t>
      </w:r>
    </w:p>
  </w:footnote>
  <w:footnote w:id="60">
    <w:p w14:paraId="48396741" w14:textId="77777777" w:rsidR="001C1ABD" w:rsidRPr="00215C96" w:rsidRDefault="001C1ABD" w:rsidP="00750F11">
      <w:pPr>
        <w:pStyle w:val="FootnoteText"/>
        <w:rPr>
          <w:rFonts w:cs="Times New Roman"/>
          <w:sz w:val="16"/>
          <w:szCs w:val="16"/>
        </w:rPr>
      </w:pPr>
      <w:r w:rsidRPr="00215C96">
        <w:rPr>
          <w:rFonts w:cs="Times New Roman"/>
          <w:sz w:val="16"/>
          <w:szCs w:val="16"/>
          <w:vertAlign w:val="superscript"/>
        </w:rPr>
        <w:footnoteRef/>
      </w:r>
      <w:r w:rsidRPr="00215C96">
        <w:rPr>
          <w:rFonts w:cs="Times New Roman"/>
          <w:sz w:val="16"/>
          <w:szCs w:val="16"/>
          <w:vertAlign w:val="superscript"/>
        </w:rPr>
        <w:t xml:space="preserve"> </w:t>
      </w:r>
      <w:r w:rsidRPr="00215C96">
        <w:rPr>
          <w:rFonts w:cs="Times New Roman"/>
          <w:sz w:val="16"/>
          <w:szCs w:val="16"/>
        </w:rPr>
        <w:t xml:space="preserve">Case AT.40394, </w:t>
      </w:r>
      <w:r w:rsidRPr="00947B7D">
        <w:rPr>
          <w:rFonts w:cs="Times New Roman"/>
          <w:i/>
          <w:iCs/>
          <w:sz w:val="16"/>
          <w:szCs w:val="16"/>
        </w:rPr>
        <w:t>Aspen</w:t>
      </w:r>
      <w:r w:rsidRPr="00215C96">
        <w:rPr>
          <w:rFonts w:cs="Times New Roman"/>
          <w:sz w:val="16"/>
          <w:szCs w:val="16"/>
        </w:rPr>
        <w:t>, Commission Decision of 10.2.2021 relating to a proceeding under Article 102 of the Treaty on the Functioning of the European Union (TFEU) and Article 54 of the EEA Agreement, C(2021) 724 final.</w:t>
      </w:r>
    </w:p>
  </w:footnote>
  <w:footnote w:id="61">
    <w:p w14:paraId="5D3B0C1E" w14:textId="77777777" w:rsidR="001C1ABD" w:rsidRPr="00215C96" w:rsidRDefault="001C1ABD" w:rsidP="00342576">
      <w:pPr>
        <w:pStyle w:val="FootnoteText"/>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Case AT.40588, </w:t>
      </w:r>
      <w:r w:rsidRPr="00947B7D">
        <w:rPr>
          <w:rFonts w:cs="Times New Roman"/>
          <w:i/>
          <w:iCs/>
          <w:sz w:val="16"/>
          <w:szCs w:val="16"/>
        </w:rPr>
        <w:t>Teva Copaxone</w:t>
      </w:r>
      <w:r w:rsidRPr="00215C96">
        <w:rPr>
          <w:rFonts w:cs="Times New Roman"/>
          <w:sz w:val="16"/>
          <w:szCs w:val="16"/>
        </w:rPr>
        <w:t>. See: https://ec.europa.eu/competition/elojade/isef/index.cfm?fuseaction=dsp_result&amp;policy_area_id=1,2,3</w:t>
      </w:r>
    </w:p>
  </w:footnote>
  <w:footnote w:id="62">
    <w:p w14:paraId="3D4CBD21" w14:textId="288C1778" w:rsidR="001C1ABD" w:rsidRPr="00215C96" w:rsidRDefault="001C1ABD" w:rsidP="0001076D">
      <w:pPr>
        <w:pStyle w:val="FootnoteText"/>
        <w:jc w:val="both"/>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Judgments of the Court of Justice of 25</w:t>
      </w:r>
      <w:r>
        <w:rPr>
          <w:rFonts w:cs="Times New Roman"/>
          <w:sz w:val="16"/>
          <w:szCs w:val="16"/>
        </w:rPr>
        <w:t>.3.</w:t>
      </w:r>
      <w:r w:rsidRPr="00215C96">
        <w:rPr>
          <w:rFonts w:cs="Times New Roman"/>
          <w:sz w:val="16"/>
          <w:szCs w:val="16"/>
        </w:rPr>
        <w:t xml:space="preserve">2021, C-586/16 P, </w:t>
      </w:r>
      <w:r w:rsidRPr="00947B7D">
        <w:rPr>
          <w:rFonts w:cs="Times New Roman"/>
          <w:i/>
          <w:iCs/>
          <w:sz w:val="16"/>
          <w:szCs w:val="16"/>
        </w:rPr>
        <w:t>Sun Pharmaceutical Industries and Ranbaxy (UK) v Commission</w:t>
      </w:r>
      <w:r>
        <w:rPr>
          <w:rFonts w:cs="Times New Roman"/>
          <w:i/>
          <w:iCs/>
          <w:sz w:val="16"/>
          <w:szCs w:val="16"/>
        </w:rPr>
        <w:t xml:space="preserve">, </w:t>
      </w:r>
      <w:r>
        <w:rPr>
          <w:rFonts w:cs="Times New Roman"/>
          <w:iCs/>
          <w:sz w:val="16"/>
          <w:szCs w:val="16"/>
        </w:rPr>
        <w:t>EU:C:2021:241</w:t>
      </w:r>
      <w:r w:rsidRPr="00215C96">
        <w:rPr>
          <w:rFonts w:cs="Times New Roman"/>
          <w:sz w:val="16"/>
          <w:szCs w:val="16"/>
        </w:rPr>
        <w:t xml:space="preserve">; C-588/16 P, </w:t>
      </w:r>
      <w:r w:rsidRPr="00947B7D">
        <w:rPr>
          <w:rFonts w:cs="Times New Roman"/>
          <w:i/>
          <w:iCs/>
          <w:sz w:val="16"/>
          <w:szCs w:val="16"/>
        </w:rPr>
        <w:t>Generics (UK) v Commission</w:t>
      </w:r>
      <w:r>
        <w:rPr>
          <w:rFonts w:cs="Times New Roman"/>
          <w:i/>
          <w:iCs/>
          <w:sz w:val="16"/>
          <w:szCs w:val="16"/>
        </w:rPr>
        <w:t xml:space="preserve">, </w:t>
      </w:r>
      <w:r>
        <w:rPr>
          <w:rFonts w:cs="Times New Roman"/>
          <w:iCs/>
          <w:sz w:val="16"/>
          <w:szCs w:val="16"/>
        </w:rPr>
        <w:t>EU:C:2021:242</w:t>
      </w:r>
      <w:r w:rsidRPr="00215C96">
        <w:rPr>
          <w:rFonts w:cs="Times New Roman"/>
          <w:sz w:val="16"/>
          <w:szCs w:val="16"/>
        </w:rPr>
        <w:t xml:space="preserve">; C-591/16 P, </w:t>
      </w:r>
      <w:r w:rsidRPr="00947B7D">
        <w:rPr>
          <w:rFonts w:cs="Times New Roman"/>
          <w:i/>
          <w:iCs/>
          <w:sz w:val="16"/>
          <w:szCs w:val="16"/>
        </w:rPr>
        <w:t>Lundbeck v Commission</w:t>
      </w:r>
      <w:r>
        <w:rPr>
          <w:rFonts w:cs="Times New Roman"/>
          <w:iCs/>
          <w:sz w:val="16"/>
          <w:szCs w:val="16"/>
        </w:rPr>
        <w:t>, EU:C:2021:243</w:t>
      </w:r>
      <w:r>
        <w:rPr>
          <w:rFonts w:cs="Times New Roman"/>
          <w:sz w:val="16"/>
          <w:szCs w:val="16"/>
        </w:rPr>
        <w:t>; C-601/16 P,</w:t>
      </w:r>
      <w:r w:rsidRPr="00215C96">
        <w:rPr>
          <w:rFonts w:cs="Times New Roman"/>
          <w:sz w:val="16"/>
          <w:szCs w:val="16"/>
        </w:rPr>
        <w:t xml:space="preserve"> </w:t>
      </w:r>
      <w:r w:rsidRPr="00947B7D">
        <w:rPr>
          <w:rFonts w:cs="Times New Roman"/>
          <w:i/>
          <w:iCs/>
          <w:sz w:val="16"/>
          <w:szCs w:val="16"/>
        </w:rPr>
        <w:t>Arrow Group and Arrow Generics v Commission</w:t>
      </w:r>
      <w:r>
        <w:rPr>
          <w:rFonts w:cs="Times New Roman"/>
          <w:iCs/>
          <w:sz w:val="16"/>
          <w:szCs w:val="16"/>
        </w:rPr>
        <w:t>, EU:C:2021:244</w:t>
      </w:r>
      <w:r w:rsidRPr="00215C96">
        <w:rPr>
          <w:rFonts w:cs="Times New Roman"/>
          <w:sz w:val="16"/>
          <w:szCs w:val="16"/>
        </w:rPr>
        <w:t xml:space="preserve">; C-611/16 P, </w:t>
      </w:r>
      <w:r w:rsidRPr="00947B7D">
        <w:rPr>
          <w:rFonts w:cs="Times New Roman"/>
          <w:i/>
          <w:iCs/>
          <w:sz w:val="16"/>
          <w:szCs w:val="16"/>
        </w:rPr>
        <w:t>Xellia Pharmaceuticals and Alpharma v Commission</w:t>
      </w:r>
      <w:r>
        <w:rPr>
          <w:rFonts w:cs="Times New Roman"/>
          <w:sz w:val="16"/>
          <w:szCs w:val="16"/>
        </w:rPr>
        <w:t xml:space="preserve">, </w:t>
      </w:r>
      <w:r>
        <w:rPr>
          <w:rFonts w:cs="Times New Roman"/>
          <w:iCs/>
          <w:sz w:val="16"/>
          <w:szCs w:val="16"/>
        </w:rPr>
        <w:t>EU:C:2021:245;</w:t>
      </w:r>
      <w:r w:rsidRPr="00215C96">
        <w:rPr>
          <w:rFonts w:cs="Times New Roman"/>
          <w:sz w:val="16"/>
          <w:szCs w:val="16"/>
        </w:rPr>
        <w:t xml:space="preserve"> and C-614/16 P, </w:t>
      </w:r>
      <w:r w:rsidRPr="00947B7D">
        <w:rPr>
          <w:rFonts w:cs="Times New Roman"/>
          <w:i/>
          <w:iCs/>
          <w:sz w:val="16"/>
          <w:szCs w:val="16"/>
        </w:rPr>
        <w:t>Merck KGaA v Commission</w:t>
      </w:r>
      <w:r>
        <w:rPr>
          <w:rFonts w:cs="Times New Roman"/>
          <w:iCs/>
          <w:sz w:val="16"/>
          <w:szCs w:val="16"/>
        </w:rPr>
        <w:t>, EU:C:2021:246</w:t>
      </w:r>
      <w:r w:rsidRPr="00215C96">
        <w:rPr>
          <w:rFonts w:cs="Times New Roman"/>
          <w:sz w:val="16"/>
          <w:szCs w:val="16"/>
        </w:rPr>
        <w:t>.</w:t>
      </w:r>
    </w:p>
  </w:footnote>
  <w:footnote w:id="63">
    <w:p w14:paraId="440079D9" w14:textId="5C9F97B2" w:rsidR="001C1ABD" w:rsidRPr="00215C96" w:rsidRDefault="001C1ABD" w:rsidP="00C21EDC">
      <w:pPr>
        <w:pStyle w:val="FootnoteText"/>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Commission Decision C(2013) 3803 final of 19</w:t>
      </w:r>
      <w:r>
        <w:rPr>
          <w:rFonts w:cs="Times New Roman"/>
          <w:sz w:val="16"/>
          <w:szCs w:val="16"/>
        </w:rPr>
        <w:t>.6.</w:t>
      </w:r>
      <w:r w:rsidRPr="00215C96">
        <w:rPr>
          <w:rFonts w:cs="Times New Roman"/>
          <w:sz w:val="16"/>
          <w:szCs w:val="16"/>
        </w:rPr>
        <w:t>2013 relating to a proceeding under Article 101 TFEU and Article 53 of the EEA Agreement (Case AT</w:t>
      </w:r>
      <w:r>
        <w:rPr>
          <w:rFonts w:cs="Times New Roman"/>
          <w:sz w:val="16"/>
          <w:szCs w:val="16"/>
        </w:rPr>
        <w:t>.</w:t>
      </w:r>
      <w:r w:rsidRPr="00215C96">
        <w:rPr>
          <w:rFonts w:cs="Times New Roman"/>
          <w:sz w:val="16"/>
          <w:szCs w:val="16"/>
        </w:rPr>
        <w:t xml:space="preserve">39226 – </w:t>
      </w:r>
      <w:r w:rsidRPr="00947B7D">
        <w:rPr>
          <w:rFonts w:cs="Times New Roman"/>
          <w:i/>
          <w:iCs/>
          <w:sz w:val="16"/>
          <w:szCs w:val="16"/>
        </w:rPr>
        <w:t>Lundbeck</w:t>
      </w:r>
      <w:r w:rsidRPr="00215C96">
        <w:rPr>
          <w:rFonts w:cs="Times New Roman"/>
          <w:sz w:val="16"/>
          <w:szCs w:val="16"/>
        </w:rPr>
        <w:t>).</w:t>
      </w:r>
    </w:p>
  </w:footnote>
  <w:footnote w:id="64">
    <w:p w14:paraId="614F5205" w14:textId="77777777" w:rsidR="001C1ABD" w:rsidRPr="00215C96" w:rsidRDefault="001C1ABD" w:rsidP="00CC45EB">
      <w:pPr>
        <w:pStyle w:val="FootnoteText"/>
        <w:ind w:left="425" w:hanging="425"/>
        <w:rPr>
          <w:rFonts w:cs="Times New Roman"/>
          <w:sz w:val="16"/>
          <w:szCs w:val="16"/>
        </w:rPr>
      </w:pPr>
      <w:r w:rsidRPr="00215C96">
        <w:rPr>
          <w:rStyle w:val="FootnoteReference"/>
          <w:rFonts w:cs="Times New Roman"/>
          <w:sz w:val="16"/>
          <w:szCs w:val="16"/>
        </w:rPr>
        <w:footnoteRef/>
      </w:r>
      <w:r w:rsidRPr="00947B7D">
        <w:rPr>
          <w:sz w:val="16"/>
          <w:szCs w:val="16"/>
        </w:rPr>
        <w:t xml:space="preserve"> </w:t>
      </w:r>
      <w:r w:rsidRPr="00215C96">
        <w:rPr>
          <w:rFonts w:cs="Times New Roman"/>
          <w:sz w:val="16"/>
          <w:szCs w:val="16"/>
        </w:rPr>
        <w:t xml:space="preserve">See: </w:t>
      </w:r>
      <w:hyperlink r:id="rId9" w:history="1">
        <w:r w:rsidRPr="00215C96">
          <w:rPr>
            <w:rStyle w:val="Hyperlink"/>
            <w:rFonts w:cs="Times New Roman"/>
            <w:sz w:val="16"/>
            <w:szCs w:val="16"/>
          </w:rPr>
          <w:t>https://ec.europa.eu/commission/presscorner/detail/en/ip_20_1326</w:t>
        </w:r>
      </w:hyperlink>
      <w:r w:rsidRPr="00215C96">
        <w:rPr>
          <w:rStyle w:val="Hyperlink"/>
          <w:rFonts w:cs="Times New Roman"/>
          <w:sz w:val="16"/>
          <w:szCs w:val="16"/>
        </w:rPr>
        <w:t>.</w:t>
      </w:r>
    </w:p>
  </w:footnote>
  <w:footnote w:id="65">
    <w:p w14:paraId="3B0A8201" w14:textId="77777777" w:rsidR="001C1ABD" w:rsidRPr="00CF4C22" w:rsidRDefault="001C1ABD" w:rsidP="0082129C">
      <w:pPr>
        <w:pStyle w:val="FootnoteText"/>
        <w:rPr>
          <w:sz w:val="16"/>
          <w:szCs w:val="16"/>
        </w:rPr>
      </w:pPr>
      <w:r w:rsidRPr="00CF4C22">
        <w:rPr>
          <w:rStyle w:val="FootnoteReference"/>
          <w:sz w:val="16"/>
          <w:szCs w:val="16"/>
        </w:rPr>
        <w:footnoteRef/>
      </w:r>
      <w:r w:rsidRPr="00CF4C22">
        <w:rPr>
          <w:sz w:val="16"/>
          <w:szCs w:val="16"/>
        </w:rPr>
        <w:t xml:space="preserve"> See: </w:t>
      </w:r>
      <w:hyperlink r:id="rId10" w:history="1">
        <w:r w:rsidRPr="00CF4C22">
          <w:rPr>
            <w:rStyle w:val="Hyperlink"/>
            <w:sz w:val="16"/>
            <w:szCs w:val="16"/>
          </w:rPr>
          <w:t>https://ec.europa.eu/commission/presscorner/detail/en/ip_21_2884</w:t>
        </w:r>
      </w:hyperlink>
      <w:r w:rsidRPr="00CF4C22">
        <w:rPr>
          <w:sz w:val="16"/>
          <w:szCs w:val="16"/>
        </w:rPr>
        <w:t xml:space="preserve">. </w:t>
      </w:r>
    </w:p>
  </w:footnote>
  <w:footnote w:id="66">
    <w:p w14:paraId="1D2A2154" w14:textId="77777777" w:rsidR="001C1ABD" w:rsidRPr="00215C96" w:rsidRDefault="001C1ABD" w:rsidP="0082129C">
      <w:pPr>
        <w:pStyle w:val="FootnoteText"/>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w:t>
      </w:r>
      <w:r>
        <w:rPr>
          <w:rFonts w:cs="Times New Roman"/>
          <w:sz w:val="16"/>
          <w:szCs w:val="16"/>
        </w:rPr>
        <w:t xml:space="preserve">See: </w:t>
      </w:r>
      <w:hyperlink r:id="rId11" w:history="1">
        <w:r w:rsidRPr="00AE51BE">
          <w:rPr>
            <w:rStyle w:val="Hyperlink"/>
            <w:rFonts w:cs="Times New Roman"/>
            <w:sz w:val="16"/>
            <w:szCs w:val="16"/>
          </w:rPr>
          <w:t>https://ec.europa.eu/commission/presscorner/detail/en/ip_22_402</w:t>
        </w:r>
      </w:hyperlink>
      <w:r w:rsidRPr="00215C96">
        <w:rPr>
          <w:rFonts w:cs="Times New Roman"/>
          <w:sz w:val="16"/>
          <w:szCs w:val="16"/>
        </w:rPr>
        <w:t xml:space="preserve">. </w:t>
      </w:r>
    </w:p>
  </w:footnote>
  <w:footnote w:id="67">
    <w:p w14:paraId="744D597F" w14:textId="77777777" w:rsidR="001C1ABD" w:rsidRPr="00215C96" w:rsidRDefault="001C1ABD" w:rsidP="0001076D">
      <w:pPr>
        <w:pStyle w:val="FootnoteText"/>
        <w:jc w:val="both"/>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Commission Staff Working Document – Report from the Commission to the Council and the European Parliament: Final report - Sector inquiry into consumer Internet of Things, SWD (2022) 10 final, 20.1.2022. </w:t>
      </w:r>
    </w:p>
  </w:footnote>
  <w:footnote w:id="68">
    <w:p w14:paraId="566F5000" w14:textId="77777777" w:rsidR="001C1ABD" w:rsidRPr="00215C96" w:rsidRDefault="001C1ABD" w:rsidP="005728DA">
      <w:pPr>
        <w:pStyle w:val="FootnoteText"/>
        <w:rPr>
          <w:rFonts w:cs="Times New Roman"/>
          <w:sz w:val="16"/>
          <w:szCs w:val="16"/>
          <w:lang w:val="en-US"/>
        </w:rPr>
      </w:pPr>
      <w:r w:rsidRPr="00947B7D">
        <w:rPr>
          <w:rStyle w:val="FootnoteReference"/>
          <w:sz w:val="16"/>
          <w:szCs w:val="16"/>
        </w:rPr>
        <w:footnoteRef/>
      </w:r>
      <w:r w:rsidRPr="00947B7D">
        <w:rPr>
          <w:sz w:val="16"/>
          <w:szCs w:val="16"/>
        </w:rPr>
        <w:t xml:space="preserve"> </w:t>
      </w:r>
      <w:r w:rsidRPr="00215C96">
        <w:rPr>
          <w:rFonts w:cs="Times New Roman"/>
          <w:sz w:val="16"/>
          <w:szCs w:val="16"/>
        </w:rPr>
        <w:t xml:space="preserve">Case M.9820 - </w:t>
      </w:r>
      <w:r w:rsidRPr="00947B7D">
        <w:rPr>
          <w:rFonts w:cs="Times New Roman"/>
          <w:i/>
          <w:iCs/>
          <w:sz w:val="16"/>
          <w:szCs w:val="16"/>
        </w:rPr>
        <w:t>Danfoss / Eaton Hydraulics</w:t>
      </w:r>
      <w:r w:rsidRPr="00215C96">
        <w:rPr>
          <w:rFonts w:cs="Times New Roman"/>
          <w:sz w:val="16"/>
          <w:szCs w:val="16"/>
        </w:rPr>
        <w:t>.</w:t>
      </w:r>
    </w:p>
  </w:footnote>
  <w:footnote w:id="69">
    <w:p w14:paraId="075CFB60" w14:textId="77777777" w:rsidR="001C1ABD" w:rsidRPr="006900E2" w:rsidRDefault="001C1ABD">
      <w:pPr>
        <w:pStyle w:val="FootnoteText"/>
        <w:rPr>
          <w:sz w:val="16"/>
          <w:szCs w:val="16"/>
        </w:rPr>
      </w:pPr>
      <w:r w:rsidRPr="00215C96">
        <w:rPr>
          <w:rStyle w:val="FootnoteReference"/>
          <w:rFonts w:cs="Times New Roman"/>
          <w:sz w:val="16"/>
          <w:szCs w:val="16"/>
        </w:rPr>
        <w:footnoteRef/>
      </w:r>
      <w:r w:rsidRPr="00215C96">
        <w:rPr>
          <w:rFonts w:cs="Times New Roman"/>
          <w:sz w:val="16"/>
          <w:szCs w:val="16"/>
        </w:rPr>
        <w:t xml:space="preserve"> Case M.9569 – </w:t>
      </w:r>
      <w:r w:rsidRPr="00947B7D">
        <w:rPr>
          <w:rFonts w:cs="Times New Roman"/>
          <w:i/>
          <w:iCs/>
          <w:sz w:val="16"/>
          <w:szCs w:val="16"/>
        </w:rPr>
        <w:t>EssilorLuxottica / Grandvision</w:t>
      </w:r>
      <w:r w:rsidRPr="00215C96">
        <w:rPr>
          <w:rFonts w:cs="Times New Roman"/>
          <w:sz w:val="16"/>
          <w:szCs w:val="16"/>
        </w:rPr>
        <w:t>.</w:t>
      </w:r>
    </w:p>
  </w:footnote>
  <w:footnote w:id="70">
    <w:p w14:paraId="15245085" w14:textId="77777777" w:rsidR="001C1ABD" w:rsidRPr="00237C41" w:rsidRDefault="001C1ABD" w:rsidP="0045718F">
      <w:pPr>
        <w:pStyle w:val="FootnoteText"/>
        <w:rPr>
          <w:sz w:val="16"/>
          <w:szCs w:val="16"/>
          <w:lang w:val="en-IE"/>
        </w:rPr>
      </w:pPr>
      <w:r>
        <w:rPr>
          <w:rStyle w:val="FootnoteReference"/>
        </w:rPr>
        <w:footnoteRef/>
      </w:r>
      <w:r>
        <w:t xml:space="preserve"> </w:t>
      </w:r>
      <w:r w:rsidRPr="00237C41">
        <w:rPr>
          <w:sz w:val="16"/>
          <w:szCs w:val="16"/>
        </w:rPr>
        <w:t>Case</w:t>
      </w:r>
      <w:r w:rsidRPr="00237C41">
        <w:rPr>
          <w:color w:val="000000"/>
          <w:sz w:val="16"/>
          <w:szCs w:val="16"/>
          <w:lang w:val="en-US"/>
        </w:rPr>
        <w:t xml:space="preserve"> M.9489 - </w:t>
      </w:r>
      <w:r w:rsidRPr="00947B7D">
        <w:rPr>
          <w:i/>
          <w:iCs/>
          <w:color w:val="000000"/>
          <w:sz w:val="16"/>
          <w:szCs w:val="16"/>
          <w:lang w:val="en-US"/>
        </w:rPr>
        <w:t>Air Canada / Transat</w:t>
      </w:r>
      <w:r w:rsidRPr="00237C41">
        <w:rPr>
          <w:color w:val="000000"/>
          <w:sz w:val="16"/>
          <w:szCs w:val="16"/>
          <w:lang w:val="en-US"/>
        </w:rPr>
        <w:t>.</w:t>
      </w:r>
    </w:p>
  </w:footnote>
  <w:footnote w:id="71">
    <w:p w14:paraId="2D31AC19" w14:textId="74087969" w:rsidR="001C1ABD" w:rsidRPr="00237C41" w:rsidRDefault="001C1ABD">
      <w:pPr>
        <w:pStyle w:val="FootnoteText"/>
        <w:rPr>
          <w:sz w:val="16"/>
          <w:szCs w:val="16"/>
          <w:lang w:val="en-US"/>
        </w:rPr>
      </w:pPr>
      <w:r w:rsidRPr="00237C41">
        <w:rPr>
          <w:rStyle w:val="FootnoteReference"/>
          <w:sz w:val="16"/>
          <w:szCs w:val="16"/>
        </w:rPr>
        <w:footnoteRef/>
      </w:r>
      <w:r w:rsidRPr="00237C41">
        <w:rPr>
          <w:sz w:val="16"/>
          <w:szCs w:val="16"/>
        </w:rPr>
        <w:t xml:space="preserve"> </w:t>
      </w:r>
      <w:r>
        <w:rPr>
          <w:sz w:val="16"/>
          <w:szCs w:val="16"/>
        </w:rPr>
        <w:t xml:space="preserve">Case M.9637 – </w:t>
      </w:r>
      <w:r w:rsidRPr="0039502D">
        <w:rPr>
          <w:i/>
          <w:sz w:val="16"/>
          <w:szCs w:val="16"/>
        </w:rPr>
        <w:t>IAG / Air Europa</w:t>
      </w:r>
      <w:r>
        <w:rPr>
          <w:sz w:val="16"/>
          <w:szCs w:val="16"/>
        </w:rPr>
        <w:t xml:space="preserve">, </w:t>
      </w:r>
      <w:r w:rsidRPr="00237C41">
        <w:rPr>
          <w:sz w:val="16"/>
          <w:szCs w:val="16"/>
        </w:rPr>
        <w:t>OJ C 519, 22.12.2021, p. 2</w:t>
      </w:r>
      <w:r>
        <w:rPr>
          <w:sz w:val="16"/>
          <w:szCs w:val="16"/>
        </w:rPr>
        <w:t>.</w:t>
      </w:r>
    </w:p>
  </w:footnote>
  <w:footnote w:id="72">
    <w:p w14:paraId="65A4143F" w14:textId="77777777" w:rsidR="001C1ABD" w:rsidRPr="00237C41" w:rsidRDefault="001C1ABD" w:rsidP="00237C41">
      <w:pPr>
        <w:pStyle w:val="FootnoteText"/>
        <w:rPr>
          <w:sz w:val="16"/>
          <w:szCs w:val="16"/>
          <w:lang w:val="en-IE"/>
        </w:rPr>
      </w:pPr>
      <w:r w:rsidRPr="00237C41">
        <w:rPr>
          <w:rStyle w:val="FootnoteReference"/>
          <w:sz w:val="16"/>
          <w:szCs w:val="16"/>
        </w:rPr>
        <w:footnoteRef/>
      </w:r>
      <w:r w:rsidRPr="00237C41">
        <w:rPr>
          <w:sz w:val="16"/>
          <w:szCs w:val="16"/>
        </w:rPr>
        <w:t xml:space="preserve"> Case M.9637 - </w:t>
      </w:r>
      <w:r w:rsidRPr="00947B7D">
        <w:rPr>
          <w:i/>
          <w:iCs/>
          <w:sz w:val="16"/>
          <w:szCs w:val="16"/>
        </w:rPr>
        <w:t>IAG / Air Europa</w:t>
      </w:r>
      <w:r w:rsidRPr="00237C41">
        <w:rPr>
          <w:sz w:val="16"/>
          <w:szCs w:val="16"/>
        </w:rPr>
        <w:t>.</w:t>
      </w:r>
    </w:p>
  </w:footnote>
  <w:footnote w:id="73">
    <w:p w14:paraId="0B0B9A7E" w14:textId="72D67B2F" w:rsidR="001C1ABD" w:rsidRPr="00215C96" w:rsidRDefault="001C1ABD" w:rsidP="0080521F">
      <w:pPr>
        <w:pStyle w:val="FootnoteText"/>
        <w:jc w:val="both"/>
        <w:rPr>
          <w:rFonts w:cs="Times New Roman"/>
          <w:sz w:val="16"/>
          <w:szCs w:val="16"/>
          <w:lang w:val="en-US"/>
        </w:rPr>
      </w:pPr>
      <w:r w:rsidRPr="00215C96">
        <w:rPr>
          <w:rFonts w:cs="Times New Roman"/>
          <w:sz w:val="16"/>
          <w:szCs w:val="16"/>
          <w:vertAlign w:val="superscript"/>
        </w:rPr>
        <w:footnoteRef/>
      </w:r>
      <w:r w:rsidRPr="00215C96">
        <w:rPr>
          <w:rFonts w:cs="Times New Roman"/>
          <w:sz w:val="16"/>
          <w:szCs w:val="16"/>
        </w:rPr>
        <w:t xml:space="preserve"> </w:t>
      </w:r>
      <w:r>
        <w:rPr>
          <w:rFonts w:cs="Times New Roman"/>
          <w:sz w:val="16"/>
          <w:szCs w:val="16"/>
        </w:rPr>
        <w:t xml:space="preserve">Commission </w:t>
      </w:r>
      <w:r w:rsidRPr="00215C96">
        <w:rPr>
          <w:rFonts w:cs="Times New Roman"/>
          <w:sz w:val="16"/>
          <w:szCs w:val="16"/>
        </w:rPr>
        <w:t xml:space="preserve">Communication Connectivity for a Competitive Digital Single Market – Towards a European Gigabit Society, </w:t>
      </w:r>
      <w:r w:rsidRPr="00215C96">
        <w:rPr>
          <w:rFonts w:cs="Times New Roman"/>
          <w:sz w:val="16"/>
          <w:szCs w:val="16"/>
          <w:lang w:val="en-US"/>
        </w:rPr>
        <w:t>COM (2016) 0587</w:t>
      </w:r>
      <w:r>
        <w:rPr>
          <w:rFonts w:cs="Times New Roman"/>
          <w:sz w:val="16"/>
          <w:szCs w:val="16"/>
          <w:lang w:val="en-US"/>
        </w:rPr>
        <w:t>, 14.9.2016.</w:t>
      </w:r>
    </w:p>
  </w:footnote>
  <w:footnote w:id="74">
    <w:p w14:paraId="573298B5" w14:textId="77777777" w:rsidR="001C1ABD" w:rsidRPr="006900E2" w:rsidRDefault="001C1ABD" w:rsidP="006900E2">
      <w:pPr>
        <w:pStyle w:val="NormalWeb"/>
        <w:spacing w:before="0" w:beforeAutospacing="0" w:after="0" w:afterAutospacing="0"/>
        <w:jc w:val="both"/>
        <w:rPr>
          <w:sz w:val="16"/>
          <w:szCs w:val="16"/>
        </w:rPr>
      </w:pPr>
      <w:r w:rsidRPr="00947B7D">
        <w:rPr>
          <w:rStyle w:val="FootnoteReference"/>
          <w:sz w:val="16"/>
          <w:szCs w:val="16"/>
        </w:rPr>
        <w:footnoteRef/>
      </w:r>
      <w:r w:rsidRPr="00947B7D">
        <w:rPr>
          <w:sz w:val="16"/>
          <w:szCs w:val="16"/>
        </w:rPr>
        <w:t xml:space="preserve"> Commission Communication Shaping Europe’s Digital Future, 19.2.2020. See: </w:t>
      </w:r>
    </w:p>
    <w:p w14:paraId="4B1935CA" w14:textId="77777777" w:rsidR="001C1ABD" w:rsidRPr="00F42E78" w:rsidRDefault="002F2EFC" w:rsidP="00040CED">
      <w:pPr>
        <w:pStyle w:val="NormalWeb"/>
        <w:spacing w:before="0" w:beforeAutospacing="0" w:after="0" w:afterAutospacing="0"/>
        <w:jc w:val="both"/>
        <w:rPr>
          <w:sz w:val="16"/>
        </w:rPr>
      </w:pPr>
      <w:hyperlink r:id="rId12" w:history="1">
        <w:r w:rsidR="001C1ABD" w:rsidRPr="00F42E78">
          <w:rPr>
            <w:rStyle w:val="Hyperlink"/>
            <w:sz w:val="16"/>
          </w:rPr>
          <w:t>https://ec.europa.eu/info/sites/info/files/communication-shaping-europes-digital-future-feb2020_en_4.pdf</w:t>
        </w:r>
      </w:hyperlink>
      <w:r w:rsidR="001C1ABD" w:rsidRPr="00F42E78">
        <w:rPr>
          <w:sz w:val="16"/>
        </w:rPr>
        <w:t xml:space="preserve">. </w:t>
      </w:r>
    </w:p>
  </w:footnote>
  <w:footnote w:id="75">
    <w:p w14:paraId="21315EA7" w14:textId="2EB09B96" w:rsidR="001C1ABD" w:rsidRPr="00215C96" w:rsidRDefault="001C1ABD" w:rsidP="0080521F">
      <w:pPr>
        <w:pStyle w:val="FootnoteText"/>
        <w:jc w:val="both"/>
        <w:rPr>
          <w:rFonts w:cs="Times New Roman"/>
          <w:sz w:val="16"/>
          <w:szCs w:val="16"/>
          <w:lang w:val="en-US"/>
        </w:rPr>
      </w:pPr>
      <w:r w:rsidRPr="00215C96">
        <w:rPr>
          <w:rFonts w:cs="Times New Roman"/>
          <w:sz w:val="16"/>
          <w:szCs w:val="16"/>
          <w:vertAlign w:val="superscript"/>
        </w:rPr>
        <w:footnoteRef/>
      </w:r>
      <w:r w:rsidRPr="00215C96">
        <w:rPr>
          <w:rFonts w:cs="Times New Roman"/>
          <w:sz w:val="16"/>
          <w:szCs w:val="16"/>
          <w:vertAlign w:val="superscript"/>
          <w:lang w:val="en-US"/>
        </w:rPr>
        <w:t xml:space="preserve"> </w:t>
      </w:r>
      <w:r w:rsidRPr="00215C96">
        <w:rPr>
          <w:rFonts w:cs="Times New Roman"/>
          <w:sz w:val="16"/>
          <w:szCs w:val="16"/>
          <w:lang w:val="en-US"/>
        </w:rPr>
        <w:t>Comm</w:t>
      </w:r>
      <w:r>
        <w:rPr>
          <w:rFonts w:cs="Times New Roman"/>
          <w:sz w:val="16"/>
          <w:szCs w:val="16"/>
          <w:lang w:val="en-US"/>
        </w:rPr>
        <w:t>ission Communication</w:t>
      </w:r>
      <w:r w:rsidRPr="00215C96">
        <w:rPr>
          <w:rFonts w:cs="Times New Roman"/>
          <w:sz w:val="16"/>
          <w:szCs w:val="16"/>
          <w:lang w:val="en-US"/>
        </w:rPr>
        <w:t xml:space="preserve">, Digital Compass: the European way for the Digital Decade, COM (2021) 118 final, 9.3.2021. </w:t>
      </w:r>
    </w:p>
  </w:footnote>
  <w:footnote w:id="76">
    <w:p w14:paraId="178CC50D" w14:textId="77777777" w:rsidR="001C1ABD" w:rsidRPr="00215C96" w:rsidRDefault="001C1ABD" w:rsidP="001D278F">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w:t>
      </w:r>
      <w:r w:rsidRPr="008E163B">
        <w:rPr>
          <w:rFonts w:cs="Times New Roman"/>
          <w:sz w:val="16"/>
          <w:szCs w:val="16"/>
        </w:rPr>
        <w:t>Case SA.59574,</w:t>
      </w:r>
      <w:r>
        <w:rPr>
          <w:rFonts w:cs="Times New Roman"/>
          <w:sz w:val="16"/>
          <w:szCs w:val="16"/>
        </w:rPr>
        <w:t xml:space="preserve"> </w:t>
      </w:r>
      <w:r w:rsidRPr="00947B7D">
        <w:rPr>
          <w:rFonts w:cs="Times New Roman"/>
          <w:i/>
          <w:iCs/>
          <w:sz w:val="16"/>
          <w:szCs w:val="16"/>
        </w:rPr>
        <w:t>Germany - Deployment of high-performance mobile infrastructure in Germany- DE</w:t>
      </w:r>
      <w:r w:rsidRPr="00253ECB">
        <w:rPr>
          <w:rFonts w:cs="Times New Roman"/>
          <w:sz w:val="16"/>
          <w:szCs w:val="16"/>
        </w:rPr>
        <w:t xml:space="preserve">, </w:t>
      </w:r>
      <w:r>
        <w:rPr>
          <w:rFonts w:cs="Times New Roman"/>
          <w:sz w:val="16"/>
          <w:szCs w:val="16"/>
        </w:rPr>
        <w:t>OJ C 410, 8.11.2021, p.1</w:t>
      </w:r>
      <w:r w:rsidRPr="00215C96">
        <w:rPr>
          <w:rFonts w:cs="Times New Roman"/>
          <w:sz w:val="16"/>
          <w:szCs w:val="16"/>
        </w:rPr>
        <w:t>.</w:t>
      </w:r>
    </w:p>
  </w:footnote>
  <w:footnote w:id="77">
    <w:p w14:paraId="45091075" w14:textId="77777777" w:rsidR="001C1ABD" w:rsidRPr="00FD48D0" w:rsidRDefault="001C1ABD">
      <w:pPr>
        <w:pStyle w:val="FootnoteText"/>
      </w:pPr>
      <w:r>
        <w:rPr>
          <w:rStyle w:val="FootnoteReference"/>
        </w:rPr>
        <w:footnoteRef/>
      </w:r>
      <w:r>
        <w:t xml:space="preserve"> </w:t>
      </w:r>
      <w:r w:rsidRPr="00AE42B0">
        <w:rPr>
          <w:rFonts w:cs="Times New Roman"/>
          <w:sz w:val="16"/>
          <w:szCs w:val="16"/>
          <w:lang w:val="en-US"/>
        </w:rPr>
        <w:t>Case SA.64394 RRF - Spain- National aid scheme for passive infrastructure for mobile networks</w:t>
      </w:r>
      <w:r>
        <w:rPr>
          <w:rFonts w:cs="Times New Roman"/>
          <w:sz w:val="16"/>
          <w:szCs w:val="16"/>
          <w:lang w:val="en-US"/>
        </w:rPr>
        <w:t>.</w:t>
      </w:r>
    </w:p>
  </w:footnote>
  <w:footnote w:id="78">
    <w:p w14:paraId="0E704956" w14:textId="77777777" w:rsidR="001C1ABD" w:rsidRPr="00215C96" w:rsidRDefault="001C1ABD">
      <w:pPr>
        <w:pStyle w:val="FootnoteText"/>
        <w:rPr>
          <w:rFonts w:cs="Times New Roman"/>
          <w:sz w:val="16"/>
          <w:szCs w:val="16"/>
        </w:rPr>
      </w:pPr>
      <w:r w:rsidRPr="00215C96">
        <w:rPr>
          <w:rStyle w:val="FootnoteReference"/>
          <w:rFonts w:cs="Times New Roman"/>
          <w:sz w:val="16"/>
          <w:szCs w:val="16"/>
        </w:rPr>
        <w:footnoteRef/>
      </w:r>
      <w:r w:rsidRPr="00215C96">
        <w:rPr>
          <w:rFonts w:cs="Times New Roman"/>
          <w:sz w:val="16"/>
          <w:szCs w:val="16"/>
          <w:vertAlign w:val="superscript"/>
        </w:rPr>
        <w:t xml:space="preserve"> </w:t>
      </w:r>
      <w:r w:rsidRPr="00215C96">
        <w:rPr>
          <w:rFonts w:cs="Times New Roman"/>
          <w:sz w:val="16"/>
          <w:szCs w:val="16"/>
        </w:rPr>
        <w:t>Judgment of the Court of Justice of 20</w:t>
      </w:r>
      <w:r>
        <w:rPr>
          <w:rFonts w:cs="Times New Roman"/>
          <w:sz w:val="16"/>
          <w:szCs w:val="16"/>
        </w:rPr>
        <w:t>.9.</w:t>
      </w:r>
      <w:r w:rsidRPr="00215C96">
        <w:rPr>
          <w:rFonts w:cs="Times New Roman"/>
          <w:sz w:val="16"/>
          <w:szCs w:val="16"/>
        </w:rPr>
        <w:t xml:space="preserve">2018, </w:t>
      </w:r>
      <w:r w:rsidRPr="00215C96">
        <w:rPr>
          <w:rFonts w:eastAsia="Times New Roman" w:cs="Times New Roman"/>
          <w:sz w:val="16"/>
          <w:szCs w:val="16"/>
        </w:rPr>
        <w:t>C-114/17</w:t>
      </w:r>
      <w:r>
        <w:rPr>
          <w:rFonts w:eastAsia="Times New Roman" w:cs="Times New Roman"/>
          <w:sz w:val="16"/>
          <w:szCs w:val="16"/>
        </w:rPr>
        <w:t xml:space="preserve">, </w:t>
      </w:r>
      <w:r w:rsidRPr="00947B7D">
        <w:rPr>
          <w:rFonts w:cs="Times New Roman"/>
          <w:i/>
          <w:iCs/>
          <w:sz w:val="16"/>
          <w:szCs w:val="16"/>
        </w:rPr>
        <w:t>Kingdom of Spain v European Commission</w:t>
      </w:r>
      <w:r>
        <w:rPr>
          <w:rFonts w:cs="Times New Roman"/>
          <w:sz w:val="16"/>
          <w:szCs w:val="16"/>
        </w:rPr>
        <w:t xml:space="preserve">, </w:t>
      </w:r>
      <w:r w:rsidRPr="003E0FE8">
        <w:rPr>
          <w:rFonts w:cs="Times New Roman"/>
          <w:sz w:val="16"/>
          <w:szCs w:val="16"/>
        </w:rPr>
        <w:t>EU:C:2018:309</w:t>
      </w:r>
      <w:r>
        <w:rPr>
          <w:rFonts w:cs="Times New Roman"/>
          <w:sz w:val="16"/>
          <w:szCs w:val="16"/>
        </w:rPr>
        <w:t>.</w:t>
      </w:r>
    </w:p>
  </w:footnote>
  <w:footnote w:id="79">
    <w:p w14:paraId="04BA11E8" w14:textId="77777777" w:rsidR="001C1ABD" w:rsidRPr="00215C96" w:rsidRDefault="001C1ABD" w:rsidP="009458CD">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Judgment of the Court of Justice of 29</w:t>
      </w:r>
      <w:r>
        <w:rPr>
          <w:rFonts w:cs="Times New Roman"/>
          <w:sz w:val="16"/>
          <w:szCs w:val="16"/>
        </w:rPr>
        <w:t>.4.</w:t>
      </w:r>
      <w:r w:rsidRPr="00215C96">
        <w:rPr>
          <w:rFonts w:cs="Times New Roman"/>
          <w:sz w:val="16"/>
          <w:szCs w:val="16"/>
        </w:rPr>
        <w:t>2021, C-704/19</w:t>
      </w:r>
      <w:r>
        <w:rPr>
          <w:rFonts w:cs="Times New Roman"/>
          <w:sz w:val="16"/>
          <w:szCs w:val="16"/>
        </w:rPr>
        <w:t xml:space="preserve">, </w:t>
      </w:r>
      <w:r w:rsidRPr="00947B7D">
        <w:rPr>
          <w:rFonts w:cs="Times New Roman"/>
          <w:i/>
          <w:iCs/>
          <w:sz w:val="16"/>
          <w:szCs w:val="16"/>
        </w:rPr>
        <w:t>European Commission v Kingdom of Spain</w:t>
      </w:r>
      <w:r>
        <w:rPr>
          <w:rFonts w:cs="Times New Roman"/>
          <w:sz w:val="16"/>
          <w:szCs w:val="16"/>
        </w:rPr>
        <w:t>, EU:C:2021:342.</w:t>
      </w:r>
    </w:p>
  </w:footnote>
  <w:footnote w:id="80">
    <w:p w14:paraId="714DA474" w14:textId="77777777" w:rsidR="001C1ABD" w:rsidRPr="00215C96" w:rsidRDefault="001C1ABD" w:rsidP="002C2DB9">
      <w:pPr>
        <w:pStyle w:val="FootnoteText"/>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Communication from the Commission to the European Parliament, the European Council, the Council, the European Economic and Social Committee and the Committee of the Regions, the European Green Deal, COM(2019) 640 final.</w:t>
      </w:r>
    </w:p>
  </w:footnote>
  <w:footnote w:id="81">
    <w:p w14:paraId="4AAAF8AA" w14:textId="77777777" w:rsidR="001C1ABD" w:rsidRPr="00F42E78" w:rsidRDefault="001C1ABD" w:rsidP="000539FF">
      <w:pPr>
        <w:pStyle w:val="FootnoteText"/>
        <w:rPr>
          <w:sz w:val="16"/>
        </w:rPr>
      </w:pPr>
      <w:r w:rsidRPr="00215C96">
        <w:rPr>
          <w:rStyle w:val="FootnoteReference"/>
          <w:rFonts w:cs="Times New Roman"/>
          <w:sz w:val="16"/>
          <w:szCs w:val="16"/>
        </w:rPr>
        <w:footnoteRef/>
      </w:r>
      <w:r w:rsidRPr="00215C96" w:rsidDel="00800AC8">
        <w:rPr>
          <w:rFonts w:cs="Times New Roman"/>
          <w:sz w:val="16"/>
          <w:szCs w:val="16"/>
        </w:rPr>
        <w:t xml:space="preserve"> </w:t>
      </w:r>
      <w:hyperlink r:id="rId13" w:history="1">
        <w:r w:rsidRPr="00215C96">
          <w:rPr>
            <w:rStyle w:val="Hyperlink"/>
            <w:rFonts w:cs="Times New Roman"/>
            <w:sz w:val="16"/>
            <w:szCs w:val="16"/>
          </w:rPr>
          <w:t>https://ec.europa.eu/competition-policy/index/news/competition-policy-brief-12021-policy-support-europes-green-ambition-2021-09-10_en</w:t>
        </w:r>
      </w:hyperlink>
      <w:r w:rsidRPr="00F42E78">
        <w:rPr>
          <w:sz w:val="16"/>
        </w:rPr>
        <w:t xml:space="preserve">. </w:t>
      </w:r>
    </w:p>
  </w:footnote>
  <w:footnote w:id="82">
    <w:p w14:paraId="1C127BC9" w14:textId="77777777" w:rsidR="001C1ABD" w:rsidRPr="00215C96" w:rsidRDefault="001C1ABD" w:rsidP="000F147F">
      <w:pPr>
        <w:pStyle w:val="NormalWeb"/>
        <w:spacing w:before="0" w:beforeAutospacing="0" w:after="0" w:afterAutospacing="0"/>
        <w:jc w:val="both"/>
        <w:rPr>
          <w:sz w:val="16"/>
          <w:szCs w:val="16"/>
        </w:rPr>
      </w:pPr>
      <w:r w:rsidRPr="00947B7D">
        <w:rPr>
          <w:rStyle w:val="FootnoteReference"/>
          <w:sz w:val="16"/>
          <w:szCs w:val="16"/>
        </w:rPr>
        <w:footnoteRef/>
      </w:r>
      <w:r w:rsidRPr="00947B7D">
        <w:rPr>
          <w:sz w:val="16"/>
          <w:szCs w:val="16"/>
        </w:rPr>
        <w:t xml:space="preserve"> </w:t>
      </w:r>
      <w:r w:rsidRPr="00215C96">
        <w:rPr>
          <w:sz w:val="16"/>
          <w:szCs w:val="16"/>
        </w:rPr>
        <w:t xml:space="preserve">State aid: Commission approves EUR 2.9 billion public support by twelve Member States for a second pan-European research and innovation project along the entire battery value chain, Commission press release of 26.1.2021. See: </w:t>
      </w:r>
      <w:hyperlink r:id="rId14" w:history="1">
        <w:r w:rsidRPr="00215C96">
          <w:rPr>
            <w:rStyle w:val="Hyperlink"/>
            <w:sz w:val="16"/>
            <w:szCs w:val="16"/>
          </w:rPr>
          <w:t>https://ec.europa.eu/commission/presscorner/detail/en/IP_21_226</w:t>
        </w:r>
      </w:hyperlink>
      <w:r w:rsidRPr="00215C96">
        <w:rPr>
          <w:sz w:val="16"/>
          <w:szCs w:val="16"/>
        </w:rPr>
        <w:t xml:space="preserve">. The non-confidential version of the decision will be made available under the case numbers SA.55855 (Austria), SA.55840 (Belgium), SA.55844 (Croatia), SA.55846 (Finland), SA.55858 (France), SA.55831 (Germany), SA.56665 (Greece), SA.55813 (Italy), SA.55859 (Poland), SA.55819 (Slovakia), SA.55896 (Spain), and SA.55854 (Sweden) in the State aid Register on the competition website. See: </w:t>
      </w:r>
      <w:hyperlink r:id="rId15" w:history="1">
        <w:r w:rsidRPr="00215C96">
          <w:rPr>
            <w:rStyle w:val="Hyperlink"/>
            <w:sz w:val="16"/>
            <w:szCs w:val="16"/>
          </w:rPr>
          <w:t>https://ec.europa.eu/competition/state_aid/register/</w:t>
        </w:r>
      </w:hyperlink>
      <w:r w:rsidRPr="00215C96">
        <w:rPr>
          <w:sz w:val="16"/>
          <w:szCs w:val="16"/>
        </w:rPr>
        <w:t>.</w:t>
      </w:r>
    </w:p>
  </w:footnote>
  <w:footnote w:id="83">
    <w:p w14:paraId="56CF14D1" w14:textId="5C45D3E8" w:rsidR="001C1ABD" w:rsidRPr="009E7AAB" w:rsidRDefault="001C1ABD">
      <w:pPr>
        <w:pStyle w:val="FootnoteText"/>
        <w:rPr>
          <w:lang w:val="en-IE"/>
        </w:rPr>
      </w:pPr>
      <w:r w:rsidRPr="005C5150">
        <w:rPr>
          <w:rStyle w:val="FootnoteReference"/>
          <w:sz w:val="16"/>
          <w:szCs w:val="16"/>
        </w:rPr>
        <w:footnoteRef/>
      </w:r>
      <w:r w:rsidRPr="005C5150">
        <w:rPr>
          <w:sz w:val="16"/>
          <w:szCs w:val="16"/>
        </w:rPr>
        <w:t xml:space="preserve"> </w:t>
      </w:r>
      <w:r w:rsidRPr="00C256DD">
        <w:rPr>
          <w:sz w:val="16"/>
          <w:szCs w:val="16"/>
        </w:rPr>
        <w:t xml:space="preserve">See: </w:t>
      </w:r>
      <w:hyperlink r:id="rId16" w:history="1">
        <w:r w:rsidRPr="00DA093F">
          <w:rPr>
            <w:rStyle w:val="Hyperlink"/>
            <w:sz w:val="16"/>
            <w:szCs w:val="16"/>
          </w:rPr>
          <w:t>https://ec.europa.eu/commission/presscorner/detail/en/ip_19_6705</w:t>
        </w:r>
      </w:hyperlink>
      <w:r>
        <w:rPr>
          <w:sz w:val="16"/>
          <w:szCs w:val="16"/>
        </w:rPr>
        <w:t>.</w:t>
      </w:r>
    </w:p>
  </w:footnote>
  <w:footnote w:id="84">
    <w:p w14:paraId="0C238253" w14:textId="77777777" w:rsidR="001C1ABD" w:rsidRPr="00215C96" w:rsidRDefault="001C1ABD" w:rsidP="000F147F">
      <w:pPr>
        <w:pStyle w:val="NormalWeb"/>
        <w:spacing w:before="0" w:beforeAutospacing="0" w:after="0" w:afterAutospacing="0"/>
        <w:jc w:val="both"/>
        <w:rPr>
          <w:sz w:val="16"/>
          <w:szCs w:val="16"/>
        </w:rPr>
      </w:pPr>
      <w:r w:rsidRPr="00215C96">
        <w:rPr>
          <w:rStyle w:val="FootnoteReference"/>
          <w:sz w:val="16"/>
          <w:szCs w:val="16"/>
        </w:rPr>
        <w:footnoteRef/>
      </w:r>
      <w:r w:rsidRPr="00215C96">
        <w:rPr>
          <w:sz w:val="16"/>
          <w:szCs w:val="16"/>
        </w:rPr>
        <w:t xml:space="preserve"> Commission Communication Shaping Europe’s Digital Future, 19.2.2020. See: </w:t>
      </w:r>
    </w:p>
    <w:p w14:paraId="494B5563" w14:textId="77777777" w:rsidR="001C1ABD" w:rsidRPr="00215C96" w:rsidRDefault="002F2EFC" w:rsidP="00222342">
      <w:pPr>
        <w:pStyle w:val="NormalWeb"/>
        <w:spacing w:before="0" w:beforeAutospacing="0" w:after="0" w:afterAutospacing="0"/>
        <w:jc w:val="both"/>
        <w:rPr>
          <w:sz w:val="16"/>
          <w:szCs w:val="16"/>
        </w:rPr>
      </w:pPr>
      <w:hyperlink r:id="rId17" w:history="1">
        <w:r w:rsidR="001C1ABD" w:rsidRPr="00215C96">
          <w:rPr>
            <w:rStyle w:val="Hyperlink"/>
            <w:sz w:val="16"/>
            <w:szCs w:val="16"/>
          </w:rPr>
          <w:t>https://ec.europa.eu/info/sites/info/files/communication-shaping-europes-digital-future-feb2020_en_4.pdf</w:t>
        </w:r>
      </w:hyperlink>
      <w:r w:rsidR="001C1ABD" w:rsidRPr="00215C96">
        <w:rPr>
          <w:sz w:val="16"/>
          <w:szCs w:val="16"/>
        </w:rPr>
        <w:t xml:space="preserve">. </w:t>
      </w:r>
    </w:p>
  </w:footnote>
  <w:footnote w:id="85">
    <w:p w14:paraId="6A178962" w14:textId="77777777" w:rsidR="001C1ABD" w:rsidRPr="00215C96" w:rsidRDefault="001C1ABD" w:rsidP="00F57DF3">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lang w:val="en-US"/>
        </w:rPr>
        <w:t xml:space="preserve"> Case SA.57425,</w:t>
      </w:r>
      <w:r>
        <w:rPr>
          <w:rFonts w:cs="Times New Roman"/>
          <w:sz w:val="16"/>
          <w:szCs w:val="16"/>
          <w:lang w:val="en-US"/>
        </w:rPr>
        <w:t xml:space="preserve"> </w:t>
      </w:r>
      <w:r w:rsidRPr="00947B7D">
        <w:rPr>
          <w:rFonts w:cs="Times New Roman"/>
          <w:i/>
          <w:iCs/>
          <w:sz w:val="16"/>
          <w:szCs w:val="16"/>
          <w:lang w:val="en-US"/>
        </w:rPr>
        <w:t>Romania – Support measure for the upgrade of the Bucharest Municipality District heating network,</w:t>
      </w:r>
      <w:r w:rsidRPr="00215C96">
        <w:rPr>
          <w:rFonts w:cs="Times New Roman"/>
          <w:sz w:val="16"/>
          <w:szCs w:val="16"/>
          <w:lang w:val="en-US"/>
        </w:rPr>
        <w:t xml:space="preserve"> </w:t>
      </w:r>
      <w:r w:rsidRPr="00215C96">
        <w:rPr>
          <w:rFonts w:cs="Times New Roman"/>
          <w:sz w:val="16"/>
          <w:szCs w:val="16"/>
        </w:rPr>
        <w:t>OJ C 177, 7 May 2021, p.1.</w:t>
      </w:r>
    </w:p>
  </w:footnote>
  <w:footnote w:id="86">
    <w:p w14:paraId="23FE6D50" w14:textId="77777777" w:rsidR="001C1ABD" w:rsidRPr="00215C96" w:rsidRDefault="001C1ABD" w:rsidP="000F76C1">
      <w:pPr>
        <w:pStyle w:val="FootnoteText"/>
        <w:jc w:val="both"/>
        <w:rPr>
          <w:rFonts w:cs="Times New Roman"/>
          <w:sz w:val="16"/>
          <w:szCs w:val="16"/>
          <w:lang w:val="en-US"/>
        </w:rPr>
      </w:pPr>
      <w:r w:rsidRPr="00215C96">
        <w:rPr>
          <w:rFonts w:cs="Times New Roman"/>
          <w:sz w:val="16"/>
          <w:szCs w:val="16"/>
          <w:vertAlign w:val="superscript"/>
        </w:rPr>
        <w:footnoteRef/>
      </w:r>
      <w:r w:rsidRPr="00215C96">
        <w:rPr>
          <w:rFonts w:cs="Times New Roman"/>
          <w:sz w:val="16"/>
          <w:szCs w:val="16"/>
        </w:rPr>
        <w:t xml:space="preserve"> Case SA.56831, </w:t>
      </w:r>
      <w:r w:rsidRPr="00947B7D">
        <w:rPr>
          <w:rFonts w:cs="Times New Roman"/>
          <w:i/>
          <w:iCs/>
          <w:sz w:val="16"/>
          <w:szCs w:val="16"/>
        </w:rPr>
        <w:t xml:space="preserve">Denmark – Multi-technology RES tenders 2021-2024, </w:t>
      </w:r>
      <w:r w:rsidRPr="00215C96">
        <w:rPr>
          <w:rFonts w:cs="Times New Roman"/>
          <w:sz w:val="16"/>
          <w:szCs w:val="16"/>
        </w:rPr>
        <w:t>OJ C 214, 4.6.</w:t>
      </w:r>
      <w:r w:rsidRPr="00215C96">
        <w:rPr>
          <w:rFonts w:cs="Times New Roman"/>
          <w:sz w:val="16"/>
          <w:szCs w:val="16"/>
          <w:lang w:val="en-US"/>
        </w:rPr>
        <w:t>2021, p.1.</w:t>
      </w:r>
    </w:p>
  </w:footnote>
  <w:footnote w:id="87">
    <w:p w14:paraId="72B46170" w14:textId="77777777" w:rsidR="001C1ABD" w:rsidRPr="00215C96" w:rsidRDefault="001C1ABD" w:rsidP="000F76C1">
      <w:pPr>
        <w:pStyle w:val="FootnoteText"/>
        <w:jc w:val="both"/>
        <w:rPr>
          <w:rFonts w:cs="Times New Roman"/>
          <w:sz w:val="16"/>
          <w:szCs w:val="16"/>
          <w:lang w:val="en-US"/>
        </w:rPr>
      </w:pPr>
      <w:r w:rsidRPr="00215C96">
        <w:rPr>
          <w:rFonts w:cs="Times New Roman"/>
          <w:sz w:val="16"/>
          <w:szCs w:val="16"/>
          <w:vertAlign w:val="superscript"/>
        </w:rPr>
        <w:footnoteRef/>
      </w:r>
      <w:r w:rsidRPr="00215C96">
        <w:rPr>
          <w:rFonts w:cs="Times New Roman"/>
          <w:sz w:val="16"/>
          <w:szCs w:val="16"/>
          <w:vertAlign w:val="superscript"/>
          <w:lang w:val="en-US"/>
        </w:rPr>
        <w:t xml:space="preserve"> </w:t>
      </w:r>
      <w:r w:rsidRPr="00215C96">
        <w:rPr>
          <w:rFonts w:cs="Times New Roman"/>
          <w:sz w:val="16"/>
          <w:szCs w:val="16"/>
          <w:lang w:val="en-US"/>
        </w:rPr>
        <w:t xml:space="preserve">Case SA.56826, </w:t>
      </w:r>
      <w:r w:rsidRPr="00947B7D">
        <w:rPr>
          <w:rFonts w:cs="Times New Roman"/>
          <w:i/>
          <w:iCs/>
          <w:sz w:val="16"/>
          <w:szCs w:val="16"/>
          <w:lang w:val="en-US"/>
        </w:rPr>
        <w:t xml:space="preserve">Germany – 2020 reform of support for cogeneration, </w:t>
      </w:r>
      <w:r w:rsidRPr="00215C96">
        <w:rPr>
          <w:rFonts w:cs="Times New Roman"/>
          <w:sz w:val="16"/>
          <w:szCs w:val="16"/>
          <w:lang w:val="en-US"/>
        </w:rPr>
        <w:t>OJ C 306, 30.7.2021, p.1.</w:t>
      </w:r>
    </w:p>
  </w:footnote>
  <w:footnote w:id="88">
    <w:p w14:paraId="0D0AFB8E" w14:textId="77777777" w:rsidR="001C1ABD" w:rsidRPr="000F147F" w:rsidRDefault="001C1ABD">
      <w:pPr>
        <w:pStyle w:val="FootnoteText"/>
        <w:jc w:val="both"/>
        <w:rPr>
          <w:sz w:val="16"/>
          <w:szCs w:val="16"/>
          <w:lang w:val="fr-BE"/>
        </w:rPr>
      </w:pPr>
      <w:r w:rsidRPr="00215C96">
        <w:rPr>
          <w:rFonts w:cs="Times New Roman"/>
          <w:sz w:val="16"/>
          <w:szCs w:val="16"/>
          <w:vertAlign w:val="superscript"/>
        </w:rPr>
        <w:footnoteRef/>
      </w:r>
      <w:r w:rsidRPr="00947B7D">
        <w:rPr>
          <w:sz w:val="16"/>
          <w:szCs w:val="16"/>
          <w:lang w:val="fr-BE"/>
        </w:rPr>
        <w:t xml:space="preserve"> Case SA.50272, </w:t>
      </w:r>
      <w:r w:rsidRPr="004155ED">
        <w:rPr>
          <w:rFonts w:cs="Times New Roman"/>
          <w:i/>
          <w:iCs/>
          <w:sz w:val="16"/>
          <w:szCs w:val="16"/>
          <w:lang w:val="fr-BE"/>
        </w:rPr>
        <w:t xml:space="preserve">France – Appels d’offres pour les renouvelables 2021-2026, </w:t>
      </w:r>
      <w:r w:rsidRPr="004155ED">
        <w:rPr>
          <w:sz w:val="16"/>
          <w:szCs w:val="16"/>
          <w:lang w:val="fr-BE"/>
        </w:rPr>
        <w:t xml:space="preserve">OJ C 450, </w:t>
      </w:r>
      <w:r w:rsidRPr="00062864">
        <w:rPr>
          <w:sz w:val="16"/>
          <w:szCs w:val="16"/>
          <w:lang w:val="fr-BE"/>
        </w:rPr>
        <w:t>5.11.2021, p.1.</w:t>
      </w:r>
    </w:p>
  </w:footnote>
  <w:footnote w:id="89">
    <w:p w14:paraId="79611F6B" w14:textId="77777777" w:rsidR="001C1ABD" w:rsidRPr="00215C96" w:rsidRDefault="001C1ABD">
      <w:pPr>
        <w:pStyle w:val="FootnoteText"/>
        <w:rPr>
          <w:rFonts w:cs="Times New Roman"/>
          <w:sz w:val="16"/>
          <w:szCs w:val="16"/>
          <w:lang w:val="en-IE"/>
        </w:rPr>
      </w:pPr>
      <w:r w:rsidRPr="00215C96">
        <w:rPr>
          <w:rStyle w:val="FootnoteReference"/>
          <w:rFonts w:cs="Times New Roman"/>
          <w:sz w:val="16"/>
          <w:szCs w:val="16"/>
        </w:rPr>
        <w:footnoteRef/>
      </w:r>
      <w:r w:rsidRPr="00215C96">
        <w:rPr>
          <w:rFonts w:cs="Times New Roman"/>
          <w:sz w:val="16"/>
          <w:szCs w:val="16"/>
        </w:rPr>
        <w:t xml:space="preserve"> </w:t>
      </w:r>
      <w:r w:rsidRPr="00215C96">
        <w:rPr>
          <w:rFonts w:cs="Times New Roman"/>
          <w:sz w:val="16"/>
          <w:szCs w:val="16"/>
          <w:lang w:val="en-IE"/>
        </w:rPr>
        <w:t>Case SA.62619</w:t>
      </w:r>
      <w:r>
        <w:rPr>
          <w:rFonts w:cs="Times New Roman"/>
          <w:sz w:val="16"/>
          <w:szCs w:val="16"/>
          <w:lang w:val="en-IE"/>
        </w:rPr>
        <w:t xml:space="preserve">, </w:t>
      </w:r>
      <w:r w:rsidRPr="00947B7D">
        <w:rPr>
          <w:rFonts w:cs="Times New Roman"/>
          <w:i/>
          <w:iCs/>
          <w:sz w:val="16"/>
          <w:szCs w:val="16"/>
          <w:lang w:val="en-IE"/>
        </w:rPr>
        <w:t>Germany – H2Global</w:t>
      </w:r>
      <w:r w:rsidRPr="004155ED">
        <w:rPr>
          <w:i/>
          <w:iCs/>
          <w:sz w:val="16"/>
          <w:szCs w:val="16"/>
          <w:lang w:val="en-IE"/>
        </w:rPr>
        <w:t>.</w:t>
      </w:r>
      <w:r w:rsidRPr="00215C96">
        <w:rPr>
          <w:rFonts w:cs="Times New Roman"/>
          <w:sz w:val="16"/>
          <w:szCs w:val="16"/>
          <w:lang w:val="en-IE"/>
        </w:rPr>
        <w:t xml:space="preserve"> The public version of this decision is not yet available. See: https://ec.europa.eu/competition/elojade/isef/index.cfm?fuseaction=dsp_result&amp;policy_area_id=1,2,3</w:t>
      </w:r>
    </w:p>
  </w:footnote>
  <w:footnote w:id="90">
    <w:p w14:paraId="1DFF4BDA" w14:textId="77777777" w:rsidR="001C1ABD" w:rsidRPr="00215C96" w:rsidRDefault="001C1ABD" w:rsidP="00F41922">
      <w:pPr>
        <w:pStyle w:val="FootnoteText"/>
        <w:rPr>
          <w:rFonts w:cs="Times New Roman"/>
          <w:sz w:val="16"/>
          <w:szCs w:val="16"/>
        </w:rPr>
      </w:pPr>
      <w:r w:rsidRPr="00215C96">
        <w:rPr>
          <w:rFonts w:cs="Times New Roman"/>
          <w:sz w:val="16"/>
          <w:szCs w:val="16"/>
          <w:vertAlign w:val="superscript"/>
        </w:rPr>
        <w:footnoteRef/>
      </w:r>
      <w:r w:rsidRPr="00215C96">
        <w:rPr>
          <w:rFonts w:cs="Times New Roman"/>
          <w:sz w:val="16"/>
          <w:szCs w:val="16"/>
          <w:vertAlign w:val="superscript"/>
        </w:rPr>
        <w:t xml:space="preserve"> </w:t>
      </w:r>
      <w:r w:rsidRPr="00215C96">
        <w:rPr>
          <w:rFonts w:cs="Times New Roman"/>
          <w:sz w:val="16"/>
          <w:szCs w:val="16"/>
        </w:rPr>
        <w:t xml:space="preserve">Case AT.40178, </w:t>
      </w:r>
      <w:r w:rsidRPr="00947B7D">
        <w:rPr>
          <w:rFonts w:cs="Times New Roman"/>
          <w:i/>
          <w:iCs/>
          <w:sz w:val="16"/>
          <w:szCs w:val="16"/>
        </w:rPr>
        <w:t>Car Emissions</w:t>
      </w:r>
      <w:r w:rsidRPr="00215C96">
        <w:rPr>
          <w:rFonts w:cs="Times New Roman"/>
          <w:sz w:val="16"/>
          <w:szCs w:val="16"/>
        </w:rPr>
        <w:t>, See: https://ec.europa.eu/competition/antitrust/cases1/202146/AT_40178_8022289_3048_5.pdf.</w:t>
      </w:r>
    </w:p>
  </w:footnote>
  <w:footnote w:id="91">
    <w:p w14:paraId="660DA6F6" w14:textId="77777777" w:rsidR="001C1ABD" w:rsidRPr="00215C96" w:rsidRDefault="001C1ABD" w:rsidP="00040653">
      <w:pPr>
        <w:pStyle w:val="FootnoteText"/>
        <w:rPr>
          <w:rFonts w:cs="Times New Roman"/>
          <w:sz w:val="16"/>
          <w:szCs w:val="16"/>
        </w:rPr>
      </w:pPr>
      <w:r w:rsidRPr="00215C96">
        <w:rPr>
          <w:rFonts w:cs="Times New Roman"/>
          <w:sz w:val="16"/>
          <w:szCs w:val="16"/>
          <w:vertAlign w:val="superscript"/>
        </w:rPr>
        <w:footnoteRef/>
      </w:r>
      <w:r w:rsidRPr="00215C96">
        <w:rPr>
          <w:rFonts w:cs="Times New Roman"/>
          <w:sz w:val="16"/>
          <w:szCs w:val="16"/>
          <w:vertAlign w:val="superscript"/>
        </w:rPr>
        <w:t xml:space="preserve"> </w:t>
      </w:r>
      <w:r w:rsidRPr="00215C96">
        <w:rPr>
          <w:rFonts w:cs="Times New Roman"/>
          <w:sz w:val="16"/>
          <w:szCs w:val="16"/>
        </w:rPr>
        <w:t xml:space="preserve">Case AT.40330, </w:t>
      </w:r>
      <w:r w:rsidRPr="00947B7D">
        <w:rPr>
          <w:rFonts w:cs="Times New Roman"/>
          <w:i/>
          <w:iCs/>
          <w:sz w:val="16"/>
          <w:szCs w:val="16"/>
        </w:rPr>
        <w:t>Rail cargo</w:t>
      </w:r>
      <w:r w:rsidRPr="00215C96">
        <w:rPr>
          <w:rFonts w:cs="Times New Roman"/>
          <w:sz w:val="16"/>
          <w:szCs w:val="16"/>
        </w:rPr>
        <w:t>. See: https://ec.europa.eu/competition/elojade/isef/index.cfm?fuseaction=dsp_result&amp;policy_area_id=1,2,3</w:t>
      </w:r>
    </w:p>
  </w:footnote>
  <w:footnote w:id="92">
    <w:p w14:paraId="34CB111F" w14:textId="77777777" w:rsidR="001C1ABD" w:rsidRPr="00215C96" w:rsidRDefault="001C1ABD">
      <w:pPr>
        <w:pStyle w:val="FootnoteText"/>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Under the freight sharing model, which is a contract model foreseen in international railway law, railway companies performing cross-border rail services provide customers with a single overall price for the service required under a single multilateral contract.</w:t>
      </w:r>
    </w:p>
  </w:footnote>
  <w:footnote w:id="93">
    <w:p w14:paraId="6D5C9F5C" w14:textId="77777777" w:rsidR="001C1ABD" w:rsidRPr="00215C96" w:rsidRDefault="001C1ABD" w:rsidP="000C4658">
      <w:pPr>
        <w:pStyle w:val="FootnoteText"/>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Case AT.38700, </w:t>
      </w:r>
      <w:r w:rsidRPr="00947B7D">
        <w:rPr>
          <w:rFonts w:cs="Times New Roman"/>
          <w:i/>
          <w:iCs/>
          <w:sz w:val="16"/>
          <w:szCs w:val="16"/>
        </w:rPr>
        <w:t xml:space="preserve">Greek lignite and electricity markets. </w:t>
      </w:r>
      <w:r w:rsidRPr="00215C96">
        <w:rPr>
          <w:rFonts w:cs="Times New Roman"/>
          <w:sz w:val="16"/>
          <w:szCs w:val="16"/>
        </w:rPr>
        <w:t>See: https://ec.europa.eu/competition/elojade/isef/index.cfm?fuseaction=dsp_result&amp;policy_area_id=1,2,3</w:t>
      </w:r>
    </w:p>
  </w:footnote>
  <w:footnote w:id="94">
    <w:p w14:paraId="07140B44" w14:textId="4CC00794" w:rsidR="001C1ABD" w:rsidRPr="0044648F" w:rsidRDefault="001C1ABD">
      <w:pPr>
        <w:pStyle w:val="FootnoteText"/>
        <w:rPr>
          <w:sz w:val="16"/>
          <w:szCs w:val="16"/>
        </w:rPr>
      </w:pPr>
      <w:r>
        <w:rPr>
          <w:rStyle w:val="FootnoteReference"/>
        </w:rPr>
        <w:footnoteRef/>
      </w:r>
      <w:r>
        <w:t xml:space="preserve"> </w:t>
      </w:r>
      <w:r w:rsidRPr="0044648F">
        <w:rPr>
          <w:sz w:val="16"/>
          <w:szCs w:val="16"/>
        </w:rPr>
        <w:t xml:space="preserve">The same </w:t>
      </w:r>
      <w:r w:rsidRPr="0044648F">
        <w:rPr>
          <w:rFonts w:ascii="Open Sans" w:hAnsi="Open Sans"/>
          <w:color w:val="000000"/>
          <w:sz w:val="16"/>
          <w:szCs w:val="16"/>
          <w:shd w:val="clear" w:color="auto" w:fill="FFFFFF"/>
        </w:rPr>
        <w:t>commitments were made by Greece to the Eurogroup in 2018 as a condition for the release of additional financial relief under the European Stability Mechanism for financial assistance to Greece.</w:t>
      </w:r>
    </w:p>
  </w:footnote>
  <w:footnote w:id="95">
    <w:p w14:paraId="155A891B" w14:textId="77777777" w:rsidR="001C1ABD" w:rsidRPr="006900E2" w:rsidRDefault="001C1ABD">
      <w:pPr>
        <w:pStyle w:val="FootnoteText"/>
        <w:contextualSpacing/>
        <w:rPr>
          <w:sz w:val="16"/>
          <w:szCs w:val="16"/>
        </w:rPr>
      </w:pPr>
      <w:r w:rsidRPr="00947B7D">
        <w:rPr>
          <w:rStyle w:val="FootnoteReference"/>
          <w:sz w:val="16"/>
          <w:szCs w:val="16"/>
        </w:rPr>
        <w:footnoteRef/>
      </w:r>
      <w:r w:rsidRPr="00947B7D">
        <w:rPr>
          <w:sz w:val="16"/>
          <w:szCs w:val="16"/>
        </w:rPr>
        <w:t xml:space="preserve"> Case AT.40054</w:t>
      </w:r>
      <w:r>
        <w:rPr>
          <w:rFonts w:cs="Times New Roman"/>
          <w:sz w:val="16"/>
          <w:szCs w:val="16"/>
        </w:rPr>
        <w:t>,</w:t>
      </w:r>
      <w:r w:rsidRPr="00947B7D">
        <w:rPr>
          <w:sz w:val="16"/>
          <w:szCs w:val="16"/>
        </w:rPr>
        <w:t xml:space="preserve"> </w:t>
      </w:r>
      <w:r w:rsidRPr="004155ED">
        <w:rPr>
          <w:i/>
          <w:iCs/>
          <w:sz w:val="16"/>
          <w:szCs w:val="16"/>
        </w:rPr>
        <w:t>Ethanol benchmarks</w:t>
      </w:r>
      <w:r w:rsidRPr="004155ED">
        <w:rPr>
          <w:rFonts w:cs="Times New Roman"/>
          <w:i/>
          <w:iCs/>
          <w:sz w:val="16"/>
          <w:szCs w:val="16"/>
        </w:rPr>
        <w:t xml:space="preserve">. </w:t>
      </w:r>
      <w:r>
        <w:rPr>
          <w:rFonts w:cs="Times New Roman"/>
          <w:sz w:val="16"/>
          <w:szCs w:val="16"/>
        </w:rPr>
        <w:t>See:</w:t>
      </w:r>
      <w:r w:rsidRPr="00947B7D">
        <w:rPr>
          <w:sz w:val="16"/>
          <w:szCs w:val="16"/>
        </w:rPr>
        <w:t xml:space="preserve"> </w:t>
      </w:r>
      <w:hyperlink r:id="rId18" w:history="1">
        <w:r w:rsidRPr="00947B7D">
          <w:rPr>
            <w:rStyle w:val="Hyperlink"/>
            <w:sz w:val="16"/>
            <w:szCs w:val="16"/>
            <w:lang w:val="en-US"/>
          </w:rPr>
          <w:t>https://ec.europa.eu/competition/elojade/isef/case_details.cfm?proc_code=1_40054</w:t>
        </w:r>
      </w:hyperlink>
      <w:r w:rsidRPr="00947B7D">
        <w:rPr>
          <w:sz w:val="16"/>
          <w:szCs w:val="16"/>
        </w:rPr>
        <w:t xml:space="preserve"> </w:t>
      </w:r>
    </w:p>
  </w:footnote>
  <w:footnote w:id="96">
    <w:p w14:paraId="4D4A8DE0" w14:textId="77777777" w:rsidR="001C1ABD" w:rsidRPr="00B75FEA" w:rsidRDefault="001C1ABD" w:rsidP="00486196">
      <w:pPr>
        <w:pStyle w:val="FootnoteText"/>
        <w:rPr>
          <w:sz w:val="16"/>
          <w:lang w:val="es-ES"/>
        </w:rPr>
      </w:pPr>
      <w:r w:rsidRPr="00215C96">
        <w:rPr>
          <w:rStyle w:val="FootnoteReference"/>
          <w:rFonts w:cs="Times New Roman"/>
          <w:sz w:val="16"/>
          <w:szCs w:val="16"/>
        </w:rPr>
        <w:footnoteRef/>
      </w:r>
      <w:r w:rsidRPr="00B75FEA">
        <w:rPr>
          <w:sz w:val="16"/>
          <w:lang w:val="es-ES"/>
        </w:rPr>
        <w:t xml:space="preserve"> Case M.9969, </w:t>
      </w:r>
      <w:r w:rsidRPr="00B75FEA">
        <w:rPr>
          <w:i/>
          <w:sz w:val="16"/>
          <w:lang w:val="es-ES"/>
        </w:rPr>
        <w:t>Veolia / Suez</w:t>
      </w:r>
      <w:r w:rsidRPr="00B75FEA">
        <w:rPr>
          <w:sz w:val="16"/>
          <w:lang w:val="es-ES"/>
        </w:rPr>
        <w:t xml:space="preserve">. See: https://ec.europa.eu/competition/elojade/isef/index.cfm?fuseaction=dsp_result&amp;policy_area_id=1,2,3 </w:t>
      </w:r>
    </w:p>
  </w:footnote>
  <w:footnote w:id="97">
    <w:p w14:paraId="4031A5A3" w14:textId="77777777" w:rsidR="001C1ABD" w:rsidRPr="006900E2" w:rsidRDefault="001C1ABD">
      <w:pPr>
        <w:pStyle w:val="FootnoteText"/>
        <w:jc w:val="both"/>
        <w:rPr>
          <w:sz w:val="16"/>
          <w:szCs w:val="16"/>
          <w:lang w:val="en-IE"/>
        </w:rPr>
      </w:pPr>
      <w:r w:rsidRPr="00947B7D">
        <w:rPr>
          <w:rStyle w:val="FootnoteReference"/>
          <w:sz w:val="16"/>
          <w:szCs w:val="16"/>
        </w:rPr>
        <w:footnoteRef/>
      </w:r>
      <w:r w:rsidRPr="00947B7D">
        <w:rPr>
          <w:sz w:val="16"/>
          <w:szCs w:val="16"/>
        </w:rPr>
        <w:t xml:space="preserve"> </w:t>
      </w:r>
      <w:r w:rsidRPr="004155ED">
        <w:rPr>
          <w:sz w:val="16"/>
          <w:szCs w:val="16"/>
          <w:lang w:val="en-IE"/>
        </w:rPr>
        <w:t xml:space="preserve">Communication from the Commission: Action Plan to fight tax evasion and to make taxation simple and easy (Q2 2020) included in the </w:t>
      </w:r>
      <w:r w:rsidRPr="00062864">
        <w:rPr>
          <w:sz w:val="16"/>
          <w:szCs w:val="16"/>
        </w:rPr>
        <w:t xml:space="preserve">Adjusted Commission Work Programme 2020 COM(2020) 440 final Annex 1 and 2, 27.5.2020. </w:t>
      </w:r>
    </w:p>
  </w:footnote>
  <w:footnote w:id="98">
    <w:p w14:paraId="4BAC4132" w14:textId="77777777" w:rsidR="001C1ABD" w:rsidRPr="006900E2" w:rsidRDefault="001C1ABD">
      <w:pPr>
        <w:pStyle w:val="FootnoteText"/>
        <w:ind w:left="425" w:hanging="425"/>
        <w:contextualSpacing/>
        <w:rPr>
          <w:sz w:val="16"/>
          <w:szCs w:val="16"/>
          <w:lang w:val="en-IE"/>
        </w:rPr>
      </w:pPr>
      <w:r w:rsidRPr="00947B7D">
        <w:rPr>
          <w:rStyle w:val="FootnoteReference"/>
          <w:sz w:val="16"/>
          <w:szCs w:val="16"/>
        </w:rPr>
        <w:footnoteRef/>
      </w:r>
      <w:r w:rsidRPr="00947B7D">
        <w:rPr>
          <w:sz w:val="16"/>
          <w:szCs w:val="16"/>
        </w:rPr>
        <w:t xml:space="preserve"> </w:t>
      </w:r>
      <w:r w:rsidRPr="004155ED">
        <w:rPr>
          <w:sz w:val="16"/>
          <w:szCs w:val="16"/>
          <w:lang w:val="en-IE"/>
        </w:rPr>
        <w:t>Case AT.40346</w:t>
      </w:r>
      <w:r>
        <w:rPr>
          <w:rFonts w:cs="Times New Roman"/>
          <w:sz w:val="16"/>
          <w:szCs w:val="16"/>
          <w:lang w:val="en-IE"/>
        </w:rPr>
        <w:t>,</w:t>
      </w:r>
      <w:r w:rsidRPr="00947B7D">
        <w:rPr>
          <w:sz w:val="16"/>
          <w:szCs w:val="16"/>
          <w:lang w:val="en-IE"/>
        </w:rPr>
        <w:t xml:space="preserve"> </w:t>
      </w:r>
      <w:r w:rsidRPr="004155ED">
        <w:rPr>
          <w:i/>
          <w:iCs/>
          <w:sz w:val="16"/>
          <w:szCs w:val="16"/>
          <w:lang w:val="en-IE"/>
        </w:rPr>
        <w:t>Sovereign and Agency bonds</w:t>
      </w:r>
      <w:r w:rsidRPr="004155ED">
        <w:rPr>
          <w:sz w:val="16"/>
          <w:szCs w:val="16"/>
          <w:lang w:val="en-IE"/>
        </w:rPr>
        <w:t xml:space="preserve">, </w:t>
      </w:r>
      <w:hyperlink r:id="rId19" w:history="1">
        <w:r w:rsidRPr="00947B7D">
          <w:rPr>
            <w:rStyle w:val="Hyperlink"/>
            <w:sz w:val="16"/>
            <w:szCs w:val="16"/>
            <w:lang w:val="en-IE"/>
          </w:rPr>
          <w:t>https://ec.europa.eu/commission/presscorner/detail/en/ip_21_2004</w:t>
        </w:r>
      </w:hyperlink>
    </w:p>
  </w:footnote>
  <w:footnote w:id="99">
    <w:p w14:paraId="2A4DF2FB" w14:textId="77777777" w:rsidR="001C1ABD" w:rsidRPr="00215C96" w:rsidRDefault="001C1ABD" w:rsidP="00486196">
      <w:pPr>
        <w:pStyle w:val="FootnoteText"/>
        <w:rPr>
          <w:rFonts w:cs="Times New Roman"/>
          <w:sz w:val="16"/>
          <w:szCs w:val="16"/>
        </w:rPr>
      </w:pPr>
      <w:r w:rsidRPr="00215C96">
        <w:rPr>
          <w:rFonts w:cs="Times New Roman"/>
          <w:sz w:val="16"/>
          <w:szCs w:val="16"/>
          <w:vertAlign w:val="superscript"/>
        </w:rPr>
        <w:footnoteRef/>
      </w:r>
      <w:r w:rsidRPr="00215C96">
        <w:rPr>
          <w:rFonts w:cs="Times New Roman"/>
          <w:sz w:val="16"/>
          <w:szCs w:val="16"/>
          <w:vertAlign w:val="superscript"/>
        </w:rPr>
        <w:t xml:space="preserve"> </w:t>
      </w:r>
      <w:r w:rsidRPr="00215C96">
        <w:rPr>
          <w:rFonts w:cs="Times New Roman"/>
          <w:sz w:val="16"/>
          <w:szCs w:val="16"/>
        </w:rPr>
        <w:t xml:space="preserve">Case AT.40324, </w:t>
      </w:r>
      <w:r w:rsidRPr="00947B7D">
        <w:rPr>
          <w:rFonts w:cs="Times New Roman"/>
          <w:i/>
          <w:iCs/>
          <w:sz w:val="16"/>
          <w:szCs w:val="16"/>
        </w:rPr>
        <w:t>European Government Bonds</w:t>
      </w:r>
      <w:r w:rsidRPr="00215C96">
        <w:rPr>
          <w:rFonts w:cs="Times New Roman"/>
          <w:sz w:val="16"/>
          <w:szCs w:val="16"/>
        </w:rPr>
        <w:t xml:space="preserve">. See: </w:t>
      </w:r>
      <w:hyperlink r:id="rId20">
        <w:r w:rsidRPr="00215C96">
          <w:rPr>
            <w:rFonts w:cs="Times New Roman"/>
            <w:sz w:val="16"/>
            <w:szCs w:val="16"/>
          </w:rPr>
          <w:t>https://ec.europa.eu/competition/antitrust/cases1/202142/AT_40324_7971056_3662_3.pdf</w:t>
        </w:r>
      </w:hyperlink>
    </w:p>
  </w:footnote>
  <w:footnote w:id="100">
    <w:p w14:paraId="0B6F5C88" w14:textId="77777777" w:rsidR="001C1ABD" w:rsidRPr="006900E2" w:rsidRDefault="001C1ABD">
      <w:pPr>
        <w:pStyle w:val="FootnoteText"/>
        <w:rPr>
          <w:sz w:val="16"/>
          <w:szCs w:val="16"/>
          <w:lang w:val="en-IE"/>
        </w:rPr>
      </w:pPr>
      <w:r w:rsidRPr="00947B7D">
        <w:rPr>
          <w:rStyle w:val="FootnoteReference"/>
          <w:sz w:val="16"/>
          <w:szCs w:val="16"/>
        </w:rPr>
        <w:footnoteRef/>
      </w:r>
      <w:r w:rsidRPr="00947B7D">
        <w:rPr>
          <w:sz w:val="16"/>
          <w:szCs w:val="16"/>
        </w:rPr>
        <w:t xml:space="preserve"> Case </w:t>
      </w:r>
      <w:r w:rsidRPr="004155ED">
        <w:rPr>
          <w:sz w:val="16"/>
          <w:szCs w:val="16"/>
          <w:lang w:val="en-IE"/>
        </w:rPr>
        <w:t>AT.40135</w:t>
      </w:r>
      <w:r>
        <w:rPr>
          <w:rFonts w:cs="Times New Roman"/>
          <w:sz w:val="16"/>
          <w:szCs w:val="16"/>
          <w:lang w:val="en-IE"/>
        </w:rPr>
        <w:t>,</w:t>
      </w:r>
      <w:r w:rsidRPr="00947B7D">
        <w:rPr>
          <w:sz w:val="16"/>
          <w:szCs w:val="16"/>
          <w:lang w:val="en-IE"/>
        </w:rPr>
        <w:t xml:space="preserve"> </w:t>
      </w:r>
      <w:r w:rsidRPr="004155ED">
        <w:rPr>
          <w:i/>
          <w:iCs/>
          <w:sz w:val="16"/>
          <w:szCs w:val="16"/>
          <w:lang w:val="en-IE"/>
        </w:rPr>
        <w:t xml:space="preserve">FOREX </w:t>
      </w:r>
      <w:r w:rsidRPr="004155ED">
        <w:rPr>
          <w:sz w:val="16"/>
          <w:szCs w:val="16"/>
        </w:rPr>
        <w:t>https://ec.europa.eu/competition/elojade/isef/case_details.cfm?proc_code=1_AT_40135</w:t>
      </w:r>
    </w:p>
  </w:footnote>
  <w:footnote w:id="101">
    <w:p w14:paraId="4A3D7C9C" w14:textId="77777777" w:rsidR="001C1ABD" w:rsidRPr="00215C96" w:rsidRDefault="001C1ABD" w:rsidP="00F42E78">
      <w:pPr>
        <w:pStyle w:val="FootnoteText"/>
        <w:rPr>
          <w:rFonts w:cs="Times New Roman"/>
          <w:sz w:val="16"/>
          <w:szCs w:val="16"/>
        </w:rPr>
      </w:pPr>
      <w:r w:rsidRPr="00215C96">
        <w:rPr>
          <w:rFonts w:cs="Times New Roman"/>
          <w:sz w:val="16"/>
          <w:szCs w:val="16"/>
          <w:vertAlign w:val="superscript"/>
        </w:rPr>
        <w:footnoteRef/>
      </w:r>
      <w:r w:rsidRPr="00215C96">
        <w:rPr>
          <w:rFonts w:cs="Times New Roman"/>
          <w:sz w:val="16"/>
          <w:szCs w:val="16"/>
        </w:rPr>
        <w:t xml:space="preserve"> Case AT.40511, </w:t>
      </w:r>
      <w:r w:rsidRPr="00947B7D">
        <w:rPr>
          <w:rFonts w:cs="Times New Roman"/>
          <w:i/>
          <w:iCs/>
          <w:sz w:val="16"/>
          <w:szCs w:val="16"/>
        </w:rPr>
        <w:t>Insura</w:t>
      </w:r>
      <w:r w:rsidRPr="004155ED">
        <w:rPr>
          <w:rFonts w:cs="Times New Roman"/>
          <w:i/>
          <w:iCs/>
          <w:sz w:val="16"/>
          <w:szCs w:val="16"/>
        </w:rPr>
        <w:t>nce Ireland: Insurance claims database and conditions of access</w:t>
      </w:r>
      <w:r w:rsidRPr="00215C96">
        <w:rPr>
          <w:rFonts w:cs="Times New Roman"/>
          <w:sz w:val="16"/>
          <w:szCs w:val="16"/>
        </w:rPr>
        <w:t>. See: https://ec.europa.eu/competition/elojade/isef/index.cfm?fuseaction=dsp_result&amp;policy_area_id=1,2,3</w:t>
      </w:r>
    </w:p>
  </w:footnote>
  <w:footnote w:id="102">
    <w:p w14:paraId="33E25725" w14:textId="77777777" w:rsidR="001C1ABD" w:rsidRPr="006900E2" w:rsidRDefault="001C1ABD">
      <w:pPr>
        <w:pStyle w:val="FootnoteText"/>
        <w:rPr>
          <w:sz w:val="16"/>
          <w:szCs w:val="16"/>
          <w:lang w:val="en-US"/>
        </w:rPr>
      </w:pPr>
      <w:r w:rsidRPr="00215C96">
        <w:rPr>
          <w:rStyle w:val="FootnoteReference"/>
          <w:rFonts w:cs="Times New Roman"/>
          <w:sz w:val="16"/>
          <w:szCs w:val="16"/>
        </w:rPr>
        <w:footnoteRef/>
      </w:r>
      <w:r w:rsidRPr="00947B7D">
        <w:rPr>
          <w:sz w:val="16"/>
          <w:szCs w:val="16"/>
          <w:lang w:val="en-US"/>
        </w:rPr>
        <w:t xml:space="preserve"> Case SA.63002, </w:t>
      </w:r>
      <w:r w:rsidRPr="004155ED">
        <w:rPr>
          <w:rFonts w:cs="Times New Roman"/>
          <w:i/>
          <w:iCs/>
          <w:sz w:val="16"/>
          <w:szCs w:val="16"/>
          <w:lang w:val="en-US"/>
        </w:rPr>
        <w:t xml:space="preserve">Poland – Eleventh prolongation of the Credit Unions Orderly Liquidation Scheme, </w:t>
      </w:r>
      <w:r w:rsidRPr="00062864">
        <w:rPr>
          <w:sz w:val="16"/>
          <w:szCs w:val="16"/>
          <w:shd w:val="clear" w:color="auto" w:fill="FFFFFF"/>
          <w:lang w:val="en-US"/>
        </w:rPr>
        <w:t xml:space="preserve">OJ C 285, 16.7.2021, p.1; Case </w:t>
      </w:r>
      <w:r w:rsidRPr="00373CE6">
        <w:rPr>
          <w:sz w:val="16"/>
          <w:szCs w:val="16"/>
          <w:lang w:val="en-US"/>
        </w:rPr>
        <w:t xml:space="preserve">SA.64522, </w:t>
      </w:r>
      <w:r w:rsidRPr="00373CE6">
        <w:rPr>
          <w:rFonts w:cs="Times New Roman"/>
          <w:i/>
          <w:iCs/>
          <w:sz w:val="16"/>
          <w:szCs w:val="16"/>
          <w:lang w:val="en-US"/>
        </w:rPr>
        <w:t>Poland – Sixth prolongation of the resolution scheme for cooperative banks and small commercial banks,</w:t>
      </w:r>
      <w:r w:rsidRPr="00F30010">
        <w:rPr>
          <w:rFonts w:cs="Times New Roman"/>
          <w:sz w:val="16"/>
          <w:szCs w:val="16"/>
          <w:lang w:val="en-US"/>
        </w:rPr>
        <w:t xml:space="preserve"> </w:t>
      </w:r>
      <w:r w:rsidRPr="00947B7D">
        <w:rPr>
          <w:sz w:val="16"/>
          <w:szCs w:val="16"/>
          <w:lang w:val="en-US"/>
        </w:rPr>
        <w:t>OJ C 487, 3.12.2021, p.1.</w:t>
      </w:r>
    </w:p>
  </w:footnote>
  <w:footnote w:id="103">
    <w:p w14:paraId="0D36048E" w14:textId="77777777" w:rsidR="001C1ABD" w:rsidRPr="00215C96" w:rsidRDefault="001C1ABD" w:rsidP="00815E36">
      <w:pPr>
        <w:pStyle w:val="FootnoteText"/>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Case SA.62303, </w:t>
      </w:r>
      <w:r w:rsidRPr="00947B7D">
        <w:rPr>
          <w:rFonts w:cs="Times New Roman"/>
          <w:i/>
          <w:iCs/>
          <w:sz w:val="16"/>
          <w:szCs w:val="16"/>
        </w:rPr>
        <w:t>Ireland – 13</w:t>
      </w:r>
      <w:r w:rsidRPr="004155ED">
        <w:rPr>
          <w:rFonts w:cs="Times New Roman"/>
          <w:i/>
          <w:iCs/>
          <w:sz w:val="16"/>
          <w:szCs w:val="16"/>
          <w:vertAlign w:val="superscript"/>
        </w:rPr>
        <w:t>th</w:t>
      </w:r>
      <w:r w:rsidRPr="004155ED">
        <w:rPr>
          <w:rFonts w:cs="Times New Roman"/>
          <w:i/>
          <w:iCs/>
          <w:sz w:val="16"/>
          <w:szCs w:val="16"/>
        </w:rPr>
        <w:t xml:space="preserve"> Prolongation</w:t>
      </w:r>
      <w:r w:rsidRPr="00062864">
        <w:rPr>
          <w:rFonts w:cs="Times New Roman"/>
          <w:i/>
          <w:iCs/>
          <w:sz w:val="16"/>
          <w:szCs w:val="16"/>
        </w:rPr>
        <w:t xml:space="preserve"> of the Credit Union restructuring and stabilisation scheme, </w:t>
      </w:r>
      <w:r w:rsidRPr="00215C96">
        <w:rPr>
          <w:rFonts w:cs="Times New Roman"/>
          <w:sz w:val="16"/>
          <w:szCs w:val="16"/>
        </w:rPr>
        <w:t xml:space="preserve">OJ C 240, 18.6.2021, p.1; Case SA.100030, </w:t>
      </w:r>
      <w:r w:rsidRPr="00947B7D">
        <w:rPr>
          <w:rFonts w:cs="Times New Roman"/>
          <w:i/>
          <w:iCs/>
          <w:sz w:val="16"/>
          <w:szCs w:val="16"/>
        </w:rPr>
        <w:t>Ireland – 14</w:t>
      </w:r>
      <w:r w:rsidRPr="004155ED">
        <w:rPr>
          <w:rFonts w:cs="Times New Roman"/>
          <w:i/>
          <w:iCs/>
          <w:sz w:val="16"/>
          <w:szCs w:val="16"/>
          <w:vertAlign w:val="superscript"/>
        </w:rPr>
        <w:t>th</w:t>
      </w:r>
      <w:r w:rsidRPr="004155ED">
        <w:rPr>
          <w:rFonts w:cs="Times New Roman"/>
          <w:i/>
          <w:iCs/>
          <w:sz w:val="16"/>
          <w:szCs w:val="16"/>
        </w:rPr>
        <w:t xml:space="preserve"> Prolongation of the Restructuring and Stabilisation Scheme for the Credit Union Sector, </w:t>
      </w:r>
      <w:r w:rsidRPr="00215C96">
        <w:rPr>
          <w:rFonts w:cs="Times New Roman"/>
          <w:sz w:val="16"/>
          <w:szCs w:val="16"/>
        </w:rPr>
        <w:t xml:space="preserve">OJ C 487, 3.12.2021, p.1; and Case SA.62649, </w:t>
      </w:r>
      <w:r w:rsidRPr="00947B7D">
        <w:rPr>
          <w:rFonts w:cs="Times New Roman"/>
          <w:i/>
          <w:iCs/>
          <w:sz w:val="16"/>
          <w:szCs w:val="16"/>
        </w:rPr>
        <w:t>Irela</w:t>
      </w:r>
      <w:r w:rsidRPr="004155ED">
        <w:rPr>
          <w:rFonts w:cs="Times New Roman"/>
          <w:i/>
          <w:iCs/>
          <w:sz w:val="16"/>
          <w:szCs w:val="16"/>
        </w:rPr>
        <w:t>nd – 17</w:t>
      </w:r>
      <w:r w:rsidRPr="004155ED">
        <w:rPr>
          <w:rFonts w:cs="Times New Roman"/>
          <w:i/>
          <w:iCs/>
          <w:sz w:val="16"/>
          <w:szCs w:val="16"/>
          <w:vertAlign w:val="superscript"/>
        </w:rPr>
        <w:t>th</w:t>
      </w:r>
      <w:r w:rsidRPr="00062864">
        <w:rPr>
          <w:rFonts w:cs="Times New Roman"/>
          <w:i/>
          <w:iCs/>
          <w:sz w:val="16"/>
          <w:szCs w:val="16"/>
        </w:rPr>
        <w:t xml:space="preserve"> Prolongation of the Credit Union Resolution Scheme 2020-2021, </w:t>
      </w:r>
      <w:r w:rsidRPr="00215C96">
        <w:rPr>
          <w:rFonts w:cs="Times New Roman"/>
          <w:sz w:val="16"/>
          <w:szCs w:val="16"/>
        </w:rPr>
        <w:t>OJ C 240, 18.6.2021, p.1.</w:t>
      </w:r>
    </w:p>
  </w:footnote>
  <w:footnote w:id="104">
    <w:p w14:paraId="6C597474" w14:textId="77777777" w:rsidR="001C1ABD" w:rsidRPr="00215C96" w:rsidRDefault="001C1ABD" w:rsidP="00815E36">
      <w:pPr>
        <w:pStyle w:val="FootnoteText"/>
        <w:rPr>
          <w:rFonts w:cs="Times New Roman"/>
          <w:sz w:val="16"/>
          <w:szCs w:val="16"/>
          <w:lang w:val="en-US"/>
        </w:rPr>
      </w:pPr>
      <w:r w:rsidRPr="00215C96">
        <w:rPr>
          <w:rStyle w:val="FootnoteReference"/>
          <w:rFonts w:cs="Times New Roman"/>
          <w:sz w:val="16"/>
          <w:szCs w:val="16"/>
        </w:rPr>
        <w:footnoteRef/>
      </w:r>
      <w:r w:rsidRPr="00215C96">
        <w:rPr>
          <w:rFonts w:cs="Times New Roman"/>
          <w:sz w:val="16"/>
          <w:szCs w:val="16"/>
        </w:rPr>
        <w:t xml:space="preserve"> Case SA.58478, </w:t>
      </w:r>
      <w:r w:rsidRPr="00947B7D">
        <w:rPr>
          <w:rFonts w:cs="Times New Roman"/>
          <w:i/>
          <w:iCs/>
          <w:sz w:val="16"/>
          <w:szCs w:val="16"/>
        </w:rPr>
        <w:t xml:space="preserve">Denmark – Third prolongation of the winding-up scheme for small banks, </w:t>
      </w:r>
      <w:r w:rsidRPr="00215C96">
        <w:rPr>
          <w:rFonts w:cs="Times New Roman"/>
          <w:sz w:val="16"/>
          <w:szCs w:val="16"/>
          <w:shd w:val="clear" w:color="auto" w:fill="FFFFFF"/>
        </w:rPr>
        <w:t>OJ C 60, 19.2.</w:t>
      </w:r>
      <w:r w:rsidRPr="00215C96">
        <w:rPr>
          <w:rFonts w:cs="Times New Roman"/>
          <w:sz w:val="16"/>
          <w:szCs w:val="16"/>
          <w:shd w:val="clear" w:color="auto" w:fill="FFFFFF"/>
          <w:lang w:val="en-US"/>
        </w:rPr>
        <w:t>2021, p.1.</w:t>
      </w:r>
    </w:p>
  </w:footnote>
  <w:footnote w:id="105">
    <w:p w14:paraId="3ED5812C" w14:textId="77777777" w:rsidR="001C1ABD" w:rsidRPr="00215C96" w:rsidRDefault="001C1ABD" w:rsidP="00815E36">
      <w:pPr>
        <w:pStyle w:val="FootnoteText"/>
        <w:rPr>
          <w:rFonts w:cs="Times New Roman"/>
          <w:sz w:val="16"/>
          <w:szCs w:val="16"/>
          <w:lang w:val="en-US"/>
        </w:rPr>
      </w:pPr>
      <w:r w:rsidRPr="00215C96">
        <w:rPr>
          <w:rStyle w:val="FootnoteReference"/>
          <w:rFonts w:cs="Times New Roman"/>
          <w:sz w:val="16"/>
          <w:szCs w:val="16"/>
        </w:rPr>
        <w:footnoteRef/>
      </w:r>
      <w:r w:rsidRPr="00215C96">
        <w:rPr>
          <w:rFonts w:cs="Times New Roman"/>
          <w:sz w:val="16"/>
          <w:szCs w:val="16"/>
          <w:lang w:val="en-US"/>
        </w:rPr>
        <w:t xml:space="preserve"> Case SA.59030, </w:t>
      </w:r>
      <w:r w:rsidRPr="00947B7D">
        <w:rPr>
          <w:rFonts w:cs="Times New Roman"/>
          <w:i/>
          <w:iCs/>
          <w:sz w:val="16"/>
          <w:szCs w:val="16"/>
          <w:lang w:val="en-US"/>
        </w:rPr>
        <w:t xml:space="preserve">Greece – Prolongation of the Liquidity Guarantee Scheme for banks, </w:t>
      </w:r>
      <w:r w:rsidRPr="00215C96">
        <w:rPr>
          <w:rFonts w:cs="Times New Roman"/>
          <w:sz w:val="16"/>
          <w:szCs w:val="16"/>
          <w:lang w:val="en-US"/>
        </w:rPr>
        <w:t>OJ C 144, 23.4.2021, p.1.</w:t>
      </w:r>
    </w:p>
  </w:footnote>
  <w:footnote w:id="106">
    <w:p w14:paraId="1FC958B7" w14:textId="77777777" w:rsidR="001C1ABD" w:rsidRPr="00215C96" w:rsidRDefault="001C1ABD" w:rsidP="00815E36">
      <w:pPr>
        <w:pStyle w:val="FootnoteText"/>
        <w:rPr>
          <w:rFonts w:cs="Times New Roman"/>
          <w:sz w:val="16"/>
          <w:szCs w:val="16"/>
          <w:lang w:val="en-US"/>
        </w:rPr>
      </w:pPr>
      <w:r w:rsidRPr="00215C96">
        <w:rPr>
          <w:rStyle w:val="FootnoteReference"/>
          <w:rFonts w:cs="Times New Roman"/>
          <w:sz w:val="16"/>
          <w:szCs w:val="16"/>
        </w:rPr>
        <w:footnoteRef/>
      </w:r>
      <w:r w:rsidRPr="00215C96">
        <w:rPr>
          <w:rFonts w:cs="Times New Roman"/>
          <w:sz w:val="16"/>
          <w:szCs w:val="16"/>
          <w:lang w:val="en-US"/>
        </w:rPr>
        <w:t xml:space="preserve"> Case SA.62242, </w:t>
      </w:r>
      <w:r w:rsidRPr="00947B7D">
        <w:rPr>
          <w:rFonts w:cs="Times New Roman"/>
          <w:i/>
          <w:iCs/>
          <w:sz w:val="16"/>
          <w:szCs w:val="16"/>
          <w:lang w:val="en-US"/>
        </w:rPr>
        <w:t xml:space="preserve">Greece – Prolongation of the Hercules scheme, </w:t>
      </w:r>
      <w:r w:rsidRPr="00215C96">
        <w:rPr>
          <w:rFonts w:cs="Times New Roman"/>
          <w:sz w:val="16"/>
          <w:szCs w:val="16"/>
          <w:shd w:val="clear" w:color="auto" w:fill="FFFFFF"/>
        </w:rPr>
        <w:t>OJ C 214, 4.6.2021, p.1.</w:t>
      </w:r>
    </w:p>
  </w:footnote>
  <w:footnote w:id="107">
    <w:p w14:paraId="0A5D3542" w14:textId="77777777" w:rsidR="001C1ABD" w:rsidRPr="00215C96" w:rsidRDefault="001C1ABD" w:rsidP="00815E36">
      <w:pPr>
        <w:pStyle w:val="FootnoteText"/>
        <w:rPr>
          <w:rFonts w:cs="Times New Roman"/>
          <w:sz w:val="16"/>
          <w:szCs w:val="16"/>
          <w:lang w:val="en-IE"/>
        </w:rPr>
      </w:pPr>
      <w:r w:rsidRPr="00215C96">
        <w:rPr>
          <w:rStyle w:val="FootnoteReference"/>
          <w:rFonts w:cs="Times New Roman"/>
          <w:sz w:val="16"/>
          <w:szCs w:val="16"/>
        </w:rPr>
        <w:footnoteRef/>
      </w:r>
      <w:r w:rsidRPr="00215C96">
        <w:rPr>
          <w:rFonts w:cs="Times New Roman"/>
          <w:sz w:val="16"/>
          <w:szCs w:val="16"/>
        </w:rPr>
        <w:t xml:space="preserve"> Case SA.62880, </w:t>
      </w:r>
      <w:r w:rsidRPr="00947B7D">
        <w:rPr>
          <w:rFonts w:cs="Times New Roman"/>
          <w:i/>
          <w:iCs/>
          <w:sz w:val="16"/>
          <w:szCs w:val="16"/>
        </w:rPr>
        <w:t xml:space="preserve">Italy – Fourth prolongation of the Italian guarantee scheme for the securitisation of non-performing loans, </w:t>
      </w:r>
      <w:r w:rsidRPr="00215C96">
        <w:rPr>
          <w:rFonts w:cs="Times New Roman"/>
          <w:sz w:val="16"/>
          <w:szCs w:val="16"/>
          <w:shd w:val="clear" w:color="auto" w:fill="FFFFFF"/>
        </w:rPr>
        <w:t>OJ C 295, 23.7.2021, p.1.</w:t>
      </w:r>
    </w:p>
  </w:footnote>
  <w:footnote w:id="108">
    <w:p w14:paraId="34D0D11C" w14:textId="77777777" w:rsidR="001C1ABD" w:rsidRPr="00215C96" w:rsidRDefault="001C1ABD" w:rsidP="00CF60EB">
      <w:pPr>
        <w:pStyle w:val="FootnoteText"/>
        <w:rPr>
          <w:rFonts w:cs="Times New Roman"/>
          <w:sz w:val="16"/>
          <w:szCs w:val="16"/>
          <w:lang w:val="en-US"/>
        </w:rPr>
      </w:pPr>
      <w:r w:rsidRPr="00215C96">
        <w:rPr>
          <w:rStyle w:val="FootnoteReference"/>
          <w:rFonts w:cs="Times New Roman"/>
          <w:sz w:val="16"/>
          <w:szCs w:val="16"/>
        </w:rPr>
        <w:footnoteRef/>
      </w:r>
      <w:r w:rsidRPr="00215C96">
        <w:rPr>
          <w:rFonts w:cs="Times New Roman"/>
          <w:sz w:val="16"/>
          <w:szCs w:val="16"/>
          <w:lang w:val="en-US"/>
        </w:rPr>
        <w:t xml:space="preserve"> Case SA.63005, </w:t>
      </w:r>
      <w:r w:rsidRPr="00947B7D">
        <w:rPr>
          <w:rFonts w:cs="Times New Roman"/>
          <w:i/>
          <w:iCs/>
          <w:sz w:val="16"/>
          <w:szCs w:val="16"/>
          <w:lang w:val="en-US"/>
        </w:rPr>
        <w:t>Cyprus – Scheme for the management of loans granted Cyprus under Government Housing Plans (OIKIA Scheme),</w:t>
      </w:r>
      <w:r w:rsidRPr="004155ED">
        <w:rPr>
          <w:rFonts w:cs="Times New Roman"/>
          <w:i/>
          <w:iCs/>
          <w:sz w:val="16"/>
          <w:szCs w:val="16"/>
          <w:lang w:val="en-US"/>
        </w:rPr>
        <w:t xml:space="preserve"> </w:t>
      </w:r>
      <w:r w:rsidRPr="00215C96">
        <w:rPr>
          <w:rFonts w:cs="Times New Roman"/>
          <w:sz w:val="16"/>
          <w:szCs w:val="16"/>
          <w:lang w:val="en-US"/>
        </w:rPr>
        <w:t>OJ C 366, 10.9.2021, p.1.</w:t>
      </w:r>
    </w:p>
  </w:footnote>
  <w:footnote w:id="109">
    <w:p w14:paraId="49F2F87C" w14:textId="77777777" w:rsidR="001C1ABD" w:rsidRPr="00215C96" w:rsidRDefault="001C1ABD" w:rsidP="00CF60EB">
      <w:pPr>
        <w:pStyle w:val="FootnoteText"/>
        <w:rPr>
          <w:rFonts w:cs="Times New Roman"/>
          <w:sz w:val="16"/>
          <w:szCs w:val="16"/>
          <w:lang w:val="en-US"/>
        </w:rPr>
      </w:pPr>
      <w:r w:rsidRPr="00215C96">
        <w:rPr>
          <w:rStyle w:val="FootnoteReference"/>
          <w:rFonts w:cs="Times New Roman"/>
          <w:sz w:val="16"/>
          <w:szCs w:val="16"/>
        </w:rPr>
        <w:footnoteRef/>
      </w:r>
      <w:r>
        <w:rPr>
          <w:rFonts w:cs="Times New Roman"/>
          <w:sz w:val="16"/>
          <w:szCs w:val="16"/>
          <w:lang w:val="en-US"/>
        </w:rPr>
        <w:t xml:space="preserve"> Case SA.100197,</w:t>
      </w:r>
      <w:r w:rsidRPr="00215C96">
        <w:rPr>
          <w:rFonts w:cs="Times New Roman"/>
          <w:sz w:val="16"/>
          <w:szCs w:val="16"/>
          <w:lang w:val="en-US"/>
        </w:rPr>
        <w:t xml:space="preserve"> </w:t>
      </w:r>
      <w:r w:rsidRPr="00947B7D">
        <w:rPr>
          <w:rFonts w:cs="Times New Roman"/>
          <w:i/>
          <w:iCs/>
          <w:sz w:val="16"/>
          <w:szCs w:val="16"/>
          <w:lang w:val="en-US"/>
        </w:rPr>
        <w:t>Greece - Extension of SA.58555 "Temporary primary residence protection scheme"</w:t>
      </w:r>
      <w:r w:rsidRPr="002938F2">
        <w:rPr>
          <w:rFonts w:cs="Times New Roman"/>
          <w:sz w:val="16"/>
          <w:szCs w:val="16"/>
          <w:lang w:val="en-US"/>
        </w:rPr>
        <w:t>. The official version of the decision is not yet published</w:t>
      </w:r>
      <w:r>
        <w:rPr>
          <w:rFonts w:cs="Times New Roman"/>
          <w:sz w:val="16"/>
          <w:szCs w:val="16"/>
          <w:lang w:val="en-US"/>
        </w:rPr>
        <w:t>.</w:t>
      </w:r>
      <w:r w:rsidRPr="002938F2">
        <w:rPr>
          <w:rFonts w:cs="Times New Roman"/>
          <w:sz w:val="16"/>
          <w:szCs w:val="16"/>
          <w:lang w:val="en-US"/>
        </w:rPr>
        <w:t xml:space="preserve"> </w:t>
      </w:r>
      <w:r w:rsidRPr="00215C96">
        <w:rPr>
          <w:rFonts w:cs="Times New Roman"/>
          <w:sz w:val="16"/>
          <w:szCs w:val="16"/>
          <w:lang w:val="en-US"/>
        </w:rPr>
        <w:t>The official version of the decision is not yet published. See: https://ec.europa.eu/competition/elojade/isef/index.cfm?fuseaction=dsp_result&amp;policy_area_id=1,2,3</w:t>
      </w:r>
    </w:p>
  </w:footnote>
  <w:footnote w:id="110">
    <w:p w14:paraId="09339AAC" w14:textId="137544B4" w:rsidR="001C1ABD" w:rsidRPr="000F147F" w:rsidRDefault="001C1ABD">
      <w:pPr>
        <w:pStyle w:val="FootnoteText"/>
        <w:rPr>
          <w:sz w:val="16"/>
          <w:szCs w:val="16"/>
          <w:lang w:val="fr-BE"/>
        </w:rPr>
      </w:pPr>
      <w:r w:rsidRPr="00215C96">
        <w:rPr>
          <w:rStyle w:val="FootnoteReference"/>
          <w:rFonts w:cs="Times New Roman"/>
          <w:sz w:val="16"/>
          <w:szCs w:val="16"/>
        </w:rPr>
        <w:footnoteRef/>
      </w:r>
      <w:r w:rsidRPr="00947B7D">
        <w:rPr>
          <w:sz w:val="16"/>
          <w:szCs w:val="16"/>
          <w:lang w:val="fr-BE"/>
        </w:rPr>
        <w:t xml:space="preserve"> Case SA.</w:t>
      </w:r>
      <w:r w:rsidRPr="004155ED">
        <w:rPr>
          <w:rStyle w:val="markedcontent"/>
          <w:sz w:val="16"/>
          <w:szCs w:val="16"/>
          <w:lang w:val="fr-BE"/>
        </w:rPr>
        <w:t>59985</w:t>
      </w:r>
      <w:r w:rsidRPr="004155ED">
        <w:rPr>
          <w:color w:val="000000"/>
          <w:sz w:val="16"/>
          <w:szCs w:val="16"/>
          <w:lang w:val="fr-BE"/>
        </w:rPr>
        <w:t xml:space="preserve">, </w:t>
      </w:r>
      <w:r w:rsidRPr="00062864">
        <w:rPr>
          <w:rFonts w:cs="Times New Roman"/>
          <w:i/>
          <w:iCs/>
          <w:color w:val="000000"/>
          <w:sz w:val="16"/>
          <w:szCs w:val="16"/>
          <w:lang w:val="fr-BE"/>
        </w:rPr>
        <w:t>France - Modification de la décision Aide d’État SA. 55869 (2019/N) : Dispositif IR-PME pour les investissements dans les FCPI et FIP,</w:t>
      </w:r>
      <w:r>
        <w:rPr>
          <w:rFonts w:cs="Times New Roman"/>
          <w:color w:val="000000"/>
          <w:sz w:val="16"/>
          <w:szCs w:val="16"/>
          <w:lang w:val="fr-BE"/>
        </w:rPr>
        <w:t xml:space="preserve"> </w:t>
      </w:r>
      <w:r w:rsidRPr="00947B7D">
        <w:rPr>
          <w:color w:val="000000"/>
          <w:sz w:val="16"/>
          <w:szCs w:val="16"/>
          <w:lang w:val="fr-BE"/>
        </w:rPr>
        <w:t>OJ</w:t>
      </w:r>
      <w:r>
        <w:rPr>
          <w:color w:val="000000"/>
          <w:sz w:val="16"/>
          <w:szCs w:val="16"/>
          <w:lang w:val="fr-BE"/>
        </w:rPr>
        <w:t xml:space="preserve"> </w:t>
      </w:r>
      <w:r w:rsidRPr="00947B7D">
        <w:rPr>
          <w:color w:val="000000"/>
          <w:sz w:val="16"/>
          <w:szCs w:val="16"/>
          <w:lang w:val="fr-BE"/>
        </w:rPr>
        <w:t>C 1</w:t>
      </w:r>
      <w:r w:rsidRPr="004155ED">
        <w:rPr>
          <w:color w:val="000000"/>
          <w:sz w:val="16"/>
          <w:szCs w:val="16"/>
          <w:lang w:val="fr-BE"/>
        </w:rPr>
        <w:t>95, 21.5.2021, p.1.</w:t>
      </w:r>
    </w:p>
  </w:footnote>
  <w:footnote w:id="111">
    <w:p w14:paraId="1BC161FF" w14:textId="77777777" w:rsidR="001C1ABD" w:rsidRPr="00215C96" w:rsidRDefault="001C1ABD" w:rsidP="00231735">
      <w:pPr>
        <w:pStyle w:val="FootnoteText"/>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Case</w:t>
      </w:r>
      <w:r>
        <w:rPr>
          <w:rFonts w:cs="Times New Roman"/>
          <w:sz w:val="16"/>
          <w:szCs w:val="16"/>
        </w:rPr>
        <w:t xml:space="preserve"> </w:t>
      </w:r>
      <w:r w:rsidRPr="00215C96">
        <w:rPr>
          <w:rFonts w:cs="Times New Roman"/>
          <w:sz w:val="16"/>
          <w:szCs w:val="16"/>
        </w:rPr>
        <w:t xml:space="preserve">SA.60632, </w:t>
      </w:r>
      <w:r w:rsidRPr="00947B7D">
        <w:rPr>
          <w:rFonts w:cs="Times New Roman"/>
          <w:i/>
          <w:iCs/>
          <w:sz w:val="16"/>
          <w:szCs w:val="16"/>
        </w:rPr>
        <w:t>Lithuania - COVID-19 - Deferral of tax payments</w:t>
      </w:r>
      <w:r>
        <w:rPr>
          <w:rFonts w:cs="Times New Roman"/>
          <w:sz w:val="16"/>
          <w:szCs w:val="16"/>
        </w:rPr>
        <w:t>,</w:t>
      </w:r>
      <w:r w:rsidRPr="00947B34">
        <w:rPr>
          <w:rFonts w:cs="Times New Roman"/>
          <w:sz w:val="16"/>
          <w:szCs w:val="16"/>
        </w:rPr>
        <w:t xml:space="preserve"> </w:t>
      </w:r>
      <w:r w:rsidRPr="00215C96">
        <w:rPr>
          <w:rFonts w:cs="Times New Roman"/>
          <w:sz w:val="16"/>
          <w:szCs w:val="16"/>
        </w:rPr>
        <w:t>OJ C 41, 5.2.2021, p.1.</w:t>
      </w:r>
    </w:p>
  </w:footnote>
  <w:footnote w:id="112">
    <w:p w14:paraId="64D93F3D" w14:textId="77777777" w:rsidR="001C1ABD" w:rsidRPr="00215C96" w:rsidRDefault="001C1ABD">
      <w:pPr>
        <w:pStyle w:val="FootnoteText"/>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Commission Decision (EU) 2019/700 of 19 December 2018 on the State Aid SA.34914 (2013/C) implemented by the United Kingdom as regards the Gibraltar Corporate Income Tax Regime, C/2018/7848, OJ L 119, 7.5.2019, pp. 151–20.</w:t>
      </w:r>
    </w:p>
  </w:footnote>
  <w:footnote w:id="113">
    <w:p w14:paraId="7D5BEB90" w14:textId="77777777" w:rsidR="001C1ABD" w:rsidRPr="00215C96" w:rsidRDefault="001C1ABD" w:rsidP="003F76A1">
      <w:pPr>
        <w:pStyle w:val="FootnoteText"/>
        <w:jc w:val="both"/>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This case relates to facts that took place </w:t>
      </w:r>
      <w:r>
        <w:rPr>
          <w:rFonts w:cs="Times New Roman"/>
          <w:sz w:val="16"/>
          <w:szCs w:val="16"/>
        </w:rPr>
        <w:t>prior to</w:t>
      </w:r>
      <w:r w:rsidRPr="00215C96">
        <w:rPr>
          <w:rFonts w:cs="Times New Roman"/>
          <w:sz w:val="16"/>
          <w:szCs w:val="16"/>
        </w:rPr>
        <w:t xml:space="preserve"> the United Kingdom's withdrawal from the European Union.</w:t>
      </w:r>
    </w:p>
  </w:footnote>
  <w:footnote w:id="114">
    <w:p w14:paraId="4A68DC70" w14:textId="77777777" w:rsidR="001C1ABD" w:rsidRPr="00215C96" w:rsidRDefault="001C1ABD">
      <w:pPr>
        <w:pStyle w:val="FootnoteText"/>
        <w:rPr>
          <w:rFonts w:cs="Times New Roman"/>
          <w:sz w:val="16"/>
          <w:szCs w:val="16"/>
          <w:lang w:val="en-IE"/>
        </w:rPr>
      </w:pPr>
      <w:r w:rsidRPr="00215C96">
        <w:rPr>
          <w:rStyle w:val="FootnoteReference"/>
          <w:rFonts w:cs="Times New Roman"/>
          <w:sz w:val="16"/>
          <w:szCs w:val="16"/>
        </w:rPr>
        <w:footnoteRef/>
      </w:r>
      <w:r w:rsidRPr="00215C96">
        <w:rPr>
          <w:rFonts w:cs="Times New Roman"/>
          <w:sz w:val="16"/>
          <w:szCs w:val="16"/>
        </w:rPr>
        <w:t xml:space="preserve"> Communication from the Commission: Temporary framework for State aid measures to support the economy in the current COVID-19 outbreak (OJ C 91I, 20.3.2020, p. 1), as amended by Commission Communications C(2020) 2215 (OJ C 112I, 4.4.2020, p. 1), C(2020) 3156 (OJ C 164, 13.5.2020, p. 3), C(2020) 4509 (OJ C 218, 2.7.2020, p. 3), C(2020) 7127 (OJ C 340I, 13.10.2020, p. 1), C(2021) 564 (OJ C 34, 1.2.2021, p. 6) and C(2021) 8442 (OJ C 473, 24.11.2021, p. 1).</w:t>
      </w:r>
    </w:p>
  </w:footnote>
  <w:footnote w:id="115">
    <w:p w14:paraId="33DD8889" w14:textId="77777777" w:rsidR="001C1ABD" w:rsidRPr="006900E2" w:rsidRDefault="001C1ABD">
      <w:pPr>
        <w:pStyle w:val="FootnoteText"/>
        <w:rPr>
          <w:sz w:val="16"/>
          <w:szCs w:val="16"/>
        </w:rPr>
      </w:pPr>
      <w:r w:rsidRPr="00215C96">
        <w:rPr>
          <w:rStyle w:val="FootnoteReference"/>
          <w:rFonts w:cs="Times New Roman"/>
          <w:sz w:val="16"/>
          <w:szCs w:val="16"/>
        </w:rPr>
        <w:footnoteRef/>
      </w:r>
      <w:r w:rsidRPr="00947B7D">
        <w:rPr>
          <w:sz w:val="16"/>
          <w:szCs w:val="16"/>
          <w:lang w:val="en-US"/>
        </w:rPr>
        <w:t xml:space="preserve"> Case SA.63123, </w:t>
      </w:r>
      <w:r w:rsidRPr="004155ED">
        <w:rPr>
          <w:rFonts w:cs="Times New Roman"/>
          <w:i/>
          <w:iCs/>
          <w:sz w:val="16"/>
          <w:szCs w:val="16"/>
          <w:lang w:val="en-US"/>
        </w:rPr>
        <w:t>Greece - COVID-19: Support to tourism sector</w:t>
      </w:r>
      <w:r>
        <w:rPr>
          <w:rFonts w:cs="Times New Roman"/>
          <w:sz w:val="16"/>
          <w:szCs w:val="16"/>
          <w:lang w:val="en-US"/>
        </w:rPr>
        <w:t>,</w:t>
      </w:r>
      <w:r w:rsidRPr="00FE5D8E">
        <w:rPr>
          <w:rFonts w:cs="Times New Roman"/>
          <w:sz w:val="16"/>
          <w:szCs w:val="16"/>
          <w:lang w:val="en-US"/>
        </w:rPr>
        <w:t xml:space="preserve"> </w:t>
      </w:r>
      <w:r w:rsidRPr="00947B7D">
        <w:rPr>
          <w:sz w:val="16"/>
          <w:szCs w:val="16"/>
          <w:lang w:val="en-US"/>
        </w:rPr>
        <w:t xml:space="preserve">OJ C 223, 11.6. </w:t>
      </w:r>
      <w:r w:rsidRPr="004155ED">
        <w:rPr>
          <w:sz w:val="16"/>
          <w:szCs w:val="16"/>
        </w:rPr>
        <w:t>2021, p.1.</w:t>
      </w:r>
    </w:p>
  </w:footnote>
  <w:footnote w:id="116">
    <w:p w14:paraId="49ACF5CB" w14:textId="77777777" w:rsidR="001C1ABD" w:rsidRPr="00215C96" w:rsidRDefault="001C1ABD" w:rsidP="00ED40F1">
      <w:pPr>
        <w:pStyle w:val="FootnoteText"/>
        <w:rPr>
          <w:rFonts w:cs="Times New Roman"/>
          <w:sz w:val="16"/>
          <w:szCs w:val="16"/>
        </w:rPr>
      </w:pPr>
      <w:r w:rsidRPr="00215C96">
        <w:rPr>
          <w:rStyle w:val="FootnoteReference"/>
          <w:rFonts w:cs="Times New Roman"/>
          <w:sz w:val="16"/>
          <w:szCs w:val="16"/>
        </w:rPr>
        <w:footnoteRef/>
      </w:r>
      <w:r w:rsidRPr="00FE5D8E">
        <w:rPr>
          <w:rFonts w:cs="Times New Roman"/>
          <w:sz w:val="16"/>
          <w:szCs w:val="16"/>
          <w:lang w:val="en-US"/>
        </w:rPr>
        <w:t xml:space="preserve"> Case</w:t>
      </w:r>
      <w:r w:rsidRPr="00947B7D">
        <w:rPr>
          <w:sz w:val="16"/>
          <w:szCs w:val="16"/>
          <w:lang w:val="en-US"/>
        </w:rPr>
        <w:t xml:space="preserve"> SA.62668</w:t>
      </w:r>
      <w:r>
        <w:rPr>
          <w:rFonts w:cs="Times New Roman"/>
          <w:sz w:val="16"/>
          <w:szCs w:val="16"/>
          <w:lang w:val="en-US"/>
        </w:rPr>
        <w:t>,</w:t>
      </w:r>
      <w:r w:rsidRPr="00FE5D8E">
        <w:rPr>
          <w:rFonts w:cs="Times New Roman"/>
          <w:sz w:val="16"/>
          <w:szCs w:val="16"/>
          <w:lang w:val="en-US"/>
        </w:rPr>
        <w:t xml:space="preserve"> </w:t>
      </w:r>
      <w:r w:rsidRPr="00947B7D">
        <w:rPr>
          <w:rFonts w:cs="Times New Roman"/>
          <w:i/>
          <w:iCs/>
          <w:sz w:val="16"/>
          <w:szCs w:val="16"/>
          <w:lang w:val="en-US"/>
        </w:rPr>
        <w:t>Italy - COVID-19 - IT - Automatic tax measures and non-repayable grants</w:t>
      </w:r>
      <w:r>
        <w:rPr>
          <w:rFonts w:cs="Times New Roman"/>
          <w:sz w:val="16"/>
          <w:szCs w:val="16"/>
        </w:rPr>
        <w:t>.</w:t>
      </w:r>
      <w:r w:rsidRPr="00947B7D">
        <w:rPr>
          <w:sz w:val="16"/>
          <w:szCs w:val="16"/>
        </w:rPr>
        <w:t xml:space="preserve"> </w:t>
      </w:r>
      <w:r w:rsidRPr="00215C96">
        <w:rPr>
          <w:rFonts w:cs="Times New Roman"/>
          <w:sz w:val="16"/>
          <w:szCs w:val="16"/>
        </w:rPr>
        <w:t>The decision was adopted under Articles 106(2), 107(2)(a),</w:t>
      </w:r>
      <w:r>
        <w:rPr>
          <w:rFonts w:cs="Times New Roman"/>
          <w:sz w:val="16"/>
          <w:szCs w:val="16"/>
        </w:rPr>
        <w:t xml:space="preserve"> 107(2)(b) and 107(2)(c) TFEU.</w:t>
      </w:r>
      <w:r w:rsidRPr="00215C96">
        <w:rPr>
          <w:rFonts w:cs="Times New Roman"/>
          <w:sz w:val="16"/>
          <w:szCs w:val="16"/>
        </w:rPr>
        <w:t xml:space="preserve"> See: https://ec.europa.eu/competition/elojade/isef/index.cfm?fuseaction=dsp_result&amp;policy_area_id=3</w:t>
      </w:r>
    </w:p>
  </w:footnote>
  <w:footnote w:id="117">
    <w:p w14:paraId="1FAAD4B5" w14:textId="77777777" w:rsidR="001C1ABD" w:rsidRPr="006900E2" w:rsidRDefault="001C1ABD" w:rsidP="0070479F">
      <w:pPr>
        <w:pStyle w:val="FootnoteText"/>
        <w:jc w:val="both"/>
        <w:rPr>
          <w:sz w:val="16"/>
          <w:szCs w:val="16"/>
          <w:lang w:val="fr-BE"/>
        </w:rPr>
      </w:pPr>
      <w:r w:rsidRPr="00215C96">
        <w:rPr>
          <w:rStyle w:val="FootnoteReference"/>
          <w:rFonts w:cs="Times New Roman"/>
          <w:sz w:val="16"/>
          <w:szCs w:val="16"/>
        </w:rPr>
        <w:footnoteRef/>
      </w:r>
      <w:r w:rsidRPr="00947B7D">
        <w:rPr>
          <w:sz w:val="16"/>
          <w:szCs w:val="16"/>
          <w:lang w:val="fr-BE"/>
        </w:rPr>
        <w:t xml:space="preserve"> Case SA.58639, </w:t>
      </w:r>
      <w:r w:rsidRPr="004155ED">
        <w:rPr>
          <w:rFonts w:cs="Times New Roman"/>
          <w:i/>
          <w:iCs/>
          <w:sz w:val="16"/>
          <w:szCs w:val="16"/>
          <w:lang w:val="fr-BE"/>
        </w:rPr>
        <w:t>France - COVID-19: Dispositif de garantie aux fonds de prêts participatifs et d'obligations subordonnées</w:t>
      </w:r>
      <w:r w:rsidRPr="00D61B6B">
        <w:rPr>
          <w:rFonts w:cs="Times New Roman"/>
          <w:sz w:val="16"/>
          <w:szCs w:val="16"/>
          <w:lang w:val="fr-BE"/>
        </w:rPr>
        <w:t xml:space="preserve">, </w:t>
      </w:r>
      <w:r w:rsidRPr="00947B7D">
        <w:rPr>
          <w:sz w:val="16"/>
          <w:szCs w:val="16"/>
          <w:lang w:val="fr-BE"/>
        </w:rPr>
        <w:t>OJ C 84, 12.3.2021, p.1.</w:t>
      </w:r>
    </w:p>
  </w:footnote>
  <w:footnote w:id="118">
    <w:p w14:paraId="24BB089E" w14:textId="77777777" w:rsidR="001C1ABD" w:rsidRPr="00215C96" w:rsidRDefault="001C1ABD">
      <w:pPr>
        <w:pStyle w:val="FootnoteText"/>
        <w:rPr>
          <w:rFonts w:cs="Times New Roman"/>
          <w:sz w:val="16"/>
          <w:szCs w:val="16"/>
          <w:lang w:val="en-IE"/>
        </w:rPr>
      </w:pPr>
      <w:r w:rsidRPr="00215C96">
        <w:rPr>
          <w:rStyle w:val="FootnoteReference"/>
          <w:rFonts w:cs="Times New Roman"/>
          <w:sz w:val="16"/>
          <w:szCs w:val="16"/>
        </w:rPr>
        <w:footnoteRef/>
      </w:r>
      <w:r w:rsidRPr="00215C96">
        <w:rPr>
          <w:rFonts w:cs="Times New Roman"/>
          <w:sz w:val="16"/>
          <w:szCs w:val="16"/>
        </w:rPr>
        <w:t xml:space="preserve"> </w:t>
      </w:r>
      <w:r w:rsidRPr="00215C96">
        <w:rPr>
          <w:rFonts w:eastAsia="Times New Roman" w:cs="Times New Roman"/>
          <w:sz w:val="16"/>
          <w:szCs w:val="16"/>
        </w:rPr>
        <w:t>Consisting of the European Investment Bank, “EIB” and the European Investment Fund, “EIF”.</w:t>
      </w:r>
    </w:p>
  </w:footnote>
  <w:footnote w:id="119">
    <w:p w14:paraId="36466C04" w14:textId="77777777" w:rsidR="001C1ABD" w:rsidRPr="006900E2" w:rsidRDefault="001C1ABD">
      <w:pPr>
        <w:pStyle w:val="FootnoteText"/>
        <w:jc w:val="both"/>
        <w:rPr>
          <w:sz w:val="16"/>
          <w:szCs w:val="16"/>
          <w:lang w:val="en-US"/>
        </w:rPr>
      </w:pPr>
      <w:r w:rsidRPr="00215C96">
        <w:rPr>
          <w:rStyle w:val="FootnoteReference"/>
          <w:rFonts w:cs="Times New Roman"/>
          <w:sz w:val="16"/>
          <w:szCs w:val="16"/>
        </w:rPr>
        <w:footnoteRef/>
      </w:r>
      <w:r w:rsidRPr="00581364">
        <w:rPr>
          <w:rFonts w:cs="Times New Roman"/>
          <w:sz w:val="16"/>
          <w:szCs w:val="16"/>
          <w:lang w:val="en-US"/>
        </w:rPr>
        <w:t xml:space="preserve"> See Commission press release of 16.8.2021, </w:t>
      </w:r>
      <w:hyperlink r:id="rId21" w:history="1">
        <w:r w:rsidRPr="00AD0C38">
          <w:rPr>
            <w:rStyle w:val="Hyperlink"/>
            <w:rFonts w:cs="Times New Roman"/>
            <w:sz w:val="16"/>
            <w:szCs w:val="16"/>
            <w:lang w:val="en-US"/>
          </w:rPr>
          <w:t>https://ec.europa.eu/commission/presscorner/detail/en/IP_21_4204</w:t>
        </w:r>
      </w:hyperlink>
      <w:r>
        <w:rPr>
          <w:rFonts w:cs="Times New Roman"/>
          <w:sz w:val="16"/>
          <w:szCs w:val="16"/>
          <w:lang w:val="en-US"/>
        </w:rPr>
        <w:t>.</w:t>
      </w:r>
    </w:p>
  </w:footnote>
  <w:footnote w:id="120">
    <w:p w14:paraId="46AAAE65" w14:textId="4E27D747" w:rsidR="001C1ABD" w:rsidRPr="00215C96" w:rsidRDefault="001C1ABD" w:rsidP="0070479F">
      <w:pPr>
        <w:pStyle w:val="FootnoteText"/>
        <w:jc w:val="both"/>
        <w:rPr>
          <w:rFonts w:cs="Times New Roman"/>
          <w:sz w:val="16"/>
          <w:szCs w:val="16"/>
          <w:lang w:val="en-IE"/>
        </w:rPr>
      </w:pPr>
      <w:r w:rsidRPr="00215C96">
        <w:rPr>
          <w:rStyle w:val="FootnoteReference"/>
          <w:rFonts w:cs="Times New Roman"/>
          <w:sz w:val="16"/>
          <w:szCs w:val="16"/>
        </w:rPr>
        <w:footnoteRef/>
      </w:r>
      <w:r w:rsidRPr="00215C96">
        <w:rPr>
          <w:rFonts w:cs="Times New Roman"/>
          <w:sz w:val="16"/>
          <w:szCs w:val="16"/>
        </w:rPr>
        <w:t xml:space="preserve"> For example, a damage caused by quarantine measures precluding the beneficiary from operating its economic activity. Other kind</w:t>
      </w:r>
      <w:r>
        <w:rPr>
          <w:rFonts w:cs="Times New Roman"/>
          <w:sz w:val="16"/>
          <w:szCs w:val="16"/>
        </w:rPr>
        <w:t>s</w:t>
      </w:r>
      <w:r w:rsidRPr="00215C96">
        <w:rPr>
          <w:rFonts w:cs="Times New Roman"/>
          <w:sz w:val="16"/>
          <w:szCs w:val="16"/>
        </w:rPr>
        <w:t xml:space="preserve"> of aid, addressing more generally the economic downturn from the coronavirus </w:t>
      </w:r>
      <w:r>
        <w:rPr>
          <w:rFonts w:cs="Times New Roman"/>
          <w:sz w:val="16"/>
          <w:szCs w:val="16"/>
        </w:rPr>
        <w:t>pandemic</w:t>
      </w:r>
      <w:r w:rsidRPr="00215C96">
        <w:rPr>
          <w:rFonts w:cs="Times New Roman"/>
          <w:sz w:val="16"/>
          <w:szCs w:val="16"/>
        </w:rPr>
        <w:t>, is to be evaluated under the compatibility principles set out in Article 107(3)(b) TFEU and the Temporary Framework</w:t>
      </w:r>
      <w:r>
        <w:rPr>
          <w:rFonts w:cs="Times New Roman"/>
          <w:sz w:val="16"/>
          <w:szCs w:val="16"/>
        </w:rPr>
        <w:t xml:space="preserve"> for State aid measures</w:t>
      </w:r>
      <w:r w:rsidRPr="00215C96">
        <w:rPr>
          <w:rFonts w:cs="Times New Roman"/>
          <w:sz w:val="16"/>
          <w:szCs w:val="16"/>
        </w:rPr>
        <w:t>.</w:t>
      </w:r>
    </w:p>
  </w:footnote>
  <w:footnote w:id="121">
    <w:p w14:paraId="1CF12379" w14:textId="77777777" w:rsidR="001C1ABD" w:rsidRPr="00215C96" w:rsidRDefault="001C1ABD" w:rsidP="00E14A21">
      <w:pPr>
        <w:pStyle w:val="FootnoteText"/>
        <w:rPr>
          <w:rFonts w:cs="Times New Roman"/>
          <w:sz w:val="16"/>
          <w:szCs w:val="16"/>
          <w:lang w:val="en-IE"/>
        </w:rPr>
      </w:pPr>
      <w:r w:rsidRPr="00215C96">
        <w:rPr>
          <w:rStyle w:val="FootnoteReference"/>
          <w:rFonts w:cs="Times New Roman"/>
          <w:sz w:val="16"/>
          <w:szCs w:val="16"/>
        </w:rPr>
        <w:footnoteRef/>
      </w:r>
      <w:r w:rsidRPr="00215C96">
        <w:rPr>
          <w:rFonts w:cs="Times New Roman"/>
          <w:sz w:val="16"/>
          <w:szCs w:val="16"/>
        </w:rPr>
        <w:t xml:space="preserve"> Case SA.60045, </w:t>
      </w:r>
      <w:r w:rsidRPr="00947B7D">
        <w:rPr>
          <w:rFonts w:cs="Times New Roman"/>
          <w:i/>
          <w:iCs/>
          <w:sz w:val="16"/>
          <w:szCs w:val="16"/>
        </w:rPr>
        <w:t>Germany - Novem</w:t>
      </w:r>
      <w:r w:rsidRPr="004155ED">
        <w:rPr>
          <w:rFonts w:cs="Times New Roman"/>
          <w:i/>
          <w:iCs/>
          <w:sz w:val="16"/>
          <w:szCs w:val="16"/>
        </w:rPr>
        <w:t>ber Assistance Extra under Article 107 (2)(b) TFEU-Covid,</w:t>
      </w:r>
      <w:r w:rsidRPr="00D61B6B">
        <w:rPr>
          <w:rFonts w:cs="Times New Roman"/>
          <w:sz w:val="16"/>
          <w:szCs w:val="16"/>
        </w:rPr>
        <w:t xml:space="preserve"> </w:t>
      </w:r>
      <w:r w:rsidRPr="00215C96">
        <w:rPr>
          <w:rFonts w:cs="Times New Roman"/>
          <w:sz w:val="16"/>
          <w:szCs w:val="16"/>
        </w:rPr>
        <w:t xml:space="preserve">OJ C 41, 5.2.2021, p.1. </w:t>
      </w:r>
    </w:p>
  </w:footnote>
  <w:footnote w:id="122">
    <w:p w14:paraId="67B27DA1" w14:textId="39393178" w:rsidR="001C1ABD" w:rsidRPr="00215C96" w:rsidRDefault="001C1ABD" w:rsidP="0070479F">
      <w:pPr>
        <w:pStyle w:val="FootnoteText"/>
        <w:jc w:val="both"/>
        <w:rPr>
          <w:rFonts w:cs="Times New Roman"/>
          <w:sz w:val="16"/>
          <w:szCs w:val="16"/>
          <w:lang w:val="en-US"/>
        </w:rPr>
      </w:pPr>
      <w:r w:rsidRPr="00215C96">
        <w:rPr>
          <w:rStyle w:val="FootnoteReference"/>
          <w:rFonts w:cs="Times New Roman"/>
          <w:sz w:val="16"/>
          <w:szCs w:val="16"/>
        </w:rPr>
        <w:footnoteRef/>
      </w:r>
      <w:r w:rsidRPr="00215C96">
        <w:rPr>
          <w:rFonts w:cs="Times New Roman"/>
          <w:sz w:val="16"/>
          <w:szCs w:val="16"/>
          <w:lang w:val="en-US"/>
        </w:rPr>
        <w:t xml:space="preserve"> Case SA.61945, </w:t>
      </w:r>
      <w:r w:rsidRPr="00947B7D">
        <w:rPr>
          <w:rFonts w:cs="Times New Roman"/>
          <w:i/>
          <w:iCs/>
          <w:sz w:val="16"/>
          <w:szCs w:val="16"/>
          <w:lang w:val="en-US"/>
        </w:rPr>
        <w:t xml:space="preserve">Denmark </w:t>
      </w:r>
      <w:r w:rsidRPr="004155ED">
        <w:rPr>
          <w:rFonts w:cs="Times New Roman"/>
          <w:i/>
          <w:iCs/>
          <w:sz w:val="16"/>
          <w:szCs w:val="16"/>
          <w:lang w:val="en-US"/>
        </w:rPr>
        <w:t>- Aid scheme for mink farmers and related businesses affected by the COVID-19 out-break</w:t>
      </w:r>
      <w:r>
        <w:rPr>
          <w:rFonts w:cs="Times New Roman"/>
          <w:sz w:val="16"/>
          <w:szCs w:val="16"/>
          <w:lang w:val="en-US"/>
        </w:rPr>
        <w:t>,</w:t>
      </w:r>
      <w:r w:rsidRPr="00D61B6B">
        <w:rPr>
          <w:rFonts w:cs="Times New Roman"/>
          <w:sz w:val="16"/>
          <w:szCs w:val="16"/>
          <w:lang w:val="en-US"/>
        </w:rPr>
        <w:t xml:space="preserve"> </w:t>
      </w:r>
      <w:r w:rsidRPr="00215C96">
        <w:rPr>
          <w:rFonts w:cs="Times New Roman"/>
          <w:sz w:val="16"/>
          <w:szCs w:val="16"/>
          <w:lang w:val="en-US"/>
        </w:rPr>
        <w:t>OJ</w:t>
      </w:r>
      <w:r>
        <w:rPr>
          <w:rFonts w:cs="Times New Roman"/>
          <w:sz w:val="16"/>
          <w:szCs w:val="16"/>
          <w:lang w:val="en-US"/>
        </w:rPr>
        <w:t xml:space="preserve"> </w:t>
      </w:r>
      <w:hyperlink w:history="1"/>
      <w:r w:rsidRPr="00215C96">
        <w:rPr>
          <w:rFonts w:cs="Times New Roman"/>
          <w:sz w:val="16"/>
          <w:szCs w:val="16"/>
          <w:lang w:val="en-US"/>
        </w:rPr>
        <w:t>C 195, 21.5.2021, p.1.</w:t>
      </w:r>
    </w:p>
  </w:footnote>
  <w:footnote w:id="123">
    <w:p w14:paraId="458A7F80" w14:textId="77777777" w:rsidR="001C1ABD" w:rsidRPr="00215C96" w:rsidRDefault="001C1ABD" w:rsidP="007A671B">
      <w:pPr>
        <w:pStyle w:val="FootnoteText"/>
        <w:rPr>
          <w:rFonts w:cs="Times New Roman"/>
          <w:sz w:val="16"/>
          <w:szCs w:val="16"/>
          <w:lang w:val="en-IE"/>
        </w:rPr>
      </w:pPr>
      <w:r w:rsidRPr="00215C96">
        <w:rPr>
          <w:rStyle w:val="FootnoteReference"/>
          <w:rFonts w:cs="Times New Roman"/>
          <w:sz w:val="16"/>
          <w:szCs w:val="16"/>
        </w:rPr>
        <w:footnoteRef/>
      </w:r>
      <w:r w:rsidRPr="00215C96">
        <w:rPr>
          <w:rFonts w:cs="Times New Roman"/>
          <w:sz w:val="16"/>
          <w:szCs w:val="16"/>
          <w:lang w:val="en-IE"/>
        </w:rPr>
        <w:t xml:space="preserve"> Case SA.62784, </w:t>
      </w:r>
      <w:r w:rsidRPr="00947B7D">
        <w:rPr>
          <w:rFonts w:cs="Times New Roman"/>
          <w:i/>
          <w:iCs/>
          <w:sz w:val="16"/>
          <w:szCs w:val="16"/>
          <w:lang w:val="en-IE"/>
        </w:rPr>
        <w:t>Germany - Covid-19 - Art. 107 2b Federal Umbrella Scheme</w:t>
      </w:r>
      <w:r>
        <w:rPr>
          <w:rFonts w:cs="Times New Roman"/>
          <w:sz w:val="16"/>
          <w:szCs w:val="16"/>
          <w:lang w:val="en-IE"/>
        </w:rPr>
        <w:t>,</w:t>
      </w:r>
      <w:r w:rsidRPr="00D61B6B">
        <w:rPr>
          <w:rFonts w:cs="Times New Roman"/>
          <w:sz w:val="16"/>
          <w:szCs w:val="16"/>
          <w:lang w:val="en-IE"/>
        </w:rPr>
        <w:t xml:space="preserve"> </w:t>
      </w:r>
      <w:r w:rsidRPr="00215C96">
        <w:rPr>
          <w:rFonts w:cs="Times New Roman"/>
          <w:sz w:val="16"/>
          <w:szCs w:val="16"/>
          <w:lang w:val="en-IE"/>
        </w:rPr>
        <w:t>OJ C 223, 11.6.2021, p.1.</w:t>
      </w:r>
    </w:p>
  </w:footnote>
  <w:footnote w:id="124">
    <w:p w14:paraId="6D4A2E8F" w14:textId="77777777" w:rsidR="001C1ABD" w:rsidRPr="00215C96" w:rsidRDefault="001C1ABD" w:rsidP="00E14A21">
      <w:pPr>
        <w:pStyle w:val="FootnoteText"/>
        <w:rPr>
          <w:rFonts w:cs="Times New Roman"/>
          <w:sz w:val="16"/>
          <w:szCs w:val="16"/>
          <w:lang w:val="en-US"/>
        </w:rPr>
      </w:pPr>
      <w:r w:rsidRPr="00215C96">
        <w:rPr>
          <w:rStyle w:val="FootnoteReference"/>
          <w:rFonts w:cs="Times New Roman"/>
          <w:sz w:val="16"/>
          <w:szCs w:val="16"/>
        </w:rPr>
        <w:footnoteRef/>
      </w:r>
      <w:r w:rsidRPr="00215C96">
        <w:rPr>
          <w:rFonts w:cs="Times New Roman"/>
          <w:sz w:val="16"/>
          <w:szCs w:val="16"/>
          <w:lang w:val="en-US"/>
        </w:rPr>
        <w:t xml:space="preserve"> Case SA.63074, </w:t>
      </w:r>
      <w:r w:rsidRPr="00947B7D">
        <w:rPr>
          <w:rFonts w:cs="Times New Roman"/>
          <w:i/>
          <w:iCs/>
          <w:sz w:val="16"/>
          <w:szCs w:val="16"/>
          <w:lang w:val="en-US"/>
        </w:rPr>
        <w:t>Italy - Da</w:t>
      </w:r>
      <w:r w:rsidRPr="004155ED">
        <w:rPr>
          <w:rFonts w:cs="Times New Roman"/>
          <w:i/>
          <w:iCs/>
          <w:sz w:val="16"/>
          <w:szCs w:val="16"/>
          <w:lang w:val="en-US"/>
        </w:rPr>
        <w:t>mage compensation scheme for airport infrastructure managers and ground handling operators in Italy</w:t>
      </w:r>
      <w:r>
        <w:rPr>
          <w:rFonts w:cs="Times New Roman"/>
          <w:sz w:val="16"/>
          <w:szCs w:val="16"/>
          <w:lang w:val="en-US"/>
        </w:rPr>
        <w:t>,</w:t>
      </w:r>
      <w:r w:rsidRPr="00A0335E">
        <w:rPr>
          <w:rFonts w:cs="Times New Roman"/>
          <w:sz w:val="16"/>
          <w:szCs w:val="16"/>
          <w:lang w:val="en-US"/>
        </w:rPr>
        <w:t xml:space="preserve"> </w:t>
      </w:r>
      <w:r w:rsidRPr="00215C96">
        <w:rPr>
          <w:rFonts w:cs="Times New Roman"/>
          <w:sz w:val="16"/>
          <w:szCs w:val="16"/>
          <w:lang w:val="en-US"/>
        </w:rPr>
        <w:t>OJ C 327, 13.8.2021, p.1.</w:t>
      </w:r>
    </w:p>
  </w:footnote>
  <w:footnote w:id="125">
    <w:p w14:paraId="75CC988E" w14:textId="2B8A4FD9" w:rsidR="001C1ABD" w:rsidRPr="006900E2" w:rsidRDefault="001C1ABD">
      <w:pPr>
        <w:pStyle w:val="FootnoteText"/>
        <w:rPr>
          <w:sz w:val="16"/>
          <w:szCs w:val="16"/>
        </w:rPr>
      </w:pPr>
      <w:r w:rsidRPr="00947B7D">
        <w:rPr>
          <w:rStyle w:val="FootnoteReference"/>
          <w:sz w:val="16"/>
          <w:szCs w:val="16"/>
        </w:rPr>
        <w:footnoteRef/>
      </w:r>
      <w:r w:rsidRPr="00947B7D">
        <w:rPr>
          <w:sz w:val="16"/>
          <w:szCs w:val="16"/>
        </w:rPr>
        <w:t xml:space="preserve"> Case SA.59913</w:t>
      </w:r>
      <w:r>
        <w:rPr>
          <w:rFonts w:cs="Times New Roman"/>
          <w:sz w:val="16"/>
          <w:szCs w:val="16"/>
        </w:rPr>
        <w:t>,</w:t>
      </w:r>
      <w:r w:rsidRPr="00947B7D">
        <w:rPr>
          <w:sz w:val="16"/>
          <w:szCs w:val="16"/>
        </w:rPr>
        <w:t xml:space="preserve"> </w:t>
      </w:r>
      <w:r w:rsidRPr="004155ED">
        <w:rPr>
          <w:i/>
          <w:iCs/>
          <w:sz w:val="16"/>
          <w:szCs w:val="16"/>
        </w:rPr>
        <w:t>France – COVID-19 - Recapitalisation of Air France and the Air France – KLM Holding</w:t>
      </w:r>
      <w:r>
        <w:rPr>
          <w:rFonts w:cs="Times New Roman"/>
          <w:sz w:val="16"/>
          <w:szCs w:val="16"/>
        </w:rPr>
        <w:t xml:space="preserve">, </w:t>
      </w:r>
      <w:r w:rsidRPr="00A0335E">
        <w:rPr>
          <w:rFonts w:cs="Times New Roman"/>
          <w:sz w:val="16"/>
          <w:szCs w:val="16"/>
        </w:rPr>
        <w:t>OJ C 240, 18.6.2021, p.</w:t>
      </w:r>
      <w:r>
        <w:rPr>
          <w:rFonts w:cs="Times New Roman"/>
          <w:sz w:val="16"/>
          <w:szCs w:val="16"/>
        </w:rPr>
        <w:t xml:space="preserve"> </w:t>
      </w:r>
      <w:r w:rsidRPr="00A0335E">
        <w:rPr>
          <w:rFonts w:cs="Times New Roman"/>
          <w:sz w:val="16"/>
          <w:szCs w:val="16"/>
        </w:rPr>
        <w:t>1</w:t>
      </w:r>
      <w:r w:rsidRPr="00947B7D">
        <w:rPr>
          <w:sz w:val="16"/>
          <w:szCs w:val="16"/>
        </w:rPr>
        <w:t>.</w:t>
      </w:r>
    </w:p>
  </w:footnote>
  <w:footnote w:id="126">
    <w:p w14:paraId="450564E4" w14:textId="77777777" w:rsidR="001C1ABD" w:rsidRPr="006900E2" w:rsidRDefault="001C1ABD">
      <w:pPr>
        <w:pStyle w:val="FootnoteText"/>
        <w:rPr>
          <w:sz w:val="16"/>
          <w:szCs w:val="16"/>
        </w:rPr>
      </w:pPr>
      <w:r w:rsidRPr="00947B7D">
        <w:rPr>
          <w:rStyle w:val="FootnoteReference"/>
          <w:sz w:val="16"/>
          <w:szCs w:val="16"/>
        </w:rPr>
        <w:footnoteRef/>
      </w:r>
      <w:r w:rsidRPr="00947B7D">
        <w:rPr>
          <w:sz w:val="16"/>
          <w:szCs w:val="16"/>
        </w:rPr>
        <w:t xml:space="preserve"> Case SA.59812</w:t>
      </w:r>
      <w:r>
        <w:rPr>
          <w:rFonts w:cs="Times New Roman"/>
          <w:sz w:val="16"/>
          <w:szCs w:val="16"/>
        </w:rPr>
        <w:t>,</w:t>
      </w:r>
      <w:r w:rsidRPr="00947B7D">
        <w:rPr>
          <w:sz w:val="16"/>
          <w:szCs w:val="16"/>
        </w:rPr>
        <w:t xml:space="preserve"> </w:t>
      </w:r>
      <w:r w:rsidRPr="004155ED">
        <w:rPr>
          <w:i/>
          <w:iCs/>
          <w:sz w:val="16"/>
          <w:szCs w:val="16"/>
        </w:rPr>
        <w:t>Germany – COVID-19 - Recapitalisation of TUI</w:t>
      </w:r>
      <w:r w:rsidRPr="00062864">
        <w:rPr>
          <w:sz w:val="16"/>
          <w:szCs w:val="16"/>
        </w:rPr>
        <w:t>.</w:t>
      </w:r>
      <w:r>
        <w:rPr>
          <w:rFonts w:cs="Times New Roman"/>
          <w:sz w:val="16"/>
          <w:szCs w:val="16"/>
        </w:rPr>
        <w:t xml:space="preserve"> </w:t>
      </w:r>
      <w:r w:rsidRPr="00A0335E">
        <w:rPr>
          <w:rFonts w:cs="Times New Roman"/>
          <w:sz w:val="16"/>
          <w:szCs w:val="16"/>
        </w:rPr>
        <w:t>The public version of this decision is not yet available. See: https://ec.europa.eu/competition/elojade/isef/index.cfm?fuseaction=dsp_result&amp;policy_area_id=3</w:t>
      </w:r>
    </w:p>
  </w:footnote>
  <w:footnote w:id="127">
    <w:p w14:paraId="7AFC487B" w14:textId="77777777" w:rsidR="001C1ABD" w:rsidRPr="006900E2" w:rsidRDefault="001C1ABD">
      <w:pPr>
        <w:pStyle w:val="FootnoteText"/>
        <w:rPr>
          <w:sz w:val="16"/>
          <w:szCs w:val="16"/>
        </w:rPr>
      </w:pPr>
      <w:r w:rsidRPr="00947B7D">
        <w:rPr>
          <w:rStyle w:val="FootnoteReference"/>
          <w:sz w:val="16"/>
          <w:szCs w:val="16"/>
        </w:rPr>
        <w:footnoteRef/>
      </w:r>
      <w:r w:rsidRPr="00947B7D">
        <w:rPr>
          <w:sz w:val="16"/>
          <w:szCs w:val="16"/>
        </w:rPr>
        <w:t xml:space="preserve"> Case SA.</w:t>
      </w:r>
      <w:r>
        <w:rPr>
          <w:rFonts w:cs="Times New Roman"/>
          <w:sz w:val="16"/>
          <w:szCs w:val="16"/>
        </w:rPr>
        <w:t xml:space="preserve"> 63898,</w:t>
      </w:r>
      <w:r w:rsidRPr="00947B7D">
        <w:rPr>
          <w:sz w:val="16"/>
          <w:szCs w:val="16"/>
        </w:rPr>
        <w:t xml:space="preserve"> </w:t>
      </w:r>
      <w:r w:rsidRPr="004155ED">
        <w:rPr>
          <w:i/>
          <w:iCs/>
          <w:sz w:val="16"/>
          <w:szCs w:val="16"/>
        </w:rPr>
        <w:t xml:space="preserve">Sweden </w:t>
      </w:r>
      <w:r w:rsidRPr="004155ED">
        <w:rPr>
          <w:rFonts w:cs="Times New Roman"/>
          <w:i/>
          <w:iCs/>
          <w:sz w:val="16"/>
          <w:szCs w:val="16"/>
        </w:rPr>
        <w:t xml:space="preserve">- </w:t>
      </w:r>
      <w:r w:rsidRPr="00062864">
        <w:rPr>
          <w:i/>
          <w:iCs/>
          <w:sz w:val="16"/>
          <w:szCs w:val="16"/>
        </w:rPr>
        <w:t>COVID-19</w:t>
      </w:r>
      <w:r w:rsidRPr="00062864">
        <w:rPr>
          <w:rFonts w:cs="Times New Roman"/>
          <w:i/>
          <w:iCs/>
          <w:sz w:val="16"/>
          <w:szCs w:val="16"/>
        </w:rPr>
        <w:t xml:space="preserve"> </w:t>
      </w:r>
      <w:r w:rsidRPr="00373CE6">
        <w:rPr>
          <w:i/>
          <w:iCs/>
          <w:sz w:val="16"/>
          <w:szCs w:val="16"/>
        </w:rPr>
        <w:t>- State loan to SAS Consortium</w:t>
      </w:r>
      <w:r w:rsidRPr="00A0335E">
        <w:rPr>
          <w:rFonts w:cs="Times New Roman"/>
          <w:sz w:val="16"/>
          <w:szCs w:val="16"/>
        </w:rPr>
        <w:t xml:space="preserve">, OJ C 33, 21.1.2022; and SA. 63250, </w:t>
      </w:r>
      <w:r w:rsidRPr="00947B7D">
        <w:rPr>
          <w:rFonts w:cs="Times New Roman"/>
          <w:i/>
          <w:iCs/>
          <w:sz w:val="16"/>
          <w:szCs w:val="16"/>
        </w:rPr>
        <w:t>Denmark – SA.63250 COVID-19 – Subsidised loan to SAS</w:t>
      </w:r>
      <w:r w:rsidRPr="00A0335E">
        <w:rPr>
          <w:rFonts w:cs="Times New Roman"/>
          <w:sz w:val="16"/>
          <w:szCs w:val="16"/>
        </w:rPr>
        <w:t>, OJ C 33, 21.1.2022</w:t>
      </w:r>
      <w:r w:rsidRPr="00947B7D">
        <w:rPr>
          <w:sz w:val="16"/>
          <w:szCs w:val="16"/>
        </w:rPr>
        <w:t>.</w:t>
      </w:r>
    </w:p>
  </w:footnote>
  <w:footnote w:id="128">
    <w:p w14:paraId="3B7585BA" w14:textId="06948EE8" w:rsidR="001C1ABD" w:rsidRPr="00215C96" w:rsidRDefault="001C1ABD" w:rsidP="008B3BBA">
      <w:pPr>
        <w:pStyle w:val="FootnoteText"/>
        <w:rPr>
          <w:rFonts w:cs="Times New Roman"/>
          <w:sz w:val="16"/>
          <w:szCs w:val="16"/>
          <w:lang w:val="en-IE"/>
        </w:rPr>
      </w:pPr>
      <w:r w:rsidRPr="00215C96">
        <w:rPr>
          <w:rStyle w:val="FootnoteReference"/>
          <w:rFonts w:cs="Times New Roman"/>
          <w:sz w:val="16"/>
          <w:szCs w:val="16"/>
        </w:rPr>
        <w:footnoteRef/>
      </w:r>
      <w:r w:rsidRPr="00215C96">
        <w:rPr>
          <w:rFonts w:cs="Times New Roman"/>
          <w:sz w:val="16"/>
          <w:szCs w:val="16"/>
          <w:lang w:val="en-IE"/>
        </w:rPr>
        <w:t xml:space="preserve"> Case SA.60113, </w:t>
      </w:r>
      <w:r w:rsidRPr="00947B7D">
        <w:rPr>
          <w:rFonts w:cs="Times New Roman"/>
          <w:i/>
          <w:iCs/>
          <w:sz w:val="16"/>
          <w:szCs w:val="16"/>
          <w:lang w:val="en-IE"/>
        </w:rPr>
        <w:t xml:space="preserve">Finland </w:t>
      </w:r>
      <w:r>
        <w:rPr>
          <w:rFonts w:cs="Times New Roman"/>
          <w:i/>
          <w:iCs/>
          <w:sz w:val="16"/>
          <w:szCs w:val="16"/>
          <w:lang w:val="en-IE"/>
        </w:rPr>
        <w:t xml:space="preserve">- </w:t>
      </w:r>
      <w:r w:rsidRPr="00947B7D">
        <w:rPr>
          <w:rFonts w:cs="Times New Roman"/>
          <w:i/>
          <w:iCs/>
          <w:sz w:val="16"/>
          <w:szCs w:val="16"/>
          <w:lang w:val="en-IE"/>
        </w:rPr>
        <w:t>Finnair – COVID-19 - hybrid loan 107.2.b</w:t>
      </w:r>
      <w:r>
        <w:rPr>
          <w:rFonts w:cs="Times New Roman"/>
          <w:sz w:val="16"/>
          <w:szCs w:val="16"/>
          <w:lang w:val="en-IE"/>
        </w:rPr>
        <w:t>,</w:t>
      </w:r>
      <w:r w:rsidRPr="00C40EE9">
        <w:rPr>
          <w:rFonts w:cs="Times New Roman"/>
          <w:sz w:val="16"/>
          <w:szCs w:val="16"/>
          <w:lang w:val="en-IE"/>
        </w:rPr>
        <w:t xml:space="preserve"> </w:t>
      </w:r>
      <w:r w:rsidRPr="00215C96">
        <w:rPr>
          <w:rFonts w:cs="Times New Roman"/>
          <w:sz w:val="16"/>
          <w:szCs w:val="16"/>
          <w:lang w:val="en-IE"/>
        </w:rPr>
        <w:t>OJ C 240, 18.6.2021, p.1.</w:t>
      </w:r>
    </w:p>
  </w:footnote>
  <w:footnote w:id="129">
    <w:p w14:paraId="269811E7" w14:textId="77777777" w:rsidR="001C1ABD" w:rsidRPr="0054710C" w:rsidRDefault="001C1ABD" w:rsidP="00592EA0">
      <w:pPr>
        <w:pStyle w:val="FootnoteText"/>
      </w:pPr>
      <w:r w:rsidRPr="005C5150">
        <w:rPr>
          <w:rStyle w:val="FootnoteReference"/>
          <w:sz w:val="16"/>
          <w:szCs w:val="16"/>
        </w:rPr>
        <w:footnoteRef/>
      </w:r>
      <w:r w:rsidRPr="005C5150">
        <w:rPr>
          <w:sz w:val="16"/>
          <w:szCs w:val="16"/>
        </w:rPr>
        <w:t xml:space="preserve"> </w:t>
      </w:r>
      <w:r w:rsidRPr="00354038">
        <w:rPr>
          <w:sz w:val="16"/>
          <w:szCs w:val="16"/>
        </w:rPr>
        <w:t>Case SA.60165 – Portugal - Restructuring aid to TAP SGPS.</w:t>
      </w:r>
    </w:p>
  </w:footnote>
  <w:footnote w:id="130">
    <w:p w14:paraId="51E4994C" w14:textId="5C9A9BF9" w:rsidR="001C1ABD" w:rsidRPr="00C832DE" w:rsidRDefault="001C1ABD">
      <w:pPr>
        <w:pStyle w:val="FootnoteText"/>
        <w:rPr>
          <w:sz w:val="16"/>
          <w:szCs w:val="16"/>
          <w:lang w:val="en-IE"/>
        </w:rPr>
      </w:pPr>
      <w:r w:rsidRPr="00C832DE">
        <w:rPr>
          <w:rStyle w:val="FootnoteReference"/>
          <w:sz w:val="16"/>
          <w:szCs w:val="16"/>
        </w:rPr>
        <w:footnoteRef/>
      </w:r>
      <w:r w:rsidRPr="00C832DE">
        <w:rPr>
          <w:sz w:val="16"/>
          <w:szCs w:val="16"/>
        </w:rPr>
        <w:t xml:space="preserve"> </w:t>
      </w:r>
      <w:r w:rsidRPr="00C832DE">
        <w:rPr>
          <w:sz w:val="16"/>
          <w:szCs w:val="16"/>
          <w:lang w:val="en-IE"/>
        </w:rPr>
        <w:t xml:space="preserve">Case SA.63203, </w:t>
      </w:r>
      <w:r w:rsidRPr="00C832DE">
        <w:rPr>
          <w:i/>
          <w:sz w:val="16"/>
          <w:szCs w:val="16"/>
          <w:lang w:val="en-IE"/>
        </w:rPr>
        <w:t>Germany – Restructuring of Condor</w:t>
      </w:r>
      <w:r w:rsidRPr="00C832DE">
        <w:rPr>
          <w:sz w:val="16"/>
          <w:szCs w:val="16"/>
          <w:lang w:val="en-IE"/>
        </w:rPr>
        <w:t>, OJ C 429, 15.4.2021.</w:t>
      </w:r>
    </w:p>
  </w:footnote>
  <w:footnote w:id="131">
    <w:p w14:paraId="04DF958B" w14:textId="3DAC5EDC" w:rsidR="001C1ABD" w:rsidRPr="005C5150" w:rsidRDefault="001C1ABD" w:rsidP="009E7AAB">
      <w:pPr>
        <w:pStyle w:val="FootnoteText"/>
        <w:rPr>
          <w:sz w:val="16"/>
          <w:szCs w:val="16"/>
        </w:rPr>
      </w:pPr>
      <w:r w:rsidRPr="005C5150">
        <w:rPr>
          <w:rStyle w:val="FootnoteReference"/>
          <w:sz w:val="16"/>
          <w:szCs w:val="16"/>
        </w:rPr>
        <w:footnoteRef/>
      </w:r>
      <w:r w:rsidRPr="005C5150">
        <w:rPr>
          <w:sz w:val="16"/>
          <w:szCs w:val="16"/>
        </w:rPr>
        <w:t xml:space="preserve"> Case SA.48171 – </w:t>
      </w:r>
      <w:r w:rsidRPr="005C5150">
        <w:rPr>
          <w:i/>
          <w:sz w:val="16"/>
          <w:szCs w:val="16"/>
        </w:rPr>
        <w:t xml:space="preserve">Italy </w:t>
      </w:r>
      <w:r w:rsidRPr="00A52EF3">
        <w:rPr>
          <w:rFonts w:eastAsia="Calibri" w:cs="Times New Roman"/>
          <w:i/>
          <w:sz w:val="16"/>
          <w:szCs w:val="16"/>
          <w:lang w:val="en-US"/>
        </w:rPr>
        <w:t xml:space="preserve">– </w:t>
      </w:r>
      <w:r w:rsidRPr="005C5150">
        <w:rPr>
          <w:i/>
          <w:sz w:val="16"/>
          <w:szCs w:val="16"/>
        </w:rPr>
        <w:t>Complaints against alleged State aid to Alitalia</w:t>
      </w:r>
      <w:r w:rsidRPr="005C5150">
        <w:rPr>
          <w:sz w:val="16"/>
          <w:szCs w:val="16"/>
        </w:rPr>
        <w:t>.</w:t>
      </w:r>
    </w:p>
  </w:footnote>
  <w:footnote w:id="132">
    <w:p w14:paraId="1078992A" w14:textId="20DE64EA" w:rsidR="001C1ABD" w:rsidRPr="00D112F5" w:rsidRDefault="001C1ABD" w:rsidP="00C279A3">
      <w:pPr>
        <w:pStyle w:val="FootnoteText"/>
      </w:pPr>
      <w:r w:rsidRPr="005C5150">
        <w:rPr>
          <w:rStyle w:val="FootnoteReference"/>
          <w:sz w:val="16"/>
          <w:szCs w:val="16"/>
        </w:rPr>
        <w:footnoteRef/>
      </w:r>
      <w:r w:rsidRPr="005C5150">
        <w:rPr>
          <w:sz w:val="16"/>
          <w:szCs w:val="16"/>
        </w:rPr>
        <w:t xml:space="preserve"> </w:t>
      </w:r>
      <w:r w:rsidRPr="00A52EF3">
        <w:rPr>
          <w:rFonts w:eastAsia="Calibri" w:cs="Times New Roman"/>
          <w:sz w:val="16"/>
          <w:szCs w:val="16"/>
          <w:lang w:val="en-US"/>
        </w:rPr>
        <w:t xml:space="preserve">Case SA.58173 – </w:t>
      </w:r>
      <w:r w:rsidRPr="00A52EF3">
        <w:rPr>
          <w:rFonts w:eastAsia="Calibri" w:cs="Times New Roman"/>
          <w:i/>
          <w:sz w:val="16"/>
          <w:szCs w:val="16"/>
          <w:lang w:val="en-US"/>
        </w:rPr>
        <w:t>Italy – Newco ITA</w:t>
      </w:r>
      <w:r w:rsidRPr="00A52EF3">
        <w:rPr>
          <w:rFonts w:eastAsia="Calibri" w:cs="Times New Roman"/>
          <w:sz w:val="16"/>
          <w:szCs w:val="16"/>
          <w:lang w:val="en-US"/>
        </w:rPr>
        <w:t xml:space="preserve">; </w:t>
      </w:r>
      <w:r>
        <w:rPr>
          <w:rFonts w:eastAsia="Calibri" w:cs="Times New Roman"/>
          <w:sz w:val="16"/>
          <w:szCs w:val="16"/>
          <w:lang w:val="en-US"/>
        </w:rPr>
        <w:t xml:space="preserve">See </w:t>
      </w:r>
      <w:r w:rsidRPr="00D112F5">
        <w:rPr>
          <w:rFonts w:eastAsia="Calibri" w:cs="Times New Roman"/>
          <w:sz w:val="16"/>
          <w:szCs w:val="16"/>
          <w:lang w:val="en-US"/>
        </w:rPr>
        <w:t>Commission Press Release of</w:t>
      </w:r>
      <w:r w:rsidRPr="00A52EF3">
        <w:rPr>
          <w:rFonts w:eastAsia="Calibri" w:cs="Times New Roman"/>
          <w:sz w:val="16"/>
          <w:szCs w:val="16"/>
          <w:lang w:val="en-US"/>
        </w:rPr>
        <w:t xml:space="preserve"> 10.9.2021, </w:t>
      </w:r>
      <w:r w:rsidRPr="00A52EF3">
        <w:rPr>
          <w:rFonts w:eastAsia="Calibri" w:cs="Times New Roman"/>
          <w:sz w:val="16"/>
          <w:szCs w:val="16"/>
        </w:rPr>
        <w:t>“</w:t>
      </w:r>
      <w:r w:rsidRPr="00A52EF3">
        <w:rPr>
          <w:rFonts w:eastAsia="Calibri" w:cs="Times New Roman"/>
          <w:sz w:val="16"/>
          <w:szCs w:val="16"/>
          <w:lang w:val="en-US"/>
        </w:rPr>
        <w:t xml:space="preserve">Commission finds new air carrier ITA is not Alitalia's economic successor and Italy's capital injections into ITA are market conform”, available at: </w:t>
      </w:r>
      <w:hyperlink r:id="rId22" w:history="1">
        <w:r w:rsidRPr="00A52EF3">
          <w:rPr>
            <w:rFonts w:eastAsia="Calibri" w:cs="Times New Roman"/>
            <w:color w:val="0000FF"/>
            <w:sz w:val="16"/>
            <w:szCs w:val="16"/>
            <w:u w:val="single"/>
            <w:lang w:val="en-US"/>
          </w:rPr>
          <w:t>https://ec.europa.eu/commission/presscorner/detail/en/ip_21_4665</w:t>
        </w:r>
      </w:hyperlink>
      <w:r>
        <w:rPr>
          <w:rFonts w:eastAsia="Calibri" w:cs="Times New Roman"/>
          <w:color w:val="0000FF"/>
          <w:sz w:val="16"/>
          <w:szCs w:val="16"/>
          <w:u w:val="single"/>
          <w:lang w:val="en-US"/>
        </w:rPr>
        <w:t xml:space="preserve"> </w:t>
      </w:r>
    </w:p>
  </w:footnote>
  <w:footnote w:id="133">
    <w:p w14:paraId="47BC9B62" w14:textId="77777777" w:rsidR="001C1ABD" w:rsidRPr="00215C96" w:rsidRDefault="001C1ABD" w:rsidP="00C279A3">
      <w:pPr>
        <w:pStyle w:val="FootnoteText"/>
        <w:rPr>
          <w:rFonts w:cs="Times New Roman"/>
          <w:sz w:val="16"/>
          <w:szCs w:val="16"/>
        </w:rPr>
      </w:pPr>
      <w:r w:rsidRPr="00215C96">
        <w:rPr>
          <w:rFonts w:cs="Times New Roman"/>
          <w:sz w:val="16"/>
          <w:szCs w:val="16"/>
          <w:vertAlign w:val="superscript"/>
        </w:rPr>
        <w:footnoteRef/>
      </w:r>
      <w:r w:rsidRPr="00215C96">
        <w:rPr>
          <w:rFonts w:cs="Times New Roman"/>
          <w:sz w:val="16"/>
          <w:szCs w:val="16"/>
          <w:vertAlign w:val="superscript"/>
        </w:rPr>
        <w:t xml:space="preserve"> </w:t>
      </w:r>
      <w:r w:rsidRPr="00215C96">
        <w:rPr>
          <w:rFonts w:cs="Times New Roman"/>
          <w:sz w:val="16"/>
          <w:szCs w:val="16"/>
        </w:rPr>
        <w:t>Regulation (EU) 2021/241 of the European Parliament and of the Council of 12 February 2021 establishing the Recovery and Resilience Facility, OJ L 57, 18.2.2021, pp. 17–75</w:t>
      </w:r>
      <w:r>
        <w:rPr>
          <w:rFonts w:cs="Times New Roman"/>
          <w:sz w:val="16"/>
          <w:szCs w:val="16"/>
        </w:rPr>
        <w:t>.</w:t>
      </w:r>
    </w:p>
  </w:footnote>
  <w:footnote w:id="134">
    <w:p w14:paraId="29A1CBEE" w14:textId="77777777" w:rsidR="001C1ABD" w:rsidRPr="00215C96" w:rsidRDefault="001C1ABD" w:rsidP="00EC120E">
      <w:pPr>
        <w:pStyle w:val="FootnoteText"/>
        <w:rPr>
          <w:rFonts w:cs="Times New Roman"/>
          <w:sz w:val="16"/>
          <w:szCs w:val="16"/>
        </w:rPr>
      </w:pPr>
      <w:r w:rsidRPr="00215C96">
        <w:rPr>
          <w:rFonts w:cs="Times New Roman"/>
          <w:sz w:val="16"/>
          <w:szCs w:val="16"/>
          <w:vertAlign w:val="superscript"/>
        </w:rPr>
        <w:footnoteRef/>
      </w:r>
      <w:r w:rsidRPr="00215C96">
        <w:rPr>
          <w:rFonts w:cs="Times New Roman"/>
          <w:sz w:val="16"/>
          <w:szCs w:val="16"/>
          <w:vertAlign w:val="superscript"/>
        </w:rPr>
        <w:t xml:space="preserve"> </w:t>
      </w:r>
      <w:r w:rsidRPr="00215C96">
        <w:rPr>
          <w:rFonts w:cs="Times New Roman"/>
          <w:sz w:val="16"/>
          <w:szCs w:val="16"/>
        </w:rPr>
        <w:t xml:space="preserve">See the Recovery and Resilience Scoreboard, which gives an overview of how the implementation of the Recovery and Resilience Facility (RRF) and the national recovery and resilience plans is progressing: </w:t>
      </w:r>
      <w:hyperlink r:id="rId23">
        <w:r w:rsidRPr="00215C96">
          <w:rPr>
            <w:rFonts w:cs="Times New Roman"/>
            <w:sz w:val="16"/>
            <w:szCs w:val="16"/>
          </w:rPr>
          <w:t>https://ec.europa.eu/economy_finance/recovery-and-resilience-scoreboard/index.html</w:t>
        </w:r>
      </w:hyperlink>
    </w:p>
  </w:footnote>
  <w:footnote w:id="135">
    <w:p w14:paraId="40878CC3" w14:textId="605E48DD" w:rsidR="001C1ABD" w:rsidRPr="009E7AAB" w:rsidRDefault="001C1ABD">
      <w:pPr>
        <w:pStyle w:val="FootnoteText"/>
      </w:pPr>
      <w:r w:rsidRPr="008F039B">
        <w:rPr>
          <w:rStyle w:val="FootnoteReference"/>
          <w:sz w:val="16"/>
          <w:szCs w:val="16"/>
        </w:rPr>
        <w:footnoteRef/>
      </w:r>
      <w:r w:rsidRPr="008F039B">
        <w:rPr>
          <w:sz w:val="16"/>
          <w:szCs w:val="16"/>
        </w:rPr>
        <w:t xml:space="preserve"> </w:t>
      </w:r>
      <w:r w:rsidRPr="001C477A">
        <w:rPr>
          <w:sz w:val="16"/>
          <w:szCs w:val="16"/>
        </w:rPr>
        <w:t>See</w:t>
      </w:r>
      <w:r>
        <w:rPr>
          <w:sz w:val="16"/>
          <w:szCs w:val="16"/>
        </w:rPr>
        <w:t>:</w:t>
      </w:r>
      <w:r w:rsidRPr="001C477A">
        <w:rPr>
          <w:sz w:val="16"/>
          <w:szCs w:val="16"/>
        </w:rPr>
        <w:t xml:space="preserve"> </w:t>
      </w:r>
      <w:hyperlink r:id="rId24" w:history="1">
        <w:r w:rsidRPr="00DA093F">
          <w:rPr>
            <w:rStyle w:val="Hyperlink"/>
            <w:sz w:val="16"/>
            <w:szCs w:val="16"/>
          </w:rPr>
          <w:t>https://ec.europa.eu/competition-policy/state-aid/coronavirus/rrf-guiding-templates_en</w:t>
        </w:r>
      </w:hyperlink>
    </w:p>
  </w:footnote>
  <w:footnote w:id="136">
    <w:p w14:paraId="135562FC" w14:textId="2DF0A5F1" w:rsidR="001C1ABD" w:rsidRPr="009E7AAB" w:rsidRDefault="001C1ABD">
      <w:pPr>
        <w:pStyle w:val="FootnoteText"/>
      </w:pPr>
      <w:r w:rsidRPr="008F039B">
        <w:rPr>
          <w:rStyle w:val="FootnoteReference"/>
          <w:sz w:val="16"/>
          <w:szCs w:val="16"/>
        </w:rPr>
        <w:footnoteRef/>
      </w:r>
      <w:r w:rsidRPr="008F039B">
        <w:rPr>
          <w:sz w:val="16"/>
          <w:szCs w:val="16"/>
        </w:rPr>
        <w:t xml:space="preserve"> </w:t>
      </w:r>
      <w:hyperlink r:id="rId25" w:history="1">
        <w:r w:rsidRPr="001C477A">
          <w:rPr>
            <w:rFonts w:eastAsia="Calibri" w:cs="Times New Roman"/>
            <w:color w:val="0000FF"/>
            <w:sz w:val="16"/>
            <w:szCs w:val="16"/>
            <w:u w:val="single"/>
          </w:rPr>
          <w:t>https://ec.europa.eu/competition/state_aid/what_is_new/practical_guidance_to_MS_for_notifications_under_RRF.pdf</w:t>
        </w:r>
      </w:hyperlink>
    </w:p>
  </w:footnote>
  <w:footnote w:id="137">
    <w:p w14:paraId="3F192E52" w14:textId="77777777" w:rsidR="001C1ABD" w:rsidRPr="00215C96" w:rsidRDefault="001C1ABD" w:rsidP="0076675E">
      <w:pPr>
        <w:pStyle w:val="FootnoteText"/>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Commission Notice on cooperation within the Network of Competition Authorities, OJ C 101, 27.04.2004, pp. 43-53 and OJ C 374, 13.10.2016, p. 10. See: </w:t>
      </w:r>
      <w:hyperlink r:id="rId26" w:history="1">
        <w:r w:rsidRPr="00215C96">
          <w:rPr>
            <w:rStyle w:val="Hyperlink"/>
            <w:rFonts w:cs="Times New Roman"/>
            <w:sz w:val="16"/>
            <w:szCs w:val="16"/>
          </w:rPr>
          <w:t>https://eur-lex.europa.eu/legal-content/EN/ALL/?uri=CELEX%3A52004XC0427%2802%29</w:t>
        </w:r>
      </w:hyperlink>
      <w:r w:rsidRPr="00215C96">
        <w:rPr>
          <w:rFonts w:cs="Times New Roman"/>
          <w:sz w:val="16"/>
          <w:szCs w:val="16"/>
        </w:rPr>
        <w:t xml:space="preserve">. </w:t>
      </w:r>
    </w:p>
  </w:footnote>
  <w:footnote w:id="138">
    <w:p w14:paraId="4412D6DB" w14:textId="77777777" w:rsidR="001C1ABD" w:rsidRPr="00215C96" w:rsidRDefault="001C1ABD" w:rsidP="006900E2">
      <w:pPr>
        <w:pStyle w:val="NormalWeb"/>
        <w:spacing w:before="0" w:beforeAutospacing="0" w:after="0" w:afterAutospacing="0"/>
        <w:jc w:val="both"/>
        <w:rPr>
          <w:sz w:val="16"/>
          <w:szCs w:val="16"/>
        </w:rPr>
      </w:pPr>
      <w:r w:rsidRPr="00215C96">
        <w:rPr>
          <w:rStyle w:val="FootnoteReference"/>
          <w:sz w:val="16"/>
          <w:szCs w:val="16"/>
        </w:rPr>
        <w:footnoteRef/>
      </w:r>
      <w:r>
        <w:rPr>
          <w:sz w:val="16"/>
          <w:szCs w:val="16"/>
        </w:rPr>
        <w:t xml:space="preserve"> </w:t>
      </w:r>
      <w:r w:rsidRPr="00215C96">
        <w:rPr>
          <w:sz w:val="16"/>
          <w:szCs w:val="16"/>
        </w:rPr>
        <w:t xml:space="preserve">Directive (EU) 2019/1 of the European Parliament and of the Council of 11 December 2018 to empower the competition authorities of the Member States to be more effective enforcers and to ensure the proper functioning of the internal market, OJ L 11, 14.01.2019, pp. 3–33. </w:t>
      </w:r>
    </w:p>
  </w:footnote>
  <w:footnote w:id="139">
    <w:p w14:paraId="21C96BF3" w14:textId="77777777" w:rsidR="001C1ABD" w:rsidRPr="00215C96" w:rsidRDefault="001C1ABD" w:rsidP="0076675E">
      <w:pPr>
        <w:pStyle w:val="FootnoteText"/>
        <w:jc w:val="both"/>
        <w:rPr>
          <w:rFonts w:cs="Times New Roman"/>
          <w:sz w:val="16"/>
          <w:szCs w:val="16"/>
        </w:rPr>
      </w:pPr>
      <w:r w:rsidRPr="00215C96">
        <w:rPr>
          <w:rFonts w:cs="Times New Roman"/>
          <w:sz w:val="16"/>
          <w:szCs w:val="16"/>
          <w:vertAlign w:val="superscript"/>
        </w:rPr>
        <w:footnoteRef/>
      </w:r>
      <w:r w:rsidRPr="00215C96">
        <w:rPr>
          <w:rFonts w:cs="Times New Roman"/>
          <w:sz w:val="16"/>
          <w:szCs w:val="16"/>
          <w:vertAlign w:val="superscript"/>
        </w:rPr>
        <w:t xml:space="preserve"> </w:t>
      </w:r>
      <w:r w:rsidRPr="00215C96">
        <w:rPr>
          <w:rFonts w:cs="Times New Roman"/>
          <w:sz w:val="16"/>
          <w:szCs w:val="16"/>
        </w:rPr>
        <w:t xml:space="preserve">See: </w:t>
      </w:r>
      <w:hyperlink r:id="rId27">
        <w:r w:rsidRPr="00215C96">
          <w:rPr>
            <w:rFonts w:cs="Times New Roman"/>
            <w:sz w:val="16"/>
            <w:szCs w:val="16"/>
          </w:rPr>
          <w:t>https://trade.ec.europa.eu/doclib/press/index.cfm?id=2330</w:t>
        </w:r>
      </w:hyperlink>
    </w:p>
  </w:footnote>
  <w:footnote w:id="140">
    <w:p w14:paraId="473EFB54" w14:textId="77777777" w:rsidR="001C1ABD" w:rsidRPr="00215C96" w:rsidRDefault="001C1ABD" w:rsidP="0076675E">
      <w:pPr>
        <w:pStyle w:val="FootnoteText"/>
        <w:jc w:val="both"/>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w:t>
      </w:r>
      <w:r w:rsidRPr="00215C96">
        <w:rPr>
          <w:rFonts w:eastAsia="Times New Roman" w:cs="Times New Roman"/>
          <w:noProof/>
          <w:sz w:val="16"/>
          <w:szCs w:val="16"/>
        </w:rPr>
        <w:t xml:space="preserve">See: </w:t>
      </w:r>
      <w:hyperlink r:id="rId28">
        <w:r w:rsidRPr="00215C96">
          <w:rPr>
            <w:rStyle w:val="Hyperlink"/>
            <w:rFonts w:eastAsia="Times New Roman" w:cs="Times New Roman"/>
            <w:noProof/>
            <w:sz w:val="16"/>
            <w:szCs w:val="16"/>
          </w:rPr>
          <w:t>https://ec.europa.eu/commission/presscorner/detail/en/IP_21_6671</w:t>
        </w:r>
      </w:hyperlink>
    </w:p>
  </w:footnote>
  <w:footnote w:id="141">
    <w:p w14:paraId="563CAC3E" w14:textId="77777777" w:rsidR="001C1ABD" w:rsidRPr="00215C96" w:rsidRDefault="001C1ABD" w:rsidP="0076675E">
      <w:pPr>
        <w:pStyle w:val="FootnoteText"/>
        <w:jc w:val="both"/>
        <w:rPr>
          <w:rFonts w:cs="Times New Roman"/>
          <w:sz w:val="16"/>
          <w:szCs w:val="16"/>
        </w:rPr>
      </w:pPr>
      <w:r w:rsidRPr="00215C96">
        <w:rPr>
          <w:rStyle w:val="FootnoteReference"/>
          <w:rFonts w:cs="Times New Roman"/>
          <w:sz w:val="16"/>
          <w:szCs w:val="16"/>
        </w:rPr>
        <w:footnoteRef/>
      </w:r>
      <w:r>
        <w:rPr>
          <w:rFonts w:cs="Times New Roman"/>
          <w:sz w:val="16"/>
          <w:szCs w:val="16"/>
        </w:rPr>
        <w:t> </w:t>
      </w:r>
      <w:r w:rsidRPr="00215C96">
        <w:rPr>
          <w:rFonts w:eastAsia="Times New Roman" w:cs="Times New Roman"/>
          <w:noProof/>
          <w:sz w:val="16"/>
          <w:szCs w:val="16"/>
        </w:rPr>
        <w:t>See:</w:t>
      </w:r>
      <w:r>
        <w:rPr>
          <w:rFonts w:eastAsia="Times New Roman" w:cs="Times New Roman"/>
          <w:noProof/>
          <w:sz w:val="16"/>
          <w:szCs w:val="16"/>
        </w:rPr>
        <w:t> </w:t>
      </w:r>
      <w:hyperlink r:id="rId29">
        <w:r w:rsidRPr="00947B7D">
          <w:rPr>
            <w:rStyle w:val="Hyperlink"/>
            <w:color w:val="auto"/>
            <w:sz w:val="16"/>
            <w:szCs w:val="16"/>
            <w:u w:val="none"/>
          </w:rPr>
          <w:t>https://ec.europa.eu/competition-policy/international/bilateral-relations/korea_en</w:t>
        </w:r>
      </w:hyperlink>
      <w:r>
        <w:rPr>
          <w:rFonts w:eastAsia="Times New Roman" w:cs="Times New Roman"/>
          <w:noProof/>
          <w:sz w:val="16"/>
          <w:szCs w:val="16"/>
          <w:lang w:val="en-US"/>
        </w:rPr>
        <w:t>; </w:t>
      </w:r>
      <w:r w:rsidRPr="007561DB">
        <w:rPr>
          <w:rFonts w:eastAsia="Times New Roman" w:cs="Times New Roman"/>
          <w:noProof/>
          <w:sz w:val="16"/>
          <w:szCs w:val="16"/>
          <w:lang w:val="en-US"/>
        </w:rPr>
        <w:t>https://ec.europa.eu/competition-policy/international/bilateral-relations/japan_en</w:t>
      </w:r>
      <w:r w:rsidRPr="00FD32BC">
        <w:rPr>
          <w:rFonts w:eastAsia="Times New Roman" w:cs="Times New Roman"/>
          <w:noProof/>
          <w:sz w:val="16"/>
          <w:szCs w:val="16"/>
          <w:lang w:val="en-US"/>
        </w:rPr>
        <w:t>.</w:t>
      </w:r>
    </w:p>
  </w:footnote>
  <w:footnote w:id="142">
    <w:p w14:paraId="70A8A17C" w14:textId="77777777" w:rsidR="001C1ABD" w:rsidRPr="00215C96" w:rsidRDefault="001C1ABD" w:rsidP="00B967C7">
      <w:pPr>
        <w:pStyle w:val="FootnoteText"/>
        <w:jc w:val="both"/>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w:t>
      </w:r>
      <w:r w:rsidRPr="00215C96">
        <w:rPr>
          <w:rFonts w:eastAsia="Times New Roman" w:cs="Times New Roman"/>
          <w:noProof/>
          <w:sz w:val="16"/>
          <w:szCs w:val="16"/>
        </w:rPr>
        <w:t xml:space="preserve">See: </w:t>
      </w:r>
      <w:hyperlink r:id="rId30">
        <w:r w:rsidRPr="00215C96">
          <w:rPr>
            <w:rStyle w:val="Hyperlink"/>
            <w:rFonts w:eastAsia="Times New Roman" w:cs="Times New Roman"/>
            <w:noProof/>
            <w:sz w:val="16"/>
            <w:szCs w:val="16"/>
          </w:rPr>
          <w:t>https://eur-lex.europa.eu/legal-content/EN/ALL/?uri=CELEX:22003A0722(01)</w:t>
        </w:r>
      </w:hyperlink>
    </w:p>
  </w:footnote>
  <w:footnote w:id="143">
    <w:p w14:paraId="1047FF85" w14:textId="77777777" w:rsidR="001C1ABD" w:rsidRPr="00215C96" w:rsidRDefault="001C1ABD" w:rsidP="00F42E78">
      <w:pPr>
        <w:spacing w:after="0" w:line="240" w:lineRule="auto"/>
        <w:jc w:val="both"/>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w:t>
      </w:r>
      <w:r w:rsidRPr="00215C96">
        <w:rPr>
          <w:rFonts w:eastAsia="Times New Roman" w:cs="Times New Roman"/>
          <w:noProof/>
          <w:sz w:val="16"/>
          <w:szCs w:val="16"/>
        </w:rPr>
        <w:t xml:space="preserve">See: </w:t>
      </w:r>
      <w:hyperlink r:id="rId31">
        <w:r w:rsidRPr="00215C96">
          <w:rPr>
            <w:rStyle w:val="Hyperlink"/>
            <w:rFonts w:eastAsia="Times New Roman" w:cs="Times New Roman"/>
            <w:noProof/>
            <w:sz w:val="16"/>
            <w:szCs w:val="16"/>
          </w:rPr>
          <w:t>http://curia.europa.eu/juris/liste.jsf?pro=AVIS&amp;num=C-1/15</w:t>
        </w:r>
      </w:hyperlink>
      <w:r w:rsidRPr="00215C96">
        <w:rPr>
          <w:rFonts w:eastAsia="Times New Roman" w:cs="Times New Roman"/>
          <w:noProof/>
          <w:sz w:val="16"/>
          <w:szCs w:val="16"/>
        </w:rPr>
        <w:t>. Currently, Canada is preparing an overhaul of its domestic privacy act.</w:t>
      </w:r>
    </w:p>
  </w:footnote>
  <w:footnote w:id="144">
    <w:p w14:paraId="35225354" w14:textId="77777777" w:rsidR="001C1ABD" w:rsidRPr="00215C96" w:rsidRDefault="001C1ABD" w:rsidP="00B967C7">
      <w:pPr>
        <w:pStyle w:val="FootnoteText"/>
        <w:jc w:val="both"/>
        <w:rPr>
          <w:rFonts w:cs="Times New Roman"/>
          <w:sz w:val="16"/>
          <w:szCs w:val="16"/>
        </w:rPr>
      </w:pPr>
      <w:r w:rsidRPr="00215C96">
        <w:rPr>
          <w:rStyle w:val="FootnoteReference"/>
          <w:rFonts w:cs="Times New Roman"/>
          <w:sz w:val="16"/>
          <w:szCs w:val="16"/>
        </w:rPr>
        <w:footnoteRef/>
      </w:r>
      <w:r w:rsidRPr="00215C96">
        <w:rPr>
          <w:rFonts w:cs="Times New Roman"/>
          <w:sz w:val="16"/>
          <w:szCs w:val="16"/>
        </w:rPr>
        <w:t xml:space="preserve"> See: https://ec.europa.eu/competition-policy/international/bilateral-relati</w:t>
      </w:r>
      <w:r>
        <w:rPr>
          <w:rFonts w:cs="Times New Roman"/>
          <w:sz w:val="16"/>
          <w:szCs w:val="16"/>
        </w:rPr>
        <w:t>ons/china_en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7931A" w14:textId="77777777" w:rsidR="002F2EFC" w:rsidRPr="002F2EFC" w:rsidRDefault="002F2EFC" w:rsidP="002F2E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763A6" w14:textId="77777777" w:rsidR="002F2EFC" w:rsidRPr="002F2EFC" w:rsidRDefault="002F2EFC" w:rsidP="002F2EFC">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15C83" w14:textId="77777777" w:rsidR="002F2EFC" w:rsidRPr="002F2EFC" w:rsidRDefault="002F2EFC" w:rsidP="002F2EFC">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71326" w14:textId="77777777" w:rsidR="001C1ABD" w:rsidRDefault="001C1A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F9D90" w14:textId="77777777" w:rsidR="001C1ABD" w:rsidRDefault="001C1AB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C23A3" w14:textId="77777777" w:rsidR="001C1ABD" w:rsidRDefault="001C1ABD">
    <w:pPr>
      <w:pStyle w:val="Header"/>
    </w:pPr>
  </w:p>
</w:hdr>
</file>

<file path=word/intelligence.xml><?xml version="1.0" encoding="utf-8"?>
<int:Intelligence xmlns:int="http://schemas.microsoft.com/office/intelligence/2019/intelligence">
  <int:IntelligenceSettings/>
  <int:Manifest>
    <int:ParagraphRange paragraphId="229458273" textId="1193542386" start="7" length="13" invalidationStart="7" invalidationLength="13" id="U1WJJkGH"/>
  </int:Manifest>
  <int:Observations>
    <int:Content id="U1WJJkG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962"/>
    <w:multiLevelType w:val="hybridMultilevel"/>
    <w:tmpl w:val="63D2F928"/>
    <w:lvl w:ilvl="0" w:tplc="26421CD2">
      <w:start w:val="1"/>
      <w:numFmt w:val="bullet"/>
      <w:lvlText w:val="·"/>
      <w:lvlJc w:val="left"/>
      <w:pPr>
        <w:ind w:left="720" w:hanging="360"/>
      </w:pPr>
      <w:rPr>
        <w:rFonts w:ascii="Symbol" w:hAnsi="Symbol" w:hint="default"/>
      </w:rPr>
    </w:lvl>
    <w:lvl w:ilvl="1" w:tplc="252A047E">
      <w:start w:val="1"/>
      <w:numFmt w:val="bullet"/>
      <w:lvlText w:val="o"/>
      <w:lvlJc w:val="left"/>
      <w:pPr>
        <w:ind w:left="1440" w:hanging="360"/>
      </w:pPr>
      <w:rPr>
        <w:rFonts w:ascii="Courier New" w:hAnsi="Courier New" w:hint="default"/>
      </w:rPr>
    </w:lvl>
    <w:lvl w:ilvl="2" w:tplc="CB7275BC">
      <w:start w:val="1"/>
      <w:numFmt w:val="bullet"/>
      <w:lvlText w:val=""/>
      <w:lvlJc w:val="left"/>
      <w:pPr>
        <w:ind w:left="2160" w:hanging="360"/>
      </w:pPr>
      <w:rPr>
        <w:rFonts w:ascii="Wingdings" w:hAnsi="Wingdings" w:hint="default"/>
      </w:rPr>
    </w:lvl>
    <w:lvl w:ilvl="3" w:tplc="156A07B2">
      <w:start w:val="1"/>
      <w:numFmt w:val="bullet"/>
      <w:lvlText w:val=""/>
      <w:lvlJc w:val="left"/>
      <w:pPr>
        <w:ind w:left="2880" w:hanging="360"/>
      </w:pPr>
      <w:rPr>
        <w:rFonts w:ascii="Symbol" w:hAnsi="Symbol" w:hint="default"/>
      </w:rPr>
    </w:lvl>
    <w:lvl w:ilvl="4" w:tplc="8392E1DA">
      <w:start w:val="1"/>
      <w:numFmt w:val="bullet"/>
      <w:lvlText w:val="o"/>
      <w:lvlJc w:val="left"/>
      <w:pPr>
        <w:ind w:left="3600" w:hanging="360"/>
      </w:pPr>
      <w:rPr>
        <w:rFonts w:ascii="Courier New" w:hAnsi="Courier New" w:hint="default"/>
      </w:rPr>
    </w:lvl>
    <w:lvl w:ilvl="5" w:tplc="FA16DEF0">
      <w:start w:val="1"/>
      <w:numFmt w:val="bullet"/>
      <w:lvlText w:val=""/>
      <w:lvlJc w:val="left"/>
      <w:pPr>
        <w:ind w:left="4320" w:hanging="360"/>
      </w:pPr>
      <w:rPr>
        <w:rFonts w:ascii="Wingdings" w:hAnsi="Wingdings" w:hint="default"/>
      </w:rPr>
    </w:lvl>
    <w:lvl w:ilvl="6" w:tplc="47F4D2F0">
      <w:start w:val="1"/>
      <w:numFmt w:val="bullet"/>
      <w:lvlText w:val=""/>
      <w:lvlJc w:val="left"/>
      <w:pPr>
        <w:ind w:left="5040" w:hanging="360"/>
      </w:pPr>
      <w:rPr>
        <w:rFonts w:ascii="Symbol" w:hAnsi="Symbol" w:hint="default"/>
      </w:rPr>
    </w:lvl>
    <w:lvl w:ilvl="7" w:tplc="F2AC65A6">
      <w:start w:val="1"/>
      <w:numFmt w:val="bullet"/>
      <w:lvlText w:val="o"/>
      <w:lvlJc w:val="left"/>
      <w:pPr>
        <w:ind w:left="5760" w:hanging="360"/>
      </w:pPr>
      <w:rPr>
        <w:rFonts w:ascii="Courier New" w:hAnsi="Courier New" w:hint="default"/>
      </w:rPr>
    </w:lvl>
    <w:lvl w:ilvl="8" w:tplc="130282BA">
      <w:start w:val="1"/>
      <w:numFmt w:val="bullet"/>
      <w:lvlText w:val=""/>
      <w:lvlJc w:val="left"/>
      <w:pPr>
        <w:ind w:left="6480" w:hanging="360"/>
      </w:pPr>
      <w:rPr>
        <w:rFonts w:ascii="Wingdings" w:hAnsi="Wingdings" w:hint="default"/>
      </w:rPr>
    </w:lvl>
  </w:abstractNum>
  <w:abstractNum w:abstractNumId="1" w15:restartNumberingAfterBreak="0">
    <w:nsid w:val="059B387C"/>
    <w:multiLevelType w:val="hybridMultilevel"/>
    <w:tmpl w:val="36D25F9E"/>
    <w:lvl w:ilvl="0" w:tplc="BB9CCAB8">
      <w:start w:val="1"/>
      <w:numFmt w:val="bullet"/>
      <w:lvlText w:val="-"/>
      <w:lvlJc w:val="left"/>
      <w:pPr>
        <w:ind w:left="720" w:hanging="360"/>
      </w:pPr>
      <w:rPr>
        <w:rFonts w:ascii="&quot;Times New Roman&quot;,serif" w:hAnsi="&quot;Times New Roman&quot;,serif" w:hint="default"/>
      </w:rPr>
    </w:lvl>
    <w:lvl w:ilvl="1" w:tplc="7CF0AB2E">
      <w:start w:val="1"/>
      <w:numFmt w:val="bullet"/>
      <w:lvlText w:val="o"/>
      <w:lvlJc w:val="left"/>
      <w:pPr>
        <w:ind w:left="1440" w:hanging="360"/>
      </w:pPr>
      <w:rPr>
        <w:rFonts w:ascii="Courier New" w:hAnsi="Courier New" w:hint="default"/>
      </w:rPr>
    </w:lvl>
    <w:lvl w:ilvl="2" w:tplc="AB58C820">
      <w:start w:val="1"/>
      <w:numFmt w:val="bullet"/>
      <w:lvlText w:val=""/>
      <w:lvlJc w:val="left"/>
      <w:pPr>
        <w:ind w:left="2160" w:hanging="360"/>
      </w:pPr>
      <w:rPr>
        <w:rFonts w:ascii="Wingdings" w:hAnsi="Wingdings" w:hint="default"/>
      </w:rPr>
    </w:lvl>
    <w:lvl w:ilvl="3" w:tplc="183AEE82">
      <w:start w:val="1"/>
      <w:numFmt w:val="bullet"/>
      <w:lvlText w:val=""/>
      <w:lvlJc w:val="left"/>
      <w:pPr>
        <w:ind w:left="2880" w:hanging="360"/>
      </w:pPr>
      <w:rPr>
        <w:rFonts w:ascii="Symbol" w:hAnsi="Symbol" w:hint="default"/>
      </w:rPr>
    </w:lvl>
    <w:lvl w:ilvl="4" w:tplc="A218083C">
      <w:start w:val="1"/>
      <w:numFmt w:val="bullet"/>
      <w:lvlText w:val="o"/>
      <w:lvlJc w:val="left"/>
      <w:pPr>
        <w:ind w:left="3600" w:hanging="360"/>
      </w:pPr>
      <w:rPr>
        <w:rFonts w:ascii="Courier New" w:hAnsi="Courier New" w:hint="default"/>
      </w:rPr>
    </w:lvl>
    <w:lvl w:ilvl="5" w:tplc="296EA886">
      <w:start w:val="1"/>
      <w:numFmt w:val="bullet"/>
      <w:lvlText w:val=""/>
      <w:lvlJc w:val="left"/>
      <w:pPr>
        <w:ind w:left="4320" w:hanging="360"/>
      </w:pPr>
      <w:rPr>
        <w:rFonts w:ascii="Wingdings" w:hAnsi="Wingdings" w:hint="default"/>
      </w:rPr>
    </w:lvl>
    <w:lvl w:ilvl="6" w:tplc="99721432">
      <w:start w:val="1"/>
      <w:numFmt w:val="bullet"/>
      <w:lvlText w:val=""/>
      <w:lvlJc w:val="left"/>
      <w:pPr>
        <w:ind w:left="5040" w:hanging="360"/>
      </w:pPr>
      <w:rPr>
        <w:rFonts w:ascii="Symbol" w:hAnsi="Symbol" w:hint="default"/>
      </w:rPr>
    </w:lvl>
    <w:lvl w:ilvl="7" w:tplc="2DC8D0A0">
      <w:start w:val="1"/>
      <w:numFmt w:val="bullet"/>
      <w:lvlText w:val="o"/>
      <w:lvlJc w:val="left"/>
      <w:pPr>
        <w:ind w:left="5760" w:hanging="360"/>
      </w:pPr>
      <w:rPr>
        <w:rFonts w:ascii="Courier New" w:hAnsi="Courier New" w:hint="default"/>
      </w:rPr>
    </w:lvl>
    <w:lvl w:ilvl="8" w:tplc="35A8BFF8">
      <w:start w:val="1"/>
      <w:numFmt w:val="bullet"/>
      <w:lvlText w:val=""/>
      <w:lvlJc w:val="left"/>
      <w:pPr>
        <w:ind w:left="6480" w:hanging="360"/>
      </w:pPr>
      <w:rPr>
        <w:rFonts w:ascii="Wingdings" w:hAnsi="Wingdings" w:hint="default"/>
      </w:rPr>
    </w:lvl>
  </w:abstractNum>
  <w:abstractNum w:abstractNumId="2" w15:restartNumberingAfterBreak="0">
    <w:nsid w:val="0D8E26F9"/>
    <w:multiLevelType w:val="hybridMultilevel"/>
    <w:tmpl w:val="CC544018"/>
    <w:lvl w:ilvl="0" w:tplc="3A484EE8">
      <w:start w:val="1"/>
      <w:numFmt w:val="bullet"/>
      <w:lvlText w:val=""/>
      <w:lvlJc w:val="left"/>
      <w:pPr>
        <w:ind w:left="720" w:hanging="360"/>
      </w:pPr>
      <w:rPr>
        <w:rFonts w:ascii="Symbol" w:hAnsi="Symbol" w:hint="default"/>
      </w:rPr>
    </w:lvl>
    <w:lvl w:ilvl="1" w:tplc="8CB80338">
      <w:start w:val="1"/>
      <w:numFmt w:val="bullet"/>
      <w:lvlText w:val="o"/>
      <w:lvlJc w:val="left"/>
      <w:pPr>
        <w:ind w:left="1440" w:hanging="360"/>
      </w:pPr>
      <w:rPr>
        <w:rFonts w:ascii="Courier New" w:hAnsi="Courier New" w:hint="default"/>
      </w:rPr>
    </w:lvl>
    <w:lvl w:ilvl="2" w:tplc="E1CAB086">
      <w:start w:val="1"/>
      <w:numFmt w:val="bullet"/>
      <w:lvlText w:val=""/>
      <w:lvlJc w:val="left"/>
      <w:pPr>
        <w:ind w:left="2160" w:hanging="360"/>
      </w:pPr>
      <w:rPr>
        <w:rFonts w:ascii="Wingdings" w:hAnsi="Wingdings" w:hint="default"/>
      </w:rPr>
    </w:lvl>
    <w:lvl w:ilvl="3" w:tplc="971A462E">
      <w:start w:val="1"/>
      <w:numFmt w:val="bullet"/>
      <w:lvlText w:val=""/>
      <w:lvlJc w:val="left"/>
      <w:pPr>
        <w:ind w:left="2880" w:hanging="360"/>
      </w:pPr>
      <w:rPr>
        <w:rFonts w:ascii="Symbol" w:hAnsi="Symbol" w:hint="default"/>
      </w:rPr>
    </w:lvl>
    <w:lvl w:ilvl="4" w:tplc="D45A3A9C">
      <w:start w:val="1"/>
      <w:numFmt w:val="bullet"/>
      <w:lvlText w:val="o"/>
      <w:lvlJc w:val="left"/>
      <w:pPr>
        <w:ind w:left="3600" w:hanging="360"/>
      </w:pPr>
      <w:rPr>
        <w:rFonts w:ascii="Courier New" w:hAnsi="Courier New" w:hint="default"/>
      </w:rPr>
    </w:lvl>
    <w:lvl w:ilvl="5" w:tplc="F566F4D8">
      <w:start w:val="1"/>
      <w:numFmt w:val="bullet"/>
      <w:lvlText w:val=""/>
      <w:lvlJc w:val="left"/>
      <w:pPr>
        <w:ind w:left="4320" w:hanging="360"/>
      </w:pPr>
      <w:rPr>
        <w:rFonts w:ascii="Wingdings" w:hAnsi="Wingdings" w:hint="default"/>
      </w:rPr>
    </w:lvl>
    <w:lvl w:ilvl="6" w:tplc="92C411D2">
      <w:start w:val="1"/>
      <w:numFmt w:val="bullet"/>
      <w:lvlText w:val=""/>
      <w:lvlJc w:val="left"/>
      <w:pPr>
        <w:ind w:left="5040" w:hanging="360"/>
      </w:pPr>
      <w:rPr>
        <w:rFonts w:ascii="Symbol" w:hAnsi="Symbol" w:hint="default"/>
      </w:rPr>
    </w:lvl>
    <w:lvl w:ilvl="7" w:tplc="220EC6A2">
      <w:start w:val="1"/>
      <w:numFmt w:val="bullet"/>
      <w:lvlText w:val="o"/>
      <w:lvlJc w:val="left"/>
      <w:pPr>
        <w:ind w:left="5760" w:hanging="360"/>
      </w:pPr>
      <w:rPr>
        <w:rFonts w:ascii="Courier New" w:hAnsi="Courier New" w:hint="default"/>
      </w:rPr>
    </w:lvl>
    <w:lvl w:ilvl="8" w:tplc="B3A8D970">
      <w:start w:val="1"/>
      <w:numFmt w:val="bullet"/>
      <w:lvlText w:val=""/>
      <w:lvlJc w:val="left"/>
      <w:pPr>
        <w:ind w:left="6480" w:hanging="360"/>
      </w:pPr>
      <w:rPr>
        <w:rFonts w:ascii="Wingdings" w:hAnsi="Wingdings" w:hint="default"/>
      </w:rPr>
    </w:lvl>
  </w:abstractNum>
  <w:abstractNum w:abstractNumId="3" w15:restartNumberingAfterBreak="0">
    <w:nsid w:val="0E410D7A"/>
    <w:multiLevelType w:val="hybridMultilevel"/>
    <w:tmpl w:val="8B8A9134"/>
    <w:lvl w:ilvl="0" w:tplc="FFFFFFFF">
      <w:start w:val="1"/>
      <w:numFmt w:val="bullet"/>
      <w:lvlText w:val=""/>
      <w:lvlJc w:val="left"/>
      <w:pPr>
        <w:ind w:left="360" w:hanging="360"/>
      </w:pPr>
      <w:rPr>
        <w:rFonts w:ascii="Symbol" w:hAnsi="Symbol" w:hint="default"/>
      </w:rPr>
    </w:lvl>
    <w:lvl w:ilvl="1" w:tplc="EB141E7E">
      <w:start w:val="1"/>
      <w:numFmt w:val="bullet"/>
      <w:lvlText w:val="o"/>
      <w:lvlJc w:val="left"/>
      <w:pPr>
        <w:ind w:left="1080" w:hanging="360"/>
      </w:pPr>
      <w:rPr>
        <w:rFonts w:ascii="Courier New" w:hAnsi="Courier New" w:hint="default"/>
      </w:rPr>
    </w:lvl>
    <w:lvl w:ilvl="2" w:tplc="34C4B53A">
      <w:start w:val="1"/>
      <w:numFmt w:val="bullet"/>
      <w:lvlText w:val=""/>
      <w:lvlJc w:val="left"/>
      <w:pPr>
        <w:ind w:left="1800" w:hanging="360"/>
      </w:pPr>
      <w:rPr>
        <w:rFonts w:ascii="Wingdings" w:hAnsi="Wingdings" w:hint="default"/>
      </w:rPr>
    </w:lvl>
    <w:lvl w:ilvl="3" w:tplc="EEE0C4BC">
      <w:start w:val="1"/>
      <w:numFmt w:val="bullet"/>
      <w:lvlText w:val=""/>
      <w:lvlJc w:val="left"/>
      <w:pPr>
        <w:ind w:left="2520" w:hanging="360"/>
      </w:pPr>
      <w:rPr>
        <w:rFonts w:ascii="Symbol" w:hAnsi="Symbol" w:hint="default"/>
      </w:rPr>
    </w:lvl>
    <w:lvl w:ilvl="4" w:tplc="0E44AD78">
      <w:start w:val="1"/>
      <w:numFmt w:val="bullet"/>
      <w:lvlText w:val="o"/>
      <w:lvlJc w:val="left"/>
      <w:pPr>
        <w:ind w:left="3240" w:hanging="360"/>
      </w:pPr>
      <w:rPr>
        <w:rFonts w:ascii="Courier New" w:hAnsi="Courier New" w:hint="default"/>
      </w:rPr>
    </w:lvl>
    <w:lvl w:ilvl="5" w:tplc="8348FB02">
      <w:start w:val="1"/>
      <w:numFmt w:val="bullet"/>
      <w:lvlText w:val=""/>
      <w:lvlJc w:val="left"/>
      <w:pPr>
        <w:ind w:left="3960" w:hanging="360"/>
      </w:pPr>
      <w:rPr>
        <w:rFonts w:ascii="Wingdings" w:hAnsi="Wingdings" w:hint="default"/>
      </w:rPr>
    </w:lvl>
    <w:lvl w:ilvl="6" w:tplc="1BC851D8">
      <w:start w:val="1"/>
      <w:numFmt w:val="bullet"/>
      <w:lvlText w:val=""/>
      <w:lvlJc w:val="left"/>
      <w:pPr>
        <w:ind w:left="4680" w:hanging="360"/>
      </w:pPr>
      <w:rPr>
        <w:rFonts w:ascii="Symbol" w:hAnsi="Symbol" w:hint="default"/>
      </w:rPr>
    </w:lvl>
    <w:lvl w:ilvl="7" w:tplc="633C536C">
      <w:start w:val="1"/>
      <w:numFmt w:val="bullet"/>
      <w:lvlText w:val="o"/>
      <w:lvlJc w:val="left"/>
      <w:pPr>
        <w:ind w:left="5400" w:hanging="360"/>
      </w:pPr>
      <w:rPr>
        <w:rFonts w:ascii="Courier New" w:hAnsi="Courier New" w:hint="default"/>
      </w:rPr>
    </w:lvl>
    <w:lvl w:ilvl="8" w:tplc="BEDEF2EC">
      <w:start w:val="1"/>
      <w:numFmt w:val="bullet"/>
      <w:lvlText w:val=""/>
      <w:lvlJc w:val="left"/>
      <w:pPr>
        <w:ind w:left="6120" w:hanging="360"/>
      </w:pPr>
      <w:rPr>
        <w:rFonts w:ascii="Wingdings" w:hAnsi="Wingdings" w:hint="default"/>
      </w:rPr>
    </w:lvl>
  </w:abstractNum>
  <w:abstractNum w:abstractNumId="4" w15:restartNumberingAfterBreak="0">
    <w:nsid w:val="0F003567"/>
    <w:multiLevelType w:val="hybridMultilevel"/>
    <w:tmpl w:val="E2F0B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C0E81"/>
    <w:multiLevelType w:val="hybridMultilevel"/>
    <w:tmpl w:val="1BA849C2"/>
    <w:lvl w:ilvl="0" w:tplc="17989E5A">
      <w:start w:val="1"/>
      <w:numFmt w:val="bullet"/>
      <w:lvlText w:val=""/>
      <w:lvlJc w:val="left"/>
      <w:pPr>
        <w:ind w:left="720" w:hanging="360"/>
      </w:pPr>
      <w:rPr>
        <w:rFonts w:ascii="Symbol" w:hAnsi="Symbol" w:hint="default"/>
      </w:rPr>
    </w:lvl>
    <w:lvl w:ilvl="1" w:tplc="88A003A4">
      <w:start w:val="1"/>
      <w:numFmt w:val="bullet"/>
      <w:lvlText w:val="o"/>
      <w:lvlJc w:val="left"/>
      <w:pPr>
        <w:ind w:left="1440" w:hanging="360"/>
      </w:pPr>
      <w:rPr>
        <w:rFonts w:ascii="Courier New" w:hAnsi="Courier New" w:hint="default"/>
      </w:rPr>
    </w:lvl>
    <w:lvl w:ilvl="2" w:tplc="0AD62982">
      <w:start w:val="1"/>
      <w:numFmt w:val="bullet"/>
      <w:lvlText w:val=""/>
      <w:lvlJc w:val="left"/>
      <w:pPr>
        <w:ind w:left="2160" w:hanging="360"/>
      </w:pPr>
      <w:rPr>
        <w:rFonts w:ascii="Wingdings" w:hAnsi="Wingdings" w:hint="default"/>
      </w:rPr>
    </w:lvl>
    <w:lvl w:ilvl="3" w:tplc="CCCAE1A4">
      <w:start w:val="1"/>
      <w:numFmt w:val="bullet"/>
      <w:lvlText w:val=""/>
      <w:lvlJc w:val="left"/>
      <w:pPr>
        <w:ind w:left="2880" w:hanging="360"/>
      </w:pPr>
      <w:rPr>
        <w:rFonts w:ascii="Symbol" w:hAnsi="Symbol" w:hint="default"/>
      </w:rPr>
    </w:lvl>
    <w:lvl w:ilvl="4" w:tplc="D6FE5874">
      <w:start w:val="1"/>
      <w:numFmt w:val="bullet"/>
      <w:lvlText w:val="o"/>
      <w:lvlJc w:val="left"/>
      <w:pPr>
        <w:ind w:left="3600" w:hanging="360"/>
      </w:pPr>
      <w:rPr>
        <w:rFonts w:ascii="Courier New" w:hAnsi="Courier New" w:hint="default"/>
      </w:rPr>
    </w:lvl>
    <w:lvl w:ilvl="5" w:tplc="AC3608CE">
      <w:start w:val="1"/>
      <w:numFmt w:val="bullet"/>
      <w:lvlText w:val=""/>
      <w:lvlJc w:val="left"/>
      <w:pPr>
        <w:ind w:left="4320" w:hanging="360"/>
      </w:pPr>
      <w:rPr>
        <w:rFonts w:ascii="Wingdings" w:hAnsi="Wingdings" w:hint="default"/>
      </w:rPr>
    </w:lvl>
    <w:lvl w:ilvl="6" w:tplc="2D4E51AA">
      <w:start w:val="1"/>
      <w:numFmt w:val="bullet"/>
      <w:lvlText w:val=""/>
      <w:lvlJc w:val="left"/>
      <w:pPr>
        <w:ind w:left="5040" w:hanging="360"/>
      </w:pPr>
      <w:rPr>
        <w:rFonts w:ascii="Symbol" w:hAnsi="Symbol" w:hint="default"/>
      </w:rPr>
    </w:lvl>
    <w:lvl w:ilvl="7" w:tplc="5B70740C">
      <w:start w:val="1"/>
      <w:numFmt w:val="bullet"/>
      <w:lvlText w:val="o"/>
      <w:lvlJc w:val="left"/>
      <w:pPr>
        <w:ind w:left="5760" w:hanging="360"/>
      </w:pPr>
      <w:rPr>
        <w:rFonts w:ascii="Courier New" w:hAnsi="Courier New" w:hint="default"/>
      </w:rPr>
    </w:lvl>
    <w:lvl w:ilvl="8" w:tplc="7A14C50C">
      <w:start w:val="1"/>
      <w:numFmt w:val="bullet"/>
      <w:lvlText w:val=""/>
      <w:lvlJc w:val="left"/>
      <w:pPr>
        <w:ind w:left="6480" w:hanging="360"/>
      </w:pPr>
      <w:rPr>
        <w:rFonts w:ascii="Wingdings" w:hAnsi="Wingdings" w:hint="default"/>
      </w:rPr>
    </w:lvl>
  </w:abstractNum>
  <w:abstractNum w:abstractNumId="6" w15:restartNumberingAfterBreak="0">
    <w:nsid w:val="1C7B624F"/>
    <w:multiLevelType w:val="multilevel"/>
    <w:tmpl w:val="4498CC64"/>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15:restartNumberingAfterBreak="0">
    <w:nsid w:val="1CB74320"/>
    <w:multiLevelType w:val="hybridMultilevel"/>
    <w:tmpl w:val="C324B0B4"/>
    <w:lvl w:ilvl="0" w:tplc="98741AF0">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168BB"/>
    <w:multiLevelType w:val="hybridMultilevel"/>
    <w:tmpl w:val="2D06976C"/>
    <w:lvl w:ilvl="0" w:tplc="8C9E0FD8">
      <w:start w:val="1"/>
      <w:numFmt w:val="bullet"/>
      <w:lvlText w:val=""/>
      <w:lvlJc w:val="left"/>
      <w:pPr>
        <w:ind w:left="720" w:hanging="360"/>
      </w:pPr>
      <w:rPr>
        <w:rFonts w:ascii="Symbol" w:hAnsi="Symbol" w:hint="default"/>
      </w:rPr>
    </w:lvl>
    <w:lvl w:ilvl="1" w:tplc="32B25A02">
      <w:start w:val="1"/>
      <w:numFmt w:val="bullet"/>
      <w:lvlText w:val="o"/>
      <w:lvlJc w:val="left"/>
      <w:pPr>
        <w:ind w:left="1440" w:hanging="360"/>
      </w:pPr>
      <w:rPr>
        <w:rFonts w:ascii="Courier New" w:hAnsi="Courier New" w:hint="default"/>
      </w:rPr>
    </w:lvl>
    <w:lvl w:ilvl="2" w:tplc="5BA677C8">
      <w:start w:val="1"/>
      <w:numFmt w:val="bullet"/>
      <w:lvlText w:val=""/>
      <w:lvlJc w:val="left"/>
      <w:pPr>
        <w:ind w:left="2160" w:hanging="360"/>
      </w:pPr>
      <w:rPr>
        <w:rFonts w:ascii="Wingdings" w:hAnsi="Wingdings" w:hint="default"/>
      </w:rPr>
    </w:lvl>
    <w:lvl w:ilvl="3" w:tplc="C30C5C9C">
      <w:start w:val="1"/>
      <w:numFmt w:val="bullet"/>
      <w:lvlText w:val=""/>
      <w:lvlJc w:val="left"/>
      <w:pPr>
        <w:ind w:left="2880" w:hanging="360"/>
      </w:pPr>
      <w:rPr>
        <w:rFonts w:ascii="Symbol" w:hAnsi="Symbol" w:hint="default"/>
      </w:rPr>
    </w:lvl>
    <w:lvl w:ilvl="4" w:tplc="46D49332">
      <w:start w:val="1"/>
      <w:numFmt w:val="bullet"/>
      <w:lvlText w:val="o"/>
      <w:lvlJc w:val="left"/>
      <w:pPr>
        <w:ind w:left="3600" w:hanging="360"/>
      </w:pPr>
      <w:rPr>
        <w:rFonts w:ascii="Courier New" w:hAnsi="Courier New" w:hint="default"/>
      </w:rPr>
    </w:lvl>
    <w:lvl w:ilvl="5" w:tplc="60007E1C">
      <w:start w:val="1"/>
      <w:numFmt w:val="bullet"/>
      <w:lvlText w:val=""/>
      <w:lvlJc w:val="left"/>
      <w:pPr>
        <w:ind w:left="4320" w:hanging="360"/>
      </w:pPr>
      <w:rPr>
        <w:rFonts w:ascii="Wingdings" w:hAnsi="Wingdings" w:hint="default"/>
      </w:rPr>
    </w:lvl>
    <w:lvl w:ilvl="6" w:tplc="81FE610A">
      <w:start w:val="1"/>
      <w:numFmt w:val="bullet"/>
      <w:lvlText w:val=""/>
      <w:lvlJc w:val="left"/>
      <w:pPr>
        <w:ind w:left="5040" w:hanging="360"/>
      </w:pPr>
      <w:rPr>
        <w:rFonts w:ascii="Symbol" w:hAnsi="Symbol" w:hint="default"/>
      </w:rPr>
    </w:lvl>
    <w:lvl w:ilvl="7" w:tplc="5922F254">
      <w:start w:val="1"/>
      <w:numFmt w:val="bullet"/>
      <w:lvlText w:val="o"/>
      <w:lvlJc w:val="left"/>
      <w:pPr>
        <w:ind w:left="5760" w:hanging="360"/>
      </w:pPr>
      <w:rPr>
        <w:rFonts w:ascii="Courier New" w:hAnsi="Courier New" w:hint="default"/>
      </w:rPr>
    </w:lvl>
    <w:lvl w:ilvl="8" w:tplc="43FEC652">
      <w:start w:val="1"/>
      <w:numFmt w:val="bullet"/>
      <w:lvlText w:val=""/>
      <w:lvlJc w:val="left"/>
      <w:pPr>
        <w:ind w:left="6480" w:hanging="360"/>
      </w:pPr>
      <w:rPr>
        <w:rFonts w:ascii="Wingdings" w:hAnsi="Wingdings" w:hint="default"/>
      </w:rPr>
    </w:lvl>
  </w:abstractNum>
  <w:abstractNum w:abstractNumId="9" w15:restartNumberingAfterBreak="0">
    <w:nsid w:val="20C67AB4"/>
    <w:multiLevelType w:val="hybridMultilevel"/>
    <w:tmpl w:val="241CC716"/>
    <w:lvl w:ilvl="0" w:tplc="2892E602">
      <w:start w:val="1"/>
      <w:numFmt w:val="bullet"/>
      <w:lvlText w:val="·"/>
      <w:lvlJc w:val="left"/>
      <w:pPr>
        <w:ind w:left="360" w:hanging="360"/>
      </w:pPr>
      <w:rPr>
        <w:rFonts w:ascii="Symbol" w:hAnsi="Symbol" w:hint="default"/>
      </w:rPr>
    </w:lvl>
    <w:lvl w:ilvl="1" w:tplc="812CEAEA">
      <w:start w:val="1"/>
      <w:numFmt w:val="bullet"/>
      <w:lvlText w:val="o"/>
      <w:lvlJc w:val="left"/>
      <w:pPr>
        <w:ind w:left="1080" w:hanging="360"/>
      </w:pPr>
      <w:rPr>
        <w:rFonts w:ascii="Courier New" w:hAnsi="Courier New" w:hint="default"/>
      </w:rPr>
    </w:lvl>
    <w:lvl w:ilvl="2" w:tplc="A82E769E">
      <w:start w:val="1"/>
      <w:numFmt w:val="bullet"/>
      <w:lvlText w:val=""/>
      <w:lvlJc w:val="left"/>
      <w:pPr>
        <w:ind w:left="1800" w:hanging="360"/>
      </w:pPr>
      <w:rPr>
        <w:rFonts w:ascii="Wingdings" w:hAnsi="Wingdings" w:hint="default"/>
      </w:rPr>
    </w:lvl>
    <w:lvl w:ilvl="3" w:tplc="F8706D1C">
      <w:start w:val="1"/>
      <w:numFmt w:val="bullet"/>
      <w:lvlText w:val=""/>
      <w:lvlJc w:val="left"/>
      <w:pPr>
        <w:ind w:left="2520" w:hanging="360"/>
      </w:pPr>
      <w:rPr>
        <w:rFonts w:ascii="Symbol" w:hAnsi="Symbol" w:hint="default"/>
      </w:rPr>
    </w:lvl>
    <w:lvl w:ilvl="4" w:tplc="2F121378">
      <w:start w:val="1"/>
      <w:numFmt w:val="bullet"/>
      <w:lvlText w:val="o"/>
      <w:lvlJc w:val="left"/>
      <w:pPr>
        <w:ind w:left="3240" w:hanging="360"/>
      </w:pPr>
      <w:rPr>
        <w:rFonts w:ascii="Courier New" w:hAnsi="Courier New" w:hint="default"/>
      </w:rPr>
    </w:lvl>
    <w:lvl w:ilvl="5" w:tplc="68A623B8">
      <w:start w:val="1"/>
      <w:numFmt w:val="bullet"/>
      <w:lvlText w:val=""/>
      <w:lvlJc w:val="left"/>
      <w:pPr>
        <w:ind w:left="3960" w:hanging="360"/>
      </w:pPr>
      <w:rPr>
        <w:rFonts w:ascii="Wingdings" w:hAnsi="Wingdings" w:hint="default"/>
      </w:rPr>
    </w:lvl>
    <w:lvl w:ilvl="6" w:tplc="B6FC885C">
      <w:start w:val="1"/>
      <w:numFmt w:val="bullet"/>
      <w:lvlText w:val=""/>
      <w:lvlJc w:val="left"/>
      <w:pPr>
        <w:ind w:left="4680" w:hanging="360"/>
      </w:pPr>
      <w:rPr>
        <w:rFonts w:ascii="Symbol" w:hAnsi="Symbol" w:hint="default"/>
      </w:rPr>
    </w:lvl>
    <w:lvl w:ilvl="7" w:tplc="9C7A92EA">
      <w:start w:val="1"/>
      <w:numFmt w:val="bullet"/>
      <w:lvlText w:val="o"/>
      <w:lvlJc w:val="left"/>
      <w:pPr>
        <w:ind w:left="5400" w:hanging="360"/>
      </w:pPr>
      <w:rPr>
        <w:rFonts w:ascii="Courier New" w:hAnsi="Courier New" w:hint="default"/>
      </w:rPr>
    </w:lvl>
    <w:lvl w:ilvl="8" w:tplc="C1905C14">
      <w:start w:val="1"/>
      <w:numFmt w:val="bullet"/>
      <w:lvlText w:val=""/>
      <w:lvlJc w:val="left"/>
      <w:pPr>
        <w:ind w:left="6120" w:hanging="360"/>
      </w:pPr>
      <w:rPr>
        <w:rFonts w:ascii="Wingdings" w:hAnsi="Wingdings" w:hint="default"/>
      </w:rPr>
    </w:lvl>
  </w:abstractNum>
  <w:abstractNum w:abstractNumId="10" w15:restartNumberingAfterBreak="0">
    <w:nsid w:val="2AC50135"/>
    <w:multiLevelType w:val="hybridMultilevel"/>
    <w:tmpl w:val="878C9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633743"/>
    <w:multiLevelType w:val="hybridMultilevel"/>
    <w:tmpl w:val="749ACDB8"/>
    <w:lvl w:ilvl="0" w:tplc="B364B83A">
      <w:start w:val="1"/>
      <w:numFmt w:val="bullet"/>
      <w:lvlText w:val=""/>
      <w:lvlJc w:val="left"/>
      <w:pPr>
        <w:ind w:left="360" w:hanging="360"/>
      </w:pPr>
      <w:rPr>
        <w:rFonts w:ascii="Symbol" w:hAnsi="Symbol" w:hint="default"/>
      </w:rPr>
    </w:lvl>
    <w:lvl w:ilvl="1" w:tplc="01B00CF0">
      <w:start w:val="1"/>
      <w:numFmt w:val="bullet"/>
      <w:lvlText w:val="o"/>
      <w:lvlJc w:val="left"/>
      <w:pPr>
        <w:ind w:left="1080" w:hanging="360"/>
      </w:pPr>
      <w:rPr>
        <w:rFonts w:ascii="Courier New" w:hAnsi="Courier New" w:hint="default"/>
      </w:rPr>
    </w:lvl>
    <w:lvl w:ilvl="2" w:tplc="9542B188">
      <w:start w:val="1"/>
      <w:numFmt w:val="bullet"/>
      <w:lvlText w:val=""/>
      <w:lvlJc w:val="left"/>
      <w:pPr>
        <w:ind w:left="1800" w:hanging="360"/>
      </w:pPr>
      <w:rPr>
        <w:rFonts w:ascii="Wingdings" w:hAnsi="Wingdings" w:hint="default"/>
      </w:rPr>
    </w:lvl>
    <w:lvl w:ilvl="3" w:tplc="1F72B52C">
      <w:start w:val="1"/>
      <w:numFmt w:val="bullet"/>
      <w:lvlText w:val=""/>
      <w:lvlJc w:val="left"/>
      <w:pPr>
        <w:ind w:left="2520" w:hanging="360"/>
      </w:pPr>
      <w:rPr>
        <w:rFonts w:ascii="Symbol" w:hAnsi="Symbol" w:hint="default"/>
      </w:rPr>
    </w:lvl>
    <w:lvl w:ilvl="4" w:tplc="CF1AC736">
      <w:start w:val="1"/>
      <w:numFmt w:val="bullet"/>
      <w:lvlText w:val="o"/>
      <w:lvlJc w:val="left"/>
      <w:pPr>
        <w:ind w:left="3240" w:hanging="360"/>
      </w:pPr>
      <w:rPr>
        <w:rFonts w:ascii="Courier New" w:hAnsi="Courier New" w:hint="default"/>
      </w:rPr>
    </w:lvl>
    <w:lvl w:ilvl="5" w:tplc="D95E9712">
      <w:start w:val="1"/>
      <w:numFmt w:val="bullet"/>
      <w:lvlText w:val=""/>
      <w:lvlJc w:val="left"/>
      <w:pPr>
        <w:ind w:left="3960" w:hanging="360"/>
      </w:pPr>
      <w:rPr>
        <w:rFonts w:ascii="Wingdings" w:hAnsi="Wingdings" w:hint="default"/>
      </w:rPr>
    </w:lvl>
    <w:lvl w:ilvl="6" w:tplc="04F0CA44">
      <w:start w:val="1"/>
      <w:numFmt w:val="bullet"/>
      <w:lvlText w:val=""/>
      <w:lvlJc w:val="left"/>
      <w:pPr>
        <w:ind w:left="4680" w:hanging="360"/>
      </w:pPr>
      <w:rPr>
        <w:rFonts w:ascii="Symbol" w:hAnsi="Symbol" w:hint="default"/>
      </w:rPr>
    </w:lvl>
    <w:lvl w:ilvl="7" w:tplc="07E09D2A">
      <w:start w:val="1"/>
      <w:numFmt w:val="bullet"/>
      <w:lvlText w:val="o"/>
      <w:lvlJc w:val="left"/>
      <w:pPr>
        <w:ind w:left="5400" w:hanging="360"/>
      </w:pPr>
      <w:rPr>
        <w:rFonts w:ascii="Courier New" w:hAnsi="Courier New" w:hint="default"/>
      </w:rPr>
    </w:lvl>
    <w:lvl w:ilvl="8" w:tplc="C8AC26AE">
      <w:start w:val="1"/>
      <w:numFmt w:val="bullet"/>
      <w:lvlText w:val=""/>
      <w:lvlJc w:val="left"/>
      <w:pPr>
        <w:ind w:left="6120" w:hanging="360"/>
      </w:pPr>
      <w:rPr>
        <w:rFonts w:ascii="Wingdings" w:hAnsi="Wingdings" w:hint="default"/>
      </w:rPr>
    </w:lvl>
  </w:abstractNum>
  <w:abstractNum w:abstractNumId="12" w15:restartNumberingAfterBreak="0">
    <w:nsid w:val="2D5B3C44"/>
    <w:multiLevelType w:val="hybridMultilevel"/>
    <w:tmpl w:val="82C66E4A"/>
    <w:lvl w:ilvl="0" w:tplc="FFFFFFFF">
      <w:start w:val="1"/>
      <w:numFmt w:val="bullet"/>
      <w:lvlText w:val=""/>
      <w:lvlJc w:val="left"/>
      <w:pPr>
        <w:ind w:left="720" w:hanging="360"/>
      </w:pPr>
      <w:rPr>
        <w:rFonts w:ascii="Symbol" w:hAnsi="Symbol" w:hint="default"/>
      </w:rPr>
    </w:lvl>
    <w:lvl w:ilvl="1" w:tplc="54128BBA">
      <w:start w:val="1"/>
      <w:numFmt w:val="bullet"/>
      <w:lvlText w:val="o"/>
      <w:lvlJc w:val="left"/>
      <w:pPr>
        <w:ind w:left="1440" w:hanging="360"/>
      </w:pPr>
      <w:rPr>
        <w:rFonts w:ascii="Courier New" w:hAnsi="Courier New" w:hint="default"/>
      </w:rPr>
    </w:lvl>
    <w:lvl w:ilvl="2" w:tplc="C00C1AD0">
      <w:start w:val="1"/>
      <w:numFmt w:val="bullet"/>
      <w:lvlText w:val=""/>
      <w:lvlJc w:val="left"/>
      <w:pPr>
        <w:ind w:left="2160" w:hanging="360"/>
      </w:pPr>
      <w:rPr>
        <w:rFonts w:ascii="Wingdings" w:hAnsi="Wingdings" w:hint="default"/>
      </w:rPr>
    </w:lvl>
    <w:lvl w:ilvl="3" w:tplc="0F105B4A">
      <w:start w:val="1"/>
      <w:numFmt w:val="bullet"/>
      <w:lvlText w:val=""/>
      <w:lvlJc w:val="left"/>
      <w:pPr>
        <w:ind w:left="2880" w:hanging="360"/>
      </w:pPr>
      <w:rPr>
        <w:rFonts w:ascii="Symbol" w:hAnsi="Symbol" w:hint="default"/>
      </w:rPr>
    </w:lvl>
    <w:lvl w:ilvl="4" w:tplc="979EF384">
      <w:start w:val="1"/>
      <w:numFmt w:val="bullet"/>
      <w:lvlText w:val="o"/>
      <w:lvlJc w:val="left"/>
      <w:pPr>
        <w:ind w:left="3600" w:hanging="360"/>
      </w:pPr>
      <w:rPr>
        <w:rFonts w:ascii="Courier New" w:hAnsi="Courier New" w:hint="default"/>
      </w:rPr>
    </w:lvl>
    <w:lvl w:ilvl="5" w:tplc="A6B4E222">
      <w:start w:val="1"/>
      <w:numFmt w:val="bullet"/>
      <w:lvlText w:val=""/>
      <w:lvlJc w:val="left"/>
      <w:pPr>
        <w:ind w:left="4320" w:hanging="360"/>
      </w:pPr>
      <w:rPr>
        <w:rFonts w:ascii="Wingdings" w:hAnsi="Wingdings" w:hint="default"/>
      </w:rPr>
    </w:lvl>
    <w:lvl w:ilvl="6" w:tplc="C908C7A6">
      <w:start w:val="1"/>
      <w:numFmt w:val="bullet"/>
      <w:lvlText w:val=""/>
      <w:lvlJc w:val="left"/>
      <w:pPr>
        <w:ind w:left="5040" w:hanging="360"/>
      </w:pPr>
      <w:rPr>
        <w:rFonts w:ascii="Symbol" w:hAnsi="Symbol" w:hint="default"/>
      </w:rPr>
    </w:lvl>
    <w:lvl w:ilvl="7" w:tplc="D200F3EA">
      <w:start w:val="1"/>
      <w:numFmt w:val="bullet"/>
      <w:lvlText w:val="o"/>
      <w:lvlJc w:val="left"/>
      <w:pPr>
        <w:ind w:left="5760" w:hanging="360"/>
      </w:pPr>
      <w:rPr>
        <w:rFonts w:ascii="Courier New" w:hAnsi="Courier New" w:hint="default"/>
      </w:rPr>
    </w:lvl>
    <w:lvl w:ilvl="8" w:tplc="E1926096">
      <w:start w:val="1"/>
      <w:numFmt w:val="bullet"/>
      <w:lvlText w:val=""/>
      <w:lvlJc w:val="left"/>
      <w:pPr>
        <w:ind w:left="6480" w:hanging="360"/>
      </w:pPr>
      <w:rPr>
        <w:rFonts w:ascii="Wingdings" w:hAnsi="Wingdings" w:hint="default"/>
      </w:rPr>
    </w:lvl>
  </w:abstractNum>
  <w:abstractNum w:abstractNumId="13" w15:restartNumberingAfterBreak="0">
    <w:nsid w:val="2DC107B6"/>
    <w:multiLevelType w:val="multilevel"/>
    <w:tmpl w:val="12CE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CB1E1C"/>
    <w:multiLevelType w:val="hybridMultilevel"/>
    <w:tmpl w:val="A328CB54"/>
    <w:name w:val="ListDash1Numbering"/>
    <w:lvl w:ilvl="0" w:tplc="FFFFFFFF">
      <w:start w:val="1"/>
      <w:numFmt w:val="bullet"/>
      <w:pStyle w:val="ListDash1"/>
      <w:lvlText w:val=""/>
      <w:lvlJc w:val="left"/>
      <w:pPr>
        <w:tabs>
          <w:tab w:val="num" w:pos="283"/>
        </w:tabs>
        <w:ind w:left="283" w:hanging="283"/>
      </w:pPr>
      <w:rPr>
        <w:rFonts w:ascii="Symbol" w:hAnsi="Symbol" w:hint="default"/>
      </w:rPr>
    </w:lvl>
    <w:lvl w:ilvl="1" w:tplc="64E88B40">
      <w:start w:val="1"/>
      <w:numFmt w:val="bullet"/>
      <w:pStyle w:val="ListDash1Level2"/>
      <w:lvlText w:val="–"/>
      <w:lvlJc w:val="left"/>
      <w:pPr>
        <w:tabs>
          <w:tab w:val="num" w:pos="567"/>
        </w:tabs>
        <w:ind w:left="567" w:hanging="284"/>
      </w:pPr>
      <w:rPr>
        <w:rFonts w:ascii="Times New Roman" w:hAnsi="Times New Roman" w:hint="default"/>
      </w:rPr>
    </w:lvl>
    <w:lvl w:ilvl="2" w:tplc="B7A6F88E">
      <w:start w:val="1"/>
      <w:numFmt w:val="bullet"/>
      <w:pStyle w:val="ListDash1Level3"/>
      <w:lvlText w:val="–"/>
      <w:lvlJc w:val="left"/>
      <w:pPr>
        <w:tabs>
          <w:tab w:val="num" w:pos="850"/>
        </w:tabs>
        <w:ind w:left="850" w:hanging="283"/>
      </w:pPr>
      <w:rPr>
        <w:rFonts w:ascii="Times New Roman" w:hAnsi="Times New Roman" w:hint="default"/>
      </w:rPr>
    </w:lvl>
    <w:lvl w:ilvl="3" w:tplc="E04ECC28">
      <w:start w:val="1"/>
      <w:numFmt w:val="bullet"/>
      <w:pStyle w:val="ListDash1Level4"/>
      <w:lvlText w:val="–"/>
      <w:lvlJc w:val="left"/>
      <w:pPr>
        <w:tabs>
          <w:tab w:val="num" w:pos="1134"/>
        </w:tabs>
        <w:ind w:left="1134" w:hanging="284"/>
      </w:pPr>
      <w:rPr>
        <w:rFonts w:ascii="Times New Roman" w:hAnsi="Times New Roman" w:hint="default"/>
      </w:rPr>
    </w:lvl>
    <w:lvl w:ilvl="4" w:tplc="93AA4E0C">
      <w:numFmt w:val="decimal"/>
      <w:lvlText w:val=""/>
      <w:lvlJc w:val="left"/>
    </w:lvl>
    <w:lvl w:ilvl="5" w:tplc="85128A72">
      <w:numFmt w:val="decimal"/>
      <w:lvlText w:val=""/>
      <w:lvlJc w:val="left"/>
    </w:lvl>
    <w:lvl w:ilvl="6" w:tplc="D5FCA116">
      <w:numFmt w:val="decimal"/>
      <w:lvlText w:val=""/>
      <w:lvlJc w:val="left"/>
    </w:lvl>
    <w:lvl w:ilvl="7" w:tplc="3A149AC4">
      <w:numFmt w:val="decimal"/>
      <w:lvlText w:val=""/>
      <w:lvlJc w:val="left"/>
    </w:lvl>
    <w:lvl w:ilvl="8" w:tplc="D1E005D2">
      <w:numFmt w:val="decimal"/>
      <w:lvlText w:val=""/>
      <w:lvlJc w:val="left"/>
    </w:lvl>
  </w:abstractNum>
  <w:abstractNum w:abstractNumId="15" w15:restartNumberingAfterBreak="0">
    <w:nsid w:val="392C7B3A"/>
    <w:multiLevelType w:val="hybridMultilevel"/>
    <w:tmpl w:val="DB223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0A302F"/>
    <w:multiLevelType w:val="hybridMultilevel"/>
    <w:tmpl w:val="1F06728A"/>
    <w:lvl w:ilvl="0" w:tplc="8B9C651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9E662A"/>
    <w:multiLevelType w:val="multilevel"/>
    <w:tmpl w:val="419E9C3E"/>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44AC412B"/>
    <w:multiLevelType w:val="hybridMultilevel"/>
    <w:tmpl w:val="CAD0269A"/>
    <w:lvl w:ilvl="0" w:tplc="7ABCE460">
      <w:start w:val="2"/>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4C15FEE"/>
    <w:multiLevelType w:val="hybridMultilevel"/>
    <w:tmpl w:val="0296A916"/>
    <w:lvl w:ilvl="0" w:tplc="910867A0">
      <w:start w:val="1"/>
      <w:numFmt w:val="lowerRoman"/>
      <w:lvlText w:val="%1.)"/>
      <w:lvlJc w:val="left"/>
      <w:pPr>
        <w:ind w:left="720" w:hanging="7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0" w15:restartNumberingAfterBreak="0">
    <w:nsid w:val="45FA3E0C"/>
    <w:multiLevelType w:val="hybridMultilevel"/>
    <w:tmpl w:val="486E022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1" w15:restartNumberingAfterBreak="0">
    <w:nsid w:val="466A111E"/>
    <w:multiLevelType w:val="hybridMultilevel"/>
    <w:tmpl w:val="2064F568"/>
    <w:lvl w:ilvl="0" w:tplc="4C8886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A21155"/>
    <w:multiLevelType w:val="hybridMultilevel"/>
    <w:tmpl w:val="2C8C3C06"/>
    <w:lvl w:ilvl="0" w:tplc="3D08D428">
      <w:start w:val="1"/>
      <w:numFmt w:val="bullet"/>
      <w:lvlText w:val=""/>
      <w:lvlJc w:val="left"/>
      <w:pPr>
        <w:ind w:left="360" w:hanging="360"/>
      </w:pPr>
      <w:rPr>
        <w:rFonts w:ascii="Symbol" w:hAnsi="Symbol" w:hint="default"/>
      </w:rPr>
    </w:lvl>
    <w:lvl w:ilvl="1" w:tplc="ADD0B55C">
      <w:start w:val="1"/>
      <w:numFmt w:val="bullet"/>
      <w:lvlText w:val="o"/>
      <w:lvlJc w:val="left"/>
      <w:pPr>
        <w:ind w:left="1080" w:hanging="360"/>
      </w:pPr>
      <w:rPr>
        <w:rFonts w:ascii="Courier New" w:hAnsi="Courier New" w:hint="default"/>
      </w:rPr>
    </w:lvl>
    <w:lvl w:ilvl="2" w:tplc="2BD87242">
      <w:start w:val="1"/>
      <w:numFmt w:val="bullet"/>
      <w:lvlText w:val=""/>
      <w:lvlJc w:val="left"/>
      <w:pPr>
        <w:ind w:left="1800" w:hanging="360"/>
      </w:pPr>
      <w:rPr>
        <w:rFonts w:ascii="Wingdings" w:hAnsi="Wingdings" w:hint="default"/>
      </w:rPr>
    </w:lvl>
    <w:lvl w:ilvl="3" w:tplc="BA281DB2">
      <w:start w:val="1"/>
      <w:numFmt w:val="bullet"/>
      <w:lvlText w:val=""/>
      <w:lvlJc w:val="left"/>
      <w:pPr>
        <w:ind w:left="2520" w:hanging="360"/>
      </w:pPr>
      <w:rPr>
        <w:rFonts w:ascii="Symbol" w:hAnsi="Symbol" w:hint="default"/>
      </w:rPr>
    </w:lvl>
    <w:lvl w:ilvl="4" w:tplc="9716AB74">
      <w:start w:val="1"/>
      <w:numFmt w:val="bullet"/>
      <w:lvlText w:val="o"/>
      <w:lvlJc w:val="left"/>
      <w:pPr>
        <w:ind w:left="3240" w:hanging="360"/>
      </w:pPr>
      <w:rPr>
        <w:rFonts w:ascii="Courier New" w:hAnsi="Courier New" w:hint="default"/>
      </w:rPr>
    </w:lvl>
    <w:lvl w:ilvl="5" w:tplc="13C49CCA">
      <w:start w:val="1"/>
      <w:numFmt w:val="bullet"/>
      <w:lvlText w:val=""/>
      <w:lvlJc w:val="left"/>
      <w:pPr>
        <w:ind w:left="3960" w:hanging="360"/>
      </w:pPr>
      <w:rPr>
        <w:rFonts w:ascii="Wingdings" w:hAnsi="Wingdings" w:hint="default"/>
      </w:rPr>
    </w:lvl>
    <w:lvl w:ilvl="6" w:tplc="5AD89E52">
      <w:start w:val="1"/>
      <w:numFmt w:val="bullet"/>
      <w:lvlText w:val=""/>
      <w:lvlJc w:val="left"/>
      <w:pPr>
        <w:ind w:left="4680" w:hanging="360"/>
      </w:pPr>
      <w:rPr>
        <w:rFonts w:ascii="Symbol" w:hAnsi="Symbol" w:hint="default"/>
      </w:rPr>
    </w:lvl>
    <w:lvl w:ilvl="7" w:tplc="54CA41BE">
      <w:start w:val="1"/>
      <w:numFmt w:val="bullet"/>
      <w:lvlText w:val="o"/>
      <w:lvlJc w:val="left"/>
      <w:pPr>
        <w:ind w:left="5400" w:hanging="360"/>
      </w:pPr>
      <w:rPr>
        <w:rFonts w:ascii="Courier New" w:hAnsi="Courier New" w:hint="default"/>
      </w:rPr>
    </w:lvl>
    <w:lvl w:ilvl="8" w:tplc="8EC6B71C">
      <w:start w:val="1"/>
      <w:numFmt w:val="bullet"/>
      <w:lvlText w:val=""/>
      <w:lvlJc w:val="left"/>
      <w:pPr>
        <w:ind w:left="6120" w:hanging="360"/>
      </w:pPr>
      <w:rPr>
        <w:rFonts w:ascii="Wingdings" w:hAnsi="Wingdings" w:hint="default"/>
      </w:rPr>
    </w:lvl>
  </w:abstractNum>
  <w:abstractNum w:abstractNumId="23" w15:restartNumberingAfterBreak="0">
    <w:nsid w:val="505D4AB9"/>
    <w:multiLevelType w:val="hybridMultilevel"/>
    <w:tmpl w:val="AF5E3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E04398"/>
    <w:multiLevelType w:val="hybridMultilevel"/>
    <w:tmpl w:val="B038D5B0"/>
    <w:lvl w:ilvl="0" w:tplc="521C88D2">
      <w:start w:val="1"/>
      <w:numFmt w:val="bullet"/>
      <w:lvlText w:val="·"/>
      <w:lvlJc w:val="left"/>
      <w:pPr>
        <w:ind w:left="720" w:hanging="360"/>
      </w:pPr>
      <w:rPr>
        <w:rFonts w:ascii="Symbol" w:hAnsi="Symbol" w:hint="default"/>
      </w:rPr>
    </w:lvl>
    <w:lvl w:ilvl="1" w:tplc="889AE916">
      <w:start w:val="1"/>
      <w:numFmt w:val="bullet"/>
      <w:lvlText w:val="o"/>
      <w:lvlJc w:val="left"/>
      <w:pPr>
        <w:ind w:left="1440" w:hanging="360"/>
      </w:pPr>
      <w:rPr>
        <w:rFonts w:ascii="Courier New" w:hAnsi="Courier New" w:hint="default"/>
      </w:rPr>
    </w:lvl>
    <w:lvl w:ilvl="2" w:tplc="6DFCFC98">
      <w:start w:val="1"/>
      <w:numFmt w:val="bullet"/>
      <w:lvlText w:val=""/>
      <w:lvlJc w:val="left"/>
      <w:pPr>
        <w:ind w:left="2160" w:hanging="360"/>
      </w:pPr>
      <w:rPr>
        <w:rFonts w:ascii="Wingdings" w:hAnsi="Wingdings" w:hint="default"/>
      </w:rPr>
    </w:lvl>
    <w:lvl w:ilvl="3" w:tplc="E3586C28">
      <w:start w:val="1"/>
      <w:numFmt w:val="bullet"/>
      <w:lvlText w:val=""/>
      <w:lvlJc w:val="left"/>
      <w:pPr>
        <w:ind w:left="2880" w:hanging="360"/>
      </w:pPr>
      <w:rPr>
        <w:rFonts w:ascii="Symbol" w:hAnsi="Symbol" w:hint="default"/>
      </w:rPr>
    </w:lvl>
    <w:lvl w:ilvl="4" w:tplc="B3CC4220">
      <w:start w:val="1"/>
      <w:numFmt w:val="bullet"/>
      <w:lvlText w:val="o"/>
      <w:lvlJc w:val="left"/>
      <w:pPr>
        <w:ind w:left="3600" w:hanging="360"/>
      </w:pPr>
      <w:rPr>
        <w:rFonts w:ascii="Courier New" w:hAnsi="Courier New" w:hint="default"/>
      </w:rPr>
    </w:lvl>
    <w:lvl w:ilvl="5" w:tplc="53A444B0">
      <w:start w:val="1"/>
      <w:numFmt w:val="bullet"/>
      <w:lvlText w:val=""/>
      <w:lvlJc w:val="left"/>
      <w:pPr>
        <w:ind w:left="4320" w:hanging="360"/>
      </w:pPr>
      <w:rPr>
        <w:rFonts w:ascii="Wingdings" w:hAnsi="Wingdings" w:hint="default"/>
      </w:rPr>
    </w:lvl>
    <w:lvl w:ilvl="6" w:tplc="64B630E4">
      <w:start w:val="1"/>
      <w:numFmt w:val="bullet"/>
      <w:lvlText w:val=""/>
      <w:lvlJc w:val="left"/>
      <w:pPr>
        <w:ind w:left="5040" w:hanging="360"/>
      </w:pPr>
      <w:rPr>
        <w:rFonts w:ascii="Symbol" w:hAnsi="Symbol" w:hint="default"/>
      </w:rPr>
    </w:lvl>
    <w:lvl w:ilvl="7" w:tplc="15384D84">
      <w:start w:val="1"/>
      <w:numFmt w:val="bullet"/>
      <w:lvlText w:val="o"/>
      <w:lvlJc w:val="left"/>
      <w:pPr>
        <w:ind w:left="5760" w:hanging="360"/>
      </w:pPr>
      <w:rPr>
        <w:rFonts w:ascii="Courier New" w:hAnsi="Courier New" w:hint="default"/>
      </w:rPr>
    </w:lvl>
    <w:lvl w:ilvl="8" w:tplc="462A3A9E">
      <w:start w:val="1"/>
      <w:numFmt w:val="bullet"/>
      <w:lvlText w:val=""/>
      <w:lvlJc w:val="left"/>
      <w:pPr>
        <w:ind w:left="6480" w:hanging="360"/>
      </w:pPr>
      <w:rPr>
        <w:rFonts w:ascii="Wingdings" w:hAnsi="Wingdings" w:hint="default"/>
      </w:rPr>
    </w:lvl>
  </w:abstractNum>
  <w:abstractNum w:abstractNumId="25" w15:restartNumberingAfterBreak="0">
    <w:nsid w:val="540D2F75"/>
    <w:multiLevelType w:val="hybridMultilevel"/>
    <w:tmpl w:val="C526B5CE"/>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6" w15:restartNumberingAfterBreak="0">
    <w:nsid w:val="5983527A"/>
    <w:multiLevelType w:val="hybridMultilevel"/>
    <w:tmpl w:val="C39CC890"/>
    <w:lvl w:ilvl="0" w:tplc="CB6C9CB2">
      <w:start w:val="1"/>
      <w:numFmt w:val="bullet"/>
      <w:lvlText w:val=""/>
      <w:lvlJc w:val="left"/>
      <w:pPr>
        <w:ind w:left="720" w:hanging="360"/>
      </w:pPr>
      <w:rPr>
        <w:rFonts w:ascii="Symbol" w:hAnsi="Symbol" w:hint="default"/>
      </w:rPr>
    </w:lvl>
    <w:lvl w:ilvl="1" w:tplc="DCAC6930">
      <w:start w:val="1"/>
      <w:numFmt w:val="bullet"/>
      <w:lvlText w:val="o"/>
      <w:lvlJc w:val="left"/>
      <w:pPr>
        <w:ind w:left="1440" w:hanging="360"/>
      </w:pPr>
      <w:rPr>
        <w:rFonts w:ascii="Courier New" w:hAnsi="Courier New" w:hint="default"/>
      </w:rPr>
    </w:lvl>
    <w:lvl w:ilvl="2" w:tplc="EA182904">
      <w:start w:val="1"/>
      <w:numFmt w:val="bullet"/>
      <w:lvlText w:val=""/>
      <w:lvlJc w:val="left"/>
      <w:pPr>
        <w:ind w:left="2160" w:hanging="360"/>
      </w:pPr>
      <w:rPr>
        <w:rFonts w:ascii="Wingdings" w:hAnsi="Wingdings" w:hint="default"/>
      </w:rPr>
    </w:lvl>
    <w:lvl w:ilvl="3" w:tplc="E16C7FBA">
      <w:start w:val="1"/>
      <w:numFmt w:val="bullet"/>
      <w:lvlText w:val=""/>
      <w:lvlJc w:val="left"/>
      <w:pPr>
        <w:ind w:left="2880" w:hanging="360"/>
      </w:pPr>
      <w:rPr>
        <w:rFonts w:ascii="Symbol" w:hAnsi="Symbol" w:hint="default"/>
      </w:rPr>
    </w:lvl>
    <w:lvl w:ilvl="4" w:tplc="684CB78E">
      <w:start w:val="1"/>
      <w:numFmt w:val="bullet"/>
      <w:lvlText w:val="o"/>
      <w:lvlJc w:val="left"/>
      <w:pPr>
        <w:ind w:left="3600" w:hanging="360"/>
      </w:pPr>
      <w:rPr>
        <w:rFonts w:ascii="Courier New" w:hAnsi="Courier New" w:hint="default"/>
      </w:rPr>
    </w:lvl>
    <w:lvl w:ilvl="5" w:tplc="467EE5D8">
      <w:start w:val="1"/>
      <w:numFmt w:val="bullet"/>
      <w:lvlText w:val=""/>
      <w:lvlJc w:val="left"/>
      <w:pPr>
        <w:ind w:left="4320" w:hanging="360"/>
      </w:pPr>
      <w:rPr>
        <w:rFonts w:ascii="Wingdings" w:hAnsi="Wingdings" w:hint="default"/>
      </w:rPr>
    </w:lvl>
    <w:lvl w:ilvl="6" w:tplc="1390B99C">
      <w:start w:val="1"/>
      <w:numFmt w:val="bullet"/>
      <w:lvlText w:val=""/>
      <w:lvlJc w:val="left"/>
      <w:pPr>
        <w:ind w:left="5040" w:hanging="360"/>
      </w:pPr>
      <w:rPr>
        <w:rFonts w:ascii="Symbol" w:hAnsi="Symbol" w:hint="default"/>
      </w:rPr>
    </w:lvl>
    <w:lvl w:ilvl="7" w:tplc="30D83FA6">
      <w:start w:val="1"/>
      <w:numFmt w:val="bullet"/>
      <w:lvlText w:val="o"/>
      <w:lvlJc w:val="left"/>
      <w:pPr>
        <w:ind w:left="5760" w:hanging="360"/>
      </w:pPr>
      <w:rPr>
        <w:rFonts w:ascii="Courier New" w:hAnsi="Courier New" w:hint="default"/>
      </w:rPr>
    </w:lvl>
    <w:lvl w:ilvl="8" w:tplc="2FAC68FE">
      <w:start w:val="1"/>
      <w:numFmt w:val="bullet"/>
      <w:lvlText w:val=""/>
      <w:lvlJc w:val="left"/>
      <w:pPr>
        <w:ind w:left="6480" w:hanging="360"/>
      </w:pPr>
      <w:rPr>
        <w:rFonts w:ascii="Wingdings" w:hAnsi="Wingdings" w:hint="default"/>
      </w:rPr>
    </w:lvl>
  </w:abstractNum>
  <w:abstractNum w:abstractNumId="27" w15:restartNumberingAfterBreak="0">
    <w:nsid w:val="5C422475"/>
    <w:multiLevelType w:val="hybridMultilevel"/>
    <w:tmpl w:val="A444445E"/>
    <w:lvl w:ilvl="0" w:tplc="295C11E0">
      <w:start w:val="1"/>
      <w:numFmt w:val="bullet"/>
      <w:lvlText w:val=""/>
      <w:lvlJc w:val="left"/>
      <w:pPr>
        <w:ind w:left="720" w:hanging="360"/>
      </w:pPr>
      <w:rPr>
        <w:rFonts w:ascii="Symbol" w:hAnsi="Symbol" w:hint="default"/>
      </w:rPr>
    </w:lvl>
    <w:lvl w:ilvl="1" w:tplc="1392088A">
      <w:start w:val="1"/>
      <w:numFmt w:val="bullet"/>
      <w:lvlText w:val="o"/>
      <w:lvlJc w:val="left"/>
      <w:pPr>
        <w:ind w:left="1440" w:hanging="360"/>
      </w:pPr>
      <w:rPr>
        <w:rFonts w:ascii="Courier New" w:hAnsi="Courier New" w:hint="default"/>
      </w:rPr>
    </w:lvl>
    <w:lvl w:ilvl="2" w:tplc="FF7017A4">
      <w:start w:val="1"/>
      <w:numFmt w:val="bullet"/>
      <w:lvlText w:val=""/>
      <w:lvlJc w:val="left"/>
      <w:pPr>
        <w:ind w:left="2160" w:hanging="360"/>
      </w:pPr>
      <w:rPr>
        <w:rFonts w:ascii="Wingdings" w:hAnsi="Wingdings" w:hint="default"/>
      </w:rPr>
    </w:lvl>
    <w:lvl w:ilvl="3" w:tplc="3ACE5512">
      <w:start w:val="1"/>
      <w:numFmt w:val="bullet"/>
      <w:lvlText w:val=""/>
      <w:lvlJc w:val="left"/>
      <w:pPr>
        <w:ind w:left="2880" w:hanging="360"/>
      </w:pPr>
      <w:rPr>
        <w:rFonts w:ascii="Symbol" w:hAnsi="Symbol" w:hint="default"/>
      </w:rPr>
    </w:lvl>
    <w:lvl w:ilvl="4" w:tplc="F4503904">
      <w:start w:val="1"/>
      <w:numFmt w:val="bullet"/>
      <w:lvlText w:val="o"/>
      <w:lvlJc w:val="left"/>
      <w:pPr>
        <w:ind w:left="3600" w:hanging="360"/>
      </w:pPr>
      <w:rPr>
        <w:rFonts w:ascii="Courier New" w:hAnsi="Courier New" w:hint="default"/>
      </w:rPr>
    </w:lvl>
    <w:lvl w:ilvl="5" w:tplc="C0040724">
      <w:start w:val="1"/>
      <w:numFmt w:val="bullet"/>
      <w:lvlText w:val=""/>
      <w:lvlJc w:val="left"/>
      <w:pPr>
        <w:ind w:left="4320" w:hanging="360"/>
      </w:pPr>
      <w:rPr>
        <w:rFonts w:ascii="Wingdings" w:hAnsi="Wingdings" w:hint="default"/>
      </w:rPr>
    </w:lvl>
    <w:lvl w:ilvl="6" w:tplc="691A60EC">
      <w:start w:val="1"/>
      <w:numFmt w:val="bullet"/>
      <w:lvlText w:val=""/>
      <w:lvlJc w:val="left"/>
      <w:pPr>
        <w:ind w:left="5040" w:hanging="360"/>
      </w:pPr>
      <w:rPr>
        <w:rFonts w:ascii="Symbol" w:hAnsi="Symbol" w:hint="default"/>
      </w:rPr>
    </w:lvl>
    <w:lvl w:ilvl="7" w:tplc="D4627320">
      <w:start w:val="1"/>
      <w:numFmt w:val="bullet"/>
      <w:lvlText w:val="o"/>
      <w:lvlJc w:val="left"/>
      <w:pPr>
        <w:ind w:left="5760" w:hanging="360"/>
      </w:pPr>
      <w:rPr>
        <w:rFonts w:ascii="Courier New" w:hAnsi="Courier New" w:hint="default"/>
      </w:rPr>
    </w:lvl>
    <w:lvl w:ilvl="8" w:tplc="FC38B234">
      <w:start w:val="1"/>
      <w:numFmt w:val="bullet"/>
      <w:lvlText w:val=""/>
      <w:lvlJc w:val="left"/>
      <w:pPr>
        <w:ind w:left="6480" w:hanging="360"/>
      </w:pPr>
      <w:rPr>
        <w:rFonts w:ascii="Wingdings" w:hAnsi="Wingdings" w:hint="default"/>
      </w:rPr>
    </w:lvl>
  </w:abstractNum>
  <w:abstractNum w:abstractNumId="28" w15:restartNumberingAfterBreak="0">
    <w:nsid w:val="5F8957DA"/>
    <w:multiLevelType w:val="hybridMultilevel"/>
    <w:tmpl w:val="C8248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FA1746D"/>
    <w:multiLevelType w:val="multilevel"/>
    <w:tmpl w:val="B844B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8838BD"/>
    <w:multiLevelType w:val="multilevel"/>
    <w:tmpl w:val="EFEE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CC00F8"/>
    <w:multiLevelType w:val="multilevel"/>
    <w:tmpl w:val="BA469E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6CD5793E"/>
    <w:multiLevelType w:val="hybridMultilevel"/>
    <w:tmpl w:val="29702388"/>
    <w:lvl w:ilvl="0" w:tplc="60D66594">
      <w:start w:val="1"/>
      <w:numFmt w:val="bullet"/>
      <w:lvlText w:val=""/>
      <w:lvlJc w:val="left"/>
      <w:pPr>
        <w:ind w:left="360" w:hanging="360"/>
      </w:pPr>
      <w:rPr>
        <w:rFonts w:ascii="Symbol" w:hAnsi="Symbol" w:hint="default"/>
      </w:rPr>
    </w:lvl>
    <w:lvl w:ilvl="1" w:tplc="47D04B7C">
      <w:start w:val="1"/>
      <w:numFmt w:val="bullet"/>
      <w:lvlText w:val="o"/>
      <w:lvlJc w:val="left"/>
      <w:pPr>
        <w:ind w:left="1080" w:hanging="360"/>
      </w:pPr>
      <w:rPr>
        <w:rFonts w:ascii="Courier New" w:hAnsi="Courier New" w:hint="default"/>
      </w:rPr>
    </w:lvl>
    <w:lvl w:ilvl="2" w:tplc="5CEC5BD6">
      <w:start w:val="1"/>
      <w:numFmt w:val="bullet"/>
      <w:lvlText w:val=""/>
      <w:lvlJc w:val="left"/>
      <w:pPr>
        <w:ind w:left="1800" w:hanging="360"/>
      </w:pPr>
      <w:rPr>
        <w:rFonts w:ascii="Wingdings" w:hAnsi="Wingdings" w:hint="default"/>
      </w:rPr>
    </w:lvl>
    <w:lvl w:ilvl="3" w:tplc="9036FDB8">
      <w:start w:val="1"/>
      <w:numFmt w:val="bullet"/>
      <w:lvlText w:val=""/>
      <w:lvlJc w:val="left"/>
      <w:pPr>
        <w:ind w:left="2520" w:hanging="360"/>
      </w:pPr>
      <w:rPr>
        <w:rFonts w:ascii="Symbol" w:hAnsi="Symbol" w:hint="default"/>
      </w:rPr>
    </w:lvl>
    <w:lvl w:ilvl="4" w:tplc="191A44A2">
      <w:start w:val="1"/>
      <w:numFmt w:val="bullet"/>
      <w:lvlText w:val="o"/>
      <w:lvlJc w:val="left"/>
      <w:pPr>
        <w:ind w:left="3240" w:hanging="360"/>
      </w:pPr>
      <w:rPr>
        <w:rFonts w:ascii="Courier New" w:hAnsi="Courier New" w:hint="default"/>
      </w:rPr>
    </w:lvl>
    <w:lvl w:ilvl="5" w:tplc="6A0E347A">
      <w:start w:val="1"/>
      <w:numFmt w:val="bullet"/>
      <w:lvlText w:val=""/>
      <w:lvlJc w:val="left"/>
      <w:pPr>
        <w:ind w:left="3960" w:hanging="360"/>
      </w:pPr>
      <w:rPr>
        <w:rFonts w:ascii="Wingdings" w:hAnsi="Wingdings" w:hint="default"/>
      </w:rPr>
    </w:lvl>
    <w:lvl w:ilvl="6" w:tplc="BED20988">
      <w:start w:val="1"/>
      <w:numFmt w:val="bullet"/>
      <w:lvlText w:val=""/>
      <w:lvlJc w:val="left"/>
      <w:pPr>
        <w:ind w:left="4680" w:hanging="360"/>
      </w:pPr>
      <w:rPr>
        <w:rFonts w:ascii="Symbol" w:hAnsi="Symbol" w:hint="default"/>
      </w:rPr>
    </w:lvl>
    <w:lvl w:ilvl="7" w:tplc="EDD6C690">
      <w:start w:val="1"/>
      <w:numFmt w:val="bullet"/>
      <w:lvlText w:val="o"/>
      <w:lvlJc w:val="left"/>
      <w:pPr>
        <w:ind w:left="5400" w:hanging="360"/>
      </w:pPr>
      <w:rPr>
        <w:rFonts w:ascii="Courier New" w:hAnsi="Courier New" w:hint="default"/>
      </w:rPr>
    </w:lvl>
    <w:lvl w:ilvl="8" w:tplc="3A36AB38">
      <w:start w:val="1"/>
      <w:numFmt w:val="bullet"/>
      <w:lvlText w:val=""/>
      <w:lvlJc w:val="left"/>
      <w:pPr>
        <w:ind w:left="6120" w:hanging="360"/>
      </w:pPr>
      <w:rPr>
        <w:rFonts w:ascii="Wingdings" w:hAnsi="Wingdings" w:hint="default"/>
      </w:rPr>
    </w:lvl>
  </w:abstractNum>
  <w:abstractNum w:abstractNumId="33" w15:restartNumberingAfterBreak="0">
    <w:nsid w:val="6DE7071A"/>
    <w:multiLevelType w:val="hybridMultilevel"/>
    <w:tmpl w:val="2C46C458"/>
    <w:lvl w:ilvl="0" w:tplc="0FB4CBEC">
      <w:start w:val="1"/>
      <w:numFmt w:val="bullet"/>
      <w:lvlText w:val="·"/>
      <w:lvlJc w:val="left"/>
      <w:pPr>
        <w:ind w:left="360" w:hanging="360"/>
      </w:pPr>
      <w:rPr>
        <w:rFonts w:ascii="Symbol" w:hAnsi="Symbol" w:hint="default"/>
      </w:rPr>
    </w:lvl>
    <w:lvl w:ilvl="1" w:tplc="A8B48C1C">
      <w:start w:val="1"/>
      <w:numFmt w:val="bullet"/>
      <w:lvlText w:val="o"/>
      <w:lvlJc w:val="left"/>
      <w:pPr>
        <w:ind w:left="1080" w:hanging="360"/>
      </w:pPr>
      <w:rPr>
        <w:rFonts w:ascii="Courier New" w:hAnsi="Courier New" w:hint="default"/>
      </w:rPr>
    </w:lvl>
    <w:lvl w:ilvl="2" w:tplc="813EB2DA">
      <w:start w:val="1"/>
      <w:numFmt w:val="bullet"/>
      <w:lvlText w:val=""/>
      <w:lvlJc w:val="left"/>
      <w:pPr>
        <w:ind w:left="1800" w:hanging="360"/>
      </w:pPr>
      <w:rPr>
        <w:rFonts w:ascii="Wingdings" w:hAnsi="Wingdings" w:hint="default"/>
      </w:rPr>
    </w:lvl>
    <w:lvl w:ilvl="3" w:tplc="ED58EA6A">
      <w:start w:val="1"/>
      <w:numFmt w:val="bullet"/>
      <w:lvlText w:val=""/>
      <w:lvlJc w:val="left"/>
      <w:pPr>
        <w:ind w:left="2520" w:hanging="360"/>
      </w:pPr>
      <w:rPr>
        <w:rFonts w:ascii="Symbol" w:hAnsi="Symbol" w:hint="default"/>
      </w:rPr>
    </w:lvl>
    <w:lvl w:ilvl="4" w:tplc="6404431E">
      <w:start w:val="1"/>
      <w:numFmt w:val="bullet"/>
      <w:lvlText w:val="o"/>
      <w:lvlJc w:val="left"/>
      <w:pPr>
        <w:ind w:left="3240" w:hanging="360"/>
      </w:pPr>
      <w:rPr>
        <w:rFonts w:ascii="Courier New" w:hAnsi="Courier New" w:hint="default"/>
      </w:rPr>
    </w:lvl>
    <w:lvl w:ilvl="5" w:tplc="54F6E060">
      <w:start w:val="1"/>
      <w:numFmt w:val="bullet"/>
      <w:lvlText w:val=""/>
      <w:lvlJc w:val="left"/>
      <w:pPr>
        <w:ind w:left="3960" w:hanging="360"/>
      </w:pPr>
      <w:rPr>
        <w:rFonts w:ascii="Wingdings" w:hAnsi="Wingdings" w:hint="default"/>
      </w:rPr>
    </w:lvl>
    <w:lvl w:ilvl="6" w:tplc="6E28634A">
      <w:start w:val="1"/>
      <w:numFmt w:val="bullet"/>
      <w:lvlText w:val=""/>
      <w:lvlJc w:val="left"/>
      <w:pPr>
        <w:ind w:left="4680" w:hanging="360"/>
      </w:pPr>
      <w:rPr>
        <w:rFonts w:ascii="Symbol" w:hAnsi="Symbol" w:hint="default"/>
      </w:rPr>
    </w:lvl>
    <w:lvl w:ilvl="7" w:tplc="6B122C90">
      <w:start w:val="1"/>
      <w:numFmt w:val="bullet"/>
      <w:lvlText w:val="o"/>
      <w:lvlJc w:val="left"/>
      <w:pPr>
        <w:ind w:left="5400" w:hanging="360"/>
      </w:pPr>
      <w:rPr>
        <w:rFonts w:ascii="Courier New" w:hAnsi="Courier New" w:hint="default"/>
      </w:rPr>
    </w:lvl>
    <w:lvl w:ilvl="8" w:tplc="DE6C518C">
      <w:start w:val="1"/>
      <w:numFmt w:val="bullet"/>
      <w:lvlText w:val=""/>
      <w:lvlJc w:val="left"/>
      <w:pPr>
        <w:ind w:left="6120" w:hanging="360"/>
      </w:pPr>
      <w:rPr>
        <w:rFonts w:ascii="Wingdings" w:hAnsi="Wingdings" w:hint="default"/>
      </w:rPr>
    </w:lvl>
  </w:abstractNum>
  <w:abstractNum w:abstractNumId="34" w15:restartNumberingAfterBreak="0">
    <w:nsid w:val="6FA02304"/>
    <w:multiLevelType w:val="multilevel"/>
    <w:tmpl w:val="F120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66561B"/>
    <w:multiLevelType w:val="hybridMultilevel"/>
    <w:tmpl w:val="39EA26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2737A43"/>
    <w:multiLevelType w:val="hybridMultilevel"/>
    <w:tmpl w:val="6130E62C"/>
    <w:lvl w:ilvl="0" w:tplc="DB8632BA">
      <w:start w:val="1"/>
      <w:numFmt w:val="bullet"/>
      <w:lvlText w:val="·"/>
      <w:lvlJc w:val="left"/>
      <w:pPr>
        <w:ind w:left="720" w:hanging="360"/>
      </w:pPr>
      <w:rPr>
        <w:rFonts w:ascii="Symbol" w:hAnsi="Symbol" w:hint="default"/>
      </w:rPr>
    </w:lvl>
    <w:lvl w:ilvl="1" w:tplc="56D6B694">
      <w:start w:val="1"/>
      <w:numFmt w:val="bullet"/>
      <w:lvlText w:val="o"/>
      <w:lvlJc w:val="left"/>
      <w:pPr>
        <w:ind w:left="1440" w:hanging="360"/>
      </w:pPr>
      <w:rPr>
        <w:rFonts w:ascii="Courier New" w:hAnsi="Courier New" w:hint="default"/>
      </w:rPr>
    </w:lvl>
    <w:lvl w:ilvl="2" w:tplc="F05CA216">
      <w:start w:val="1"/>
      <w:numFmt w:val="bullet"/>
      <w:lvlText w:val=""/>
      <w:lvlJc w:val="left"/>
      <w:pPr>
        <w:ind w:left="2160" w:hanging="360"/>
      </w:pPr>
      <w:rPr>
        <w:rFonts w:ascii="Wingdings" w:hAnsi="Wingdings" w:hint="default"/>
      </w:rPr>
    </w:lvl>
    <w:lvl w:ilvl="3" w:tplc="D1C4C328">
      <w:start w:val="1"/>
      <w:numFmt w:val="bullet"/>
      <w:lvlText w:val=""/>
      <w:lvlJc w:val="left"/>
      <w:pPr>
        <w:ind w:left="2880" w:hanging="360"/>
      </w:pPr>
      <w:rPr>
        <w:rFonts w:ascii="Symbol" w:hAnsi="Symbol" w:hint="default"/>
      </w:rPr>
    </w:lvl>
    <w:lvl w:ilvl="4" w:tplc="68A610E8">
      <w:start w:val="1"/>
      <w:numFmt w:val="bullet"/>
      <w:lvlText w:val="o"/>
      <w:lvlJc w:val="left"/>
      <w:pPr>
        <w:ind w:left="3600" w:hanging="360"/>
      </w:pPr>
      <w:rPr>
        <w:rFonts w:ascii="Courier New" w:hAnsi="Courier New" w:hint="default"/>
      </w:rPr>
    </w:lvl>
    <w:lvl w:ilvl="5" w:tplc="F2C62B94">
      <w:start w:val="1"/>
      <w:numFmt w:val="bullet"/>
      <w:lvlText w:val=""/>
      <w:lvlJc w:val="left"/>
      <w:pPr>
        <w:ind w:left="4320" w:hanging="360"/>
      </w:pPr>
      <w:rPr>
        <w:rFonts w:ascii="Wingdings" w:hAnsi="Wingdings" w:hint="default"/>
      </w:rPr>
    </w:lvl>
    <w:lvl w:ilvl="6" w:tplc="2E6A0EC0">
      <w:start w:val="1"/>
      <w:numFmt w:val="bullet"/>
      <w:lvlText w:val=""/>
      <w:lvlJc w:val="left"/>
      <w:pPr>
        <w:ind w:left="5040" w:hanging="360"/>
      </w:pPr>
      <w:rPr>
        <w:rFonts w:ascii="Symbol" w:hAnsi="Symbol" w:hint="default"/>
      </w:rPr>
    </w:lvl>
    <w:lvl w:ilvl="7" w:tplc="361086C2">
      <w:start w:val="1"/>
      <w:numFmt w:val="bullet"/>
      <w:lvlText w:val="o"/>
      <w:lvlJc w:val="left"/>
      <w:pPr>
        <w:ind w:left="5760" w:hanging="360"/>
      </w:pPr>
      <w:rPr>
        <w:rFonts w:ascii="Courier New" w:hAnsi="Courier New" w:hint="default"/>
      </w:rPr>
    </w:lvl>
    <w:lvl w:ilvl="8" w:tplc="2820D528">
      <w:start w:val="1"/>
      <w:numFmt w:val="bullet"/>
      <w:lvlText w:val=""/>
      <w:lvlJc w:val="left"/>
      <w:pPr>
        <w:ind w:left="6480" w:hanging="360"/>
      </w:pPr>
      <w:rPr>
        <w:rFonts w:ascii="Wingdings" w:hAnsi="Wingdings" w:hint="default"/>
      </w:rPr>
    </w:lvl>
  </w:abstractNum>
  <w:abstractNum w:abstractNumId="37" w15:restartNumberingAfterBreak="0">
    <w:nsid w:val="73EF7602"/>
    <w:multiLevelType w:val="hybridMultilevel"/>
    <w:tmpl w:val="03B815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71112A4"/>
    <w:multiLevelType w:val="hybridMultilevel"/>
    <w:tmpl w:val="0E60DA68"/>
    <w:lvl w:ilvl="0" w:tplc="080C0001">
      <w:start w:val="1"/>
      <w:numFmt w:val="bullet"/>
      <w:lvlText w:val=""/>
      <w:lvlJc w:val="left"/>
      <w:pPr>
        <w:ind w:left="360" w:hanging="360"/>
      </w:pPr>
      <w:rPr>
        <w:rFonts w:ascii="Symbol" w:hAnsi="Symbol" w:hint="default"/>
      </w:rPr>
    </w:lvl>
    <w:lvl w:ilvl="1" w:tplc="8F506D8A">
      <w:start w:val="1"/>
      <w:numFmt w:val="bullet"/>
      <w:lvlText w:val="o"/>
      <w:lvlJc w:val="left"/>
      <w:pPr>
        <w:ind w:left="1080" w:hanging="360"/>
      </w:pPr>
      <w:rPr>
        <w:rFonts w:ascii="Courier New" w:hAnsi="Courier New" w:hint="default"/>
      </w:rPr>
    </w:lvl>
    <w:lvl w:ilvl="2" w:tplc="DFF6A25E">
      <w:start w:val="1"/>
      <w:numFmt w:val="bullet"/>
      <w:lvlText w:val=""/>
      <w:lvlJc w:val="left"/>
      <w:pPr>
        <w:ind w:left="1800" w:hanging="360"/>
      </w:pPr>
      <w:rPr>
        <w:rFonts w:ascii="Wingdings" w:hAnsi="Wingdings" w:hint="default"/>
      </w:rPr>
    </w:lvl>
    <w:lvl w:ilvl="3" w:tplc="8AF8C166">
      <w:start w:val="1"/>
      <w:numFmt w:val="bullet"/>
      <w:lvlText w:val=""/>
      <w:lvlJc w:val="left"/>
      <w:pPr>
        <w:ind w:left="2520" w:hanging="360"/>
      </w:pPr>
      <w:rPr>
        <w:rFonts w:ascii="Symbol" w:hAnsi="Symbol" w:hint="default"/>
      </w:rPr>
    </w:lvl>
    <w:lvl w:ilvl="4" w:tplc="1B74B97C">
      <w:start w:val="1"/>
      <w:numFmt w:val="bullet"/>
      <w:lvlText w:val="o"/>
      <w:lvlJc w:val="left"/>
      <w:pPr>
        <w:ind w:left="3240" w:hanging="360"/>
      </w:pPr>
      <w:rPr>
        <w:rFonts w:ascii="Courier New" w:hAnsi="Courier New" w:hint="default"/>
      </w:rPr>
    </w:lvl>
    <w:lvl w:ilvl="5" w:tplc="57FE0498">
      <w:start w:val="1"/>
      <w:numFmt w:val="bullet"/>
      <w:lvlText w:val=""/>
      <w:lvlJc w:val="left"/>
      <w:pPr>
        <w:ind w:left="3960" w:hanging="360"/>
      </w:pPr>
      <w:rPr>
        <w:rFonts w:ascii="Wingdings" w:hAnsi="Wingdings" w:hint="default"/>
      </w:rPr>
    </w:lvl>
    <w:lvl w:ilvl="6" w:tplc="82E85EFC">
      <w:start w:val="1"/>
      <w:numFmt w:val="bullet"/>
      <w:lvlText w:val=""/>
      <w:lvlJc w:val="left"/>
      <w:pPr>
        <w:ind w:left="4680" w:hanging="360"/>
      </w:pPr>
      <w:rPr>
        <w:rFonts w:ascii="Symbol" w:hAnsi="Symbol" w:hint="default"/>
      </w:rPr>
    </w:lvl>
    <w:lvl w:ilvl="7" w:tplc="54825E74">
      <w:start w:val="1"/>
      <w:numFmt w:val="bullet"/>
      <w:lvlText w:val="o"/>
      <w:lvlJc w:val="left"/>
      <w:pPr>
        <w:ind w:left="5400" w:hanging="360"/>
      </w:pPr>
      <w:rPr>
        <w:rFonts w:ascii="Courier New" w:hAnsi="Courier New" w:hint="default"/>
      </w:rPr>
    </w:lvl>
    <w:lvl w:ilvl="8" w:tplc="1C7AD8BA">
      <w:start w:val="1"/>
      <w:numFmt w:val="bullet"/>
      <w:lvlText w:val=""/>
      <w:lvlJc w:val="left"/>
      <w:pPr>
        <w:ind w:left="6120" w:hanging="360"/>
      </w:pPr>
      <w:rPr>
        <w:rFonts w:ascii="Wingdings" w:hAnsi="Wingdings" w:hint="default"/>
      </w:rPr>
    </w:lvl>
  </w:abstractNum>
  <w:abstractNum w:abstractNumId="39" w15:restartNumberingAfterBreak="0">
    <w:nsid w:val="7F204497"/>
    <w:multiLevelType w:val="hybridMultilevel"/>
    <w:tmpl w:val="4992D348"/>
    <w:lvl w:ilvl="0" w:tplc="8D86F5AC">
      <w:start w:val="16"/>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6C2767"/>
    <w:multiLevelType w:val="hybridMultilevel"/>
    <w:tmpl w:val="A5786AA8"/>
    <w:lvl w:ilvl="0" w:tplc="4BB4D144">
      <w:start w:val="1"/>
      <w:numFmt w:val="bullet"/>
      <w:lvlText w:val=""/>
      <w:lvlJc w:val="left"/>
      <w:pPr>
        <w:ind w:left="360" w:hanging="360"/>
      </w:pPr>
      <w:rPr>
        <w:rFonts w:ascii="Symbol" w:hAnsi="Symbol" w:hint="default"/>
      </w:rPr>
    </w:lvl>
    <w:lvl w:ilvl="1" w:tplc="A43AC1BC">
      <w:start w:val="1"/>
      <w:numFmt w:val="bullet"/>
      <w:lvlText w:val="o"/>
      <w:lvlJc w:val="left"/>
      <w:pPr>
        <w:ind w:left="1080" w:hanging="360"/>
      </w:pPr>
      <w:rPr>
        <w:rFonts w:ascii="Courier New" w:hAnsi="Courier New" w:hint="default"/>
      </w:rPr>
    </w:lvl>
    <w:lvl w:ilvl="2" w:tplc="FC6A036A">
      <w:start w:val="1"/>
      <w:numFmt w:val="bullet"/>
      <w:lvlText w:val=""/>
      <w:lvlJc w:val="left"/>
      <w:pPr>
        <w:ind w:left="1800" w:hanging="360"/>
      </w:pPr>
      <w:rPr>
        <w:rFonts w:ascii="Wingdings" w:hAnsi="Wingdings" w:hint="default"/>
      </w:rPr>
    </w:lvl>
    <w:lvl w:ilvl="3" w:tplc="710E8754">
      <w:start w:val="1"/>
      <w:numFmt w:val="bullet"/>
      <w:lvlText w:val=""/>
      <w:lvlJc w:val="left"/>
      <w:pPr>
        <w:ind w:left="2520" w:hanging="360"/>
      </w:pPr>
      <w:rPr>
        <w:rFonts w:ascii="Symbol" w:hAnsi="Symbol" w:hint="default"/>
      </w:rPr>
    </w:lvl>
    <w:lvl w:ilvl="4" w:tplc="49209FE6">
      <w:start w:val="1"/>
      <w:numFmt w:val="bullet"/>
      <w:lvlText w:val="o"/>
      <w:lvlJc w:val="left"/>
      <w:pPr>
        <w:ind w:left="3240" w:hanging="360"/>
      </w:pPr>
      <w:rPr>
        <w:rFonts w:ascii="Courier New" w:hAnsi="Courier New" w:hint="default"/>
      </w:rPr>
    </w:lvl>
    <w:lvl w:ilvl="5" w:tplc="B86ECA9A">
      <w:start w:val="1"/>
      <w:numFmt w:val="bullet"/>
      <w:lvlText w:val=""/>
      <w:lvlJc w:val="left"/>
      <w:pPr>
        <w:ind w:left="3960" w:hanging="360"/>
      </w:pPr>
      <w:rPr>
        <w:rFonts w:ascii="Wingdings" w:hAnsi="Wingdings" w:hint="default"/>
      </w:rPr>
    </w:lvl>
    <w:lvl w:ilvl="6" w:tplc="FDE6E90E">
      <w:start w:val="1"/>
      <w:numFmt w:val="bullet"/>
      <w:lvlText w:val=""/>
      <w:lvlJc w:val="left"/>
      <w:pPr>
        <w:ind w:left="4680" w:hanging="360"/>
      </w:pPr>
      <w:rPr>
        <w:rFonts w:ascii="Symbol" w:hAnsi="Symbol" w:hint="default"/>
      </w:rPr>
    </w:lvl>
    <w:lvl w:ilvl="7" w:tplc="8482E23C">
      <w:start w:val="1"/>
      <w:numFmt w:val="bullet"/>
      <w:lvlText w:val="o"/>
      <w:lvlJc w:val="left"/>
      <w:pPr>
        <w:ind w:left="5400" w:hanging="360"/>
      </w:pPr>
      <w:rPr>
        <w:rFonts w:ascii="Courier New" w:hAnsi="Courier New" w:hint="default"/>
      </w:rPr>
    </w:lvl>
    <w:lvl w:ilvl="8" w:tplc="955C5210">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4"/>
  </w:num>
  <w:num w:numId="4">
    <w:abstractNumId w:val="9"/>
  </w:num>
  <w:num w:numId="5">
    <w:abstractNumId w:val="33"/>
  </w:num>
  <w:num w:numId="6">
    <w:abstractNumId w:val="36"/>
  </w:num>
  <w:num w:numId="7">
    <w:abstractNumId w:val="38"/>
  </w:num>
  <w:num w:numId="8">
    <w:abstractNumId w:val="32"/>
  </w:num>
  <w:num w:numId="9">
    <w:abstractNumId w:val="5"/>
  </w:num>
  <w:num w:numId="10">
    <w:abstractNumId w:val="26"/>
  </w:num>
  <w:num w:numId="11">
    <w:abstractNumId w:val="11"/>
  </w:num>
  <w:num w:numId="12">
    <w:abstractNumId w:val="14"/>
  </w:num>
  <w:num w:numId="13">
    <w:abstractNumId w:val="17"/>
  </w:num>
  <w:num w:numId="14">
    <w:abstractNumId w:val="6"/>
  </w:num>
  <w:num w:numId="15">
    <w:abstractNumId w:val="3"/>
  </w:num>
  <w:num w:numId="16">
    <w:abstractNumId w:val="12"/>
  </w:num>
  <w:num w:numId="17">
    <w:abstractNumId w:val="27"/>
  </w:num>
  <w:num w:numId="18">
    <w:abstractNumId w:val="8"/>
  </w:num>
  <w:num w:numId="19">
    <w:abstractNumId w:val="40"/>
  </w:num>
  <w:num w:numId="20">
    <w:abstractNumId w:val="2"/>
  </w:num>
  <w:num w:numId="21">
    <w:abstractNumId w:val="22"/>
  </w:num>
  <w:num w:numId="22">
    <w:abstractNumId w:val="4"/>
  </w:num>
  <w:num w:numId="23">
    <w:abstractNumId w:val="15"/>
  </w:num>
  <w:num w:numId="24">
    <w:abstractNumId w:val="25"/>
  </w:num>
  <w:num w:numId="25">
    <w:abstractNumId w:val="19"/>
  </w:num>
  <w:num w:numId="26">
    <w:abstractNumId w:val="28"/>
  </w:num>
  <w:num w:numId="27">
    <w:abstractNumId w:val="31"/>
  </w:num>
  <w:num w:numId="28">
    <w:abstractNumId w:val="23"/>
  </w:num>
  <w:num w:numId="29">
    <w:abstractNumId w:val="10"/>
  </w:num>
  <w:num w:numId="30">
    <w:abstractNumId w:val="34"/>
  </w:num>
  <w:num w:numId="31">
    <w:abstractNumId w:val="13"/>
  </w:num>
  <w:num w:numId="32">
    <w:abstractNumId w:val="7"/>
  </w:num>
  <w:num w:numId="33">
    <w:abstractNumId w:val="21"/>
  </w:num>
  <w:num w:numId="34">
    <w:abstractNumId w:val="35"/>
  </w:num>
  <w:num w:numId="35">
    <w:abstractNumId w:val="29"/>
  </w:num>
  <w:num w:numId="36">
    <w:abstractNumId w:val="18"/>
  </w:num>
  <w:num w:numId="37">
    <w:abstractNumId w:val="30"/>
  </w:num>
  <w:num w:numId="38">
    <w:abstractNumId w:val="39"/>
  </w:num>
  <w:num w:numId="39">
    <w:abstractNumId w:val="20"/>
  </w:num>
  <w:num w:numId="40">
    <w:abstractNumId w:val="37"/>
  </w:num>
  <w:num w:numId="41">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DateAndTime/>
  <w:hideSpellingErrors/>
  <w:hideGrammaticalErrors/>
  <w:activeWritingStyle w:appName="MSWord" w:lang="en-IE" w:vendorID="64" w:dllVersion="6" w:nlCheck="1" w:checkStyle="1"/>
  <w:activeWritingStyle w:appName="MSWord" w:lang="en-GB" w:vendorID="64" w:dllVersion="6" w:nlCheck="1" w:checkStyle="1"/>
  <w:activeWritingStyle w:appName="MSWord" w:lang="en-US" w:vendorID="64" w:dllVersion="6" w:nlCheck="1" w:checkStyle="1"/>
  <w:activeWritingStyle w:appName="MSWord" w:lang="fr-BE" w:vendorID="64" w:dllVersion="6" w:nlCheck="1" w:checkStyle="0"/>
  <w:activeWritingStyle w:appName="MSWord" w:lang="fi-FI" w:vendorID="64" w:dllVersion="6" w:nlCheck="1" w:checkStyle="0"/>
  <w:activeWritingStyle w:appName="MSWord" w:lang="fr-FR" w:vendorID="64" w:dllVersion="6" w:nlCheck="1" w:checkStyle="0"/>
  <w:activeWritingStyle w:appName="MSWord" w:lang="fr-BE" w:vendorID="64" w:dllVersion="0" w:nlCheck="1" w:checkStyle="0"/>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en-I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s-ES" w:vendorID="64" w:dllVersion="131078" w:nlCheck="1" w:checkStyle="0"/>
  <w:revisionView w:markup="0"/>
  <w:defaultTabStop w:val="720"/>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71BE34B8-5667-4E68-917D-155981CDBD4B"/>
    <w:docVar w:name="LW_COVERPAGE_TYPE" w:val="1"/>
    <w:docVar w:name="LW_CROSSREFERENCE" w:val="{SWD(2022) 188 final}"/>
    <w:docVar w:name="LW_DocType" w:val="NORMAL"/>
    <w:docVar w:name="LW_EMISSION" w:val="14.7.2022"/>
    <w:docVar w:name="LW_EMISSION_ISODATE" w:val="2022-07-14"/>
    <w:docVar w:name="LW_EMISSION_LOCATION" w:val="BRX"/>
    <w:docVar w:name="LW_EMISSION_PREFIX" w:val="Brussels, "/>
    <w:docVar w:name="LW_EMISSION_SUFFIX" w:val=" "/>
    <w:docVar w:name="LW_ID_DOCTYPE_NONLW" w:val="CP-008"/>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2) 3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Report on Competition Policy 2021"/>
    <w:docVar w:name="LW_TYPE.DOC.CP" w:val="REPORT FROM THE COMMISSION TO THE EUROPEAN PARLIAMENT, THE COUNCIL, THE EUROPEAN ECONOMIC AND SOCIAL COMMITTEE AND THE COMMITTEE OF THE REGIONS"/>
    <w:docVar w:name="LwApiVersions" w:val="LW4CoDe 1.23.2.0; LW 8.0, Build 20211117"/>
  </w:docVars>
  <w:rsids>
    <w:rsidRoot w:val="003D35DB"/>
    <w:rsid w:val="00000BC7"/>
    <w:rsid w:val="00002ECB"/>
    <w:rsid w:val="0000710F"/>
    <w:rsid w:val="0001076D"/>
    <w:rsid w:val="00011D28"/>
    <w:rsid w:val="00011E90"/>
    <w:rsid w:val="00012C7D"/>
    <w:rsid w:val="00014CA0"/>
    <w:rsid w:val="00015672"/>
    <w:rsid w:val="000164F4"/>
    <w:rsid w:val="00016C59"/>
    <w:rsid w:val="000174AE"/>
    <w:rsid w:val="000202F8"/>
    <w:rsid w:val="00022C93"/>
    <w:rsid w:val="00022D86"/>
    <w:rsid w:val="00024BC9"/>
    <w:rsid w:val="00024DB0"/>
    <w:rsid w:val="000255E0"/>
    <w:rsid w:val="0002728F"/>
    <w:rsid w:val="00027985"/>
    <w:rsid w:val="000304D1"/>
    <w:rsid w:val="00030C63"/>
    <w:rsid w:val="00031852"/>
    <w:rsid w:val="00032008"/>
    <w:rsid w:val="00032AFE"/>
    <w:rsid w:val="00033C8B"/>
    <w:rsid w:val="00040653"/>
    <w:rsid w:val="00040CED"/>
    <w:rsid w:val="00041479"/>
    <w:rsid w:val="000460CD"/>
    <w:rsid w:val="000512F6"/>
    <w:rsid w:val="0005269D"/>
    <w:rsid w:val="000539FF"/>
    <w:rsid w:val="00053BA6"/>
    <w:rsid w:val="00056D80"/>
    <w:rsid w:val="00056DDB"/>
    <w:rsid w:val="00057A2A"/>
    <w:rsid w:val="00057C2A"/>
    <w:rsid w:val="00057E89"/>
    <w:rsid w:val="00060428"/>
    <w:rsid w:val="00062352"/>
    <w:rsid w:val="00062864"/>
    <w:rsid w:val="00063076"/>
    <w:rsid w:val="00065351"/>
    <w:rsid w:val="00070C67"/>
    <w:rsid w:val="00077092"/>
    <w:rsid w:val="0008073A"/>
    <w:rsid w:val="00082692"/>
    <w:rsid w:val="00083EF1"/>
    <w:rsid w:val="0008426E"/>
    <w:rsid w:val="000847BA"/>
    <w:rsid w:val="0008592D"/>
    <w:rsid w:val="00085E9A"/>
    <w:rsid w:val="00090943"/>
    <w:rsid w:val="000913A1"/>
    <w:rsid w:val="00091991"/>
    <w:rsid w:val="00091CF0"/>
    <w:rsid w:val="0009563D"/>
    <w:rsid w:val="00097320"/>
    <w:rsid w:val="000A1EA6"/>
    <w:rsid w:val="000A229D"/>
    <w:rsid w:val="000A2E80"/>
    <w:rsid w:val="000A30C0"/>
    <w:rsid w:val="000A3D67"/>
    <w:rsid w:val="000A4E0E"/>
    <w:rsid w:val="000A4E4D"/>
    <w:rsid w:val="000A504A"/>
    <w:rsid w:val="000A67DF"/>
    <w:rsid w:val="000A6A96"/>
    <w:rsid w:val="000A6D6E"/>
    <w:rsid w:val="000A7960"/>
    <w:rsid w:val="000A7A86"/>
    <w:rsid w:val="000B0595"/>
    <w:rsid w:val="000B0B9E"/>
    <w:rsid w:val="000B2362"/>
    <w:rsid w:val="000B2678"/>
    <w:rsid w:val="000B303E"/>
    <w:rsid w:val="000B4250"/>
    <w:rsid w:val="000B477F"/>
    <w:rsid w:val="000B47C8"/>
    <w:rsid w:val="000B5283"/>
    <w:rsid w:val="000C105D"/>
    <w:rsid w:val="000C18EB"/>
    <w:rsid w:val="000C19D8"/>
    <w:rsid w:val="000C19E6"/>
    <w:rsid w:val="000C1A2E"/>
    <w:rsid w:val="000C1AE5"/>
    <w:rsid w:val="000C3020"/>
    <w:rsid w:val="000C30A1"/>
    <w:rsid w:val="000C401E"/>
    <w:rsid w:val="000C4658"/>
    <w:rsid w:val="000C603A"/>
    <w:rsid w:val="000C659A"/>
    <w:rsid w:val="000C76F2"/>
    <w:rsid w:val="000D15D7"/>
    <w:rsid w:val="000D2461"/>
    <w:rsid w:val="000D445D"/>
    <w:rsid w:val="000D5DF5"/>
    <w:rsid w:val="000D5EAF"/>
    <w:rsid w:val="000D6CA6"/>
    <w:rsid w:val="000D7D76"/>
    <w:rsid w:val="000E2A10"/>
    <w:rsid w:val="000E44A0"/>
    <w:rsid w:val="000E69FC"/>
    <w:rsid w:val="000E70C3"/>
    <w:rsid w:val="000F0222"/>
    <w:rsid w:val="000F1096"/>
    <w:rsid w:val="000F147F"/>
    <w:rsid w:val="000F28CC"/>
    <w:rsid w:val="000F385D"/>
    <w:rsid w:val="000F3DA1"/>
    <w:rsid w:val="000F5263"/>
    <w:rsid w:val="000F76C1"/>
    <w:rsid w:val="000F7B67"/>
    <w:rsid w:val="000F7DC1"/>
    <w:rsid w:val="00101267"/>
    <w:rsid w:val="00104188"/>
    <w:rsid w:val="0010498D"/>
    <w:rsid w:val="00104A68"/>
    <w:rsid w:val="00105834"/>
    <w:rsid w:val="00106A7D"/>
    <w:rsid w:val="001108E9"/>
    <w:rsid w:val="00111139"/>
    <w:rsid w:val="00111EA6"/>
    <w:rsid w:val="00114CA0"/>
    <w:rsid w:val="001154F1"/>
    <w:rsid w:val="0011589E"/>
    <w:rsid w:val="0011600B"/>
    <w:rsid w:val="00117EC5"/>
    <w:rsid w:val="001202E8"/>
    <w:rsid w:val="00121CFE"/>
    <w:rsid w:val="00121D3B"/>
    <w:rsid w:val="00122262"/>
    <w:rsid w:val="00122A0B"/>
    <w:rsid w:val="00123036"/>
    <w:rsid w:val="0012436B"/>
    <w:rsid w:val="00134A40"/>
    <w:rsid w:val="00134E87"/>
    <w:rsid w:val="00136B24"/>
    <w:rsid w:val="0013707A"/>
    <w:rsid w:val="001376CC"/>
    <w:rsid w:val="00137FD3"/>
    <w:rsid w:val="00140264"/>
    <w:rsid w:val="001403C3"/>
    <w:rsid w:val="00141A26"/>
    <w:rsid w:val="00141C85"/>
    <w:rsid w:val="001428D9"/>
    <w:rsid w:val="00142E17"/>
    <w:rsid w:val="00144A84"/>
    <w:rsid w:val="00145417"/>
    <w:rsid w:val="00147F25"/>
    <w:rsid w:val="00150860"/>
    <w:rsid w:val="00151B4A"/>
    <w:rsid w:val="00152240"/>
    <w:rsid w:val="00152C13"/>
    <w:rsid w:val="00152ECE"/>
    <w:rsid w:val="00154301"/>
    <w:rsid w:val="001563D9"/>
    <w:rsid w:val="00161F5E"/>
    <w:rsid w:val="00162B90"/>
    <w:rsid w:val="00163842"/>
    <w:rsid w:val="001639E2"/>
    <w:rsid w:val="001650AD"/>
    <w:rsid w:val="0016534E"/>
    <w:rsid w:val="00165C33"/>
    <w:rsid w:val="001675E3"/>
    <w:rsid w:val="00170A6E"/>
    <w:rsid w:val="00173D3B"/>
    <w:rsid w:val="00173EA8"/>
    <w:rsid w:val="00173EC2"/>
    <w:rsid w:val="00175704"/>
    <w:rsid w:val="00177E1E"/>
    <w:rsid w:val="00180525"/>
    <w:rsid w:val="00180694"/>
    <w:rsid w:val="00180C86"/>
    <w:rsid w:val="00182628"/>
    <w:rsid w:val="001857C3"/>
    <w:rsid w:val="00186229"/>
    <w:rsid w:val="00187668"/>
    <w:rsid w:val="00191A6E"/>
    <w:rsid w:val="00192A74"/>
    <w:rsid w:val="00194383"/>
    <w:rsid w:val="00194E3E"/>
    <w:rsid w:val="001A0329"/>
    <w:rsid w:val="001A051A"/>
    <w:rsid w:val="001A1716"/>
    <w:rsid w:val="001A3B4E"/>
    <w:rsid w:val="001A406B"/>
    <w:rsid w:val="001A5203"/>
    <w:rsid w:val="001A5645"/>
    <w:rsid w:val="001A64FA"/>
    <w:rsid w:val="001A7089"/>
    <w:rsid w:val="001B0C62"/>
    <w:rsid w:val="001B1651"/>
    <w:rsid w:val="001B48E0"/>
    <w:rsid w:val="001B5322"/>
    <w:rsid w:val="001C0C00"/>
    <w:rsid w:val="001C1ABD"/>
    <w:rsid w:val="001C479C"/>
    <w:rsid w:val="001C48F8"/>
    <w:rsid w:val="001C50B6"/>
    <w:rsid w:val="001C5331"/>
    <w:rsid w:val="001C5917"/>
    <w:rsid w:val="001C6058"/>
    <w:rsid w:val="001C6259"/>
    <w:rsid w:val="001C6A43"/>
    <w:rsid w:val="001D0447"/>
    <w:rsid w:val="001D180E"/>
    <w:rsid w:val="001D1889"/>
    <w:rsid w:val="001D278F"/>
    <w:rsid w:val="001D293C"/>
    <w:rsid w:val="001D40CA"/>
    <w:rsid w:val="001D5983"/>
    <w:rsid w:val="001D6A4F"/>
    <w:rsid w:val="001E053A"/>
    <w:rsid w:val="001E1F27"/>
    <w:rsid w:val="001E3085"/>
    <w:rsid w:val="001E36F0"/>
    <w:rsid w:val="001E4DB9"/>
    <w:rsid w:val="001E7F78"/>
    <w:rsid w:val="001F0814"/>
    <w:rsid w:val="001F76F2"/>
    <w:rsid w:val="00202752"/>
    <w:rsid w:val="0020299E"/>
    <w:rsid w:val="00202C51"/>
    <w:rsid w:val="002037F2"/>
    <w:rsid w:val="002040AE"/>
    <w:rsid w:val="00204B86"/>
    <w:rsid w:val="00206F0E"/>
    <w:rsid w:val="0020798E"/>
    <w:rsid w:val="002139D9"/>
    <w:rsid w:val="002143FB"/>
    <w:rsid w:val="0021445C"/>
    <w:rsid w:val="00214E12"/>
    <w:rsid w:val="00215C96"/>
    <w:rsid w:val="00220181"/>
    <w:rsid w:val="0022050C"/>
    <w:rsid w:val="00221097"/>
    <w:rsid w:val="00222342"/>
    <w:rsid w:val="00222E35"/>
    <w:rsid w:val="00223633"/>
    <w:rsid w:val="00223733"/>
    <w:rsid w:val="00224F00"/>
    <w:rsid w:val="002250F3"/>
    <w:rsid w:val="0022761D"/>
    <w:rsid w:val="00227C3A"/>
    <w:rsid w:val="00227D81"/>
    <w:rsid w:val="00230169"/>
    <w:rsid w:val="00230EEF"/>
    <w:rsid w:val="00231735"/>
    <w:rsid w:val="002327DF"/>
    <w:rsid w:val="002327E5"/>
    <w:rsid w:val="00232D45"/>
    <w:rsid w:val="002358B0"/>
    <w:rsid w:val="00236B17"/>
    <w:rsid w:val="002374A0"/>
    <w:rsid w:val="00237C41"/>
    <w:rsid w:val="0024169D"/>
    <w:rsid w:val="002424F5"/>
    <w:rsid w:val="00244643"/>
    <w:rsid w:val="002464AE"/>
    <w:rsid w:val="00246B50"/>
    <w:rsid w:val="00247E84"/>
    <w:rsid w:val="0025107D"/>
    <w:rsid w:val="00253BD4"/>
    <w:rsid w:val="00254236"/>
    <w:rsid w:val="002620A7"/>
    <w:rsid w:val="00262725"/>
    <w:rsid w:val="00262804"/>
    <w:rsid w:val="00263005"/>
    <w:rsid w:val="002639D1"/>
    <w:rsid w:val="00264167"/>
    <w:rsid w:val="002642CF"/>
    <w:rsid w:val="002652B1"/>
    <w:rsid w:val="00265953"/>
    <w:rsid w:val="00265D2C"/>
    <w:rsid w:val="00266465"/>
    <w:rsid w:val="00266F56"/>
    <w:rsid w:val="0026741E"/>
    <w:rsid w:val="00270D9D"/>
    <w:rsid w:val="00271C8F"/>
    <w:rsid w:val="00272154"/>
    <w:rsid w:val="0027223A"/>
    <w:rsid w:val="002725B3"/>
    <w:rsid w:val="002735BA"/>
    <w:rsid w:val="00274262"/>
    <w:rsid w:val="0027470A"/>
    <w:rsid w:val="002771BB"/>
    <w:rsid w:val="002801DA"/>
    <w:rsid w:val="002843EB"/>
    <w:rsid w:val="00285F86"/>
    <w:rsid w:val="00290348"/>
    <w:rsid w:val="00290E22"/>
    <w:rsid w:val="0029169A"/>
    <w:rsid w:val="00291ADE"/>
    <w:rsid w:val="00292209"/>
    <w:rsid w:val="0029231E"/>
    <w:rsid w:val="00292E07"/>
    <w:rsid w:val="002937E4"/>
    <w:rsid w:val="002938F2"/>
    <w:rsid w:val="002944D1"/>
    <w:rsid w:val="00295E54"/>
    <w:rsid w:val="00296268"/>
    <w:rsid w:val="002970A2"/>
    <w:rsid w:val="002979F3"/>
    <w:rsid w:val="00297C79"/>
    <w:rsid w:val="002A038B"/>
    <w:rsid w:val="002A2BD8"/>
    <w:rsid w:val="002A509A"/>
    <w:rsid w:val="002A577B"/>
    <w:rsid w:val="002B0AAC"/>
    <w:rsid w:val="002B3249"/>
    <w:rsid w:val="002B3A03"/>
    <w:rsid w:val="002B4F8A"/>
    <w:rsid w:val="002B4FB7"/>
    <w:rsid w:val="002B570C"/>
    <w:rsid w:val="002B6635"/>
    <w:rsid w:val="002B700B"/>
    <w:rsid w:val="002B717E"/>
    <w:rsid w:val="002B7A2F"/>
    <w:rsid w:val="002C0E05"/>
    <w:rsid w:val="002C1B78"/>
    <w:rsid w:val="002C1DA6"/>
    <w:rsid w:val="002C2B84"/>
    <w:rsid w:val="002C2DB9"/>
    <w:rsid w:val="002C322C"/>
    <w:rsid w:val="002C3C51"/>
    <w:rsid w:val="002C4C3F"/>
    <w:rsid w:val="002C4FD9"/>
    <w:rsid w:val="002C4FF2"/>
    <w:rsid w:val="002C5240"/>
    <w:rsid w:val="002C6A50"/>
    <w:rsid w:val="002C71AB"/>
    <w:rsid w:val="002D0EA2"/>
    <w:rsid w:val="002D10A2"/>
    <w:rsid w:val="002D11CF"/>
    <w:rsid w:val="002D1C7C"/>
    <w:rsid w:val="002D3C32"/>
    <w:rsid w:val="002D4C8B"/>
    <w:rsid w:val="002D5023"/>
    <w:rsid w:val="002D5D16"/>
    <w:rsid w:val="002D658E"/>
    <w:rsid w:val="002D78BB"/>
    <w:rsid w:val="002D7ACE"/>
    <w:rsid w:val="002E1E0E"/>
    <w:rsid w:val="002E202E"/>
    <w:rsid w:val="002E288A"/>
    <w:rsid w:val="002E371F"/>
    <w:rsid w:val="002E4876"/>
    <w:rsid w:val="002E5CA7"/>
    <w:rsid w:val="002E5FA6"/>
    <w:rsid w:val="002E6845"/>
    <w:rsid w:val="002F2EFC"/>
    <w:rsid w:val="002F3C9B"/>
    <w:rsid w:val="002F3EFB"/>
    <w:rsid w:val="002F3F67"/>
    <w:rsid w:val="002F63B1"/>
    <w:rsid w:val="002F65CC"/>
    <w:rsid w:val="002F6751"/>
    <w:rsid w:val="002F7415"/>
    <w:rsid w:val="002F9F97"/>
    <w:rsid w:val="003013E6"/>
    <w:rsid w:val="00304D99"/>
    <w:rsid w:val="00305198"/>
    <w:rsid w:val="00306A5E"/>
    <w:rsid w:val="0031030F"/>
    <w:rsid w:val="00310F95"/>
    <w:rsid w:val="00311C2E"/>
    <w:rsid w:val="00311C34"/>
    <w:rsid w:val="00317CAF"/>
    <w:rsid w:val="00317D74"/>
    <w:rsid w:val="00317D7A"/>
    <w:rsid w:val="00321451"/>
    <w:rsid w:val="0032161E"/>
    <w:rsid w:val="00322D96"/>
    <w:rsid w:val="00323075"/>
    <w:rsid w:val="00323232"/>
    <w:rsid w:val="00324F5F"/>
    <w:rsid w:val="00325094"/>
    <w:rsid w:val="003262CB"/>
    <w:rsid w:val="0032655B"/>
    <w:rsid w:val="00327BE8"/>
    <w:rsid w:val="003326C8"/>
    <w:rsid w:val="00333E7F"/>
    <w:rsid w:val="00342576"/>
    <w:rsid w:val="003425F5"/>
    <w:rsid w:val="003443E6"/>
    <w:rsid w:val="0034596C"/>
    <w:rsid w:val="0034660D"/>
    <w:rsid w:val="00347CA6"/>
    <w:rsid w:val="003508D7"/>
    <w:rsid w:val="0035093C"/>
    <w:rsid w:val="00350C50"/>
    <w:rsid w:val="003512AC"/>
    <w:rsid w:val="00352026"/>
    <w:rsid w:val="00355C06"/>
    <w:rsid w:val="003563F9"/>
    <w:rsid w:val="0035685D"/>
    <w:rsid w:val="003579B9"/>
    <w:rsid w:val="003604EF"/>
    <w:rsid w:val="00361A41"/>
    <w:rsid w:val="003625D3"/>
    <w:rsid w:val="0036404C"/>
    <w:rsid w:val="003643B2"/>
    <w:rsid w:val="00365383"/>
    <w:rsid w:val="0036599E"/>
    <w:rsid w:val="003669F0"/>
    <w:rsid w:val="00370048"/>
    <w:rsid w:val="00370805"/>
    <w:rsid w:val="00372444"/>
    <w:rsid w:val="00372462"/>
    <w:rsid w:val="00373CE6"/>
    <w:rsid w:val="00374306"/>
    <w:rsid w:val="00374C8C"/>
    <w:rsid w:val="00374D90"/>
    <w:rsid w:val="00375D40"/>
    <w:rsid w:val="00376D6D"/>
    <w:rsid w:val="00380E72"/>
    <w:rsid w:val="00381A17"/>
    <w:rsid w:val="00390830"/>
    <w:rsid w:val="00390B85"/>
    <w:rsid w:val="0039367C"/>
    <w:rsid w:val="00393BA1"/>
    <w:rsid w:val="003947F9"/>
    <w:rsid w:val="00394E2E"/>
    <w:rsid w:val="0039502D"/>
    <w:rsid w:val="00397AAB"/>
    <w:rsid w:val="003A0EF3"/>
    <w:rsid w:val="003A0FD3"/>
    <w:rsid w:val="003A10AF"/>
    <w:rsid w:val="003A186E"/>
    <w:rsid w:val="003A26E9"/>
    <w:rsid w:val="003A71A0"/>
    <w:rsid w:val="003B07B7"/>
    <w:rsid w:val="003B0D7D"/>
    <w:rsid w:val="003B14F7"/>
    <w:rsid w:val="003B2174"/>
    <w:rsid w:val="003B258F"/>
    <w:rsid w:val="003B2BDB"/>
    <w:rsid w:val="003B2C93"/>
    <w:rsid w:val="003B36C4"/>
    <w:rsid w:val="003B5A07"/>
    <w:rsid w:val="003B7528"/>
    <w:rsid w:val="003B79CD"/>
    <w:rsid w:val="003BA39A"/>
    <w:rsid w:val="003C0BD1"/>
    <w:rsid w:val="003C0C18"/>
    <w:rsid w:val="003C14D2"/>
    <w:rsid w:val="003C1C56"/>
    <w:rsid w:val="003C2D9D"/>
    <w:rsid w:val="003C3F9D"/>
    <w:rsid w:val="003C47BC"/>
    <w:rsid w:val="003C543C"/>
    <w:rsid w:val="003C5B0A"/>
    <w:rsid w:val="003C5DEA"/>
    <w:rsid w:val="003C5EC4"/>
    <w:rsid w:val="003C6163"/>
    <w:rsid w:val="003D0C9E"/>
    <w:rsid w:val="003D2AC2"/>
    <w:rsid w:val="003D35DB"/>
    <w:rsid w:val="003D55E3"/>
    <w:rsid w:val="003D5EC7"/>
    <w:rsid w:val="003D6BB4"/>
    <w:rsid w:val="003D6D40"/>
    <w:rsid w:val="003E0042"/>
    <w:rsid w:val="003E0FE8"/>
    <w:rsid w:val="003E2B0E"/>
    <w:rsid w:val="003E3BB0"/>
    <w:rsid w:val="003E51BB"/>
    <w:rsid w:val="003E6053"/>
    <w:rsid w:val="003E629E"/>
    <w:rsid w:val="003E65E4"/>
    <w:rsid w:val="003E67A2"/>
    <w:rsid w:val="003F0BD9"/>
    <w:rsid w:val="003F3190"/>
    <w:rsid w:val="003F3FDC"/>
    <w:rsid w:val="003F753B"/>
    <w:rsid w:val="003F76A1"/>
    <w:rsid w:val="003F785F"/>
    <w:rsid w:val="0040078F"/>
    <w:rsid w:val="00401231"/>
    <w:rsid w:val="00401616"/>
    <w:rsid w:val="004020FA"/>
    <w:rsid w:val="00404079"/>
    <w:rsid w:val="00405175"/>
    <w:rsid w:val="0040628A"/>
    <w:rsid w:val="00406290"/>
    <w:rsid w:val="0040709C"/>
    <w:rsid w:val="004076E5"/>
    <w:rsid w:val="004136DD"/>
    <w:rsid w:val="00413E33"/>
    <w:rsid w:val="0041422F"/>
    <w:rsid w:val="00414F1F"/>
    <w:rsid w:val="00415209"/>
    <w:rsid w:val="0041532D"/>
    <w:rsid w:val="004155ED"/>
    <w:rsid w:val="00415A26"/>
    <w:rsid w:val="00415AE5"/>
    <w:rsid w:val="00420EE7"/>
    <w:rsid w:val="0042335F"/>
    <w:rsid w:val="0042352F"/>
    <w:rsid w:val="00424999"/>
    <w:rsid w:val="004260E2"/>
    <w:rsid w:val="00426E62"/>
    <w:rsid w:val="00427792"/>
    <w:rsid w:val="00427B74"/>
    <w:rsid w:val="00427F8D"/>
    <w:rsid w:val="0043036E"/>
    <w:rsid w:val="004305F5"/>
    <w:rsid w:val="0043361E"/>
    <w:rsid w:val="004367C3"/>
    <w:rsid w:val="004368D6"/>
    <w:rsid w:val="0043691C"/>
    <w:rsid w:val="004376A0"/>
    <w:rsid w:val="004401B2"/>
    <w:rsid w:val="004410D0"/>
    <w:rsid w:val="004426D1"/>
    <w:rsid w:val="00445698"/>
    <w:rsid w:val="0044610A"/>
    <w:rsid w:val="0044648F"/>
    <w:rsid w:val="00447EE5"/>
    <w:rsid w:val="00450763"/>
    <w:rsid w:val="00451A93"/>
    <w:rsid w:val="004521B0"/>
    <w:rsid w:val="00452387"/>
    <w:rsid w:val="00453E01"/>
    <w:rsid w:val="00454550"/>
    <w:rsid w:val="0045487B"/>
    <w:rsid w:val="00455AB4"/>
    <w:rsid w:val="00455D27"/>
    <w:rsid w:val="00455FE3"/>
    <w:rsid w:val="0045718F"/>
    <w:rsid w:val="00457F74"/>
    <w:rsid w:val="0045BA47"/>
    <w:rsid w:val="0045DA9E"/>
    <w:rsid w:val="004601E4"/>
    <w:rsid w:val="0046140F"/>
    <w:rsid w:val="004620D2"/>
    <w:rsid w:val="004627A1"/>
    <w:rsid w:val="00462C83"/>
    <w:rsid w:val="00464410"/>
    <w:rsid w:val="004669A4"/>
    <w:rsid w:val="00466FFB"/>
    <w:rsid w:val="00467E71"/>
    <w:rsid w:val="00470CE6"/>
    <w:rsid w:val="00470F67"/>
    <w:rsid w:val="004724B5"/>
    <w:rsid w:val="00472EE2"/>
    <w:rsid w:val="00477BDA"/>
    <w:rsid w:val="004811D4"/>
    <w:rsid w:val="0048294D"/>
    <w:rsid w:val="00482CF7"/>
    <w:rsid w:val="0048329E"/>
    <w:rsid w:val="00483ECA"/>
    <w:rsid w:val="00484676"/>
    <w:rsid w:val="0048535F"/>
    <w:rsid w:val="00486196"/>
    <w:rsid w:val="004862F4"/>
    <w:rsid w:val="0048693F"/>
    <w:rsid w:val="00486A86"/>
    <w:rsid w:val="00487478"/>
    <w:rsid w:val="00491B09"/>
    <w:rsid w:val="004925C8"/>
    <w:rsid w:val="00494B13"/>
    <w:rsid w:val="00496CCC"/>
    <w:rsid w:val="004A1038"/>
    <w:rsid w:val="004A34BC"/>
    <w:rsid w:val="004A3ED6"/>
    <w:rsid w:val="004A5EAA"/>
    <w:rsid w:val="004A63A8"/>
    <w:rsid w:val="004A6B4A"/>
    <w:rsid w:val="004A6CE1"/>
    <w:rsid w:val="004A78C3"/>
    <w:rsid w:val="004B4ADE"/>
    <w:rsid w:val="004B4CED"/>
    <w:rsid w:val="004B4D37"/>
    <w:rsid w:val="004B543E"/>
    <w:rsid w:val="004B61C2"/>
    <w:rsid w:val="004B63E9"/>
    <w:rsid w:val="004B69BC"/>
    <w:rsid w:val="004C2047"/>
    <w:rsid w:val="004C396E"/>
    <w:rsid w:val="004C4D9C"/>
    <w:rsid w:val="004C570D"/>
    <w:rsid w:val="004C7710"/>
    <w:rsid w:val="004D1CDA"/>
    <w:rsid w:val="004D404B"/>
    <w:rsid w:val="004D4193"/>
    <w:rsid w:val="004D5933"/>
    <w:rsid w:val="004D7F3D"/>
    <w:rsid w:val="004E08B5"/>
    <w:rsid w:val="004E0EBC"/>
    <w:rsid w:val="004E1AC8"/>
    <w:rsid w:val="004E627C"/>
    <w:rsid w:val="004E779D"/>
    <w:rsid w:val="004ED089"/>
    <w:rsid w:val="004F0EDA"/>
    <w:rsid w:val="004F488D"/>
    <w:rsid w:val="004F5549"/>
    <w:rsid w:val="004F5712"/>
    <w:rsid w:val="00500DD6"/>
    <w:rsid w:val="00500F52"/>
    <w:rsid w:val="005018EC"/>
    <w:rsid w:val="0051071C"/>
    <w:rsid w:val="005212FD"/>
    <w:rsid w:val="005219F1"/>
    <w:rsid w:val="005233E9"/>
    <w:rsid w:val="00524217"/>
    <w:rsid w:val="005250DC"/>
    <w:rsid w:val="005252CA"/>
    <w:rsid w:val="005253BD"/>
    <w:rsid w:val="00525AE4"/>
    <w:rsid w:val="005263B5"/>
    <w:rsid w:val="00526B58"/>
    <w:rsid w:val="0052700F"/>
    <w:rsid w:val="00527CD9"/>
    <w:rsid w:val="00527DE6"/>
    <w:rsid w:val="00530DAF"/>
    <w:rsid w:val="00531F92"/>
    <w:rsid w:val="0053260B"/>
    <w:rsid w:val="00532F37"/>
    <w:rsid w:val="0053517E"/>
    <w:rsid w:val="0053557E"/>
    <w:rsid w:val="0053648C"/>
    <w:rsid w:val="005372D2"/>
    <w:rsid w:val="005422F7"/>
    <w:rsid w:val="00542672"/>
    <w:rsid w:val="00542D19"/>
    <w:rsid w:val="0054419E"/>
    <w:rsid w:val="005444FB"/>
    <w:rsid w:val="005453D7"/>
    <w:rsid w:val="00545768"/>
    <w:rsid w:val="00546E89"/>
    <w:rsid w:val="0055033B"/>
    <w:rsid w:val="005514E1"/>
    <w:rsid w:val="00552CF8"/>
    <w:rsid w:val="00554641"/>
    <w:rsid w:val="005559A6"/>
    <w:rsid w:val="005560F2"/>
    <w:rsid w:val="005567D6"/>
    <w:rsid w:val="00556AAE"/>
    <w:rsid w:val="00556AD2"/>
    <w:rsid w:val="00562369"/>
    <w:rsid w:val="005623FF"/>
    <w:rsid w:val="00563D46"/>
    <w:rsid w:val="005643E3"/>
    <w:rsid w:val="00571299"/>
    <w:rsid w:val="00571950"/>
    <w:rsid w:val="00571984"/>
    <w:rsid w:val="005728DA"/>
    <w:rsid w:val="00574B33"/>
    <w:rsid w:val="00576C73"/>
    <w:rsid w:val="00576DE1"/>
    <w:rsid w:val="00581364"/>
    <w:rsid w:val="005824F2"/>
    <w:rsid w:val="00582535"/>
    <w:rsid w:val="005825FF"/>
    <w:rsid w:val="00582D90"/>
    <w:rsid w:val="00584DFC"/>
    <w:rsid w:val="00584E4B"/>
    <w:rsid w:val="00585107"/>
    <w:rsid w:val="00585AA2"/>
    <w:rsid w:val="00586C6C"/>
    <w:rsid w:val="00586E7A"/>
    <w:rsid w:val="00590975"/>
    <w:rsid w:val="00592140"/>
    <w:rsid w:val="00592B36"/>
    <w:rsid w:val="00592EA0"/>
    <w:rsid w:val="00595A9C"/>
    <w:rsid w:val="005965CA"/>
    <w:rsid w:val="005969DE"/>
    <w:rsid w:val="00596D78"/>
    <w:rsid w:val="005977A6"/>
    <w:rsid w:val="00597AAC"/>
    <w:rsid w:val="00597C57"/>
    <w:rsid w:val="00597EE1"/>
    <w:rsid w:val="0059A84D"/>
    <w:rsid w:val="005A0306"/>
    <w:rsid w:val="005A0B97"/>
    <w:rsid w:val="005A151B"/>
    <w:rsid w:val="005A2532"/>
    <w:rsid w:val="005A27B5"/>
    <w:rsid w:val="005A3035"/>
    <w:rsid w:val="005A3FF8"/>
    <w:rsid w:val="005A4071"/>
    <w:rsid w:val="005A4E95"/>
    <w:rsid w:val="005B15D5"/>
    <w:rsid w:val="005B166C"/>
    <w:rsid w:val="005B1727"/>
    <w:rsid w:val="005B3DF0"/>
    <w:rsid w:val="005B4F1C"/>
    <w:rsid w:val="005B5596"/>
    <w:rsid w:val="005C1F8B"/>
    <w:rsid w:val="005C5150"/>
    <w:rsid w:val="005C6325"/>
    <w:rsid w:val="005C69EA"/>
    <w:rsid w:val="005C7096"/>
    <w:rsid w:val="005D0D83"/>
    <w:rsid w:val="005D136A"/>
    <w:rsid w:val="005D2117"/>
    <w:rsid w:val="005D5F24"/>
    <w:rsid w:val="005D630F"/>
    <w:rsid w:val="005D6DFC"/>
    <w:rsid w:val="005D7290"/>
    <w:rsid w:val="005E1647"/>
    <w:rsid w:val="005E1B68"/>
    <w:rsid w:val="005E2B30"/>
    <w:rsid w:val="005E3767"/>
    <w:rsid w:val="005E3B32"/>
    <w:rsid w:val="005E5245"/>
    <w:rsid w:val="005E587E"/>
    <w:rsid w:val="005E5EBF"/>
    <w:rsid w:val="005F3987"/>
    <w:rsid w:val="005F57A9"/>
    <w:rsid w:val="005F5FA8"/>
    <w:rsid w:val="005F6066"/>
    <w:rsid w:val="005F6CEC"/>
    <w:rsid w:val="005F70D2"/>
    <w:rsid w:val="005F78C0"/>
    <w:rsid w:val="006011D1"/>
    <w:rsid w:val="00602334"/>
    <w:rsid w:val="00602695"/>
    <w:rsid w:val="006033DA"/>
    <w:rsid w:val="006039FA"/>
    <w:rsid w:val="006044C9"/>
    <w:rsid w:val="00604C27"/>
    <w:rsid w:val="006050C3"/>
    <w:rsid w:val="0060578F"/>
    <w:rsid w:val="00606142"/>
    <w:rsid w:val="0061088B"/>
    <w:rsid w:val="00610C4D"/>
    <w:rsid w:val="0061166D"/>
    <w:rsid w:val="006120C4"/>
    <w:rsid w:val="00612104"/>
    <w:rsid w:val="00614E49"/>
    <w:rsid w:val="006152A4"/>
    <w:rsid w:val="006159AC"/>
    <w:rsid w:val="00617864"/>
    <w:rsid w:val="006201E9"/>
    <w:rsid w:val="00622765"/>
    <w:rsid w:val="00623349"/>
    <w:rsid w:val="00623CA5"/>
    <w:rsid w:val="00627317"/>
    <w:rsid w:val="00631376"/>
    <w:rsid w:val="00632596"/>
    <w:rsid w:val="0063468E"/>
    <w:rsid w:val="00634725"/>
    <w:rsid w:val="00635134"/>
    <w:rsid w:val="00635BEF"/>
    <w:rsid w:val="006405A5"/>
    <w:rsid w:val="00641F92"/>
    <w:rsid w:val="006463E7"/>
    <w:rsid w:val="00647516"/>
    <w:rsid w:val="00649BAF"/>
    <w:rsid w:val="0065073F"/>
    <w:rsid w:val="00650860"/>
    <w:rsid w:val="00650B6C"/>
    <w:rsid w:val="00650C4A"/>
    <w:rsid w:val="00652A56"/>
    <w:rsid w:val="006538F8"/>
    <w:rsid w:val="00653FD4"/>
    <w:rsid w:val="0065416E"/>
    <w:rsid w:val="00654586"/>
    <w:rsid w:val="00655FE4"/>
    <w:rsid w:val="006571FD"/>
    <w:rsid w:val="00657295"/>
    <w:rsid w:val="00657D37"/>
    <w:rsid w:val="0066080A"/>
    <w:rsid w:val="0066114E"/>
    <w:rsid w:val="006620F7"/>
    <w:rsid w:val="006628C6"/>
    <w:rsid w:val="00671526"/>
    <w:rsid w:val="00672C26"/>
    <w:rsid w:val="00672C7A"/>
    <w:rsid w:val="00673768"/>
    <w:rsid w:val="00673E03"/>
    <w:rsid w:val="006758E5"/>
    <w:rsid w:val="006765D6"/>
    <w:rsid w:val="0067735F"/>
    <w:rsid w:val="00677C0B"/>
    <w:rsid w:val="0068012C"/>
    <w:rsid w:val="00681895"/>
    <w:rsid w:val="00682069"/>
    <w:rsid w:val="0068389D"/>
    <w:rsid w:val="006868C3"/>
    <w:rsid w:val="00687834"/>
    <w:rsid w:val="0069005E"/>
    <w:rsid w:val="006900E2"/>
    <w:rsid w:val="006916CF"/>
    <w:rsid w:val="00692522"/>
    <w:rsid w:val="00692611"/>
    <w:rsid w:val="00694E5F"/>
    <w:rsid w:val="00694FA2"/>
    <w:rsid w:val="00696CAF"/>
    <w:rsid w:val="00697CA6"/>
    <w:rsid w:val="006A0CC5"/>
    <w:rsid w:val="006A11A3"/>
    <w:rsid w:val="006A1852"/>
    <w:rsid w:val="006A2620"/>
    <w:rsid w:val="006A29CF"/>
    <w:rsid w:val="006A68CE"/>
    <w:rsid w:val="006B0D8E"/>
    <w:rsid w:val="006B286E"/>
    <w:rsid w:val="006B2982"/>
    <w:rsid w:val="006B47A2"/>
    <w:rsid w:val="006B61F2"/>
    <w:rsid w:val="006B6311"/>
    <w:rsid w:val="006B7C59"/>
    <w:rsid w:val="006C0808"/>
    <w:rsid w:val="006C114B"/>
    <w:rsid w:val="006C190A"/>
    <w:rsid w:val="006C195D"/>
    <w:rsid w:val="006C2169"/>
    <w:rsid w:val="006C27DA"/>
    <w:rsid w:val="006C2EAB"/>
    <w:rsid w:val="006C309F"/>
    <w:rsid w:val="006C49F3"/>
    <w:rsid w:val="006C4CD2"/>
    <w:rsid w:val="006C6EB6"/>
    <w:rsid w:val="006D138C"/>
    <w:rsid w:val="006D14AF"/>
    <w:rsid w:val="006D182F"/>
    <w:rsid w:val="006D18A9"/>
    <w:rsid w:val="006D1D25"/>
    <w:rsid w:val="006D250F"/>
    <w:rsid w:val="006D2F29"/>
    <w:rsid w:val="006D3104"/>
    <w:rsid w:val="006D526A"/>
    <w:rsid w:val="006D6888"/>
    <w:rsid w:val="006D6A86"/>
    <w:rsid w:val="006D773C"/>
    <w:rsid w:val="006E06D7"/>
    <w:rsid w:val="006E08CF"/>
    <w:rsid w:val="006E128D"/>
    <w:rsid w:val="006E2297"/>
    <w:rsid w:val="006E4733"/>
    <w:rsid w:val="006E537D"/>
    <w:rsid w:val="006E5834"/>
    <w:rsid w:val="006E60C8"/>
    <w:rsid w:val="006E6BFC"/>
    <w:rsid w:val="006E6E4A"/>
    <w:rsid w:val="006F0CB9"/>
    <w:rsid w:val="006F2F10"/>
    <w:rsid w:val="006F3949"/>
    <w:rsid w:val="006F3C0B"/>
    <w:rsid w:val="006F4B00"/>
    <w:rsid w:val="006F60FA"/>
    <w:rsid w:val="006F6A0D"/>
    <w:rsid w:val="00700A19"/>
    <w:rsid w:val="00702C9A"/>
    <w:rsid w:val="0070303F"/>
    <w:rsid w:val="007043D9"/>
    <w:rsid w:val="0070479F"/>
    <w:rsid w:val="007074E7"/>
    <w:rsid w:val="007109C5"/>
    <w:rsid w:val="00711E63"/>
    <w:rsid w:val="0071371F"/>
    <w:rsid w:val="00713F62"/>
    <w:rsid w:val="00714945"/>
    <w:rsid w:val="007177CB"/>
    <w:rsid w:val="0072107B"/>
    <w:rsid w:val="00723F53"/>
    <w:rsid w:val="00724D7E"/>
    <w:rsid w:val="007250BE"/>
    <w:rsid w:val="007307A2"/>
    <w:rsid w:val="007319BD"/>
    <w:rsid w:val="00732952"/>
    <w:rsid w:val="007401A6"/>
    <w:rsid w:val="00740762"/>
    <w:rsid w:val="00740B48"/>
    <w:rsid w:val="00741B20"/>
    <w:rsid w:val="00742B7D"/>
    <w:rsid w:val="00742D16"/>
    <w:rsid w:val="00743705"/>
    <w:rsid w:val="00743F34"/>
    <w:rsid w:val="007445E1"/>
    <w:rsid w:val="007460F1"/>
    <w:rsid w:val="00747779"/>
    <w:rsid w:val="00750097"/>
    <w:rsid w:val="007503A6"/>
    <w:rsid w:val="00750F11"/>
    <w:rsid w:val="00752285"/>
    <w:rsid w:val="00752876"/>
    <w:rsid w:val="0075287E"/>
    <w:rsid w:val="00752EC2"/>
    <w:rsid w:val="00753289"/>
    <w:rsid w:val="0075437E"/>
    <w:rsid w:val="0075568B"/>
    <w:rsid w:val="00756AD6"/>
    <w:rsid w:val="00757160"/>
    <w:rsid w:val="00757258"/>
    <w:rsid w:val="007574A6"/>
    <w:rsid w:val="00757589"/>
    <w:rsid w:val="00760567"/>
    <w:rsid w:val="00760E5A"/>
    <w:rsid w:val="0076102B"/>
    <w:rsid w:val="007616FB"/>
    <w:rsid w:val="00761E1B"/>
    <w:rsid w:val="00762666"/>
    <w:rsid w:val="00763839"/>
    <w:rsid w:val="00764800"/>
    <w:rsid w:val="00764FE6"/>
    <w:rsid w:val="0076675E"/>
    <w:rsid w:val="007668BA"/>
    <w:rsid w:val="00766987"/>
    <w:rsid w:val="00767999"/>
    <w:rsid w:val="00770967"/>
    <w:rsid w:val="00773F65"/>
    <w:rsid w:val="00776E0E"/>
    <w:rsid w:val="00781C06"/>
    <w:rsid w:val="00783097"/>
    <w:rsid w:val="007837F6"/>
    <w:rsid w:val="00784A68"/>
    <w:rsid w:val="007853E3"/>
    <w:rsid w:val="00785571"/>
    <w:rsid w:val="007863F1"/>
    <w:rsid w:val="00787FDC"/>
    <w:rsid w:val="00791245"/>
    <w:rsid w:val="007940E7"/>
    <w:rsid w:val="00794562"/>
    <w:rsid w:val="00796FE4"/>
    <w:rsid w:val="0079793F"/>
    <w:rsid w:val="007A03B7"/>
    <w:rsid w:val="007A03EA"/>
    <w:rsid w:val="007A08FF"/>
    <w:rsid w:val="007A398F"/>
    <w:rsid w:val="007A5025"/>
    <w:rsid w:val="007A521A"/>
    <w:rsid w:val="007A5BA3"/>
    <w:rsid w:val="007A60DB"/>
    <w:rsid w:val="007A671B"/>
    <w:rsid w:val="007A7B62"/>
    <w:rsid w:val="007B24D9"/>
    <w:rsid w:val="007B3F8B"/>
    <w:rsid w:val="007B6B99"/>
    <w:rsid w:val="007B748F"/>
    <w:rsid w:val="007B752E"/>
    <w:rsid w:val="007B7C8F"/>
    <w:rsid w:val="007C4D80"/>
    <w:rsid w:val="007C5FF4"/>
    <w:rsid w:val="007D1C1C"/>
    <w:rsid w:val="007D267C"/>
    <w:rsid w:val="007D2E82"/>
    <w:rsid w:val="007D3BB7"/>
    <w:rsid w:val="007D3E95"/>
    <w:rsid w:val="007D63E2"/>
    <w:rsid w:val="007E01A4"/>
    <w:rsid w:val="007E0483"/>
    <w:rsid w:val="007E0C1A"/>
    <w:rsid w:val="007E10FE"/>
    <w:rsid w:val="007E1ACA"/>
    <w:rsid w:val="007E1BB0"/>
    <w:rsid w:val="007E5616"/>
    <w:rsid w:val="007E56E6"/>
    <w:rsid w:val="007E6B24"/>
    <w:rsid w:val="007E7321"/>
    <w:rsid w:val="007F1E97"/>
    <w:rsid w:val="007F2525"/>
    <w:rsid w:val="007F45D3"/>
    <w:rsid w:val="008003B3"/>
    <w:rsid w:val="008012A6"/>
    <w:rsid w:val="00801F60"/>
    <w:rsid w:val="008036A9"/>
    <w:rsid w:val="0080521F"/>
    <w:rsid w:val="00807FE9"/>
    <w:rsid w:val="00810A26"/>
    <w:rsid w:val="00810BFD"/>
    <w:rsid w:val="008129A0"/>
    <w:rsid w:val="00813FEA"/>
    <w:rsid w:val="00814957"/>
    <w:rsid w:val="00815E36"/>
    <w:rsid w:val="0081740D"/>
    <w:rsid w:val="00817842"/>
    <w:rsid w:val="00820215"/>
    <w:rsid w:val="008204FC"/>
    <w:rsid w:val="0082129C"/>
    <w:rsid w:val="00822D0E"/>
    <w:rsid w:val="00822F4B"/>
    <w:rsid w:val="00825142"/>
    <w:rsid w:val="008314FD"/>
    <w:rsid w:val="008318A4"/>
    <w:rsid w:val="00831AF2"/>
    <w:rsid w:val="00833189"/>
    <w:rsid w:val="008336E3"/>
    <w:rsid w:val="00833AE6"/>
    <w:rsid w:val="008349FE"/>
    <w:rsid w:val="00834E67"/>
    <w:rsid w:val="0083585D"/>
    <w:rsid w:val="00836857"/>
    <w:rsid w:val="0084075C"/>
    <w:rsid w:val="00841027"/>
    <w:rsid w:val="00841C98"/>
    <w:rsid w:val="00841DF6"/>
    <w:rsid w:val="00843531"/>
    <w:rsid w:val="008443DE"/>
    <w:rsid w:val="008455F9"/>
    <w:rsid w:val="008462DE"/>
    <w:rsid w:val="00846BBD"/>
    <w:rsid w:val="00846C1E"/>
    <w:rsid w:val="00846D10"/>
    <w:rsid w:val="00846F6F"/>
    <w:rsid w:val="008503F5"/>
    <w:rsid w:val="00851D89"/>
    <w:rsid w:val="00852687"/>
    <w:rsid w:val="00852D9E"/>
    <w:rsid w:val="00853430"/>
    <w:rsid w:val="00854A4C"/>
    <w:rsid w:val="00854CE6"/>
    <w:rsid w:val="0085638B"/>
    <w:rsid w:val="008569F4"/>
    <w:rsid w:val="0086028B"/>
    <w:rsid w:val="008603FB"/>
    <w:rsid w:val="00860FFB"/>
    <w:rsid w:val="008610D8"/>
    <w:rsid w:val="0086138D"/>
    <w:rsid w:val="00861949"/>
    <w:rsid w:val="00862A52"/>
    <w:rsid w:val="00864ECA"/>
    <w:rsid w:val="0086750F"/>
    <w:rsid w:val="00871035"/>
    <w:rsid w:val="0087277B"/>
    <w:rsid w:val="00872CF5"/>
    <w:rsid w:val="00873272"/>
    <w:rsid w:val="008755A3"/>
    <w:rsid w:val="00875E92"/>
    <w:rsid w:val="00880F17"/>
    <w:rsid w:val="00885DF5"/>
    <w:rsid w:val="008864C3"/>
    <w:rsid w:val="00886FAE"/>
    <w:rsid w:val="00887080"/>
    <w:rsid w:val="00887E74"/>
    <w:rsid w:val="00890EAB"/>
    <w:rsid w:val="008913EE"/>
    <w:rsid w:val="008929B5"/>
    <w:rsid w:val="0089698B"/>
    <w:rsid w:val="008977AA"/>
    <w:rsid w:val="008A2689"/>
    <w:rsid w:val="008A43B6"/>
    <w:rsid w:val="008A486A"/>
    <w:rsid w:val="008A4AFC"/>
    <w:rsid w:val="008A4FDE"/>
    <w:rsid w:val="008A5681"/>
    <w:rsid w:val="008A5D1F"/>
    <w:rsid w:val="008A68CE"/>
    <w:rsid w:val="008A7176"/>
    <w:rsid w:val="008B0A7A"/>
    <w:rsid w:val="008B10BC"/>
    <w:rsid w:val="008B2068"/>
    <w:rsid w:val="008B211D"/>
    <w:rsid w:val="008B3BBA"/>
    <w:rsid w:val="008B72F3"/>
    <w:rsid w:val="008C0D65"/>
    <w:rsid w:val="008C146E"/>
    <w:rsid w:val="008C6213"/>
    <w:rsid w:val="008C7264"/>
    <w:rsid w:val="008D1225"/>
    <w:rsid w:val="008D2CCD"/>
    <w:rsid w:val="008D4274"/>
    <w:rsid w:val="008D61BC"/>
    <w:rsid w:val="008D703D"/>
    <w:rsid w:val="008E0D63"/>
    <w:rsid w:val="008E11C5"/>
    <w:rsid w:val="008E14AE"/>
    <w:rsid w:val="008E21F1"/>
    <w:rsid w:val="008E2D18"/>
    <w:rsid w:val="008E5E7A"/>
    <w:rsid w:val="008E6535"/>
    <w:rsid w:val="008E7259"/>
    <w:rsid w:val="008F039B"/>
    <w:rsid w:val="008F08A2"/>
    <w:rsid w:val="008F0E73"/>
    <w:rsid w:val="008F0FEA"/>
    <w:rsid w:val="008F1160"/>
    <w:rsid w:val="008F3E50"/>
    <w:rsid w:val="008F450E"/>
    <w:rsid w:val="008F5428"/>
    <w:rsid w:val="008F6351"/>
    <w:rsid w:val="009024AF"/>
    <w:rsid w:val="00904080"/>
    <w:rsid w:val="00904753"/>
    <w:rsid w:val="00904AD2"/>
    <w:rsid w:val="00906A8D"/>
    <w:rsid w:val="009122E8"/>
    <w:rsid w:val="00914066"/>
    <w:rsid w:val="00915F33"/>
    <w:rsid w:val="00917F48"/>
    <w:rsid w:val="0091C1D9"/>
    <w:rsid w:val="0092095C"/>
    <w:rsid w:val="009214B7"/>
    <w:rsid w:val="00926682"/>
    <w:rsid w:val="00926C2A"/>
    <w:rsid w:val="00926EFE"/>
    <w:rsid w:val="00930419"/>
    <w:rsid w:val="00930984"/>
    <w:rsid w:val="009309C6"/>
    <w:rsid w:val="009331D0"/>
    <w:rsid w:val="00933D25"/>
    <w:rsid w:val="009370B5"/>
    <w:rsid w:val="00937ABC"/>
    <w:rsid w:val="00942B2D"/>
    <w:rsid w:val="00942CDB"/>
    <w:rsid w:val="0094303E"/>
    <w:rsid w:val="0094305E"/>
    <w:rsid w:val="009439DA"/>
    <w:rsid w:val="009440D4"/>
    <w:rsid w:val="009458CD"/>
    <w:rsid w:val="0094612F"/>
    <w:rsid w:val="00946F55"/>
    <w:rsid w:val="00947B34"/>
    <w:rsid w:val="00947B7D"/>
    <w:rsid w:val="009536E1"/>
    <w:rsid w:val="009576A1"/>
    <w:rsid w:val="009602B2"/>
    <w:rsid w:val="0096117A"/>
    <w:rsid w:val="00962644"/>
    <w:rsid w:val="00963124"/>
    <w:rsid w:val="00963508"/>
    <w:rsid w:val="00963DC0"/>
    <w:rsid w:val="00964D2D"/>
    <w:rsid w:val="00966E77"/>
    <w:rsid w:val="00970817"/>
    <w:rsid w:val="00971179"/>
    <w:rsid w:val="00971703"/>
    <w:rsid w:val="00973816"/>
    <w:rsid w:val="009739BA"/>
    <w:rsid w:val="00974AB4"/>
    <w:rsid w:val="00975955"/>
    <w:rsid w:val="009759B4"/>
    <w:rsid w:val="00976809"/>
    <w:rsid w:val="00976901"/>
    <w:rsid w:val="0098131B"/>
    <w:rsid w:val="00982AB5"/>
    <w:rsid w:val="00982B02"/>
    <w:rsid w:val="00982C7B"/>
    <w:rsid w:val="00982F1B"/>
    <w:rsid w:val="00984688"/>
    <w:rsid w:val="00984ACF"/>
    <w:rsid w:val="00984EA2"/>
    <w:rsid w:val="009852D3"/>
    <w:rsid w:val="00986A12"/>
    <w:rsid w:val="0098726C"/>
    <w:rsid w:val="00987504"/>
    <w:rsid w:val="009875CC"/>
    <w:rsid w:val="009914AC"/>
    <w:rsid w:val="00991B00"/>
    <w:rsid w:val="00992381"/>
    <w:rsid w:val="00993A3C"/>
    <w:rsid w:val="00994A7E"/>
    <w:rsid w:val="00997732"/>
    <w:rsid w:val="009A00AC"/>
    <w:rsid w:val="009A027D"/>
    <w:rsid w:val="009A2182"/>
    <w:rsid w:val="009A2579"/>
    <w:rsid w:val="009A3074"/>
    <w:rsid w:val="009A35DF"/>
    <w:rsid w:val="009A6E88"/>
    <w:rsid w:val="009A7D25"/>
    <w:rsid w:val="009A7F1A"/>
    <w:rsid w:val="009B1D51"/>
    <w:rsid w:val="009B40F5"/>
    <w:rsid w:val="009B4CB5"/>
    <w:rsid w:val="009B4F75"/>
    <w:rsid w:val="009B6BB2"/>
    <w:rsid w:val="009C0C11"/>
    <w:rsid w:val="009C1327"/>
    <w:rsid w:val="009C2A25"/>
    <w:rsid w:val="009C3B70"/>
    <w:rsid w:val="009C50CB"/>
    <w:rsid w:val="009C5579"/>
    <w:rsid w:val="009C5B41"/>
    <w:rsid w:val="009C5B90"/>
    <w:rsid w:val="009C63A1"/>
    <w:rsid w:val="009C63BA"/>
    <w:rsid w:val="009C7CB1"/>
    <w:rsid w:val="009D067F"/>
    <w:rsid w:val="009D1270"/>
    <w:rsid w:val="009D13D3"/>
    <w:rsid w:val="009D16D9"/>
    <w:rsid w:val="009D2F94"/>
    <w:rsid w:val="009D3425"/>
    <w:rsid w:val="009D36A4"/>
    <w:rsid w:val="009D447F"/>
    <w:rsid w:val="009D52FE"/>
    <w:rsid w:val="009D729C"/>
    <w:rsid w:val="009D7AF0"/>
    <w:rsid w:val="009E231B"/>
    <w:rsid w:val="009E3A36"/>
    <w:rsid w:val="009E3E9C"/>
    <w:rsid w:val="009E472F"/>
    <w:rsid w:val="009E479A"/>
    <w:rsid w:val="009E49AF"/>
    <w:rsid w:val="009E7AAB"/>
    <w:rsid w:val="009F03E1"/>
    <w:rsid w:val="009F071C"/>
    <w:rsid w:val="009F0952"/>
    <w:rsid w:val="009F10B6"/>
    <w:rsid w:val="009F1718"/>
    <w:rsid w:val="009F252A"/>
    <w:rsid w:val="009F2BC6"/>
    <w:rsid w:val="009F2C32"/>
    <w:rsid w:val="009F321D"/>
    <w:rsid w:val="009F5D88"/>
    <w:rsid w:val="00A00520"/>
    <w:rsid w:val="00A01CE7"/>
    <w:rsid w:val="00A022A6"/>
    <w:rsid w:val="00A02DD4"/>
    <w:rsid w:val="00A0335E"/>
    <w:rsid w:val="00A0347E"/>
    <w:rsid w:val="00A040DF"/>
    <w:rsid w:val="00A0522A"/>
    <w:rsid w:val="00A06A0E"/>
    <w:rsid w:val="00A077A7"/>
    <w:rsid w:val="00A10952"/>
    <w:rsid w:val="00A11544"/>
    <w:rsid w:val="00A131BB"/>
    <w:rsid w:val="00A13205"/>
    <w:rsid w:val="00A13781"/>
    <w:rsid w:val="00A13D3D"/>
    <w:rsid w:val="00A142B6"/>
    <w:rsid w:val="00A146B0"/>
    <w:rsid w:val="00A17926"/>
    <w:rsid w:val="00A17A72"/>
    <w:rsid w:val="00A206F3"/>
    <w:rsid w:val="00A20CF8"/>
    <w:rsid w:val="00A22AA8"/>
    <w:rsid w:val="00A23D16"/>
    <w:rsid w:val="00A23F82"/>
    <w:rsid w:val="00A30912"/>
    <w:rsid w:val="00A3165A"/>
    <w:rsid w:val="00A31F4F"/>
    <w:rsid w:val="00A3511F"/>
    <w:rsid w:val="00A37FAC"/>
    <w:rsid w:val="00A401C7"/>
    <w:rsid w:val="00A408BB"/>
    <w:rsid w:val="00A41A1B"/>
    <w:rsid w:val="00A423C7"/>
    <w:rsid w:val="00A42EF2"/>
    <w:rsid w:val="00A43324"/>
    <w:rsid w:val="00A443C4"/>
    <w:rsid w:val="00A46E90"/>
    <w:rsid w:val="00A471DE"/>
    <w:rsid w:val="00A47761"/>
    <w:rsid w:val="00A49BE2"/>
    <w:rsid w:val="00A5019E"/>
    <w:rsid w:val="00A50316"/>
    <w:rsid w:val="00A513AE"/>
    <w:rsid w:val="00A516DD"/>
    <w:rsid w:val="00A52702"/>
    <w:rsid w:val="00A54FAD"/>
    <w:rsid w:val="00A555E3"/>
    <w:rsid w:val="00A60BF4"/>
    <w:rsid w:val="00A65600"/>
    <w:rsid w:val="00A66AA9"/>
    <w:rsid w:val="00A67EA5"/>
    <w:rsid w:val="00A710FB"/>
    <w:rsid w:val="00A72A3D"/>
    <w:rsid w:val="00A72B14"/>
    <w:rsid w:val="00A74C3C"/>
    <w:rsid w:val="00A75FAD"/>
    <w:rsid w:val="00A76162"/>
    <w:rsid w:val="00A768E0"/>
    <w:rsid w:val="00A778FE"/>
    <w:rsid w:val="00A818DA"/>
    <w:rsid w:val="00A824BF"/>
    <w:rsid w:val="00A831E2"/>
    <w:rsid w:val="00A83599"/>
    <w:rsid w:val="00A83CF6"/>
    <w:rsid w:val="00A84257"/>
    <w:rsid w:val="00A843E4"/>
    <w:rsid w:val="00A84DB7"/>
    <w:rsid w:val="00A86871"/>
    <w:rsid w:val="00A86C9F"/>
    <w:rsid w:val="00A86EBC"/>
    <w:rsid w:val="00A87DE6"/>
    <w:rsid w:val="00A94691"/>
    <w:rsid w:val="00A94F73"/>
    <w:rsid w:val="00A965CA"/>
    <w:rsid w:val="00AA172B"/>
    <w:rsid w:val="00AA17BB"/>
    <w:rsid w:val="00AA190B"/>
    <w:rsid w:val="00AA2161"/>
    <w:rsid w:val="00AA253D"/>
    <w:rsid w:val="00AA2A23"/>
    <w:rsid w:val="00AA4FF6"/>
    <w:rsid w:val="00AA56D0"/>
    <w:rsid w:val="00AB0745"/>
    <w:rsid w:val="00AB19F6"/>
    <w:rsid w:val="00AB2217"/>
    <w:rsid w:val="00AB2CE1"/>
    <w:rsid w:val="00AB3481"/>
    <w:rsid w:val="00AB4C33"/>
    <w:rsid w:val="00AB4FB1"/>
    <w:rsid w:val="00AB5C8D"/>
    <w:rsid w:val="00AB7309"/>
    <w:rsid w:val="00AC0986"/>
    <w:rsid w:val="00AC1C04"/>
    <w:rsid w:val="00AC1CAD"/>
    <w:rsid w:val="00AC2E7C"/>
    <w:rsid w:val="00AC3A89"/>
    <w:rsid w:val="00AC3D6E"/>
    <w:rsid w:val="00AC414E"/>
    <w:rsid w:val="00AC4B14"/>
    <w:rsid w:val="00AC5CCA"/>
    <w:rsid w:val="00AC5FD5"/>
    <w:rsid w:val="00AD130F"/>
    <w:rsid w:val="00AD1C2A"/>
    <w:rsid w:val="00AD1C31"/>
    <w:rsid w:val="00AD3428"/>
    <w:rsid w:val="00AD346A"/>
    <w:rsid w:val="00AD4A82"/>
    <w:rsid w:val="00AD5424"/>
    <w:rsid w:val="00AD61AC"/>
    <w:rsid w:val="00AD6615"/>
    <w:rsid w:val="00AD6B91"/>
    <w:rsid w:val="00AD7602"/>
    <w:rsid w:val="00AE090E"/>
    <w:rsid w:val="00AE142C"/>
    <w:rsid w:val="00AE2193"/>
    <w:rsid w:val="00AE2FAE"/>
    <w:rsid w:val="00AE3C3E"/>
    <w:rsid w:val="00AE3DD6"/>
    <w:rsid w:val="00AE42B0"/>
    <w:rsid w:val="00AE46A5"/>
    <w:rsid w:val="00AE5653"/>
    <w:rsid w:val="00AE5A6D"/>
    <w:rsid w:val="00AF15CD"/>
    <w:rsid w:val="00AF1F3A"/>
    <w:rsid w:val="00AF1F60"/>
    <w:rsid w:val="00AF2648"/>
    <w:rsid w:val="00AF5E42"/>
    <w:rsid w:val="00AF76D6"/>
    <w:rsid w:val="00AF797B"/>
    <w:rsid w:val="00B015AA"/>
    <w:rsid w:val="00B02A5B"/>
    <w:rsid w:val="00B033D2"/>
    <w:rsid w:val="00B0393B"/>
    <w:rsid w:val="00B049CB"/>
    <w:rsid w:val="00B100FC"/>
    <w:rsid w:val="00B10328"/>
    <w:rsid w:val="00B11454"/>
    <w:rsid w:val="00B13AD9"/>
    <w:rsid w:val="00B1679E"/>
    <w:rsid w:val="00B16E98"/>
    <w:rsid w:val="00B20B84"/>
    <w:rsid w:val="00B23430"/>
    <w:rsid w:val="00B23D2F"/>
    <w:rsid w:val="00B24614"/>
    <w:rsid w:val="00B26A83"/>
    <w:rsid w:val="00B2722A"/>
    <w:rsid w:val="00B279B0"/>
    <w:rsid w:val="00B3008F"/>
    <w:rsid w:val="00B30ADA"/>
    <w:rsid w:val="00B31C9E"/>
    <w:rsid w:val="00B32BBF"/>
    <w:rsid w:val="00B33220"/>
    <w:rsid w:val="00B34640"/>
    <w:rsid w:val="00B34E56"/>
    <w:rsid w:val="00B356DF"/>
    <w:rsid w:val="00B358AC"/>
    <w:rsid w:val="00B404DD"/>
    <w:rsid w:val="00B44FAB"/>
    <w:rsid w:val="00B45BEF"/>
    <w:rsid w:val="00B46B4A"/>
    <w:rsid w:val="00B51CCA"/>
    <w:rsid w:val="00B51D88"/>
    <w:rsid w:val="00B53CF1"/>
    <w:rsid w:val="00B53F09"/>
    <w:rsid w:val="00B57504"/>
    <w:rsid w:val="00B57CA1"/>
    <w:rsid w:val="00B60A0E"/>
    <w:rsid w:val="00B629E4"/>
    <w:rsid w:val="00B63098"/>
    <w:rsid w:val="00B632D1"/>
    <w:rsid w:val="00B632ED"/>
    <w:rsid w:val="00B63A0E"/>
    <w:rsid w:val="00B64403"/>
    <w:rsid w:val="00B6443A"/>
    <w:rsid w:val="00B662ED"/>
    <w:rsid w:val="00B706A0"/>
    <w:rsid w:val="00B70852"/>
    <w:rsid w:val="00B72A0B"/>
    <w:rsid w:val="00B72F22"/>
    <w:rsid w:val="00B7301B"/>
    <w:rsid w:val="00B7367C"/>
    <w:rsid w:val="00B7384A"/>
    <w:rsid w:val="00B743C6"/>
    <w:rsid w:val="00B75FEA"/>
    <w:rsid w:val="00B77457"/>
    <w:rsid w:val="00B77A18"/>
    <w:rsid w:val="00B80180"/>
    <w:rsid w:val="00B81174"/>
    <w:rsid w:val="00B83EC6"/>
    <w:rsid w:val="00B841E0"/>
    <w:rsid w:val="00B84581"/>
    <w:rsid w:val="00B848A2"/>
    <w:rsid w:val="00B8561F"/>
    <w:rsid w:val="00B8600C"/>
    <w:rsid w:val="00B86061"/>
    <w:rsid w:val="00B87734"/>
    <w:rsid w:val="00B877B7"/>
    <w:rsid w:val="00B900C4"/>
    <w:rsid w:val="00B906F0"/>
    <w:rsid w:val="00B91419"/>
    <w:rsid w:val="00B92709"/>
    <w:rsid w:val="00B92A60"/>
    <w:rsid w:val="00B93553"/>
    <w:rsid w:val="00B94CA7"/>
    <w:rsid w:val="00B95F12"/>
    <w:rsid w:val="00B9644E"/>
    <w:rsid w:val="00B967C7"/>
    <w:rsid w:val="00BA08F4"/>
    <w:rsid w:val="00BA16E0"/>
    <w:rsid w:val="00BA28FA"/>
    <w:rsid w:val="00BA6684"/>
    <w:rsid w:val="00BA7D92"/>
    <w:rsid w:val="00BA7FA8"/>
    <w:rsid w:val="00BC0E04"/>
    <w:rsid w:val="00BC0EF4"/>
    <w:rsid w:val="00BC2483"/>
    <w:rsid w:val="00BC2A33"/>
    <w:rsid w:val="00BC3620"/>
    <w:rsid w:val="00BC398E"/>
    <w:rsid w:val="00BC4D4E"/>
    <w:rsid w:val="00BC55E5"/>
    <w:rsid w:val="00BC5ADC"/>
    <w:rsid w:val="00BC6B06"/>
    <w:rsid w:val="00BC6B6A"/>
    <w:rsid w:val="00BC7DD0"/>
    <w:rsid w:val="00BD41B2"/>
    <w:rsid w:val="00BD49C9"/>
    <w:rsid w:val="00BD593E"/>
    <w:rsid w:val="00BD652B"/>
    <w:rsid w:val="00BD69EE"/>
    <w:rsid w:val="00BD74D3"/>
    <w:rsid w:val="00BD7E67"/>
    <w:rsid w:val="00BE009E"/>
    <w:rsid w:val="00BE2C0C"/>
    <w:rsid w:val="00BE307F"/>
    <w:rsid w:val="00BE3F31"/>
    <w:rsid w:val="00BE57A8"/>
    <w:rsid w:val="00BE5A24"/>
    <w:rsid w:val="00BE63F0"/>
    <w:rsid w:val="00BE6DCE"/>
    <w:rsid w:val="00BF12CC"/>
    <w:rsid w:val="00BF1334"/>
    <w:rsid w:val="00BF4E21"/>
    <w:rsid w:val="00C000AD"/>
    <w:rsid w:val="00C00884"/>
    <w:rsid w:val="00C03CE6"/>
    <w:rsid w:val="00C04247"/>
    <w:rsid w:val="00C06BD3"/>
    <w:rsid w:val="00C07119"/>
    <w:rsid w:val="00C07CF3"/>
    <w:rsid w:val="00C116CF"/>
    <w:rsid w:val="00C11AA2"/>
    <w:rsid w:val="00C11FD3"/>
    <w:rsid w:val="00C122B0"/>
    <w:rsid w:val="00C1358A"/>
    <w:rsid w:val="00C13B2F"/>
    <w:rsid w:val="00C13C2E"/>
    <w:rsid w:val="00C14F08"/>
    <w:rsid w:val="00C162A8"/>
    <w:rsid w:val="00C1752F"/>
    <w:rsid w:val="00C17C23"/>
    <w:rsid w:val="00C17F54"/>
    <w:rsid w:val="00C21EDC"/>
    <w:rsid w:val="00C22634"/>
    <w:rsid w:val="00C22D2C"/>
    <w:rsid w:val="00C2466B"/>
    <w:rsid w:val="00C25F88"/>
    <w:rsid w:val="00C2735B"/>
    <w:rsid w:val="00C27999"/>
    <w:rsid w:val="00C279A3"/>
    <w:rsid w:val="00C27D1A"/>
    <w:rsid w:val="00C3505D"/>
    <w:rsid w:val="00C35C3D"/>
    <w:rsid w:val="00C35FC3"/>
    <w:rsid w:val="00C364FF"/>
    <w:rsid w:val="00C40AC3"/>
    <w:rsid w:val="00C40EE9"/>
    <w:rsid w:val="00C42D1E"/>
    <w:rsid w:val="00C471D5"/>
    <w:rsid w:val="00C478D3"/>
    <w:rsid w:val="00C51F59"/>
    <w:rsid w:val="00C52C6D"/>
    <w:rsid w:val="00C53CFC"/>
    <w:rsid w:val="00C53F01"/>
    <w:rsid w:val="00C546EF"/>
    <w:rsid w:val="00C55B6A"/>
    <w:rsid w:val="00C626F5"/>
    <w:rsid w:val="00C62DA4"/>
    <w:rsid w:val="00C62FD8"/>
    <w:rsid w:val="00C64A7D"/>
    <w:rsid w:val="00C64B26"/>
    <w:rsid w:val="00C6732F"/>
    <w:rsid w:val="00C6C946"/>
    <w:rsid w:val="00C73F92"/>
    <w:rsid w:val="00C73FAA"/>
    <w:rsid w:val="00C75974"/>
    <w:rsid w:val="00C75DD8"/>
    <w:rsid w:val="00C762BB"/>
    <w:rsid w:val="00C76817"/>
    <w:rsid w:val="00C78079"/>
    <w:rsid w:val="00C7B9A5"/>
    <w:rsid w:val="00C81C07"/>
    <w:rsid w:val="00C832DE"/>
    <w:rsid w:val="00C84DC3"/>
    <w:rsid w:val="00C85441"/>
    <w:rsid w:val="00C8707E"/>
    <w:rsid w:val="00C90F3C"/>
    <w:rsid w:val="00C91452"/>
    <w:rsid w:val="00C916FC"/>
    <w:rsid w:val="00C9386D"/>
    <w:rsid w:val="00C94F4B"/>
    <w:rsid w:val="00C953B1"/>
    <w:rsid w:val="00C955A2"/>
    <w:rsid w:val="00C969B8"/>
    <w:rsid w:val="00C96C9D"/>
    <w:rsid w:val="00CA1B97"/>
    <w:rsid w:val="00CA1BA8"/>
    <w:rsid w:val="00CA2AF1"/>
    <w:rsid w:val="00CA302A"/>
    <w:rsid w:val="00CA629C"/>
    <w:rsid w:val="00CB000D"/>
    <w:rsid w:val="00CB0261"/>
    <w:rsid w:val="00CB0A6E"/>
    <w:rsid w:val="00CB28CC"/>
    <w:rsid w:val="00CB4ED5"/>
    <w:rsid w:val="00CB6635"/>
    <w:rsid w:val="00CB7812"/>
    <w:rsid w:val="00CB79B7"/>
    <w:rsid w:val="00CB7C9F"/>
    <w:rsid w:val="00CC0F39"/>
    <w:rsid w:val="00CC158A"/>
    <w:rsid w:val="00CC2409"/>
    <w:rsid w:val="00CC2E23"/>
    <w:rsid w:val="00CC45EB"/>
    <w:rsid w:val="00CC4985"/>
    <w:rsid w:val="00CC5035"/>
    <w:rsid w:val="00CC54D5"/>
    <w:rsid w:val="00CC59F1"/>
    <w:rsid w:val="00CC5A57"/>
    <w:rsid w:val="00CC67E8"/>
    <w:rsid w:val="00CC7C10"/>
    <w:rsid w:val="00CC7C43"/>
    <w:rsid w:val="00CD260C"/>
    <w:rsid w:val="00CD3523"/>
    <w:rsid w:val="00CD386E"/>
    <w:rsid w:val="00CD4211"/>
    <w:rsid w:val="00CD43DE"/>
    <w:rsid w:val="00CD4A52"/>
    <w:rsid w:val="00CD72D3"/>
    <w:rsid w:val="00CE1820"/>
    <w:rsid w:val="00CE1864"/>
    <w:rsid w:val="00CE1E4F"/>
    <w:rsid w:val="00CE2B98"/>
    <w:rsid w:val="00CE318C"/>
    <w:rsid w:val="00CE3BA4"/>
    <w:rsid w:val="00CE49DE"/>
    <w:rsid w:val="00CEC5FE"/>
    <w:rsid w:val="00CF0125"/>
    <w:rsid w:val="00CF046E"/>
    <w:rsid w:val="00CF047F"/>
    <w:rsid w:val="00CF13DA"/>
    <w:rsid w:val="00CF15C5"/>
    <w:rsid w:val="00CF3A00"/>
    <w:rsid w:val="00CF5F81"/>
    <w:rsid w:val="00CF60EB"/>
    <w:rsid w:val="00CF6C12"/>
    <w:rsid w:val="00D04268"/>
    <w:rsid w:val="00D04531"/>
    <w:rsid w:val="00D05A2E"/>
    <w:rsid w:val="00D1018C"/>
    <w:rsid w:val="00D10520"/>
    <w:rsid w:val="00D119CD"/>
    <w:rsid w:val="00D11B9B"/>
    <w:rsid w:val="00D143FB"/>
    <w:rsid w:val="00D14753"/>
    <w:rsid w:val="00D14F9F"/>
    <w:rsid w:val="00D158B2"/>
    <w:rsid w:val="00D15B20"/>
    <w:rsid w:val="00D160BC"/>
    <w:rsid w:val="00D209E9"/>
    <w:rsid w:val="00D22E23"/>
    <w:rsid w:val="00D23787"/>
    <w:rsid w:val="00D258D6"/>
    <w:rsid w:val="00D27CE7"/>
    <w:rsid w:val="00D30B57"/>
    <w:rsid w:val="00D31174"/>
    <w:rsid w:val="00D3519A"/>
    <w:rsid w:val="00D35AF2"/>
    <w:rsid w:val="00D361FB"/>
    <w:rsid w:val="00D36EAC"/>
    <w:rsid w:val="00D36F22"/>
    <w:rsid w:val="00D37A8D"/>
    <w:rsid w:val="00D37AC1"/>
    <w:rsid w:val="00D43F71"/>
    <w:rsid w:val="00D46266"/>
    <w:rsid w:val="00D50006"/>
    <w:rsid w:val="00D5048B"/>
    <w:rsid w:val="00D50711"/>
    <w:rsid w:val="00D50A40"/>
    <w:rsid w:val="00D50AC3"/>
    <w:rsid w:val="00D51C3A"/>
    <w:rsid w:val="00D5319B"/>
    <w:rsid w:val="00D5404C"/>
    <w:rsid w:val="00D5438A"/>
    <w:rsid w:val="00D54633"/>
    <w:rsid w:val="00D555AF"/>
    <w:rsid w:val="00D559AF"/>
    <w:rsid w:val="00D61B6B"/>
    <w:rsid w:val="00D62075"/>
    <w:rsid w:val="00D620D0"/>
    <w:rsid w:val="00D620F8"/>
    <w:rsid w:val="00D625C9"/>
    <w:rsid w:val="00D629D2"/>
    <w:rsid w:val="00D6385C"/>
    <w:rsid w:val="00D63891"/>
    <w:rsid w:val="00D63CCC"/>
    <w:rsid w:val="00D64551"/>
    <w:rsid w:val="00D64FE7"/>
    <w:rsid w:val="00D65CA9"/>
    <w:rsid w:val="00D666F9"/>
    <w:rsid w:val="00D66CB0"/>
    <w:rsid w:val="00D67DC9"/>
    <w:rsid w:val="00D71293"/>
    <w:rsid w:val="00D71A05"/>
    <w:rsid w:val="00D73987"/>
    <w:rsid w:val="00D74F62"/>
    <w:rsid w:val="00D768F7"/>
    <w:rsid w:val="00D77874"/>
    <w:rsid w:val="00D80AA0"/>
    <w:rsid w:val="00D80C80"/>
    <w:rsid w:val="00D811A1"/>
    <w:rsid w:val="00D82176"/>
    <w:rsid w:val="00D8365F"/>
    <w:rsid w:val="00D83FCE"/>
    <w:rsid w:val="00D85DFF"/>
    <w:rsid w:val="00D86321"/>
    <w:rsid w:val="00D864AC"/>
    <w:rsid w:val="00D921A8"/>
    <w:rsid w:val="00D92644"/>
    <w:rsid w:val="00D92C60"/>
    <w:rsid w:val="00D957FF"/>
    <w:rsid w:val="00D95CE9"/>
    <w:rsid w:val="00D95E1D"/>
    <w:rsid w:val="00D973E2"/>
    <w:rsid w:val="00DA1FBA"/>
    <w:rsid w:val="00DA239E"/>
    <w:rsid w:val="00DA5EFA"/>
    <w:rsid w:val="00DA73B3"/>
    <w:rsid w:val="00DA7D03"/>
    <w:rsid w:val="00DA7D0C"/>
    <w:rsid w:val="00DB0C9F"/>
    <w:rsid w:val="00DB1091"/>
    <w:rsid w:val="00DB11CF"/>
    <w:rsid w:val="00DB1492"/>
    <w:rsid w:val="00DB1A0D"/>
    <w:rsid w:val="00DB2023"/>
    <w:rsid w:val="00DB33C9"/>
    <w:rsid w:val="00DB378E"/>
    <w:rsid w:val="00DB400C"/>
    <w:rsid w:val="00DB50FF"/>
    <w:rsid w:val="00DB6C9A"/>
    <w:rsid w:val="00DB76A8"/>
    <w:rsid w:val="00DC0A3B"/>
    <w:rsid w:val="00DC1DF7"/>
    <w:rsid w:val="00DC2FBD"/>
    <w:rsid w:val="00DC36D5"/>
    <w:rsid w:val="00DC432E"/>
    <w:rsid w:val="00DC738F"/>
    <w:rsid w:val="00DCD498"/>
    <w:rsid w:val="00DD0E04"/>
    <w:rsid w:val="00DD10BA"/>
    <w:rsid w:val="00DD33DE"/>
    <w:rsid w:val="00DD43B7"/>
    <w:rsid w:val="00DD4F06"/>
    <w:rsid w:val="00DD61FC"/>
    <w:rsid w:val="00DD629F"/>
    <w:rsid w:val="00DD7542"/>
    <w:rsid w:val="00DD79B0"/>
    <w:rsid w:val="00DE0889"/>
    <w:rsid w:val="00DE189D"/>
    <w:rsid w:val="00DE3330"/>
    <w:rsid w:val="00DE3EA2"/>
    <w:rsid w:val="00DE3FB2"/>
    <w:rsid w:val="00DE5BDA"/>
    <w:rsid w:val="00DE5D2F"/>
    <w:rsid w:val="00DE6B73"/>
    <w:rsid w:val="00DF0FE1"/>
    <w:rsid w:val="00DF2252"/>
    <w:rsid w:val="00DF29C7"/>
    <w:rsid w:val="00DF30F7"/>
    <w:rsid w:val="00DF361F"/>
    <w:rsid w:val="00DF40E3"/>
    <w:rsid w:val="00DF5B33"/>
    <w:rsid w:val="00DF64DE"/>
    <w:rsid w:val="00DF665A"/>
    <w:rsid w:val="00E003D9"/>
    <w:rsid w:val="00E00A82"/>
    <w:rsid w:val="00E019AF"/>
    <w:rsid w:val="00E03077"/>
    <w:rsid w:val="00E03399"/>
    <w:rsid w:val="00E03903"/>
    <w:rsid w:val="00E04191"/>
    <w:rsid w:val="00E05404"/>
    <w:rsid w:val="00E069E7"/>
    <w:rsid w:val="00E06F68"/>
    <w:rsid w:val="00E07D59"/>
    <w:rsid w:val="00E1108A"/>
    <w:rsid w:val="00E12DD6"/>
    <w:rsid w:val="00E136E0"/>
    <w:rsid w:val="00E13B6D"/>
    <w:rsid w:val="00E14A21"/>
    <w:rsid w:val="00E14E60"/>
    <w:rsid w:val="00E14F9F"/>
    <w:rsid w:val="00E15029"/>
    <w:rsid w:val="00E1641F"/>
    <w:rsid w:val="00E240F3"/>
    <w:rsid w:val="00E304DB"/>
    <w:rsid w:val="00E3084B"/>
    <w:rsid w:val="00E32279"/>
    <w:rsid w:val="00E32B5C"/>
    <w:rsid w:val="00E34051"/>
    <w:rsid w:val="00E34100"/>
    <w:rsid w:val="00E35F27"/>
    <w:rsid w:val="00E403DE"/>
    <w:rsid w:val="00E40C40"/>
    <w:rsid w:val="00E42CCE"/>
    <w:rsid w:val="00E44650"/>
    <w:rsid w:val="00E44DDE"/>
    <w:rsid w:val="00E44E2E"/>
    <w:rsid w:val="00E450DB"/>
    <w:rsid w:val="00E46F46"/>
    <w:rsid w:val="00E4780C"/>
    <w:rsid w:val="00E50C64"/>
    <w:rsid w:val="00E51C57"/>
    <w:rsid w:val="00E51FA4"/>
    <w:rsid w:val="00E52AE1"/>
    <w:rsid w:val="00E54C81"/>
    <w:rsid w:val="00E5602F"/>
    <w:rsid w:val="00E60C67"/>
    <w:rsid w:val="00E610C0"/>
    <w:rsid w:val="00E66694"/>
    <w:rsid w:val="00E66E14"/>
    <w:rsid w:val="00E67DFD"/>
    <w:rsid w:val="00E73D8E"/>
    <w:rsid w:val="00E740B4"/>
    <w:rsid w:val="00E767CA"/>
    <w:rsid w:val="00E77D60"/>
    <w:rsid w:val="00E8067A"/>
    <w:rsid w:val="00E80FE3"/>
    <w:rsid w:val="00E81550"/>
    <w:rsid w:val="00E83165"/>
    <w:rsid w:val="00E83AD6"/>
    <w:rsid w:val="00E8494F"/>
    <w:rsid w:val="00E86297"/>
    <w:rsid w:val="00E8756B"/>
    <w:rsid w:val="00E906E9"/>
    <w:rsid w:val="00E9079D"/>
    <w:rsid w:val="00E90F80"/>
    <w:rsid w:val="00E91742"/>
    <w:rsid w:val="00E91CA8"/>
    <w:rsid w:val="00E92041"/>
    <w:rsid w:val="00E9424B"/>
    <w:rsid w:val="00E9538F"/>
    <w:rsid w:val="00E95914"/>
    <w:rsid w:val="00E9601B"/>
    <w:rsid w:val="00E96B18"/>
    <w:rsid w:val="00E97C82"/>
    <w:rsid w:val="00EA019B"/>
    <w:rsid w:val="00EA1A23"/>
    <w:rsid w:val="00EA3BC7"/>
    <w:rsid w:val="00EA3FC4"/>
    <w:rsid w:val="00EA5A57"/>
    <w:rsid w:val="00EA7829"/>
    <w:rsid w:val="00EB1582"/>
    <w:rsid w:val="00EB1D97"/>
    <w:rsid w:val="00EB1E54"/>
    <w:rsid w:val="00EB292E"/>
    <w:rsid w:val="00EB37FB"/>
    <w:rsid w:val="00EB39F6"/>
    <w:rsid w:val="00EB6B21"/>
    <w:rsid w:val="00EB7352"/>
    <w:rsid w:val="00EB7CA4"/>
    <w:rsid w:val="00EC05BD"/>
    <w:rsid w:val="00EC120E"/>
    <w:rsid w:val="00EC2D48"/>
    <w:rsid w:val="00EC31B7"/>
    <w:rsid w:val="00EC38B8"/>
    <w:rsid w:val="00EC503D"/>
    <w:rsid w:val="00EC5161"/>
    <w:rsid w:val="00EC5A96"/>
    <w:rsid w:val="00ED01C3"/>
    <w:rsid w:val="00ED05DD"/>
    <w:rsid w:val="00ED2B3C"/>
    <w:rsid w:val="00ED2E5C"/>
    <w:rsid w:val="00ED3BD9"/>
    <w:rsid w:val="00ED40F1"/>
    <w:rsid w:val="00ED5F3A"/>
    <w:rsid w:val="00ED6A8D"/>
    <w:rsid w:val="00ED725C"/>
    <w:rsid w:val="00ED72B9"/>
    <w:rsid w:val="00EE2061"/>
    <w:rsid w:val="00EE2BD9"/>
    <w:rsid w:val="00EE36C8"/>
    <w:rsid w:val="00EF0996"/>
    <w:rsid w:val="00EF18D5"/>
    <w:rsid w:val="00EF198D"/>
    <w:rsid w:val="00EF33F1"/>
    <w:rsid w:val="00EF3F03"/>
    <w:rsid w:val="00EF4E62"/>
    <w:rsid w:val="00F006D0"/>
    <w:rsid w:val="00F02ABF"/>
    <w:rsid w:val="00F03456"/>
    <w:rsid w:val="00F0395C"/>
    <w:rsid w:val="00F066A8"/>
    <w:rsid w:val="00F07595"/>
    <w:rsid w:val="00F07F0A"/>
    <w:rsid w:val="00F12EBE"/>
    <w:rsid w:val="00F15365"/>
    <w:rsid w:val="00F16614"/>
    <w:rsid w:val="00F171E5"/>
    <w:rsid w:val="00F21EE7"/>
    <w:rsid w:val="00F22163"/>
    <w:rsid w:val="00F22B64"/>
    <w:rsid w:val="00F24DC1"/>
    <w:rsid w:val="00F26EE2"/>
    <w:rsid w:val="00F279C6"/>
    <w:rsid w:val="00F30010"/>
    <w:rsid w:val="00F3186B"/>
    <w:rsid w:val="00F31B71"/>
    <w:rsid w:val="00F32FDE"/>
    <w:rsid w:val="00F33C1C"/>
    <w:rsid w:val="00F34803"/>
    <w:rsid w:val="00F376C2"/>
    <w:rsid w:val="00F377AE"/>
    <w:rsid w:val="00F37B62"/>
    <w:rsid w:val="00F37CB5"/>
    <w:rsid w:val="00F40E20"/>
    <w:rsid w:val="00F417EB"/>
    <w:rsid w:val="00F417F9"/>
    <w:rsid w:val="00F41922"/>
    <w:rsid w:val="00F42E78"/>
    <w:rsid w:val="00F4302D"/>
    <w:rsid w:val="00F47BC9"/>
    <w:rsid w:val="00F52E18"/>
    <w:rsid w:val="00F532E0"/>
    <w:rsid w:val="00F5370E"/>
    <w:rsid w:val="00F53C0A"/>
    <w:rsid w:val="00F544BE"/>
    <w:rsid w:val="00F54513"/>
    <w:rsid w:val="00F550EF"/>
    <w:rsid w:val="00F57DF3"/>
    <w:rsid w:val="00F57EBB"/>
    <w:rsid w:val="00F616A3"/>
    <w:rsid w:val="00F62A38"/>
    <w:rsid w:val="00F62AB8"/>
    <w:rsid w:val="00F62AD7"/>
    <w:rsid w:val="00F6669D"/>
    <w:rsid w:val="00F66BA0"/>
    <w:rsid w:val="00F6E263"/>
    <w:rsid w:val="00F729FC"/>
    <w:rsid w:val="00F73336"/>
    <w:rsid w:val="00F73625"/>
    <w:rsid w:val="00F751C9"/>
    <w:rsid w:val="00F75678"/>
    <w:rsid w:val="00F75A2A"/>
    <w:rsid w:val="00F76901"/>
    <w:rsid w:val="00F7755B"/>
    <w:rsid w:val="00F8147B"/>
    <w:rsid w:val="00F815CE"/>
    <w:rsid w:val="00F867E8"/>
    <w:rsid w:val="00F86AB7"/>
    <w:rsid w:val="00F924E9"/>
    <w:rsid w:val="00F929E5"/>
    <w:rsid w:val="00F92E7D"/>
    <w:rsid w:val="00F93C9A"/>
    <w:rsid w:val="00F956C5"/>
    <w:rsid w:val="00F97954"/>
    <w:rsid w:val="00FA0E91"/>
    <w:rsid w:val="00FA4175"/>
    <w:rsid w:val="00FA5034"/>
    <w:rsid w:val="00FA508D"/>
    <w:rsid w:val="00FA7B66"/>
    <w:rsid w:val="00FB0685"/>
    <w:rsid w:val="00FB1619"/>
    <w:rsid w:val="00FB3BC8"/>
    <w:rsid w:val="00FB411B"/>
    <w:rsid w:val="00FB4323"/>
    <w:rsid w:val="00FB4388"/>
    <w:rsid w:val="00FB471B"/>
    <w:rsid w:val="00FB61C3"/>
    <w:rsid w:val="00FB7FF8"/>
    <w:rsid w:val="00FC0CF4"/>
    <w:rsid w:val="00FC18B3"/>
    <w:rsid w:val="00FC37CE"/>
    <w:rsid w:val="00FC3E2A"/>
    <w:rsid w:val="00FC3E97"/>
    <w:rsid w:val="00FC6F0A"/>
    <w:rsid w:val="00FC7575"/>
    <w:rsid w:val="00FD32BC"/>
    <w:rsid w:val="00FD48D0"/>
    <w:rsid w:val="00FD5931"/>
    <w:rsid w:val="00FE0197"/>
    <w:rsid w:val="00FE0584"/>
    <w:rsid w:val="00FE0860"/>
    <w:rsid w:val="00FE0DC3"/>
    <w:rsid w:val="00FE21AF"/>
    <w:rsid w:val="00FE3E2C"/>
    <w:rsid w:val="00FE4DB0"/>
    <w:rsid w:val="00FE5D8E"/>
    <w:rsid w:val="00FE6DD7"/>
    <w:rsid w:val="00FF18DF"/>
    <w:rsid w:val="00FF31AD"/>
    <w:rsid w:val="00FF32E4"/>
    <w:rsid w:val="00FF4237"/>
    <w:rsid w:val="00FF4C0E"/>
    <w:rsid w:val="00FF647D"/>
    <w:rsid w:val="010E5F4C"/>
    <w:rsid w:val="011B4B9B"/>
    <w:rsid w:val="01277D85"/>
    <w:rsid w:val="01382AF6"/>
    <w:rsid w:val="014975AF"/>
    <w:rsid w:val="0149A66C"/>
    <w:rsid w:val="014C48A2"/>
    <w:rsid w:val="014E7DA3"/>
    <w:rsid w:val="0156BB12"/>
    <w:rsid w:val="018A724B"/>
    <w:rsid w:val="019621B5"/>
    <w:rsid w:val="01973068"/>
    <w:rsid w:val="01A028BF"/>
    <w:rsid w:val="01B69AA9"/>
    <w:rsid w:val="01BEE776"/>
    <w:rsid w:val="01D2A134"/>
    <w:rsid w:val="01D969FC"/>
    <w:rsid w:val="01F2300C"/>
    <w:rsid w:val="01F74267"/>
    <w:rsid w:val="01FD68A9"/>
    <w:rsid w:val="02062E75"/>
    <w:rsid w:val="021C9AC0"/>
    <w:rsid w:val="0220A626"/>
    <w:rsid w:val="0226B8AF"/>
    <w:rsid w:val="0230CA86"/>
    <w:rsid w:val="024C73D9"/>
    <w:rsid w:val="025E2FE9"/>
    <w:rsid w:val="0263D7C0"/>
    <w:rsid w:val="02A0B71D"/>
    <w:rsid w:val="02AAD0EB"/>
    <w:rsid w:val="02BF19C9"/>
    <w:rsid w:val="02C056C6"/>
    <w:rsid w:val="02C609B9"/>
    <w:rsid w:val="02D55B43"/>
    <w:rsid w:val="0310E7F9"/>
    <w:rsid w:val="03230185"/>
    <w:rsid w:val="0331F216"/>
    <w:rsid w:val="03338275"/>
    <w:rsid w:val="033A68C7"/>
    <w:rsid w:val="033C48AE"/>
    <w:rsid w:val="035CDBC2"/>
    <w:rsid w:val="0374AE86"/>
    <w:rsid w:val="0387D876"/>
    <w:rsid w:val="039105E1"/>
    <w:rsid w:val="03A2DDA8"/>
    <w:rsid w:val="03AEC785"/>
    <w:rsid w:val="03B4062E"/>
    <w:rsid w:val="03B477B0"/>
    <w:rsid w:val="03C3CD6F"/>
    <w:rsid w:val="03C6498A"/>
    <w:rsid w:val="03D1F353"/>
    <w:rsid w:val="03DA7904"/>
    <w:rsid w:val="03EF5DC1"/>
    <w:rsid w:val="04229C1D"/>
    <w:rsid w:val="043C3CCA"/>
    <w:rsid w:val="04474B96"/>
    <w:rsid w:val="044C57BC"/>
    <w:rsid w:val="045AEA2A"/>
    <w:rsid w:val="047EC881"/>
    <w:rsid w:val="0491D472"/>
    <w:rsid w:val="049C706C"/>
    <w:rsid w:val="04A600C1"/>
    <w:rsid w:val="04AD3DE7"/>
    <w:rsid w:val="04C4704E"/>
    <w:rsid w:val="04C57F0E"/>
    <w:rsid w:val="04D7C981"/>
    <w:rsid w:val="04D8190F"/>
    <w:rsid w:val="04DD98AB"/>
    <w:rsid w:val="04E50363"/>
    <w:rsid w:val="04F52C76"/>
    <w:rsid w:val="050DFBC7"/>
    <w:rsid w:val="0518C7B2"/>
    <w:rsid w:val="05212A90"/>
    <w:rsid w:val="053B687B"/>
    <w:rsid w:val="053DDC7E"/>
    <w:rsid w:val="054B8808"/>
    <w:rsid w:val="054C624E"/>
    <w:rsid w:val="054FDD17"/>
    <w:rsid w:val="056117EE"/>
    <w:rsid w:val="057C6223"/>
    <w:rsid w:val="058AD82D"/>
    <w:rsid w:val="059D5595"/>
    <w:rsid w:val="05A58354"/>
    <w:rsid w:val="05ADACE3"/>
    <w:rsid w:val="05B206FD"/>
    <w:rsid w:val="05B3B810"/>
    <w:rsid w:val="05B831F6"/>
    <w:rsid w:val="05D8C105"/>
    <w:rsid w:val="05EF1968"/>
    <w:rsid w:val="05F8C71C"/>
    <w:rsid w:val="060A3A1A"/>
    <w:rsid w:val="060BC951"/>
    <w:rsid w:val="0617E8D9"/>
    <w:rsid w:val="06186AB4"/>
    <w:rsid w:val="0626D025"/>
    <w:rsid w:val="0667AB67"/>
    <w:rsid w:val="066B805A"/>
    <w:rsid w:val="067399E2"/>
    <w:rsid w:val="0696E5C6"/>
    <w:rsid w:val="06A20215"/>
    <w:rsid w:val="06A91B8D"/>
    <w:rsid w:val="06B2E0BB"/>
    <w:rsid w:val="06C7F316"/>
    <w:rsid w:val="06EBA8EA"/>
    <w:rsid w:val="06ECC387"/>
    <w:rsid w:val="06F29682"/>
    <w:rsid w:val="06FCD561"/>
    <w:rsid w:val="070E3F3B"/>
    <w:rsid w:val="07147813"/>
    <w:rsid w:val="07185614"/>
    <w:rsid w:val="0726FA07"/>
    <w:rsid w:val="0730E1E5"/>
    <w:rsid w:val="073F37DE"/>
    <w:rsid w:val="07404B54"/>
    <w:rsid w:val="07429D37"/>
    <w:rsid w:val="0759CD66"/>
    <w:rsid w:val="07632BA9"/>
    <w:rsid w:val="077164C2"/>
    <w:rsid w:val="07ACE343"/>
    <w:rsid w:val="07CB0E36"/>
    <w:rsid w:val="07D0D00E"/>
    <w:rsid w:val="07D812A9"/>
    <w:rsid w:val="07D9A037"/>
    <w:rsid w:val="07DB019A"/>
    <w:rsid w:val="07F641E6"/>
    <w:rsid w:val="07F9B3CF"/>
    <w:rsid w:val="0808732A"/>
    <w:rsid w:val="080DD2F7"/>
    <w:rsid w:val="08192F5B"/>
    <w:rsid w:val="081E8758"/>
    <w:rsid w:val="08257DDA"/>
    <w:rsid w:val="083020B1"/>
    <w:rsid w:val="083204A7"/>
    <w:rsid w:val="083A1CE7"/>
    <w:rsid w:val="0850DDF8"/>
    <w:rsid w:val="085BB8F1"/>
    <w:rsid w:val="08A5D3B8"/>
    <w:rsid w:val="08C0059F"/>
    <w:rsid w:val="08CAE42E"/>
    <w:rsid w:val="08CD716D"/>
    <w:rsid w:val="08E0FD56"/>
    <w:rsid w:val="08E77258"/>
    <w:rsid w:val="08ED0999"/>
    <w:rsid w:val="08F35633"/>
    <w:rsid w:val="08F95D90"/>
    <w:rsid w:val="09010EDA"/>
    <w:rsid w:val="090A6103"/>
    <w:rsid w:val="091238F8"/>
    <w:rsid w:val="09191A21"/>
    <w:rsid w:val="091E7A44"/>
    <w:rsid w:val="09265D80"/>
    <w:rsid w:val="093351FD"/>
    <w:rsid w:val="094DB4CC"/>
    <w:rsid w:val="09663B49"/>
    <w:rsid w:val="09846457"/>
    <w:rsid w:val="098B06DB"/>
    <w:rsid w:val="098D21E6"/>
    <w:rsid w:val="09911118"/>
    <w:rsid w:val="09A0DB20"/>
    <w:rsid w:val="09A45012"/>
    <w:rsid w:val="09AA9018"/>
    <w:rsid w:val="09B109CE"/>
    <w:rsid w:val="09B45795"/>
    <w:rsid w:val="09BDCC97"/>
    <w:rsid w:val="09C185DB"/>
    <w:rsid w:val="09CC862E"/>
    <w:rsid w:val="0A0C1F16"/>
    <w:rsid w:val="0A109406"/>
    <w:rsid w:val="0A363B5C"/>
    <w:rsid w:val="0A3C3A50"/>
    <w:rsid w:val="0A432E3D"/>
    <w:rsid w:val="0A457F24"/>
    <w:rsid w:val="0A57778C"/>
    <w:rsid w:val="0A63F2FE"/>
    <w:rsid w:val="0A857820"/>
    <w:rsid w:val="0A963CC5"/>
    <w:rsid w:val="0A98BC4C"/>
    <w:rsid w:val="0B0AD25B"/>
    <w:rsid w:val="0B166ADA"/>
    <w:rsid w:val="0B1C4C3D"/>
    <w:rsid w:val="0B1FC5FC"/>
    <w:rsid w:val="0B3254C8"/>
    <w:rsid w:val="0B384D9E"/>
    <w:rsid w:val="0B3ED511"/>
    <w:rsid w:val="0B433B05"/>
    <w:rsid w:val="0B4CDA2F"/>
    <w:rsid w:val="0B539D8D"/>
    <w:rsid w:val="0B5D1689"/>
    <w:rsid w:val="0B68F0DB"/>
    <w:rsid w:val="0B7C9CED"/>
    <w:rsid w:val="0B8523AD"/>
    <w:rsid w:val="0B89DB78"/>
    <w:rsid w:val="0B9ADE1C"/>
    <w:rsid w:val="0BDE54A8"/>
    <w:rsid w:val="0BE18089"/>
    <w:rsid w:val="0BF32CFB"/>
    <w:rsid w:val="0BFB4003"/>
    <w:rsid w:val="0BFF15A5"/>
    <w:rsid w:val="0C245874"/>
    <w:rsid w:val="0C2C97E1"/>
    <w:rsid w:val="0C320D26"/>
    <w:rsid w:val="0C774746"/>
    <w:rsid w:val="0C909159"/>
    <w:rsid w:val="0C92354D"/>
    <w:rsid w:val="0CAF08B6"/>
    <w:rsid w:val="0CB5E3FA"/>
    <w:rsid w:val="0CDAA2BB"/>
    <w:rsid w:val="0CDF03DD"/>
    <w:rsid w:val="0CDF4352"/>
    <w:rsid w:val="0CEC9D42"/>
    <w:rsid w:val="0CEF9E92"/>
    <w:rsid w:val="0CF67930"/>
    <w:rsid w:val="0D0BD4F6"/>
    <w:rsid w:val="0D2BA01B"/>
    <w:rsid w:val="0D362D92"/>
    <w:rsid w:val="0D3B1372"/>
    <w:rsid w:val="0D40C8D7"/>
    <w:rsid w:val="0D43BFD8"/>
    <w:rsid w:val="0D44889B"/>
    <w:rsid w:val="0D5A7A20"/>
    <w:rsid w:val="0D5A86C7"/>
    <w:rsid w:val="0D6A7B1E"/>
    <w:rsid w:val="0D741759"/>
    <w:rsid w:val="0D77C9D8"/>
    <w:rsid w:val="0D79F6D4"/>
    <w:rsid w:val="0D847D7A"/>
    <w:rsid w:val="0D8C0BC4"/>
    <w:rsid w:val="0D8C23F1"/>
    <w:rsid w:val="0D8F6F4E"/>
    <w:rsid w:val="0D9268FB"/>
    <w:rsid w:val="0D9C9B72"/>
    <w:rsid w:val="0D9F4BEB"/>
    <w:rsid w:val="0DA2D90E"/>
    <w:rsid w:val="0DA8BFD7"/>
    <w:rsid w:val="0DA9339B"/>
    <w:rsid w:val="0DB2E5F1"/>
    <w:rsid w:val="0DBD18E2"/>
    <w:rsid w:val="0DC86842"/>
    <w:rsid w:val="0DD128FB"/>
    <w:rsid w:val="0E38570A"/>
    <w:rsid w:val="0E4EBCB3"/>
    <w:rsid w:val="0E5766BE"/>
    <w:rsid w:val="0E5CD51D"/>
    <w:rsid w:val="0E65836A"/>
    <w:rsid w:val="0E74A4BD"/>
    <w:rsid w:val="0E979DF8"/>
    <w:rsid w:val="0E980082"/>
    <w:rsid w:val="0E9EA2C3"/>
    <w:rsid w:val="0EC34E19"/>
    <w:rsid w:val="0EC43936"/>
    <w:rsid w:val="0ECEB1B9"/>
    <w:rsid w:val="0ED45202"/>
    <w:rsid w:val="0EEF3E33"/>
    <w:rsid w:val="0F011E5D"/>
    <w:rsid w:val="0F32B143"/>
    <w:rsid w:val="0F3F1E4B"/>
    <w:rsid w:val="0F4EB652"/>
    <w:rsid w:val="0F5C9C96"/>
    <w:rsid w:val="0F6438A3"/>
    <w:rsid w:val="0F69ADE8"/>
    <w:rsid w:val="0F7C02E8"/>
    <w:rsid w:val="0F7C7D80"/>
    <w:rsid w:val="0F7E5056"/>
    <w:rsid w:val="0F9994A4"/>
    <w:rsid w:val="0FA940E0"/>
    <w:rsid w:val="0FAC88C4"/>
    <w:rsid w:val="0FBCF7BE"/>
    <w:rsid w:val="0FC68A34"/>
    <w:rsid w:val="0FCBC240"/>
    <w:rsid w:val="0FDE7E89"/>
    <w:rsid w:val="100D3567"/>
    <w:rsid w:val="10152514"/>
    <w:rsid w:val="101C5360"/>
    <w:rsid w:val="1042D2FC"/>
    <w:rsid w:val="106644C1"/>
    <w:rsid w:val="106D4B89"/>
    <w:rsid w:val="10ABB81B"/>
    <w:rsid w:val="10C3C4B3"/>
    <w:rsid w:val="10F7AE14"/>
    <w:rsid w:val="11326F98"/>
    <w:rsid w:val="11A62294"/>
    <w:rsid w:val="11AA5E0E"/>
    <w:rsid w:val="11CB4ECA"/>
    <w:rsid w:val="11E1FE08"/>
    <w:rsid w:val="11F046BB"/>
    <w:rsid w:val="12155D73"/>
    <w:rsid w:val="12482EBF"/>
    <w:rsid w:val="1259D3D5"/>
    <w:rsid w:val="128EC8C3"/>
    <w:rsid w:val="129D532B"/>
    <w:rsid w:val="12A1E973"/>
    <w:rsid w:val="12D307BF"/>
    <w:rsid w:val="12D4D176"/>
    <w:rsid w:val="12E5A75A"/>
    <w:rsid w:val="13036DBC"/>
    <w:rsid w:val="1306FF93"/>
    <w:rsid w:val="131B6005"/>
    <w:rsid w:val="132D6007"/>
    <w:rsid w:val="132EED83"/>
    <w:rsid w:val="1344384C"/>
    <w:rsid w:val="135A3A2B"/>
    <w:rsid w:val="1362C7E9"/>
    <w:rsid w:val="137D96DF"/>
    <w:rsid w:val="1382EB2A"/>
    <w:rsid w:val="139ECEF7"/>
    <w:rsid w:val="139FECD6"/>
    <w:rsid w:val="13A37FB1"/>
    <w:rsid w:val="13CE756F"/>
    <w:rsid w:val="13EC616A"/>
    <w:rsid w:val="13EE6031"/>
    <w:rsid w:val="1407FC6D"/>
    <w:rsid w:val="141362BF"/>
    <w:rsid w:val="14294C71"/>
    <w:rsid w:val="142F4ED6"/>
    <w:rsid w:val="143286AA"/>
    <w:rsid w:val="144CC49B"/>
    <w:rsid w:val="1466C1C7"/>
    <w:rsid w:val="1483844A"/>
    <w:rsid w:val="1489CDB2"/>
    <w:rsid w:val="1492D361"/>
    <w:rsid w:val="149B8A35"/>
    <w:rsid w:val="14D788C7"/>
    <w:rsid w:val="14DEA2B2"/>
    <w:rsid w:val="14E0240A"/>
    <w:rsid w:val="14E3E641"/>
    <w:rsid w:val="1503E707"/>
    <w:rsid w:val="1505B118"/>
    <w:rsid w:val="151EC75D"/>
    <w:rsid w:val="1540C52A"/>
    <w:rsid w:val="15412475"/>
    <w:rsid w:val="155EE1C2"/>
    <w:rsid w:val="15771560"/>
    <w:rsid w:val="15792557"/>
    <w:rsid w:val="158881C6"/>
    <w:rsid w:val="158B623C"/>
    <w:rsid w:val="1590A17E"/>
    <w:rsid w:val="15B0EB86"/>
    <w:rsid w:val="15B6589D"/>
    <w:rsid w:val="15C25D10"/>
    <w:rsid w:val="15C2C44A"/>
    <w:rsid w:val="15EAC598"/>
    <w:rsid w:val="15F5F152"/>
    <w:rsid w:val="15FBD182"/>
    <w:rsid w:val="16027D3C"/>
    <w:rsid w:val="160AD344"/>
    <w:rsid w:val="1625DCE9"/>
    <w:rsid w:val="163881BE"/>
    <w:rsid w:val="16473DC0"/>
    <w:rsid w:val="16473FC1"/>
    <w:rsid w:val="16648356"/>
    <w:rsid w:val="16668E45"/>
    <w:rsid w:val="1679F404"/>
    <w:rsid w:val="16A5BD7D"/>
    <w:rsid w:val="16AE61BF"/>
    <w:rsid w:val="16BEA20B"/>
    <w:rsid w:val="16C73D1A"/>
    <w:rsid w:val="16ED89DE"/>
    <w:rsid w:val="17006330"/>
    <w:rsid w:val="170126D7"/>
    <w:rsid w:val="1706F1EE"/>
    <w:rsid w:val="170C3481"/>
    <w:rsid w:val="172283AE"/>
    <w:rsid w:val="1724022C"/>
    <w:rsid w:val="172D1243"/>
    <w:rsid w:val="17485F4F"/>
    <w:rsid w:val="175E94AB"/>
    <w:rsid w:val="175FB742"/>
    <w:rsid w:val="176A276C"/>
    <w:rsid w:val="176DD02D"/>
    <w:rsid w:val="1774E3DD"/>
    <w:rsid w:val="177AC47A"/>
    <w:rsid w:val="179C08AD"/>
    <w:rsid w:val="17B2A0C9"/>
    <w:rsid w:val="17B4D059"/>
    <w:rsid w:val="17BD12C0"/>
    <w:rsid w:val="17C2353E"/>
    <w:rsid w:val="1806D250"/>
    <w:rsid w:val="181B8703"/>
    <w:rsid w:val="182B48CB"/>
    <w:rsid w:val="18308F4B"/>
    <w:rsid w:val="1833B219"/>
    <w:rsid w:val="184ABB39"/>
    <w:rsid w:val="185535AD"/>
    <w:rsid w:val="185B669A"/>
    <w:rsid w:val="18994981"/>
    <w:rsid w:val="18998951"/>
    <w:rsid w:val="18C38A4C"/>
    <w:rsid w:val="18CE59C4"/>
    <w:rsid w:val="18F04AF4"/>
    <w:rsid w:val="18F0C05C"/>
    <w:rsid w:val="18FA122B"/>
    <w:rsid w:val="1905F7CD"/>
    <w:rsid w:val="1931A6C1"/>
    <w:rsid w:val="194685E3"/>
    <w:rsid w:val="194C6948"/>
    <w:rsid w:val="194E42DA"/>
    <w:rsid w:val="1958E321"/>
    <w:rsid w:val="195DF352"/>
    <w:rsid w:val="19665C58"/>
    <w:rsid w:val="198A742E"/>
    <w:rsid w:val="1995C9A2"/>
    <w:rsid w:val="19A275A7"/>
    <w:rsid w:val="19AB3336"/>
    <w:rsid w:val="19B80CA8"/>
    <w:rsid w:val="19B8DFB2"/>
    <w:rsid w:val="19BE3B1A"/>
    <w:rsid w:val="19C254DB"/>
    <w:rsid w:val="19C7192C"/>
    <w:rsid w:val="19E8E285"/>
    <w:rsid w:val="1A0200D4"/>
    <w:rsid w:val="1A1933D2"/>
    <w:rsid w:val="1A1B1536"/>
    <w:rsid w:val="1A397204"/>
    <w:rsid w:val="1A6E732B"/>
    <w:rsid w:val="1A7522B7"/>
    <w:rsid w:val="1A776CCA"/>
    <w:rsid w:val="1A85F6FF"/>
    <w:rsid w:val="1A8E4B14"/>
    <w:rsid w:val="1A957A22"/>
    <w:rsid w:val="1A95C78C"/>
    <w:rsid w:val="1A96356D"/>
    <w:rsid w:val="1A9A3BAA"/>
    <w:rsid w:val="1A9E905A"/>
    <w:rsid w:val="1AA956E9"/>
    <w:rsid w:val="1AACA0E4"/>
    <w:rsid w:val="1AD0449B"/>
    <w:rsid w:val="1AD45D26"/>
    <w:rsid w:val="1ADB568B"/>
    <w:rsid w:val="1AF4B382"/>
    <w:rsid w:val="1AF68965"/>
    <w:rsid w:val="1AF79BC2"/>
    <w:rsid w:val="1AFE7E78"/>
    <w:rsid w:val="1B194624"/>
    <w:rsid w:val="1B3E057E"/>
    <w:rsid w:val="1B5E253C"/>
    <w:rsid w:val="1B62943F"/>
    <w:rsid w:val="1B651257"/>
    <w:rsid w:val="1B759BB9"/>
    <w:rsid w:val="1B9D6F55"/>
    <w:rsid w:val="1BA6F5F9"/>
    <w:rsid w:val="1BAE0B81"/>
    <w:rsid w:val="1BD2F428"/>
    <w:rsid w:val="1BDE4AF2"/>
    <w:rsid w:val="1C182B01"/>
    <w:rsid w:val="1C2A1B75"/>
    <w:rsid w:val="1C3071CD"/>
    <w:rsid w:val="1C3211B4"/>
    <w:rsid w:val="1C5D1804"/>
    <w:rsid w:val="1C670F4E"/>
    <w:rsid w:val="1C7A9AB7"/>
    <w:rsid w:val="1C7DB197"/>
    <w:rsid w:val="1C83ADBD"/>
    <w:rsid w:val="1C8BF857"/>
    <w:rsid w:val="1C9083E3"/>
    <w:rsid w:val="1C9EFCD8"/>
    <w:rsid w:val="1CC5091E"/>
    <w:rsid w:val="1CDA1669"/>
    <w:rsid w:val="1CE5A5FD"/>
    <w:rsid w:val="1D05655E"/>
    <w:rsid w:val="1D0C22ED"/>
    <w:rsid w:val="1D459017"/>
    <w:rsid w:val="1D506F2E"/>
    <w:rsid w:val="1D5BB8FF"/>
    <w:rsid w:val="1D79085C"/>
    <w:rsid w:val="1D7D6995"/>
    <w:rsid w:val="1D7EF525"/>
    <w:rsid w:val="1D8A2835"/>
    <w:rsid w:val="1D8FBBB3"/>
    <w:rsid w:val="1D9CF46F"/>
    <w:rsid w:val="1DC50B7E"/>
    <w:rsid w:val="1DDB3BF2"/>
    <w:rsid w:val="1DEA32E8"/>
    <w:rsid w:val="1DF7ED90"/>
    <w:rsid w:val="1E00CF88"/>
    <w:rsid w:val="1E02AA99"/>
    <w:rsid w:val="1E0B9A5F"/>
    <w:rsid w:val="1E4A7822"/>
    <w:rsid w:val="1E50E636"/>
    <w:rsid w:val="1E740C49"/>
    <w:rsid w:val="1E7BADC3"/>
    <w:rsid w:val="1E8788D0"/>
    <w:rsid w:val="1EBA13D5"/>
    <w:rsid w:val="1EBB6252"/>
    <w:rsid w:val="1EC8F3EA"/>
    <w:rsid w:val="1EE3476E"/>
    <w:rsid w:val="1EEB32FA"/>
    <w:rsid w:val="1EF81D62"/>
    <w:rsid w:val="1F19C760"/>
    <w:rsid w:val="1F335917"/>
    <w:rsid w:val="1F3783C4"/>
    <w:rsid w:val="1F38128D"/>
    <w:rsid w:val="1F3C2BD5"/>
    <w:rsid w:val="1F3F3D94"/>
    <w:rsid w:val="1F4B7188"/>
    <w:rsid w:val="1F65488F"/>
    <w:rsid w:val="1F710158"/>
    <w:rsid w:val="1F77281A"/>
    <w:rsid w:val="1F8FC068"/>
    <w:rsid w:val="1FA55F89"/>
    <w:rsid w:val="1FBBD94D"/>
    <w:rsid w:val="1FBE0E8A"/>
    <w:rsid w:val="1FD0E683"/>
    <w:rsid w:val="1FE10D78"/>
    <w:rsid w:val="1FF0D00C"/>
    <w:rsid w:val="2000A61A"/>
    <w:rsid w:val="200232C6"/>
    <w:rsid w:val="2009CE74"/>
    <w:rsid w:val="201376A0"/>
    <w:rsid w:val="20170E8E"/>
    <w:rsid w:val="2034A28C"/>
    <w:rsid w:val="203786BC"/>
    <w:rsid w:val="203A8950"/>
    <w:rsid w:val="2042B0FF"/>
    <w:rsid w:val="2056557B"/>
    <w:rsid w:val="2062D4D5"/>
    <w:rsid w:val="20689C23"/>
    <w:rsid w:val="207017DB"/>
    <w:rsid w:val="207D4EA6"/>
    <w:rsid w:val="2091A91B"/>
    <w:rsid w:val="20A2AA06"/>
    <w:rsid w:val="20ACC5A7"/>
    <w:rsid w:val="20C7FC81"/>
    <w:rsid w:val="210B8276"/>
    <w:rsid w:val="21152142"/>
    <w:rsid w:val="2133EE8F"/>
    <w:rsid w:val="21357D10"/>
    <w:rsid w:val="213633BC"/>
    <w:rsid w:val="2146FD49"/>
    <w:rsid w:val="214C1E27"/>
    <w:rsid w:val="2159F4CD"/>
    <w:rsid w:val="215EDA5B"/>
    <w:rsid w:val="217EFAB5"/>
    <w:rsid w:val="2188DBBF"/>
    <w:rsid w:val="218C890A"/>
    <w:rsid w:val="2194BC87"/>
    <w:rsid w:val="21C50A31"/>
    <w:rsid w:val="21C53D69"/>
    <w:rsid w:val="21CA56FA"/>
    <w:rsid w:val="21CFFCFD"/>
    <w:rsid w:val="21E26A0F"/>
    <w:rsid w:val="21FF58B6"/>
    <w:rsid w:val="22085163"/>
    <w:rsid w:val="221198F5"/>
    <w:rsid w:val="22161342"/>
    <w:rsid w:val="221937AA"/>
    <w:rsid w:val="2222C174"/>
    <w:rsid w:val="222F9F3E"/>
    <w:rsid w:val="22356487"/>
    <w:rsid w:val="223B76C9"/>
    <w:rsid w:val="223EC5A7"/>
    <w:rsid w:val="223F3F8C"/>
    <w:rsid w:val="2247812D"/>
    <w:rsid w:val="22494AC4"/>
    <w:rsid w:val="2265DF16"/>
    <w:rsid w:val="226C74DD"/>
    <w:rsid w:val="2272A240"/>
    <w:rsid w:val="2274E660"/>
    <w:rsid w:val="228C58C9"/>
    <w:rsid w:val="22979F81"/>
    <w:rsid w:val="229ED4F5"/>
    <w:rsid w:val="22A2AFF4"/>
    <w:rsid w:val="22A68B7E"/>
    <w:rsid w:val="22A75A77"/>
    <w:rsid w:val="22ACD95A"/>
    <w:rsid w:val="22B0F1A3"/>
    <w:rsid w:val="22BD7B14"/>
    <w:rsid w:val="22F0321D"/>
    <w:rsid w:val="233DBBC4"/>
    <w:rsid w:val="234B4FA3"/>
    <w:rsid w:val="23589D0E"/>
    <w:rsid w:val="2371362D"/>
    <w:rsid w:val="237F554D"/>
    <w:rsid w:val="23895E99"/>
    <w:rsid w:val="23967B6D"/>
    <w:rsid w:val="2396B559"/>
    <w:rsid w:val="239C5337"/>
    <w:rsid w:val="23BDFE26"/>
    <w:rsid w:val="23CD2C1F"/>
    <w:rsid w:val="23D018CF"/>
    <w:rsid w:val="23D7472A"/>
    <w:rsid w:val="23E841D0"/>
    <w:rsid w:val="23FDCDC3"/>
    <w:rsid w:val="24122240"/>
    <w:rsid w:val="241728D0"/>
    <w:rsid w:val="241C04FD"/>
    <w:rsid w:val="2423EF56"/>
    <w:rsid w:val="2454DE7A"/>
    <w:rsid w:val="245A25D4"/>
    <w:rsid w:val="245C8CF9"/>
    <w:rsid w:val="246575AE"/>
    <w:rsid w:val="2471437D"/>
    <w:rsid w:val="2484FB13"/>
    <w:rsid w:val="248EB327"/>
    <w:rsid w:val="24938A2C"/>
    <w:rsid w:val="2497BC54"/>
    <w:rsid w:val="24ACC16A"/>
    <w:rsid w:val="24BA7670"/>
    <w:rsid w:val="24CD61CD"/>
    <w:rsid w:val="24ED94A7"/>
    <w:rsid w:val="24F2CC40"/>
    <w:rsid w:val="24FAD78C"/>
    <w:rsid w:val="2508ACEE"/>
    <w:rsid w:val="251F0D11"/>
    <w:rsid w:val="25385CAC"/>
    <w:rsid w:val="258AB9B7"/>
    <w:rsid w:val="25A7CC63"/>
    <w:rsid w:val="25F628B8"/>
    <w:rsid w:val="260DBC16"/>
    <w:rsid w:val="26100368"/>
    <w:rsid w:val="26155365"/>
    <w:rsid w:val="2629ABAA"/>
    <w:rsid w:val="265971F4"/>
    <w:rsid w:val="26B1A237"/>
    <w:rsid w:val="26B5DB32"/>
    <w:rsid w:val="26B84247"/>
    <w:rsid w:val="26C9C417"/>
    <w:rsid w:val="26E30CD6"/>
    <w:rsid w:val="26EAADFD"/>
    <w:rsid w:val="26F5ED17"/>
    <w:rsid w:val="2714EAE6"/>
    <w:rsid w:val="2721F551"/>
    <w:rsid w:val="272536B8"/>
    <w:rsid w:val="27356E85"/>
    <w:rsid w:val="2752AFEB"/>
    <w:rsid w:val="27B3E800"/>
    <w:rsid w:val="27C619B0"/>
    <w:rsid w:val="27CF5D16"/>
    <w:rsid w:val="27D0397E"/>
    <w:rsid w:val="27D98CF6"/>
    <w:rsid w:val="27E84C96"/>
    <w:rsid w:val="28049CD2"/>
    <w:rsid w:val="28285A47"/>
    <w:rsid w:val="28333479"/>
    <w:rsid w:val="2836EC91"/>
    <w:rsid w:val="283B912B"/>
    <w:rsid w:val="28533F49"/>
    <w:rsid w:val="2856ADD3"/>
    <w:rsid w:val="28594694"/>
    <w:rsid w:val="2865E9A7"/>
    <w:rsid w:val="2866DF3A"/>
    <w:rsid w:val="28728D22"/>
    <w:rsid w:val="2894F9E5"/>
    <w:rsid w:val="28A088D4"/>
    <w:rsid w:val="28B3C56D"/>
    <w:rsid w:val="28BB3283"/>
    <w:rsid w:val="28F5F221"/>
    <w:rsid w:val="28FFBB26"/>
    <w:rsid w:val="2900FEEF"/>
    <w:rsid w:val="29066F51"/>
    <w:rsid w:val="2913DA6F"/>
    <w:rsid w:val="2915E885"/>
    <w:rsid w:val="294BB406"/>
    <w:rsid w:val="294BDE55"/>
    <w:rsid w:val="2954DBF4"/>
    <w:rsid w:val="295845B2"/>
    <w:rsid w:val="2963E64F"/>
    <w:rsid w:val="29642C74"/>
    <w:rsid w:val="2974A990"/>
    <w:rsid w:val="2989669C"/>
    <w:rsid w:val="2993E94C"/>
    <w:rsid w:val="29BA858F"/>
    <w:rsid w:val="29BB57C2"/>
    <w:rsid w:val="29C158C2"/>
    <w:rsid w:val="29D9FE4C"/>
    <w:rsid w:val="29F089E9"/>
    <w:rsid w:val="29F9B5DB"/>
    <w:rsid w:val="2A011709"/>
    <w:rsid w:val="2A09EE85"/>
    <w:rsid w:val="2A0D82AC"/>
    <w:rsid w:val="2A180387"/>
    <w:rsid w:val="2A1BF1B9"/>
    <w:rsid w:val="2A1C151A"/>
    <w:rsid w:val="2A3742BC"/>
    <w:rsid w:val="2A393DE7"/>
    <w:rsid w:val="2A3D7A72"/>
    <w:rsid w:val="2A6D0F47"/>
    <w:rsid w:val="2A787F4F"/>
    <w:rsid w:val="2A817DDF"/>
    <w:rsid w:val="2A9798C0"/>
    <w:rsid w:val="2AA752F2"/>
    <w:rsid w:val="2AA7BD4A"/>
    <w:rsid w:val="2AB230B2"/>
    <w:rsid w:val="2ADFCA05"/>
    <w:rsid w:val="2B149AB5"/>
    <w:rsid w:val="2B26E65D"/>
    <w:rsid w:val="2B27D8C3"/>
    <w:rsid w:val="2B38DD97"/>
    <w:rsid w:val="2B4A8696"/>
    <w:rsid w:val="2B4C614E"/>
    <w:rsid w:val="2B70C742"/>
    <w:rsid w:val="2B7BD544"/>
    <w:rsid w:val="2B8E4E95"/>
    <w:rsid w:val="2BA1EDB0"/>
    <w:rsid w:val="2BAD4B18"/>
    <w:rsid w:val="2BAE86E8"/>
    <w:rsid w:val="2BE6F4E9"/>
    <w:rsid w:val="2BEA9DEE"/>
    <w:rsid w:val="2BEC3F16"/>
    <w:rsid w:val="2BF353B5"/>
    <w:rsid w:val="2C11F839"/>
    <w:rsid w:val="2C14B979"/>
    <w:rsid w:val="2C1DDE5A"/>
    <w:rsid w:val="2C438DAB"/>
    <w:rsid w:val="2C838164"/>
    <w:rsid w:val="2C98AF67"/>
    <w:rsid w:val="2C9DC89E"/>
    <w:rsid w:val="2CA2CE39"/>
    <w:rsid w:val="2CB6BF27"/>
    <w:rsid w:val="2CB8508A"/>
    <w:rsid w:val="2CE6A20B"/>
    <w:rsid w:val="2CF82A15"/>
    <w:rsid w:val="2CFBCDA4"/>
    <w:rsid w:val="2D179CFD"/>
    <w:rsid w:val="2D4CF879"/>
    <w:rsid w:val="2D5B8B35"/>
    <w:rsid w:val="2D60EE29"/>
    <w:rsid w:val="2D63BA37"/>
    <w:rsid w:val="2D69DF15"/>
    <w:rsid w:val="2D6D6CBD"/>
    <w:rsid w:val="2D78172E"/>
    <w:rsid w:val="2D873690"/>
    <w:rsid w:val="2DA1C929"/>
    <w:rsid w:val="2DA99DB5"/>
    <w:rsid w:val="2DB5E465"/>
    <w:rsid w:val="2DD1F4D2"/>
    <w:rsid w:val="2DE74B92"/>
    <w:rsid w:val="2DEE5F4F"/>
    <w:rsid w:val="2DEFAA53"/>
    <w:rsid w:val="2DF1DAD1"/>
    <w:rsid w:val="2E02A678"/>
    <w:rsid w:val="2E0E999B"/>
    <w:rsid w:val="2E35956D"/>
    <w:rsid w:val="2E35FFF0"/>
    <w:rsid w:val="2E555C77"/>
    <w:rsid w:val="2EAFC408"/>
    <w:rsid w:val="2EB22DA8"/>
    <w:rsid w:val="2ED3E253"/>
    <w:rsid w:val="2EE25D67"/>
    <w:rsid w:val="2F01D293"/>
    <w:rsid w:val="2F178059"/>
    <w:rsid w:val="2F2306F1"/>
    <w:rsid w:val="2F251113"/>
    <w:rsid w:val="2F29EFA9"/>
    <w:rsid w:val="2F68649F"/>
    <w:rsid w:val="2F94E153"/>
    <w:rsid w:val="2F96D068"/>
    <w:rsid w:val="2FA1CD2D"/>
    <w:rsid w:val="2FAFB92E"/>
    <w:rsid w:val="2FB5CAE7"/>
    <w:rsid w:val="2FCC7697"/>
    <w:rsid w:val="300608F5"/>
    <w:rsid w:val="301ED5A4"/>
    <w:rsid w:val="3034435D"/>
    <w:rsid w:val="3034BBE2"/>
    <w:rsid w:val="30363AA5"/>
    <w:rsid w:val="303A8E54"/>
    <w:rsid w:val="3049CC9C"/>
    <w:rsid w:val="304BFBEA"/>
    <w:rsid w:val="3052583F"/>
    <w:rsid w:val="3055A907"/>
    <w:rsid w:val="307A2B37"/>
    <w:rsid w:val="30B16B11"/>
    <w:rsid w:val="30D63A93"/>
    <w:rsid w:val="30E1CD6F"/>
    <w:rsid w:val="30E62BE1"/>
    <w:rsid w:val="30E8407E"/>
    <w:rsid w:val="30E859A1"/>
    <w:rsid w:val="31025D1A"/>
    <w:rsid w:val="310CF69F"/>
    <w:rsid w:val="313FBDC2"/>
    <w:rsid w:val="31464E9D"/>
    <w:rsid w:val="314B898F"/>
    <w:rsid w:val="314E91AB"/>
    <w:rsid w:val="317756CF"/>
    <w:rsid w:val="31A27A75"/>
    <w:rsid w:val="31B20F28"/>
    <w:rsid w:val="31D56B31"/>
    <w:rsid w:val="31DD3AE2"/>
    <w:rsid w:val="31E4A3BE"/>
    <w:rsid w:val="31FF0D60"/>
    <w:rsid w:val="3203FC93"/>
    <w:rsid w:val="320570D3"/>
    <w:rsid w:val="321F2932"/>
    <w:rsid w:val="32365C75"/>
    <w:rsid w:val="323F5172"/>
    <w:rsid w:val="3271F528"/>
    <w:rsid w:val="3283D25A"/>
    <w:rsid w:val="328A1BDF"/>
    <w:rsid w:val="32A1F041"/>
    <w:rsid w:val="32B547C4"/>
    <w:rsid w:val="32B805E7"/>
    <w:rsid w:val="32B92DBE"/>
    <w:rsid w:val="32CD3214"/>
    <w:rsid w:val="32D63664"/>
    <w:rsid w:val="32DB1B55"/>
    <w:rsid w:val="32E4157A"/>
    <w:rsid w:val="330E5542"/>
    <w:rsid w:val="332C1482"/>
    <w:rsid w:val="334ACA91"/>
    <w:rsid w:val="33832363"/>
    <w:rsid w:val="3389F901"/>
    <w:rsid w:val="33A337D0"/>
    <w:rsid w:val="33F5BD20"/>
    <w:rsid w:val="33F9F5D6"/>
    <w:rsid w:val="33FE659A"/>
    <w:rsid w:val="3405F816"/>
    <w:rsid w:val="34068FD9"/>
    <w:rsid w:val="341AF937"/>
    <w:rsid w:val="341D7429"/>
    <w:rsid w:val="342E2E20"/>
    <w:rsid w:val="343B126C"/>
    <w:rsid w:val="343BD5C2"/>
    <w:rsid w:val="343CF7DD"/>
    <w:rsid w:val="343F0619"/>
    <w:rsid w:val="3442D3DC"/>
    <w:rsid w:val="3449B5A2"/>
    <w:rsid w:val="345081B6"/>
    <w:rsid w:val="3454FF67"/>
    <w:rsid w:val="347C02D6"/>
    <w:rsid w:val="34C14BD6"/>
    <w:rsid w:val="34C2A54B"/>
    <w:rsid w:val="34C88CA2"/>
    <w:rsid w:val="34D0A3B2"/>
    <w:rsid w:val="34D1BC70"/>
    <w:rsid w:val="34DE7737"/>
    <w:rsid w:val="34EA3B07"/>
    <w:rsid w:val="352F1943"/>
    <w:rsid w:val="352F692F"/>
    <w:rsid w:val="353CE4EB"/>
    <w:rsid w:val="35426283"/>
    <w:rsid w:val="3556C9F4"/>
    <w:rsid w:val="3563DD46"/>
    <w:rsid w:val="35644FB9"/>
    <w:rsid w:val="35788CDF"/>
    <w:rsid w:val="358411C1"/>
    <w:rsid w:val="3593D4F0"/>
    <w:rsid w:val="35982E0C"/>
    <w:rsid w:val="35A7196A"/>
    <w:rsid w:val="35A7A153"/>
    <w:rsid w:val="35B8B8F9"/>
    <w:rsid w:val="35D57E40"/>
    <w:rsid w:val="35F25D77"/>
    <w:rsid w:val="361776BA"/>
    <w:rsid w:val="3638982A"/>
    <w:rsid w:val="36609DCB"/>
    <w:rsid w:val="366E9C9B"/>
    <w:rsid w:val="3686E049"/>
    <w:rsid w:val="36955CB8"/>
    <w:rsid w:val="3698C785"/>
    <w:rsid w:val="36C3DD31"/>
    <w:rsid w:val="36C50A87"/>
    <w:rsid w:val="36F0AFA9"/>
    <w:rsid w:val="36FD4E66"/>
    <w:rsid w:val="3710107A"/>
    <w:rsid w:val="372EBAE8"/>
    <w:rsid w:val="37310D0A"/>
    <w:rsid w:val="3737908B"/>
    <w:rsid w:val="375D83EC"/>
    <w:rsid w:val="37612437"/>
    <w:rsid w:val="37816CCE"/>
    <w:rsid w:val="378AA663"/>
    <w:rsid w:val="378BABC5"/>
    <w:rsid w:val="378C9EE1"/>
    <w:rsid w:val="378D7C82"/>
    <w:rsid w:val="37B90B40"/>
    <w:rsid w:val="37C6E633"/>
    <w:rsid w:val="37EEE5CA"/>
    <w:rsid w:val="3821DBC9"/>
    <w:rsid w:val="38248CC5"/>
    <w:rsid w:val="384C4E78"/>
    <w:rsid w:val="38551887"/>
    <w:rsid w:val="38569486"/>
    <w:rsid w:val="38584EB5"/>
    <w:rsid w:val="385F9FE1"/>
    <w:rsid w:val="38650775"/>
    <w:rsid w:val="38744C99"/>
    <w:rsid w:val="389D2F4B"/>
    <w:rsid w:val="389F6508"/>
    <w:rsid w:val="38C09BE6"/>
    <w:rsid w:val="38D6173C"/>
    <w:rsid w:val="38D96939"/>
    <w:rsid w:val="3903F7F9"/>
    <w:rsid w:val="3936EA2F"/>
    <w:rsid w:val="3942D504"/>
    <w:rsid w:val="394468DD"/>
    <w:rsid w:val="397BA551"/>
    <w:rsid w:val="397C19D2"/>
    <w:rsid w:val="39822DA9"/>
    <w:rsid w:val="39C745AC"/>
    <w:rsid w:val="39CC5B7E"/>
    <w:rsid w:val="39DE888D"/>
    <w:rsid w:val="39E3057B"/>
    <w:rsid w:val="39E7B64D"/>
    <w:rsid w:val="39E86E10"/>
    <w:rsid w:val="39F8AEC2"/>
    <w:rsid w:val="3A0228E4"/>
    <w:rsid w:val="3A02A7FC"/>
    <w:rsid w:val="3A24683C"/>
    <w:rsid w:val="3A26A499"/>
    <w:rsid w:val="3A29956D"/>
    <w:rsid w:val="3A3F24FA"/>
    <w:rsid w:val="3A5782E4"/>
    <w:rsid w:val="3A5A5CF9"/>
    <w:rsid w:val="3A5B7134"/>
    <w:rsid w:val="3A5C3D32"/>
    <w:rsid w:val="3A63664A"/>
    <w:rsid w:val="3A782643"/>
    <w:rsid w:val="3A946496"/>
    <w:rsid w:val="3A9D67FC"/>
    <w:rsid w:val="3AA16F1A"/>
    <w:rsid w:val="3AB2EE22"/>
    <w:rsid w:val="3AC5CE9A"/>
    <w:rsid w:val="3AD5A4F8"/>
    <w:rsid w:val="3AD84B5F"/>
    <w:rsid w:val="3AE5F08D"/>
    <w:rsid w:val="3AE6ACD4"/>
    <w:rsid w:val="3B1A8656"/>
    <w:rsid w:val="3B390B54"/>
    <w:rsid w:val="3B43ABE8"/>
    <w:rsid w:val="3B5AA45E"/>
    <w:rsid w:val="3B61C609"/>
    <w:rsid w:val="3B6AF4CB"/>
    <w:rsid w:val="3B8E3548"/>
    <w:rsid w:val="3B8F82FB"/>
    <w:rsid w:val="3B950AE6"/>
    <w:rsid w:val="3BB4D0A1"/>
    <w:rsid w:val="3BBB303F"/>
    <w:rsid w:val="3BE5C485"/>
    <w:rsid w:val="3BF72519"/>
    <w:rsid w:val="3C01F47E"/>
    <w:rsid w:val="3C09F8C9"/>
    <w:rsid w:val="3C0F0E23"/>
    <w:rsid w:val="3C46E7A7"/>
    <w:rsid w:val="3C4910B4"/>
    <w:rsid w:val="3C4ED52D"/>
    <w:rsid w:val="3C6691C0"/>
    <w:rsid w:val="3C685BB5"/>
    <w:rsid w:val="3C6C4E0D"/>
    <w:rsid w:val="3C71617F"/>
    <w:rsid w:val="3C828628"/>
    <w:rsid w:val="3C933312"/>
    <w:rsid w:val="3CBDB5E1"/>
    <w:rsid w:val="3CC7BF0D"/>
    <w:rsid w:val="3CD17C6D"/>
    <w:rsid w:val="3CD2B1DA"/>
    <w:rsid w:val="3CFFAC36"/>
    <w:rsid w:val="3D0A984B"/>
    <w:rsid w:val="3D1DCC11"/>
    <w:rsid w:val="3D1FF51C"/>
    <w:rsid w:val="3D2A05A9"/>
    <w:rsid w:val="3D2A5FD9"/>
    <w:rsid w:val="3D586ECE"/>
    <w:rsid w:val="3D5DE754"/>
    <w:rsid w:val="3D88BDD0"/>
    <w:rsid w:val="3D8941D4"/>
    <w:rsid w:val="3D8A015A"/>
    <w:rsid w:val="3D8FEACD"/>
    <w:rsid w:val="3DC56C3E"/>
    <w:rsid w:val="3DC8365B"/>
    <w:rsid w:val="3DD5B1F2"/>
    <w:rsid w:val="3DFD6F5C"/>
    <w:rsid w:val="3E16B09C"/>
    <w:rsid w:val="3E16F5F3"/>
    <w:rsid w:val="3E18E90B"/>
    <w:rsid w:val="3E270CC7"/>
    <w:rsid w:val="3E2891BA"/>
    <w:rsid w:val="3E36DEE8"/>
    <w:rsid w:val="3E3A81DE"/>
    <w:rsid w:val="3E3D51B7"/>
    <w:rsid w:val="3E46D0B3"/>
    <w:rsid w:val="3E4C8351"/>
    <w:rsid w:val="3E5D751B"/>
    <w:rsid w:val="3E701F42"/>
    <w:rsid w:val="3E7B6F63"/>
    <w:rsid w:val="3E800FDD"/>
    <w:rsid w:val="3E812004"/>
    <w:rsid w:val="3E96271B"/>
    <w:rsid w:val="3EC6CE8B"/>
    <w:rsid w:val="3ECB7369"/>
    <w:rsid w:val="3ED4BB86"/>
    <w:rsid w:val="3EE0FF91"/>
    <w:rsid w:val="3EEB11D6"/>
    <w:rsid w:val="3EEB6C68"/>
    <w:rsid w:val="3F12961D"/>
    <w:rsid w:val="3F1B6EE9"/>
    <w:rsid w:val="3F1F1E42"/>
    <w:rsid w:val="3F2653CD"/>
    <w:rsid w:val="3F303962"/>
    <w:rsid w:val="3F5CC016"/>
    <w:rsid w:val="3F740190"/>
    <w:rsid w:val="3F888840"/>
    <w:rsid w:val="3F88E132"/>
    <w:rsid w:val="3F95BAA3"/>
    <w:rsid w:val="3F9FC91D"/>
    <w:rsid w:val="3FA00E39"/>
    <w:rsid w:val="3FA53212"/>
    <w:rsid w:val="3FABBC82"/>
    <w:rsid w:val="3FACB49B"/>
    <w:rsid w:val="3FB4C27E"/>
    <w:rsid w:val="3FC639A5"/>
    <w:rsid w:val="3FDDC910"/>
    <w:rsid w:val="3FE51704"/>
    <w:rsid w:val="3FF00466"/>
    <w:rsid w:val="3FF1900D"/>
    <w:rsid w:val="40017226"/>
    <w:rsid w:val="402BFBF7"/>
    <w:rsid w:val="403963BF"/>
    <w:rsid w:val="403F9EAE"/>
    <w:rsid w:val="40674E42"/>
    <w:rsid w:val="40757905"/>
    <w:rsid w:val="40B76D53"/>
    <w:rsid w:val="40DA6B8D"/>
    <w:rsid w:val="40DF999E"/>
    <w:rsid w:val="41082E87"/>
    <w:rsid w:val="41224650"/>
    <w:rsid w:val="4124E67F"/>
    <w:rsid w:val="412C166F"/>
    <w:rsid w:val="4133C6E6"/>
    <w:rsid w:val="41356898"/>
    <w:rsid w:val="414616A5"/>
    <w:rsid w:val="41517791"/>
    <w:rsid w:val="4161F22A"/>
    <w:rsid w:val="416E8776"/>
    <w:rsid w:val="417A2860"/>
    <w:rsid w:val="41806B5B"/>
    <w:rsid w:val="4190773A"/>
    <w:rsid w:val="41997C95"/>
    <w:rsid w:val="419CA3FE"/>
    <w:rsid w:val="41CAF3B6"/>
    <w:rsid w:val="41F75F65"/>
    <w:rsid w:val="42072A0A"/>
    <w:rsid w:val="421BA169"/>
    <w:rsid w:val="42234367"/>
    <w:rsid w:val="42391735"/>
    <w:rsid w:val="423AF43A"/>
    <w:rsid w:val="424ABB7B"/>
    <w:rsid w:val="424AFF96"/>
    <w:rsid w:val="424EF5FE"/>
    <w:rsid w:val="4266FA04"/>
    <w:rsid w:val="4266FDBC"/>
    <w:rsid w:val="42C4137E"/>
    <w:rsid w:val="42D677E3"/>
    <w:rsid w:val="42E4B20A"/>
    <w:rsid w:val="42F9B529"/>
    <w:rsid w:val="4309A836"/>
    <w:rsid w:val="430E86CC"/>
    <w:rsid w:val="4311279E"/>
    <w:rsid w:val="431569D2"/>
    <w:rsid w:val="4316DE7C"/>
    <w:rsid w:val="431A0244"/>
    <w:rsid w:val="433447D8"/>
    <w:rsid w:val="4338AD59"/>
    <w:rsid w:val="434DDFED"/>
    <w:rsid w:val="43535399"/>
    <w:rsid w:val="43587FFC"/>
    <w:rsid w:val="435C81A9"/>
    <w:rsid w:val="437BBD03"/>
    <w:rsid w:val="437C131A"/>
    <w:rsid w:val="438D91D8"/>
    <w:rsid w:val="438F3285"/>
    <w:rsid w:val="439EF894"/>
    <w:rsid w:val="43AB7B15"/>
    <w:rsid w:val="43BDF29B"/>
    <w:rsid w:val="43C90444"/>
    <w:rsid w:val="43E03C8C"/>
    <w:rsid w:val="43ED8082"/>
    <w:rsid w:val="43F12C21"/>
    <w:rsid w:val="440AF3A9"/>
    <w:rsid w:val="441127A3"/>
    <w:rsid w:val="442CA5D0"/>
    <w:rsid w:val="4430518C"/>
    <w:rsid w:val="4437E3DA"/>
    <w:rsid w:val="4439C294"/>
    <w:rsid w:val="4441FAD0"/>
    <w:rsid w:val="4451F98C"/>
    <w:rsid w:val="44641E1E"/>
    <w:rsid w:val="4466A580"/>
    <w:rsid w:val="44691233"/>
    <w:rsid w:val="446CB0E0"/>
    <w:rsid w:val="446D095A"/>
    <w:rsid w:val="446E7DED"/>
    <w:rsid w:val="4476EA46"/>
    <w:rsid w:val="44977A5E"/>
    <w:rsid w:val="44B14A4D"/>
    <w:rsid w:val="44C1E4AC"/>
    <w:rsid w:val="44C29751"/>
    <w:rsid w:val="44DB2481"/>
    <w:rsid w:val="44DD1C46"/>
    <w:rsid w:val="44E5E0E5"/>
    <w:rsid w:val="44F2281D"/>
    <w:rsid w:val="44F82C87"/>
    <w:rsid w:val="450280AC"/>
    <w:rsid w:val="450FDED3"/>
    <w:rsid w:val="453358F0"/>
    <w:rsid w:val="454D4F92"/>
    <w:rsid w:val="454F8C9E"/>
    <w:rsid w:val="45638D53"/>
    <w:rsid w:val="4563DC3E"/>
    <w:rsid w:val="45819874"/>
    <w:rsid w:val="45959551"/>
    <w:rsid w:val="45A8CE5E"/>
    <w:rsid w:val="45AF367F"/>
    <w:rsid w:val="45B01777"/>
    <w:rsid w:val="45B4AAE1"/>
    <w:rsid w:val="45B8A343"/>
    <w:rsid w:val="45DC8F16"/>
    <w:rsid w:val="45EFB15E"/>
    <w:rsid w:val="45F1CD4A"/>
    <w:rsid w:val="45F5B773"/>
    <w:rsid w:val="45FF8792"/>
    <w:rsid w:val="460275E1"/>
    <w:rsid w:val="4603DBEF"/>
    <w:rsid w:val="4604FC27"/>
    <w:rsid w:val="460EB599"/>
    <w:rsid w:val="461687C2"/>
    <w:rsid w:val="461C52CC"/>
    <w:rsid w:val="462BE876"/>
    <w:rsid w:val="462D3733"/>
    <w:rsid w:val="462F2001"/>
    <w:rsid w:val="4632416A"/>
    <w:rsid w:val="4644D843"/>
    <w:rsid w:val="467BE519"/>
    <w:rsid w:val="4681914B"/>
    <w:rsid w:val="46968349"/>
    <w:rsid w:val="46EACD78"/>
    <w:rsid w:val="46F9008A"/>
    <w:rsid w:val="4721CF02"/>
    <w:rsid w:val="47480BBC"/>
    <w:rsid w:val="47530705"/>
    <w:rsid w:val="4761B619"/>
    <w:rsid w:val="477B1D26"/>
    <w:rsid w:val="47899A4E"/>
    <w:rsid w:val="4790E1F5"/>
    <w:rsid w:val="47984CA2"/>
    <w:rsid w:val="479E4642"/>
    <w:rsid w:val="47A55265"/>
    <w:rsid w:val="47A73C87"/>
    <w:rsid w:val="47CA4CE8"/>
    <w:rsid w:val="47E8FCD8"/>
    <w:rsid w:val="480164E0"/>
    <w:rsid w:val="481DB79C"/>
    <w:rsid w:val="4827BA60"/>
    <w:rsid w:val="484096BC"/>
    <w:rsid w:val="48601005"/>
    <w:rsid w:val="4875F289"/>
    <w:rsid w:val="4876311E"/>
    <w:rsid w:val="487C99EB"/>
    <w:rsid w:val="487D6282"/>
    <w:rsid w:val="488BFCB3"/>
    <w:rsid w:val="48C0BBA0"/>
    <w:rsid w:val="48C728B4"/>
    <w:rsid w:val="48C991FE"/>
    <w:rsid w:val="48CA7AD1"/>
    <w:rsid w:val="48E21522"/>
    <w:rsid w:val="49124251"/>
    <w:rsid w:val="491A87AF"/>
    <w:rsid w:val="49227C4A"/>
    <w:rsid w:val="49275220"/>
    <w:rsid w:val="493C1547"/>
    <w:rsid w:val="4953F38E"/>
    <w:rsid w:val="49647FE5"/>
    <w:rsid w:val="49945CEE"/>
    <w:rsid w:val="49AFB78C"/>
    <w:rsid w:val="49B44110"/>
    <w:rsid w:val="49B72E22"/>
    <w:rsid w:val="49C2B1EE"/>
    <w:rsid w:val="49C9C2F2"/>
    <w:rsid w:val="49D413A7"/>
    <w:rsid w:val="49FA5B13"/>
    <w:rsid w:val="4A05EA5A"/>
    <w:rsid w:val="4A0680FE"/>
    <w:rsid w:val="4A06CA13"/>
    <w:rsid w:val="4A0A23D2"/>
    <w:rsid w:val="4A11C2EA"/>
    <w:rsid w:val="4A133F4D"/>
    <w:rsid w:val="4A14712F"/>
    <w:rsid w:val="4A14E4F3"/>
    <w:rsid w:val="4A485CB5"/>
    <w:rsid w:val="4A567FFF"/>
    <w:rsid w:val="4A5DD0FD"/>
    <w:rsid w:val="4A663145"/>
    <w:rsid w:val="4A673CB3"/>
    <w:rsid w:val="4A75B619"/>
    <w:rsid w:val="4A9283D5"/>
    <w:rsid w:val="4AA1D311"/>
    <w:rsid w:val="4AE4D023"/>
    <w:rsid w:val="4AE9F8E5"/>
    <w:rsid w:val="4B0036AC"/>
    <w:rsid w:val="4B029124"/>
    <w:rsid w:val="4B069206"/>
    <w:rsid w:val="4B11CBDD"/>
    <w:rsid w:val="4B6FC7C5"/>
    <w:rsid w:val="4BA09EF8"/>
    <w:rsid w:val="4BB33E8E"/>
    <w:rsid w:val="4BBCEB89"/>
    <w:rsid w:val="4BC93743"/>
    <w:rsid w:val="4BD6A253"/>
    <w:rsid w:val="4BDC1C94"/>
    <w:rsid w:val="4BE43862"/>
    <w:rsid w:val="4BF3F9E7"/>
    <w:rsid w:val="4BF66524"/>
    <w:rsid w:val="4C04E533"/>
    <w:rsid w:val="4C0EF775"/>
    <w:rsid w:val="4C14A9CC"/>
    <w:rsid w:val="4C408495"/>
    <w:rsid w:val="4C44CD10"/>
    <w:rsid w:val="4C45116D"/>
    <w:rsid w:val="4C5ED042"/>
    <w:rsid w:val="4C6A1B5E"/>
    <w:rsid w:val="4C754BFD"/>
    <w:rsid w:val="4C8D5131"/>
    <w:rsid w:val="4C91E16B"/>
    <w:rsid w:val="4C932529"/>
    <w:rsid w:val="4CA6646F"/>
    <w:rsid w:val="4CC0226C"/>
    <w:rsid w:val="4CD65EC4"/>
    <w:rsid w:val="4CF724EE"/>
    <w:rsid w:val="4D0108FF"/>
    <w:rsid w:val="4D3A8058"/>
    <w:rsid w:val="4D5238FF"/>
    <w:rsid w:val="4D578123"/>
    <w:rsid w:val="4D5BCB15"/>
    <w:rsid w:val="4D6B0A27"/>
    <w:rsid w:val="4D951E07"/>
    <w:rsid w:val="4DA745E3"/>
    <w:rsid w:val="4DBC9502"/>
    <w:rsid w:val="4DD4D075"/>
    <w:rsid w:val="4DE2F189"/>
    <w:rsid w:val="4E0D87C6"/>
    <w:rsid w:val="4E3585CB"/>
    <w:rsid w:val="4E3AADAE"/>
    <w:rsid w:val="4E42FFDB"/>
    <w:rsid w:val="4E5473E8"/>
    <w:rsid w:val="4E5B4A0C"/>
    <w:rsid w:val="4E5E66BA"/>
    <w:rsid w:val="4E663947"/>
    <w:rsid w:val="4E831117"/>
    <w:rsid w:val="4E866B2E"/>
    <w:rsid w:val="4E9F0ECD"/>
    <w:rsid w:val="4EA81B7B"/>
    <w:rsid w:val="4EB2AAC2"/>
    <w:rsid w:val="4EB2F5A7"/>
    <w:rsid w:val="4EEE94C1"/>
    <w:rsid w:val="4EF4D993"/>
    <w:rsid w:val="4EFA8918"/>
    <w:rsid w:val="4F29212F"/>
    <w:rsid w:val="4F31F5BB"/>
    <w:rsid w:val="4F331F64"/>
    <w:rsid w:val="4F3D21F7"/>
    <w:rsid w:val="4F431644"/>
    <w:rsid w:val="4F45E975"/>
    <w:rsid w:val="4F4E5C59"/>
    <w:rsid w:val="4F67BACA"/>
    <w:rsid w:val="4F80EA1E"/>
    <w:rsid w:val="4F880BEA"/>
    <w:rsid w:val="4F993801"/>
    <w:rsid w:val="4FA13757"/>
    <w:rsid w:val="4FB145AD"/>
    <w:rsid w:val="4FBE33EF"/>
    <w:rsid w:val="4FCF02E1"/>
    <w:rsid w:val="500E734E"/>
    <w:rsid w:val="50294852"/>
    <w:rsid w:val="50315B6D"/>
    <w:rsid w:val="5031D6A1"/>
    <w:rsid w:val="5033BD89"/>
    <w:rsid w:val="50386D9D"/>
    <w:rsid w:val="50390476"/>
    <w:rsid w:val="5055715B"/>
    <w:rsid w:val="50595921"/>
    <w:rsid w:val="5059E870"/>
    <w:rsid w:val="50615728"/>
    <w:rsid w:val="5070D5C0"/>
    <w:rsid w:val="507B3544"/>
    <w:rsid w:val="5080B2B2"/>
    <w:rsid w:val="50905CAC"/>
    <w:rsid w:val="509F06B5"/>
    <w:rsid w:val="50A41587"/>
    <w:rsid w:val="50A4F387"/>
    <w:rsid w:val="50AAEAB7"/>
    <w:rsid w:val="50AF5DB1"/>
    <w:rsid w:val="50E486AE"/>
    <w:rsid w:val="50F46923"/>
    <w:rsid w:val="51013D32"/>
    <w:rsid w:val="5106BB8D"/>
    <w:rsid w:val="51218F22"/>
    <w:rsid w:val="51263FD7"/>
    <w:rsid w:val="513576DD"/>
    <w:rsid w:val="5155F554"/>
    <w:rsid w:val="516309BC"/>
    <w:rsid w:val="516F49F3"/>
    <w:rsid w:val="516F882F"/>
    <w:rsid w:val="5189B7C5"/>
    <w:rsid w:val="51922881"/>
    <w:rsid w:val="5195EAB9"/>
    <w:rsid w:val="51A53D07"/>
    <w:rsid w:val="51A9745D"/>
    <w:rsid w:val="51B18036"/>
    <w:rsid w:val="51C7BE74"/>
    <w:rsid w:val="51CDA702"/>
    <w:rsid w:val="51DA6603"/>
    <w:rsid w:val="51DA991E"/>
    <w:rsid w:val="51DDEC2F"/>
    <w:rsid w:val="52027D7F"/>
    <w:rsid w:val="521EF7FA"/>
    <w:rsid w:val="522936E9"/>
    <w:rsid w:val="52404430"/>
    <w:rsid w:val="525E1D51"/>
    <w:rsid w:val="525EEC0B"/>
    <w:rsid w:val="52B92D70"/>
    <w:rsid w:val="52C310B7"/>
    <w:rsid w:val="52C9F6E1"/>
    <w:rsid w:val="52F47AAC"/>
    <w:rsid w:val="53039416"/>
    <w:rsid w:val="5317D4E3"/>
    <w:rsid w:val="5321990C"/>
    <w:rsid w:val="532AC071"/>
    <w:rsid w:val="534CB899"/>
    <w:rsid w:val="53611EFB"/>
    <w:rsid w:val="53628BDA"/>
    <w:rsid w:val="53AFECDF"/>
    <w:rsid w:val="53B641CC"/>
    <w:rsid w:val="53C00FE8"/>
    <w:rsid w:val="53C04C24"/>
    <w:rsid w:val="53C6CBF3"/>
    <w:rsid w:val="53CCA70E"/>
    <w:rsid w:val="540B19B2"/>
    <w:rsid w:val="54167AFA"/>
    <w:rsid w:val="54168767"/>
    <w:rsid w:val="5432782A"/>
    <w:rsid w:val="543A885C"/>
    <w:rsid w:val="544022EF"/>
    <w:rsid w:val="5440C148"/>
    <w:rsid w:val="546C397D"/>
    <w:rsid w:val="5470E87D"/>
    <w:rsid w:val="5472688D"/>
    <w:rsid w:val="54860213"/>
    <w:rsid w:val="54C7C6AE"/>
    <w:rsid w:val="54E3F158"/>
    <w:rsid w:val="54EBD2D5"/>
    <w:rsid w:val="55028CCE"/>
    <w:rsid w:val="550BC53F"/>
    <w:rsid w:val="55126E6D"/>
    <w:rsid w:val="5519A741"/>
    <w:rsid w:val="5534D6DB"/>
    <w:rsid w:val="555EC56E"/>
    <w:rsid w:val="556133B5"/>
    <w:rsid w:val="556FEC05"/>
    <w:rsid w:val="55870A89"/>
    <w:rsid w:val="55B17B63"/>
    <w:rsid w:val="55DC91A9"/>
    <w:rsid w:val="55E04445"/>
    <w:rsid w:val="55E11FE8"/>
    <w:rsid w:val="560CB8DE"/>
    <w:rsid w:val="560E7E18"/>
    <w:rsid w:val="56200955"/>
    <w:rsid w:val="5623BB67"/>
    <w:rsid w:val="563D78F9"/>
    <w:rsid w:val="563F6AE6"/>
    <w:rsid w:val="56439B43"/>
    <w:rsid w:val="5684CF66"/>
    <w:rsid w:val="569062EB"/>
    <w:rsid w:val="56A80216"/>
    <w:rsid w:val="56ABA3EC"/>
    <w:rsid w:val="56C8A922"/>
    <w:rsid w:val="56EC7994"/>
    <w:rsid w:val="5701D03B"/>
    <w:rsid w:val="570CB47F"/>
    <w:rsid w:val="5726C20D"/>
    <w:rsid w:val="5726D997"/>
    <w:rsid w:val="57734934"/>
    <w:rsid w:val="578DBFEB"/>
    <w:rsid w:val="579A0367"/>
    <w:rsid w:val="57BC5792"/>
    <w:rsid w:val="57C87BED"/>
    <w:rsid w:val="57F82ED0"/>
    <w:rsid w:val="582171A0"/>
    <w:rsid w:val="582AC924"/>
    <w:rsid w:val="5832E19E"/>
    <w:rsid w:val="58594A13"/>
    <w:rsid w:val="58630459"/>
    <w:rsid w:val="587696B7"/>
    <w:rsid w:val="588448B3"/>
    <w:rsid w:val="589492A8"/>
    <w:rsid w:val="58A6C145"/>
    <w:rsid w:val="58C3457E"/>
    <w:rsid w:val="58C5081E"/>
    <w:rsid w:val="58D52621"/>
    <w:rsid w:val="58D9F104"/>
    <w:rsid w:val="58DB6D23"/>
    <w:rsid w:val="58F45090"/>
    <w:rsid w:val="59081390"/>
    <w:rsid w:val="5909D2E1"/>
    <w:rsid w:val="591A873F"/>
    <w:rsid w:val="5926E892"/>
    <w:rsid w:val="5928BDF3"/>
    <w:rsid w:val="592C7C85"/>
    <w:rsid w:val="5930AB79"/>
    <w:rsid w:val="5936421D"/>
    <w:rsid w:val="59378170"/>
    <w:rsid w:val="59378C4B"/>
    <w:rsid w:val="594223B9"/>
    <w:rsid w:val="595B4B1B"/>
    <w:rsid w:val="596BD405"/>
    <w:rsid w:val="596CADE9"/>
    <w:rsid w:val="59769F0D"/>
    <w:rsid w:val="5978E9A7"/>
    <w:rsid w:val="59845458"/>
    <w:rsid w:val="598A25CF"/>
    <w:rsid w:val="59A9CF7B"/>
    <w:rsid w:val="59AD90D5"/>
    <w:rsid w:val="59CA327C"/>
    <w:rsid w:val="59D116EB"/>
    <w:rsid w:val="59D6193B"/>
    <w:rsid w:val="59DD1E0A"/>
    <w:rsid w:val="59EE5513"/>
    <w:rsid w:val="59F4644F"/>
    <w:rsid w:val="5A09A866"/>
    <w:rsid w:val="5A37A333"/>
    <w:rsid w:val="5A399354"/>
    <w:rsid w:val="5A507FBD"/>
    <w:rsid w:val="5A55DFCE"/>
    <w:rsid w:val="5A5ED075"/>
    <w:rsid w:val="5A6C1C21"/>
    <w:rsid w:val="5A7FC184"/>
    <w:rsid w:val="5ADEA93F"/>
    <w:rsid w:val="5AF5FF6B"/>
    <w:rsid w:val="5B007797"/>
    <w:rsid w:val="5B18EB13"/>
    <w:rsid w:val="5B1DF27F"/>
    <w:rsid w:val="5B26DCD1"/>
    <w:rsid w:val="5B5156C7"/>
    <w:rsid w:val="5B5A5532"/>
    <w:rsid w:val="5B650A41"/>
    <w:rsid w:val="5B66FB56"/>
    <w:rsid w:val="5B691D58"/>
    <w:rsid w:val="5B72FCA1"/>
    <w:rsid w:val="5B773A44"/>
    <w:rsid w:val="5B8B3982"/>
    <w:rsid w:val="5B986E94"/>
    <w:rsid w:val="5BC34217"/>
    <w:rsid w:val="5BD468BE"/>
    <w:rsid w:val="5BD8CB5D"/>
    <w:rsid w:val="5BDDF782"/>
    <w:rsid w:val="5C04DD23"/>
    <w:rsid w:val="5C17B2AE"/>
    <w:rsid w:val="5C1D98B3"/>
    <w:rsid w:val="5C307CFF"/>
    <w:rsid w:val="5C506A2F"/>
    <w:rsid w:val="5C5EEA64"/>
    <w:rsid w:val="5C685AC6"/>
    <w:rsid w:val="5C951772"/>
    <w:rsid w:val="5CA374C7"/>
    <w:rsid w:val="5CB44234"/>
    <w:rsid w:val="5CBAFEC6"/>
    <w:rsid w:val="5CC1FE59"/>
    <w:rsid w:val="5CE4D0D3"/>
    <w:rsid w:val="5CF49C8D"/>
    <w:rsid w:val="5CF91834"/>
    <w:rsid w:val="5D269B4C"/>
    <w:rsid w:val="5D3F077E"/>
    <w:rsid w:val="5D481F96"/>
    <w:rsid w:val="5D5E618F"/>
    <w:rsid w:val="5D66B8B7"/>
    <w:rsid w:val="5D789B67"/>
    <w:rsid w:val="5D81E73F"/>
    <w:rsid w:val="5DA434E3"/>
    <w:rsid w:val="5DA4EAD2"/>
    <w:rsid w:val="5DAD0A78"/>
    <w:rsid w:val="5DBA9CBE"/>
    <w:rsid w:val="5DC22A1C"/>
    <w:rsid w:val="5DC8D926"/>
    <w:rsid w:val="5DC97191"/>
    <w:rsid w:val="5DC9CD6F"/>
    <w:rsid w:val="5DDC86E0"/>
    <w:rsid w:val="5DE5BAA1"/>
    <w:rsid w:val="5E0F705C"/>
    <w:rsid w:val="5E2CFDFE"/>
    <w:rsid w:val="5E30E7D3"/>
    <w:rsid w:val="5E6003D8"/>
    <w:rsid w:val="5E831E64"/>
    <w:rsid w:val="5E904377"/>
    <w:rsid w:val="5EEFE638"/>
    <w:rsid w:val="5EF294EE"/>
    <w:rsid w:val="5EF2AE55"/>
    <w:rsid w:val="5F0709D6"/>
    <w:rsid w:val="5F2233D7"/>
    <w:rsid w:val="5F279E6F"/>
    <w:rsid w:val="5F2B4A19"/>
    <w:rsid w:val="5F47B211"/>
    <w:rsid w:val="5F549997"/>
    <w:rsid w:val="5F598552"/>
    <w:rsid w:val="5F66866E"/>
    <w:rsid w:val="5F691CA2"/>
    <w:rsid w:val="5F785741"/>
    <w:rsid w:val="5F808DC5"/>
    <w:rsid w:val="5F910890"/>
    <w:rsid w:val="5FAA60B7"/>
    <w:rsid w:val="5FB1653D"/>
    <w:rsid w:val="5FC76977"/>
    <w:rsid w:val="5FD4A5BA"/>
    <w:rsid w:val="5FF2F204"/>
    <w:rsid w:val="602E3F6C"/>
    <w:rsid w:val="603A49E2"/>
    <w:rsid w:val="608D5819"/>
    <w:rsid w:val="60A3CF88"/>
    <w:rsid w:val="60A99A0F"/>
    <w:rsid w:val="60B3F372"/>
    <w:rsid w:val="60D61869"/>
    <w:rsid w:val="60D91759"/>
    <w:rsid w:val="6106F43C"/>
    <w:rsid w:val="61076BA6"/>
    <w:rsid w:val="61083CAA"/>
    <w:rsid w:val="611427A2"/>
    <w:rsid w:val="61266195"/>
    <w:rsid w:val="615B55B7"/>
    <w:rsid w:val="616339D8"/>
    <w:rsid w:val="61649FE6"/>
    <w:rsid w:val="61688895"/>
    <w:rsid w:val="616B0B7F"/>
    <w:rsid w:val="617E8E21"/>
    <w:rsid w:val="61936C60"/>
    <w:rsid w:val="619679FC"/>
    <w:rsid w:val="619DD143"/>
    <w:rsid w:val="61B453EE"/>
    <w:rsid w:val="61C63129"/>
    <w:rsid w:val="61CB8887"/>
    <w:rsid w:val="61E71223"/>
    <w:rsid w:val="61E81BE8"/>
    <w:rsid w:val="61F06CA8"/>
    <w:rsid w:val="620BBDCD"/>
    <w:rsid w:val="622A2D3A"/>
    <w:rsid w:val="622A4F17"/>
    <w:rsid w:val="623AFDE2"/>
    <w:rsid w:val="623E8240"/>
    <w:rsid w:val="625592DA"/>
    <w:rsid w:val="625F597D"/>
    <w:rsid w:val="62785DA6"/>
    <w:rsid w:val="62E999F4"/>
    <w:rsid w:val="631AB5A5"/>
    <w:rsid w:val="632465EB"/>
    <w:rsid w:val="6346C9D6"/>
    <w:rsid w:val="635C8C9D"/>
    <w:rsid w:val="63613AB1"/>
    <w:rsid w:val="6372CC1F"/>
    <w:rsid w:val="637B7CC3"/>
    <w:rsid w:val="63897E4F"/>
    <w:rsid w:val="638C6213"/>
    <w:rsid w:val="63B2954C"/>
    <w:rsid w:val="63B4AF89"/>
    <w:rsid w:val="63B91CB4"/>
    <w:rsid w:val="63BEF2C6"/>
    <w:rsid w:val="63C4A648"/>
    <w:rsid w:val="63C4F8DB"/>
    <w:rsid w:val="63C7F6B5"/>
    <w:rsid w:val="640BB84B"/>
    <w:rsid w:val="645128A3"/>
    <w:rsid w:val="647C69EB"/>
    <w:rsid w:val="6484D660"/>
    <w:rsid w:val="64856A55"/>
    <w:rsid w:val="649C2C7B"/>
    <w:rsid w:val="64AABE5C"/>
    <w:rsid w:val="64C80082"/>
    <w:rsid w:val="64D92BA0"/>
    <w:rsid w:val="64DAEF73"/>
    <w:rsid w:val="64F3F596"/>
    <w:rsid w:val="6545F842"/>
    <w:rsid w:val="65756E49"/>
    <w:rsid w:val="658EA2A8"/>
    <w:rsid w:val="659AAD92"/>
    <w:rsid w:val="65B2B902"/>
    <w:rsid w:val="65D001A2"/>
    <w:rsid w:val="65D06918"/>
    <w:rsid w:val="65D9C285"/>
    <w:rsid w:val="65DFBDA1"/>
    <w:rsid w:val="66199A32"/>
    <w:rsid w:val="6623BD35"/>
    <w:rsid w:val="662AD0A9"/>
    <w:rsid w:val="6631F698"/>
    <w:rsid w:val="6636EB24"/>
    <w:rsid w:val="664ABCDC"/>
    <w:rsid w:val="66671040"/>
    <w:rsid w:val="66711D45"/>
    <w:rsid w:val="66795A22"/>
    <w:rsid w:val="6699A24C"/>
    <w:rsid w:val="66A1EA3B"/>
    <w:rsid w:val="66A7A7DA"/>
    <w:rsid w:val="66BB8D0B"/>
    <w:rsid w:val="66C51CC7"/>
    <w:rsid w:val="66D8DE63"/>
    <w:rsid w:val="66FBD647"/>
    <w:rsid w:val="6727CA4F"/>
    <w:rsid w:val="672AC5CF"/>
    <w:rsid w:val="67557B9C"/>
    <w:rsid w:val="6764BB37"/>
    <w:rsid w:val="67651059"/>
    <w:rsid w:val="6775677E"/>
    <w:rsid w:val="677C9184"/>
    <w:rsid w:val="67975A68"/>
    <w:rsid w:val="679EE553"/>
    <w:rsid w:val="67A7CBD8"/>
    <w:rsid w:val="67AC26B5"/>
    <w:rsid w:val="67C2A1BC"/>
    <w:rsid w:val="67E2766F"/>
    <w:rsid w:val="67E86F0A"/>
    <w:rsid w:val="67E9B12F"/>
    <w:rsid w:val="67EA3E91"/>
    <w:rsid w:val="67F18DF7"/>
    <w:rsid w:val="67FF533A"/>
    <w:rsid w:val="680AC564"/>
    <w:rsid w:val="683CABA8"/>
    <w:rsid w:val="683DBA9C"/>
    <w:rsid w:val="6842EB17"/>
    <w:rsid w:val="6860AABC"/>
    <w:rsid w:val="68658B73"/>
    <w:rsid w:val="6886066F"/>
    <w:rsid w:val="689869FE"/>
    <w:rsid w:val="689A744A"/>
    <w:rsid w:val="68A5EFAA"/>
    <w:rsid w:val="68AD5540"/>
    <w:rsid w:val="68B2E27B"/>
    <w:rsid w:val="68CAD3F1"/>
    <w:rsid w:val="69093FEA"/>
    <w:rsid w:val="6912C00A"/>
    <w:rsid w:val="6916E770"/>
    <w:rsid w:val="692381A4"/>
    <w:rsid w:val="6927A2FF"/>
    <w:rsid w:val="69326074"/>
    <w:rsid w:val="69365B9F"/>
    <w:rsid w:val="697079DD"/>
    <w:rsid w:val="697CD7B0"/>
    <w:rsid w:val="6982E725"/>
    <w:rsid w:val="6988A99C"/>
    <w:rsid w:val="698E22FE"/>
    <w:rsid w:val="69A17EE5"/>
    <w:rsid w:val="69BE9619"/>
    <w:rsid w:val="69C532DD"/>
    <w:rsid w:val="69C667EC"/>
    <w:rsid w:val="6A0F997F"/>
    <w:rsid w:val="6A166290"/>
    <w:rsid w:val="6A35C956"/>
    <w:rsid w:val="6A37A746"/>
    <w:rsid w:val="6A48E653"/>
    <w:rsid w:val="6A4CECD3"/>
    <w:rsid w:val="6A5AA5BA"/>
    <w:rsid w:val="6AB3530D"/>
    <w:rsid w:val="6AB4AEBC"/>
    <w:rsid w:val="6AB733C4"/>
    <w:rsid w:val="6AD05819"/>
    <w:rsid w:val="6ADC06C3"/>
    <w:rsid w:val="6AEA3FDD"/>
    <w:rsid w:val="6B0F6ADB"/>
    <w:rsid w:val="6B1E2DFF"/>
    <w:rsid w:val="6B26237C"/>
    <w:rsid w:val="6B3872B8"/>
    <w:rsid w:val="6B701443"/>
    <w:rsid w:val="6B729973"/>
    <w:rsid w:val="6B7B48F4"/>
    <w:rsid w:val="6B89195E"/>
    <w:rsid w:val="6B927A6B"/>
    <w:rsid w:val="6BC330AE"/>
    <w:rsid w:val="6BD1F231"/>
    <w:rsid w:val="6BE3BA89"/>
    <w:rsid w:val="6BEB99E7"/>
    <w:rsid w:val="6C085692"/>
    <w:rsid w:val="6C0A616E"/>
    <w:rsid w:val="6C39695D"/>
    <w:rsid w:val="6C4B6157"/>
    <w:rsid w:val="6C7CD76C"/>
    <w:rsid w:val="6C934E34"/>
    <w:rsid w:val="6CB328C2"/>
    <w:rsid w:val="6CB47575"/>
    <w:rsid w:val="6CB96E42"/>
    <w:rsid w:val="6CD6F012"/>
    <w:rsid w:val="6CFF1E62"/>
    <w:rsid w:val="6D08D3B0"/>
    <w:rsid w:val="6D1CAFB2"/>
    <w:rsid w:val="6D2AFC8D"/>
    <w:rsid w:val="6D331E36"/>
    <w:rsid w:val="6D443B9B"/>
    <w:rsid w:val="6D55FC3F"/>
    <w:rsid w:val="6D66FDA0"/>
    <w:rsid w:val="6D6D6A18"/>
    <w:rsid w:val="6D931FDD"/>
    <w:rsid w:val="6D94CB6C"/>
    <w:rsid w:val="6DA9A0D0"/>
    <w:rsid w:val="6DC5D493"/>
    <w:rsid w:val="6DD8AE0E"/>
    <w:rsid w:val="6DDEE28C"/>
    <w:rsid w:val="6DEEB890"/>
    <w:rsid w:val="6E1CEB7C"/>
    <w:rsid w:val="6E249490"/>
    <w:rsid w:val="6E292BBD"/>
    <w:rsid w:val="6E2BB8A6"/>
    <w:rsid w:val="6E4B2FB0"/>
    <w:rsid w:val="6E4EF923"/>
    <w:rsid w:val="6E5045D6"/>
    <w:rsid w:val="6E5568F2"/>
    <w:rsid w:val="6E6DC290"/>
    <w:rsid w:val="6E72C05C"/>
    <w:rsid w:val="6E7434EF"/>
    <w:rsid w:val="6EB2B548"/>
    <w:rsid w:val="6EE22305"/>
    <w:rsid w:val="6EE2B947"/>
    <w:rsid w:val="6EE945A2"/>
    <w:rsid w:val="6EECA158"/>
    <w:rsid w:val="6F0CE794"/>
    <w:rsid w:val="6F0EB608"/>
    <w:rsid w:val="6F0ED53A"/>
    <w:rsid w:val="6F13E98B"/>
    <w:rsid w:val="6F3B629F"/>
    <w:rsid w:val="6F45221C"/>
    <w:rsid w:val="6F61A4F4"/>
    <w:rsid w:val="6F691FA5"/>
    <w:rsid w:val="6F747E6F"/>
    <w:rsid w:val="6F787483"/>
    <w:rsid w:val="6F8E0AB3"/>
    <w:rsid w:val="6FB1DBD0"/>
    <w:rsid w:val="6FC6A8A9"/>
    <w:rsid w:val="6FDCBA2A"/>
    <w:rsid w:val="6FFE9C1E"/>
    <w:rsid w:val="70018FF8"/>
    <w:rsid w:val="702EB061"/>
    <w:rsid w:val="70399939"/>
    <w:rsid w:val="704194E6"/>
    <w:rsid w:val="7045F7D5"/>
    <w:rsid w:val="7055751B"/>
    <w:rsid w:val="7074324F"/>
    <w:rsid w:val="70778300"/>
    <w:rsid w:val="708750D9"/>
    <w:rsid w:val="70A56354"/>
    <w:rsid w:val="70B3B422"/>
    <w:rsid w:val="70BB4BFA"/>
    <w:rsid w:val="70D03C61"/>
    <w:rsid w:val="70D09B31"/>
    <w:rsid w:val="70D759EE"/>
    <w:rsid w:val="70F229CF"/>
    <w:rsid w:val="70F22C71"/>
    <w:rsid w:val="7116834E"/>
    <w:rsid w:val="7116CEC5"/>
    <w:rsid w:val="712B6078"/>
    <w:rsid w:val="712FABAB"/>
    <w:rsid w:val="7130B952"/>
    <w:rsid w:val="7160C62F"/>
    <w:rsid w:val="71640233"/>
    <w:rsid w:val="717D08F4"/>
    <w:rsid w:val="7187E698"/>
    <w:rsid w:val="718DD3F9"/>
    <w:rsid w:val="71B7A3EE"/>
    <w:rsid w:val="71D72F79"/>
    <w:rsid w:val="71FFB96E"/>
    <w:rsid w:val="7207A550"/>
    <w:rsid w:val="7208F11C"/>
    <w:rsid w:val="721273FE"/>
    <w:rsid w:val="72332FF3"/>
    <w:rsid w:val="724A5DE2"/>
    <w:rsid w:val="72562C53"/>
    <w:rsid w:val="725C54EA"/>
    <w:rsid w:val="726B1283"/>
    <w:rsid w:val="726EECF6"/>
    <w:rsid w:val="72A0E517"/>
    <w:rsid w:val="72B64569"/>
    <w:rsid w:val="72BD3837"/>
    <w:rsid w:val="72BD47B7"/>
    <w:rsid w:val="72CBD07C"/>
    <w:rsid w:val="72D2C11C"/>
    <w:rsid w:val="72F20CF2"/>
    <w:rsid w:val="730941E9"/>
    <w:rsid w:val="730CE0B4"/>
    <w:rsid w:val="731DE7CF"/>
    <w:rsid w:val="731FA581"/>
    <w:rsid w:val="734F512D"/>
    <w:rsid w:val="735D0ECE"/>
    <w:rsid w:val="7374C6F3"/>
    <w:rsid w:val="73959E89"/>
    <w:rsid w:val="73F8254B"/>
    <w:rsid w:val="740BA15C"/>
    <w:rsid w:val="74157353"/>
    <w:rsid w:val="741C9D08"/>
    <w:rsid w:val="74298D56"/>
    <w:rsid w:val="74351617"/>
    <w:rsid w:val="744773C5"/>
    <w:rsid w:val="745AA263"/>
    <w:rsid w:val="7493C99D"/>
    <w:rsid w:val="749FC38D"/>
    <w:rsid w:val="74C33CE7"/>
    <w:rsid w:val="74C4FBEF"/>
    <w:rsid w:val="74DBAFF4"/>
    <w:rsid w:val="751DA4D1"/>
    <w:rsid w:val="7564718D"/>
    <w:rsid w:val="757BDB12"/>
    <w:rsid w:val="75855791"/>
    <w:rsid w:val="75944012"/>
    <w:rsid w:val="75A0D02F"/>
    <w:rsid w:val="75A6BD71"/>
    <w:rsid w:val="75B143B4"/>
    <w:rsid w:val="75CDDB80"/>
    <w:rsid w:val="75D2851C"/>
    <w:rsid w:val="75EA7581"/>
    <w:rsid w:val="75F1657A"/>
    <w:rsid w:val="760635A1"/>
    <w:rsid w:val="7609C556"/>
    <w:rsid w:val="7621FA4C"/>
    <w:rsid w:val="7628201B"/>
    <w:rsid w:val="762DC502"/>
    <w:rsid w:val="7632069D"/>
    <w:rsid w:val="76333323"/>
    <w:rsid w:val="76390F59"/>
    <w:rsid w:val="7657DF73"/>
    <w:rsid w:val="76600D6D"/>
    <w:rsid w:val="768880CD"/>
    <w:rsid w:val="768A4A21"/>
    <w:rsid w:val="76C46E60"/>
    <w:rsid w:val="770B6825"/>
    <w:rsid w:val="770C0A1E"/>
    <w:rsid w:val="7712F21D"/>
    <w:rsid w:val="7727695B"/>
    <w:rsid w:val="772C59D9"/>
    <w:rsid w:val="774D5CD3"/>
    <w:rsid w:val="776BF03B"/>
    <w:rsid w:val="7776405F"/>
    <w:rsid w:val="77921D7E"/>
    <w:rsid w:val="779A0830"/>
    <w:rsid w:val="77A7FA4F"/>
    <w:rsid w:val="77AB5C97"/>
    <w:rsid w:val="77BF00D2"/>
    <w:rsid w:val="77D0FA6E"/>
    <w:rsid w:val="77DD1670"/>
    <w:rsid w:val="77E666DA"/>
    <w:rsid w:val="78029A60"/>
    <w:rsid w:val="78277301"/>
    <w:rsid w:val="78334ED1"/>
    <w:rsid w:val="78517798"/>
    <w:rsid w:val="785CF7D9"/>
    <w:rsid w:val="785F6259"/>
    <w:rsid w:val="7873BECB"/>
    <w:rsid w:val="78912C23"/>
    <w:rsid w:val="78936939"/>
    <w:rsid w:val="78B2A17B"/>
    <w:rsid w:val="78D47134"/>
    <w:rsid w:val="78E8E476"/>
    <w:rsid w:val="78F00E2B"/>
    <w:rsid w:val="791039B5"/>
    <w:rsid w:val="791E91D0"/>
    <w:rsid w:val="79219533"/>
    <w:rsid w:val="793F7F30"/>
    <w:rsid w:val="794B7C62"/>
    <w:rsid w:val="79863BE5"/>
    <w:rsid w:val="798F0D73"/>
    <w:rsid w:val="79A1D5D3"/>
    <w:rsid w:val="79A3C309"/>
    <w:rsid w:val="79C23FBB"/>
    <w:rsid w:val="79C3210A"/>
    <w:rsid w:val="79C8F66E"/>
    <w:rsid w:val="79CB41FB"/>
    <w:rsid w:val="79F425EF"/>
    <w:rsid w:val="7A15DF3E"/>
    <w:rsid w:val="7A4282B1"/>
    <w:rsid w:val="7A5F47AE"/>
    <w:rsid w:val="7A813BD4"/>
    <w:rsid w:val="7A9A9CB4"/>
    <w:rsid w:val="7A9F83AB"/>
    <w:rsid w:val="7A9FF2FF"/>
    <w:rsid w:val="7AA15A73"/>
    <w:rsid w:val="7AA1F1B6"/>
    <w:rsid w:val="7ABD6594"/>
    <w:rsid w:val="7AD9276A"/>
    <w:rsid w:val="7AEAC207"/>
    <w:rsid w:val="7B018469"/>
    <w:rsid w:val="7B0B50F0"/>
    <w:rsid w:val="7B23394A"/>
    <w:rsid w:val="7B880A9E"/>
    <w:rsid w:val="7B8B779B"/>
    <w:rsid w:val="7BA0B791"/>
    <w:rsid w:val="7BBC613C"/>
    <w:rsid w:val="7BC89B01"/>
    <w:rsid w:val="7BE70C80"/>
    <w:rsid w:val="7C0967CB"/>
    <w:rsid w:val="7C0E8690"/>
    <w:rsid w:val="7C0EEC5F"/>
    <w:rsid w:val="7C1D96FA"/>
    <w:rsid w:val="7C3A6C26"/>
    <w:rsid w:val="7C49790E"/>
    <w:rsid w:val="7C58225F"/>
    <w:rsid w:val="7C5A0431"/>
    <w:rsid w:val="7C6AFC30"/>
    <w:rsid w:val="7C7F421B"/>
    <w:rsid w:val="7CBA182C"/>
    <w:rsid w:val="7CD9DAD5"/>
    <w:rsid w:val="7CDCACEA"/>
    <w:rsid w:val="7D32D37C"/>
    <w:rsid w:val="7DA1FC01"/>
    <w:rsid w:val="7DA584B9"/>
    <w:rsid w:val="7DAABCC0"/>
    <w:rsid w:val="7DABA6BA"/>
    <w:rsid w:val="7DB6B3B6"/>
    <w:rsid w:val="7DC9CB79"/>
    <w:rsid w:val="7DDA2FC6"/>
    <w:rsid w:val="7DFD5278"/>
    <w:rsid w:val="7E114786"/>
    <w:rsid w:val="7E286758"/>
    <w:rsid w:val="7E2E7308"/>
    <w:rsid w:val="7E305E4F"/>
    <w:rsid w:val="7E3C18C0"/>
    <w:rsid w:val="7E7E1CF5"/>
    <w:rsid w:val="7E8F0B6B"/>
    <w:rsid w:val="7E980BD4"/>
    <w:rsid w:val="7EB657E8"/>
    <w:rsid w:val="7EBDD7EB"/>
    <w:rsid w:val="7EC3185D"/>
    <w:rsid w:val="7ED4D216"/>
    <w:rsid w:val="7EE95061"/>
    <w:rsid w:val="7EEE3FFC"/>
    <w:rsid w:val="7EF9C3EF"/>
    <w:rsid w:val="7F067424"/>
    <w:rsid w:val="7F4A565F"/>
    <w:rsid w:val="7F5D0490"/>
    <w:rsid w:val="7F5DE220"/>
    <w:rsid w:val="7F6D34A7"/>
    <w:rsid w:val="7F8061A9"/>
    <w:rsid w:val="7F843A15"/>
    <w:rsid w:val="7F89A2ED"/>
    <w:rsid w:val="7F8C7796"/>
    <w:rsid w:val="7F8FEF06"/>
    <w:rsid w:val="7F919788"/>
    <w:rsid w:val="7F924ED3"/>
    <w:rsid w:val="7FAE41D5"/>
    <w:rsid w:val="7FD52BD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CBCF2E7"/>
  <w15:docId w15:val="{D0D8FA12-C9A8-4368-A080-D4552F1C2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7F2"/>
    <w:rPr>
      <w:rFonts w:ascii="Times New Roman" w:hAnsi="Times New Roman"/>
      <w:sz w:val="24"/>
    </w:rPr>
  </w:style>
  <w:style w:type="paragraph" w:styleId="Heading1">
    <w:name w:val="heading 1"/>
    <w:basedOn w:val="Normal"/>
    <w:next w:val="Normal"/>
    <w:link w:val="Heading1Char"/>
    <w:uiPriority w:val="9"/>
    <w:qFormat/>
    <w:rsid w:val="00F32FDE"/>
    <w:pPr>
      <w:keepNext/>
      <w:keepLines/>
      <w:spacing w:before="240" w:after="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autoRedefine/>
    <w:uiPriority w:val="9"/>
    <w:unhideWhenUsed/>
    <w:qFormat/>
    <w:rsid w:val="00DB1492"/>
    <w:pPr>
      <w:keepNext/>
      <w:keepLines/>
      <w:spacing w:before="40" w:after="240"/>
      <w:jc w:val="both"/>
      <w:outlineLvl w:val="1"/>
    </w:pPr>
    <w:rPr>
      <w:rFonts w:eastAsiaTheme="majorEastAsia" w:cs="Times New Roman"/>
      <w:noProof/>
      <w:color w:val="0070C0"/>
      <w:szCs w:val="26"/>
    </w:rPr>
  </w:style>
  <w:style w:type="paragraph" w:styleId="Heading3">
    <w:name w:val="heading 3"/>
    <w:basedOn w:val="Normal"/>
    <w:next w:val="Normal"/>
    <w:link w:val="Heading3Char"/>
    <w:uiPriority w:val="9"/>
    <w:unhideWhenUsed/>
    <w:qFormat/>
    <w:rsid w:val="003D5EC7"/>
    <w:pPr>
      <w:keepNext/>
      <w:keepLines/>
      <w:spacing w:before="40" w:after="0"/>
      <w:outlineLvl w:val="2"/>
    </w:pPr>
    <w:rPr>
      <w:rFonts w:asciiTheme="majorHAnsi" w:eastAsiaTheme="majorEastAsia" w:hAnsiTheme="majorHAnsi" w:cstheme="majorBidi"/>
      <w:color w:val="0070C0"/>
      <w:szCs w:val="24"/>
    </w:rPr>
  </w:style>
  <w:style w:type="paragraph" w:styleId="Heading4">
    <w:name w:val="heading 4"/>
    <w:basedOn w:val="Normal"/>
    <w:next w:val="Normal"/>
    <w:link w:val="Heading4Char"/>
    <w:uiPriority w:val="9"/>
    <w:unhideWhenUsed/>
    <w:qFormat/>
    <w:rsid w:val="003D5EC7"/>
    <w:pPr>
      <w:keepNext/>
      <w:keepLines/>
      <w:spacing w:before="160" w:after="120"/>
      <w:outlineLvl w:val="3"/>
    </w:pPr>
    <w:rPr>
      <w:rFonts w:asciiTheme="majorHAnsi" w:eastAsiaTheme="majorEastAsia" w:hAnsiTheme="majorHAnsi" w:cstheme="majorBidi"/>
      <w:i/>
      <w:iCs/>
      <w:color w:val="0070C0"/>
    </w:rPr>
  </w:style>
  <w:style w:type="paragraph" w:styleId="Heading5">
    <w:name w:val="heading 5"/>
    <w:basedOn w:val="Normal"/>
    <w:next w:val="Normal"/>
    <w:link w:val="Heading5Char"/>
    <w:autoRedefine/>
    <w:uiPriority w:val="9"/>
    <w:unhideWhenUsed/>
    <w:qFormat/>
    <w:rsid w:val="007A03B7"/>
    <w:pPr>
      <w:keepNext/>
      <w:keepLines/>
      <w:spacing w:before="40" w:after="60" w:line="240" w:lineRule="auto"/>
      <w:jc w:val="both"/>
      <w:outlineLvl w:val="4"/>
    </w:pPr>
    <w:rPr>
      <w:rFonts w:eastAsia="Times New Roman" w:cs="Times New Roman"/>
      <w:b/>
      <w:noProof/>
      <w:color w:val="0070C0"/>
      <w:sz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ListParagraph">
    <w:name w:val="List Paragraph"/>
    <w:basedOn w:val="Normal"/>
    <w:uiPriority w:val="34"/>
    <w:qFormat/>
    <w:pPr>
      <w:ind w:left="720"/>
      <w:contextualSpacing/>
    </w:p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Fußnot,fn,f,C,Voetnootteks,Fußnote"/>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qFormat/>
    <w:rPr>
      <w:sz w:val="20"/>
      <w:szCs w:val="20"/>
    </w:rPr>
  </w:style>
  <w:style w:type="character" w:styleId="FootnoteReference">
    <w:name w:val="footnote reference"/>
    <w:aliases w:val="Ref Char,de nota al pie Char,Footnote Char,Footnote number Char,Footnote symbol Char,note TESI Char,(NECG) Footnote Reference Char,Nota Char,fr Char,o Char,Fußnotenzeichen3 Char,Footnote Reference Number Char,BVI fnr Char,Char, Char"/>
    <w:basedOn w:val="DefaultParagraphFont"/>
    <w:link w:val="Ref"/>
    <w:uiPriority w:val="99"/>
    <w:unhideWhenUsed/>
    <w:qFormat/>
    <w:rPr>
      <w:vertAlign w:val="superscript"/>
    </w:rPr>
  </w:style>
  <w:style w:type="paragraph" w:customStyle="1" w:styleId="Ref">
    <w:name w:val="Ref"/>
    <w:aliases w:val="de nota al pie,Footnote,Footnote number,Footnote symbol,note TESI,(NECG) Footnote Reference,Nota,fr,o,Fußnotenzeichen3,Footnote Reference Number,Footnote Reference_LVL6,Footnote Reference_LVL61,Footnote Reference_LVL62,BVI fnr,Ch,de nota al pi..."/>
    <w:basedOn w:val="Normal"/>
    <w:link w:val="FootnoteReference"/>
    <w:uiPriority w:val="99"/>
    <w:pPr>
      <w:spacing w:after="160" w:line="240" w:lineRule="exact"/>
    </w:pPr>
    <w:rPr>
      <w:vertAlign w:val="superscript"/>
    </w:rPr>
  </w:style>
  <w:style w:type="paragraph" w:customStyle="1" w:styleId="CharCharChar1">
    <w:name w:val="Char Char Char1"/>
    <w:basedOn w:val="Normal"/>
    <w:uiPriority w:val="99"/>
    <w:pPr>
      <w:spacing w:after="160" w:line="240" w:lineRule="exact"/>
      <w:ind w:left="2016"/>
    </w:pPr>
    <w:rPr>
      <w:rFonts w:ascii="Calibri" w:eastAsia="Calibri" w:hAnsi="Calibri" w:cs="Times New Roman"/>
      <w:sz w:val="20"/>
      <w:szCs w:val="20"/>
      <w:vertAlign w:val="superscript"/>
      <w:lang w:eastAsia="en-GB"/>
    </w:rPr>
  </w:style>
  <w:style w:type="paragraph" w:styleId="NoSpacing">
    <w:name w:val="No Spacing"/>
    <w:uiPriority w:val="1"/>
    <w:qFormat/>
    <w:pPr>
      <w:spacing w:after="0" w:line="240" w:lineRule="auto"/>
    </w:pPr>
    <w:rPr>
      <w:rFonts w:ascii="Calibri" w:eastAsia="Calibri" w:hAnsi="Calibri" w:cs="Times New Roman"/>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Strong">
    <w:name w:val="Strong"/>
    <w:basedOn w:val="DefaultParagraphFont"/>
    <w:uiPriority w:val="22"/>
    <w:qFormat/>
    <w:rPr>
      <w:b/>
      <w:bCs/>
    </w:rPr>
  </w:style>
  <w:style w:type="paragraph" w:styleId="CommentSubject">
    <w:name w:val="annotation subject"/>
    <w:basedOn w:val="CommentText"/>
    <w:next w:val="CommentText"/>
    <w:link w:val="CommentSubjectChar"/>
    <w:uiPriority w:val="99"/>
    <w:semiHidden/>
    <w:unhideWhenUsed/>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rFonts w:ascii="Times New Roman" w:hAnsi="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style>
  <w:style w:type="character" w:customStyle="1" w:styleId="HeaderCoverPageChar">
    <w:name w:val="Header Cover Page Char"/>
    <w:basedOn w:val="DefaultParagraphFont"/>
    <w:link w:val="HeaderCoverPage"/>
    <w:rPr>
      <w:rFonts w:ascii="Times New Roman" w:hAnsi="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rFonts w:ascii="Times New Roman" w:hAnsi="Times New Roman"/>
      <w:b/>
      <w:sz w:val="32"/>
    </w:rPr>
  </w:style>
  <w:style w:type="paragraph" w:customStyle="1" w:styleId="HeaderSensitivityRight">
    <w:name w:val="Header Sensitivity Right"/>
    <w:basedOn w:val="Normal"/>
    <w:link w:val="HeaderSensitivityRightChar"/>
    <w:rsid w:val="00EA7829"/>
    <w:pPr>
      <w:spacing w:after="120" w:line="240" w:lineRule="auto"/>
      <w:jc w:val="right"/>
    </w:pPr>
    <w:rPr>
      <w:sz w:val="28"/>
    </w:rPr>
  </w:style>
  <w:style w:type="character" w:customStyle="1" w:styleId="HeaderSensitivityRightChar">
    <w:name w:val="Header Sensitivity Right Char"/>
    <w:basedOn w:val="DefaultParagraphFont"/>
    <w:link w:val="HeaderSensitivityRight"/>
    <w:rPr>
      <w:rFonts w:ascii="Times New Roman" w:hAnsi="Times New Roman"/>
      <w:sz w:val="28"/>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cs="Times New Roman"/>
    </w:rPr>
  </w:style>
  <w:style w:type="paragraph" w:customStyle="1" w:styleId="SecurityMarking">
    <w:name w:val="SecurityMarking"/>
    <w:basedOn w:val="Normal"/>
    <w:pPr>
      <w:spacing w:after="0"/>
      <w:ind w:left="5103"/>
    </w:pPr>
    <w:rPr>
      <w:rFonts w:cs="Times New Roman"/>
      <w:sz w:val="28"/>
    </w:rPr>
  </w:style>
  <w:style w:type="paragraph" w:customStyle="1" w:styleId="DateMarking">
    <w:name w:val="DateMarking"/>
    <w:basedOn w:val="Normal"/>
    <w:pPr>
      <w:spacing w:after="0"/>
      <w:ind w:left="5103"/>
    </w:pPr>
    <w:rPr>
      <w:rFonts w:cs="Times New Roman"/>
      <w:i/>
      <w:sz w:val="28"/>
    </w:rPr>
  </w:style>
  <w:style w:type="paragraph" w:customStyle="1" w:styleId="ReleasableTo">
    <w:name w:val="ReleasableTo"/>
    <w:basedOn w:val="Normal"/>
    <w:pPr>
      <w:spacing w:after="0"/>
      <w:ind w:left="5103"/>
    </w:pPr>
    <w:rPr>
      <w:rFonts w:cs="Times New Roman"/>
      <w:i/>
      <w:sz w:val="28"/>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fr-BE"/>
    </w:rPr>
  </w:style>
  <w:style w:type="paragraph" w:customStyle="1" w:styleId="ListDash1Level4">
    <w:name w:val="List Dash 1 (Level 4)"/>
    <w:basedOn w:val="Normal"/>
    <w:semiHidden/>
    <w:unhideWhenUsed/>
    <w:pPr>
      <w:numPr>
        <w:ilvl w:val="3"/>
        <w:numId w:val="12"/>
      </w:numPr>
      <w:spacing w:after="240" w:line="240" w:lineRule="auto"/>
      <w:jc w:val="both"/>
    </w:pPr>
    <w:rPr>
      <w:rFonts w:eastAsia="Times New Roman" w:cs="Times New Roman"/>
      <w:szCs w:val="20"/>
      <w:lang w:eastAsia="en-GB"/>
    </w:rPr>
  </w:style>
  <w:style w:type="paragraph" w:customStyle="1" w:styleId="ListDash1Level3">
    <w:name w:val="List Dash 1 (Level 3)"/>
    <w:basedOn w:val="Normal"/>
    <w:semiHidden/>
    <w:unhideWhenUsed/>
    <w:pPr>
      <w:numPr>
        <w:ilvl w:val="2"/>
        <w:numId w:val="12"/>
      </w:numPr>
      <w:spacing w:after="240" w:line="240" w:lineRule="auto"/>
      <w:jc w:val="both"/>
    </w:pPr>
    <w:rPr>
      <w:rFonts w:eastAsia="Times New Roman" w:cs="Times New Roman"/>
      <w:szCs w:val="20"/>
      <w:lang w:eastAsia="en-GB"/>
    </w:rPr>
  </w:style>
  <w:style w:type="paragraph" w:customStyle="1" w:styleId="ListDash1Level2">
    <w:name w:val="List Dash 1 (Level 2)"/>
    <w:basedOn w:val="Normal"/>
    <w:pPr>
      <w:numPr>
        <w:ilvl w:val="1"/>
        <w:numId w:val="12"/>
      </w:numPr>
      <w:spacing w:after="240" w:line="240" w:lineRule="auto"/>
      <w:jc w:val="both"/>
    </w:pPr>
    <w:rPr>
      <w:rFonts w:eastAsia="Times New Roman" w:cs="Times New Roman"/>
      <w:szCs w:val="20"/>
      <w:lang w:eastAsia="en-GB"/>
    </w:rPr>
  </w:style>
  <w:style w:type="paragraph" w:customStyle="1" w:styleId="ListDash1">
    <w:name w:val="List Dash 1"/>
    <w:basedOn w:val="Normal"/>
    <w:pPr>
      <w:numPr>
        <w:numId w:val="12"/>
      </w:numPr>
      <w:spacing w:after="240" w:line="240" w:lineRule="auto"/>
      <w:jc w:val="both"/>
    </w:pPr>
    <w:rPr>
      <w:rFonts w:eastAsia="Times New Roman" w:cs="Times New Roman"/>
      <w:szCs w:val="20"/>
      <w:lang w:eastAsia="en-GB"/>
    </w:rPr>
  </w:style>
  <w:style w:type="paragraph" w:customStyle="1" w:styleId="ListNumber1Level4">
    <w:name w:val="List Number 1 (Level 4)"/>
    <w:basedOn w:val="Normal"/>
    <w:semiHidden/>
    <w:unhideWhenUsed/>
    <w:pPr>
      <w:numPr>
        <w:ilvl w:val="3"/>
        <w:numId w:val="13"/>
      </w:numPr>
      <w:spacing w:after="240" w:line="240" w:lineRule="auto"/>
      <w:jc w:val="both"/>
    </w:pPr>
    <w:rPr>
      <w:rFonts w:eastAsia="Times New Roman" w:cs="Times New Roman"/>
      <w:szCs w:val="20"/>
      <w:lang w:eastAsia="en-GB"/>
    </w:rPr>
  </w:style>
  <w:style w:type="paragraph" w:customStyle="1" w:styleId="ListNumber1Level3">
    <w:name w:val="List Number 1 (Level 3)"/>
    <w:basedOn w:val="Normal"/>
    <w:semiHidden/>
    <w:unhideWhenUsed/>
    <w:pPr>
      <w:numPr>
        <w:ilvl w:val="2"/>
        <w:numId w:val="13"/>
      </w:numPr>
      <w:spacing w:after="240" w:line="240" w:lineRule="auto"/>
      <w:jc w:val="both"/>
    </w:pPr>
    <w:rPr>
      <w:rFonts w:eastAsia="Times New Roman" w:cs="Times New Roman"/>
      <w:szCs w:val="20"/>
      <w:lang w:eastAsia="en-GB"/>
    </w:rPr>
  </w:style>
  <w:style w:type="paragraph" w:customStyle="1" w:styleId="ListNumber1Level2">
    <w:name w:val="List Number 1 (Level 2)"/>
    <w:basedOn w:val="Normal"/>
    <w:pPr>
      <w:numPr>
        <w:ilvl w:val="1"/>
        <w:numId w:val="13"/>
      </w:numPr>
      <w:spacing w:after="240" w:line="240" w:lineRule="auto"/>
      <w:jc w:val="both"/>
    </w:pPr>
    <w:rPr>
      <w:rFonts w:eastAsia="Times New Roman" w:cs="Times New Roman"/>
      <w:szCs w:val="20"/>
      <w:lang w:eastAsia="en-GB"/>
    </w:rPr>
  </w:style>
  <w:style w:type="paragraph" w:customStyle="1" w:styleId="ListNumber1">
    <w:name w:val="List Number 1"/>
    <w:basedOn w:val="Normal"/>
    <w:pPr>
      <w:numPr>
        <w:numId w:val="13"/>
      </w:numPr>
      <w:spacing w:after="240" w:line="240" w:lineRule="auto"/>
      <w:jc w:val="both"/>
    </w:pPr>
    <w:rPr>
      <w:rFonts w:eastAsia="Times New Roman" w:cs="Times New Roman"/>
      <w:szCs w:val="20"/>
      <w:lang w:eastAsia="en-GB"/>
    </w:rPr>
  </w:style>
  <w:style w:type="paragraph" w:customStyle="1" w:styleId="ListDash2Level4">
    <w:name w:val="List Dash 2 (Level 4)"/>
    <w:basedOn w:val="Normal"/>
    <w:semiHidden/>
    <w:unhideWhenUsed/>
    <w:pPr>
      <w:numPr>
        <w:ilvl w:val="3"/>
        <w:numId w:val="14"/>
      </w:numPr>
      <w:spacing w:after="240" w:line="240" w:lineRule="auto"/>
      <w:jc w:val="both"/>
    </w:pPr>
    <w:rPr>
      <w:rFonts w:eastAsia="Times New Roman" w:cs="Times New Roman"/>
      <w:szCs w:val="20"/>
      <w:lang w:eastAsia="en-GB"/>
    </w:rPr>
  </w:style>
  <w:style w:type="paragraph" w:customStyle="1" w:styleId="ListDash2Level3">
    <w:name w:val="List Dash 2 (Level 3)"/>
    <w:basedOn w:val="Normal"/>
    <w:semiHidden/>
    <w:unhideWhenUsed/>
    <w:pPr>
      <w:numPr>
        <w:ilvl w:val="2"/>
        <w:numId w:val="14"/>
      </w:numPr>
      <w:spacing w:after="240" w:line="240" w:lineRule="auto"/>
      <w:jc w:val="both"/>
    </w:pPr>
    <w:rPr>
      <w:rFonts w:eastAsia="Times New Roman" w:cs="Times New Roman"/>
      <w:szCs w:val="20"/>
      <w:lang w:eastAsia="en-GB"/>
    </w:rPr>
  </w:style>
  <w:style w:type="paragraph" w:customStyle="1" w:styleId="ListDash2Level2">
    <w:name w:val="List Dash 2 (Level 2)"/>
    <w:basedOn w:val="Normal"/>
    <w:pPr>
      <w:numPr>
        <w:ilvl w:val="1"/>
        <w:numId w:val="14"/>
      </w:numPr>
      <w:spacing w:after="240" w:line="240" w:lineRule="auto"/>
      <w:jc w:val="both"/>
    </w:pPr>
    <w:rPr>
      <w:rFonts w:eastAsia="Times New Roman" w:cs="Times New Roman"/>
      <w:szCs w:val="20"/>
      <w:lang w:eastAsia="en-GB"/>
    </w:rPr>
  </w:style>
  <w:style w:type="paragraph" w:customStyle="1" w:styleId="ListDash2">
    <w:name w:val="List Dash 2"/>
    <w:basedOn w:val="Normal"/>
    <w:pPr>
      <w:numPr>
        <w:numId w:val="14"/>
      </w:numPr>
      <w:spacing w:after="240" w:line="240" w:lineRule="auto"/>
      <w:jc w:val="both"/>
    </w:pPr>
    <w:rPr>
      <w:rFonts w:eastAsia="Times New Roman" w:cs="Times New Roman"/>
      <w:szCs w:val="20"/>
      <w:lang w:eastAsia="en-GB"/>
    </w:rPr>
  </w:style>
  <w:style w:type="character" w:customStyle="1" w:styleId="Heading3Char">
    <w:name w:val="Heading 3 Char"/>
    <w:basedOn w:val="DefaultParagraphFont"/>
    <w:link w:val="Heading3"/>
    <w:uiPriority w:val="9"/>
    <w:rsid w:val="003D5EC7"/>
    <w:rPr>
      <w:rFonts w:asciiTheme="majorHAnsi" w:eastAsiaTheme="majorEastAsia" w:hAnsiTheme="majorHAnsi" w:cstheme="majorBidi"/>
      <w:color w:val="0070C0"/>
      <w:sz w:val="24"/>
      <w:szCs w:val="24"/>
    </w:rPr>
  </w:style>
  <w:style w:type="paragraph" w:styleId="Revision">
    <w:name w:val="Revision"/>
    <w:hidden/>
    <w:uiPriority w:val="99"/>
    <w:semiHidden/>
    <w:pPr>
      <w:spacing w:after="0" w:line="240" w:lineRule="auto"/>
    </w:pPr>
  </w:style>
  <w:style w:type="character" w:customStyle="1" w:styleId="s5">
    <w:name w:val="s5"/>
    <w:basedOn w:val="DefaultParagraphFont"/>
  </w:style>
  <w:style w:type="character" w:customStyle="1" w:styleId="s3">
    <w:name w:val="s3"/>
    <w:basedOn w:val="DefaultParagraphFont"/>
  </w:style>
  <w:style w:type="character" w:customStyle="1" w:styleId="Heading1Char">
    <w:name w:val="Heading 1 Char"/>
    <w:basedOn w:val="DefaultParagraphFont"/>
    <w:link w:val="Heading1"/>
    <w:uiPriority w:val="9"/>
    <w:rsid w:val="00F32FDE"/>
    <w:rPr>
      <w:rFonts w:asciiTheme="majorHAnsi" w:eastAsiaTheme="majorEastAsia" w:hAnsiTheme="majorHAnsi" w:cstheme="majorBidi"/>
      <w:b/>
      <w:sz w:val="28"/>
      <w:szCs w:val="32"/>
    </w:rPr>
  </w:style>
  <w:style w:type="character" w:customStyle="1" w:styleId="Heading2Char">
    <w:name w:val="Heading 2 Char"/>
    <w:basedOn w:val="DefaultParagraphFont"/>
    <w:link w:val="Heading2"/>
    <w:uiPriority w:val="9"/>
    <w:rsid w:val="00CA629C"/>
    <w:rPr>
      <w:rFonts w:ascii="Times New Roman" w:eastAsiaTheme="majorEastAsia" w:hAnsi="Times New Roman" w:cs="Times New Roman"/>
      <w:noProof/>
      <w:color w:val="0070C0"/>
      <w:sz w:val="24"/>
      <w:szCs w:val="26"/>
    </w:rPr>
  </w:style>
  <w:style w:type="character" w:customStyle="1" w:styleId="Bodytext2">
    <w:name w:val="Body text|2_"/>
    <w:basedOn w:val="DefaultParagraphFont"/>
    <w:link w:val="Bodytext20"/>
    <w:rPr>
      <w:rFonts w:ascii="EC Square Sans Pro" w:eastAsia="EC Square Sans Pro" w:hAnsi="EC Square Sans Pro" w:cs="EC Square Sans Pro"/>
      <w:shd w:val="clear" w:color="auto" w:fill="FFFFFF"/>
    </w:rPr>
  </w:style>
  <w:style w:type="paragraph" w:customStyle="1" w:styleId="Bodytext20">
    <w:name w:val="Body text|2"/>
    <w:basedOn w:val="Normal"/>
    <w:link w:val="Bodytext2"/>
    <w:qFormat/>
    <w:pPr>
      <w:shd w:val="clear" w:color="auto" w:fill="FFFFFF"/>
      <w:spacing w:before="260" w:after="260" w:line="282" w:lineRule="exact"/>
      <w:ind w:hanging="380"/>
      <w:jc w:val="both"/>
    </w:pPr>
    <w:rPr>
      <w:rFonts w:ascii="EC Square Sans Pro" w:eastAsia="EC Square Sans Pro" w:hAnsi="EC Square Sans Pro" w:cs="EC Square Sans Pro"/>
    </w:rPr>
  </w:style>
  <w:style w:type="character" w:styleId="Emphasis">
    <w:name w:val="Emphasis"/>
    <w:basedOn w:val="DefaultParagraphFont"/>
    <w:uiPriority w:val="20"/>
    <w:qFormat/>
    <w:rPr>
      <w:i/>
      <w:iCs/>
    </w:rPr>
  </w:style>
  <w:style w:type="character" w:customStyle="1" w:styleId="acopre">
    <w:name w:val="acopre"/>
    <w:basedOn w:val="DefaultParagraphFont"/>
  </w:style>
  <w:style w:type="character" w:customStyle="1" w:styleId="Footnote">
    <w:name w:val="Footnote_"/>
    <w:basedOn w:val="DefaultParagraphFont"/>
    <w:rPr>
      <w:b w:val="0"/>
      <w:bCs w:val="0"/>
      <w:i w:val="0"/>
      <w:iCs w:val="0"/>
      <w:smallCaps w:val="0"/>
      <w:strike w:val="0"/>
      <w:sz w:val="19"/>
      <w:szCs w:val="19"/>
      <w:u w:val="none"/>
    </w:rPr>
  </w:style>
  <w:style w:type="paragraph" w:customStyle="1" w:styleId="paragraph-paragraph-2bgue">
    <w:name w:val="paragraph-paragraph-2bgue"/>
    <w:basedOn w:val="Normal"/>
    <w:pPr>
      <w:spacing w:before="100" w:beforeAutospacing="1" w:after="100" w:afterAutospacing="1" w:line="240" w:lineRule="auto"/>
    </w:pPr>
    <w:rPr>
      <w:rFonts w:eastAsia="Times New Roman" w:cs="Times New Roman"/>
      <w:szCs w:val="24"/>
      <w:lang w:eastAsia="en-GB"/>
    </w:rPr>
  </w:style>
  <w:style w:type="character" w:customStyle="1" w:styleId="at6">
    <w:name w:val="a__t6"/>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rkedcontent">
    <w:name w:val="markedcontent"/>
    <w:basedOn w:val="DefaultParagraphFont"/>
    <w:rsid w:val="00815E36"/>
  </w:style>
  <w:style w:type="paragraph" w:customStyle="1" w:styleId="Style1">
    <w:name w:val="Style1"/>
    <w:basedOn w:val="Normal"/>
    <w:qFormat/>
    <w:rsid w:val="002B717E"/>
    <w:pPr>
      <w:spacing w:before="240" w:line="264" w:lineRule="auto"/>
      <w:jc w:val="both"/>
    </w:pPr>
    <w:rPr>
      <w:rFonts w:cs="Times New Roman"/>
      <w:noProof/>
      <w:color w:val="0070C0"/>
    </w:rPr>
  </w:style>
  <w:style w:type="character" w:customStyle="1" w:styleId="Heading4Char">
    <w:name w:val="Heading 4 Char"/>
    <w:basedOn w:val="DefaultParagraphFont"/>
    <w:link w:val="Heading4"/>
    <w:uiPriority w:val="9"/>
    <w:rsid w:val="003D5EC7"/>
    <w:rPr>
      <w:rFonts w:asciiTheme="majorHAnsi" w:eastAsiaTheme="majorEastAsia" w:hAnsiTheme="majorHAnsi" w:cstheme="majorBidi"/>
      <w:i/>
      <w:iCs/>
      <w:color w:val="0070C0"/>
    </w:rPr>
  </w:style>
  <w:style w:type="character" w:customStyle="1" w:styleId="Heading5Char">
    <w:name w:val="Heading 5 Char"/>
    <w:basedOn w:val="DefaultParagraphFont"/>
    <w:link w:val="Heading5"/>
    <w:uiPriority w:val="9"/>
    <w:rsid w:val="007A03B7"/>
    <w:rPr>
      <w:rFonts w:ascii="Times New Roman" w:eastAsia="Times New Roman" w:hAnsi="Times New Roman" w:cs="Times New Roman"/>
      <w:b/>
      <w:noProof/>
      <w:color w:val="0070C0"/>
      <w:lang w:val="en-US"/>
    </w:rPr>
  </w:style>
  <w:style w:type="paragraph" w:styleId="TOCHeading">
    <w:name w:val="TOC Heading"/>
    <w:basedOn w:val="Heading1"/>
    <w:next w:val="Normal"/>
    <w:uiPriority w:val="39"/>
    <w:unhideWhenUsed/>
    <w:qFormat/>
    <w:rsid w:val="00585107"/>
    <w:pPr>
      <w:spacing w:line="259" w:lineRule="auto"/>
      <w:outlineLvl w:val="9"/>
    </w:pPr>
    <w:rPr>
      <w:b w:val="0"/>
      <w:color w:val="365F91" w:themeColor="accent1" w:themeShade="BF"/>
      <w:sz w:val="32"/>
      <w:lang w:val="en-US"/>
    </w:rPr>
  </w:style>
  <w:style w:type="paragraph" w:styleId="TOC1">
    <w:name w:val="toc 1"/>
    <w:basedOn w:val="Normal"/>
    <w:next w:val="Normal"/>
    <w:autoRedefine/>
    <w:uiPriority w:val="39"/>
    <w:unhideWhenUsed/>
    <w:rsid w:val="00585107"/>
    <w:pPr>
      <w:spacing w:after="100"/>
    </w:pPr>
  </w:style>
  <w:style w:type="paragraph" w:styleId="TOC2">
    <w:name w:val="toc 2"/>
    <w:basedOn w:val="Normal"/>
    <w:next w:val="Normal"/>
    <w:autoRedefine/>
    <w:uiPriority w:val="39"/>
    <w:unhideWhenUsed/>
    <w:rsid w:val="00584DFC"/>
    <w:pPr>
      <w:tabs>
        <w:tab w:val="right" w:leader="dot" w:pos="9062"/>
      </w:tabs>
      <w:spacing w:after="100"/>
    </w:pPr>
  </w:style>
  <w:style w:type="paragraph" w:styleId="TOC3">
    <w:name w:val="toc 3"/>
    <w:basedOn w:val="Normal"/>
    <w:next w:val="Normal"/>
    <w:autoRedefine/>
    <w:uiPriority w:val="39"/>
    <w:unhideWhenUsed/>
    <w:rsid w:val="00F6669D"/>
    <w:pPr>
      <w:tabs>
        <w:tab w:val="right" w:leader="dot" w:pos="9062"/>
      </w:tabs>
      <w:spacing w:after="100"/>
      <w:ind w:left="440"/>
    </w:pPr>
  </w:style>
  <w:style w:type="paragraph" w:customStyle="1" w:styleId="Typedudocument">
    <w:name w:val="Type du document"/>
    <w:basedOn w:val="Normal"/>
    <w:next w:val="Normal"/>
    <w:rsid w:val="002374A0"/>
    <w:pPr>
      <w:spacing w:before="360" w:after="0" w:line="240" w:lineRule="auto"/>
      <w:jc w:val="center"/>
    </w:pPr>
    <w:rPr>
      <w:rFonts w:cs="Times New Roman"/>
      <w:b/>
    </w:rPr>
  </w:style>
  <w:style w:type="paragraph" w:customStyle="1" w:styleId="Titreobjet">
    <w:name w:val="Titre objet"/>
    <w:basedOn w:val="Normal"/>
    <w:next w:val="Normal"/>
    <w:rsid w:val="002374A0"/>
    <w:pPr>
      <w:spacing w:before="360" w:after="360" w:line="240" w:lineRule="auto"/>
      <w:jc w:val="center"/>
    </w:pPr>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85746">
      <w:bodyDiv w:val="1"/>
      <w:marLeft w:val="0"/>
      <w:marRight w:val="0"/>
      <w:marTop w:val="0"/>
      <w:marBottom w:val="0"/>
      <w:divBdr>
        <w:top w:val="none" w:sz="0" w:space="0" w:color="auto"/>
        <w:left w:val="none" w:sz="0" w:space="0" w:color="auto"/>
        <w:bottom w:val="none" w:sz="0" w:space="0" w:color="auto"/>
        <w:right w:val="none" w:sz="0" w:space="0" w:color="auto"/>
      </w:divBdr>
    </w:div>
    <w:div w:id="97601256">
      <w:bodyDiv w:val="1"/>
      <w:marLeft w:val="0"/>
      <w:marRight w:val="0"/>
      <w:marTop w:val="0"/>
      <w:marBottom w:val="0"/>
      <w:divBdr>
        <w:top w:val="none" w:sz="0" w:space="0" w:color="auto"/>
        <w:left w:val="none" w:sz="0" w:space="0" w:color="auto"/>
        <w:bottom w:val="none" w:sz="0" w:space="0" w:color="auto"/>
        <w:right w:val="none" w:sz="0" w:space="0" w:color="auto"/>
      </w:divBdr>
    </w:div>
    <w:div w:id="132065101">
      <w:bodyDiv w:val="1"/>
      <w:marLeft w:val="0"/>
      <w:marRight w:val="0"/>
      <w:marTop w:val="0"/>
      <w:marBottom w:val="0"/>
      <w:divBdr>
        <w:top w:val="none" w:sz="0" w:space="0" w:color="auto"/>
        <w:left w:val="none" w:sz="0" w:space="0" w:color="auto"/>
        <w:bottom w:val="none" w:sz="0" w:space="0" w:color="auto"/>
        <w:right w:val="none" w:sz="0" w:space="0" w:color="auto"/>
      </w:divBdr>
    </w:div>
    <w:div w:id="155152503">
      <w:bodyDiv w:val="1"/>
      <w:marLeft w:val="0"/>
      <w:marRight w:val="0"/>
      <w:marTop w:val="0"/>
      <w:marBottom w:val="0"/>
      <w:divBdr>
        <w:top w:val="none" w:sz="0" w:space="0" w:color="auto"/>
        <w:left w:val="none" w:sz="0" w:space="0" w:color="auto"/>
        <w:bottom w:val="none" w:sz="0" w:space="0" w:color="auto"/>
        <w:right w:val="none" w:sz="0" w:space="0" w:color="auto"/>
      </w:divBdr>
    </w:div>
    <w:div w:id="181937046">
      <w:bodyDiv w:val="1"/>
      <w:marLeft w:val="0"/>
      <w:marRight w:val="0"/>
      <w:marTop w:val="0"/>
      <w:marBottom w:val="0"/>
      <w:divBdr>
        <w:top w:val="none" w:sz="0" w:space="0" w:color="auto"/>
        <w:left w:val="none" w:sz="0" w:space="0" w:color="auto"/>
        <w:bottom w:val="none" w:sz="0" w:space="0" w:color="auto"/>
        <w:right w:val="none" w:sz="0" w:space="0" w:color="auto"/>
      </w:divBdr>
      <w:divsChild>
        <w:div w:id="1607885201">
          <w:marLeft w:val="0"/>
          <w:marRight w:val="0"/>
          <w:marTop w:val="0"/>
          <w:marBottom w:val="0"/>
          <w:divBdr>
            <w:top w:val="none" w:sz="0" w:space="0" w:color="auto"/>
            <w:left w:val="none" w:sz="0" w:space="0" w:color="auto"/>
            <w:bottom w:val="none" w:sz="0" w:space="0" w:color="auto"/>
            <w:right w:val="none" w:sz="0" w:space="0" w:color="auto"/>
          </w:divBdr>
        </w:div>
      </w:divsChild>
    </w:div>
    <w:div w:id="223758492">
      <w:bodyDiv w:val="1"/>
      <w:marLeft w:val="0"/>
      <w:marRight w:val="0"/>
      <w:marTop w:val="0"/>
      <w:marBottom w:val="0"/>
      <w:divBdr>
        <w:top w:val="none" w:sz="0" w:space="0" w:color="auto"/>
        <w:left w:val="none" w:sz="0" w:space="0" w:color="auto"/>
        <w:bottom w:val="none" w:sz="0" w:space="0" w:color="auto"/>
        <w:right w:val="none" w:sz="0" w:space="0" w:color="auto"/>
      </w:divBdr>
    </w:div>
    <w:div w:id="248737466">
      <w:bodyDiv w:val="1"/>
      <w:marLeft w:val="0"/>
      <w:marRight w:val="0"/>
      <w:marTop w:val="0"/>
      <w:marBottom w:val="0"/>
      <w:divBdr>
        <w:top w:val="none" w:sz="0" w:space="0" w:color="auto"/>
        <w:left w:val="none" w:sz="0" w:space="0" w:color="auto"/>
        <w:bottom w:val="none" w:sz="0" w:space="0" w:color="auto"/>
        <w:right w:val="none" w:sz="0" w:space="0" w:color="auto"/>
      </w:divBdr>
    </w:div>
    <w:div w:id="290745633">
      <w:bodyDiv w:val="1"/>
      <w:marLeft w:val="0"/>
      <w:marRight w:val="0"/>
      <w:marTop w:val="0"/>
      <w:marBottom w:val="0"/>
      <w:divBdr>
        <w:top w:val="none" w:sz="0" w:space="0" w:color="auto"/>
        <w:left w:val="none" w:sz="0" w:space="0" w:color="auto"/>
        <w:bottom w:val="none" w:sz="0" w:space="0" w:color="auto"/>
        <w:right w:val="none" w:sz="0" w:space="0" w:color="auto"/>
      </w:divBdr>
    </w:div>
    <w:div w:id="303393470">
      <w:bodyDiv w:val="1"/>
      <w:marLeft w:val="0"/>
      <w:marRight w:val="0"/>
      <w:marTop w:val="0"/>
      <w:marBottom w:val="0"/>
      <w:divBdr>
        <w:top w:val="none" w:sz="0" w:space="0" w:color="auto"/>
        <w:left w:val="none" w:sz="0" w:space="0" w:color="auto"/>
        <w:bottom w:val="none" w:sz="0" w:space="0" w:color="auto"/>
        <w:right w:val="none" w:sz="0" w:space="0" w:color="auto"/>
      </w:divBdr>
    </w:div>
    <w:div w:id="357704496">
      <w:bodyDiv w:val="1"/>
      <w:marLeft w:val="0"/>
      <w:marRight w:val="0"/>
      <w:marTop w:val="0"/>
      <w:marBottom w:val="0"/>
      <w:divBdr>
        <w:top w:val="none" w:sz="0" w:space="0" w:color="auto"/>
        <w:left w:val="none" w:sz="0" w:space="0" w:color="auto"/>
        <w:bottom w:val="none" w:sz="0" w:space="0" w:color="auto"/>
        <w:right w:val="none" w:sz="0" w:space="0" w:color="auto"/>
      </w:divBdr>
    </w:div>
    <w:div w:id="380326293">
      <w:bodyDiv w:val="1"/>
      <w:marLeft w:val="0"/>
      <w:marRight w:val="0"/>
      <w:marTop w:val="0"/>
      <w:marBottom w:val="0"/>
      <w:divBdr>
        <w:top w:val="none" w:sz="0" w:space="0" w:color="auto"/>
        <w:left w:val="none" w:sz="0" w:space="0" w:color="auto"/>
        <w:bottom w:val="none" w:sz="0" w:space="0" w:color="auto"/>
        <w:right w:val="none" w:sz="0" w:space="0" w:color="auto"/>
      </w:divBdr>
    </w:div>
    <w:div w:id="387731873">
      <w:bodyDiv w:val="1"/>
      <w:marLeft w:val="0"/>
      <w:marRight w:val="0"/>
      <w:marTop w:val="0"/>
      <w:marBottom w:val="0"/>
      <w:divBdr>
        <w:top w:val="none" w:sz="0" w:space="0" w:color="auto"/>
        <w:left w:val="none" w:sz="0" w:space="0" w:color="auto"/>
        <w:bottom w:val="none" w:sz="0" w:space="0" w:color="auto"/>
        <w:right w:val="none" w:sz="0" w:space="0" w:color="auto"/>
      </w:divBdr>
    </w:div>
    <w:div w:id="431244355">
      <w:bodyDiv w:val="1"/>
      <w:marLeft w:val="0"/>
      <w:marRight w:val="0"/>
      <w:marTop w:val="0"/>
      <w:marBottom w:val="0"/>
      <w:divBdr>
        <w:top w:val="none" w:sz="0" w:space="0" w:color="auto"/>
        <w:left w:val="none" w:sz="0" w:space="0" w:color="auto"/>
        <w:bottom w:val="none" w:sz="0" w:space="0" w:color="auto"/>
        <w:right w:val="none" w:sz="0" w:space="0" w:color="auto"/>
      </w:divBdr>
    </w:div>
    <w:div w:id="452335490">
      <w:bodyDiv w:val="1"/>
      <w:marLeft w:val="0"/>
      <w:marRight w:val="0"/>
      <w:marTop w:val="0"/>
      <w:marBottom w:val="0"/>
      <w:divBdr>
        <w:top w:val="none" w:sz="0" w:space="0" w:color="auto"/>
        <w:left w:val="none" w:sz="0" w:space="0" w:color="auto"/>
        <w:bottom w:val="none" w:sz="0" w:space="0" w:color="auto"/>
        <w:right w:val="none" w:sz="0" w:space="0" w:color="auto"/>
      </w:divBdr>
      <w:divsChild>
        <w:div w:id="1571186059">
          <w:marLeft w:val="0"/>
          <w:marRight w:val="0"/>
          <w:marTop w:val="0"/>
          <w:marBottom w:val="0"/>
          <w:divBdr>
            <w:top w:val="none" w:sz="0" w:space="0" w:color="auto"/>
            <w:left w:val="none" w:sz="0" w:space="0" w:color="auto"/>
            <w:bottom w:val="none" w:sz="0" w:space="0" w:color="auto"/>
            <w:right w:val="none" w:sz="0" w:space="0" w:color="auto"/>
          </w:divBdr>
          <w:divsChild>
            <w:div w:id="2035375059">
              <w:marLeft w:val="0"/>
              <w:marRight w:val="0"/>
              <w:marTop w:val="0"/>
              <w:marBottom w:val="0"/>
              <w:divBdr>
                <w:top w:val="none" w:sz="0" w:space="0" w:color="auto"/>
                <w:left w:val="none" w:sz="0" w:space="0" w:color="auto"/>
                <w:bottom w:val="none" w:sz="0" w:space="0" w:color="auto"/>
                <w:right w:val="none" w:sz="0" w:space="0" w:color="auto"/>
              </w:divBdr>
              <w:divsChild>
                <w:div w:id="566838884">
                  <w:marLeft w:val="0"/>
                  <w:marRight w:val="0"/>
                  <w:marTop w:val="0"/>
                  <w:marBottom w:val="0"/>
                  <w:divBdr>
                    <w:top w:val="none" w:sz="0" w:space="0" w:color="auto"/>
                    <w:left w:val="none" w:sz="0" w:space="0" w:color="auto"/>
                    <w:bottom w:val="none" w:sz="0" w:space="0" w:color="auto"/>
                    <w:right w:val="none" w:sz="0" w:space="0" w:color="auto"/>
                  </w:divBdr>
                  <w:divsChild>
                    <w:div w:id="838084605">
                      <w:marLeft w:val="0"/>
                      <w:marRight w:val="0"/>
                      <w:marTop w:val="0"/>
                      <w:marBottom w:val="0"/>
                      <w:divBdr>
                        <w:top w:val="none" w:sz="0" w:space="0" w:color="auto"/>
                        <w:left w:val="none" w:sz="0" w:space="0" w:color="auto"/>
                        <w:bottom w:val="none" w:sz="0" w:space="0" w:color="auto"/>
                        <w:right w:val="none" w:sz="0" w:space="0" w:color="auto"/>
                      </w:divBdr>
                      <w:divsChild>
                        <w:div w:id="1660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047353">
          <w:marLeft w:val="0"/>
          <w:marRight w:val="0"/>
          <w:marTop w:val="0"/>
          <w:marBottom w:val="0"/>
          <w:divBdr>
            <w:top w:val="none" w:sz="0" w:space="0" w:color="auto"/>
            <w:left w:val="none" w:sz="0" w:space="0" w:color="auto"/>
            <w:bottom w:val="none" w:sz="0" w:space="0" w:color="auto"/>
            <w:right w:val="none" w:sz="0" w:space="0" w:color="auto"/>
          </w:divBdr>
          <w:divsChild>
            <w:div w:id="1548443783">
              <w:marLeft w:val="0"/>
              <w:marRight w:val="0"/>
              <w:marTop w:val="0"/>
              <w:marBottom w:val="0"/>
              <w:divBdr>
                <w:top w:val="none" w:sz="0" w:space="0" w:color="auto"/>
                <w:left w:val="none" w:sz="0" w:space="0" w:color="auto"/>
                <w:bottom w:val="none" w:sz="0" w:space="0" w:color="auto"/>
                <w:right w:val="none" w:sz="0" w:space="0" w:color="auto"/>
              </w:divBdr>
              <w:divsChild>
                <w:div w:id="610940741">
                  <w:marLeft w:val="0"/>
                  <w:marRight w:val="0"/>
                  <w:marTop w:val="0"/>
                  <w:marBottom w:val="0"/>
                  <w:divBdr>
                    <w:top w:val="none" w:sz="0" w:space="0" w:color="auto"/>
                    <w:left w:val="none" w:sz="0" w:space="0" w:color="auto"/>
                    <w:bottom w:val="none" w:sz="0" w:space="0" w:color="auto"/>
                    <w:right w:val="none" w:sz="0" w:space="0" w:color="auto"/>
                  </w:divBdr>
                  <w:divsChild>
                    <w:div w:id="4307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247508">
      <w:bodyDiv w:val="1"/>
      <w:marLeft w:val="0"/>
      <w:marRight w:val="0"/>
      <w:marTop w:val="0"/>
      <w:marBottom w:val="0"/>
      <w:divBdr>
        <w:top w:val="none" w:sz="0" w:space="0" w:color="auto"/>
        <w:left w:val="none" w:sz="0" w:space="0" w:color="auto"/>
        <w:bottom w:val="none" w:sz="0" w:space="0" w:color="auto"/>
        <w:right w:val="none" w:sz="0" w:space="0" w:color="auto"/>
      </w:divBdr>
    </w:div>
    <w:div w:id="480930500">
      <w:bodyDiv w:val="1"/>
      <w:marLeft w:val="0"/>
      <w:marRight w:val="0"/>
      <w:marTop w:val="0"/>
      <w:marBottom w:val="0"/>
      <w:divBdr>
        <w:top w:val="none" w:sz="0" w:space="0" w:color="auto"/>
        <w:left w:val="none" w:sz="0" w:space="0" w:color="auto"/>
        <w:bottom w:val="none" w:sz="0" w:space="0" w:color="auto"/>
        <w:right w:val="none" w:sz="0" w:space="0" w:color="auto"/>
      </w:divBdr>
    </w:div>
    <w:div w:id="515114397">
      <w:bodyDiv w:val="1"/>
      <w:marLeft w:val="0"/>
      <w:marRight w:val="0"/>
      <w:marTop w:val="0"/>
      <w:marBottom w:val="0"/>
      <w:divBdr>
        <w:top w:val="none" w:sz="0" w:space="0" w:color="auto"/>
        <w:left w:val="none" w:sz="0" w:space="0" w:color="auto"/>
        <w:bottom w:val="none" w:sz="0" w:space="0" w:color="auto"/>
        <w:right w:val="none" w:sz="0" w:space="0" w:color="auto"/>
      </w:divBdr>
    </w:div>
    <w:div w:id="517155941">
      <w:bodyDiv w:val="1"/>
      <w:marLeft w:val="0"/>
      <w:marRight w:val="0"/>
      <w:marTop w:val="0"/>
      <w:marBottom w:val="0"/>
      <w:divBdr>
        <w:top w:val="none" w:sz="0" w:space="0" w:color="auto"/>
        <w:left w:val="none" w:sz="0" w:space="0" w:color="auto"/>
        <w:bottom w:val="none" w:sz="0" w:space="0" w:color="auto"/>
        <w:right w:val="none" w:sz="0" w:space="0" w:color="auto"/>
      </w:divBdr>
    </w:div>
    <w:div w:id="520095513">
      <w:bodyDiv w:val="1"/>
      <w:marLeft w:val="0"/>
      <w:marRight w:val="0"/>
      <w:marTop w:val="0"/>
      <w:marBottom w:val="0"/>
      <w:divBdr>
        <w:top w:val="none" w:sz="0" w:space="0" w:color="auto"/>
        <w:left w:val="none" w:sz="0" w:space="0" w:color="auto"/>
        <w:bottom w:val="none" w:sz="0" w:space="0" w:color="auto"/>
        <w:right w:val="none" w:sz="0" w:space="0" w:color="auto"/>
      </w:divBdr>
    </w:div>
    <w:div w:id="548880208">
      <w:bodyDiv w:val="1"/>
      <w:marLeft w:val="0"/>
      <w:marRight w:val="0"/>
      <w:marTop w:val="0"/>
      <w:marBottom w:val="0"/>
      <w:divBdr>
        <w:top w:val="none" w:sz="0" w:space="0" w:color="auto"/>
        <w:left w:val="none" w:sz="0" w:space="0" w:color="auto"/>
        <w:bottom w:val="none" w:sz="0" w:space="0" w:color="auto"/>
        <w:right w:val="none" w:sz="0" w:space="0" w:color="auto"/>
      </w:divBdr>
      <w:divsChild>
        <w:div w:id="753279002">
          <w:marLeft w:val="0"/>
          <w:marRight w:val="0"/>
          <w:marTop w:val="0"/>
          <w:marBottom w:val="0"/>
          <w:divBdr>
            <w:top w:val="none" w:sz="0" w:space="0" w:color="auto"/>
            <w:left w:val="none" w:sz="0" w:space="0" w:color="auto"/>
            <w:bottom w:val="none" w:sz="0" w:space="0" w:color="auto"/>
            <w:right w:val="none" w:sz="0" w:space="0" w:color="auto"/>
          </w:divBdr>
        </w:div>
      </w:divsChild>
    </w:div>
    <w:div w:id="673070156">
      <w:bodyDiv w:val="1"/>
      <w:marLeft w:val="0"/>
      <w:marRight w:val="0"/>
      <w:marTop w:val="0"/>
      <w:marBottom w:val="0"/>
      <w:divBdr>
        <w:top w:val="none" w:sz="0" w:space="0" w:color="auto"/>
        <w:left w:val="none" w:sz="0" w:space="0" w:color="auto"/>
        <w:bottom w:val="none" w:sz="0" w:space="0" w:color="auto"/>
        <w:right w:val="none" w:sz="0" w:space="0" w:color="auto"/>
      </w:divBdr>
    </w:div>
    <w:div w:id="673266610">
      <w:bodyDiv w:val="1"/>
      <w:marLeft w:val="0"/>
      <w:marRight w:val="0"/>
      <w:marTop w:val="0"/>
      <w:marBottom w:val="0"/>
      <w:divBdr>
        <w:top w:val="none" w:sz="0" w:space="0" w:color="auto"/>
        <w:left w:val="none" w:sz="0" w:space="0" w:color="auto"/>
        <w:bottom w:val="none" w:sz="0" w:space="0" w:color="auto"/>
        <w:right w:val="none" w:sz="0" w:space="0" w:color="auto"/>
      </w:divBdr>
    </w:div>
    <w:div w:id="677463385">
      <w:bodyDiv w:val="1"/>
      <w:marLeft w:val="0"/>
      <w:marRight w:val="0"/>
      <w:marTop w:val="0"/>
      <w:marBottom w:val="0"/>
      <w:divBdr>
        <w:top w:val="none" w:sz="0" w:space="0" w:color="auto"/>
        <w:left w:val="none" w:sz="0" w:space="0" w:color="auto"/>
        <w:bottom w:val="none" w:sz="0" w:space="0" w:color="auto"/>
        <w:right w:val="none" w:sz="0" w:space="0" w:color="auto"/>
      </w:divBdr>
      <w:divsChild>
        <w:div w:id="390154429">
          <w:marLeft w:val="0"/>
          <w:marRight w:val="0"/>
          <w:marTop w:val="0"/>
          <w:marBottom w:val="0"/>
          <w:divBdr>
            <w:top w:val="none" w:sz="0" w:space="0" w:color="auto"/>
            <w:left w:val="none" w:sz="0" w:space="0" w:color="auto"/>
            <w:bottom w:val="none" w:sz="0" w:space="0" w:color="auto"/>
            <w:right w:val="none" w:sz="0" w:space="0" w:color="auto"/>
          </w:divBdr>
        </w:div>
      </w:divsChild>
    </w:div>
    <w:div w:id="678700502">
      <w:bodyDiv w:val="1"/>
      <w:marLeft w:val="0"/>
      <w:marRight w:val="0"/>
      <w:marTop w:val="0"/>
      <w:marBottom w:val="0"/>
      <w:divBdr>
        <w:top w:val="none" w:sz="0" w:space="0" w:color="auto"/>
        <w:left w:val="none" w:sz="0" w:space="0" w:color="auto"/>
        <w:bottom w:val="none" w:sz="0" w:space="0" w:color="auto"/>
        <w:right w:val="none" w:sz="0" w:space="0" w:color="auto"/>
      </w:divBdr>
    </w:div>
    <w:div w:id="693383395">
      <w:bodyDiv w:val="1"/>
      <w:marLeft w:val="0"/>
      <w:marRight w:val="0"/>
      <w:marTop w:val="0"/>
      <w:marBottom w:val="0"/>
      <w:divBdr>
        <w:top w:val="none" w:sz="0" w:space="0" w:color="auto"/>
        <w:left w:val="none" w:sz="0" w:space="0" w:color="auto"/>
        <w:bottom w:val="none" w:sz="0" w:space="0" w:color="auto"/>
        <w:right w:val="none" w:sz="0" w:space="0" w:color="auto"/>
      </w:divBdr>
    </w:div>
    <w:div w:id="697698616">
      <w:bodyDiv w:val="1"/>
      <w:marLeft w:val="0"/>
      <w:marRight w:val="0"/>
      <w:marTop w:val="0"/>
      <w:marBottom w:val="0"/>
      <w:divBdr>
        <w:top w:val="none" w:sz="0" w:space="0" w:color="auto"/>
        <w:left w:val="none" w:sz="0" w:space="0" w:color="auto"/>
        <w:bottom w:val="none" w:sz="0" w:space="0" w:color="auto"/>
        <w:right w:val="none" w:sz="0" w:space="0" w:color="auto"/>
      </w:divBdr>
      <w:divsChild>
        <w:div w:id="1445538216">
          <w:blockQuote w:val="1"/>
          <w:marLeft w:val="0"/>
          <w:marRight w:val="0"/>
          <w:marTop w:val="0"/>
          <w:marBottom w:val="375"/>
          <w:divBdr>
            <w:top w:val="none" w:sz="0" w:space="0" w:color="auto"/>
            <w:left w:val="none" w:sz="0" w:space="0" w:color="auto"/>
            <w:bottom w:val="none" w:sz="0" w:space="0" w:color="auto"/>
            <w:right w:val="none" w:sz="0" w:space="0" w:color="auto"/>
          </w:divBdr>
          <w:divsChild>
            <w:div w:id="151175048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02900532">
      <w:bodyDiv w:val="1"/>
      <w:marLeft w:val="0"/>
      <w:marRight w:val="0"/>
      <w:marTop w:val="0"/>
      <w:marBottom w:val="0"/>
      <w:divBdr>
        <w:top w:val="none" w:sz="0" w:space="0" w:color="auto"/>
        <w:left w:val="none" w:sz="0" w:space="0" w:color="auto"/>
        <w:bottom w:val="none" w:sz="0" w:space="0" w:color="auto"/>
        <w:right w:val="none" w:sz="0" w:space="0" w:color="auto"/>
      </w:divBdr>
    </w:div>
    <w:div w:id="739795731">
      <w:bodyDiv w:val="1"/>
      <w:marLeft w:val="0"/>
      <w:marRight w:val="0"/>
      <w:marTop w:val="0"/>
      <w:marBottom w:val="0"/>
      <w:divBdr>
        <w:top w:val="none" w:sz="0" w:space="0" w:color="auto"/>
        <w:left w:val="none" w:sz="0" w:space="0" w:color="auto"/>
        <w:bottom w:val="none" w:sz="0" w:space="0" w:color="auto"/>
        <w:right w:val="none" w:sz="0" w:space="0" w:color="auto"/>
      </w:divBdr>
    </w:div>
    <w:div w:id="748574527">
      <w:bodyDiv w:val="1"/>
      <w:marLeft w:val="0"/>
      <w:marRight w:val="0"/>
      <w:marTop w:val="0"/>
      <w:marBottom w:val="0"/>
      <w:divBdr>
        <w:top w:val="none" w:sz="0" w:space="0" w:color="auto"/>
        <w:left w:val="none" w:sz="0" w:space="0" w:color="auto"/>
        <w:bottom w:val="none" w:sz="0" w:space="0" w:color="auto"/>
        <w:right w:val="none" w:sz="0" w:space="0" w:color="auto"/>
      </w:divBdr>
    </w:div>
    <w:div w:id="801465485">
      <w:bodyDiv w:val="1"/>
      <w:marLeft w:val="0"/>
      <w:marRight w:val="0"/>
      <w:marTop w:val="0"/>
      <w:marBottom w:val="0"/>
      <w:divBdr>
        <w:top w:val="none" w:sz="0" w:space="0" w:color="auto"/>
        <w:left w:val="none" w:sz="0" w:space="0" w:color="auto"/>
        <w:bottom w:val="none" w:sz="0" w:space="0" w:color="auto"/>
        <w:right w:val="none" w:sz="0" w:space="0" w:color="auto"/>
      </w:divBdr>
      <w:divsChild>
        <w:div w:id="43140889">
          <w:marLeft w:val="0"/>
          <w:marRight w:val="0"/>
          <w:marTop w:val="0"/>
          <w:marBottom w:val="0"/>
          <w:divBdr>
            <w:top w:val="none" w:sz="0" w:space="0" w:color="auto"/>
            <w:left w:val="none" w:sz="0" w:space="0" w:color="auto"/>
            <w:bottom w:val="none" w:sz="0" w:space="0" w:color="auto"/>
            <w:right w:val="none" w:sz="0" w:space="0" w:color="auto"/>
          </w:divBdr>
        </w:div>
      </w:divsChild>
    </w:div>
    <w:div w:id="879710994">
      <w:bodyDiv w:val="1"/>
      <w:marLeft w:val="0"/>
      <w:marRight w:val="0"/>
      <w:marTop w:val="0"/>
      <w:marBottom w:val="0"/>
      <w:divBdr>
        <w:top w:val="none" w:sz="0" w:space="0" w:color="auto"/>
        <w:left w:val="none" w:sz="0" w:space="0" w:color="auto"/>
        <w:bottom w:val="none" w:sz="0" w:space="0" w:color="auto"/>
        <w:right w:val="none" w:sz="0" w:space="0" w:color="auto"/>
      </w:divBdr>
      <w:divsChild>
        <w:div w:id="591008941">
          <w:marLeft w:val="418"/>
          <w:marRight w:val="0"/>
          <w:marTop w:val="60"/>
          <w:marBottom w:val="60"/>
          <w:divBdr>
            <w:top w:val="none" w:sz="0" w:space="0" w:color="auto"/>
            <w:left w:val="none" w:sz="0" w:space="0" w:color="auto"/>
            <w:bottom w:val="none" w:sz="0" w:space="0" w:color="auto"/>
            <w:right w:val="none" w:sz="0" w:space="0" w:color="auto"/>
          </w:divBdr>
        </w:div>
      </w:divsChild>
    </w:div>
    <w:div w:id="889919859">
      <w:bodyDiv w:val="1"/>
      <w:marLeft w:val="0"/>
      <w:marRight w:val="0"/>
      <w:marTop w:val="0"/>
      <w:marBottom w:val="0"/>
      <w:divBdr>
        <w:top w:val="none" w:sz="0" w:space="0" w:color="auto"/>
        <w:left w:val="none" w:sz="0" w:space="0" w:color="auto"/>
        <w:bottom w:val="none" w:sz="0" w:space="0" w:color="auto"/>
        <w:right w:val="none" w:sz="0" w:space="0" w:color="auto"/>
      </w:divBdr>
      <w:divsChild>
        <w:div w:id="60104494">
          <w:marLeft w:val="0"/>
          <w:marRight w:val="0"/>
          <w:marTop w:val="0"/>
          <w:marBottom w:val="0"/>
          <w:divBdr>
            <w:top w:val="none" w:sz="0" w:space="0" w:color="auto"/>
            <w:left w:val="none" w:sz="0" w:space="0" w:color="auto"/>
            <w:bottom w:val="none" w:sz="0" w:space="0" w:color="auto"/>
            <w:right w:val="none" w:sz="0" w:space="0" w:color="auto"/>
          </w:divBdr>
          <w:divsChild>
            <w:div w:id="7984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38734">
      <w:bodyDiv w:val="1"/>
      <w:marLeft w:val="0"/>
      <w:marRight w:val="0"/>
      <w:marTop w:val="0"/>
      <w:marBottom w:val="0"/>
      <w:divBdr>
        <w:top w:val="none" w:sz="0" w:space="0" w:color="auto"/>
        <w:left w:val="none" w:sz="0" w:space="0" w:color="auto"/>
        <w:bottom w:val="none" w:sz="0" w:space="0" w:color="auto"/>
        <w:right w:val="none" w:sz="0" w:space="0" w:color="auto"/>
      </w:divBdr>
    </w:div>
    <w:div w:id="934171079">
      <w:bodyDiv w:val="1"/>
      <w:marLeft w:val="0"/>
      <w:marRight w:val="0"/>
      <w:marTop w:val="0"/>
      <w:marBottom w:val="0"/>
      <w:divBdr>
        <w:top w:val="none" w:sz="0" w:space="0" w:color="auto"/>
        <w:left w:val="none" w:sz="0" w:space="0" w:color="auto"/>
        <w:bottom w:val="none" w:sz="0" w:space="0" w:color="auto"/>
        <w:right w:val="none" w:sz="0" w:space="0" w:color="auto"/>
      </w:divBdr>
    </w:div>
    <w:div w:id="948119007">
      <w:bodyDiv w:val="1"/>
      <w:marLeft w:val="0"/>
      <w:marRight w:val="0"/>
      <w:marTop w:val="0"/>
      <w:marBottom w:val="0"/>
      <w:divBdr>
        <w:top w:val="none" w:sz="0" w:space="0" w:color="auto"/>
        <w:left w:val="none" w:sz="0" w:space="0" w:color="auto"/>
        <w:bottom w:val="none" w:sz="0" w:space="0" w:color="auto"/>
        <w:right w:val="none" w:sz="0" w:space="0" w:color="auto"/>
      </w:divBdr>
    </w:div>
    <w:div w:id="960188757">
      <w:bodyDiv w:val="1"/>
      <w:marLeft w:val="0"/>
      <w:marRight w:val="0"/>
      <w:marTop w:val="0"/>
      <w:marBottom w:val="0"/>
      <w:divBdr>
        <w:top w:val="none" w:sz="0" w:space="0" w:color="auto"/>
        <w:left w:val="none" w:sz="0" w:space="0" w:color="auto"/>
        <w:bottom w:val="none" w:sz="0" w:space="0" w:color="auto"/>
        <w:right w:val="none" w:sz="0" w:space="0" w:color="auto"/>
      </w:divBdr>
    </w:div>
    <w:div w:id="995375830">
      <w:bodyDiv w:val="1"/>
      <w:marLeft w:val="0"/>
      <w:marRight w:val="0"/>
      <w:marTop w:val="0"/>
      <w:marBottom w:val="0"/>
      <w:divBdr>
        <w:top w:val="none" w:sz="0" w:space="0" w:color="auto"/>
        <w:left w:val="none" w:sz="0" w:space="0" w:color="auto"/>
        <w:bottom w:val="none" w:sz="0" w:space="0" w:color="auto"/>
        <w:right w:val="none" w:sz="0" w:space="0" w:color="auto"/>
      </w:divBdr>
    </w:div>
    <w:div w:id="1031033819">
      <w:bodyDiv w:val="1"/>
      <w:marLeft w:val="0"/>
      <w:marRight w:val="0"/>
      <w:marTop w:val="0"/>
      <w:marBottom w:val="0"/>
      <w:divBdr>
        <w:top w:val="none" w:sz="0" w:space="0" w:color="auto"/>
        <w:left w:val="none" w:sz="0" w:space="0" w:color="auto"/>
        <w:bottom w:val="none" w:sz="0" w:space="0" w:color="auto"/>
        <w:right w:val="none" w:sz="0" w:space="0" w:color="auto"/>
      </w:divBdr>
    </w:div>
    <w:div w:id="1033192375">
      <w:bodyDiv w:val="1"/>
      <w:marLeft w:val="0"/>
      <w:marRight w:val="0"/>
      <w:marTop w:val="0"/>
      <w:marBottom w:val="0"/>
      <w:divBdr>
        <w:top w:val="none" w:sz="0" w:space="0" w:color="auto"/>
        <w:left w:val="none" w:sz="0" w:space="0" w:color="auto"/>
        <w:bottom w:val="none" w:sz="0" w:space="0" w:color="auto"/>
        <w:right w:val="none" w:sz="0" w:space="0" w:color="auto"/>
      </w:divBdr>
    </w:div>
    <w:div w:id="1039816515">
      <w:bodyDiv w:val="1"/>
      <w:marLeft w:val="0"/>
      <w:marRight w:val="0"/>
      <w:marTop w:val="0"/>
      <w:marBottom w:val="0"/>
      <w:divBdr>
        <w:top w:val="none" w:sz="0" w:space="0" w:color="auto"/>
        <w:left w:val="none" w:sz="0" w:space="0" w:color="auto"/>
        <w:bottom w:val="none" w:sz="0" w:space="0" w:color="auto"/>
        <w:right w:val="none" w:sz="0" w:space="0" w:color="auto"/>
      </w:divBdr>
    </w:div>
    <w:div w:id="1060011679">
      <w:bodyDiv w:val="1"/>
      <w:marLeft w:val="0"/>
      <w:marRight w:val="0"/>
      <w:marTop w:val="0"/>
      <w:marBottom w:val="0"/>
      <w:divBdr>
        <w:top w:val="none" w:sz="0" w:space="0" w:color="auto"/>
        <w:left w:val="none" w:sz="0" w:space="0" w:color="auto"/>
        <w:bottom w:val="none" w:sz="0" w:space="0" w:color="auto"/>
        <w:right w:val="none" w:sz="0" w:space="0" w:color="auto"/>
      </w:divBdr>
      <w:divsChild>
        <w:div w:id="1650398801">
          <w:marLeft w:val="0"/>
          <w:marRight w:val="0"/>
          <w:marTop w:val="0"/>
          <w:marBottom w:val="0"/>
          <w:divBdr>
            <w:top w:val="none" w:sz="0" w:space="0" w:color="auto"/>
            <w:left w:val="none" w:sz="0" w:space="0" w:color="auto"/>
            <w:bottom w:val="none" w:sz="0" w:space="0" w:color="auto"/>
            <w:right w:val="none" w:sz="0" w:space="0" w:color="auto"/>
          </w:divBdr>
        </w:div>
      </w:divsChild>
    </w:div>
    <w:div w:id="1085952896">
      <w:bodyDiv w:val="1"/>
      <w:marLeft w:val="0"/>
      <w:marRight w:val="0"/>
      <w:marTop w:val="0"/>
      <w:marBottom w:val="0"/>
      <w:divBdr>
        <w:top w:val="none" w:sz="0" w:space="0" w:color="auto"/>
        <w:left w:val="none" w:sz="0" w:space="0" w:color="auto"/>
        <w:bottom w:val="none" w:sz="0" w:space="0" w:color="auto"/>
        <w:right w:val="none" w:sz="0" w:space="0" w:color="auto"/>
      </w:divBdr>
    </w:div>
    <w:div w:id="1087924328">
      <w:bodyDiv w:val="1"/>
      <w:marLeft w:val="0"/>
      <w:marRight w:val="0"/>
      <w:marTop w:val="0"/>
      <w:marBottom w:val="0"/>
      <w:divBdr>
        <w:top w:val="none" w:sz="0" w:space="0" w:color="auto"/>
        <w:left w:val="none" w:sz="0" w:space="0" w:color="auto"/>
        <w:bottom w:val="none" w:sz="0" w:space="0" w:color="auto"/>
        <w:right w:val="none" w:sz="0" w:space="0" w:color="auto"/>
      </w:divBdr>
    </w:div>
    <w:div w:id="1098208498">
      <w:bodyDiv w:val="1"/>
      <w:marLeft w:val="0"/>
      <w:marRight w:val="0"/>
      <w:marTop w:val="0"/>
      <w:marBottom w:val="0"/>
      <w:divBdr>
        <w:top w:val="none" w:sz="0" w:space="0" w:color="auto"/>
        <w:left w:val="none" w:sz="0" w:space="0" w:color="auto"/>
        <w:bottom w:val="none" w:sz="0" w:space="0" w:color="auto"/>
        <w:right w:val="none" w:sz="0" w:space="0" w:color="auto"/>
      </w:divBdr>
    </w:div>
    <w:div w:id="1106314633">
      <w:bodyDiv w:val="1"/>
      <w:marLeft w:val="0"/>
      <w:marRight w:val="0"/>
      <w:marTop w:val="0"/>
      <w:marBottom w:val="0"/>
      <w:divBdr>
        <w:top w:val="none" w:sz="0" w:space="0" w:color="auto"/>
        <w:left w:val="none" w:sz="0" w:space="0" w:color="auto"/>
        <w:bottom w:val="none" w:sz="0" w:space="0" w:color="auto"/>
        <w:right w:val="none" w:sz="0" w:space="0" w:color="auto"/>
      </w:divBdr>
    </w:div>
    <w:div w:id="1106538982">
      <w:bodyDiv w:val="1"/>
      <w:marLeft w:val="0"/>
      <w:marRight w:val="0"/>
      <w:marTop w:val="0"/>
      <w:marBottom w:val="0"/>
      <w:divBdr>
        <w:top w:val="none" w:sz="0" w:space="0" w:color="auto"/>
        <w:left w:val="none" w:sz="0" w:space="0" w:color="auto"/>
        <w:bottom w:val="none" w:sz="0" w:space="0" w:color="auto"/>
        <w:right w:val="none" w:sz="0" w:space="0" w:color="auto"/>
      </w:divBdr>
    </w:div>
    <w:div w:id="1119644919">
      <w:bodyDiv w:val="1"/>
      <w:marLeft w:val="0"/>
      <w:marRight w:val="0"/>
      <w:marTop w:val="0"/>
      <w:marBottom w:val="0"/>
      <w:divBdr>
        <w:top w:val="none" w:sz="0" w:space="0" w:color="auto"/>
        <w:left w:val="none" w:sz="0" w:space="0" w:color="auto"/>
        <w:bottom w:val="none" w:sz="0" w:space="0" w:color="auto"/>
        <w:right w:val="none" w:sz="0" w:space="0" w:color="auto"/>
      </w:divBdr>
    </w:div>
    <w:div w:id="1214199022">
      <w:bodyDiv w:val="1"/>
      <w:marLeft w:val="0"/>
      <w:marRight w:val="0"/>
      <w:marTop w:val="0"/>
      <w:marBottom w:val="0"/>
      <w:divBdr>
        <w:top w:val="none" w:sz="0" w:space="0" w:color="auto"/>
        <w:left w:val="none" w:sz="0" w:space="0" w:color="auto"/>
        <w:bottom w:val="none" w:sz="0" w:space="0" w:color="auto"/>
        <w:right w:val="none" w:sz="0" w:space="0" w:color="auto"/>
      </w:divBdr>
    </w:div>
    <w:div w:id="1235823561">
      <w:bodyDiv w:val="1"/>
      <w:marLeft w:val="0"/>
      <w:marRight w:val="0"/>
      <w:marTop w:val="0"/>
      <w:marBottom w:val="0"/>
      <w:divBdr>
        <w:top w:val="none" w:sz="0" w:space="0" w:color="auto"/>
        <w:left w:val="none" w:sz="0" w:space="0" w:color="auto"/>
        <w:bottom w:val="none" w:sz="0" w:space="0" w:color="auto"/>
        <w:right w:val="none" w:sz="0" w:space="0" w:color="auto"/>
      </w:divBdr>
    </w:div>
    <w:div w:id="1244415399">
      <w:bodyDiv w:val="1"/>
      <w:marLeft w:val="0"/>
      <w:marRight w:val="0"/>
      <w:marTop w:val="0"/>
      <w:marBottom w:val="0"/>
      <w:divBdr>
        <w:top w:val="none" w:sz="0" w:space="0" w:color="auto"/>
        <w:left w:val="none" w:sz="0" w:space="0" w:color="auto"/>
        <w:bottom w:val="none" w:sz="0" w:space="0" w:color="auto"/>
        <w:right w:val="none" w:sz="0" w:space="0" w:color="auto"/>
      </w:divBdr>
    </w:div>
    <w:div w:id="1258828223">
      <w:bodyDiv w:val="1"/>
      <w:marLeft w:val="0"/>
      <w:marRight w:val="0"/>
      <w:marTop w:val="0"/>
      <w:marBottom w:val="0"/>
      <w:divBdr>
        <w:top w:val="none" w:sz="0" w:space="0" w:color="auto"/>
        <w:left w:val="none" w:sz="0" w:space="0" w:color="auto"/>
        <w:bottom w:val="none" w:sz="0" w:space="0" w:color="auto"/>
        <w:right w:val="none" w:sz="0" w:space="0" w:color="auto"/>
      </w:divBdr>
    </w:div>
    <w:div w:id="1284075909">
      <w:bodyDiv w:val="1"/>
      <w:marLeft w:val="0"/>
      <w:marRight w:val="0"/>
      <w:marTop w:val="0"/>
      <w:marBottom w:val="0"/>
      <w:divBdr>
        <w:top w:val="none" w:sz="0" w:space="0" w:color="auto"/>
        <w:left w:val="none" w:sz="0" w:space="0" w:color="auto"/>
        <w:bottom w:val="none" w:sz="0" w:space="0" w:color="auto"/>
        <w:right w:val="none" w:sz="0" w:space="0" w:color="auto"/>
      </w:divBdr>
    </w:div>
    <w:div w:id="1321617787">
      <w:bodyDiv w:val="1"/>
      <w:marLeft w:val="0"/>
      <w:marRight w:val="0"/>
      <w:marTop w:val="0"/>
      <w:marBottom w:val="0"/>
      <w:divBdr>
        <w:top w:val="none" w:sz="0" w:space="0" w:color="auto"/>
        <w:left w:val="none" w:sz="0" w:space="0" w:color="auto"/>
        <w:bottom w:val="none" w:sz="0" w:space="0" w:color="auto"/>
        <w:right w:val="none" w:sz="0" w:space="0" w:color="auto"/>
      </w:divBdr>
    </w:div>
    <w:div w:id="1373575385">
      <w:bodyDiv w:val="1"/>
      <w:marLeft w:val="0"/>
      <w:marRight w:val="0"/>
      <w:marTop w:val="0"/>
      <w:marBottom w:val="0"/>
      <w:divBdr>
        <w:top w:val="none" w:sz="0" w:space="0" w:color="auto"/>
        <w:left w:val="none" w:sz="0" w:space="0" w:color="auto"/>
        <w:bottom w:val="none" w:sz="0" w:space="0" w:color="auto"/>
        <w:right w:val="none" w:sz="0" w:space="0" w:color="auto"/>
      </w:divBdr>
    </w:div>
    <w:div w:id="1418400946">
      <w:bodyDiv w:val="1"/>
      <w:marLeft w:val="0"/>
      <w:marRight w:val="0"/>
      <w:marTop w:val="0"/>
      <w:marBottom w:val="0"/>
      <w:divBdr>
        <w:top w:val="none" w:sz="0" w:space="0" w:color="auto"/>
        <w:left w:val="none" w:sz="0" w:space="0" w:color="auto"/>
        <w:bottom w:val="none" w:sz="0" w:space="0" w:color="auto"/>
        <w:right w:val="none" w:sz="0" w:space="0" w:color="auto"/>
      </w:divBdr>
    </w:div>
    <w:div w:id="1531797502">
      <w:bodyDiv w:val="1"/>
      <w:marLeft w:val="0"/>
      <w:marRight w:val="0"/>
      <w:marTop w:val="0"/>
      <w:marBottom w:val="0"/>
      <w:divBdr>
        <w:top w:val="none" w:sz="0" w:space="0" w:color="auto"/>
        <w:left w:val="none" w:sz="0" w:space="0" w:color="auto"/>
        <w:bottom w:val="none" w:sz="0" w:space="0" w:color="auto"/>
        <w:right w:val="none" w:sz="0" w:space="0" w:color="auto"/>
      </w:divBdr>
    </w:div>
    <w:div w:id="1552881852">
      <w:bodyDiv w:val="1"/>
      <w:marLeft w:val="0"/>
      <w:marRight w:val="0"/>
      <w:marTop w:val="0"/>
      <w:marBottom w:val="0"/>
      <w:divBdr>
        <w:top w:val="none" w:sz="0" w:space="0" w:color="auto"/>
        <w:left w:val="none" w:sz="0" w:space="0" w:color="auto"/>
        <w:bottom w:val="none" w:sz="0" w:space="0" w:color="auto"/>
        <w:right w:val="none" w:sz="0" w:space="0" w:color="auto"/>
      </w:divBdr>
    </w:div>
    <w:div w:id="1554266122">
      <w:bodyDiv w:val="1"/>
      <w:marLeft w:val="0"/>
      <w:marRight w:val="0"/>
      <w:marTop w:val="0"/>
      <w:marBottom w:val="0"/>
      <w:divBdr>
        <w:top w:val="none" w:sz="0" w:space="0" w:color="auto"/>
        <w:left w:val="none" w:sz="0" w:space="0" w:color="auto"/>
        <w:bottom w:val="none" w:sz="0" w:space="0" w:color="auto"/>
        <w:right w:val="none" w:sz="0" w:space="0" w:color="auto"/>
      </w:divBdr>
    </w:div>
    <w:div w:id="1561789946">
      <w:bodyDiv w:val="1"/>
      <w:marLeft w:val="0"/>
      <w:marRight w:val="0"/>
      <w:marTop w:val="0"/>
      <w:marBottom w:val="0"/>
      <w:divBdr>
        <w:top w:val="none" w:sz="0" w:space="0" w:color="auto"/>
        <w:left w:val="none" w:sz="0" w:space="0" w:color="auto"/>
        <w:bottom w:val="none" w:sz="0" w:space="0" w:color="auto"/>
        <w:right w:val="none" w:sz="0" w:space="0" w:color="auto"/>
      </w:divBdr>
      <w:divsChild>
        <w:div w:id="1791587412">
          <w:marLeft w:val="0"/>
          <w:marRight w:val="0"/>
          <w:marTop w:val="0"/>
          <w:marBottom w:val="0"/>
          <w:divBdr>
            <w:top w:val="none" w:sz="0" w:space="0" w:color="auto"/>
            <w:left w:val="none" w:sz="0" w:space="0" w:color="auto"/>
            <w:bottom w:val="none" w:sz="0" w:space="0" w:color="auto"/>
            <w:right w:val="none" w:sz="0" w:space="0" w:color="auto"/>
          </w:divBdr>
        </w:div>
      </w:divsChild>
    </w:div>
    <w:div w:id="1577320605">
      <w:bodyDiv w:val="1"/>
      <w:marLeft w:val="0"/>
      <w:marRight w:val="0"/>
      <w:marTop w:val="0"/>
      <w:marBottom w:val="0"/>
      <w:divBdr>
        <w:top w:val="none" w:sz="0" w:space="0" w:color="auto"/>
        <w:left w:val="none" w:sz="0" w:space="0" w:color="auto"/>
        <w:bottom w:val="none" w:sz="0" w:space="0" w:color="auto"/>
        <w:right w:val="none" w:sz="0" w:space="0" w:color="auto"/>
      </w:divBdr>
    </w:div>
    <w:div w:id="1629966404">
      <w:bodyDiv w:val="1"/>
      <w:marLeft w:val="0"/>
      <w:marRight w:val="0"/>
      <w:marTop w:val="0"/>
      <w:marBottom w:val="0"/>
      <w:divBdr>
        <w:top w:val="none" w:sz="0" w:space="0" w:color="auto"/>
        <w:left w:val="none" w:sz="0" w:space="0" w:color="auto"/>
        <w:bottom w:val="none" w:sz="0" w:space="0" w:color="auto"/>
        <w:right w:val="none" w:sz="0" w:space="0" w:color="auto"/>
      </w:divBdr>
    </w:div>
    <w:div w:id="1652556928">
      <w:bodyDiv w:val="1"/>
      <w:marLeft w:val="0"/>
      <w:marRight w:val="0"/>
      <w:marTop w:val="0"/>
      <w:marBottom w:val="0"/>
      <w:divBdr>
        <w:top w:val="none" w:sz="0" w:space="0" w:color="auto"/>
        <w:left w:val="none" w:sz="0" w:space="0" w:color="auto"/>
        <w:bottom w:val="none" w:sz="0" w:space="0" w:color="auto"/>
        <w:right w:val="none" w:sz="0" w:space="0" w:color="auto"/>
      </w:divBdr>
    </w:div>
    <w:div w:id="1688362570">
      <w:bodyDiv w:val="1"/>
      <w:marLeft w:val="0"/>
      <w:marRight w:val="0"/>
      <w:marTop w:val="0"/>
      <w:marBottom w:val="0"/>
      <w:divBdr>
        <w:top w:val="none" w:sz="0" w:space="0" w:color="auto"/>
        <w:left w:val="none" w:sz="0" w:space="0" w:color="auto"/>
        <w:bottom w:val="none" w:sz="0" w:space="0" w:color="auto"/>
        <w:right w:val="none" w:sz="0" w:space="0" w:color="auto"/>
      </w:divBdr>
    </w:div>
    <w:div w:id="1712729530">
      <w:bodyDiv w:val="1"/>
      <w:marLeft w:val="0"/>
      <w:marRight w:val="0"/>
      <w:marTop w:val="0"/>
      <w:marBottom w:val="0"/>
      <w:divBdr>
        <w:top w:val="none" w:sz="0" w:space="0" w:color="auto"/>
        <w:left w:val="none" w:sz="0" w:space="0" w:color="auto"/>
        <w:bottom w:val="none" w:sz="0" w:space="0" w:color="auto"/>
        <w:right w:val="none" w:sz="0" w:space="0" w:color="auto"/>
      </w:divBdr>
    </w:div>
    <w:div w:id="1729955416">
      <w:bodyDiv w:val="1"/>
      <w:marLeft w:val="0"/>
      <w:marRight w:val="0"/>
      <w:marTop w:val="0"/>
      <w:marBottom w:val="0"/>
      <w:divBdr>
        <w:top w:val="none" w:sz="0" w:space="0" w:color="auto"/>
        <w:left w:val="none" w:sz="0" w:space="0" w:color="auto"/>
        <w:bottom w:val="none" w:sz="0" w:space="0" w:color="auto"/>
        <w:right w:val="none" w:sz="0" w:space="0" w:color="auto"/>
      </w:divBdr>
    </w:div>
    <w:div w:id="1848444504">
      <w:bodyDiv w:val="1"/>
      <w:marLeft w:val="0"/>
      <w:marRight w:val="0"/>
      <w:marTop w:val="0"/>
      <w:marBottom w:val="0"/>
      <w:divBdr>
        <w:top w:val="none" w:sz="0" w:space="0" w:color="auto"/>
        <w:left w:val="none" w:sz="0" w:space="0" w:color="auto"/>
        <w:bottom w:val="none" w:sz="0" w:space="0" w:color="auto"/>
        <w:right w:val="none" w:sz="0" w:space="0" w:color="auto"/>
      </w:divBdr>
    </w:div>
    <w:div w:id="1856000156">
      <w:bodyDiv w:val="1"/>
      <w:marLeft w:val="0"/>
      <w:marRight w:val="0"/>
      <w:marTop w:val="0"/>
      <w:marBottom w:val="0"/>
      <w:divBdr>
        <w:top w:val="none" w:sz="0" w:space="0" w:color="auto"/>
        <w:left w:val="none" w:sz="0" w:space="0" w:color="auto"/>
        <w:bottom w:val="none" w:sz="0" w:space="0" w:color="auto"/>
        <w:right w:val="none" w:sz="0" w:space="0" w:color="auto"/>
      </w:divBdr>
    </w:div>
    <w:div w:id="1974825989">
      <w:bodyDiv w:val="1"/>
      <w:marLeft w:val="0"/>
      <w:marRight w:val="0"/>
      <w:marTop w:val="0"/>
      <w:marBottom w:val="0"/>
      <w:divBdr>
        <w:top w:val="none" w:sz="0" w:space="0" w:color="auto"/>
        <w:left w:val="none" w:sz="0" w:space="0" w:color="auto"/>
        <w:bottom w:val="none" w:sz="0" w:space="0" w:color="auto"/>
        <w:right w:val="none" w:sz="0" w:space="0" w:color="auto"/>
      </w:divBdr>
    </w:div>
    <w:div w:id="1976641520">
      <w:bodyDiv w:val="1"/>
      <w:marLeft w:val="0"/>
      <w:marRight w:val="0"/>
      <w:marTop w:val="0"/>
      <w:marBottom w:val="0"/>
      <w:divBdr>
        <w:top w:val="none" w:sz="0" w:space="0" w:color="auto"/>
        <w:left w:val="none" w:sz="0" w:space="0" w:color="auto"/>
        <w:bottom w:val="none" w:sz="0" w:space="0" w:color="auto"/>
        <w:right w:val="none" w:sz="0" w:space="0" w:color="auto"/>
      </w:divBdr>
    </w:div>
    <w:div w:id="1989936995">
      <w:bodyDiv w:val="1"/>
      <w:marLeft w:val="0"/>
      <w:marRight w:val="0"/>
      <w:marTop w:val="0"/>
      <w:marBottom w:val="0"/>
      <w:divBdr>
        <w:top w:val="none" w:sz="0" w:space="0" w:color="auto"/>
        <w:left w:val="none" w:sz="0" w:space="0" w:color="auto"/>
        <w:bottom w:val="none" w:sz="0" w:space="0" w:color="auto"/>
        <w:right w:val="none" w:sz="0" w:space="0" w:color="auto"/>
      </w:divBdr>
    </w:div>
    <w:div w:id="2005667825">
      <w:bodyDiv w:val="1"/>
      <w:marLeft w:val="0"/>
      <w:marRight w:val="0"/>
      <w:marTop w:val="0"/>
      <w:marBottom w:val="0"/>
      <w:divBdr>
        <w:top w:val="none" w:sz="0" w:space="0" w:color="auto"/>
        <w:left w:val="none" w:sz="0" w:space="0" w:color="auto"/>
        <w:bottom w:val="none" w:sz="0" w:space="0" w:color="auto"/>
        <w:right w:val="none" w:sz="0" w:space="0" w:color="auto"/>
      </w:divBdr>
    </w:div>
    <w:div w:id="2028604225">
      <w:bodyDiv w:val="1"/>
      <w:marLeft w:val="0"/>
      <w:marRight w:val="0"/>
      <w:marTop w:val="0"/>
      <w:marBottom w:val="0"/>
      <w:divBdr>
        <w:top w:val="none" w:sz="0" w:space="0" w:color="auto"/>
        <w:left w:val="none" w:sz="0" w:space="0" w:color="auto"/>
        <w:bottom w:val="none" w:sz="0" w:space="0" w:color="auto"/>
        <w:right w:val="none" w:sz="0" w:space="0" w:color="auto"/>
      </w:divBdr>
    </w:div>
    <w:div w:id="2048019883">
      <w:bodyDiv w:val="1"/>
      <w:marLeft w:val="0"/>
      <w:marRight w:val="0"/>
      <w:marTop w:val="0"/>
      <w:marBottom w:val="0"/>
      <w:divBdr>
        <w:top w:val="none" w:sz="0" w:space="0" w:color="auto"/>
        <w:left w:val="none" w:sz="0" w:space="0" w:color="auto"/>
        <w:bottom w:val="none" w:sz="0" w:space="0" w:color="auto"/>
        <w:right w:val="none" w:sz="0" w:space="0" w:color="auto"/>
      </w:divBdr>
    </w:div>
    <w:div w:id="2049648578">
      <w:bodyDiv w:val="1"/>
      <w:marLeft w:val="0"/>
      <w:marRight w:val="0"/>
      <w:marTop w:val="0"/>
      <w:marBottom w:val="0"/>
      <w:divBdr>
        <w:top w:val="none" w:sz="0" w:space="0" w:color="auto"/>
        <w:left w:val="none" w:sz="0" w:space="0" w:color="auto"/>
        <w:bottom w:val="none" w:sz="0" w:space="0" w:color="auto"/>
        <w:right w:val="none" w:sz="0" w:space="0" w:color="auto"/>
      </w:divBdr>
    </w:div>
    <w:div w:id="2113351341">
      <w:bodyDiv w:val="1"/>
      <w:marLeft w:val="0"/>
      <w:marRight w:val="0"/>
      <w:marTop w:val="0"/>
      <w:marBottom w:val="0"/>
      <w:divBdr>
        <w:top w:val="none" w:sz="0" w:space="0" w:color="auto"/>
        <w:left w:val="none" w:sz="0" w:space="0" w:color="auto"/>
        <w:bottom w:val="none" w:sz="0" w:space="0" w:color="auto"/>
        <w:right w:val="none" w:sz="0" w:space="0" w:color="auto"/>
      </w:divBdr>
    </w:div>
    <w:div w:id="212017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header" Target="header5.xml"/><Relationship Id="Rf26ab2a9ce96434c" Type="http://schemas.microsoft.com/office/2019/09/relationships/intelligence" Target="intelligence.xml"/><Relationship Id="rId3" Type="http://schemas.openxmlformats.org/officeDocument/2006/relationships/customXml" Target="../customXml/item3.xml"/><Relationship Id="rId21" Type="http://schemas.openxmlformats.org/officeDocument/2006/relationships/hyperlink" Target="https://ec.europa.eu/competition-policy/document/download/451653c4-47cc-45a3-ac0e-04ece019e38c_en"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fontTable" Target="fontTable.xml"/><Relationship Id="rId4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footer" Target="footer4.xml"/><Relationship Id="rId30" Type="http://schemas.openxmlformats.org/officeDocument/2006/relationships/footer" Target="footer6.xml"/><Relationship Id="rId43"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ompetition/elojade/isef/index.cfm?fuseaction=dsp_result&amp;policy_area_id=1,2,3" TargetMode="External"/><Relationship Id="rId13" Type="http://schemas.openxmlformats.org/officeDocument/2006/relationships/hyperlink" Target="https://ec.europa.eu/competition-policy/index/news/competition-policy-brief-12021-policy-support-europes-green-ambition-2021-09-10_en" TargetMode="External"/><Relationship Id="rId18" Type="http://schemas.openxmlformats.org/officeDocument/2006/relationships/hyperlink" Target="https://ec.europa.eu/competition/elojade/isef/case_details.cfm?proc_code=1_40054" TargetMode="External"/><Relationship Id="rId26" Type="http://schemas.openxmlformats.org/officeDocument/2006/relationships/hyperlink" Target="https://eur-lex.europa.eu/legal-content/EN/ALL/?uri=CELEX%3A52004XC0427%2802%29" TargetMode="External"/><Relationship Id="rId3" Type="http://schemas.openxmlformats.org/officeDocument/2006/relationships/hyperlink" Target="https://ec.europa.eu/competition-policy/public-consultations/2021-rdi_en" TargetMode="External"/><Relationship Id="rId21" Type="http://schemas.openxmlformats.org/officeDocument/2006/relationships/hyperlink" Target="https://ec.europa.eu/commission/presscorner/detail/en/IP_21_4204" TargetMode="External"/><Relationship Id="rId7" Type="http://schemas.openxmlformats.org/officeDocument/2006/relationships/hyperlink" Target="https://ec.europa.eu/competition/elojade/isef/index.cfm?fuseaction=dsp_result&amp;policy_area_id=1,2,3" TargetMode="External"/><Relationship Id="rId12" Type="http://schemas.openxmlformats.org/officeDocument/2006/relationships/hyperlink" Target="https://ec.europa.eu/info/sites/info/files/communication-shaping-europes-digital-future-feb2020_en_4.pdf" TargetMode="External"/><Relationship Id="rId17" Type="http://schemas.openxmlformats.org/officeDocument/2006/relationships/hyperlink" Target="https://ec.europa.eu/info/sites/info/files/communication-shaping-europes-digital-future-feb2020_en_4.pdf" TargetMode="External"/><Relationship Id="rId25" Type="http://schemas.openxmlformats.org/officeDocument/2006/relationships/hyperlink" Target="https://ec.europa.eu/competition/state_aid/what_is_new/practical_guidance_to_MS_for_notifications_under_RRF.pdf" TargetMode="External"/><Relationship Id="rId2" Type="http://schemas.openxmlformats.org/officeDocument/2006/relationships/hyperlink" Target="https://www.europarl.europa.eu/news/en/press-room/20211210IPR19211/digital-markets-act-parliament-ready-to-start-negotiations-with-council" TargetMode="External"/><Relationship Id="rId16" Type="http://schemas.openxmlformats.org/officeDocument/2006/relationships/hyperlink" Target="https://ec.europa.eu/commission/presscorner/detail/en/ip_19_6705" TargetMode="External"/><Relationship Id="rId20" Type="http://schemas.openxmlformats.org/officeDocument/2006/relationships/hyperlink" Target="https://ec.europa.eu/competition/antitrust/cases1/202142/AT_40324_7971056_3662_3.pdf" TargetMode="External"/><Relationship Id="rId29" Type="http://schemas.openxmlformats.org/officeDocument/2006/relationships/hyperlink" Target="https://ec.europa.eu/competition-policy/international/bilateral-relations/korea_en" TargetMode="External"/><Relationship Id="rId1" Type="http://schemas.openxmlformats.org/officeDocument/2006/relationships/hyperlink" Target="https://www.consilium.europa.eu/en/press/press-releases/2021/11/25/regulating-big-tech-council-agrees-on-enhancing-competition-in-the-digital-sphere/" TargetMode="External"/><Relationship Id="rId6" Type="http://schemas.openxmlformats.org/officeDocument/2006/relationships/hyperlink" Target="https://ec.europa.eu/commission/presscorner/detail/en/ip_20_2077" TargetMode="External"/><Relationship Id="rId11" Type="http://schemas.openxmlformats.org/officeDocument/2006/relationships/hyperlink" Target="https://ec.europa.eu/commission/presscorner/detail/en/ip_22_402" TargetMode="External"/><Relationship Id="rId24" Type="http://schemas.openxmlformats.org/officeDocument/2006/relationships/hyperlink" Target="https://ec.europa.eu/competition-policy/state-aid/coronavirus/rrf-guiding-templates_en" TargetMode="External"/><Relationship Id="rId5" Type="http://schemas.openxmlformats.org/officeDocument/2006/relationships/hyperlink" Target="https://ec.europa.eu/commission/presscorner/detail/es/ip_21_170" TargetMode="External"/><Relationship Id="rId15" Type="http://schemas.openxmlformats.org/officeDocument/2006/relationships/hyperlink" Target="https://ec.europa.eu/competition/state_aid/register/" TargetMode="External"/><Relationship Id="rId23" Type="http://schemas.openxmlformats.org/officeDocument/2006/relationships/hyperlink" Target="https://ec.europa.eu/economy_finance/recovery-and-resilience-scoreboard/index.html" TargetMode="External"/><Relationship Id="rId28" Type="http://schemas.openxmlformats.org/officeDocument/2006/relationships/hyperlink" Target="https://ec.europa.eu/commission/presscorner/detail/en/IP_21_6671" TargetMode="External"/><Relationship Id="rId10" Type="http://schemas.openxmlformats.org/officeDocument/2006/relationships/hyperlink" Target="https://ec.europa.eu/commission/presscorner/detail/en/ip_21_2884" TargetMode="External"/><Relationship Id="rId19" Type="http://schemas.openxmlformats.org/officeDocument/2006/relationships/hyperlink" Target="https://ec.europa.eu/commission/presscorner/detail/en/ip_21_2004" TargetMode="External"/><Relationship Id="rId31" Type="http://schemas.openxmlformats.org/officeDocument/2006/relationships/hyperlink" Target="http://curia.europa.eu/juris/liste.jsf?pro=AVIS&amp;num=C-1/15" TargetMode="External"/><Relationship Id="rId4" Type="http://schemas.openxmlformats.org/officeDocument/2006/relationships/hyperlink" Target="https://ec.europa.eu/info/strategy/priorities-2019-2024/european-green-deal_en" TargetMode="External"/><Relationship Id="rId9" Type="http://schemas.openxmlformats.org/officeDocument/2006/relationships/hyperlink" Target="https://ec.europa.eu/commission/presscorner/detail/en/ip_20_1326" TargetMode="External"/><Relationship Id="rId14" Type="http://schemas.openxmlformats.org/officeDocument/2006/relationships/hyperlink" Target="https://ec.europa.eu/commission/presscorner/detail/en/IP_21_226" TargetMode="External"/><Relationship Id="rId22" Type="http://schemas.openxmlformats.org/officeDocument/2006/relationships/hyperlink" Target="https://ec.europa.eu/commission/presscorner/detail/en/ip_21_4665" TargetMode="External"/><Relationship Id="rId27" Type="http://schemas.openxmlformats.org/officeDocument/2006/relationships/hyperlink" Target="https://trade.ec.europa.eu/doclib/press/index.cfm?id=2330" TargetMode="External"/><Relationship Id="rId30" Type="http://schemas.openxmlformats.org/officeDocument/2006/relationships/hyperlink" Target="https://eur-lex.europa.eu/legal-content/EN/ALL/?uri=CELEX:22003A072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49F1BD2D9621104F92E22D48AAFC4E8E" ma:contentTypeVersion="0" ma:contentTypeDescription="Create a new document in this library." ma:contentTypeScope="" ma:versionID="76bd861ca947095182a2074a69de8818">
  <xsd:schema xmlns:xsd="http://www.w3.org/2001/XMLSchema" xmlns:xs="http://www.w3.org/2001/XMLSchema" xmlns:p="http://schemas.microsoft.com/office/2006/metadata/properties" xmlns:ns2="http://schemas.microsoft.com/sharepoint/v3/fields" xmlns:ns3="d5eb3fd5-40ef-444f-9a8c-26a582d0e87f" targetNamespace="http://schemas.microsoft.com/office/2006/metadata/properties" ma:root="true" ma:fieldsID="f24bce1c02a55c4137bdb9aba801b02a" ns2:_="" ns3:_="">
    <xsd:import namespace="http://schemas.microsoft.com/sharepoint/v3/fields"/>
    <xsd:import namespace="d5eb3fd5-40ef-444f-9a8c-26a582d0e87f"/>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5eb3fd5-40ef-444f-9a8c-26a582d0e87f"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B17D3456F366F34CB93560FC281E5B66" ma:contentTypeVersion="0" ma:contentTypeDescription="Create a new document." ma:contentTypeScope="" ma:versionID="da9db3a3d33491d325948ce8a03fa5a8">
  <xsd:schema xmlns:xsd="http://www.w3.org/2001/XMLSchema" xmlns:xs="http://www.w3.org/2001/XMLSchema" xmlns:p="http://schemas.microsoft.com/office/2006/metadata/properties" targetNamespace="http://schemas.microsoft.com/office/2006/metadata/properties" ma:root="true" ma:fieldsID="6ff03dde4259c08ff71d8d05c94e2e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EC Document" ma:contentTypeID="0x010100258AA79CEB83498886A3A086811232500050DEB4CD0BADD943B8C610D650D943A4" ma:contentTypeVersion="4" ma:contentTypeDescription="Create a new document in this library." ma:contentTypeScope="" ma:versionID="31a9f387ebae86c7bb94c99aaae93bab">
  <xsd:schema xmlns:xsd="http://www.w3.org/2001/XMLSchema" xmlns:xs="http://www.w3.org/2001/XMLSchema" xmlns:p="http://schemas.microsoft.com/office/2006/metadata/properties" xmlns:ns3="6343bd70-33bf-416e-baf7-97eb05a26235" targetNamespace="http://schemas.microsoft.com/office/2006/metadata/properties" ma:root="true" ma:fieldsID="b168ee75149c1cef808694f09ec0d44b" ns3:_="">
    <xsd:import namespace="6343bd70-33bf-416e-baf7-97eb05a26235"/>
    <xsd:element name="properties">
      <xsd:complexType>
        <xsd:sequence>
          <xsd:element name="documentManagement">
            <xsd:complexType>
              <xsd:all>
                <xsd:element ref="ns3:EC_Collab_Reference" minOccurs="0"/>
                <xsd:element ref="ns3:EC_Collab_DocumentLanguage"/>
                <xsd:element ref="ns3:EC_Collab_Status"/>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43bd70-33bf-416e-baf7-97eb05a2623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5"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6" nillable="true" ma:displayName="Transferred to Ares" ma:format="DateTime" ma:hidden="true" ma:internalName="EC_ARES_DATE_TRANSFERRED">
      <xsd:simpleType>
        <xsd:restriction base="dms:DateTime"/>
      </xsd:simpleType>
    </xsd:element>
    <xsd:element name="EC_ARES_TRANSFERRED_BY" ma:index="17"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77F7609-DFA9-41C7-A903-3D929807CFB0}">
  <ds:schemaRefs>
    <ds:schemaRef ds:uri="http://schemas.microsoft.com/sharepoint/v3/contenttype/forms"/>
  </ds:schemaRefs>
</ds:datastoreItem>
</file>

<file path=customXml/itemProps2.xml><?xml version="1.0" encoding="utf-8"?>
<ds:datastoreItem xmlns:ds="http://schemas.openxmlformats.org/officeDocument/2006/customXml" ds:itemID="{1EAE3049-12BE-4317-BFE7-E0323751E6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2B07DA-D089-4048-95D5-039B03AEC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d5eb3fd5-40ef-444f-9a8c-26a582d0e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39D63E-C76F-414B-840B-175CC11CBF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5B76E720-171C-4951-A2D0-AC3F835798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43bd70-33bf-416e-baf7-97eb05a26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EB5F74C-282D-4E93-BA6E-6F1E5F533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11610</Words>
  <Characters>66182</Characters>
  <Application>Microsoft Office Word</Application>
  <DocSecurity>0</DocSecurity>
  <Lines>987</Lines>
  <Paragraphs>240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29</cp:revision>
  <cp:lastPrinted>2022-03-17T10:07:00Z</cp:lastPrinted>
  <dcterms:created xsi:type="dcterms:W3CDTF">2022-06-29T15:13:00Z</dcterms:created>
  <dcterms:modified xsi:type="dcterms:W3CDTF">2022-07-14T06:56:00Z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Last edited using">
    <vt:lpwstr>LW 8.0, Build 20220128</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CP-008</vt:lpwstr>
  </property>
  <property fmtid="{D5CDD505-2E9C-101B-9397-08002B2CF9AE}" pid="8" name="_dlc_DocIdItemGuid">
    <vt:lpwstr>4d43496c-8bf9-4b2d-bd95-709b4540bf55</vt:lpwstr>
  </property>
  <property fmtid="{D5CDD505-2E9C-101B-9397-08002B2CF9AE}" pid="9" name="documentCaseTags">
    <vt:lpwstr/>
  </property>
  <property fmtid="{D5CDD505-2E9C-101B-9397-08002B2CF9AE}" pid="10" name="documentGeneralTags">
    <vt:lpwstr/>
  </property>
  <property fmtid="{D5CDD505-2E9C-101B-9397-08002B2CF9AE}" pid="11" name="_LW_INVALIDATED__LW_INVALIDATED_ContentTypeId">
    <vt:lpwstr>0x010100258AA79CEB83498886A3A086811232500049F1BD2D9621104F92E22D48AAFC4E8E</vt:lpwstr>
  </property>
  <property fmtid="{D5CDD505-2E9C-101B-9397-08002B2CF9AE}" pid="12" name="ContentTypeId">
    <vt:lpwstr>0x010100B17D3456F366F34CB93560FC281E5B66</vt:lpwstr>
  </property>
  <property fmtid="{D5CDD505-2E9C-101B-9397-08002B2CF9AE}" pid="13" name="g81d75b905714aa9976e6fd2aa9a7964">
    <vt:lpwstr/>
  </property>
  <property fmtid="{D5CDD505-2E9C-101B-9397-08002B2CF9AE}" pid="14" name="g828765e76cc4b0d95341acc4b364ed4">
    <vt:lpwstr/>
  </property>
  <property fmtid="{D5CDD505-2E9C-101B-9397-08002B2CF9AE}" pid="15" name="documentTitle">
    <vt:lpwstr/>
  </property>
  <property fmtid="{D5CDD505-2E9C-101B-9397-08002B2CF9AE}" pid="16" name="documentSummary">
    <vt:lpwstr/>
  </property>
  <property fmtid="{D5CDD505-2E9C-101B-9397-08002B2CF9AE}" pid="17" name="documentFollowUp">
    <vt:lpwstr/>
  </property>
  <property fmtid="{D5CDD505-2E9C-101B-9397-08002B2CF9AE}" pid="18" name="TaxCatchAll">
    <vt:lpwstr/>
  </property>
  <property fmtid="{D5CDD505-2E9C-101B-9397-08002B2CF9AE}" pid="19" name="_dlc_DocId">
    <vt:lpwstr>COMPCOLLAB-1187097569-13</vt:lpwstr>
  </property>
  <property fmtid="{D5CDD505-2E9C-101B-9397-08002B2CF9AE}" pid="20" name="_dlc_DocIdUrl">
    <vt:lpwstr>https://compcollab.ec.europa.eu/cases/HT.6200/_layouts/15/DocIdRedir.aspx?ID=COMPCOLLAB-1187097569-13, COMPCOLLAB-1187097569-13</vt:lpwstr>
  </property>
  <property fmtid="{D5CDD505-2E9C-101B-9397-08002B2CF9AE}" pid="21" name="_DocHome">
    <vt:i4>476002257</vt:i4>
  </property>
  <property fmtid="{D5CDD505-2E9C-101B-9397-08002B2CF9AE}" pid="22" name="MSIP_Label_6bd9ddd1-4d20-43f6-abfa-fc3c07406f94_Enabled">
    <vt:lpwstr>true</vt:lpwstr>
  </property>
  <property fmtid="{D5CDD505-2E9C-101B-9397-08002B2CF9AE}" pid="23" name="MSIP_Label_6bd9ddd1-4d20-43f6-abfa-fc3c07406f94_SetDate">
    <vt:lpwstr>2022-03-10T15:13:19Z</vt:lpwstr>
  </property>
  <property fmtid="{D5CDD505-2E9C-101B-9397-08002B2CF9AE}" pid="24" name="MSIP_Label_6bd9ddd1-4d20-43f6-abfa-fc3c07406f94_Method">
    <vt:lpwstr>Standard</vt:lpwstr>
  </property>
  <property fmtid="{D5CDD505-2E9C-101B-9397-08002B2CF9AE}" pid="25" name="MSIP_Label_6bd9ddd1-4d20-43f6-abfa-fc3c07406f94_Name">
    <vt:lpwstr>Commission Use</vt:lpwstr>
  </property>
  <property fmtid="{D5CDD505-2E9C-101B-9397-08002B2CF9AE}" pid="26" name="MSIP_Label_6bd9ddd1-4d20-43f6-abfa-fc3c07406f94_SiteId">
    <vt:lpwstr>b24c8b06-522c-46fe-9080-70926f8dddb1</vt:lpwstr>
  </property>
  <property fmtid="{D5CDD505-2E9C-101B-9397-08002B2CF9AE}" pid="27" name="MSIP_Label_6bd9ddd1-4d20-43f6-abfa-fc3c07406f94_ActionId">
    <vt:lpwstr>b205a2a2-eb0b-4c10-9262-10b71152fe1b</vt:lpwstr>
  </property>
  <property fmtid="{D5CDD505-2E9C-101B-9397-08002B2CF9AE}" pid="28" name="MSIP_Label_6bd9ddd1-4d20-43f6-abfa-fc3c07406f94_ContentBits">
    <vt:lpwstr>0</vt:lpwstr>
  </property>
</Properties>
</file>