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FEA28" w14:textId="011CAD0A" w:rsidR="000711F8" w:rsidRDefault="00BD3BFF" w:rsidP="00BD3BFF">
      <w:pPr>
        <w:pStyle w:val="Pagedecouverture"/>
        <w:rPr>
          <w:noProof/>
        </w:rPr>
      </w:pPr>
      <w:bookmarkStart w:id="0" w:name="LW_BM_COVERPAGE"/>
      <w:r>
        <w:rPr>
          <w:noProof/>
        </w:rPr>
        <w:pict w14:anchorId="7FEED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978BDFAF-05AA-4B15-81E9-B634970D17E7" style="width:455.25pt;height:310.5pt">
            <v:imagedata r:id="rId11" o:title=""/>
          </v:shape>
        </w:pict>
      </w:r>
    </w:p>
    <w:bookmarkEnd w:id="0"/>
    <w:p w14:paraId="690AAC2B" w14:textId="77777777" w:rsidR="000711F8" w:rsidRDefault="000711F8" w:rsidP="006C3E02">
      <w:pPr>
        <w:spacing w:after="120"/>
        <w:rPr>
          <w:noProof/>
        </w:rPr>
        <w:sectPr w:rsidR="000711F8" w:rsidSect="00BD3BF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rFonts w:ascii="Times New Roman" w:hAnsi="Times New Roman"/>
          <w:b w:val="0"/>
          <w:caps w:val="0"/>
          <w:noProof/>
        </w:rPr>
        <w:id w:val="883983601"/>
        <w:docPartObj>
          <w:docPartGallery w:val="Table of Contents"/>
          <w:docPartUnique/>
        </w:docPartObj>
      </w:sdtPr>
      <w:sdtEndPr>
        <w:rPr>
          <w:bCs/>
        </w:rPr>
      </w:sdtEndPr>
      <w:sdtContent>
        <w:p w14:paraId="14767935" w14:textId="03096444" w:rsidR="00B9345B" w:rsidRDefault="00B9345B" w:rsidP="00D35415">
          <w:pPr>
            <w:pStyle w:val="TOCHeading"/>
            <w:spacing w:before="0" w:after="120"/>
            <w:rPr>
              <w:noProof/>
            </w:rPr>
          </w:pPr>
          <w:r>
            <w:rPr>
              <w:noProof/>
            </w:rPr>
            <w:t>Contents</w:t>
          </w:r>
        </w:p>
        <w:p w14:paraId="073993BC" w14:textId="6ED0BFE9" w:rsidR="0015515A" w:rsidRDefault="00B9345B">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106701112" w:history="1">
            <w:r w:rsidR="0015515A" w:rsidRPr="0023343F">
              <w:rPr>
                <w:rStyle w:val="Hyperlink"/>
                <w:noProof/>
              </w:rPr>
              <w:t>1.</w:t>
            </w:r>
            <w:r w:rsidR="0015515A">
              <w:rPr>
                <w:rFonts w:asciiTheme="minorHAnsi" w:eastAsiaTheme="minorEastAsia" w:hAnsiTheme="minorHAnsi" w:cstheme="minorBidi"/>
                <w:noProof/>
                <w:sz w:val="22"/>
                <w:szCs w:val="22"/>
                <w:lang w:eastAsia="en-GB"/>
              </w:rPr>
              <w:tab/>
            </w:r>
            <w:r w:rsidR="0015515A" w:rsidRPr="0023343F">
              <w:rPr>
                <w:rStyle w:val="Hyperlink"/>
                <w:noProof/>
              </w:rPr>
              <w:t>Introduction</w:t>
            </w:r>
            <w:r w:rsidR="0015515A">
              <w:rPr>
                <w:noProof/>
                <w:webHidden/>
              </w:rPr>
              <w:tab/>
            </w:r>
            <w:r w:rsidR="0015515A">
              <w:rPr>
                <w:noProof/>
                <w:webHidden/>
              </w:rPr>
              <w:fldChar w:fldCharType="begin"/>
            </w:r>
            <w:r w:rsidR="0015515A">
              <w:rPr>
                <w:noProof/>
                <w:webHidden/>
              </w:rPr>
              <w:instrText xml:space="preserve"> PAGEREF _Toc106701112 \h </w:instrText>
            </w:r>
            <w:r w:rsidR="0015515A">
              <w:rPr>
                <w:noProof/>
                <w:webHidden/>
              </w:rPr>
            </w:r>
            <w:r w:rsidR="0015515A">
              <w:rPr>
                <w:noProof/>
                <w:webHidden/>
              </w:rPr>
              <w:fldChar w:fldCharType="separate"/>
            </w:r>
            <w:r w:rsidR="0015515A">
              <w:rPr>
                <w:noProof/>
                <w:webHidden/>
              </w:rPr>
              <w:t>2</w:t>
            </w:r>
            <w:r w:rsidR="0015515A">
              <w:rPr>
                <w:noProof/>
                <w:webHidden/>
              </w:rPr>
              <w:fldChar w:fldCharType="end"/>
            </w:r>
          </w:hyperlink>
        </w:p>
        <w:p w14:paraId="46E53637" w14:textId="402866F5" w:rsidR="0015515A" w:rsidRDefault="00BD3BFF">
          <w:pPr>
            <w:pStyle w:val="TOC1"/>
            <w:rPr>
              <w:rFonts w:asciiTheme="minorHAnsi" w:eastAsiaTheme="minorEastAsia" w:hAnsiTheme="minorHAnsi" w:cstheme="minorBidi"/>
              <w:noProof/>
              <w:sz w:val="22"/>
              <w:szCs w:val="22"/>
              <w:lang w:eastAsia="en-GB"/>
            </w:rPr>
          </w:pPr>
          <w:hyperlink w:anchor="_Toc106701113" w:history="1">
            <w:r w:rsidR="0015515A" w:rsidRPr="0023343F">
              <w:rPr>
                <w:rStyle w:val="Hyperlink"/>
                <w:noProof/>
              </w:rPr>
              <w:t>2.</w:t>
            </w:r>
            <w:r w:rsidR="0015515A">
              <w:rPr>
                <w:rFonts w:asciiTheme="minorHAnsi" w:eastAsiaTheme="minorEastAsia" w:hAnsiTheme="minorHAnsi" w:cstheme="minorBidi"/>
                <w:noProof/>
                <w:sz w:val="22"/>
                <w:szCs w:val="22"/>
                <w:lang w:eastAsia="en-GB"/>
              </w:rPr>
              <w:tab/>
            </w:r>
            <w:r w:rsidR="0015515A" w:rsidRPr="0023343F">
              <w:rPr>
                <w:rStyle w:val="Hyperlink"/>
                <w:noProof/>
              </w:rPr>
              <w:t>Activation of the Emergency Support Instrument</w:t>
            </w:r>
            <w:r w:rsidR="0015515A">
              <w:rPr>
                <w:noProof/>
                <w:webHidden/>
              </w:rPr>
              <w:tab/>
            </w:r>
            <w:r w:rsidR="0015515A">
              <w:rPr>
                <w:noProof/>
                <w:webHidden/>
              </w:rPr>
              <w:fldChar w:fldCharType="begin"/>
            </w:r>
            <w:r w:rsidR="0015515A">
              <w:rPr>
                <w:noProof/>
                <w:webHidden/>
              </w:rPr>
              <w:instrText xml:space="preserve"> PAGEREF _Toc106701113 \h </w:instrText>
            </w:r>
            <w:r w:rsidR="0015515A">
              <w:rPr>
                <w:noProof/>
                <w:webHidden/>
              </w:rPr>
            </w:r>
            <w:r w:rsidR="0015515A">
              <w:rPr>
                <w:noProof/>
                <w:webHidden/>
              </w:rPr>
              <w:fldChar w:fldCharType="separate"/>
            </w:r>
            <w:r w:rsidR="0015515A">
              <w:rPr>
                <w:noProof/>
                <w:webHidden/>
              </w:rPr>
              <w:t>2</w:t>
            </w:r>
            <w:r w:rsidR="0015515A">
              <w:rPr>
                <w:noProof/>
                <w:webHidden/>
              </w:rPr>
              <w:fldChar w:fldCharType="end"/>
            </w:r>
          </w:hyperlink>
        </w:p>
        <w:p w14:paraId="625DA82E" w14:textId="0A73771F" w:rsidR="0015515A" w:rsidRDefault="00BD3BFF">
          <w:pPr>
            <w:pStyle w:val="TOC2"/>
            <w:tabs>
              <w:tab w:val="left" w:pos="1077"/>
            </w:tabs>
            <w:rPr>
              <w:rFonts w:asciiTheme="minorHAnsi" w:eastAsiaTheme="minorEastAsia" w:hAnsiTheme="minorHAnsi" w:cstheme="minorBidi"/>
              <w:sz w:val="22"/>
              <w:szCs w:val="22"/>
              <w:lang w:eastAsia="en-GB"/>
            </w:rPr>
          </w:pPr>
          <w:hyperlink w:anchor="_Toc106701114" w:history="1">
            <w:r w:rsidR="0015515A" w:rsidRPr="0023343F">
              <w:rPr>
                <w:rStyle w:val="Hyperlink"/>
              </w:rPr>
              <w:t>2.1.</w:t>
            </w:r>
            <w:r w:rsidR="0015515A">
              <w:rPr>
                <w:rFonts w:asciiTheme="minorHAnsi" w:eastAsiaTheme="minorEastAsia" w:hAnsiTheme="minorHAnsi" w:cstheme="minorBidi"/>
                <w:sz w:val="22"/>
                <w:szCs w:val="22"/>
                <w:lang w:eastAsia="en-GB"/>
              </w:rPr>
              <w:tab/>
            </w:r>
            <w:r w:rsidR="0015515A" w:rsidRPr="0023343F">
              <w:rPr>
                <w:rStyle w:val="Hyperlink"/>
              </w:rPr>
              <w:t>An instrument made to respond to an ever-changing crisis</w:t>
            </w:r>
            <w:r w:rsidR="0015515A">
              <w:rPr>
                <w:webHidden/>
              </w:rPr>
              <w:tab/>
            </w:r>
            <w:r w:rsidR="0015515A">
              <w:rPr>
                <w:webHidden/>
              </w:rPr>
              <w:fldChar w:fldCharType="begin"/>
            </w:r>
            <w:r w:rsidR="0015515A">
              <w:rPr>
                <w:webHidden/>
              </w:rPr>
              <w:instrText xml:space="preserve"> PAGEREF _Toc106701114 \h </w:instrText>
            </w:r>
            <w:r w:rsidR="0015515A">
              <w:rPr>
                <w:webHidden/>
              </w:rPr>
            </w:r>
            <w:r w:rsidR="0015515A">
              <w:rPr>
                <w:webHidden/>
              </w:rPr>
              <w:fldChar w:fldCharType="separate"/>
            </w:r>
            <w:r w:rsidR="0015515A">
              <w:rPr>
                <w:webHidden/>
              </w:rPr>
              <w:t>3</w:t>
            </w:r>
            <w:r w:rsidR="0015515A">
              <w:rPr>
                <w:webHidden/>
              </w:rPr>
              <w:fldChar w:fldCharType="end"/>
            </w:r>
          </w:hyperlink>
        </w:p>
        <w:p w14:paraId="3E09E280" w14:textId="7FA1028B" w:rsidR="0015515A" w:rsidRDefault="00BD3BFF">
          <w:pPr>
            <w:pStyle w:val="TOC2"/>
            <w:tabs>
              <w:tab w:val="left" w:pos="1077"/>
            </w:tabs>
            <w:rPr>
              <w:rFonts w:asciiTheme="minorHAnsi" w:eastAsiaTheme="minorEastAsia" w:hAnsiTheme="minorHAnsi" w:cstheme="minorBidi"/>
              <w:sz w:val="22"/>
              <w:szCs w:val="22"/>
              <w:lang w:eastAsia="en-GB"/>
            </w:rPr>
          </w:pPr>
          <w:hyperlink w:anchor="_Toc106701115" w:history="1">
            <w:r w:rsidR="0015515A" w:rsidRPr="0023343F">
              <w:rPr>
                <w:rStyle w:val="Hyperlink"/>
              </w:rPr>
              <w:t>2.2.</w:t>
            </w:r>
            <w:r w:rsidR="0015515A">
              <w:rPr>
                <w:rFonts w:asciiTheme="minorHAnsi" w:eastAsiaTheme="minorEastAsia" w:hAnsiTheme="minorHAnsi" w:cstheme="minorBidi"/>
                <w:sz w:val="22"/>
                <w:szCs w:val="22"/>
                <w:lang w:eastAsia="en-GB"/>
              </w:rPr>
              <w:tab/>
            </w:r>
            <w:r w:rsidR="0015515A" w:rsidRPr="0023343F">
              <w:rPr>
                <w:rStyle w:val="Hyperlink"/>
              </w:rPr>
              <w:t>Governance and decision-making</w:t>
            </w:r>
            <w:r w:rsidR="0015515A">
              <w:rPr>
                <w:webHidden/>
              </w:rPr>
              <w:tab/>
            </w:r>
            <w:r w:rsidR="0015515A">
              <w:rPr>
                <w:webHidden/>
              </w:rPr>
              <w:fldChar w:fldCharType="begin"/>
            </w:r>
            <w:r w:rsidR="0015515A">
              <w:rPr>
                <w:webHidden/>
              </w:rPr>
              <w:instrText xml:space="preserve"> PAGEREF _Toc106701115 \h </w:instrText>
            </w:r>
            <w:r w:rsidR="0015515A">
              <w:rPr>
                <w:webHidden/>
              </w:rPr>
            </w:r>
            <w:r w:rsidR="0015515A">
              <w:rPr>
                <w:webHidden/>
              </w:rPr>
              <w:fldChar w:fldCharType="separate"/>
            </w:r>
            <w:r w:rsidR="0015515A">
              <w:rPr>
                <w:webHidden/>
              </w:rPr>
              <w:t>3</w:t>
            </w:r>
            <w:r w:rsidR="0015515A">
              <w:rPr>
                <w:webHidden/>
              </w:rPr>
              <w:fldChar w:fldCharType="end"/>
            </w:r>
          </w:hyperlink>
        </w:p>
        <w:p w14:paraId="1C4310A9" w14:textId="60AAEF70" w:rsidR="0015515A" w:rsidRPr="0015515A" w:rsidRDefault="00BD3BFF">
          <w:pPr>
            <w:pStyle w:val="TOC2"/>
            <w:tabs>
              <w:tab w:val="left" w:pos="1077"/>
            </w:tabs>
            <w:rPr>
              <w:rFonts w:asciiTheme="minorHAnsi" w:eastAsiaTheme="minorEastAsia" w:hAnsiTheme="minorHAnsi" w:cstheme="minorBidi"/>
              <w:sz w:val="22"/>
              <w:szCs w:val="22"/>
              <w:lang w:eastAsia="en-GB"/>
            </w:rPr>
          </w:pPr>
          <w:hyperlink w:anchor="_Toc106701116" w:history="1">
            <w:r w:rsidR="0015515A" w:rsidRPr="0015515A">
              <w:rPr>
                <w:rStyle w:val="Hyperlink"/>
              </w:rPr>
              <w:t>2.3.</w:t>
            </w:r>
            <w:r w:rsidR="0015515A" w:rsidRPr="0015515A">
              <w:rPr>
                <w:rFonts w:asciiTheme="minorHAnsi" w:eastAsiaTheme="minorEastAsia" w:hAnsiTheme="minorHAnsi" w:cstheme="minorBidi"/>
                <w:sz w:val="22"/>
                <w:szCs w:val="22"/>
                <w:lang w:eastAsia="en-GB"/>
              </w:rPr>
              <w:tab/>
            </w:r>
            <w:r w:rsidR="0015515A" w:rsidRPr="0015515A">
              <w:rPr>
                <w:rStyle w:val="Hyperlink"/>
              </w:rPr>
              <w:t>Budget and implementation</w:t>
            </w:r>
            <w:r w:rsidR="0015515A" w:rsidRPr="0015515A">
              <w:rPr>
                <w:webHidden/>
              </w:rPr>
              <w:tab/>
            </w:r>
            <w:r w:rsidR="0015515A" w:rsidRPr="0015515A">
              <w:rPr>
                <w:webHidden/>
              </w:rPr>
              <w:fldChar w:fldCharType="begin"/>
            </w:r>
            <w:r w:rsidR="0015515A" w:rsidRPr="0015515A">
              <w:rPr>
                <w:webHidden/>
              </w:rPr>
              <w:instrText xml:space="preserve"> PAGEREF _Toc106701116 \h </w:instrText>
            </w:r>
            <w:r w:rsidR="0015515A" w:rsidRPr="0015515A">
              <w:rPr>
                <w:webHidden/>
              </w:rPr>
            </w:r>
            <w:r w:rsidR="0015515A" w:rsidRPr="0015515A">
              <w:rPr>
                <w:webHidden/>
              </w:rPr>
              <w:fldChar w:fldCharType="separate"/>
            </w:r>
            <w:r w:rsidR="0015515A" w:rsidRPr="0015515A">
              <w:rPr>
                <w:webHidden/>
              </w:rPr>
              <w:t>4</w:t>
            </w:r>
            <w:r w:rsidR="0015515A" w:rsidRPr="0015515A">
              <w:rPr>
                <w:webHidden/>
              </w:rPr>
              <w:fldChar w:fldCharType="end"/>
            </w:r>
          </w:hyperlink>
        </w:p>
        <w:p w14:paraId="53E2D3CC" w14:textId="1EF78374" w:rsidR="0015515A" w:rsidRPr="0015515A" w:rsidRDefault="00BD3BFF">
          <w:pPr>
            <w:pStyle w:val="TOC2"/>
            <w:tabs>
              <w:tab w:val="left" w:pos="1077"/>
            </w:tabs>
            <w:rPr>
              <w:rFonts w:asciiTheme="minorHAnsi" w:eastAsiaTheme="minorEastAsia" w:hAnsiTheme="minorHAnsi" w:cstheme="minorBidi"/>
              <w:sz w:val="22"/>
              <w:szCs w:val="22"/>
              <w:lang w:eastAsia="en-GB"/>
            </w:rPr>
          </w:pPr>
          <w:hyperlink w:anchor="_Toc106701117" w:history="1">
            <w:r w:rsidR="0015515A" w:rsidRPr="0015515A">
              <w:rPr>
                <w:rStyle w:val="Hyperlink"/>
                <w:bCs/>
              </w:rPr>
              <w:t>2.4.</w:t>
            </w:r>
            <w:r w:rsidR="0015515A" w:rsidRPr="0015515A">
              <w:rPr>
                <w:rFonts w:asciiTheme="minorHAnsi" w:eastAsiaTheme="minorEastAsia" w:hAnsiTheme="minorHAnsi" w:cstheme="minorBidi"/>
                <w:sz w:val="22"/>
                <w:szCs w:val="22"/>
                <w:lang w:eastAsia="en-GB"/>
              </w:rPr>
              <w:tab/>
            </w:r>
            <w:r w:rsidR="0015515A" w:rsidRPr="0015515A">
              <w:rPr>
                <w:rStyle w:val="Hyperlink"/>
                <w:bCs/>
              </w:rPr>
              <w:t xml:space="preserve"> Communication and coordination</w:t>
            </w:r>
            <w:r w:rsidR="0015515A" w:rsidRPr="0015515A">
              <w:rPr>
                <w:webHidden/>
              </w:rPr>
              <w:tab/>
            </w:r>
            <w:r w:rsidR="0015515A" w:rsidRPr="0015515A">
              <w:rPr>
                <w:webHidden/>
              </w:rPr>
              <w:fldChar w:fldCharType="begin"/>
            </w:r>
            <w:r w:rsidR="0015515A" w:rsidRPr="0015515A">
              <w:rPr>
                <w:webHidden/>
              </w:rPr>
              <w:instrText xml:space="preserve"> PAGEREF _Toc106701117 \h </w:instrText>
            </w:r>
            <w:r w:rsidR="0015515A" w:rsidRPr="0015515A">
              <w:rPr>
                <w:webHidden/>
              </w:rPr>
            </w:r>
            <w:r w:rsidR="0015515A" w:rsidRPr="0015515A">
              <w:rPr>
                <w:webHidden/>
              </w:rPr>
              <w:fldChar w:fldCharType="separate"/>
            </w:r>
            <w:r w:rsidR="0015515A" w:rsidRPr="0015515A">
              <w:rPr>
                <w:webHidden/>
              </w:rPr>
              <w:t>7</w:t>
            </w:r>
            <w:r w:rsidR="0015515A" w:rsidRPr="0015515A">
              <w:rPr>
                <w:webHidden/>
              </w:rPr>
              <w:fldChar w:fldCharType="end"/>
            </w:r>
          </w:hyperlink>
        </w:p>
        <w:p w14:paraId="3FE41FFC" w14:textId="152D0F00" w:rsidR="0015515A" w:rsidRPr="0015515A" w:rsidRDefault="00BD3BFF">
          <w:pPr>
            <w:pStyle w:val="TOC1"/>
            <w:rPr>
              <w:rFonts w:asciiTheme="minorHAnsi" w:eastAsiaTheme="minorEastAsia" w:hAnsiTheme="minorHAnsi" w:cstheme="minorBidi"/>
              <w:noProof/>
              <w:sz w:val="22"/>
              <w:szCs w:val="22"/>
              <w:lang w:eastAsia="en-GB"/>
            </w:rPr>
          </w:pPr>
          <w:hyperlink w:anchor="_Toc106701118" w:history="1">
            <w:r w:rsidR="0015515A" w:rsidRPr="0015515A">
              <w:rPr>
                <w:rStyle w:val="Hyperlink"/>
                <w:noProof/>
              </w:rPr>
              <w:t>3.</w:t>
            </w:r>
            <w:r w:rsidR="0015515A" w:rsidRPr="0015515A">
              <w:rPr>
                <w:rFonts w:asciiTheme="minorHAnsi" w:eastAsiaTheme="minorEastAsia" w:hAnsiTheme="minorHAnsi" w:cstheme="minorBidi"/>
                <w:noProof/>
                <w:sz w:val="22"/>
                <w:szCs w:val="22"/>
                <w:lang w:eastAsia="en-GB"/>
              </w:rPr>
              <w:tab/>
            </w:r>
            <w:r w:rsidR="0015515A" w:rsidRPr="0015515A">
              <w:rPr>
                <w:rStyle w:val="Hyperlink"/>
                <w:noProof/>
              </w:rPr>
              <w:t>Outputs and results</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_Toc106701118 \h </w:instrText>
            </w:r>
            <w:r w:rsidR="0015515A" w:rsidRPr="0015515A">
              <w:rPr>
                <w:noProof/>
                <w:webHidden/>
              </w:rPr>
            </w:r>
            <w:r w:rsidR="0015515A" w:rsidRPr="0015515A">
              <w:rPr>
                <w:noProof/>
                <w:webHidden/>
              </w:rPr>
              <w:fldChar w:fldCharType="separate"/>
            </w:r>
            <w:r w:rsidR="0015515A" w:rsidRPr="0015515A">
              <w:rPr>
                <w:noProof/>
                <w:webHidden/>
              </w:rPr>
              <w:t>7</w:t>
            </w:r>
            <w:r w:rsidR="0015515A" w:rsidRPr="0015515A">
              <w:rPr>
                <w:noProof/>
                <w:webHidden/>
              </w:rPr>
              <w:fldChar w:fldCharType="end"/>
            </w:r>
          </w:hyperlink>
        </w:p>
        <w:p w14:paraId="2DABEF73" w14:textId="539BF2E5" w:rsidR="0015515A" w:rsidRPr="0015515A" w:rsidRDefault="00BD3BFF">
          <w:pPr>
            <w:pStyle w:val="TOC2"/>
            <w:tabs>
              <w:tab w:val="left" w:pos="1077"/>
            </w:tabs>
            <w:rPr>
              <w:rFonts w:asciiTheme="minorHAnsi" w:eastAsiaTheme="minorEastAsia" w:hAnsiTheme="minorHAnsi" w:cstheme="minorBidi"/>
              <w:sz w:val="22"/>
              <w:szCs w:val="22"/>
              <w:lang w:eastAsia="en-GB"/>
            </w:rPr>
          </w:pPr>
          <w:hyperlink w:anchor="_Toc106701119" w:history="1">
            <w:r w:rsidR="0015515A" w:rsidRPr="0015515A">
              <w:rPr>
                <w:rStyle w:val="Hyperlink"/>
                <w:bCs/>
              </w:rPr>
              <w:t>3.1.</w:t>
            </w:r>
            <w:r w:rsidR="0015515A" w:rsidRPr="0015515A">
              <w:rPr>
                <w:rFonts w:asciiTheme="minorHAnsi" w:eastAsiaTheme="minorEastAsia" w:hAnsiTheme="minorHAnsi" w:cstheme="minorBidi"/>
                <w:sz w:val="22"/>
                <w:szCs w:val="22"/>
                <w:lang w:eastAsia="en-GB"/>
              </w:rPr>
              <w:tab/>
            </w:r>
            <w:r w:rsidR="0015515A" w:rsidRPr="0015515A">
              <w:rPr>
                <w:rStyle w:val="Hyperlink"/>
                <w:bCs/>
              </w:rPr>
              <w:t>Actions financed under the ESI</w:t>
            </w:r>
            <w:r w:rsidR="0015515A" w:rsidRPr="0015515A">
              <w:rPr>
                <w:webHidden/>
              </w:rPr>
              <w:tab/>
            </w:r>
            <w:r w:rsidR="0015515A" w:rsidRPr="0015515A">
              <w:rPr>
                <w:webHidden/>
              </w:rPr>
              <w:fldChar w:fldCharType="begin"/>
            </w:r>
            <w:r w:rsidR="0015515A" w:rsidRPr="0015515A">
              <w:rPr>
                <w:webHidden/>
              </w:rPr>
              <w:instrText xml:space="preserve"> PAGEREF _Toc106701119 \h </w:instrText>
            </w:r>
            <w:r w:rsidR="0015515A" w:rsidRPr="0015515A">
              <w:rPr>
                <w:webHidden/>
              </w:rPr>
            </w:r>
            <w:r w:rsidR="0015515A" w:rsidRPr="0015515A">
              <w:rPr>
                <w:webHidden/>
              </w:rPr>
              <w:fldChar w:fldCharType="separate"/>
            </w:r>
            <w:r w:rsidR="0015515A" w:rsidRPr="0015515A">
              <w:rPr>
                <w:webHidden/>
              </w:rPr>
              <w:t>7</w:t>
            </w:r>
            <w:r w:rsidR="0015515A" w:rsidRPr="0015515A">
              <w:rPr>
                <w:webHidden/>
              </w:rPr>
              <w:fldChar w:fldCharType="end"/>
            </w:r>
          </w:hyperlink>
        </w:p>
        <w:p w14:paraId="380DCDA5" w14:textId="5D2F4D18" w:rsidR="0015515A" w:rsidRPr="0015515A" w:rsidRDefault="00BD3BFF">
          <w:pPr>
            <w:pStyle w:val="TOC3"/>
            <w:rPr>
              <w:rFonts w:asciiTheme="minorHAnsi" w:eastAsiaTheme="minorEastAsia" w:hAnsiTheme="minorHAnsi" w:cstheme="minorBidi"/>
              <w:noProof/>
              <w:sz w:val="22"/>
              <w:szCs w:val="22"/>
              <w:lang w:eastAsia="en-GB"/>
            </w:rPr>
          </w:pPr>
          <w:hyperlink w:anchor="_Toc106701120" w:history="1">
            <w:r w:rsidR="0015515A" w:rsidRPr="0015515A">
              <w:rPr>
                <w:rStyle w:val="Hyperlink"/>
                <w:noProof/>
              </w:rPr>
              <w:t>3.1.1. Mobility Package</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_Toc106701120 \h </w:instrText>
            </w:r>
            <w:r w:rsidR="0015515A" w:rsidRPr="0015515A">
              <w:rPr>
                <w:noProof/>
                <w:webHidden/>
              </w:rPr>
            </w:r>
            <w:r w:rsidR="0015515A" w:rsidRPr="0015515A">
              <w:rPr>
                <w:noProof/>
                <w:webHidden/>
              </w:rPr>
              <w:fldChar w:fldCharType="separate"/>
            </w:r>
            <w:r w:rsidR="0015515A" w:rsidRPr="0015515A">
              <w:rPr>
                <w:noProof/>
                <w:webHidden/>
              </w:rPr>
              <w:t>7</w:t>
            </w:r>
            <w:r w:rsidR="0015515A" w:rsidRPr="0015515A">
              <w:rPr>
                <w:noProof/>
                <w:webHidden/>
              </w:rPr>
              <w:fldChar w:fldCharType="end"/>
            </w:r>
          </w:hyperlink>
        </w:p>
        <w:p w14:paraId="0496F5A2" w14:textId="2BAF605E" w:rsidR="0015515A" w:rsidRPr="0015515A" w:rsidRDefault="00BD3BFF">
          <w:pPr>
            <w:pStyle w:val="TOC3"/>
            <w:rPr>
              <w:rFonts w:asciiTheme="minorHAnsi" w:eastAsiaTheme="minorEastAsia" w:hAnsiTheme="minorHAnsi" w:cstheme="minorBidi"/>
              <w:noProof/>
              <w:sz w:val="22"/>
              <w:szCs w:val="22"/>
              <w:lang w:eastAsia="en-GB"/>
            </w:rPr>
          </w:pPr>
          <w:hyperlink w:anchor="_Toc106701121" w:history="1">
            <w:r w:rsidR="0015515A" w:rsidRPr="0015515A">
              <w:rPr>
                <w:rStyle w:val="Hyperlink"/>
                <w:noProof/>
                <w:lang w:val="en"/>
              </w:rPr>
              <w:t>3.1.2. Facility for essential health-related products</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_Toc106701121 \h </w:instrText>
            </w:r>
            <w:r w:rsidR="0015515A" w:rsidRPr="0015515A">
              <w:rPr>
                <w:noProof/>
                <w:webHidden/>
              </w:rPr>
            </w:r>
            <w:r w:rsidR="0015515A" w:rsidRPr="0015515A">
              <w:rPr>
                <w:noProof/>
                <w:webHidden/>
              </w:rPr>
              <w:fldChar w:fldCharType="separate"/>
            </w:r>
            <w:r w:rsidR="0015515A" w:rsidRPr="0015515A">
              <w:rPr>
                <w:noProof/>
                <w:webHidden/>
              </w:rPr>
              <w:t>8</w:t>
            </w:r>
            <w:r w:rsidR="0015515A" w:rsidRPr="0015515A">
              <w:rPr>
                <w:noProof/>
                <w:webHidden/>
              </w:rPr>
              <w:fldChar w:fldCharType="end"/>
            </w:r>
          </w:hyperlink>
        </w:p>
        <w:p w14:paraId="2E59EE4B" w14:textId="2776624E" w:rsidR="0015515A" w:rsidRPr="0015515A" w:rsidRDefault="00BD3BFF">
          <w:pPr>
            <w:pStyle w:val="TOC3"/>
            <w:rPr>
              <w:rFonts w:asciiTheme="minorHAnsi" w:eastAsiaTheme="minorEastAsia" w:hAnsiTheme="minorHAnsi" w:cstheme="minorBidi"/>
              <w:noProof/>
              <w:sz w:val="22"/>
              <w:szCs w:val="22"/>
              <w:lang w:eastAsia="en-GB"/>
            </w:rPr>
          </w:pPr>
          <w:hyperlink w:anchor="_Toc106701122" w:history="1">
            <w:r w:rsidR="0015515A" w:rsidRPr="0015515A">
              <w:rPr>
                <w:rStyle w:val="Hyperlink"/>
                <w:noProof/>
                <w:lang w:val="en"/>
              </w:rPr>
              <w:t>3.1.3. Treatment of COVID-19 patients with convalescent plasma</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_Toc106701122 \h </w:instrText>
            </w:r>
            <w:r w:rsidR="0015515A" w:rsidRPr="0015515A">
              <w:rPr>
                <w:noProof/>
                <w:webHidden/>
              </w:rPr>
            </w:r>
            <w:r w:rsidR="0015515A" w:rsidRPr="0015515A">
              <w:rPr>
                <w:noProof/>
                <w:webHidden/>
              </w:rPr>
              <w:fldChar w:fldCharType="separate"/>
            </w:r>
            <w:r w:rsidR="0015515A" w:rsidRPr="0015515A">
              <w:rPr>
                <w:noProof/>
                <w:webHidden/>
              </w:rPr>
              <w:t>9</w:t>
            </w:r>
            <w:r w:rsidR="0015515A" w:rsidRPr="0015515A">
              <w:rPr>
                <w:noProof/>
                <w:webHidden/>
              </w:rPr>
              <w:fldChar w:fldCharType="end"/>
            </w:r>
          </w:hyperlink>
        </w:p>
        <w:p w14:paraId="4B176DB1" w14:textId="3F8EC3D8" w:rsidR="0015515A" w:rsidRPr="0015515A" w:rsidRDefault="00BD3BFF">
          <w:pPr>
            <w:pStyle w:val="TOC3"/>
            <w:rPr>
              <w:rFonts w:asciiTheme="minorHAnsi" w:eastAsiaTheme="minorEastAsia" w:hAnsiTheme="minorHAnsi" w:cstheme="minorBidi"/>
              <w:noProof/>
              <w:sz w:val="22"/>
              <w:szCs w:val="22"/>
              <w:lang w:eastAsia="en-GB"/>
            </w:rPr>
          </w:pPr>
          <w:hyperlink w:anchor="_Toc106701123" w:history="1">
            <w:r w:rsidR="0015515A" w:rsidRPr="0015515A">
              <w:rPr>
                <w:rStyle w:val="Hyperlink"/>
                <w:noProof/>
                <w:lang w:val="en"/>
              </w:rPr>
              <w:t>3.1.4. Clinical testing of repurposed medicines to treat SARS-COV-2 patients</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_Toc106701123 \h </w:instrText>
            </w:r>
            <w:r w:rsidR="0015515A" w:rsidRPr="0015515A">
              <w:rPr>
                <w:noProof/>
                <w:webHidden/>
              </w:rPr>
            </w:r>
            <w:r w:rsidR="0015515A" w:rsidRPr="0015515A">
              <w:rPr>
                <w:noProof/>
                <w:webHidden/>
              </w:rPr>
              <w:fldChar w:fldCharType="separate"/>
            </w:r>
            <w:r w:rsidR="0015515A" w:rsidRPr="0015515A">
              <w:rPr>
                <w:noProof/>
                <w:webHidden/>
              </w:rPr>
              <w:t>9</w:t>
            </w:r>
            <w:r w:rsidR="0015515A" w:rsidRPr="0015515A">
              <w:rPr>
                <w:noProof/>
                <w:webHidden/>
              </w:rPr>
              <w:fldChar w:fldCharType="end"/>
            </w:r>
          </w:hyperlink>
        </w:p>
        <w:p w14:paraId="5CD7ECDA" w14:textId="04D9208E" w:rsidR="0015515A" w:rsidRPr="0015515A" w:rsidRDefault="00BD3BFF">
          <w:pPr>
            <w:pStyle w:val="TOC3"/>
            <w:rPr>
              <w:rFonts w:asciiTheme="minorHAnsi" w:eastAsiaTheme="minorEastAsia" w:hAnsiTheme="minorHAnsi" w:cstheme="minorBidi"/>
              <w:noProof/>
              <w:sz w:val="22"/>
              <w:szCs w:val="22"/>
              <w:lang w:eastAsia="en-GB"/>
            </w:rPr>
          </w:pPr>
          <w:hyperlink w:anchor="_Toc106701124" w:history="1">
            <w:r w:rsidR="0015515A" w:rsidRPr="0015515A">
              <w:rPr>
                <w:rStyle w:val="Hyperlink"/>
                <w:noProof/>
                <w:lang w:val="en"/>
              </w:rPr>
              <w:t>3.1.6. Support in reception facilities in Greece</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_Toc106701124 \h </w:instrText>
            </w:r>
            <w:r w:rsidR="0015515A" w:rsidRPr="0015515A">
              <w:rPr>
                <w:noProof/>
                <w:webHidden/>
              </w:rPr>
            </w:r>
            <w:r w:rsidR="0015515A" w:rsidRPr="0015515A">
              <w:rPr>
                <w:noProof/>
                <w:webHidden/>
              </w:rPr>
              <w:fldChar w:fldCharType="separate"/>
            </w:r>
            <w:r w:rsidR="0015515A" w:rsidRPr="0015515A">
              <w:rPr>
                <w:noProof/>
                <w:webHidden/>
              </w:rPr>
              <w:t>10</w:t>
            </w:r>
            <w:r w:rsidR="0015515A" w:rsidRPr="0015515A">
              <w:rPr>
                <w:noProof/>
                <w:webHidden/>
              </w:rPr>
              <w:fldChar w:fldCharType="end"/>
            </w:r>
          </w:hyperlink>
        </w:p>
        <w:p w14:paraId="62A640F5" w14:textId="2FEDD8BD" w:rsidR="0015515A" w:rsidRPr="0015515A" w:rsidRDefault="00BD3BFF">
          <w:pPr>
            <w:pStyle w:val="TOC3"/>
            <w:rPr>
              <w:rFonts w:asciiTheme="minorHAnsi" w:eastAsiaTheme="minorEastAsia" w:hAnsiTheme="minorHAnsi" w:cstheme="minorBidi"/>
              <w:noProof/>
              <w:sz w:val="22"/>
              <w:szCs w:val="22"/>
              <w:lang w:eastAsia="en-GB"/>
            </w:rPr>
          </w:pPr>
          <w:hyperlink w:anchor="_Toc106701125" w:history="1">
            <w:r w:rsidR="0015515A" w:rsidRPr="0015515A">
              <w:rPr>
                <w:rStyle w:val="Hyperlink"/>
                <w:noProof/>
                <w:lang w:val="en"/>
              </w:rPr>
              <w:t>3.1.7. Break-through systems to effectively cope with the spread of the virus</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_Toc106701125 \h </w:instrText>
            </w:r>
            <w:r w:rsidR="0015515A" w:rsidRPr="0015515A">
              <w:rPr>
                <w:noProof/>
                <w:webHidden/>
              </w:rPr>
            </w:r>
            <w:r w:rsidR="0015515A" w:rsidRPr="0015515A">
              <w:rPr>
                <w:noProof/>
                <w:webHidden/>
              </w:rPr>
              <w:fldChar w:fldCharType="separate"/>
            </w:r>
            <w:r w:rsidR="0015515A" w:rsidRPr="0015515A">
              <w:rPr>
                <w:noProof/>
                <w:webHidden/>
              </w:rPr>
              <w:t>10</w:t>
            </w:r>
            <w:r w:rsidR="0015515A" w:rsidRPr="0015515A">
              <w:rPr>
                <w:noProof/>
                <w:webHidden/>
              </w:rPr>
              <w:fldChar w:fldCharType="end"/>
            </w:r>
          </w:hyperlink>
        </w:p>
        <w:p w14:paraId="1F16E813" w14:textId="64C2B8D2" w:rsidR="0015515A" w:rsidRPr="0015515A" w:rsidRDefault="00BD3BFF">
          <w:pPr>
            <w:pStyle w:val="TOC3"/>
            <w:rPr>
              <w:rFonts w:asciiTheme="minorHAnsi" w:eastAsiaTheme="minorEastAsia" w:hAnsiTheme="minorHAnsi" w:cstheme="minorBidi"/>
              <w:noProof/>
              <w:sz w:val="22"/>
              <w:szCs w:val="22"/>
              <w:lang w:eastAsia="en-GB"/>
            </w:rPr>
          </w:pPr>
          <w:hyperlink w:anchor="_Toc106701126" w:history="1">
            <w:r w:rsidR="0015515A" w:rsidRPr="0015515A">
              <w:rPr>
                <w:rStyle w:val="Hyperlink"/>
                <w:noProof/>
                <w:lang w:val="en"/>
              </w:rPr>
              <w:t>3.1.8. The benchmark of the EU response to the pandemic: the EU DCC</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_Toc106701126 \h </w:instrText>
            </w:r>
            <w:r w:rsidR="0015515A" w:rsidRPr="0015515A">
              <w:rPr>
                <w:noProof/>
                <w:webHidden/>
              </w:rPr>
            </w:r>
            <w:r w:rsidR="0015515A" w:rsidRPr="0015515A">
              <w:rPr>
                <w:noProof/>
                <w:webHidden/>
              </w:rPr>
              <w:fldChar w:fldCharType="separate"/>
            </w:r>
            <w:r w:rsidR="0015515A" w:rsidRPr="0015515A">
              <w:rPr>
                <w:noProof/>
                <w:webHidden/>
              </w:rPr>
              <w:t>10</w:t>
            </w:r>
            <w:r w:rsidR="0015515A" w:rsidRPr="0015515A">
              <w:rPr>
                <w:noProof/>
                <w:webHidden/>
              </w:rPr>
              <w:fldChar w:fldCharType="end"/>
            </w:r>
          </w:hyperlink>
        </w:p>
        <w:p w14:paraId="4CD1D80D" w14:textId="764574C7" w:rsidR="0015515A" w:rsidRPr="0015515A" w:rsidRDefault="00BD3BFF">
          <w:pPr>
            <w:pStyle w:val="TOC3"/>
            <w:rPr>
              <w:rFonts w:asciiTheme="minorHAnsi" w:eastAsiaTheme="minorEastAsia" w:hAnsiTheme="minorHAnsi" w:cstheme="minorBidi"/>
              <w:noProof/>
              <w:sz w:val="22"/>
              <w:szCs w:val="22"/>
              <w:lang w:eastAsia="en-GB"/>
            </w:rPr>
          </w:pPr>
          <w:hyperlink w:anchor="_Toc106701127" w:history="1">
            <w:r w:rsidR="0015515A" w:rsidRPr="0015515A">
              <w:rPr>
                <w:rStyle w:val="Hyperlink"/>
                <w:noProof/>
                <w:lang w:val="en"/>
              </w:rPr>
              <w:t>3.1.9. Common digital passenger locator form exchange platform</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_Toc106701127 \h </w:instrText>
            </w:r>
            <w:r w:rsidR="0015515A" w:rsidRPr="0015515A">
              <w:rPr>
                <w:noProof/>
                <w:webHidden/>
              </w:rPr>
            </w:r>
            <w:r w:rsidR="0015515A" w:rsidRPr="0015515A">
              <w:rPr>
                <w:noProof/>
                <w:webHidden/>
              </w:rPr>
              <w:fldChar w:fldCharType="separate"/>
            </w:r>
            <w:r w:rsidR="0015515A" w:rsidRPr="0015515A">
              <w:rPr>
                <w:noProof/>
                <w:webHidden/>
              </w:rPr>
              <w:t>11</w:t>
            </w:r>
            <w:r w:rsidR="0015515A" w:rsidRPr="0015515A">
              <w:rPr>
                <w:noProof/>
                <w:webHidden/>
              </w:rPr>
              <w:fldChar w:fldCharType="end"/>
            </w:r>
          </w:hyperlink>
        </w:p>
        <w:p w14:paraId="295A3893" w14:textId="13531730" w:rsidR="0015515A" w:rsidRPr="0015515A" w:rsidRDefault="00BD3BFF">
          <w:pPr>
            <w:pStyle w:val="TOC2"/>
            <w:tabs>
              <w:tab w:val="left" w:pos="1077"/>
            </w:tabs>
            <w:rPr>
              <w:rFonts w:asciiTheme="minorHAnsi" w:eastAsiaTheme="minorEastAsia" w:hAnsiTheme="minorHAnsi" w:cstheme="minorBidi"/>
              <w:sz w:val="22"/>
              <w:szCs w:val="22"/>
              <w:lang w:eastAsia="en-GB"/>
            </w:rPr>
          </w:pPr>
          <w:hyperlink w:anchor="_Toc106701128" w:history="1">
            <w:r w:rsidR="0015515A" w:rsidRPr="0015515A">
              <w:rPr>
                <w:rStyle w:val="Hyperlink"/>
                <w:bCs/>
              </w:rPr>
              <w:t>3.2.</w:t>
            </w:r>
            <w:r w:rsidR="0015515A" w:rsidRPr="0015515A">
              <w:rPr>
                <w:rFonts w:asciiTheme="minorHAnsi" w:eastAsiaTheme="minorEastAsia" w:hAnsiTheme="minorHAnsi" w:cstheme="minorBidi"/>
                <w:sz w:val="22"/>
                <w:szCs w:val="22"/>
                <w:lang w:eastAsia="en-GB"/>
              </w:rPr>
              <w:tab/>
            </w:r>
            <w:r w:rsidR="0015515A" w:rsidRPr="0015515A">
              <w:rPr>
                <w:rStyle w:val="Hyperlink"/>
                <w:bCs/>
              </w:rPr>
              <w:t>Implementation and Performance</w:t>
            </w:r>
            <w:r w:rsidR="0015515A" w:rsidRPr="0015515A">
              <w:rPr>
                <w:webHidden/>
              </w:rPr>
              <w:tab/>
            </w:r>
            <w:r w:rsidR="0015515A" w:rsidRPr="0015515A">
              <w:rPr>
                <w:webHidden/>
              </w:rPr>
              <w:fldChar w:fldCharType="begin"/>
            </w:r>
            <w:r w:rsidR="0015515A" w:rsidRPr="0015515A">
              <w:rPr>
                <w:webHidden/>
              </w:rPr>
              <w:instrText xml:space="preserve"> PAGEREF _Toc106701128 \h </w:instrText>
            </w:r>
            <w:r w:rsidR="0015515A" w:rsidRPr="0015515A">
              <w:rPr>
                <w:webHidden/>
              </w:rPr>
            </w:r>
            <w:r w:rsidR="0015515A" w:rsidRPr="0015515A">
              <w:rPr>
                <w:webHidden/>
              </w:rPr>
              <w:fldChar w:fldCharType="separate"/>
            </w:r>
            <w:r w:rsidR="0015515A" w:rsidRPr="0015515A">
              <w:rPr>
                <w:webHidden/>
              </w:rPr>
              <w:t>11</w:t>
            </w:r>
            <w:r w:rsidR="0015515A" w:rsidRPr="0015515A">
              <w:rPr>
                <w:webHidden/>
              </w:rPr>
              <w:fldChar w:fldCharType="end"/>
            </w:r>
          </w:hyperlink>
        </w:p>
        <w:p w14:paraId="05392EAE" w14:textId="1AFEDFC3" w:rsidR="0015515A" w:rsidRPr="0015515A" w:rsidRDefault="00BD3BFF">
          <w:pPr>
            <w:pStyle w:val="TOC3"/>
            <w:tabs>
              <w:tab w:val="left" w:pos="1916"/>
            </w:tabs>
            <w:rPr>
              <w:rFonts w:asciiTheme="minorHAnsi" w:eastAsiaTheme="minorEastAsia" w:hAnsiTheme="minorHAnsi" w:cstheme="minorBidi"/>
              <w:noProof/>
              <w:sz w:val="22"/>
              <w:szCs w:val="22"/>
              <w:lang w:eastAsia="en-GB"/>
            </w:rPr>
          </w:pPr>
          <w:hyperlink w:anchor="_Toc106701129" w:history="1">
            <w:r w:rsidR="0015515A" w:rsidRPr="0015515A">
              <w:rPr>
                <w:rStyle w:val="Hyperlink"/>
                <w:noProof/>
              </w:rPr>
              <w:t>3.2.1.</w:t>
            </w:r>
            <w:r w:rsidR="0015515A" w:rsidRPr="0015515A">
              <w:rPr>
                <w:rFonts w:asciiTheme="minorHAnsi" w:eastAsiaTheme="minorEastAsia" w:hAnsiTheme="minorHAnsi" w:cstheme="minorBidi"/>
                <w:noProof/>
                <w:sz w:val="22"/>
                <w:szCs w:val="22"/>
                <w:lang w:eastAsia="en-GB"/>
              </w:rPr>
              <w:tab/>
            </w:r>
            <w:r w:rsidR="0015515A" w:rsidRPr="0015515A">
              <w:rPr>
                <w:rStyle w:val="Hyperlink"/>
                <w:noProof/>
              </w:rPr>
              <w:t>Financing vaccines in the EU and beyond</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_Toc106701129 \h </w:instrText>
            </w:r>
            <w:r w:rsidR="0015515A" w:rsidRPr="0015515A">
              <w:rPr>
                <w:noProof/>
                <w:webHidden/>
              </w:rPr>
            </w:r>
            <w:r w:rsidR="0015515A" w:rsidRPr="0015515A">
              <w:rPr>
                <w:noProof/>
                <w:webHidden/>
              </w:rPr>
              <w:fldChar w:fldCharType="separate"/>
            </w:r>
            <w:r w:rsidR="0015515A" w:rsidRPr="0015515A">
              <w:rPr>
                <w:noProof/>
                <w:webHidden/>
              </w:rPr>
              <w:t>11</w:t>
            </w:r>
            <w:r w:rsidR="0015515A" w:rsidRPr="0015515A">
              <w:rPr>
                <w:noProof/>
                <w:webHidden/>
              </w:rPr>
              <w:fldChar w:fldCharType="end"/>
            </w:r>
          </w:hyperlink>
        </w:p>
        <w:p w14:paraId="7DC0836D" w14:textId="0F618E29" w:rsidR="0015515A" w:rsidRPr="0015515A" w:rsidRDefault="00BD3BFF">
          <w:pPr>
            <w:pStyle w:val="TOC1"/>
            <w:rPr>
              <w:rFonts w:asciiTheme="minorHAnsi" w:eastAsiaTheme="minorEastAsia" w:hAnsiTheme="minorHAnsi" w:cstheme="minorBidi"/>
              <w:noProof/>
              <w:sz w:val="22"/>
              <w:szCs w:val="22"/>
              <w:lang w:eastAsia="en-GB"/>
            </w:rPr>
          </w:pPr>
          <w:hyperlink w:anchor="_Toc106701130" w:history="1">
            <w:r w:rsidR="0015515A" w:rsidRPr="0015515A">
              <w:rPr>
                <w:rStyle w:val="Hyperlink"/>
                <w:noProof/>
              </w:rPr>
              <w:t>4.</w:t>
            </w:r>
            <w:r w:rsidR="0015515A" w:rsidRPr="0015515A">
              <w:rPr>
                <w:rFonts w:asciiTheme="minorHAnsi" w:eastAsiaTheme="minorEastAsia" w:hAnsiTheme="minorHAnsi" w:cstheme="minorBidi"/>
                <w:noProof/>
                <w:sz w:val="22"/>
                <w:szCs w:val="22"/>
                <w:lang w:eastAsia="en-GB"/>
              </w:rPr>
              <w:tab/>
            </w:r>
            <w:r w:rsidR="0015515A" w:rsidRPr="0015515A">
              <w:rPr>
                <w:rStyle w:val="Hyperlink"/>
                <w:noProof/>
              </w:rPr>
              <w:t>Added value of the activation of the ESI regulation in the context of the COVID 19 pandemic</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_Toc106701130 \h </w:instrText>
            </w:r>
            <w:r w:rsidR="0015515A" w:rsidRPr="0015515A">
              <w:rPr>
                <w:noProof/>
                <w:webHidden/>
              </w:rPr>
            </w:r>
            <w:r w:rsidR="0015515A" w:rsidRPr="0015515A">
              <w:rPr>
                <w:noProof/>
                <w:webHidden/>
              </w:rPr>
              <w:fldChar w:fldCharType="separate"/>
            </w:r>
            <w:r w:rsidR="0015515A" w:rsidRPr="0015515A">
              <w:rPr>
                <w:noProof/>
                <w:webHidden/>
              </w:rPr>
              <w:t>12</w:t>
            </w:r>
            <w:r w:rsidR="0015515A" w:rsidRPr="0015515A">
              <w:rPr>
                <w:noProof/>
                <w:webHidden/>
              </w:rPr>
              <w:fldChar w:fldCharType="end"/>
            </w:r>
          </w:hyperlink>
        </w:p>
        <w:p w14:paraId="5D7EF1F8" w14:textId="7FA118D0" w:rsidR="0015515A" w:rsidRPr="0015515A" w:rsidRDefault="00BD3BFF">
          <w:pPr>
            <w:pStyle w:val="TOC1"/>
            <w:rPr>
              <w:rFonts w:asciiTheme="minorHAnsi" w:eastAsiaTheme="minorEastAsia" w:hAnsiTheme="minorHAnsi" w:cstheme="minorBidi"/>
              <w:noProof/>
              <w:sz w:val="22"/>
              <w:szCs w:val="22"/>
              <w:lang w:eastAsia="en-GB"/>
            </w:rPr>
          </w:pPr>
          <w:hyperlink w:anchor="_Toc106701131" w:history="1">
            <w:r w:rsidR="0015515A" w:rsidRPr="0015515A">
              <w:rPr>
                <w:rStyle w:val="Hyperlink"/>
                <w:noProof/>
              </w:rPr>
              <w:t>5.</w:t>
            </w:r>
            <w:r w:rsidR="0015515A" w:rsidRPr="0015515A">
              <w:rPr>
                <w:rFonts w:asciiTheme="minorHAnsi" w:eastAsiaTheme="minorEastAsia" w:hAnsiTheme="minorHAnsi" w:cstheme="minorBidi"/>
                <w:noProof/>
                <w:sz w:val="22"/>
                <w:szCs w:val="22"/>
                <w:lang w:eastAsia="en-GB"/>
              </w:rPr>
              <w:tab/>
            </w:r>
            <w:r w:rsidR="0015515A" w:rsidRPr="0015515A">
              <w:rPr>
                <w:rStyle w:val="Hyperlink"/>
                <w:noProof/>
              </w:rPr>
              <w:t>Way forward</w:t>
            </w:r>
            <w:r w:rsidR="0015515A" w:rsidRPr="0015515A">
              <w:rPr>
                <w:noProof/>
                <w:webHidden/>
              </w:rPr>
              <w:tab/>
            </w:r>
            <w:r w:rsidR="0015515A" w:rsidRPr="0015515A">
              <w:rPr>
                <w:noProof/>
                <w:webHidden/>
              </w:rPr>
              <w:fldChar w:fldCharType="begin"/>
            </w:r>
            <w:r w:rsidR="0015515A" w:rsidRPr="0015515A">
              <w:rPr>
                <w:noProof/>
                <w:webHidden/>
              </w:rPr>
              <w:instrText xml:space="preserve"> PAGEREF _Toc106701131 \h </w:instrText>
            </w:r>
            <w:r w:rsidR="0015515A" w:rsidRPr="0015515A">
              <w:rPr>
                <w:noProof/>
                <w:webHidden/>
              </w:rPr>
            </w:r>
            <w:r w:rsidR="0015515A" w:rsidRPr="0015515A">
              <w:rPr>
                <w:noProof/>
                <w:webHidden/>
              </w:rPr>
              <w:fldChar w:fldCharType="separate"/>
            </w:r>
            <w:r w:rsidR="0015515A" w:rsidRPr="0015515A">
              <w:rPr>
                <w:noProof/>
                <w:webHidden/>
              </w:rPr>
              <w:t>14</w:t>
            </w:r>
            <w:r w:rsidR="0015515A" w:rsidRPr="0015515A">
              <w:rPr>
                <w:noProof/>
                <w:webHidden/>
              </w:rPr>
              <w:fldChar w:fldCharType="end"/>
            </w:r>
          </w:hyperlink>
        </w:p>
        <w:p w14:paraId="2014A1AD" w14:textId="0E5252A7" w:rsidR="00B9345B" w:rsidRDefault="00B9345B" w:rsidP="00D35415">
          <w:pPr>
            <w:spacing w:after="120"/>
            <w:rPr>
              <w:noProof/>
            </w:rPr>
          </w:pPr>
          <w:r>
            <w:rPr>
              <w:b/>
              <w:bCs/>
              <w:noProof/>
            </w:rPr>
            <w:fldChar w:fldCharType="end"/>
          </w:r>
        </w:p>
      </w:sdtContent>
    </w:sdt>
    <w:p w14:paraId="040FAE09" w14:textId="77777777" w:rsidR="00B9345B" w:rsidRDefault="00B9345B" w:rsidP="00D35415">
      <w:pPr>
        <w:spacing w:after="120"/>
        <w:rPr>
          <w:noProof/>
        </w:rPr>
      </w:pPr>
    </w:p>
    <w:p w14:paraId="331CBF23" w14:textId="77777777" w:rsidR="005A441E" w:rsidRDefault="005A441E" w:rsidP="00D35415">
      <w:pPr>
        <w:spacing w:after="120"/>
        <w:rPr>
          <w:noProof/>
        </w:rPr>
      </w:pPr>
    </w:p>
    <w:p w14:paraId="70DD8238" w14:textId="77777777" w:rsidR="005A441E" w:rsidRDefault="005A441E" w:rsidP="00D35415">
      <w:pPr>
        <w:spacing w:after="120"/>
        <w:rPr>
          <w:noProof/>
        </w:rPr>
      </w:pPr>
    </w:p>
    <w:p w14:paraId="6BC0A7BC" w14:textId="462C2CBA" w:rsidR="00BF55FA" w:rsidRDefault="00BF55FA" w:rsidP="00D35415">
      <w:pPr>
        <w:spacing w:after="120"/>
        <w:rPr>
          <w:b/>
          <w:noProof/>
        </w:rPr>
      </w:pPr>
    </w:p>
    <w:p w14:paraId="4CE4C186" w14:textId="77777777" w:rsidR="00B9345B" w:rsidRDefault="00B9345B" w:rsidP="00D35415">
      <w:pPr>
        <w:spacing w:after="120"/>
        <w:jc w:val="left"/>
        <w:rPr>
          <w:b/>
          <w:smallCaps/>
          <w:noProof/>
          <w:szCs w:val="24"/>
        </w:rPr>
      </w:pPr>
      <w:r>
        <w:rPr>
          <w:noProof/>
          <w:szCs w:val="24"/>
        </w:rPr>
        <w:br w:type="page"/>
      </w:r>
    </w:p>
    <w:p w14:paraId="26D0793B" w14:textId="0BF18E17" w:rsidR="005A441E" w:rsidRPr="00B9345B" w:rsidRDefault="005A441E" w:rsidP="00CC140F">
      <w:pPr>
        <w:pStyle w:val="Heading1"/>
        <w:spacing w:before="0" w:after="120"/>
        <w:rPr>
          <w:noProof/>
          <w:szCs w:val="24"/>
        </w:rPr>
      </w:pPr>
      <w:bookmarkStart w:id="2" w:name="_Toc106701112"/>
      <w:r w:rsidRPr="00B9345B">
        <w:rPr>
          <w:noProof/>
          <w:szCs w:val="24"/>
        </w:rPr>
        <w:t>Introduction</w:t>
      </w:r>
      <w:bookmarkEnd w:id="2"/>
    </w:p>
    <w:p w14:paraId="28B3EA04" w14:textId="6D09FE4D" w:rsidR="00F752A8" w:rsidRPr="00B9345B" w:rsidRDefault="00F752A8" w:rsidP="00CC140F">
      <w:pPr>
        <w:spacing w:after="120"/>
        <w:rPr>
          <w:noProof/>
          <w:szCs w:val="24"/>
        </w:rPr>
      </w:pPr>
      <w:r w:rsidRPr="00B9345B">
        <w:rPr>
          <w:noProof/>
          <w:szCs w:val="24"/>
        </w:rPr>
        <w:t>COVID‐19</w:t>
      </w:r>
      <w:r w:rsidR="00604BF3">
        <w:rPr>
          <w:noProof/>
          <w:szCs w:val="24"/>
        </w:rPr>
        <w:t xml:space="preserve"> was</w:t>
      </w:r>
      <w:r w:rsidRPr="00B9345B">
        <w:rPr>
          <w:noProof/>
          <w:szCs w:val="24"/>
        </w:rPr>
        <w:t xml:space="preserve"> declared a pandemic by the World Health Organiz</w:t>
      </w:r>
      <w:r w:rsidR="00BF55FA" w:rsidRPr="00B9345B">
        <w:rPr>
          <w:noProof/>
          <w:szCs w:val="24"/>
        </w:rPr>
        <w:t>ation (WHO) on 11 March 2020</w:t>
      </w:r>
      <w:r w:rsidR="00604BF3">
        <w:rPr>
          <w:noProof/>
          <w:szCs w:val="24"/>
        </w:rPr>
        <w:t>.</w:t>
      </w:r>
      <w:r w:rsidR="00BF55FA" w:rsidRPr="00B9345B">
        <w:rPr>
          <w:noProof/>
          <w:szCs w:val="24"/>
        </w:rPr>
        <w:t xml:space="preserve"> </w:t>
      </w:r>
      <w:r w:rsidR="00604BF3">
        <w:rPr>
          <w:noProof/>
          <w:szCs w:val="24"/>
        </w:rPr>
        <w:t>The pandemic led</w:t>
      </w:r>
      <w:r w:rsidRPr="00B9345B">
        <w:rPr>
          <w:noProof/>
          <w:szCs w:val="24"/>
        </w:rPr>
        <w:t xml:space="preserve"> to </w:t>
      </w:r>
      <w:r w:rsidR="00604BF3">
        <w:rPr>
          <w:noProof/>
          <w:szCs w:val="24"/>
        </w:rPr>
        <w:t>a heavy</w:t>
      </w:r>
      <w:r w:rsidRPr="00B9345B">
        <w:rPr>
          <w:noProof/>
          <w:szCs w:val="24"/>
        </w:rPr>
        <w:t xml:space="preserve"> loss of life in the </w:t>
      </w:r>
      <w:r w:rsidR="00604BF3">
        <w:rPr>
          <w:noProof/>
          <w:szCs w:val="24"/>
        </w:rPr>
        <w:t xml:space="preserve">European </w:t>
      </w:r>
      <w:r w:rsidRPr="00B9345B">
        <w:rPr>
          <w:noProof/>
          <w:szCs w:val="24"/>
        </w:rPr>
        <w:t>Union</w:t>
      </w:r>
      <w:r w:rsidR="00604BF3">
        <w:rPr>
          <w:noProof/>
          <w:szCs w:val="24"/>
        </w:rPr>
        <w:t xml:space="preserve"> and worldwide</w:t>
      </w:r>
      <w:r w:rsidR="006C3E02">
        <w:rPr>
          <w:noProof/>
          <w:szCs w:val="24"/>
        </w:rPr>
        <w:t xml:space="preserve"> and </w:t>
      </w:r>
      <w:r w:rsidRPr="00B9345B">
        <w:rPr>
          <w:noProof/>
          <w:szCs w:val="24"/>
        </w:rPr>
        <w:t xml:space="preserve">Member States adopted exceptional measures to limit the spread of the virus with </w:t>
      </w:r>
      <w:r w:rsidR="00AD0858">
        <w:rPr>
          <w:noProof/>
          <w:szCs w:val="24"/>
        </w:rPr>
        <w:t>severe social and economic consequences</w:t>
      </w:r>
      <w:r w:rsidRPr="00B9345B">
        <w:rPr>
          <w:noProof/>
          <w:szCs w:val="24"/>
        </w:rPr>
        <w:t xml:space="preserve">. National healthcare systems have been, and </w:t>
      </w:r>
      <w:r w:rsidR="00E67A98">
        <w:rPr>
          <w:noProof/>
          <w:szCs w:val="24"/>
        </w:rPr>
        <w:t xml:space="preserve">in some cases </w:t>
      </w:r>
      <w:r w:rsidRPr="00B9345B">
        <w:rPr>
          <w:noProof/>
          <w:szCs w:val="24"/>
        </w:rPr>
        <w:t>still are, under severe strain</w:t>
      </w:r>
      <w:r w:rsidR="00AD0858">
        <w:rPr>
          <w:noProof/>
          <w:szCs w:val="24"/>
        </w:rPr>
        <w:t xml:space="preserve">: </w:t>
      </w:r>
      <w:r w:rsidRPr="00B9345B">
        <w:rPr>
          <w:noProof/>
          <w:szCs w:val="24"/>
        </w:rPr>
        <w:t xml:space="preserve">Member States were faced with urgent and high needs for medical </w:t>
      </w:r>
      <w:r w:rsidR="00966D8C">
        <w:rPr>
          <w:noProof/>
          <w:szCs w:val="24"/>
        </w:rPr>
        <w:t xml:space="preserve">devices, personal protective </w:t>
      </w:r>
      <w:r w:rsidR="00D353AE">
        <w:rPr>
          <w:noProof/>
          <w:szCs w:val="24"/>
        </w:rPr>
        <w:t>equipment</w:t>
      </w:r>
      <w:r w:rsidRPr="00B9345B">
        <w:rPr>
          <w:noProof/>
          <w:szCs w:val="24"/>
        </w:rPr>
        <w:t>,</w:t>
      </w:r>
      <w:r w:rsidR="00D353AE">
        <w:rPr>
          <w:noProof/>
          <w:szCs w:val="24"/>
        </w:rPr>
        <w:t xml:space="preserve"> and medicinal products including COVID-19 </w:t>
      </w:r>
      <w:r w:rsidRPr="00B9345B">
        <w:rPr>
          <w:noProof/>
          <w:szCs w:val="24"/>
        </w:rPr>
        <w:t>treatments and vaccines, additional hospital beds and the reinforcement of the workforce.</w:t>
      </w:r>
      <w:r w:rsidR="00AD0858">
        <w:rPr>
          <w:noProof/>
          <w:szCs w:val="24"/>
        </w:rPr>
        <w:t xml:space="preserve"> </w:t>
      </w:r>
      <w:r w:rsidR="00CF086C">
        <w:rPr>
          <w:noProof/>
          <w:szCs w:val="24"/>
        </w:rPr>
        <w:t xml:space="preserve">Whilst all EU Member States have been easing the restrictions caused by the pandemic and the severity of the illness caused by the Omicron variant of the virus </w:t>
      </w:r>
      <w:r w:rsidR="00B2066A">
        <w:rPr>
          <w:noProof/>
          <w:szCs w:val="24"/>
        </w:rPr>
        <w:t>-</w:t>
      </w:r>
      <w:r w:rsidR="00D353AE">
        <w:rPr>
          <w:noProof/>
          <w:szCs w:val="24"/>
        </w:rPr>
        <w:t>coupled with an enhanced vaccine-induce immunity</w:t>
      </w:r>
      <w:r w:rsidR="00B2066A">
        <w:rPr>
          <w:noProof/>
          <w:szCs w:val="24"/>
        </w:rPr>
        <w:t>-</w:t>
      </w:r>
      <w:r w:rsidR="00D353AE">
        <w:rPr>
          <w:noProof/>
          <w:szCs w:val="24"/>
        </w:rPr>
        <w:t xml:space="preserve"> </w:t>
      </w:r>
      <w:r w:rsidR="00CF086C">
        <w:rPr>
          <w:noProof/>
          <w:szCs w:val="24"/>
        </w:rPr>
        <w:t>has been decreasing over the last few months, t</w:t>
      </w:r>
      <w:r w:rsidR="00AD0858" w:rsidRPr="00AD0858">
        <w:rPr>
          <w:noProof/>
          <w:szCs w:val="24"/>
        </w:rPr>
        <w:t xml:space="preserve">he virus </w:t>
      </w:r>
      <w:r w:rsidR="006C3E02">
        <w:rPr>
          <w:noProof/>
          <w:szCs w:val="24"/>
        </w:rPr>
        <w:t xml:space="preserve">still </w:t>
      </w:r>
      <w:r w:rsidR="00AD0858" w:rsidRPr="00AD0858">
        <w:rPr>
          <w:noProof/>
          <w:szCs w:val="24"/>
        </w:rPr>
        <w:t>remains a</w:t>
      </w:r>
      <w:r w:rsidR="00E60F95">
        <w:rPr>
          <w:noProof/>
          <w:szCs w:val="24"/>
        </w:rPr>
        <w:t xml:space="preserve"> persistent</w:t>
      </w:r>
      <w:r w:rsidR="00AD0858" w:rsidRPr="00AD0858">
        <w:rPr>
          <w:noProof/>
          <w:szCs w:val="24"/>
        </w:rPr>
        <w:t xml:space="preserve"> threat and the extra pressures on health services </w:t>
      </w:r>
      <w:r w:rsidR="006C3E02">
        <w:rPr>
          <w:noProof/>
          <w:szCs w:val="24"/>
        </w:rPr>
        <w:t xml:space="preserve">could </w:t>
      </w:r>
      <w:r w:rsidR="00AD0858" w:rsidRPr="00AD0858">
        <w:rPr>
          <w:noProof/>
          <w:szCs w:val="24"/>
        </w:rPr>
        <w:t>continue</w:t>
      </w:r>
      <w:r w:rsidR="006C3E02">
        <w:rPr>
          <w:noProof/>
          <w:szCs w:val="24"/>
        </w:rPr>
        <w:t xml:space="preserve"> with new waves</w:t>
      </w:r>
      <w:r w:rsidR="00D004A0">
        <w:rPr>
          <w:noProof/>
          <w:szCs w:val="24"/>
        </w:rPr>
        <w:t xml:space="preserve"> of COVID-19 infections</w:t>
      </w:r>
      <w:r w:rsidR="00AD0858" w:rsidRPr="00AD0858">
        <w:rPr>
          <w:noProof/>
          <w:szCs w:val="24"/>
        </w:rPr>
        <w:t>.</w:t>
      </w:r>
    </w:p>
    <w:p w14:paraId="1DD014BA" w14:textId="56C6F61C" w:rsidR="00E1546E" w:rsidRPr="00B9345B" w:rsidRDefault="00E1546E" w:rsidP="00CC140F">
      <w:pPr>
        <w:spacing w:after="120"/>
        <w:rPr>
          <w:noProof/>
          <w:szCs w:val="24"/>
        </w:rPr>
      </w:pPr>
      <w:r w:rsidRPr="00B9345B">
        <w:rPr>
          <w:noProof/>
          <w:szCs w:val="24"/>
        </w:rPr>
        <w:t xml:space="preserve">The quick spread of </w:t>
      </w:r>
      <w:r w:rsidR="004F6F75">
        <w:rPr>
          <w:noProof/>
          <w:szCs w:val="24"/>
        </w:rPr>
        <w:t xml:space="preserve">the </w:t>
      </w:r>
      <w:r w:rsidRPr="00B9345B">
        <w:rPr>
          <w:noProof/>
          <w:szCs w:val="24"/>
        </w:rPr>
        <w:t>virus</w:t>
      </w:r>
      <w:r w:rsidR="00AD0858">
        <w:rPr>
          <w:noProof/>
          <w:szCs w:val="24"/>
        </w:rPr>
        <w:t xml:space="preserve"> </w:t>
      </w:r>
      <w:r w:rsidR="00C97433">
        <w:rPr>
          <w:noProof/>
          <w:szCs w:val="24"/>
        </w:rPr>
        <w:t xml:space="preserve">in Spring 2020 </w:t>
      </w:r>
      <w:r w:rsidR="00AD0858">
        <w:rPr>
          <w:noProof/>
          <w:szCs w:val="24"/>
        </w:rPr>
        <w:t>and</w:t>
      </w:r>
      <w:r>
        <w:rPr>
          <w:noProof/>
          <w:szCs w:val="24"/>
        </w:rPr>
        <w:t xml:space="preserve"> </w:t>
      </w:r>
      <w:r w:rsidR="00AD0858">
        <w:rPr>
          <w:noProof/>
          <w:szCs w:val="24"/>
        </w:rPr>
        <w:t>t</w:t>
      </w:r>
      <w:r>
        <w:rPr>
          <w:noProof/>
          <w:szCs w:val="24"/>
        </w:rPr>
        <w:t xml:space="preserve">he critical situation </w:t>
      </w:r>
      <w:r w:rsidR="00AD0858">
        <w:rPr>
          <w:noProof/>
          <w:szCs w:val="24"/>
        </w:rPr>
        <w:t>called for</w:t>
      </w:r>
      <w:r w:rsidRPr="00B9345B">
        <w:rPr>
          <w:noProof/>
          <w:szCs w:val="24"/>
        </w:rPr>
        <w:t xml:space="preserve"> a comprehensive </w:t>
      </w:r>
      <w:r w:rsidR="00AD0858">
        <w:rPr>
          <w:noProof/>
          <w:szCs w:val="24"/>
        </w:rPr>
        <w:t xml:space="preserve">EU </w:t>
      </w:r>
      <w:r w:rsidRPr="00B9345B">
        <w:rPr>
          <w:noProof/>
          <w:szCs w:val="24"/>
        </w:rPr>
        <w:t xml:space="preserve">response to address the crisis in a spirit of solidarity. </w:t>
      </w:r>
      <w:r w:rsidR="00AD0858">
        <w:rPr>
          <w:noProof/>
          <w:szCs w:val="24"/>
        </w:rPr>
        <w:t>It quickly became clear that the early</w:t>
      </w:r>
      <w:r w:rsidR="00AD0858" w:rsidRPr="00B9345B">
        <w:rPr>
          <w:noProof/>
          <w:szCs w:val="24"/>
        </w:rPr>
        <w:t xml:space="preserve"> </w:t>
      </w:r>
      <w:r w:rsidRPr="00B9345B">
        <w:rPr>
          <w:noProof/>
          <w:szCs w:val="24"/>
        </w:rPr>
        <w:t xml:space="preserve">actions taken by the Member States </w:t>
      </w:r>
      <w:r w:rsidR="00AD0858">
        <w:rPr>
          <w:noProof/>
          <w:szCs w:val="24"/>
        </w:rPr>
        <w:t xml:space="preserve">independently would fall short of citizens’ needs and risked broader damage to the single market. </w:t>
      </w:r>
    </w:p>
    <w:p w14:paraId="1D8A0313" w14:textId="67178BEB" w:rsidR="00440E1C" w:rsidRPr="00B9345B" w:rsidRDefault="00AD0858" w:rsidP="00CC140F">
      <w:pPr>
        <w:spacing w:after="120"/>
        <w:rPr>
          <w:noProof/>
          <w:szCs w:val="24"/>
        </w:rPr>
      </w:pPr>
      <w:r>
        <w:rPr>
          <w:noProof/>
          <w:szCs w:val="24"/>
        </w:rPr>
        <w:t xml:space="preserve">EU consensus was </w:t>
      </w:r>
      <w:r w:rsidR="00804866">
        <w:rPr>
          <w:noProof/>
          <w:szCs w:val="24"/>
        </w:rPr>
        <w:t xml:space="preserve">swiftly </w:t>
      </w:r>
      <w:r>
        <w:rPr>
          <w:noProof/>
          <w:szCs w:val="24"/>
        </w:rPr>
        <w:t>reached</w:t>
      </w:r>
      <w:r w:rsidR="00F752A8" w:rsidRPr="00B9345B">
        <w:rPr>
          <w:noProof/>
          <w:szCs w:val="24"/>
        </w:rPr>
        <w:t xml:space="preserve"> to provide needs-based emergency support</w:t>
      </w:r>
      <w:r w:rsidR="00AB13F9">
        <w:rPr>
          <w:noProof/>
          <w:szCs w:val="24"/>
        </w:rPr>
        <w:t xml:space="preserve"> to prevent and alleviate</w:t>
      </w:r>
      <w:r w:rsidR="00F752A8" w:rsidRPr="00B9345B">
        <w:rPr>
          <w:noProof/>
          <w:szCs w:val="24"/>
        </w:rPr>
        <w:t xml:space="preserve"> human suffering, and </w:t>
      </w:r>
      <w:r w:rsidR="00AB13F9">
        <w:rPr>
          <w:noProof/>
          <w:szCs w:val="24"/>
        </w:rPr>
        <w:t xml:space="preserve">to </w:t>
      </w:r>
      <w:r w:rsidR="00F752A8" w:rsidRPr="00B9345B">
        <w:rPr>
          <w:noProof/>
          <w:szCs w:val="24"/>
        </w:rPr>
        <w:t>maintain human dignity.</w:t>
      </w:r>
      <w:r w:rsidR="00F87A91">
        <w:rPr>
          <w:noProof/>
          <w:szCs w:val="24"/>
        </w:rPr>
        <w:t xml:space="preserve"> </w:t>
      </w:r>
      <w:r w:rsidR="00AB13F9">
        <w:rPr>
          <w:noProof/>
          <w:szCs w:val="24"/>
        </w:rPr>
        <w:t>This</w:t>
      </w:r>
      <w:r w:rsidR="00F87A91">
        <w:rPr>
          <w:noProof/>
          <w:szCs w:val="24"/>
        </w:rPr>
        <w:t xml:space="preserve"> support</w:t>
      </w:r>
      <w:r w:rsidR="00AB13F9">
        <w:rPr>
          <w:noProof/>
          <w:szCs w:val="24"/>
        </w:rPr>
        <w:t xml:space="preserve"> would complement Member States’ efforts. In</w:t>
      </w:r>
      <w:r w:rsidR="00440E1C" w:rsidRPr="00B9345B">
        <w:rPr>
          <w:noProof/>
          <w:szCs w:val="24"/>
        </w:rPr>
        <w:t xml:space="preserve"> April 2020, the Council </w:t>
      </w:r>
      <w:r w:rsidR="00AB13F9">
        <w:rPr>
          <w:noProof/>
          <w:szCs w:val="24"/>
        </w:rPr>
        <w:t>agreed to activate the Emergency Support Instrument (ESI). T</w:t>
      </w:r>
      <w:r w:rsidR="00B766AD" w:rsidRPr="00B9345B">
        <w:rPr>
          <w:noProof/>
          <w:szCs w:val="24"/>
        </w:rPr>
        <w:t xml:space="preserve">he </w:t>
      </w:r>
      <w:r w:rsidR="00E1546E">
        <w:rPr>
          <w:noProof/>
          <w:szCs w:val="24"/>
        </w:rPr>
        <w:t xml:space="preserve">ESI </w:t>
      </w:r>
      <w:r w:rsidR="00AB13F9">
        <w:rPr>
          <w:noProof/>
          <w:szCs w:val="24"/>
        </w:rPr>
        <w:t>enabled a direct support to</w:t>
      </w:r>
      <w:r w:rsidR="00B766AD" w:rsidRPr="00B9345B">
        <w:rPr>
          <w:noProof/>
          <w:szCs w:val="24"/>
        </w:rPr>
        <w:t xml:space="preserve"> the Member States through targeted measures deployed strategically and in a coordinated manner.</w:t>
      </w:r>
    </w:p>
    <w:p w14:paraId="56FA2B4E" w14:textId="49F47CF3" w:rsidR="00E1546E" w:rsidRPr="00B9345B" w:rsidRDefault="00AB13F9" w:rsidP="00CC140F">
      <w:pPr>
        <w:spacing w:after="120"/>
        <w:rPr>
          <w:noProof/>
          <w:szCs w:val="24"/>
        </w:rPr>
      </w:pPr>
      <w:r>
        <w:rPr>
          <w:noProof/>
          <w:szCs w:val="24"/>
        </w:rPr>
        <w:t>T</w:t>
      </w:r>
      <w:r w:rsidR="00E1546E" w:rsidRPr="00B9345B">
        <w:rPr>
          <w:noProof/>
          <w:szCs w:val="24"/>
        </w:rPr>
        <w:t>he ESI equip</w:t>
      </w:r>
      <w:r w:rsidR="00E1546E">
        <w:rPr>
          <w:noProof/>
          <w:szCs w:val="24"/>
        </w:rPr>
        <w:t>ped</w:t>
      </w:r>
      <w:r w:rsidR="00E1546E" w:rsidRPr="00B9345B">
        <w:rPr>
          <w:noProof/>
          <w:szCs w:val="24"/>
        </w:rPr>
        <w:t xml:space="preserve"> the </w:t>
      </w:r>
      <w:r w:rsidR="00E1546E" w:rsidRPr="00004B7C">
        <w:rPr>
          <w:noProof/>
          <w:szCs w:val="24"/>
        </w:rPr>
        <w:t xml:space="preserve">Member States’ healthcare </w:t>
      </w:r>
      <w:r w:rsidR="00E1546E">
        <w:rPr>
          <w:noProof/>
          <w:szCs w:val="24"/>
        </w:rPr>
        <w:t>sector</w:t>
      </w:r>
      <w:r>
        <w:rPr>
          <w:noProof/>
          <w:szCs w:val="24"/>
        </w:rPr>
        <w:t>s</w:t>
      </w:r>
      <w:r w:rsidR="00E1546E" w:rsidRPr="00004B7C" w:rsidDel="00004B7C">
        <w:rPr>
          <w:noProof/>
          <w:szCs w:val="24"/>
        </w:rPr>
        <w:t xml:space="preserve"> </w:t>
      </w:r>
      <w:r w:rsidR="00E1546E" w:rsidRPr="00B9345B">
        <w:rPr>
          <w:noProof/>
          <w:szCs w:val="24"/>
        </w:rPr>
        <w:t xml:space="preserve">with a broad toolbox to </w:t>
      </w:r>
      <w:r w:rsidR="007E6B2C">
        <w:rPr>
          <w:noProof/>
          <w:szCs w:val="24"/>
        </w:rPr>
        <w:t xml:space="preserve">support and </w:t>
      </w:r>
      <w:r w:rsidR="00F87A91">
        <w:rPr>
          <w:noProof/>
          <w:szCs w:val="24"/>
        </w:rPr>
        <w:t>complement</w:t>
      </w:r>
      <w:r w:rsidR="00F87A91" w:rsidRPr="00B9345B">
        <w:rPr>
          <w:noProof/>
          <w:szCs w:val="24"/>
        </w:rPr>
        <w:t xml:space="preserve"> </w:t>
      </w:r>
      <w:r w:rsidR="00E1546E" w:rsidRPr="00B9345B">
        <w:rPr>
          <w:noProof/>
          <w:szCs w:val="24"/>
        </w:rPr>
        <w:t>the</w:t>
      </w:r>
      <w:r w:rsidR="00E1546E">
        <w:rPr>
          <w:noProof/>
          <w:szCs w:val="24"/>
        </w:rPr>
        <w:t xml:space="preserve"> national healthcare systems</w:t>
      </w:r>
      <w:r w:rsidR="00E1546E" w:rsidRPr="00B9345B">
        <w:rPr>
          <w:noProof/>
          <w:szCs w:val="24"/>
        </w:rPr>
        <w:t xml:space="preserve"> in their efforts to address the pandemic</w:t>
      </w:r>
      <w:r w:rsidR="00E1546E">
        <w:rPr>
          <w:noProof/>
          <w:szCs w:val="24"/>
        </w:rPr>
        <w:t xml:space="preserve">. </w:t>
      </w:r>
      <w:r w:rsidR="00F87A91">
        <w:rPr>
          <w:noProof/>
          <w:szCs w:val="24"/>
        </w:rPr>
        <w:t>It</w:t>
      </w:r>
      <w:r w:rsidR="00E1546E" w:rsidRPr="00B9345B">
        <w:rPr>
          <w:noProof/>
          <w:szCs w:val="24"/>
        </w:rPr>
        <w:t xml:space="preserve"> provide</w:t>
      </w:r>
      <w:r w:rsidR="00E1546E">
        <w:rPr>
          <w:noProof/>
          <w:szCs w:val="24"/>
        </w:rPr>
        <w:t>d</w:t>
      </w:r>
      <w:r w:rsidR="00E1546E" w:rsidRPr="00B9345B">
        <w:rPr>
          <w:noProof/>
          <w:szCs w:val="24"/>
        </w:rPr>
        <w:t xml:space="preserve"> a fast, flexible</w:t>
      </w:r>
      <w:r w:rsidR="00E67A98">
        <w:rPr>
          <w:noProof/>
          <w:szCs w:val="24"/>
        </w:rPr>
        <w:t xml:space="preserve"> and</w:t>
      </w:r>
      <w:r w:rsidR="00E1546E" w:rsidRPr="00B9345B">
        <w:rPr>
          <w:noProof/>
          <w:szCs w:val="24"/>
        </w:rPr>
        <w:t xml:space="preserve"> efficient instrument to </w:t>
      </w:r>
      <w:r w:rsidR="00F87A91">
        <w:rPr>
          <w:noProof/>
          <w:szCs w:val="24"/>
        </w:rPr>
        <w:t xml:space="preserve">mitigate </w:t>
      </w:r>
      <w:r w:rsidR="00E1546E" w:rsidRPr="00B9345B">
        <w:rPr>
          <w:noProof/>
          <w:szCs w:val="24"/>
        </w:rPr>
        <w:t xml:space="preserve">the immediate acute consequences </w:t>
      </w:r>
      <w:r w:rsidR="00F87A91">
        <w:rPr>
          <w:noProof/>
          <w:szCs w:val="24"/>
        </w:rPr>
        <w:t xml:space="preserve">of the pandemic. </w:t>
      </w:r>
    </w:p>
    <w:p w14:paraId="28FA6B5E" w14:textId="4C2A72DE" w:rsidR="00C457EE" w:rsidRDefault="00C457EE" w:rsidP="00CC140F">
      <w:pPr>
        <w:spacing w:after="120"/>
        <w:rPr>
          <w:noProof/>
          <w:szCs w:val="24"/>
        </w:rPr>
      </w:pPr>
      <w:r w:rsidRPr="00B9345B">
        <w:rPr>
          <w:noProof/>
          <w:szCs w:val="24"/>
        </w:rPr>
        <w:t>This report aims to provide an overview of the key impact of the ESI since its activation</w:t>
      </w:r>
      <w:r w:rsidR="00834764">
        <w:rPr>
          <w:noProof/>
          <w:szCs w:val="24"/>
        </w:rPr>
        <w:t xml:space="preserve"> </w:t>
      </w:r>
      <w:r w:rsidR="00834764" w:rsidRPr="00B9345B">
        <w:rPr>
          <w:noProof/>
          <w:szCs w:val="24"/>
        </w:rPr>
        <w:t>in the context of the COVID-19 pandemic</w:t>
      </w:r>
      <w:r w:rsidRPr="00B9345B">
        <w:rPr>
          <w:noProof/>
          <w:szCs w:val="24"/>
        </w:rPr>
        <w:t>, an analysis of the main challenges encountered, and an outline of planned future activities.</w:t>
      </w:r>
    </w:p>
    <w:p w14:paraId="13857C47" w14:textId="77777777" w:rsidR="00494F17" w:rsidRPr="00B9345B" w:rsidRDefault="00494F17" w:rsidP="00CC140F">
      <w:pPr>
        <w:spacing w:after="120"/>
        <w:rPr>
          <w:noProof/>
          <w:szCs w:val="24"/>
        </w:rPr>
      </w:pPr>
    </w:p>
    <w:p w14:paraId="473806B9" w14:textId="20B1F32C" w:rsidR="00440E1C" w:rsidRPr="00B9345B" w:rsidRDefault="006C40C6" w:rsidP="00CC140F">
      <w:pPr>
        <w:pStyle w:val="Heading1"/>
        <w:spacing w:before="0" w:after="120"/>
        <w:rPr>
          <w:noProof/>
          <w:szCs w:val="24"/>
        </w:rPr>
      </w:pPr>
      <w:bookmarkStart w:id="3" w:name="_Toc106701113"/>
      <w:r w:rsidRPr="006C40C6">
        <w:rPr>
          <w:noProof/>
          <w:szCs w:val="24"/>
        </w:rPr>
        <w:t>Activation of the Emergency Support Instrument</w:t>
      </w:r>
      <w:bookmarkEnd w:id="3"/>
    </w:p>
    <w:p w14:paraId="15999F25" w14:textId="53C66889" w:rsidR="00B43E18" w:rsidRPr="00B9345B" w:rsidRDefault="00B43E18" w:rsidP="00CC140F">
      <w:pPr>
        <w:spacing w:after="120"/>
        <w:rPr>
          <w:noProof/>
          <w:szCs w:val="24"/>
        </w:rPr>
      </w:pPr>
      <w:r w:rsidRPr="00B9345B">
        <w:rPr>
          <w:noProof/>
          <w:szCs w:val="24"/>
        </w:rPr>
        <w:t xml:space="preserve">The </w:t>
      </w:r>
      <w:r w:rsidR="003200EC">
        <w:rPr>
          <w:noProof/>
          <w:szCs w:val="24"/>
        </w:rPr>
        <w:t>E</w:t>
      </w:r>
      <w:r w:rsidR="006660B2">
        <w:rPr>
          <w:noProof/>
          <w:szCs w:val="24"/>
        </w:rPr>
        <w:t>SI</w:t>
      </w:r>
      <w:r w:rsidRPr="00B9345B">
        <w:rPr>
          <w:noProof/>
          <w:szCs w:val="24"/>
        </w:rPr>
        <w:t xml:space="preserve"> was established in 2016 (Council Regulation (EU) 2016/369 of 15 March 2016</w:t>
      </w:r>
      <w:r w:rsidRPr="00B9345B">
        <w:rPr>
          <w:rStyle w:val="FootnoteReference"/>
          <w:noProof/>
          <w:szCs w:val="24"/>
        </w:rPr>
        <w:footnoteReference w:id="1"/>
      </w:r>
      <w:r w:rsidRPr="00B9345B">
        <w:rPr>
          <w:noProof/>
          <w:szCs w:val="24"/>
        </w:rPr>
        <w:t xml:space="preserve">) </w:t>
      </w:r>
      <w:r w:rsidR="00BC3286">
        <w:rPr>
          <w:noProof/>
          <w:szCs w:val="24"/>
        </w:rPr>
        <w:t xml:space="preserve">and </w:t>
      </w:r>
      <w:r w:rsidR="00F43993">
        <w:rPr>
          <w:noProof/>
          <w:szCs w:val="24"/>
        </w:rPr>
        <w:t xml:space="preserve">first </w:t>
      </w:r>
      <w:r w:rsidR="00BC3286">
        <w:rPr>
          <w:noProof/>
          <w:szCs w:val="24"/>
        </w:rPr>
        <w:t xml:space="preserve">activated </w:t>
      </w:r>
      <w:r w:rsidR="00E1546E">
        <w:rPr>
          <w:noProof/>
          <w:szCs w:val="24"/>
        </w:rPr>
        <w:t xml:space="preserve">for a period of three years </w:t>
      </w:r>
      <w:r w:rsidRPr="00B9345B">
        <w:rPr>
          <w:noProof/>
          <w:szCs w:val="24"/>
        </w:rPr>
        <w:t xml:space="preserve">in response to the influx of refugees and migrants into the Union. </w:t>
      </w:r>
    </w:p>
    <w:p w14:paraId="417AFAA6" w14:textId="05DC13D7" w:rsidR="00B43E18" w:rsidRPr="00B9345B" w:rsidRDefault="00B43E18" w:rsidP="00CC140F">
      <w:pPr>
        <w:spacing w:after="120"/>
        <w:rPr>
          <w:noProof/>
          <w:szCs w:val="24"/>
        </w:rPr>
      </w:pPr>
      <w:r w:rsidRPr="00B9345B">
        <w:rPr>
          <w:noProof/>
          <w:szCs w:val="24"/>
        </w:rPr>
        <w:t xml:space="preserve">On 2 April </w:t>
      </w:r>
      <w:r w:rsidR="007F39B0" w:rsidRPr="00B9345B">
        <w:rPr>
          <w:noProof/>
          <w:szCs w:val="24"/>
        </w:rPr>
        <w:t>2020,</w:t>
      </w:r>
      <w:r w:rsidRPr="00B9345B">
        <w:rPr>
          <w:noProof/>
          <w:szCs w:val="24"/>
        </w:rPr>
        <w:t xml:space="preserve"> the Commission proposed</w:t>
      </w:r>
      <w:r w:rsidRPr="00B9345B">
        <w:rPr>
          <w:rStyle w:val="FootnoteReference"/>
          <w:noProof/>
          <w:szCs w:val="24"/>
        </w:rPr>
        <w:footnoteReference w:id="2"/>
      </w:r>
      <w:r w:rsidRPr="00B9345B">
        <w:rPr>
          <w:noProof/>
          <w:szCs w:val="24"/>
        </w:rPr>
        <w:t xml:space="preserve"> to activate the ESI in the context of the COVID-19 pandemic</w:t>
      </w:r>
      <w:r w:rsidR="007A1C9F">
        <w:rPr>
          <w:noProof/>
          <w:szCs w:val="24"/>
        </w:rPr>
        <w:t xml:space="preserve"> for the period </w:t>
      </w:r>
      <w:r w:rsidR="00804866">
        <w:rPr>
          <w:noProof/>
          <w:szCs w:val="24"/>
        </w:rPr>
        <w:t xml:space="preserve">from </w:t>
      </w:r>
      <w:r w:rsidR="007A1C9F">
        <w:rPr>
          <w:noProof/>
          <w:szCs w:val="24"/>
        </w:rPr>
        <w:t>1 February 2020 to 31 January 2022</w:t>
      </w:r>
      <w:r w:rsidRPr="00B9345B">
        <w:rPr>
          <w:noProof/>
          <w:szCs w:val="24"/>
        </w:rPr>
        <w:t xml:space="preserve">. This </w:t>
      </w:r>
      <w:r w:rsidR="00F43993">
        <w:rPr>
          <w:noProof/>
          <w:szCs w:val="24"/>
        </w:rPr>
        <w:t>was informed by</w:t>
      </w:r>
      <w:r w:rsidRPr="00B9345B">
        <w:rPr>
          <w:noProof/>
          <w:szCs w:val="24"/>
        </w:rPr>
        <w:t xml:space="preserve"> </w:t>
      </w:r>
      <w:r w:rsidR="00804866">
        <w:rPr>
          <w:noProof/>
          <w:szCs w:val="24"/>
        </w:rPr>
        <w:t xml:space="preserve">a </w:t>
      </w:r>
      <w:r w:rsidRPr="00B9345B">
        <w:rPr>
          <w:noProof/>
          <w:szCs w:val="24"/>
        </w:rPr>
        <w:t xml:space="preserve">first survey </w:t>
      </w:r>
      <w:r w:rsidR="00E1546E">
        <w:rPr>
          <w:noProof/>
          <w:szCs w:val="24"/>
        </w:rPr>
        <w:t>on crisis</w:t>
      </w:r>
      <w:r w:rsidR="00F43993">
        <w:rPr>
          <w:noProof/>
          <w:szCs w:val="24"/>
        </w:rPr>
        <w:t>-</w:t>
      </w:r>
      <w:r w:rsidR="00E1546E">
        <w:rPr>
          <w:noProof/>
          <w:szCs w:val="24"/>
        </w:rPr>
        <w:t xml:space="preserve">related needs (needs assessment) </w:t>
      </w:r>
      <w:r w:rsidR="00F43993">
        <w:rPr>
          <w:noProof/>
          <w:szCs w:val="24"/>
        </w:rPr>
        <w:t>by the</w:t>
      </w:r>
      <w:r w:rsidRPr="00B9345B">
        <w:rPr>
          <w:noProof/>
          <w:szCs w:val="24"/>
        </w:rPr>
        <w:t xml:space="preserve"> Commission</w:t>
      </w:r>
      <w:r w:rsidR="00E1546E">
        <w:rPr>
          <w:noProof/>
          <w:szCs w:val="24"/>
        </w:rPr>
        <w:t xml:space="preserve"> departments, </w:t>
      </w:r>
      <w:r w:rsidR="00F43993">
        <w:rPr>
          <w:noProof/>
          <w:szCs w:val="24"/>
        </w:rPr>
        <w:t xml:space="preserve">providing </w:t>
      </w:r>
      <w:r w:rsidRPr="00B9345B">
        <w:rPr>
          <w:noProof/>
          <w:szCs w:val="24"/>
        </w:rPr>
        <w:t xml:space="preserve">the non-exhaustive list of possible areas of ESI action contained in </w:t>
      </w:r>
      <w:r w:rsidR="00E1546E">
        <w:rPr>
          <w:noProof/>
          <w:szCs w:val="24"/>
        </w:rPr>
        <w:t xml:space="preserve">its activation </w:t>
      </w:r>
      <w:r w:rsidRPr="00B9345B">
        <w:rPr>
          <w:noProof/>
          <w:szCs w:val="24"/>
        </w:rPr>
        <w:t xml:space="preserve">proposal. In parallel, </w:t>
      </w:r>
      <w:r w:rsidR="000A2FB6">
        <w:rPr>
          <w:noProof/>
          <w:szCs w:val="24"/>
        </w:rPr>
        <w:t>the Commission</w:t>
      </w:r>
      <w:r w:rsidRPr="00B9345B">
        <w:rPr>
          <w:noProof/>
          <w:szCs w:val="24"/>
        </w:rPr>
        <w:t xml:space="preserve"> </w:t>
      </w:r>
      <w:r w:rsidR="007A1C9F">
        <w:rPr>
          <w:noProof/>
          <w:szCs w:val="24"/>
        </w:rPr>
        <w:t>proposed</w:t>
      </w:r>
      <w:r w:rsidRPr="00B9345B">
        <w:rPr>
          <w:noProof/>
          <w:szCs w:val="24"/>
        </w:rPr>
        <w:t xml:space="preserve"> and negotiated with the Budgetary Authority the related Draft Amending Budget 2/2020</w:t>
      </w:r>
      <w:r w:rsidR="007A1C9F">
        <w:rPr>
          <w:noProof/>
          <w:szCs w:val="24"/>
        </w:rPr>
        <w:t xml:space="preserve"> </w:t>
      </w:r>
      <w:r w:rsidR="007A1C9F">
        <w:rPr>
          <w:noProof/>
        </w:rPr>
        <w:t>to provide EUR 3 000 000 000 in commitment appropriations and EUR 1 530 000 000 in payment appropriations, out of which EUR 2 700 000 000 in commitment appropriations and EUR 1 380 000 000 in payment appropriations under heading 3 Security and Citizenship to finance the provision of emergency support within the Union through the Emergency Support Instrument.</w:t>
      </w:r>
    </w:p>
    <w:p w14:paraId="426668E2" w14:textId="0A7C4D2F" w:rsidR="007A1C9F" w:rsidRDefault="003E74F8" w:rsidP="00CC140F">
      <w:pPr>
        <w:pStyle w:val="ManualConsidrant"/>
        <w:spacing w:before="0"/>
        <w:ind w:left="0" w:firstLine="0"/>
        <w:rPr>
          <w:noProof/>
          <w:szCs w:val="24"/>
        </w:rPr>
      </w:pPr>
      <w:r w:rsidRPr="00B9345B">
        <w:rPr>
          <w:noProof/>
          <w:szCs w:val="24"/>
        </w:rPr>
        <w:t xml:space="preserve">On 14 April 2020, the Council adopted </w:t>
      </w:r>
      <w:r w:rsidR="00E1546E">
        <w:rPr>
          <w:noProof/>
          <w:szCs w:val="24"/>
        </w:rPr>
        <w:t xml:space="preserve">the </w:t>
      </w:r>
      <w:r w:rsidRPr="00B9345B">
        <w:rPr>
          <w:noProof/>
          <w:szCs w:val="24"/>
        </w:rPr>
        <w:t xml:space="preserve">Council Regulation (EU) 2020/521 activating emergency support under Council Regulation (EU) 2016/369 </w:t>
      </w:r>
      <w:r w:rsidR="002E4825">
        <w:rPr>
          <w:noProof/>
          <w:szCs w:val="24"/>
        </w:rPr>
        <w:t xml:space="preserve">and amending its provisions </w:t>
      </w:r>
      <w:r w:rsidRPr="00B9345B">
        <w:rPr>
          <w:noProof/>
          <w:szCs w:val="24"/>
        </w:rPr>
        <w:t>to finance expenditure necessary to address the COVID‐19 pandemic.</w:t>
      </w:r>
      <w:r w:rsidR="005F707A">
        <w:rPr>
          <w:noProof/>
          <w:szCs w:val="24"/>
        </w:rPr>
        <w:t xml:space="preserve"> </w:t>
      </w:r>
      <w:r w:rsidR="007A1C9F">
        <w:rPr>
          <w:noProof/>
          <w:szCs w:val="24"/>
        </w:rPr>
        <w:t>The amending budget 2/2020 was adopted on 17 April 2020.</w:t>
      </w:r>
    </w:p>
    <w:p w14:paraId="06C933AD" w14:textId="6DD2772C" w:rsidR="005F707A" w:rsidRDefault="005F707A" w:rsidP="00CC140F">
      <w:pPr>
        <w:pStyle w:val="ManualConsidrant"/>
        <w:spacing w:before="0"/>
        <w:ind w:left="0" w:firstLine="0"/>
        <w:rPr>
          <w:noProof/>
          <w:szCs w:val="24"/>
        </w:rPr>
      </w:pPr>
    </w:p>
    <w:p w14:paraId="0DB82846" w14:textId="3B6F51E3" w:rsidR="00B43E18" w:rsidRPr="00B9345B" w:rsidRDefault="006C40C6" w:rsidP="00CC140F">
      <w:pPr>
        <w:pStyle w:val="Heading2"/>
        <w:spacing w:after="120"/>
        <w:rPr>
          <w:noProof/>
          <w:szCs w:val="24"/>
        </w:rPr>
      </w:pPr>
      <w:bookmarkStart w:id="4" w:name="_Toc106701114"/>
      <w:r w:rsidRPr="006C40C6">
        <w:rPr>
          <w:noProof/>
          <w:szCs w:val="24"/>
        </w:rPr>
        <w:t>An instrument made to respond to an ever-changing crisis</w:t>
      </w:r>
      <w:bookmarkEnd w:id="4"/>
    </w:p>
    <w:p w14:paraId="3BD9DD38" w14:textId="210A1B3A" w:rsidR="00E1546E" w:rsidRDefault="00B43E18" w:rsidP="00CC140F">
      <w:pPr>
        <w:spacing w:after="120"/>
        <w:rPr>
          <w:noProof/>
          <w:szCs w:val="24"/>
        </w:rPr>
      </w:pPr>
      <w:r w:rsidRPr="00B9345B">
        <w:rPr>
          <w:noProof/>
          <w:szCs w:val="24"/>
        </w:rPr>
        <w:t>The</w:t>
      </w:r>
      <w:r w:rsidR="001D24A8">
        <w:rPr>
          <w:noProof/>
          <w:szCs w:val="24"/>
        </w:rPr>
        <w:t xml:space="preserve"> </w:t>
      </w:r>
      <w:r w:rsidR="00AB60DC">
        <w:rPr>
          <w:noProof/>
          <w:szCs w:val="24"/>
        </w:rPr>
        <w:t>activation of</w:t>
      </w:r>
      <w:r w:rsidR="001D24A8">
        <w:rPr>
          <w:noProof/>
          <w:szCs w:val="24"/>
        </w:rPr>
        <w:t xml:space="preserve"> </w:t>
      </w:r>
      <w:r w:rsidRPr="00B9345B">
        <w:rPr>
          <w:noProof/>
          <w:szCs w:val="24"/>
        </w:rPr>
        <w:t>the E</w:t>
      </w:r>
      <w:r w:rsidR="006660B2">
        <w:rPr>
          <w:noProof/>
          <w:szCs w:val="24"/>
        </w:rPr>
        <w:t>SI</w:t>
      </w:r>
      <w:r w:rsidRPr="00B9345B">
        <w:rPr>
          <w:noProof/>
          <w:szCs w:val="24"/>
        </w:rPr>
        <w:t xml:space="preserve"> </w:t>
      </w:r>
      <w:r w:rsidR="00C220EC">
        <w:rPr>
          <w:noProof/>
          <w:szCs w:val="24"/>
        </w:rPr>
        <w:t>wa</w:t>
      </w:r>
      <w:r w:rsidRPr="00B9345B">
        <w:rPr>
          <w:noProof/>
          <w:szCs w:val="24"/>
        </w:rPr>
        <w:t xml:space="preserve">s designed to allow for a comprehensive and flexible response to the urgent, evolving and diverse </w:t>
      </w:r>
      <w:r w:rsidR="00AB60DC">
        <w:rPr>
          <w:noProof/>
          <w:szCs w:val="24"/>
        </w:rPr>
        <w:t xml:space="preserve">Member States’ </w:t>
      </w:r>
      <w:r w:rsidRPr="00B9345B">
        <w:rPr>
          <w:noProof/>
          <w:szCs w:val="24"/>
        </w:rPr>
        <w:t xml:space="preserve">needs </w:t>
      </w:r>
      <w:r w:rsidR="00AB60DC">
        <w:rPr>
          <w:noProof/>
          <w:szCs w:val="24"/>
        </w:rPr>
        <w:t xml:space="preserve">emerging </w:t>
      </w:r>
      <w:r w:rsidRPr="00B9345B">
        <w:rPr>
          <w:noProof/>
          <w:szCs w:val="24"/>
        </w:rPr>
        <w:t>during the pandemic.</w:t>
      </w:r>
    </w:p>
    <w:p w14:paraId="760BC940" w14:textId="3D325E7E" w:rsidR="00BD7340" w:rsidRDefault="00BD7340" w:rsidP="00CC140F">
      <w:pPr>
        <w:spacing w:after="120"/>
        <w:rPr>
          <w:noProof/>
          <w:szCs w:val="24"/>
        </w:rPr>
      </w:pPr>
      <w:r>
        <w:rPr>
          <w:noProof/>
          <w:szCs w:val="24"/>
        </w:rPr>
        <w:t>Especially</w:t>
      </w:r>
      <w:r w:rsidRPr="00366D92">
        <w:rPr>
          <w:noProof/>
          <w:szCs w:val="24"/>
        </w:rPr>
        <w:t xml:space="preserve"> in the </w:t>
      </w:r>
      <w:r>
        <w:rPr>
          <w:noProof/>
          <w:szCs w:val="24"/>
        </w:rPr>
        <w:t xml:space="preserve">early phase of the crisis, </w:t>
      </w:r>
      <w:r w:rsidR="00E92D90">
        <w:rPr>
          <w:noProof/>
          <w:szCs w:val="24"/>
        </w:rPr>
        <w:t>a</w:t>
      </w:r>
      <w:r w:rsidRPr="00366D92">
        <w:rPr>
          <w:noProof/>
          <w:szCs w:val="24"/>
        </w:rPr>
        <w:t xml:space="preserve"> lack of information about needs at both Union and national/sub-national level slowed down </w:t>
      </w:r>
      <w:r w:rsidR="00E92D90">
        <w:rPr>
          <w:noProof/>
          <w:szCs w:val="24"/>
        </w:rPr>
        <w:t>the</w:t>
      </w:r>
      <w:r w:rsidRPr="00366D92">
        <w:rPr>
          <w:noProof/>
          <w:szCs w:val="24"/>
        </w:rPr>
        <w:t xml:space="preserve"> common response. To mitigate this, the work of the </w:t>
      </w:r>
      <w:r w:rsidR="007013D0">
        <w:rPr>
          <w:noProof/>
          <w:szCs w:val="24"/>
        </w:rPr>
        <w:t xml:space="preserve">COVID-19 </w:t>
      </w:r>
      <w:r w:rsidRPr="00366D92">
        <w:rPr>
          <w:noProof/>
          <w:szCs w:val="24"/>
        </w:rPr>
        <w:t>Clearing House for medical equipment</w:t>
      </w:r>
      <w:r w:rsidR="00AB60DC" w:rsidRPr="00093C31">
        <w:rPr>
          <w:rStyle w:val="FootnoteReference"/>
          <w:noProof/>
          <w:szCs w:val="24"/>
        </w:rPr>
        <w:footnoteReference w:id="3"/>
      </w:r>
      <w:r w:rsidRPr="00093C31">
        <w:rPr>
          <w:noProof/>
          <w:szCs w:val="24"/>
        </w:rPr>
        <w:t>,</w:t>
      </w:r>
      <w:r w:rsidRPr="00366D92">
        <w:rPr>
          <w:noProof/>
          <w:szCs w:val="24"/>
        </w:rPr>
        <w:t xml:space="preserve"> and in particular the results of </w:t>
      </w:r>
      <w:r w:rsidR="00E92D90">
        <w:rPr>
          <w:noProof/>
          <w:szCs w:val="24"/>
        </w:rPr>
        <w:t>its</w:t>
      </w:r>
      <w:r w:rsidR="00E92D90" w:rsidRPr="00366D92">
        <w:rPr>
          <w:noProof/>
          <w:szCs w:val="24"/>
        </w:rPr>
        <w:t xml:space="preserve"> </w:t>
      </w:r>
      <w:r w:rsidR="00AB60DC">
        <w:rPr>
          <w:noProof/>
          <w:szCs w:val="24"/>
        </w:rPr>
        <w:t xml:space="preserve">Member States’ </w:t>
      </w:r>
      <w:r w:rsidRPr="00366D92">
        <w:rPr>
          <w:noProof/>
          <w:szCs w:val="24"/>
        </w:rPr>
        <w:t>needs surveys and projections, were leveraged to lay down an action program</w:t>
      </w:r>
      <w:r w:rsidR="00E92D90">
        <w:rPr>
          <w:noProof/>
          <w:szCs w:val="24"/>
        </w:rPr>
        <w:t>me</w:t>
      </w:r>
      <w:r w:rsidRPr="00366D92">
        <w:rPr>
          <w:noProof/>
          <w:szCs w:val="24"/>
        </w:rPr>
        <w:t xml:space="preserve"> for the instrument. The needs reported by Member States were cross-referenced against the epidemiological methodology of the European Centre for Disease Prevention and Control (ECDC) in order to ensure the equitable distribution of equipment and products for donation to Member States.</w:t>
      </w:r>
      <w:r>
        <w:rPr>
          <w:noProof/>
          <w:szCs w:val="24"/>
        </w:rPr>
        <w:t xml:space="preserve"> </w:t>
      </w:r>
    </w:p>
    <w:p w14:paraId="6CEDCA70" w14:textId="15FCED31" w:rsidR="00B43E18" w:rsidRDefault="00B43E18" w:rsidP="00CC140F">
      <w:pPr>
        <w:spacing w:after="120"/>
        <w:rPr>
          <w:noProof/>
          <w:szCs w:val="24"/>
        </w:rPr>
      </w:pPr>
      <w:r w:rsidRPr="00B9345B">
        <w:rPr>
          <w:noProof/>
          <w:szCs w:val="24"/>
        </w:rPr>
        <w:t>In line with the legal bas</w:t>
      </w:r>
      <w:r w:rsidR="00BD7340">
        <w:rPr>
          <w:noProof/>
          <w:szCs w:val="24"/>
        </w:rPr>
        <w:t>is</w:t>
      </w:r>
      <w:r w:rsidRPr="00B9345B">
        <w:rPr>
          <w:noProof/>
          <w:szCs w:val="24"/>
        </w:rPr>
        <w:t xml:space="preserve">, the Commission cooperated closely with the Member States in the implementation of the instrument. </w:t>
      </w:r>
      <w:r w:rsidR="00E92D90">
        <w:rPr>
          <w:noProof/>
          <w:szCs w:val="24"/>
        </w:rPr>
        <w:t>Discussions in</w:t>
      </w:r>
      <w:r w:rsidR="00E92D90" w:rsidRPr="00A0669D">
        <w:rPr>
          <w:noProof/>
          <w:szCs w:val="24"/>
        </w:rPr>
        <w:t xml:space="preserve"> </w:t>
      </w:r>
      <w:r w:rsidR="00BD7340" w:rsidRPr="00A0669D">
        <w:rPr>
          <w:noProof/>
          <w:szCs w:val="24"/>
        </w:rPr>
        <w:t>the Permanent Representatives Committee (Coreper) and the Integrated Political Crisis Response (IPCR) meetings</w:t>
      </w:r>
      <w:r w:rsidR="00E92D90">
        <w:rPr>
          <w:noProof/>
          <w:szCs w:val="24"/>
        </w:rPr>
        <w:t xml:space="preserve"> were of particular importance</w:t>
      </w:r>
      <w:r w:rsidR="00AB60DC">
        <w:rPr>
          <w:noProof/>
          <w:szCs w:val="24"/>
        </w:rPr>
        <w:t xml:space="preserve"> to provide input on possible areas of action</w:t>
      </w:r>
      <w:r w:rsidR="00BD7340" w:rsidRPr="00A0669D">
        <w:rPr>
          <w:noProof/>
          <w:szCs w:val="24"/>
        </w:rPr>
        <w:t xml:space="preserve">, </w:t>
      </w:r>
      <w:r w:rsidR="00A03B94">
        <w:rPr>
          <w:noProof/>
          <w:szCs w:val="24"/>
        </w:rPr>
        <w:t>in addition to the</w:t>
      </w:r>
      <w:r w:rsidR="00BD7340" w:rsidRPr="00A0669D">
        <w:rPr>
          <w:noProof/>
          <w:szCs w:val="24"/>
        </w:rPr>
        <w:t xml:space="preserve"> dedicated meetings with Member States’ contact points</w:t>
      </w:r>
      <w:r w:rsidRPr="00B9345B">
        <w:rPr>
          <w:noProof/>
          <w:szCs w:val="24"/>
        </w:rPr>
        <w:t>.</w:t>
      </w:r>
    </w:p>
    <w:p w14:paraId="009A7D10" w14:textId="77777777" w:rsidR="00494F17" w:rsidRPr="00B9345B" w:rsidRDefault="00494F17" w:rsidP="00CC140F">
      <w:pPr>
        <w:spacing w:after="120"/>
        <w:rPr>
          <w:noProof/>
          <w:szCs w:val="24"/>
        </w:rPr>
      </w:pPr>
    </w:p>
    <w:p w14:paraId="797C0FB0" w14:textId="7492402B" w:rsidR="00B43E18" w:rsidRPr="00B9345B" w:rsidRDefault="006C40C6" w:rsidP="00CC140F">
      <w:pPr>
        <w:pStyle w:val="Heading2"/>
        <w:spacing w:after="120"/>
        <w:rPr>
          <w:noProof/>
          <w:szCs w:val="24"/>
        </w:rPr>
      </w:pPr>
      <w:bookmarkStart w:id="5" w:name="_Toc106701115"/>
      <w:r w:rsidRPr="006C40C6">
        <w:rPr>
          <w:noProof/>
          <w:szCs w:val="24"/>
        </w:rPr>
        <w:t>Governance and decision-making</w:t>
      </w:r>
      <w:bookmarkEnd w:id="5"/>
    </w:p>
    <w:p w14:paraId="2772CD72" w14:textId="073C595A" w:rsidR="00B43E18" w:rsidRPr="00B9345B" w:rsidRDefault="00B43E18" w:rsidP="00CC140F">
      <w:pPr>
        <w:spacing w:after="120"/>
        <w:rPr>
          <w:noProof/>
          <w:szCs w:val="24"/>
        </w:rPr>
      </w:pPr>
      <w:r w:rsidRPr="00B9345B">
        <w:rPr>
          <w:noProof/>
          <w:szCs w:val="24"/>
        </w:rPr>
        <w:t xml:space="preserve">The Emergency Support Instrument is based on Article 122(1) TFEU, which allows the Council, on a proposal from the Commission, to decide, in a spirit of solidarity between Member States, upon the measures appropriate to the economic situation, in particular if severe difficulties arise in the supply of certain products. </w:t>
      </w:r>
    </w:p>
    <w:p w14:paraId="1CE6AD31" w14:textId="63FBEDD5" w:rsidR="00BD7340" w:rsidRDefault="00BD7340" w:rsidP="00CC140F">
      <w:pPr>
        <w:spacing w:after="120"/>
        <w:rPr>
          <w:noProof/>
          <w:szCs w:val="24"/>
        </w:rPr>
      </w:pPr>
      <w:r>
        <w:rPr>
          <w:noProof/>
          <w:szCs w:val="24"/>
        </w:rPr>
        <w:t>O</w:t>
      </w:r>
      <w:r w:rsidRPr="00B9345B">
        <w:rPr>
          <w:noProof/>
          <w:szCs w:val="24"/>
        </w:rPr>
        <w:t>ther Union</w:t>
      </w:r>
      <w:r>
        <w:rPr>
          <w:noProof/>
          <w:szCs w:val="24"/>
        </w:rPr>
        <w:t>’s</w:t>
      </w:r>
      <w:r w:rsidRPr="00B9345B">
        <w:rPr>
          <w:noProof/>
          <w:szCs w:val="24"/>
        </w:rPr>
        <w:t xml:space="preserve"> instruments</w:t>
      </w:r>
      <w:r>
        <w:rPr>
          <w:noProof/>
          <w:szCs w:val="24"/>
        </w:rPr>
        <w:t xml:space="preserve"> already existed</w:t>
      </w:r>
      <w:r w:rsidRPr="00B9345B">
        <w:rPr>
          <w:noProof/>
          <w:szCs w:val="24"/>
        </w:rPr>
        <w:t xml:space="preserve"> to respond to different types of internal challenges, </w:t>
      </w:r>
      <w:r>
        <w:rPr>
          <w:noProof/>
          <w:szCs w:val="24"/>
        </w:rPr>
        <w:t>e.g.</w:t>
      </w:r>
      <w:r w:rsidRPr="00B9345B">
        <w:rPr>
          <w:noProof/>
          <w:szCs w:val="24"/>
        </w:rPr>
        <w:t xml:space="preserve"> the measures provided for under the Union Civil Protection Mechanism (UCPM) established by Decision No 1313/2013/EU</w:t>
      </w:r>
      <w:r>
        <w:rPr>
          <w:noProof/>
          <w:szCs w:val="24"/>
        </w:rPr>
        <w:t>,</w:t>
      </w:r>
      <w:r w:rsidRPr="00B9345B">
        <w:rPr>
          <w:noProof/>
          <w:szCs w:val="24"/>
        </w:rPr>
        <w:t xml:space="preserve"> rescEU or the Joint Procurement Agreement for medicines and medical equipment</w:t>
      </w:r>
      <w:r>
        <w:rPr>
          <w:noProof/>
          <w:szCs w:val="24"/>
        </w:rPr>
        <w:t>.</w:t>
      </w:r>
      <w:r w:rsidRPr="00B9345B">
        <w:rPr>
          <w:noProof/>
          <w:szCs w:val="24"/>
        </w:rPr>
        <w:t xml:space="preserve"> </w:t>
      </w:r>
      <w:r>
        <w:rPr>
          <w:noProof/>
          <w:szCs w:val="24"/>
        </w:rPr>
        <w:t>Nonetheless, w</w:t>
      </w:r>
      <w:r w:rsidRPr="00B9345B">
        <w:rPr>
          <w:noProof/>
          <w:szCs w:val="24"/>
        </w:rPr>
        <w:t>hile the EU already benefit</w:t>
      </w:r>
      <w:r>
        <w:rPr>
          <w:noProof/>
          <w:szCs w:val="24"/>
        </w:rPr>
        <w:t>ed</w:t>
      </w:r>
      <w:r w:rsidRPr="00B9345B">
        <w:rPr>
          <w:noProof/>
          <w:szCs w:val="24"/>
        </w:rPr>
        <w:t xml:space="preserve"> from </w:t>
      </w:r>
      <w:r>
        <w:rPr>
          <w:noProof/>
          <w:szCs w:val="24"/>
        </w:rPr>
        <w:t xml:space="preserve">them, </w:t>
      </w:r>
      <w:r w:rsidRPr="00B9345B">
        <w:rPr>
          <w:noProof/>
          <w:szCs w:val="24"/>
        </w:rPr>
        <w:t xml:space="preserve">these instruments </w:t>
      </w:r>
      <w:r w:rsidR="00AB60DC">
        <w:rPr>
          <w:noProof/>
          <w:szCs w:val="24"/>
        </w:rPr>
        <w:t>were</w:t>
      </w:r>
      <w:r w:rsidR="00AB60DC" w:rsidRPr="00B9345B">
        <w:rPr>
          <w:noProof/>
          <w:szCs w:val="24"/>
        </w:rPr>
        <w:t xml:space="preserve"> </w:t>
      </w:r>
      <w:r w:rsidRPr="00B9345B">
        <w:rPr>
          <w:noProof/>
          <w:szCs w:val="24"/>
        </w:rPr>
        <w:t xml:space="preserve">limited in scale and </w:t>
      </w:r>
      <w:r>
        <w:rPr>
          <w:noProof/>
          <w:szCs w:val="24"/>
        </w:rPr>
        <w:t>the response they could provide was</w:t>
      </w:r>
      <w:r w:rsidRPr="00B9345B">
        <w:rPr>
          <w:noProof/>
          <w:szCs w:val="24"/>
        </w:rPr>
        <w:t xml:space="preserve"> </w:t>
      </w:r>
      <w:r>
        <w:rPr>
          <w:noProof/>
          <w:szCs w:val="24"/>
        </w:rPr>
        <w:t>in</w:t>
      </w:r>
      <w:r w:rsidRPr="00B9345B">
        <w:rPr>
          <w:noProof/>
          <w:szCs w:val="24"/>
        </w:rPr>
        <w:t>sufficient to address the exceptional and wide-ranging needs resulting from the pandemic.</w:t>
      </w:r>
      <w:r w:rsidRPr="00D12A88">
        <w:rPr>
          <w:noProof/>
          <w:szCs w:val="24"/>
        </w:rPr>
        <w:t xml:space="preserve"> </w:t>
      </w:r>
      <w:r>
        <w:rPr>
          <w:noProof/>
          <w:szCs w:val="24"/>
        </w:rPr>
        <w:t>Within its scope</w:t>
      </w:r>
      <w:r w:rsidRPr="00A2237D">
        <w:rPr>
          <w:noProof/>
          <w:szCs w:val="24"/>
        </w:rPr>
        <w:t xml:space="preserve"> </w:t>
      </w:r>
      <w:r>
        <w:rPr>
          <w:noProof/>
          <w:szCs w:val="24"/>
        </w:rPr>
        <w:t xml:space="preserve">and </w:t>
      </w:r>
      <w:r w:rsidRPr="00B9345B">
        <w:rPr>
          <w:noProof/>
          <w:szCs w:val="24"/>
        </w:rPr>
        <w:t>only in exceptional circumstances</w:t>
      </w:r>
      <w:r>
        <w:rPr>
          <w:noProof/>
          <w:szCs w:val="24"/>
        </w:rPr>
        <w:t>,</w:t>
      </w:r>
      <w:r w:rsidRPr="00B9345B">
        <w:rPr>
          <w:noProof/>
          <w:szCs w:val="24"/>
        </w:rPr>
        <w:t xml:space="preserve"> whe</w:t>
      </w:r>
      <w:r>
        <w:rPr>
          <w:noProof/>
          <w:szCs w:val="24"/>
        </w:rPr>
        <w:t>n</w:t>
      </w:r>
      <w:r w:rsidRPr="00B9345B">
        <w:rPr>
          <w:noProof/>
          <w:szCs w:val="24"/>
        </w:rPr>
        <w:t xml:space="preserve"> no other instrument available to Member States and Union </w:t>
      </w:r>
      <w:r w:rsidR="00AB60DC">
        <w:rPr>
          <w:noProof/>
          <w:szCs w:val="24"/>
        </w:rPr>
        <w:t>would prove to be</w:t>
      </w:r>
      <w:r w:rsidR="00AB60DC" w:rsidRPr="00B9345B">
        <w:rPr>
          <w:noProof/>
          <w:szCs w:val="24"/>
        </w:rPr>
        <w:t xml:space="preserve"> </w:t>
      </w:r>
      <w:r w:rsidRPr="00B9345B">
        <w:rPr>
          <w:noProof/>
          <w:szCs w:val="24"/>
        </w:rPr>
        <w:t>sufficient, the E</w:t>
      </w:r>
      <w:r w:rsidR="006660B2">
        <w:rPr>
          <w:noProof/>
          <w:szCs w:val="24"/>
        </w:rPr>
        <w:t>SI</w:t>
      </w:r>
      <w:r w:rsidRPr="00B9345B">
        <w:rPr>
          <w:noProof/>
          <w:szCs w:val="24"/>
        </w:rPr>
        <w:t xml:space="preserve"> </w:t>
      </w:r>
      <w:r w:rsidR="00AB60DC" w:rsidRPr="00B9345B">
        <w:rPr>
          <w:noProof/>
          <w:szCs w:val="24"/>
        </w:rPr>
        <w:t>complement</w:t>
      </w:r>
      <w:r w:rsidR="00AB60DC">
        <w:rPr>
          <w:noProof/>
          <w:szCs w:val="24"/>
        </w:rPr>
        <w:t>ed</w:t>
      </w:r>
      <w:r w:rsidR="00AB60DC" w:rsidRPr="00B9345B">
        <w:rPr>
          <w:noProof/>
          <w:szCs w:val="24"/>
        </w:rPr>
        <w:t xml:space="preserve"> </w:t>
      </w:r>
      <w:r w:rsidRPr="00B9345B">
        <w:rPr>
          <w:noProof/>
          <w:szCs w:val="24"/>
        </w:rPr>
        <w:t>the efforts of Member States</w:t>
      </w:r>
      <w:r>
        <w:rPr>
          <w:noProof/>
          <w:szCs w:val="24"/>
        </w:rPr>
        <w:t xml:space="preserve"> while maintaining</w:t>
      </w:r>
      <w:r w:rsidRPr="00B9345B">
        <w:rPr>
          <w:noProof/>
          <w:szCs w:val="24"/>
        </w:rPr>
        <w:t xml:space="preserve"> close cooperation and consultation with them.</w:t>
      </w:r>
    </w:p>
    <w:p w14:paraId="0F80D3E5" w14:textId="141D57FB" w:rsidR="00A03B94" w:rsidRDefault="00BD7340" w:rsidP="00CC140F">
      <w:pPr>
        <w:spacing w:after="120"/>
        <w:rPr>
          <w:noProof/>
        </w:rPr>
      </w:pPr>
      <w:r>
        <w:rPr>
          <w:noProof/>
          <w:szCs w:val="24"/>
        </w:rPr>
        <w:t>I</w:t>
      </w:r>
      <w:r w:rsidRPr="00B9345B">
        <w:rPr>
          <w:noProof/>
          <w:szCs w:val="24"/>
        </w:rPr>
        <w:t>n order to provide strategic coordination of the instr</w:t>
      </w:r>
      <w:r>
        <w:rPr>
          <w:noProof/>
          <w:szCs w:val="24"/>
        </w:rPr>
        <w:t>ument, in particular as concerned</w:t>
      </w:r>
      <w:r w:rsidRPr="00B9345B">
        <w:rPr>
          <w:noProof/>
          <w:szCs w:val="24"/>
        </w:rPr>
        <w:t xml:space="preserve"> priority setting and allocation of funding, </w:t>
      </w:r>
      <w:r>
        <w:rPr>
          <w:noProof/>
          <w:szCs w:val="24"/>
        </w:rPr>
        <w:t>a</w:t>
      </w:r>
      <w:r w:rsidRPr="00B9345B">
        <w:rPr>
          <w:noProof/>
          <w:szCs w:val="24"/>
        </w:rPr>
        <w:t xml:space="preserve"> specific internal governance arrangement was </w:t>
      </w:r>
      <w:r>
        <w:rPr>
          <w:noProof/>
          <w:szCs w:val="24"/>
        </w:rPr>
        <w:t>created.</w:t>
      </w:r>
      <w:r w:rsidRPr="00B9345B">
        <w:rPr>
          <w:noProof/>
          <w:szCs w:val="24"/>
        </w:rPr>
        <w:t xml:space="preserve"> </w:t>
      </w:r>
      <w:r>
        <w:rPr>
          <w:noProof/>
          <w:szCs w:val="24"/>
        </w:rPr>
        <w:t>This included</w:t>
      </w:r>
      <w:r w:rsidRPr="00B9345B">
        <w:rPr>
          <w:noProof/>
          <w:szCs w:val="24"/>
        </w:rPr>
        <w:t xml:space="preserve"> </w:t>
      </w:r>
      <w:r w:rsidR="00B76AB9" w:rsidRPr="00B9345B">
        <w:rPr>
          <w:noProof/>
          <w:szCs w:val="24"/>
        </w:rPr>
        <w:t>a Steering Committee</w:t>
      </w:r>
      <w:r w:rsidR="00B76AB9">
        <w:rPr>
          <w:noProof/>
          <w:szCs w:val="24"/>
        </w:rPr>
        <w:t xml:space="preserve"> </w:t>
      </w:r>
      <w:r w:rsidR="00B76AB9">
        <w:rPr>
          <w:noProof/>
        </w:rPr>
        <w:t>(“ESI Steering Committee”)</w:t>
      </w:r>
      <w:r w:rsidR="00E92D90">
        <w:rPr>
          <w:noProof/>
          <w:szCs w:val="24"/>
        </w:rPr>
        <w:t>,</w:t>
      </w:r>
      <w:r w:rsidR="00093C31">
        <w:rPr>
          <w:noProof/>
          <w:szCs w:val="24"/>
        </w:rPr>
        <w:t xml:space="preserve"> whose main tasks included providing guidelines</w:t>
      </w:r>
      <w:r w:rsidR="001608CC">
        <w:rPr>
          <w:noProof/>
          <w:szCs w:val="24"/>
        </w:rPr>
        <w:t xml:space="preserve"> to ensure strategic actions under the ESI framework</w:t>
      </w:r>
      <w:r w:rsidR="00093C31">
        <w:rPr>
          <w:noProof/>
          <w:szCs w:val="24"/>
        </w:rPr>
        <w:t xml:space="preserve">, setting priorities and allocating the relevant budget, and </w:t>
      </w:r>
      <w:r w:rsidR="001608CC">
        <w:rPr>
          <w:noProof/>
          <w:szCs w:val="24"/>
        </w:rPr>
        <w:t>eventually</w:t>
      </w:r>
      <w:r w:rsidR="00093C31">
        <w:rPr>
          <w:noProof/>
          <w:szCs w:val="24"/>
        </w:rPr>
        <w:t xml:space="preserve"> taking stock of the progress.</w:t>
      </w:r>
      <w:r w:rsidR="00E92D90">
        <w:rPr>
          <w:noProof/>
          <w:szCs w:val="24"/>
        </w:rPr>
        <w:t xml:space="preserve"> </w:t>
      </w:r>
      <w:r w:rsidR="00093C31">
        <w:rPr>
          <w:noProof/>
        </w:rPr>
        <w:t>C</w:t>
      </w:r>
      <w:r w:rsidR="007A1C9F">
        <w:rPr>
          <w:noProof/>
        </w:rPr>
        <w:t xml:space="preserve">haired by the </w:t>
      </w:r>
      <w:r w:rsidR="00CC140F">
        <w:rPr>
          <w:noProof/>
        </w:rPr>
        <w:t>Secretariat General (</w:t>
      </w:r>
      <w:r w:rsidR="007A1C9F">
        <w:rPr>
          <w:noProof/>
        </w:rPr>
        <w:t>SG</w:t>
      </w:r>
      <w:r w:rsidR="00CC140F">
        <w:rPr>
          <w:noProof/>
        </w:rPr>
        <w:t>)</w:t>
      </w:r>
      <w:r w:rsidR="007A1C9F">
        <w:rPr>
          <w:noProof/>
        </w:rPr>
        <w:t xml:space="preserve"> </w:t>
      </w:r>
      <w:r w:rsidR="00093C31">
        <w:rPr>
          <w:noProof/>
        </w:rPr>
        <w:t xml:space="preserve">– </w:t>
      </w:r>
      <w:r w:rsidR="004F6F75">
        <w:rPr>
          <w:noProof/>
        </w:rPr>
        <w:t xml:space="preserve">and </w:t>
      </w:r>
      <w:r w:rsidR="004E0E1E">
        <w:rPr>
          <w:noProof/>
        </w:rPr>
        <w:t xml:space="preserve">as from 15 July 2021 </w:t>
      </w:r>
      <w:r w:rsidR="004F6F75">
        <w:rPr>
          <w:noProof/>
        </w:rPr>
        <w:t xml:space="preserve"> by the Directorate General for Hea</w:t>
      </w:r>
      <w:r w:rsidR="00093C31">
        <w:rPr>
          <w:noProof/>
        </w:rPr>
        <w:t xml:space="preserve">lth and Food Safety (DG SANTE) –, it was </w:t>
      </w:r>
      <w:r w:rsidR="00B76AB9">
        <w:rPr>
          <w:noProof/>
        </w:rPr>
        <w:t>composed of the Directors General for Budget</w:t>
      </w:r>
      <w:r w:rsidR="007A1C9F">
        <w:rPr>
          <w:noProof/>
        </w:rPr>
        <w:t xml:space="preserve"> (BUDG)</w:t>
      </w:r>
      <w:r w:rsidR="00B76AB9">
        <w:rPr>
          <w:noProof/>
        </w:rPr>
        <w:t>, Internal Market Industry, Entrepreneurship and SMEs</w:t>
      </w:r>
      <w:r w:rsidR="007A1C9F">
        <w:rPr>
          <w:noProof/>
        </w:rPr>
        <w:t xml:space="preserve"> (GROW)</w:t>
      </w:r>
      <w:r w:rsidR="00B76AB9">
        <w:rPr>
          <w:noProof/>
        </w:rPr>
        <w:t>, Health and Food Safety</w:t>
      </w:r>
      <w:r w:rsidR="007A1C9F">
        <w:rPr>
          <w:noProof/>
        </w:rPr>
        <w:t xml:space="preserve"> (SANTE)</w:t>
      </w:r>
      <w:r w:rsidR="00B76AB9">
        <w:rPr>
          <w:noProof/>
        </w:rPr>
        <w:t>, European Civil Protection and Humanitarian Aid Operations</w:t>
      </w:r>
      <w:r w:rsidR="007A1C9F">
        <w:rPr>
          <w:noProof/>
        </w:rPr>
        <w:t xml:space="preserve"> (ECHO)</w:t>
      </w:r>
      <w:r w:rsidR="00B76AB9">
        <w:rPr>
          <w:noProof/>
        </w:rPr>
        <w:t xml:space="preserve">, Migration and Home Affairs </w:t>
      </w:r>
      <w:r w:rsidR="007A1C9F">
        <w:rPr>
          <w:noProof/>
        </w:rPr>
        <w:t xml:space="preserve">(HOME) </w:t>
      </w:r>
      <w:r w:rsidR="00B76AB9">
        <w:rPr>
          <w:noProof/>
        </w:rPr>
        <w:t>and Communication Networks, Content and Technology</w:t>
      </w:r>
      <w:r w:rsidR="007A1C9F">
        <w:rPr>
          <w:noProof/>
        </w:rPr>
        <w:t xml:space="preserve"> (CNECT)</w:t>
      </w:r>
      <w:r w:rsidR="00B76AB9">
        <w:rPr>
          <w:noProof/>
        </w:rPr>
        <w:t xml:space="preserve">. </w:t>
      </w:r>
    </w:p>
    <w:p w14:paraId="6FCA84F9" w14:textId="133F00B6" w:rsidR="00B76AB9" w:rsidRDefault="00B079AD" w:rsidP="00CC140F">
      <w:pPr>
        <w:spacing w:after="120"/>
        <w:rPr>
          <w:noProof/>
        </w:rPr>
      </w:pPr>
      <w:r w:rsidRPr="00B079AD">
        <w:rPr>
          <w:noProof/>
        </w:rPr>
        <w:t xml:space="preserve">The ESI Steering Committee </w:t>
      </w:r>
      <w:r w:rsidR="00A15F57">
        <w:rPr>
          <w:noProof/>
        </w:rPr>
        <w:t>was sup</w:t>
      </w:r>
      <w:r w:rsidR="00596B79">
        <w:rPr>
          <w:noProof/>
        </w:rPr>
        <w:t>ported</w:t>
      </w:r>
      <w:r w:rsidR="00A15F57">
        <w:rPr>
          <w:noProof/>
        </w:rPr>
        <w:t xml:space="preserve"> by the</w:t>
      </w:r>
      <w:r>
        <w:rPr>
          <w:noProof/>
        </w:rPr>
        <w:t xml:space="preserve"> </w:t>
      </w:r>
      <w:r w:rsidRPr="00B079AD">
        <w:rPr>
          <w:noProof/>
        </w:rPr>
        <w:t>ESI Task Force</w:t>
      </w:r>
      <w:r w:rsidR="00A15F57">
        <w:rPr>
          <w:noProof/>
        </w:rPr>
        <w:t>,</w:t>
      </w:r>
      <w:r>
        <w:rPr>
          <w:noProof/>
        </w:rPr>
        <w:t xml:space="preserve"> responsible for </w:t>
      </w:r>
      <w:r w:rsidR="00F9473E">
        <w:rPr>
          <w:noProof/>
        </w:rPr>
        <w:t>drafting the agenda and coordinating the activities of the Steering Committee</w:t>
      </w:r>
      <w:r w:rsidR="005D3381">
        <w:rPr>
          <w:noProof/>
        </w:rPr>
        <w:t>, ensuring timely delivery of its decisions and effective implementation of its actions.</w:t>
      </w:r>
      <w:r w:rsidR="00F9473E">
        <w:rPr>
          <w:noProof/>
        </w:rPr>
        <w:t xml:space="preserve">  Together, the Steering Committee and the ESI Task Force </w:t>
      </w:r>
      <w:r w:rsidRPr="00B079AD">
        <w:rPr>
          <w:noProof/>
        </w:rPr>
        <w:t>select</w:t>
      </w:r>
      <w:r w:rsidR="00F9473E">
        <w:rPr>
          <w:noProof/>
        </w:rPr>
        <w:t>ed</w:t>
      </w:r>
      <w:r w:rsidRPr="00B079AD">
        <w:rPr>
          <w:noProof/>
        </w:rPr>
        <w:t xml:space="preserve"> the beneficiary activities, according to the emerging needs</w:t>
      </w:r>
      <w:r>
        <w:rPr>
          <w:noProof/>
        </w:rPr>
        <w:t xml:space="preserve"> at each moment of the pandemic</w:t>
      </w:r>
      <w:r w:rsidRPr="00B079AD">
        <w:rPr>
          <w:noProof/>
        </w:rPr>
        <w:t>, after ensuring that no possibility existed to finance those activities through other EU mechanisms and funds.</w:t>
      </w:r>
    </w:p>
    <w:p w14:paraId="0C2624C2" w14:textId="2BB877DD" w:rsidR="00A65909" w:rsidRDefault="00A65909" w:rsidP="00CC140F">
      <w:pPr>
        <w:spacing w:after="120"/>
        <w:rPr>
          <w:noProof/>
        </w:rPr>
      </w:pPr>
      <w:r w:rsidRPr="00A65909">
        <w:rPr>
          <w:noProof/>
          <w:lang w:eastAsia="en-GB"/>
        </w:rPr>
        <w:drawing>
          <wp:inline distT="0" distB="0" distL="0" distR="0" wp14:anchorId="29FB64C3" wp14:editId="2661FA9A">
            <wp:extent cx="5472430" cy="30089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2430" cy="3008988"/>
                    </a:xfrm>
                    <a:prstGeom prst="rect">
                      <a:avLst/>
                    </a:prstGeom>
                    <a:noFill/>
                    <a:ln>
                      <a:noFill/>
                    </a:ln>
                  </pic:spPr>
                </pic:pic>
              </a:graphicData>
            </a:graphic>
          </wp:inline>
        </w:drawing>
      </w:r>
    </w:p>
    <w:p w14:paraId="475C360C" w14:textId="48FF24C8" w:rsidR="00B76AB9" w:rsidRDefault="00B76AB9" w:rsidP="00CC140F">
      <w:pPr>
        <w:spacing w:after="120"/>
        <w:rPr>
          <w:noProof/>
        </w:rPr>
      </w:pPr>
      <w:r w:rsidRPr="00B9345B">
        <w:rPr>
          <w:noProof/>
          <w:szCs w:val="24"/>
        </w:rPr>
        <w:t xml:space="preserve">As a result of the selection of actions prioritised for funding, </w:t>
      </w:r>
      <w:r>
        <w:rPr>
          <w:noProof/>
          <w:szCs w:val="24"/>
        </w:rPr>
        <w:t>there were additional services implementing part of the budget, through co-delegations or cross sub-delegations (</w:t>
      </w:r>
      <w:r w:rsidRPr="00B9345B">
        <w:rPr>
          <w:noProof/>
          <w:szCs w:val="24"/>
        </w:rPr>
        <w:t>DGs Informatics</w:t>
      </w:r>
      <w:r w:rsidR="007A1C9F">
        <w:rPr>
          <w:noProof/>
          <w:szCs w:val="24"/>
        </w:rPr>
        <w:t xml:space="preserve"> (DIGIT)</w:t>
      </w:r>
      <w:r w:rsidRPr="00B9345B">
        <w:rPr>
          <w:noProof/>
          <w:szCs w:val="24"/>
        </w:rPr>
        <w:t>, Mobility and Transport</w:t>
      </w:r>
      <w:r w:rsidR="007A1C9F">
        <w:rPr>
          <w:noProof/>
          <w:szCs w:val="24"/>
        </w:rPr>
        <w:t xml:space="preserve"> (MOVE)</w:t>
      </w:r>
      <w:r w:rsidRPr="00B9345B">
        <w:rPr>
          <w:noProof/>
          <w:szCs w:val="24"/>
        </w:rPr>
        <w:t>, Environment</w:t>
      </w:r>
      <w:r w:rsidR="007A1C9F">
        <w:rPr>
          <w:noProof/>
          <w:szCs w:val="24"/>
        </w:rPr>
        <w:t xml:space="preserve"> (ENV)</w:t>
      </w:r>
      <w:r>
        <w:rPr>
          <w:noProof/>
          <w:szCs w:val="24"/>
        </w:rPr>
        <w:t>,</w:t>
      </w:r>
      <w:r w:rsidRPr="00B9345B">
        <w:rPr>
          <w:noProof/>
          <w:szCs w:val="24"/>
        </w:rPr>
        <w:t xml:space="preserve"> The Joint Research Centre</w:t>
      </w:r>
      <w:r w:rsidR="007A1C9F">
        <w:rPr>
          <w:noProof/>
          <w:szCs w:val="24"/>
        </w:rPr>
        <w:t xml:space="preserve"> (JRC)</w:t>
      </w:r>
      <w:r>
        <w:rPr>
          <w:noProof/>
          <w:szCs w:val="24"/>
        </w:rPr>
        <w:t xml:space="preserve">, Health Emergency Preparedness and </w:t>
      </w:r>
      <w:r w:rsidR="007A1C9F">
        <w:rPr>
          <w:noProof/>
          <w:szCs w:val="24"/>
        </w:rPr>
        <w:t>R</w:t>
      </w:r>
      <w:r>
        <w:rPr>
          <w:noProof/>
          <w:szCs w:val="24"/>
        </w:rPr>
        <w:t>esponse Authority</w:t>
      </w:r>
      <w:r w:rsidR="007A1C9F">
        <w:rPr>
          <w:noProof/>
          <w:szCs w:val="24"/>
        </w:rPr>
        <w:t xml:space="preserve"> (HERA)</w:t>
      </w:r>
      <w:r>
        <w:rPr>
          <w:noProof/>
          <w:szCs w:val="24"/>
        </w:rPr>
        <w:t>, and International Partnerships</w:t>
      </w:r>
      <w:r w:rsidR="007A1C9F">
        <w:rPr>
          <w:noProof/>
          <w:szCs w:val="24"/>
        </w:rPr>
        <w:t xml:space="preserve"> (INTPA)</w:t>
      </w:r>
      <w:r>
        <w:rPr>
          <w:noProof/>
          <w:szCs w:val="24"/>
        </w:rPr>
        <w:t xml:space="preserve">). There were no actions </w:t>
      </w:r>
      <w:r w:rsidR="007A1C9F">
        <w:rPr>
          <w:noProof/>
          <w:szCs w:val="24"/>
        </w:rPr>
        <w:t xml:space="preserve">implemented </w:t>
      </w:r>
      <w:r>
        <w:rPr>
          <w:noProof/>
          <w:szCs w:val="24"/>
        </w:rPr>
        <w:t>in the field of Internal Market, Industry, Entrepreneurship and SMEs</w:t>
      </w:r>
      <w:r w:rsidRPr="00B9345B">
        <w:rPr>
          <w:noProof/>
          <w:szCs w:val="24"/>
        </w:rPr>
        <w:t>.</w:t>
      </w:r>
    </w:p>
    <w:p w14:paraId="37925249" w14:textId="14ECC903" w:rsidR="00B76AB9" w:rsidRDefault="00B76AB9" w:rsidP="00CC140F">
      <w:pPr>
        <w:spacing w:after="120"/>
        <w:rPr>
          <w:noProof/>
          <w:szCs w:val="24"/>
        </w:rPr>
      </w:pPr>
      <w:r w:rsidRPr="00B9345B">
        <w:rPr>
          <w:noProof/>
          <w:szCs w:val="24"/>
        </w:rPr>
        <w:t>The E</w:t>
      </w:r>
      <w:r w:rsidR="001D24A8">
        <w:rPr>
          <w:noProof/>
          <w:szCs w:val="24"/>
        </w:rPr>
        <w:t>S</w:t>
      </w:r>
      <w:r w:rsidR="006660B2">
        <w:rPr>
          <w:noProof/>
          <w:szCs w:val="24"/>
        </w:rPr>
        <w:t>I</w:t>
      </w:r>
      <w:r w:rsidRPr="00B9345B">
        <w:rPr>
          <w:noProof/>
          <w:szCs w:val="24"/>
        </w:rPr>
        <w:t xml:space="preserve"> </w:t>
      </w:r>
      <w:r>
        <w:rPr>
          <w:noProof/>
          <w:szCs w:val="24"/>
        </w:rPr>
        <w:t>was</w:t>
      </w:r>
      <w:r w:rsidRPr="00B9345B">
        <w:rPr>
          <w:noProof/>
          <w:szCs w:val="24"/>
        </w:rPr>
        <w:t xml:space="preserve"> centrally managed by the Commission and implemented very largely through direct management (grants (9%) and procurement (89%)), with around 2% of the funding being implemented through indirect management via the International Federation of the Red Cross</w:t>
      </w:r>
      <w:r w:rsidR="00BD7340">
        <w:rPr>
          <w:noProof/>
          <w:szCs w:val="24"/>
        </w:rPr>
        <w:t xml:space="preserve"> (IFRC)</w:t>
      </w:r>
      <w:r>
        <w:rPr>
          <w:noProof/>
          <w:szCs w:val="24"/>
        </w:rPr>
        <w:t xml:space="preserve">, </w:t>
      </w:r>
      <w:r w:rsidRPr="00B9345B">
        <w:rPr>
          <w:noProof/>
          <w:szCs w:val="24"/>
        </w:rPr>
        <w:t xml:space="preserve">the European Union Aviation Safety Agency (EASA) and </w:t>
      </w:r>
      <w:r>
        <w:rPr>
          <w:noProof/>
          <w:szCs w:val="24"/>
        </w:rPr>
        <w:t xml:space="preserve">the </w:t>
      </w:r>
      <w:r w:rsidRPr="00B9345B">
        <w:rPr>
          <w:noProof/>
          <w:szCs w:val="24"/>
        </w:rPr>
        <w:t>International Organi</w:t>
      </w:r>
      <w:r>
        <w:rPr>
          <w:noProof/>
          <w:szCs w:val="24"/>
        </w:rPr>
        <w:t>z</w:t>
      </w:r>
      <w:r w:rsidRPr="00B9345B">
        <w:rPr>
          <w:noProof/>
          <w:szCs w:val="24"/>
        </w:rPr>
        <w:t>ation for Migration</w:t>
      </w:r>
      <w:r w:rsidR="00BD7340">
        <w:rPr>
          <w:noProof/>
          <w:szCs w:val="24"/>
        </w:rPr>
        <w:t xml:space="preserve"> (IOM)</w:t>
      </w:r>
      <w:r w:rsidRPr="00B9345B">
        <w:rPr>
          <w:noProof/>
          <w:szCs w:val="24"/>
        </w:rPr>
        <w:t>.</w:t>
      </w:r>
    </w:p>
    <w:p w14:paraId="5AE831EF" w14:textId="77777777" w:rsidR="00494F17" w:rsidRDefault="00494F17" w:rsidP="00CC140F">
      <w:pPr>
        <w:spacing w:after="120"/>
        <w:rPr>
          <w:noProof/>
          <w:szCs w:val="24"/>
        </w:rPr>
      </w:pPr>
    </w:p>
    <w:p w14:paraId="5F0D7943" w14:textId="474CC35A" w:rsidR="00263FEC" w:rsidRDefault="00263FEC" w:rsidP="00CC140F">
      <w:pPr>
        <w:pStyle w:val="Heading2"/>
        <w:spacing w:after="120"/>
        <w:rPr>
          <w:noProof/>
          <w:szCs w:val="24"/>
        </w:rPr>
      </w:pPr>
      <w:bookmarkStart w:id="6" w:name="_Toc106701116"/>
      <w:r>
        <w:rPr>
          <w:noProof/>
          <w:szCs w:val="24"/>
        </w:rPr>
        <w:t>Budget</w:t>
      </w:r>
      <w:r w:rsidR="00EE1665">
        <w:rPr>
          <w:noProof/>
          <w:szCs w:val="24"/>
        </w:rPr>
        <w:t xml:space="preserve"> and implementation</w:t>
      </w:r>
      <w:bookmarkEnd w:id="6"/>
    </w:p>
    <w:p w14:paraId="7009F0FC" w14:textId="4C3B9BAC" w:rsidR="000611F1" w:rsidRDefault="00263FEC" w:rsidP="00CC140F">
      <w:pPr>
        <w:spacing w:after="120"/>
        <w:rPr>
          <w:noProof/>
        </w:rPr>
      </w:pPr>
      <w:r>
        <w:rPr>
          <w:noProof/>
        </w:rPr>
        <w:t>Upon the activation of the ESI</w:t>
      </w:r>
      <w:r w:rsidR="007454E5">
        <w:rPr>
          <w:noProof/>
        </w:rPr>
        <w:t xml:space="preserve"> on 14 April 2020</w:t>
      </w:r>
      <w:r>
        <w:rPr>
          <w:noProof/>
        </w:rPr>
        <w:t xml:space="preserve">, the </w:t>
      </w:r>
      <w:r w:rsidR="007A1C9F">
        <w:rPr>
          <w:noProof/>
        </w:rPr>
        <w:t>B</w:t>
      </w:r>
      <w:r>
        <w:rPr>
          <w:noProof/>
        </w:rPr>
        <w:t xml:space="preserve">udgetary </w:t>
      </w:r>
      <w:r w:rsidR="007A1C9F">
        <w:rPr>
          <w:noProof/>
        </w:rPr>
        <w:t>A</w:t>
      </w:r>
      <w:r>
        <w:rPr>
          <w:noProof/>
        </w:rPr>
        <w:t>uthority authorised EUR 2 700 000 000 for the implementation of the E</w:t>
      </w:r>
      <w:r w:rsidR="007454E5">
        <w:rPr>
          <w:noProof/>
        </w:rPr>
        <w:t>mergency Support actions</w:t>
      </w:r>
      <w:r w:rsidR="00D21914">
        <w:rPr>
          <w:noProof/>
        </w:rPr>
        <w:t xml:space="preserve">. </w:t>
      </w:r>
      <w:r w:rsidR="000611F1">
        <w:rPr>
          <w:noProof/>
        </w:rPr>
        <w:t>By its Decision C(2020)2794</w:t>
      </w:r>
      <w:r w:rsidR="000611F1">
        <w:rPr>
          <w:rStyle w:val="FootnoteReference"/>
          <w:noProof/>
        </w:rPr>
        <w:footnoteReference w:id="4"/>
      </w:r>
      <w:r w:rsidR="000611F1">
        <w:rPr>
          <w:noProof/>
        </w:rPr>
        <w:t>, the Commission authorised financing of emergency support actions under the E</w:t>
      </w:r>
      <w:r w:rsidR="006660B2">
        <w:rPr>
          <w:noProof/>
        </w:rPr>
        <w:t>SI</w:t>
      </w:r>
      <w:r w:rsidR="000611F1">
        <w:rPr>
          <w:noProof/>
        </w:rPr>
        <w:t xml:space="preserve"> Regulation.</w:t>
      </w:r>
    </w:p>
    <w:p w14:paraId="0EA151DE" w14:textId="0E8DA9D1" w:rsidR="001E345A" w:rsidRDefault="000074E4" w:rsidP="00CC140F">
      <w:pPr>
        <w:pStyle w:val="Text2"/>
        <w:spacing w:after="120"/>
        <w:ind w:left="0"/>
        <w:rPr>
          <w:noProof/>
        </w:rPr>
      </w:pPr>
      <w:r>
        <w:rPr>
          <w:noProof/>
        </w:rPr>
        <w:t xml:space="preserve">In June 2020, the Commission </w:t>
      </w:r>
      <w:r w:rsidR="00312F0C">
        <w:rPr>
          <w:noProof/>
        </w:rPr>
        <w:t>approved</w:t>
      </w:r>
      <w:r w:rsidR="00312F0C">
        <w:rPr>
          <w:rStyle w:val="FootnoteReference"/>
          <w:noProof/>
        </w:rPr>
        <w:footnoteReference w:id="5"/>
      </w:r>
      <w:r w:rsidR="00312F0C">
        <w:rPr>
          <w:noProof/>
        </w:rPr>
        <w:t xml:space="preserve"> the agreement with Member States on procuring Covid-19 vaccines on behalf of the Member States and decided</w:t>
      </w:r>
      <w:r>
        <w:rPr>
          <w:rStyle w:val="FootnoteReference"/>
          <w:noProof/>
        </w:rPr>
        <w:footnoteReference w:id="6"/>
      </w:r>
      <w:r>
        <w:rPr>
          <w:noProof/>
        </w:rPr>
        <w:t xml:space="preserve"> </w:t>
      </w:r>
      <w:r w:rsidR="007A1C9F">
        <w:rPr>
          <w:noProof/>
        </w:rPr>
        <w:t>to use part of the funding available under ESI finance the purchase of COVID-19 vaccines (so called “</w:t>
      </w:r>
      <w:r>
        <w:rPr>
          <w:noProof/>
        </w:rPr>
        <w:t>Vaccine Instrument</w:t>
      </w:r>
      <w:r w:rsidR="007A1C9F">
        <w:rPr>
          <w:noProof/>
        </w:rPr>
        <w:t>” initiative</w:t>
      </w:r>
      <w:r w:rsidR="00D47D28">
        <w:rPr>
          <w:noProof/>
        </w:rPr>
        <w:t>)</w:t>
      </w:r>
      <w:r>
        <w:rPr>
          <w:noProof/>
        </w:rPr>
        <w:t xml:space="preserve"> and already in July 2020 an urgent decision was taken</w:t>
      </w:r>
      <w:r>
        <w:rPr>
          <w:rStyle w:val="FootnoteReference"/>
          <w:noProof/>
        </w:rPr>
        <w:footnoteReference w:id="7"/>
      </w:r>
      <w:r>
        <w:rPr>
          <w:noProof/>
        </w:rPr>
        <w:t xml:space="preserve"> to increase the funding allocated to </w:t>
      </w:r>
      <w:r w:rsidR="007A1C9F">
        <w:rPr>
          <w:noProof/>
        </w:rPr>
        <w:t>this action.</w:t>
      </w:r>
    </w:p>
    <w:p w14:paraId="09943DB4" w14:textId="59EC85A3" w:rsidR="000611F1" w:rsidRDefault="001E345A" w:rsidP="00CC140F">
      <w:pPr>
        <w:pStyle w:val="Text2"/>
        <w:spacing w:after="120"/>
        <w:ind w:left="0"/>
        <w:rPr>
          <w:noProof/>
        </w:rPr>
      </w:pPr>
      <w:r>
        <w:rPr>
          <w:noProof/>
        </w:rPr>
        <w:t xml:space="preserve">In December 2020, new actions were added to the ESI by its Decision </w:t>
      </w:r>
      <w:r w:rsidRPr="002D7383">
        <w:rPr>
          <w:noProof/>
        </w:rPr>
        <w:t>C(2020)8800</w:t>
      </w:r>
      <w:r w:rsidRPr="002D7383">
        <w:rPr>
          <w:rStyle w:val="FootnoteReference"/>
          <w:noProof/>
        </w:rPr>
        <w:footnoteReference w:id="8"/>
      </w:r>
      <w:r>
        <w:rPr>
          <w:noProof/>
        </w:rPr>
        <w:t>, reflecting emerging needs related to the crisis</w:t>
      </w:r>
      <w:r w:rsidR="000611F1">
        <w:rPr>
          <w:noProof/>
        </w:rPr>
        <w:t>. The latter Decision also adapted the budget of the “Vaccine Instrument” following contributions from Member States under</w:t>
      </w:r>
      <w:r w:rsidR="000611F1" w:rsidRPr="002D7383">
        <w:rPr>
          <w:noProof/>
        </w:rPr>
        <w:t xml:space="preserve"> </w:t>
      </w:r>
      <w:r w:rsidR="000611F1">
        <w:rPr>
          <w:noProof/>
        </w:rPr>
        <w:t>Article 4(2) of the E</w:t>
      </w:r>
      <w:r w:rsidR="006660B2">
        <w:rPr>
          <w:noProof/>
        </w:rPr>
        <w:t>SI</w:t>
      </w:r>
      <w:r w:rsidR="000611F1">
        <w:rPr>
          <w:noProof/>
        </w:rPr>
        <w:t>, which provides for the possibility for Member States and other public or private donors to make contributions to the E</w:t>
      </w:r>
      <w:r w:rsidR="006660B2">
        <w:rPr>
          <w:noProof/>
        </w:rPr>
        <w:t>SI</w:t>
      </w:r>
      <w:r w:rsidR="000611F1">
        <w:rPr>
          <w:noProof/>
        </w:rPr>
        <w:t xml:space="preserve"> as external assigned revenue in accordance with Article 21(5) of Regulation (EU, Euratom) 2018/1046.</w:t>
      </w:r>
      <w:r w:rsidR="00D47D28">
        <w:rPr>
          <w:noProof/>
        </w:rPr>
        <w:t xml:space="preserve"> Additional resources were necessary because all existing flexibilities under the 2020 budget had already been exhausted.</w:t>
      </w:r>
    </w:p>
    <w:p w14:paraId="002510DF" w14:textId="5641B613" w:rsidR="007454E5" w:rsidRDefault="00A37E99" w:rsidP="00CC140F">
      <w:pPr>
        <w:pStyle w:val="Text2"/>
        <w:spacing w:after="120"/>
        <w:ind w:left="0"/>
        <w:rPr>
          <w:noProof/>
        </w:rPr>
      </w:pPr>
      <w:r>
        <w:rPr>
          <w:noProof/>
        </w:rPr>
        <w:t>B</w:t>
      </w:r>
      <w:r w:rsidR="007454E5" w:rsidRPr="00B9345B">
        <w:rPr>
          <w:noProof/>
          <w:szCs w:val="24"/>
        </w:rPr>
        <w:t xml:space="preserve">y </w:t>
      </w:r>
      <w:r w:rsidR="00D47D28">
        <w:rPr>
          <w:noProof/>
          <w:szCs w:val="24"/>
        </w:rPr>
        <w:t>the end of D</w:t>
      </w:r>
      <w:r w:rsidR="007454E5" w:rsidRPr="00B9345B">
        <w:rPr>
          <w:noProof/>
          <w:szCs w:val="24"/>
        </w:rPr>
        <w:t>ecember 2020</w:t>
      </w:r>
      <w:r w:rsidR="007454E5">
        <w:rPr>
          <w:noProof/>
          <w:szCs w:val="24"/>
        </w:rPr>
        <w:t xml:space="preserve">, </w:t>
      </w:r>
      <w:r w:rsidR="007454E5">
        <w:rPr>
          <w:noProof/>
        </w:rPr>
        <w:t>t</w:t>
      </w:r>
      <w:r w:rsidR="00D21914" w:rsidRPr="00B9345B">
        <w:rPr>
          <w:noProof/>
          <w:szCs w:val="24"/>
        </w:rPr>
        <w:t xml:space="preserve">he Member States </w:t>
      </w:r>
      <w:r w:rsidR="00D47D28">
        <w:rPr>
          <w:noProof/>
          <w:szCs w:val="24"/>
        </w:rPr>
        <w:t xml:space="preserve">contributed to the Instrument with a total amount of </w:t>
      </w:r>
      <w:r w:rsidR="00D21914" w:rsidRPr="00B9345B">
        <w:rPr>
          <w:noProof/>
          <w:szCs w:val="24"/>
        </w:rPr>
        <w:t xml:space="preserve">EUR 750 </w:t>
      </w:r>
      <w:r w:rsidR="00E03A6D">
        <w:rPr>
          <w:noProof/>
          <w:szCs w:val="24"/>
        </w:rPr>
        <w:t>million</w:t>
      </w:r>
      <w:r w:rsidR="00D21914" w:rsidRPr="00B9345B">
        <w:rPr>
          <w:noProof/>
          <w:szCs w:val="24"/>
        </w:rPr>
        <w:t xml:space="preserve"> </w:t>
      </w:r>
      <w:r w:rsidR="00D47D28">
        <w:rPr>
          <w:noProof/>
          <w:szCs w:val="24"/>
        </w:rPr>
        <w:t>of</w:t>
      </w:r>
      <w:r w:rsidR="00D21914" w:rsidRPr="00B9345B">
        <w:rPr>
          <w:noProof/>
          <w:szCs w:val="24"/>
        </w:rPr>
        <w:t xml:space="preserve"> external assigned revenue in the context of the vaccines initiative.</w:t>
      </w:r>
      <w:r w:rsidR="00CE3A3A">
        <w:rPr>
          <w:noProof/>
          <w:szCs w:val="24"/>
        </w:rPr>
        <w:t xml:space="preserve"> Thus, </w:t>
      </w:r>
      <w:r>
        <w:rPr>
          <w:noProof/>
          <w:szCs w:val="24"/>
        </w:rPr>
        <w:t xml:space="preserve">by the </w:t>
      </w:r>
      <w:r w:rsidR="00CE3A3A">
        <w:rPr>
          <w:noProof/>
          <w:szCs w:val="24"/>
        </w:rPr>
        <w:t xml:space="preserve">end </w:t>
      </w:r>
      <w:r>
        <w:rPr>
          <w:noProof/>
          <w:szCs w:val="24"/>
        </w:rPr>
        <w:t xml:space="preserve">of </w:t>
      </w:r>
      <w:r w:rsidR="00CE3A3A">
        <w:rPr>
          <w:noProof/>
          <w:szCs w:val="24"/>
        </w:rPr>
        <w:t xml:space="preserve">2020, </w:t>
      </w:r>
      <w:r w:rsidR="00CE3A3A">
        <w:rPr>
          <w:noProof/>
        </w:rPr>
        <w:t xml:space="preserve">the </w:t>
      </w:r>
      <w:r w:rsidR="00D47D28">
        <w:rPr>
          <w:noProof/>
        </w:rPr>
        <w:t>“V</w:t>
      </w:r>
      <w:r w:rsidR="00CE3A3A">
        <w:rPr>
          <w:noProof/>
        </w:rPr>
        <w:t xml:space="preserve">accine </w:t>
      </w:r>
      <w:r w:rsidR="00D47D28">
        <w:rPr>
          <w:noProof/>
        </w:rPr>
        <w:t>I</w:t>
      </w:r>
      <w:r w:rsidR="00CE3A3A">
        <w:rPr>
          <w:noProof/>
        </w:rPr>
        <w:t>nstrument</w:t>
      </w:r>
      <w:r w:rsidR="00D47D28">
        <w:rPr>
          <w:noProof/>
        </w:rPr>
        <w:t>”</w:t>
      </w:r>
      <w:r w:rsidR="00CE3A3A">
        <w:rPr>
          <w:noProof/>
        </w:rPr>
        <w:t xml:space="preserve"> totalled at </w:t>
      </w:r>
      <w:r w:rsidR="009D1DCD">
        <w:rPr>
          <w:noProof/>
        </w:rPr>
        <w:t xml:space="preserve">EUR </w:t>
      </w:r>
      <w:r w:rsidR="00CE3A3A">
        <w:rPr>
          <w:noProof/>
        </w:rPr>
        <w:t>2</w:t>
      </w:r>
      <w:r w:rsidR="000910F6">
        <w:rPr>
          <w:noProof/>
        </w:rPr>
        <w:t xml:space="preserve">.9 </w:t>
      </w:r>
      <w:r w:rsidR="00E03A6D">
        <w:rPr>
          <w:noProof/>
        </w:rPr>
        <w:t>billion</w:t>
      </w:r>
      <w:r w:rsidR="00CE3A3A">
        <w:rPr>
          <w:noProof/>
        </w:rPr>
        <w:t>.</w:t>
      </w:r>
    </w:p>
    <w:p w14:paraId="3B00BC4A" w14:textId="6BB87963" w:rsidR="006329CE" w:rsidRDefault="00E03A6D" w:rsidP="00CC140F">
      <w:pPr>
        <w:pStyle w:val="Text2"/>
        <w:spacing w:after="120"/>
        <w:ind w:left="0"/>
        <w:rPr>
          <w:noProof/>
        </w:rPr>
      </w:pPr>
      <w:r>
        <w:rPr>
          <w:noProof/>
        </w:rPr>
        <w:t>G</w:t>
      </w:r>
      <w:r w:rsidRPr="00E03A6D">
        <w:rPr>
          <w:noProof/>
        </w:rPr>
        <w:t xml:space="preserve">iven the emerging needs linked to the emergence of new variants, it was decided to reinforce the ESI budget and mobilise it for additional measures. </w:t>
      </w:r>
      <w:r w:rsidR="006329CE">
        <w:rPr>
          <w:noProof/>
          <w:szCs w:val="24"/>
        </w:rPr>
        <w:t>T</w:t>
      </w:r>
      <w:r w:rsidR="006329CE" w:rsidRPr="003C79BD">
        <w:rPr>
          <w:noProof/>
          <w:szCs w:val="24"/>
        </w:rPr>
        <w:t xml:space="preserve">he Commission proposed to reinforce the ESI with an additional EUR </w:t>
      </w:r>
      <w:r w:rsidR="006329CE">
        <w:rPr>
          <w:noProof/>
          <w:szCs w:val="24"/>
        </w:rPr>
        <w:t>231.7 million</w:t>
      </w:r>
      <w:r w:rsidR="006329CE" w:rsidRPr="003C79BD">
        <w:rPr>
          <w:noProof/>
          <w:szCs w:val="24"/>
        </w:rPr>
        <w:t xml:space="preserve"> in commitment appropriations (EUR </w:t>
      </w:r>
      <w:r w:rsidR="006329CE">
        <w:rPr>
          <w:noProof/>
          <w:szCs w:val="24"/>
        </w:rPr>
        <w:t>75.5 million</w:t>
      </w:r>
      <w:r w:rsidR="006329CE" w:rsidRPr="003C79BD">
        <w:rPr>
          <w:noProof/>
          <w:szCs w:val="24"/>
        </w:rPr>
        <w:t xml:space="preserve"> </w:t>
      </w:r>
      <w:r w:rsidR="006329CE">
        <w:rPr>
          <w:noProof/>
          <w:szCs w:val="24"/>
        </w:rPr>
        <w:t>through a B</w:t>
      </w:r>
      <w:r w:rsidR="006329CE" w:rsidRPr="003C79BD">
        <w:rPr>
          <w:noProof/>
          <w:szCs w:val="24"/>
        </w:rPr>
        <w:t xml:space="preserve">udgetary </w:t>
      </w:r>
      <w:r w:rsidR="006329CE">
        <w:rPr>
          <w:noProof/>
          <w:szCs w:val="24"/>
        </w:rPr>
        <w:t xml:space="preserve">Authority </w:t>
      </w:r>
      <w:r w:rsidR="006329CE" w:rsidRPr="003C79BD">
        <w:rPr>
          <w:noProof/>
          <w:szCs w:val="24"/>
        </w:rPr>
        <w:t xml:space="preserve">transfer </w:t>
      </w:r>
      <w:r w:rsidR="006329CE">
        <w:rPr>
          <w:noProof/>
          <w:szCs w:val="24"/>
        </w:rPr>
        <w:t xml:space="preserve">DEC 5/2021 </w:t>
      </w:r>
      <w:r w:rsidR="006329CE" w:rsidRPr="003C79BD">
        <w:rPr>
          <w:noProof/>
          <w:szCs w:val="24"/>
        </w:rPr>
        <w:t>from the Solidarity and Emergency Aid Reserve (SEAR) and EUR 156</w:t>
      </w:r>
      <w:r w:rsidR="006329CE">
        <w:rPr>
          <w:noProof/>
          <w:szCs w:val="24"/>
        </w:rPr>
        <w:t>.2</w:t>
      </w:r>
      <w:r w:rsidR="006329CE" w:rsidRPr="003C79BD">
        <w:rPr>
          <w:noProof/>
          <w:szCs w:val="24"/>
        </w:rPr>
        <w:t xml:space="preserve"> </w:t>
      </w:r>
      <w:r w:rsidR="006329CE">
        <w:rPr>
          <w:noProof/>
          <w:szCs w:val="24"/>
        </w:rPr>
        <w:t>million</w:t>
      </w:r>
      <w:r w:rsidR="006329CE" w:rsidRPr="003C79BD">
        <w:rPr>
          <w:noProof/>
          <w:szCs w:val="24"/>
        </w:rPr>
        <w:t xml:space="preserve"> </w:t>
      </w:r>
      <w:r w:rsidR="006329CE">
        <w:rPr>
          <w:noProof/>
          <w:szCs w:val="24"/>
        </w:rPr>
        <w:t xml:space="preserve">through the </w:t>
      </w:r>
      <w:r w:rsidR="006329CE" w:rsidRPr="003C79BD">
        <w:rPr>
          <w:noProof/>
          <w:szCs w:val="24"/>
        </w:rPr>
        <w:t xml:space="preserve">Draft Amending Budget </w:t>
      </w:r>
      <w:r w:rsidR="006329CE">
        <w:rPr>
          <w:noProof/>
          <w:szCs w:val="24"/>
        </w:rPr>
        <w:t>2/</w:t>
      </w:r>
      <w:r w:rsidR="006329CE" w:rsidRPr="003C79BD">
        <w:rPr>
          <w:noProof/>
          <w:szCs w:val="24"/>
        </w:rPr>
        <w:t>2021)</w:t>
      </w:r>
      <w:r w:rsidR="006329CE">
        <w:rPr>
          <w:noProof/>
          <w:szCs w:val="24"/>
        </w:rPr>
        <w:t xml:space="preserve"> to cover new actions. </w:t>
      </w:r>
      <w:r w:rsidR="001938E8">
        <w:rPr>
          <w:noProof/>
          <w:szCs w:val="24"/>
        </w:rPr>
        <w:t>I</w:t>
      </w:r>
      <w:r w:rsidR="006329CE">
        <w:rPr>
          <w:noProof/>
          <w:szCs w:val="24"/>
        </w:rPr>
        <w:t>t created</w:t>
      </w:r>
      <w:r w:rsidR="006329CE" w:rsidRPr="003C79BD">
        <w:rPr>
          <w:noProof/>
          <w:szCs w:val="24"/>
        </w:rPr>
        <w:t xml:space="preserve"> a reserve of EUR 100 </w:t>
      </w:r>
      <w:r w:rsidR="006329CE">
        <w:rPr>
          <w:noProof/>
          <w:szCs w:val="24"/>
        </w:rPr>
        <w:t>million</w:t>
      </w:r>
      <w:r w:rsidR="006329CE" w:rsidRPr="003C79BD">
        <w:rPr>
          <w:noProof/>
          <w:szCs w:val="24"/>
        </w:rPr>
        <w:t xml:space="preserve"> for emerging needs. </w:t>
      </w:r>
      <w:r w:rsidR="006329CE">
        <w:rPr>
          <w:noProof/>
          <w:szCs w:val="24"/>
        </w:rPr>
        <w:t>Following intense negotiations on the regulation between the European Parliament, the Council and the Commission, t</w:t>
      </w:r>
      <w:r w:rsidR="006329CE" w:rsidRPr="003C79BD">
        <w:rPr>
          <w:noProof/>
          <w:szCs w:val="24"/>
        </w:rPr>
        <w:t xml:space="preserve">his reserve </w:t>
      </w:r>
      <w:r w:rsidR="006329CE">
        <w:rPr>
          <w:noProof/>
          <w:szCs w:val="24"/>
        </w:rPr>
        <w:t>was later</w:t>
      </w:r>
      <w:r w:rsidR="006329CE" w:rsidRPr="003C79BD">
        <w:rPr>
          <w:noProof/>
          <w:szCs w:val="24"/>
        </w:rPr>
        <w:t xml:space="preserve"> allocated to grants to Member States to support accessibility of </w:t>
      </w:r>
      <w:r w:rsidR="006329CE">
        <w:rPr>
          <w:noProof/>
          <w:szCs w:val="24"/>
        </w:rPr>
        <w:t xml:space="preserve">diagnostic </w:t>
      </w:r>
      <w:r w:rsidR="006329CE" w:rsidRPr="003C79BD">
        <w:rPr>
          <w:noProof/>
          <w:szCs w:val="24"/>
        </w:rPr>
        <w:t xml:space="preserve">test </w:t>
      </w:r>
      <w:r w:rsidR="006329CE">
        <w:rPr>
          <w:noProof/>
          <w:szCs w:val="24"/>
        </w:rPr>
        <w:t xml:space="preserve">that qualify </w:t>
      </w:r>
      <w:r w:rsidR="006329CE" w:rsidRPr="003C79BD">
        <w:rPr>
          <w:noProof/>
          <w:szCs w:val="24"/>
        </w:rPr>
        <w:t xml:space="preserve">for the </w:t>
      </w:r>
      <w:r w:rsidR="006329CE">
        <w:rPr>
          <w:noProof/>
          <w:szCs w:val="24"/>
        </w:rPr>
        <w:t xml:space="preserve">issuance of the </w:t>
      </w:r>
      <w:r w:rsidR="006329CE" w:rsidRPr="003C79BD">
        <w:rPr>
          <w:noProof/>
          <w:szCs w:val="24"/>
        </w:rPr>
        <w:t>EU Digital Covid Certificate</w:t>
      </w:r>
      <w:r w:rsidR="006329CE">
        <w:rPr>
          <w:rStyle w:val="FootnoteReference"/>
          <w:noProof/>
          <w:szCs w:val="24"/>
        </w:rPr>
        <w:footnoteReference w:id="9"/>
      </w:r>
      <w:r w:rsidR="006329CE" w:rsidRPr="003C79BD">
        <w:rPr>
          <w:noProof/>
          <w:szCs w:val="24"/>
        </w:rPr>
        <w:t>.</w:t>
      </w:r>
    </w:p>
    <w:p w14:paraId="0660D2F4" w14:textId="7747B35D" w:rsidR="000611F1" w:rsidRDefault="000611F1" w:rsidP="00CC140F">
      <w:pPr>
        <w:pStyle w:val="Text2"/>
        <w:spacing w:after="120"/>
        <w:ind w:left="0"/>
        <w:rPr>
          <w:noProof/>
        </w:rPr>
      </w:pPr>
      <w:r>
        <w:rPr>
          <w:noProof/>
        </w:rPr>
        <w:t>Decision C(2021)2347</w:t>
      </w:r>
      <w:r>
        <w:rPr>
          <w:rStyle w:val="FootnoteReference"/>
          <w:noProof/>
        </w:rPr>
        <w:footnoteReference w:id="10"/>
      </w:r>
      <w:r>
        <w:rPr>
          <w:noProof/>
        </w:rPr>
        <w:t xml:space="preserve"> of 29 March 2021</w:t>
      </w:r>
      <w:r w:rsidRPr="00F217B3">
        <w:rPr>
          <w:noProof/>
        </w:rPr>
        <w:t xml:space="preserve"> provided that the amendment for the global budgetary envelope reserved for each line of the general budget of the Union and each implementing method would be made via subsequent Steering Committee decisions in line with the flexibility provided for in Article 4 of Decision C(2020)2794. It also extended the period of validity of the Financing Decision to the end of the ESI activation period, given the need to reinforce the emergency support with further actions and associated budget in 2021</w:t>
      </w:r>
      <w:r>
        <w:rPr>
          <w:noProof/>
        </w:rPr>
        <w:t>.</w:t>
      </w:r>
    </w:p>
    <w:p w14:paraId="476C0174" w14:textId="7540ECFC" w:rsidR="00AF2A73" w:rsidRDefault="00D21914" w:rsidP="00CC140F">
      <w:pPr>
        <w:spacing w:after="120"/>
        <w:rPr>
          <w:noProof/>
          <w:szCs w:val="24"/>
        </w:rPr>
      </w:pPr>
      <w:r w:rsidRPr="00B9345B">
        <w:rPr>
          <w:noProof/>
          <w:szCs w:val="24"/>
        </w:rPr>
        <w:t>The</w:t>
      </w:r>
      <w:r w:rsidR="0003516C">
        <w:rPr>
          <w:noProof/>
          <w:szCs w:val="24"/>
        </w:rPr>
        <w:t xml:space="preserve"> E</w:t>
      </w:r>
      <w:r w:rsidR="006660B2">
        <w:rPr>
          <w:noProof/>
          <w:szCs w:val="24"/>
        </w:rPr>
        <w:t>SI</w:t>
      </w:r>
      <w:r w:rsidRPr="00B9345B">
        <w:rPr>
          <w:noProof/>
          <w:szCs w:val="24"/>
        </w:rPr>
        <w:t xml:space="preserve"> expired on 31 January 2022 and hence no commitment appropriations were requested for 2022.</w:t>
      </w:r>
      <w:r>
        <w:rPr>
          <w:noProof/>
          <w:szCs w:val="24"/>
        </w:rPr>
        <w:t xml:space="preserve"> </w:t>
      </w:r>
    </w:p>
    <w:p w14:paraId="3BD658C8" w14:textId="77777777" w:rsidR="006329CE" w:rsidRDefault="00A37E99" w:rsidP="00BD1E51">
      <w:pPr>
        <w:pStyle w:val="Text2"/>
        <w:spacing w:after="120"/>
        <w:ind w:left="0"/>
        <w:rPr>
          <w:noProof/>
        </w:rPr>
      </w:pPr>
      <w:r>
        <w:rPr>
          <w:noProof/>
        </w:rPr>
        <w:t>During the State of the Union address o</w:t>
      </w:r>
      <w:r w:rsidR="00756FAD">
        <w:rPr>
          <w:noProof/>
        </w:rPr>
        <w:t>n 15 September 2021, President</w:t>
      </w:r>
      <w:r w:rsidR="00D04E46">
        <w:rPr>
          <w:noProof/>
        </w:rPr>
        <w:t xml:space="preserve"> </w:t>
      </w:r>
      <w:r w:rsidR="00D04E46" w:rsidRPr="00D04E46">
        <w:rPr>
          <w:noProof/>
        </w:rPr>
        <w:t>von der Leyen</w:t>
      </w:r>
      <w:r w:rsidR="00756FAD">
        <w:rPr>
          <w:noProof/>
        </w:rPr>
        <w:t xml:space="preserve"> announced</w:t>
      </w:r>
      <w:r w:rsidR="00C42FDF">
        <w:rPr>
          <w:noProof/>
        </w:rPr>
        <w:t xml:space="preserve"> </w:t>
      </w:r>
      <w:r w:rsidR="00756FAD">
        <w:rPr>
          <w:noProof/>
        </w:rPr>
        <w:t xml:space="preserve">a donation of another 200 million vaccine doses to low-income countries. </w:t>
      </w:r>
      <w:r w:rsidR="00756FAD" w:rsidRPr="00B9345B">
        <w:rPr>
          <w:noProof/>
          <w:szCs w:val="24"/>
        </w:rPr>
        <w:t xml:space="preserve">The unused </w:t>
      </w:r>
      <w:r w:rsidR="00756FAD">
        <w:rPr>
          <w:noProof/>
        </w:rPr>
        <w:t xml:space="preserve">appropriations under the exceptional Member States’ contribution of 2020 </w:t>
      </w:r>
      <w:r w:rsidR="00756FAD" w:rsidRPr="00B9345B">
        <w:rPr>
          <w:noProof/>
          <w:szCs w:val="24"/>
        </w:rPr>
        <w:t xml:space="preserve">(upon the agreement of the respective Member </w:t>
      </w:r>
      <w:r w:rsidR="0003516C">
        <w:rPr>
          <w:noProof/>
          <w:szCs w:val="24"/>
        </w:rPr>
        <w:t>S</w:t>
      </w:r>
      <w:r w:rsidR="00756FAD" w:rsidRPr="00B9345B">
        <w:rPr>
          <w:noProof/>
          <w:szCs w:val="24"/>
        </w:rPr>
        <w:t xml:space="preserve">tate) </w:t>
      </w:r>
      <w:r w:rsidR="00756FAD">
        <w:rPr>
          <w:noProof/>
          <w:szCs w:val="24"/>
        </w:rPr>
        <w:t>were</w:t>
      </w:r>
      <w:r w:rsidR="00756FAD">
        <w:rPr>
          <w:noProof/>
        </w:rPr>
        <w:t xml:space="preserve"> redirected towards this new action. The ESI financing</w:t>
      </w:r>
      <w:r w:rsidR="000611F1">
        <w:rPr>
          <w:rStyle w:val="FootnoteReference"/>
          <w:noProof/>
        </w:rPr>
        <w:footnoteReference w:id="11"/>
      </w:r>
      <w:r w:rsidR="00756FAD">
        <w:rPr>
          <w:noProof/>
        </w:rPr>
        <w:t xml:space="preserve"> complemented the financing of this action through the </w:t>
      </w:r>
      <w:r w:rsidR="00756FAD" w:rsidRPr="00B63CFD">
        <w:rPr>
          <w:noProof/>
        </w:rPr>
        <w:t xml:space="preserve">Neighbourhood, Development and International Cooperation </w:t>
      </w:r>
      <w:r w:rsidR="00756FAD" w:rsidRPr="00F217B3">
        <w:rPr>
          <w:noProof/>
        </w:rPr>
        <w:t>Instrument (NDICI)</w:t>
      </w:r>
      <w:r w:rsidR="006834FA">
        <w:rPr>
          <w:noProof/>
        </w:rPr>
        <w:t>.</w:t>
      </w:r>
      <w:r w:rsidR="00822255">
        <w:rPr>
          <w:noProof/>
        </w:rPr>
        <w:t xml:space="preserve"> </w:t>
      </w:r>
    </w:p>
    <w:p w14:paraId="0443FCDD" w14:textId="6A3D421F" w:rsidR="00AE03AA" w:rsidRDefault="00822255" w:rsidP="00BD1E51">
      <w:pPr>
        <w:pStyle w:val="Text2"/>
        <w:spacing w:after="120"/>
        <w:ind w:left="0"/>
        <w:rPr>
          <w:noProof/>
        </w:rPr>
      </w:pPr>
      <w:r>
        <w:rPr>
          <w:noProof/>
        </w:rPr>
        <w:t>Subsequently, o</w:t>
      </w:r>
      <w:r w:rsidRPr="00AB29D8">
        <w:rPr>
          <w:noProof/>
        </w:rPr>
        <w:t xml:space="preserve">n 12 May 2022, during the Second Global COVID-19 Summit, </w:t>
      </w:r>
      <w:r w:rsidR="00D04E46">
        <w:rPr>
          <w:noProof/>
        </w:rPr>
        <w:t xml:space="preserve">the </w:t>
      </w:r>
      <w:r w:rsidRPr="00AB29D8">
        <w:rPr>
          <w:noProof/>
        </w:rPr>
        <w:t xml:space="preserve">President announced the intention to accelerate the roll-out and uptake of vaccines and other COVID-19 tools in </w:t>
      </w:r>
      <w:r w:rsidR="006A43CC">
        <w:rPr>
          <w:noProof/>
        </w:rPr>
        <w:t>low income countries</w:t>
      </w:r>
      <w:r w:rsidRPr="00AB29D8">
        <w:rPr>
          <w:noProof/>
        </w:rPr>
        <w:t xml:space="preserve">. </w:t>
      </w:r>
    </w:p>
    <w:p w14:paraId="04CEABC4" w14:textId="50666BD7" w:rsidR="00D47D28" w:rsidRDefault="00822255" w:rsidP="00BD1E51">
      <w:pPr>
        <w:pStyle w:val="Text2"/>
        <w:spacing w:after="120"/>
        <w:ind w:left="0"/>
        <w:rPr>
          <w:noProof/>
        </w:rPr>
      </w:pPr>
      <w:r w:rsidRPr="00AB29D8">
        <w:rPr>
          <w:noProof/>
        </w:rPr>
        <w:t>This intention was formulated taking into account the considerable change to the supply and demand situation of COVID-19 vaccines which took place over the past months. However, the challenge to match the supply with the absorption capacity of countries of the doses donated remains partly unmet, due to often structurally weak health systems and low access to health care in third countries.</w:t>
      </w:r>
      <w:r>
        <w:rPr>
          <w:noProof/>
        </w:rPr>
        <w:t xml:space="preserve"> Therefore, it was </w:t>
      </w:r>
      <w:r w:rsidRPr="008A44A2">
        <w:rPr>
          <w:noProof/>
        </w:rPr>
        <w:t xml:space="preserve">decided </w:t>
      </w:r>
      <w:r w:rsidR="00A63188">
        <w:rPr>
          <w:noProof/>
        </w:rPr>
        <w:t xml:space="preserve">to reorient the action </w:t>
      </w:r>
      <w:r w:rsidRPr="008A44A2">
        <w:rPr>
          <w:noProof/>
        </w:rPr>
        <w:t xml:space="preserve">to better support low and lower-middle income countries </w:t>
      </w:r>
      <w:r>
        <w:rPr>
          <w:noProof/>
        </w:rPr>
        <w:t>to rol</w:t>
      </w:r>
      <w:r w:rsidRPr="008A44A2">
        <w:rPr>
          <w:noProof/>
        </w:rPr>
        <w:t xml:space="preserve">lout COVID-19 vaccination and also cover other needs linked to their COVID-19 response, namely auxiliary material, diagnostics, therapeutics and related health systems strengthening. The </w:t>
      </w:r>
      <w:r>
        <w:rPr>
          <w:noProof/>
        </w:rPr>
        <w:t>initial</w:t>
      </w:r>
      <w:r w:rsidRPr="008A44A2">
        <w:rPr>
          <w:noProof/>
        </w:rPr>
        <w:t xml:space="preserve"> objective to boost global vaccination to contribute to global immunisation that would also protect the EU from the emergence of other variants elsewhere</w:t>
      </w:r>
      <w:r>
        <w:rPr>
          <w:noProof/>
        </w:rPr>
        <w:t xml:space="preserve"> remained unchanged</w:t>
      </w:r>
      <w:r w:rsidRPr="008A44A2">
        <w:rPr>
          <w:noProof/>
        </w:rPr>
        <w:t>.</w:t>
      </w:r>
      <w:r w:rsidR="00D47D28">
        <w:rPr>
          <w:noProof/>
        </w:rPr>
        <w:t xml:space="preserve"> </w:t>
      </w:r>
    </w:p>
    <w:p w14:paraId="11CD0B25" w14:textId="4EF25890" w:rsidR="00EE1665" w:rsidRDefault="00A37E99" w:rsidP="00BD1E51">
      <w:pPr>
        <w:spacing w:after="120"/>
        <w:rPr>
          <w:noProof/>
          <w:szCs w:val="24"/>
        </w:rPr>
      </w:pPr>
      <w:r>
        <w:rPr>
          <w:noProof/>
          <w:szCs w:val="24"/>
        </w:rPr>
        <w:t>Finally, f</w:t>
      </w:r>
      <w:r w:rsidR="00EE1665" w:rsidRPr="00B9345B">
        <w:rPr>
          <w:noProof/>
          <w:szCs w:val="24"/>
        </w:rPr>
        <w:t>r</w:t>
      </w:r>
      <w:r w:rsidR="00EE1665">
        <w:rPr>
          <w:noProof/>
          <w:szCs w:val="24"/>
        </w:rPr>
        <w:t>om</w:t>
      </w:r>
      <w:r w:rsidR="00EE1665" w:rsidRPr="00B9345B">
        <w:rPr>
          <w:noProof/>
          <w:szCs w:val="24"/>
        </w:rPr>
        <w:t xml:space="preserve"> the EUR 750 </w:t>
      </w:r>
      <w:r w:rsidR="00AE03AA">
        <w:rPr>
          <w:noProof/>
          <w:szCs w:val="24"/>
        </w:rPr>
        <w:t>million</w:t>
      </w:r>
      <w:r w:rsidR="00EE1665" w:rsidRPr="00B9345B">
        <w:rPr>
          <w:noProof/>
          <w:szCs w:val="24"/>
        </w:rPr>
        <w:t xml:space="preserve"> in external assigned revenue from Member States’ contributions</w:t>
      </w:r>
      <w:r w:rsidR="00EE1665">
        <w:rPr>
          <w:noProof/>
          <w:szCs w:val="24"/>
        </w:rPr>
        <w:t xml:space="preserve">, </w:t>
      </w:r>
      <w:r w:rsidR="00EE1665" w:rsidRPr="00B9345B">
        <w:rPr>
          <w:noProof/>
          <w:szCs w:val="24"/>
        </w:rPr>
        <w:t xml:space="preserve">EUR </w:t>
      </w:r>
      <w:r w:rsidR="00EE1665">
        <w:rPr>
          <w:noProof/>
          <w:szCs w:val="24"/>
        </w:rPr>
        <w:t>27</w:t>
      </w:r>
      <w:r w:rsidR="00EE1665" w:rsidRPr="00B9345B">
        <w:rPr>
          <w:noProof/>
          <w:szCs w:val="24"/>
        </w:rPr>
        <w:t xml:space="preserve"> </w:t>
      </w:r>
      <w:r w:rsidR="00AE03AA">
        <w:rPr>
          <w:noProof/>
          <w:szCs w:val="24"/>
        </w:rPr>
        <w:t>million</w:t>
      </w:r>
      <w:r w:rsidR="00EE1665" w:rsidRPr="00B9345B">
        <w:rPr>
          <w:noProof/>
          <w:szCs w:val="24"/>
        </w:rPr>
        <w:t xml:space="preserve"> </w:t>
      </w:r>
      <w:r w:rsidR="00EE1665">
        <w:rPr>
          <w:noProof/>
          <w:szCs w:val="24"/>
        </w:rPr>
        <w:t>were not spent following negative answers from Member States</w:t>
      </w:r>
      <w:r w:rsidR="00D47D28">
        <w:rPr>
          <w:noProof/>
          <w:szCs w:val="24"/>
        </w:rPr>
        <w:t xml:space="preserve"> </w:t>
      </w:r>
      <w:r w:rsidR="00D47D28">
        <w:rPr>
          <w:noProof/>
        </w:rPr>
        <w:t>indicating that they refused the use of their contribution for proposed actions differing from the original vaccines APAs.</w:t>
      </w:r>
      <w:r w:rsidR="00EE1665" w:rsidRPr="00B9345B">
        <w:rPr>
          <w:noProof/>
          <w:szCs w:val="24"/>
        </w:rPr>
        <w:t xml:space="preserve"> </w:t>
      </w:r>
    </w:p>
    <w:p w14:paraId="695B88FD" w14:textId="77777777" w:rsidR="00494F17" w:rsidRDefault="00494F17" w:rsidP="00BD1E51">
      <w:pPr>
        <w:spacing w:after="120"/>
        <w:rPr>
          <w:noProof/>
          <w:szCs w:val="24"/>
        </w:rPr>
      </w:pPr>
    </w:p>
    <w:p w14:paraId="5165D252" w14:textId="423C75F6" w:rsidR="00EE1665" w:rsidRPr="000C0B15" w:rsidRDefault="00EE1665" w:rsidP="00BD1E51">
      <w:pPr>
        <w:spacing w:after="120"/>
        <w:rPr>
          <w:b/>
          <w:i/>
          <w:noProof/>
        </w:rPr>
      </w:pPr>
      <w:r w:rsidRPr="000C0B15">
        <w:rPr>
          <w:b/>
          <w:i/>
          <w:noProof/>
        </w:rPr>
        <w:t>Donation</w:t>
      </w:r>
      <w:r w:rsidR="008774B8">
        <w:rPr>
          <w:b/>
          <w:i/>
          <w:noProof/>
        </w:rPr>
        <w:t xml:space="preserve"> of vaccines doses</w:t>
      </w:r>
      <w:r w:rsidRPr="000C0B15">
        <w:rPr>
          <w:b/>
          <w:i/>
          <w:noProof/>
        </w:rPr>
        <w:t xml:space="preserve"> and resale at paid price</w:t>
      </w:r>
      <w:r w:rsidR="00A63188">
        <w:rPr>
          <w:b/>
          <w:i/>
          <w:noProof/>
        </w:rPr>
        <w:t xml:space="preserve"> to third countries</w:t>
      </w:r>
    </w:p>
    <w:p w14:paraId="49EC60E6" w14:textId="266730F1" w:rsidR="009A18CE" w:rsidRDefault="000F0867" w:rsidP="00BD1E51">
      <w:pPr>
        <w:spacing w:after="120"/>
        <w:rPr>
          <w:noProof/>
          <w:szCs w:val="24"/>
          <w:lang w:eastAsia="en-GB"/>
        </w:rPr>
      </w:pPr>
      <w:r>
        <w:rPr>
          <w:noProof/>
        </w:rPr>
        <w:t>E</w:t>
      </w:r>
      <w:r w:rsidR="006834FA" w:rsidRPr="00AE03AA">
        <w:rPr>
          <w:noProof/>
        </w:rPr>
        <w:t>ight</w:t>
      </w:r>
      <w:r w:rsidR="005871AE" w:rsidRPr="00AE03AA">
        <w:rPr>
          <w:noProof/>
        </w:rPr>
        <w:t xml:space="preserve"> </w:t>
      </w:r>
      <w:r w:rsidR="00CE3A3A" w:rsidRPr="00AE03AA">
        <w:rPr>
          <w:noProof/>
        </w:rPr>
        <w:t xml:space="preserve">Advanced Purchase Agreements (APAs) </w:t>
      </w:r>
      <w:r>
        <w:rPr>
          <w:noProof/>
        </w:rPr>
        <w:t xml:space="preserve">were </w:t>
      </w:r>
      <w:r w:rsidR="00CE3A3A" w:rsidRPr="00AE03AA">
        <w:rPr>
          <w:noProof/>
        </w:rPr>
        <w:t xml:space="preserve">signed under the ESI between the Commission and </w:t>
      </w:r>
      <w:r w:rsidR="002461A3">
        <w:rPr>
          <w:noProof/>
        </w:rPr>
        <w:t>the contractors</w:t>
      </w:r>
      <w:r w:rsidR="00BD1E51">
        <w:rPr>
          <w:noProof/>
        </w:rPr>
        <w:t>. They</w:t>
      </w:r>
      <w:r w:rsidR="00CE3A3A" w:rsidRPr="00AE03AA">
        <w:rPr>
          <w:noProof/>
        </w:rPr>
        <w:t xml:space="preserve"> contain provisions for resale of vaccine doses by the Member States </w:t>
      </w:r>
      <w:r w:rsidR="00BD1E51">
        <w:rPr>
          <w:noProof/>
        </w:rPr>
        <w:t>-</w:t>
      </w:r>
      <w:r w:rsidR="00CE3A3A" w:rsidRPr="00AE03AA">
        <w:rPr>
          <w:noProof/>
        </w:rPr>
        <w:t>in all but one APA, where resale is possible also by the Commission</w:t>
      </w:r>
      <w:r w:rsidR="00BD1E51">
        <w:rPr>
          <w:noProof/>
        </w:rPr>
        <w:t>-</w:t>
      </w:r>
      <w:r w:rsidR="00CE3A3A" w:rsidRPr="00AE03AA">
        <w:rPr>
          <w:noProof/>
        </w:rPr>
        <w:t xml:space="preserve"> and for donations to third countries in all but one APA, where donation is only possible to Member States.</w:t>
      </w:r>
      <w:r w:rsidR="005871AE" w:rsidRPr="00D35415">
        <w:rPr>
          <w:noProof/>
          <w:szCs w:val="24"/>
          <w:lang w:eastAsia="en-GB"/>
        </w:rPr>
        <w:t xml:space="preserve"> </w:t>
      </w:r>
    </w:p>
    <w:p w14:paraId="6848ADF8" w14:textId="3A7B6980" w:rsidR="005871AE" w:rsidRPr="00AE03AA" w:rsidRDefault="00B2438E" w:rsidP="00BD1E51">
      <w:pPr>
        <w:spacing w:after="120"/>
        <w:rPr>
          <w:noProof/>
          <w:szCs w:val="24"/>
        </w:rPr>
      </w:pPr>
      <w:r w:rsidRPr="00BD1E51">
        <w:rPr>
          <w:noProof/>
          <w:szCs w:val="24"/>
          <w:lang w:eastAsia="en-GB"/>
        </w:rPr>
        <w:t xml:space="preserve">The APAs </w:t>
      </w:r>
      <w:r w:rsidRPr="00AE03AA">
        <w:rPr>
          <w:noProof/>
        </w:rPr>
        <w:t xml:space="preserve">included up-front EU financing to de-risk essential investments to increase the speed and scale of manufacturing successful vaccines. In return, the APAs would provide the right – or under specific circumstances the obligation – to participating Member States to buy a specific number of vaccine doses in a given timeframe and at a given price. </w:t>
      </w:r>
      <w:r w:rsidR="005871AE" w:rsidRPr="00AE03AA">
        <w:rPr>
          <w:noProof/>
          <w:szCs w:val="24"/>
        </w:rPr>
        <w:t xml:space="preserve">The last APA </w:t>
      </w:r>
      <w:r w:rsidR="009A18CE">
        <w:rPr>
          <w:noProof/>
          <w:szCs w:val="24"/>
        </w:rPr>
        <w:t>(</w:t>
      </w:r>
      <w:r w:rsidR="005871AE" w:rsidRPr="00AE03AA">
        <w:rPr>
          <w:noProof/>
          <w:szCs w:val="24"/>
        </w:rPr>
        <w:t>2021</w:t>
      </w:r>
      <w:r w:rsidR="009A18CE">
        <w:rPr>
          <w:noProof/>
          <w:szCs w:val="24"/>
        </w:rPr>
        <w:t>)</w:t>
      </w:r>
      <w:r w:rsidR="00A37E99" w:rsidRPr="00AE03AA">
        <w:rPr>
          <w:noProof/>
          <w:szCs w:val="24"/>
        </w:rPr>
        <w:t>,</w:t>
      </w:r>
      <w:r w:rsidR="006834FA" w:rsidRPr="00AE03AA">
        <w:rPr>
          <w:noProof/>
          <w:szCs w:val="24"/>
        </w:rPr>
        <w:t xml:space="preserve"> however</w:t>
      </w:r>
      <w:r w:rsidR="00A37E99" w:rsidRPr="00AE03AA">
        <w:rPr>
          <w:noProof/>
          <w:szCs w:val="24"/>
        </w:rPr>
        <w:t>,</w:t>
      </w:r>
      <w:r w:rsidR="005871AE" w:rsidRPr="00AE03AA">
        <w:rPr>
          <w:noProof/>
          <w:szCs w:val="24"/>
        </w:rPr>
        <w:t xml:space="preserve"> did not receive funding through the E</w:t>
      </w:r>
      <w:r w:rsidR="006660B2" w:rsidRPr="00AE03AA">
        <w:rPr>
          <w:noProof/>
          <w:szCs w:val="24"/>
        </w:rPr>
        <w:t>SI</w:t>
      </w:r>
      <w:r w:rsidR="009A18CE">
        <w:rPr>
          <w:noProof/>
          <w:szCs w:val="24"/>
        </w:rPr>
        <w:t xml:space="preserve"> but</w:t>
      </w:r>
      <w:r w:rsidR="005871AE" w:rsidRPr="00AE03AA">
        <w:rPr>
          <w:noProof/>
          <w:szCs w:val="24"/>
        </w:rPr>
        <w:t xml:space="preserve"> was entirely financed by the Member States. </w:t>
      </w:r>
    </w:p>
    <w:p w14:paraId="2AF4B30F" w14:textId="27D7E024" w:rsidR="00CE3A3A" w:rsidRDefault="009A18CE" w:rsidP="00BD1E51">
      <w:pPr>
        <w:spacing w:after="120"/>
        <w:rPr>
          <w:noProof/>
          <w:szCs w:val="24"/>
        </w:rPr>
      </w:pPr>
      <w:r>
        <w:rPr>
          <w:noProof/>
          <w:szCs w:val="24"/>
        </w:rPr>
        <w:t>In light of the</w:t>
      </w:r>
      <w:r w:rsidR="005871AE" w:rsidRPr="002363E3">
        <w:rPr>
          <w:noProof/>
          <w:szCs w:val="24"/>
        </w:rPr>
        <w:t xml:space="preserve"> ‘spirit of </w:t>
      </w:r>
      <w:r w:rsidR="005871AE" w:rsidRPr="000C0B15">
        <w:rPr>
          <w:noProof/>
          <w:szCs w:val="24"/>
        </w:rPr>
        <w:t xml:space="preserve">solidarity </w:t>
      </w:r>
      <w:r w:rsidR="005871AE" w:rsidRPr="009B3DFD">
        <w:rPr>
          <w:i/>
          <w:iCs/>
          <w:noProof/>
          <w:szCs w:val="24"/>
        </w:rPr>
        <w:t>between Member States</w:t>
      </w:r>
      <w:r w:rsidR="005871AE" w:rsidRPr="002363E3">
        <w:rPr>
          <w:noProof/>
          <w:szCs w:val="24"/>
        </w:rPr>
        <w:t>’</w:t>
      </w:r>
      <w:r>
        <w:rPr>
          <w:noProof/>
          <w:szCs w:val="24"/>
        </w:rPr>
        <w:t xml:space="preserve"> laid out in Article 122(1) TFEU,</w:t>
      </w:r>
      <w:r>
        <w:rPr>
          <w:noProof/>
        </w:rPr>
        <w:t xml:space="preserve"> </w:t>
      </w:r>
      <w:r w:rsidR="00B2438E">
        <w:rPr>
          <w:noProof/>
        </w:rPr>
        <w:t xml:space="preserve">the direction of ESI funds towards third countries could be demonstrated as </w:t>
      </w:r>
      <w:r w:rsidR="009E0468">
        <w:rPr>
          <w:noProof/>
        </w:rPr>
        <w:t>‘</w:t>
      </w:r>
      <w:r w:rsidR="00B2438E" w:rsidRPr="002402CC">
        <w:rPr>
          <w:i/>
          <w:noProof/>
        </w:rPr>
        <w:t>measures appropriate to the economic situation</w:t>
      </w:r>
      <w:r w:rsidR="009E0468">
        <w:rPr>
          <w:noProof/>
        </w:rPr>
        <w:t>’</w:t>
      </w:r>
      <w:r w:rsidR="00B2438E">
        <w:rPr>
          <w:noProof/>
        </w:rPr>
        <w:t xml:space="preserve"> within the meaning of that Article. </w:t>
      </w:r>
      <w:r w:rsidR="002363E3" w:rsidRPr="002363E3">
        <w:rPr>
          <w:noProof/>
          <w:szCs w:val="24"/>
        </w:rPr>
        <w:t xml:space="preserve">In that respect, </w:t>
      </w:r>
      <w:r w:rsidR="002363E3" w:rsidRPr="000C0B15">
        <w:rPr>
          <w:noProof/>
          <w:szCs w:val="24"/>
        </w:rPr>
        <w:t xml:space="preserve">the approach on the absence of reimbursable amounts in case of donations or resales without economic advantage was presented by the Commission to the Vaccines Steering Board (Member States) </w:t>
      </w:r>
      <w:r>
        <w:rPr>
          <w:noProof/>
          <w:szCs w:val="24"/>
        </w:rPr>
        <w:t>in</w:t>
      </w:r>
      <w:r w:rsidR="002363E3" w:rsidRPr="000C0B15">
        <w:rPr>
          <w:noProof/>
          <w:szCs w:val="24"/>
        </w:rPr>
        <w:t xml:space="preserve"> December 2021.</w:t>
      </w:r>
      <w:r w:rsidR="002363E3">
        <w:rPr>
          <w:noProof/>
          <w:szCs w:val="24"/>
        </w:rPr>
        <w:t xml:space="preserve"> </w:t>
      </w:r>
      <w:r w:rsidR="006834FA" w:rsidRPr="002363E3">
        <w:rPr>
          <w:noProof/>
          <w:szCs w:val="24"/>
        </w:rPr>
        <w:t>Consequently,</w:t>
      </w:r>
      <w:r w:rsidR="005871AE" w:rsidRPr="002363E3">
        <w:rPr>
          <w:noProof/>
          <w:szCs w:val="24"/>
        </w:rPr>
        <w:t xml:space="preserve"> </w:t>
      </w:r>
      <w:r>
        <w:rPr>
          <w:noProof/>
          <w:szCs w:val="24"/>
        </w:rPr>
        <w:t>in</w:t>
      </w:r>
      <w:r w:rsidR="005871AE" w:rsidRPr="002363E3">
        <w:rPr>
          <w:noProof/>
          <w:szCs w:val="24"/>
        </w:rPr>
        <w:t xml:space="preserve"> February 2022, the Commission adopted </w:t>
      </w:r>
      <w:r w:rsidR="002363E3">
        <w:rPr>
          <w:noProof/>
          <w:szCs w:val="24"/>
        </w:rPr>
        <w:t xml:space="preserve">the </w:t>
      </w:r>
      <w:r w:rsidR="005871AE" w:rsidRPr="002363E3">
        <w:rPr>
          <w:noProof/>
          <w:szCs w:val="24"/>
        </w:rPr>
        <w:t>decision</w:t>
      </w:r>
      <w:r w:rsidR="005871AE" w:rsidRPr="002363E3">
        <w:rPr>
          <w:rStyle w:val="FootnoteReference"/>
          <w:noProof/>
          <w:szCs w:val="24"/>
        </w:rPr>
        <w:footnoteReference w:id="12"/>
      </w:r>
      <w:r w:rsidR="005871AE" w:rsidRPr="002363E3">
        <w:rPr>
          <w:noProof/>
          <w:szCs w:val="24"/>
        </w:rPr>
        <w:t xml:space="preserve"> on the absence of receivable amounts under the E</w:t>
      </w:r>
      <w:r w:rsidR="006660B2">
        <w:rPr>
          <w:noProof/>
          <w:szCs w:val="24"/>
        </w:rPr>
        <w:t>SI</w:t>
      </w:r>
      <w:r w:rsidR="005871AE" w:rsidRPr="002363E3">
        <w:rPr>
          <w:noProof/>
          <w:szCs w:val="24"/>
        </w:rPr>
        <w:t xml:space="preserve"> in case of donations or resales without an economic advantage of C</w:t>
      </w:r>
      <w:r w:rsidR="001E0430">
        <w:rPr>
          <w:noProof/>
          <w:szCs w:val="24"/>
        </w:rPr>
        <w:t>OVID</w:t>
      </w:r>
      <w:r w:rsidR="005871AE" w:rsidRPr="002363E3">
        <w:rPr>
          <w:noProof/>
          <w:szCs w:val="24"/>
        </w:rPr>
        <w:t>-19 vaccine doses by Member States to third countries.</w:t>
      </w:r>
      <w:r w:rsidR="006834FA" w:rsidRPr="002363E3">
        <w:rPr>
          <w:noProof/>
          <w:szCs w:val="24"/>
        </w:rPr>
        <w:t xml:space="preserve"> This decision c</w:t>
      </w:r>
      <w:r w:rsidR="006834FA" w:rsidRPr="000C0B15">
        <w:rPr>
          <w:noProof/>
          <w:szCs w:val="24"/>
        </w:rPr>
        <w:t xml:space="preserve">oncludes that there should not be any amounts receivable in the sense of Article 98 of the Financial Regulation in case of donations and sales at paid price by </w:t>
      </w:r>
      <w:r w:rsidR="00F018E5">
        <w:rPr>
          <w:noProof/>
          <w:szCs w:val="24"/>
        </w:rPr>
        <w:t>Member States</w:t>
      </w:r>
      <w:r w:rsidR="006834FA" w:rsidRPr="000C0B15">
        <w:rPr>
          <w:noProof/>
          <w:szCs w:val="24"/>
        </w:rPr>
        <w:t>.</w:t>
      </w:r>
    </w:p>
    <w:p w14:paraId="46629072" w14:textId="77777777" w:rsidR="00B1107E" w:rsidRDefault="00B1107E" w:rsidP="00BD1E51">
      <w:pPr>
        <w:spacing w:after="120"/>
        <w:rPr>
          <w:noProof/>
          <w:szCs w:val="24"/>
        </w:rPr>
      </w:pPr>
    </w:p>
    <w:p w14:paraId="36D6814B" w14:textId="1FBE7EA0" w:rsidR="00EE1665" w:rsidRPr="000C0B15" w:rsidRDefault="00EE1665" w:rsidP="00BD1E51">
      <w:pPr>
        <w:spacing w:after="120"/>
        <w:rPr>
          <w:b/>
          <w:i/>
          <w:noProof/>
          <w:szCs w:val="24"/>
        </w:rPr>
      </w:pPr>
      <w:r w:rsidRPr="000C0B15">
        <w:rPr>
          <w:b/>
          <w:i/>
          <w:noProof/>
          <w:szCs w:val="24"/>
        </w:rPr>
        <w:t>Resale</w:t>
      </w:r>
      <w:r w:rsidR="008774B8">
        <w:rPr>
          <w:b/>
          <w:i/>
          <w:noProof/>
          <w:szCs w:val="24"/>
        </w:rPr>
        <w:t xml:space="preserve"> of vaccines doses</w:t>
      </w:r>
      <w:r w:rsidRPr="000C0B15">
        <w:rPr>
          <w:b/>
          <w:i/>
          <w:noProof/>
          <w:szCs w:val="24"/>
        </w:rPr>
        <w:t xml:space="preserve"> with economic advantage</w:t>
      </w:r>
    </w:p>
    <w:p w14:paraId="7858AC97" w14:textId="00724F4B" w:rsidR="00AF2A73" w:rsidRDefault="00FC5D73" w:rsidP="00BD1E51">
      <w:pPr>
        <w:spacing w:after="120"/>
        <w:rPr>
          <w:noProof/>
          <w:szCs w:val="24"/>
        </w:rPr>
      </w:pPr>
      <w:r>
        <w:rPr>
          <w:noProof/>
          <w:szCs w:val="24"/>
        </w:rPr>
        <w:t>As regards the resales</w:t>
      </w:r>
      <w:r w:rsidR="00AF2A73" w:rsidRPr="002363E3">
        <w:rPr>
          <w:noProof/>
          <w:szCs w:val="24"/>
        </w:rPr>
        <w:t xml:space="preserve"> done by Member States at a price including the ESI contribution, </w:t>
      </w:r>
      <w:r w:rsidR="002363E3" w:rsidRPr="000C0B15">
        <w:rPr>
          <w:noProof/>
          <w:szCs w:val="24"/>
        </w:rPr>
        <w:t xml:space="preserve">Member States were also informed that the Commission would recover the ESI funds in cases of resales </w:t>
      </w:r>
      <w:r w:rsidR="001E0430">
        <w:rPr>
          <w:noProof/>
          <w:szCs w:val="24"/>
        </w:rPr>
        <w:t xml:space="preserve">of vaccine doses to third countries </w:t>
      </w:r>
      <w:r w:rsidR="002363E3" w:rsidRPr="000C0B15">
        <w:rPr>
          <w:noProof/>
          <w:szCs w:val="24"/>
        </w:rPr>
        <w:t xml:space="preserve">at full price. </w:t>
      </w:r>
      <w:r w:rsidR="001E0430">
        <w:rPr>
          <w:noProof/>
          <w:szCs w:val="24"/>
        </w:rPr>
        <w:t>Hence</w:t>
      </w:r>
      <w:r w:rsidR="002363E3" w:rsidRPr="000C0B15">
        <w:rPr>
          <w:noProof/>
          <w:szCs w:val="24"/>
        </w:rPr>
        <w:t xml:space="preserve">, the Commission requested Member States to inform on </w:t>
      </w:r>
      <w:r w:rsidR="001E0430">
        <w:rPr>
          <w:noProof/>
          <w:szCs w:val="24"/>
        </w:rPr>
        <w:t xml:space="preserve">these </w:t>
      </w:r>
      <w:r w:rsidR="002363E3" w:rsidRPr="000C0B15">
        <w:rPr>
          <w:noProof/>
          <w:szCs w:val="24"/>
        </w:rPr>
        <w:t>resales</w:t>
      </w:r>
      <w:r w:rsidR="001E0430">
        <w:rPr>
          <w:noProof/>
          <w:szCs w:val="24"/>
        </w:rPr>
        <w:t xml:space="preserve">. </w:t>
      </w:r>
      <w:r w:rsidR="001605A6">
        <w:rPr>
          <w:noProof/>
          <w:szCs w:val="24"/>
        </w:rPr>
        <w:t xml:space="preserve">By </w:t>
      </w:r>
      <w:r w:rsidR="001E5236">
        <w:rPr>
          <w:noProof/>
          <w:szCs w:val="24"/>
        </w:rPr>
        <w:t>12 May 2022,</w:t>
      </w:r>
      <w:r w:rsidR="008C0F00">
        <w:rPr>
          <w:noProof/>
          <w:szCs w:val="24"/>
        </w:rPr>
        <w:t xml:space="preserve"> </w:t>
      </w:r>
      <w:r w:rsidR="00D67E5D" w:rsidRPr="002363E3">
        <w:rPr>
          <w:noProof/>
          <w:szCs w:val="24"/>
        </w:rPr>
        <w:t xml:space="preserve">an amount of </w:t>
      </w:r>
      <w:r w:rsidR="00B1107E">
        <w:rPr>
          <w:noProof/>
          <w:szCs w:val="24"/>
        </w:rPr>
        <w:t>EUR</w:t>
      </w:r>
      <w:r w:rsidR="00D67E5D" w:rsidRPr="002363E3">
        <w:rPr>
          <w:noProof/>
          <w:szCs w:val="24"/>
        </w:rPr>
        <w:t xml:space="preserve"> </w:t>
      </w:r>
      <w:r w:rsidR="008C0F00">
        <w:rPr>
          <w:noProof/>
          <w:szCs w:val="24"/>
        </w:rPr>
        <w:t>22</w:t>
      </w:r>
      <w:r w:rsidR="008C0F00" w:rsidRPr="002363E3">
        <w:rPr>
          <w:noProof/>
          <w:szCs w:val="24"/>
        </w:rPr>
        <w:t xml:space="preserve"> </w:t>
      </w:r>
      <w:r w:rsidR="00D67E5D" w:rsidRPr="002363E3">
        <w:rPr>
          <w:noProof/>
          <w:szCs w:val="24"/>
        </w:rPr>
        <w:t xml:space="preserve">million has been </w:t>
      </w:r>
      <w:r w:rsidR="00AF2A73">
        <w:rPr>
          <w:noProof/>
          <w:szCs w:val="24"/>
        </w:rPr>
        <w:t xml:space="preserve">reimbursed by </w:t>
      </w:r>
      <w:r w:rsidR="00D67E5D">
        <w:rPr>
          <w:noProof/>
          <w:szCs w:val="24"/>
        </w:rPr>
        <w:t xml:space="preserve">the </w:t>
      </w:r>
      <w:r w:rsidR="00AF2A73">
        <w:rPr>
          <w:noProof/>
          <w:szCs w:val="24"/>
        </w:rPr>
        <w:t xml:space="preserve">Member </w:t>
      </w:r>
      <w:r w:rsidR="00D67E5D">
        <w:rPr>
          <w:noProof/>
          <w:szCs w:val="24"/>
        </w:rPr>
        <w:t>S</w:t>
      </w:r>
      <w:r w:rsidR="00AF2A73">
        <w:rPr>
          <w:noProof/>
          <w:szCs w:val="24"/>
        </w:rPr>
        <w:t>tates</w:t>
      </w:r>
      <w:r w:rsidR="001605A6">
        <w:rPr>
          <w:noProof/>
          <w:szCs w:val="24"/>
        </w:rPr>
        <w:t xml:space="preserve"> however the process is ongoing</w:t>
      </w:r>
      <w:r w:rsidR="00D67E5D">
        <w:rPr>
          <w:noProof/>
          <w:szCs w:val="24"/>
        </w:rPr>
        <w:t>.</w:t>
      </w:r>
    </w:p>
    <w:p w14:paraId="781DE56A" w14:textId="77777777" w:rsidR="00494F17" w:rsidRDefault="00494F17" w:rsidP="00BD1E51">
      <w:pPr>
        <w:spacing w:after="120"/>
        <w:rPr>
          <w:noProof/>
          <w:szCs w:val="24"/>
        </w:rPr>
      </w:pPr>
    </w:p>
    <w:p w14:paraId="24760068" w14:textId="2D865056" w:rsidR="00C220EC" w:rsidRPr="000C0B15" w:rsidRDefault="000C0B15" w:rsidP="00B1107E">
      <w:pPr>
        <w:spacing w:after="120"/>
        <w:ind w:firstLine="720"/>
        <w:outlineLvl w:val="1"/>
        <w:rPr>
          <w:b/>
          <w:bCs/>
          <w:noProof/>
          <w:szCs w:val="24"/>
        </w:rPr>
      </w:pPr>
      <w:bookmarkStart w:id="7" w:name="_Toc106701117"/>
      <w:r w:rsidRPr="000C0B15">
        <w:rPr>
          <w:b/>
          <w:bCs/>
          <w:noProof/>
          <w:szCs w:val="24"/>
        </w:rPr>
        <w:t>2.4</w:t>
      </w:r>
      <w:r w:rsidR="007227CB">
        <w:rPr>
          <w:b/>
          <w:bCs/>
          <w:noProof/>
          <w:szCs w:val="24"/>
        </w:rPr>
        <w:t>.</w:t>
      </w:r>
      <w:r>
        <w:rPr>
          <w:b/>
          <w:bCs/>
          <w:noProof/>
          <w:szCs w:val="24"/>
        </w:rPr>
        <w:tab/>
      </w:r>
      <w:r w:rsidRPr="000C0B15">
        <w:rPr>
          <w:b/>
          <w:bCs/>
          <w:noProof/>
          <w:szCs w:val="24"/>
        </w:rPr>
        <w:t xml:space="preserve"> Communication and coordination</w:t>
      </w:r>
      <w:bookmarkEnd w:id="7"/>
    </w:p>
    <w:p w14:paraId="2E526B1E" w14:textId="2E9B7147" w:rsidR="005974A7" w:rsidRDefault="00FC5D73" w:rsidP="00B1107E">
      <w:pPr>
        <w:spacing w:after="120"/>
        <w:rPr>
          <w:noProof/>
          <w:szCs w:val="24"/>
        </w:rPr>
      </w:pPr>
      <w:r>
        <w:rPr>
          <w:noProof/>
          <w:szCs w:val="24"/>
        </w:rPr>
        <w:t xml:space="preserve">Since the </w:t>
      </w:r>
      <w:r w:rsidR="00BE383C">
        <w:rPr>
          <w:noProof/>
          <w:szCs w:val="24"/>
        </w:rPr>
        <w:t>activation of the ESI</w:t>
      </w:r>
      <w:r>
        <w:rPr>
          <w:noProof/>
          <w:szCs w:val="24"/>
        </w:rPr>
        <w:t xml:space="preserve">, the Commission has strived to report all important developments linked to the approval and implementation of the measures created by the instrument. For this purpose, a </w:t>
      </w:r>
      <w:hyperlink r:id="rId19" w:anchor="general" w:history="1">
        <w:r w:rsidRPr="00FC5D73">
          <w:rPr>
            <w:rStyle w:val="Hyperlink"/>
            <w:noProof/>
            <w:szCs w:val="24"/>
          </w:rPr>
          <w:t>dedicated website</w:t>
        </w:r>
      </w:hyperlink>
      <w:r>
        <w:rPr>
          <w:noProof/>
          <w:szCs w:val="24"/>
        </w:rPr>
        <w:t xml:space="preserve"> was created. </w:t>
      </w:r>
      <w:r w:rsidR="001E0430">
        <w:rPr>
          <w:noProof/>
          <w:szCs w:val="24"/>
        </w:rPr>
        <w:t xml:space="preserve">The official website </w:t>
      </w:r>
      <w:r w:rsidR="00C42FDF">
        <w:rPr>
          <w:noProof/>
          <w:szCs w:val="24"/>
        </w:rPr>
        <w:t xml:space="preserve">has been </w:t>
      </w:r>
      <w:r w:rsidR="004F6F75">
        <w:rPr>
          <w:noProof/>
          <w:szCs w:val="24"/>
        </w:rPr>
        <w:t>regularly</w:t>
      </w:r>
      <w:r w:rsidR="00BE383C">
        <w:rPr>
          <w:noProof/>
          <w:szCs w:val="24"/>
        </w:rPr>
        <w:t xml:space="preserve"> </w:t>
      </w:r>
      <w:r w:rsidR="00C42FDF">
        <w:rPr>
          <w:noProof/>
          <w:szCs w:val="24"/>
        </w:rPr>
        <w:t xml:space="preserve">updated </w:t>
      </w:r>
      <w:r w:rsidR="001E0430">
        <w:rPr>
          <w:noProof/>
          <w:szCs w:val="24"/>
        </w:rPr>
        <w:t>through the application</w:t>
      </w:r>
      <w:r w:rsidR="00C42FDF">
        <w:rPr>
          <w:noProof/>
          <w:szCs w:val="24"/>
        </w:rPr>
        <w:t xml:space="preserve"> of the </w:t>
      </w:r>
      <w:r w:rsidR="00F552EC">
        <w:rPr>
          <w:noProof/>
          <w:szCs w:val="24"/>
        </w:rPr>
        <w:t>i</w:t>
      </w:r>
      <w:r w:rsidR="00C42FDF">
        <w:rPr>
          <w:noProof/>
          <w:szCs w:val="24"/>
        </w:rPr>
        <w:t>nstrument</w:t>
      </w:r>
      <w:r w:rsidR="005974A7">
        <w:rPr>
          <w:noProof/>
          <w:szCs w:val="24"/>
        </w:rPr>
        <w:t>.</w:t>
      </w:r>
      <w:r w:rsidR="00D07701">
        <w:rPr>
          <w:rStyle w:val="FootnoteReference"/>
          <w:noProof/>
          <w:szCs w:val="24"/>
        </w:rPr>
        <w:footnoteReference w:id="13"/>
      </w:r>
    </w:p>
    <w:p w14:paraId="20AE012C" w14:textId="1538B912" w:rsidR="005974A7" w:rsidRDefault="00FC5D73" w:rsidP="00B1107E">
      <w:pPr>
        <w:spacing w:after="120"/>
        <w:rPr>
          <w:noProof/>
          <w:szCs w:val="24"/>
        </w:rPr>
      </w:pPr>
      <w:r>
        <w:rPr>
          <w:noProof/>
          <w:szCs w:val="24"/>
        </w:rPr>
        <w:t>In addition, t</w:t>
      </w:r>
      <w:r w:rsidR="005974A7" w:rsidRPr="00B9345B">
        <w:rPr>
          <w:noProof/>
          <w:szCs w:val="24"/>
        </w:rPr>
        <w:t>he Commission</w:t>
      </w:r>
      <w:r>
        <w:rPr>
          <w:noProof/>
          <w:szCs w:val="24"/>
        </w:rPr>
        <w:t xml:space="preserve"> has</w:t>
      </w:r>
      <w:r w:rsidR="005974A7" w:rsidRPr="00B9345B">
        <w:rPr>
          <w:noProof/>
          <w:szCs w:val="24"/>
        </w:rPr>
        <w:t xml:space="preserve"> </w:t>
      </w:r>
      <w:r>
        <w:rPr>
          <w:noProof/>
          <w:szCs w:val="24"/>
        </w:rPr>
        <w:t>maintained regular communication</w:t>
      </w:r>
      <w:r w:rsidR="005974A7" w:rsidRPr="00B9345B">
        <w:rPr>
          <w:noProof/>
          <w:szCs w:val="24"/>
        </w:rPr>
        <w:t xml:space="preserve"> with Member States on their needs and how these were being taken into account in programming, </w:t>
      </w:r>
      <w:r>
        <w:rPr>
          <w:noProof/>
          <w:szCs w:val="24"/>
        </w:rPr>
        <w:t>while keeping them informed on</w:t>
      </w:r>
      <w:r w:rsidR="005974A7" w:rsidRPr="00B9345B">
        <w:rPr>
          <w:noProof/>
          <w:szCs w:val="24"/>
        </w:rPr>
        <w:t xml:space="preserve"> the state of play of the actions to be financed by the instrument. This was done via written information, through Coreper and the Integrated Political Crisis Response (IPCR) meetings, as well as through dedicated meetings with Member States’ contact points. The Health Security Committee, the eHealth Network and the Civil Protection Committee were also regularly engaged. </w:t>
      </w:r>
      <w:r w:rsidR="004E0E1E">
        <w:rPr>
          <w:noProof/>
          <w:szCs w:val="24"/>
        </w:rPr>
        <w:t>The European Parliament was also informed on the top up funds from Member States, the resales of vaccines and the allocation of grants to Member States to support the implementation of the EU DCC</w:t>
      </w:r>
    </w:p>
    <w:p w14:paraId="65B35B04" w14:textId="6A808052" w:rsidR="008A5B89" w:rsidRDefault="005974A7" w:rsidP="00B1107E">
      <w:pPr>
        <w:spacing w:after="120"/>
        <w:rPr>
          <w:noProof/>
          <w:szCs w:val="24"/>
        </w:rPr>
      </w:pPr>
      <w:r w:rsidRPr="00B9345B">
        <w:rPr>
          <w:noProof/>
          <w:szCs w:val="24"/>
        </w:rPr>
        <w:t xml:space="preserve">This cooperation and exchange </w:t>
      </w:r>
      <w:r w:rsidR="00F552EC">
        <w:rPr>
          <w:noProof/>
          <w:szCs w:val="24"/>
        </w:rPr>
        <w:t>of views allowed for a prioritisation of the actions to be taken</w:t>
      </w:r>
      <w:r w:rsidRPr="00B9345B">
        <w:rPr>
          <w:noProof/>
          <w:szCs w:val="24"/>
        </w:rPr>
        <w:t>, in the absence of specific objectives in the legal bas</w:t>
      </w:r>
      <w:r w:rsidR="00B079AD">
        <w:rPr>
          <w:noProof/>
          <w:szCs w:val="24"/>
        </w:rPr>
        <w:t>is</w:t>
      </w:r>
      <w:r w:rsidRPr="00B9345B">
        <w:rPr>
          <w:noProof/>
          <w:szCs w:val="24"/>
        </w:rPr>
        <w:t>.</w:t>
      </w:r>
    </w:p>
    <w:p w14:paraId="70604B3D" w14:textId="263C13BC" w:rsidR="00C220EC" w:rsidRDefault="00C220EC" w:rsidP="00B1107E">
      <w:pPr>
        <w:spacing w:after="120"/>
        <w:rPr>
          <w:noProof/>
          <w:szCs w:val="24"/>
        </w:rPr>
      </w:pPr>
    </w:p>
    <w:p w14:paraId="69EC9062" w14:textId="7B0A583F" w:rsidR="009F1463" w:rsidRPr="00B9345B" w:rsidRDefault="009F1463" w:rsidP="00B1107E">
      <w:pPr>
        <w:pStyle w:val="Heading1"/>
        <w:spacing w:before="0" w:after="120"/>
        <w:rPr>
          <w:noProof/>
          <w:szCs w:val="24"/>
        </w:rPr>
      </w:pPr>
      <w:bookmarkStart w:id="8" w:name="_Toc106701118"/>
      <w:r w:rsidRPr="00B9345B">
        <w:rPr>
          <w:noProof/>
          <w:szCs w:val="24"/>
        </w:rPr>
        <w:t>Outputs and results</w:t>
      </w:r>
      <w:bookmarkEnd w:id="8"/>
    </w:p>
    <w:p w14:paraId="5D70BEE6" w14:textId="31B4784B" w:rsidR="000C0B15" w:rsidRPr="000C0B15" w:rsidRDefault="000C0B15" w:rsidP="00B1107E">
      <w:pPr>
        <w:spacing w:after="120"/>
        <w:ind w:firstLine="482"/>
        <w:outlineLvl w:val="1"/>
        <w:rPr>
          <w:b/>
          <w:bCs/>
          <w:noProof/>
          <w:szCs w:val="24"/>
        </w:rPr>
      </w:pPr>
      <w:bookmarkStart w:id="9" w:name="_Toc106701119"/>
      <w:r w:rsidRPr="000C0B15">
        <w:rPr>
          <w:b/>
          <w:bCs/>
          <w:noProof/>
          <w:szCs w:val="24"/>
        </w:rPr>
        <w:t>3.1</w:t>
      </w:r>
      <w:r w:rsidR="007227CB">
        <w:rPr>
          <w:b/>
          <w:bCs/>
          <w:noProof/>
          <w:szCs w:val="24"/>
        </w:rPr>
        <w:t>.</w:t>
      </w:r>
      <w:r w:rsidRPr="000C0B15">
        <w:rPr>
          <w:b/>
          <w:bCs/>
          <w:noProof/>
          <w:szCs w:val="24"/>
        </w:rPr>
        <w:tab/>
        <w:t>Actions financed under the ESI</w:t>
      </w:r>
      <w:bookmarkEnd w:id="9"/>
    </w:p>
    <w:p w14:paraId="7D11995E" w14:textId="3064BC25" w:rsidR="00B562EA" w:rsidRDefault="00B43E18" w:rsidP="00B1107E">
      <w:pPr>
        <w:spacing w:after="120"/>
        <w:rPr>
          <w:noProof/>
          <w:szCs w:val="24"/>
        </w:rPr>
      </w:pPr>
      <w:r w:rsidRPr="00B9345B">
        <w:rPr>
          <w:noProof/>
          <w:szCs w:val="24"/>
        </w:rPr>
        <w:t>In line with the broad scope of possible interventions provided for by the legal bas</w:t>
      </w:r>
      <w:r w:rsidR="001E0430">
        <w:rPr>
          <w:noProof/>
          <w:szCs w:val="24"/>
        </w:rPr>
        <w:t>is</w:t>
      </w:r>
      <w:r w:rsidRPr="00B9345B">
        <w:rPr>
          <w:noProof/>
          <w:szCs w:val="24"/>
        </w:rPr>
        <w:t xml:space="preserve"> and its need-based rationale, the E</w:t>
      </w:r>
      <w:r w:rsidR="006660B2">
        <w:rPr>
          <w:noProof/>
          <w:szCs w:val="24"/>
        </w:rPr>
        <w:t>SI</w:t>
      </w:r>
      <w:r w:rsidR="009932F7">
        <w:rPr>
          <w:noProof/>
          <w:szCs w:val="24"/>
        </w:rPr>
        <w:t xml:space="preserve"> </w:t>
      </w:r>
      <w:r w:rsidRPr="00B9345B">
        <w:rPr>
          <w:noProof/>
          <w:szCs w:val="24"/>
        </w:rPr>
        <w:t>financ</w:t>
      </w:r>
      <w:r w:rsidR="000F5642">
        <w:rPr>
          <w:noProof/>
          <w:szCs w:val="24"/>
        </w:rPr>
        <w:t>ed</w:t>
      </w:r>
      <w:r w:rsidRPr="00B9345B">
        <w:rPr>
          <w:noProof/>
          <w:szCs w:val="24"/>
        </w:rPr>
        <w:t xml:space="preserve"> a strategically</w:t>
      </w:r>
      <w:r w:rsidR="00B079AD">
        <w:rPr>
          <w:noProof/>
          <w:szCs w:val="24"/>
        </w:rPr>
        <w:t xml:space="preserve"> </w:t>
      </w:r>
      <w:r w:rsidRPr="00B9345B">
        <w:rPr>
          <w:noProof/>
          <w:szCs w:val="24"/>
        </w:rPr>
        <w:t>chosen range of actions</w:t>
      </w:r>
      <w:r w:rsidR="001E0430">
        <w:rPr>
          <w:noProof/>
          <w:szCs w:val="24"/>
        </w:rPr>
        <w:t>. These reflected</w:t>
      </w:r>
      <w:r w:rsidRPr="00B9345B">
        <w:rPr>
          <w:noProof/>
          <w:szCs w:val="24"/>
        </w:rPr>
        <w:t xml:space="preserve"> the needs expressed by Member States during consultations</w:t>
      </w:r>
      <w:r w:rsidR="00B079AD">
        <w:rPr>
          <w:noProof/>
          <w:szCs w:val="24"/>
        </w:rPr>
        <w:t xml:space="preserve"> </w:t>
      </w:r>
      <w:r w:rsidRPr="00B9345B">
        <w:rPr>
          <w:noProof/>
          <w:szCs w:val="24"/>
        </w:rPr>
        <w:t>and focused on response and increased preparedness</w:t>
      </w:r>
      <w:r w:rsidR="001E0430">
        <w:rPr>
          <w:noProof/>
          <w:szCs w:val="24"/>
        </w:rPr>
        <w:t>, while</w:t>
      </w:r>
      <w:r w:rsidRPr="00B9345B">
        <w:rPr>
          <w:noProof/>
          <w:szCs w:val="24"/>
        </w:rPr>
        <w:t xml:space="preserve"> bringing fast, targeted and tangible impact with maximum EU added value.</w:t>
      </w:r>
      <w:r w:rsidR="003F5D74">
        <w:rPr>
          <w:noProof/>
          <w:szCs w:val="24"/>
        </w:rPr>
        <w:t xml:space="preserve"> </w:t>
      </w:r>
    </w:p>
    <w:p w14:paraId="5248D217" w14:textId="725E7685" w:rsidR="00B43E18" w:rsidRDefault="004F6F75" w:rsidP="00B1107E">
      <w:pPr>
        <w:spacing w:after="120"/>
        <w:rPr>
          <w:noProof/>
          <w:szCs w:val="24"/>
        </w:rPr>
      </w:pPr>
      <w:r>
        <w:rPr>
          <w:noProof/>
          <w:szCs w:val="24"/>
        </w:rPr>
        <w:t xml:space="preserve">The Advanced Purchase Agreement, the EU Digital Covid Certificate, </w:t>
      </w:r>
      <w:r w:rsidR="003F5D74">
        <w:rPr>
          <w:noProof/>
          <w:szCs w:val="24"/>
        </w:rPr>
        <w:t>the creation of a mobility package to facilitate transport of medical products, personnel or patients and the acquisition of essential sanitary products</w:t>
      </w:r>
      <w:r>
        <w:rPr>
          <w:noProof/>
          <w:szCs w:val="24"/>
        </w:rPr>
        <w:t xml:space="preserve"> are some of the most important actions established by the ESI</w:t>
      </w:r>
      <w:r w:rsidR="003F5D74">
        <w:rPr>
          <w:noProof/>
          <w:szCs w:val="24"/>
        </w:rPr>
        <w:t>.</w:t>
      </w:r>
      <w:r w:rsidR="007172D5">
        <w:rPr>
          <w:noProof/>
          <w:szCs w:val="24"/>
        </w:rPr>
        <w:t xml:space="preserve"> </w:t>
      </w:r>
      <w:r w:rsidR="00B43E18" w:rsidRPr="00B9345B">
        <w:rPr>
          <w:noProof/>
          <w:szCs w:val="24"/>
        </w:rPr>
        <w:t xml:space="preserve">The </w:t>
      </w:r>
      <w:r w:rsidR="003F5D74">
        <w:rPr>
          <w:noProof/>
          <w:szCs w:val="24"/>
        </w:rPr>
        <w:t xml:space="preserve">full list of </w:t>
      </w:r>
      <w:r w:rsidR="00B43E18" w:rsidRPr="00B9345B">
        <w:rPr>
          <w:noProof/>
          <w:szCs w:val="24"/>
        </w:rPr>
        <w:t xml:space="preserve">actions </w:t>
      </w:r>
      <w:r w:rsidR="00A63188">
        <w:rPr>
          <w:noProof/>
          <w:szCs w:val="24"/>
        </w:rPr>
        <w:t>implemented under ESI</w:t>
      </w:r>
      <w:r w:rsidR="00B079AD">
        <w:rPr>
          <w:noProof/>
          <w:szCs w:val="24"/>
        </w:rPr>
        <w:t xml:space="preserve"> and their relative allocated budgets are detailed in the Annex to this report.</w:t>
      </w:r>
    </w:p>
    <w:p w14:paraId="68E69E0A" w14:textId="77777777" w:rsidR="008A5B89" w:rsidRDefault="008A5B89" w:rsidP="00B1107E">
      <w:pPr>
        <w:spacing w:after="120"/>
        <w:rPr>
          <w:noProof/>
          <w:szCs w:val="24"/>
        </w:rPr>
      </w:pPr>
    </w:p>
    <w:p w14:paraId="27CD1082" w14:textId="611343AB" w:rsidR="00D47ECE" w:rsidRPr="00B1107E" w:rsidRDefault="00D47ECE" w:rsidP="00B1107E">
      <w:pPr>
        <w:spacing w:after="120"/>
        <w:outlineLvl w:val="2"/>
        <w:rPr>
          <w:b/>
          <w:noProof/>
          <w:szCs w:val="24"/>
        </w:rPr>
      </w:pPr>
      <w:r w:rsidRPr="00B1107E">
        <w:rPr>
          <w:b/>
          <w:noProof/>
          <w:szCs w:val="24"/>
        </w:rPr>
        <w:tab/>
      </w:r>
      <w:bookmarkStart w:id="10" w:name="_Toc106701120"/>
      <w:r w:rsidRPr="00B1107E">
        <w:rPr>
          <w:b/>
          <w:noProof/>
          <w:szCs w:val="24"/>
        </w:rPr>
        <w:t>3.1.1</w:t>
      </w:r>
      <w:r w:rsidR="007227CB">
        <w:rPr>
          <w:b/>
          <w:noProof/>
          <w:szCs w:val="24"/>
        </w:rPr>
        <w:t>.</w:t>
      </w:r>
      <w:r w:rsidRPr="00B1107E">
        <w:rPr>
          <w:b/>
          <w:noProof/>
          <w:szCs w:val="24"/>
        </w:rPr>
        <w:t xml:space="preserve"> Mobility Package</w:t>
      </w:r>
      <w:bookmarkEnd w:id="10"/>
    </w:p>
    <w:p w14:paraId="79641DDF" w14:textId="77777777" w:rsidR="00D47ECE" w:rsidRPr="00BA4B44" w:rsidRDefault="00D47ECE" w:rsidP="00B1107E">
      <w:pPr>
        <w:pStyle w:val="paragraph"/>
        <w:spacing w:before="0" w:beforeAutospacing="0" w:after="120" w:afterAutospacing="0"/>
        <w:jc w:val="both"/>
        <w:textAlignment w:val="baseline"/>
        <w:rPr>
          <w:rStyle w:val="eop"/>
          <w:noProof/>
          <w:szCs w:val="20"/>
          <w:lang w:val="en-US" w:eastAsia="en-US"/>
        </w:rPr>
      </w:pPr>
      <w:r w:rsidRPr="00BA4B44">
        <w:rPr>
          <w:rStyle w:val="normaltextrun"/>
          <w:noProof/>
          <w:lang w:val="en-GB"/>
        </w:rPr>
        <w:t>Under the Mobility Package (ESI-MP),</w:t>
      </w:r>
      <w:r w:rsidRPr="00BA4B44">
        <w:rPr>
          <w:rStyle w:val="normaltextrun"/>
          <w:noProof/>
          <w:lang w:val="en"/>
        </w:rPr>
        <w:t xml:space="preserve"> coordinated by DG ECHO, the following actions were launched via a </w:t>
      </w:r>
      <w:r w:rsidRPr="009B3DFD">
        <w:rPr>
          <w:rStyle w:val="normaltextrun"/>
          <w:noProof/>
          <w:lang w:val="en"/>
        </w:rPr>
        <w:t>first invitation to submit applications to Member States</w:t>
      </w:r>
      <w:r w:rsidRPr="00BA4B44">
        <w:rPr>
          <w:rStyle w:val="normaltextrun"/>
          <w:b/>
          <w:bCs/>
          <w:noProof/>
          <w:lang w:val="en"/>
        </w:rPr>
        <w:t xml:space="preserve"> </w:t>
      </w:r>
      <w:r w:rsidRPr="00BA4B44">
        <w:rPr>
          <w:rStyle w:val="normaltextrun"/>
          <w:noProof/>
          <w:lang w:val="en"/>
        </w:rPr>
        <w:t xml:space="preserve">in June 2020: </w:t>
      </w:r>
    </w:p>
    <w:p w14:paraId="7A7AFA92" w14:textId="2139CFCA" w:rsidR="00D47ECE" w:rsidRDefault="00D47ECE" w:rsidP="00B1107E">
      <w:pPr>
        <w:pStyle w:val="paragraph"/>
        <w:numPr>
          <w:ilvl w:val="0"/>
          <w:numId w:val="48"/>
        </w:numPr>
        <w:spacing w:before="0" w:beforeAutospacing="0" w:after="120" w:afterAutospacing="0"/>
        <w:jc w:val="both"/>
        <w:textAlignment w:val="baseline"/>
        <w:rPr>
          <w:rStyle w:val="normaltextrun"/>
          <w:noProof/>
          <w:lang w:val="en"/>
        </w:rPr>
      </w:pPr>
      <w:r w:rsidRPr="00BA4B44">
        <w:rPr>
          <w:rStyle w:val="normaltextrun"/>
          <w:noProof/>
          <w:lang w:val="en"/>
        </w:rPr>
        <w:t>Cargo transport</w:t>
      </w:r>
      <w:r>
        <w:rPr>
          <w:rStyle w:val="normaltextrun"/>
          <w:noProof/>
          <w:lang w:val="en"/>
        </w:rPr>
        <w:t xml:space="preserve"> </w:t>
      </w:r>
      <w:r w:rsidRPr="00BA4B44">
        <w:rPr>
          <w:rStyle w:val="normaltextrun"/>
          <w:noProof/>
          <w:lang w:val="en"/>
        </w:rPr>
        <w:t>(e.g. personal protection equipment, medical and vaccination-related equipment, and therapeutics) to the EU from third countries and within the EU. </w:t>
      </w:r>
    </w:p>
    <w:p w14:paraId="07EC4A05" w14:textId="145BA029" w:rsidR="00D47ECE" w:rsidRDefault="00D47ECE" w:rsidP="00B1107E">
      <w:pPr>
        <w:pStyle w:val="paragraph"/>
        <w:numPr>
          <w:ilvl w:val="0"/>
          <w:numId w:val="48"/>
        </w:numPr>
        <w:spacing w:before="0" w:beforeAutospacing="0" w:after="120" w:afterAutospacing="0"/>
        <w:jc w:val="both"/>
        <w:textAlignment w:val="baseline"/>
        <w:rPr>
          <w:noProof/>
          <w:lang w:val="en"/>
        </w:rPr>
      </w:pPr>
      <w:r>
        <w:rPr>
          <w:rStyle w:val="normaltextrun"/>
          <w:noProof/>
          <w:lang w:val="en"/>
        </w:rPr>
        <w:t>T</w:t>
      </w:r>
      <w:r w:rsidRPr="00D47ECE">
        <w:rPr>
          <w:rStyle w:val="normaltextrun"/>
          <w:noProof/>
          <w:lang w:val="en"/>
        </w:rPr>
        <w:t>ransfer of patients within the EU and from the EU to third countries</w:t>
      </w:r>
      <w:r w:rsidRPr="00D47ECE">
        <w:rPr>
          <w:rStyle w:val="normaltextrun"/>
          <w:noProof/>
          <w:lang w:val="en-GB"/>
        </w:rPr>
        <w:t xml:space="preserve"> (from a Member State to either a Member State or a third country welcoming patients); and</w:t>
      </w:r>
      <w:r w:rsidRPr="00D47ECE">
        <w:rPr>
          <w:rStyle w:val="eop"/>
          <w:noProof/>
          <w:lang w:val="en-US"/>
        </w:rPr>
        <w:t> </w:t>
      </w:r>
    </w:p>
    <w:p w14:paraId="1D8FD804" w14:textId="36025B2B" w:rsidR="00D47ECE" w:rsidRPr="00B1107E" w:rsidRDefault="00D47ECE" w:rsidP="00B1107E">
      <w:pPr>
        <w:pStyle w:val="paragraph"/>
        <w:numPr>
          <w:ilvl w:val="0"/>
          <w:numId w:val="48"/>
        </w:numPr>
        <w:spacing w:before="0" w:beforeAutospacing="0" w:after="120" w:afterAutospacing="0"/>
        <w:jc w:val="both"/>
        <w:textAlignment w:val="baseline"/>
        <w:rPr>
          <w:rStyle w:val="eop"/>
          <w:noProof/>
          <w:lang w:val="en"/>
        </w:rPr>
      </w:pPr>
      <w:r w:rsidRPr="00B1107E">
        <w:rPr>
          <w:rStyle w:val="normaltextrun"/>
          <w:noProof/>
          <w:lang w:val="en-GB"/>
        </w:rPr>
        <w:t>Transport of medical personnel and teams, within the EU and into the EU from third countries, as well as operational support for mobile medical response capacities.</w:t>
      </w:r>
      <w:r w:rsidRPr="00F516EA">
        <w:rPr>
          <w:rStyle w:val="eop"/>
          <w:noProof/>
          <w:lang w:val="en-US"/>
        </w:rPr>
        <w:t> </w:t>
      </w:r>
    </w:p>
    <w:p w14:paraId="137044E2" w14:textId="77777777" w:rsidR="007172D5" w:rsidRPr="00B1107E" w:rsidRDefault="007172D5" w:rsidP="00B1107E">
      <w:pPr>
        <w:pStyle w:val="paragraph"/>
        <w:spacing w:before="0" w:beforeAutospacing="0" w:after="120" w:afterAutospacing="0"/>
        <w:jc w:val="both"/>
        <w:textAlignment w:val="baseline"/>
        <w:rPr>
          <w:noProof/>
          <w:lang w:val="en"/>
        </w:rPr>
      </w:pPr>
    </w:p>
    <w:p w14:paraId="62EF0F0F" w14:textId="32685A4A" w:rsidR="00D47ECE" w:rsidRDefault="00D47ECE" w:rsidP="00B1107E">
      <w:pPr>
        <w:pStyle w:val="paragraph"/>
        <w:spacing w:before="0" w:beforeAutospacing="0" w:after="120" w:afterAutospacing="0"/>
        <w:jc w:val="both"/>
        <w:textAlignment w:val="baseline"/>
        <w:rPr>
          <w:rStyle w:val="normaltextrun"/>
          <w:noProof/>
          <w:color w:val="242424"/>
          <w:lang w:val="en"/>
        </w:rPr>
      </w:pPr>
      <w:r w:rsidRPr="00BB1C3B">
        <w:rPr>
          <w:rStyle w:val="normaltextrun"/>
          <w:noProof/>
          <w:color w:val="242424"/>
          <w:lang w:val="en"/>
        </w:rPr>
        <w:t xml:space="preserve">Since April 2020, more than </w:t>
      </w:r>
      <w:r w:rsidRPr="00BB1C3B">
        <w:rPr>
          <w:rStyle w:val="normaltextrun"/>
          <w:bCs/>
          <w:noProof/>
          <w:color w:val="242424"/>
          <w:lang w:val="en"/>
        </w:rPr>
        <w:t>2 000 operations</w:t>
      </w:r>
      <w:r w:rsidRPr="00BB1C3B">
        <w:rPr>
          <w:rStyle w:val="normaltextrun"/>
          <w:noProof/>
          <w:color w:val="242424"/>
          <w:lang w:val="en"/>
        </w:rPr>
        <w:t xml:space="preserve"> via air, land or sea for transport of medical equipment and the transport of approximately </w:t>
      </w:r>
      <w:r w:rsidRPr="00BB1C3B">
        <w:rPr>
          <w:rStyle w:val="normaltextrun"/>
          <w:bCs/>
          <w:noProof/>
          <w:color w:val="242424"/>
          <w:lang w:val="en"/>
        </w:rPr>
        <w:t>515 health workers</w:t>
      </w:r>
      <w:r w:rsidRPr="00BB1C3B">
        <w:rPr>
          <w:rStyle w:val="normaltextrun"/>
          <w:noProof/>
          <w:color w:val="242424"/>
          <w:lang w:val="en"/>
        </w:rPr>
        <w:t xml:space="preserve"> and </w:t>
      </w:r>
      <w:r w:rsidRPr="00BB1C3B">
        <w:rPr>
          <w:rStyle w:val="normaltextrun"/>
          <w:bCs/>
          <w:noProof/>
          <w:color w:val="242424"/>
          <w:lang w:val="en"/>
        </w:rPr>
        <w:t>135 patients</w:t>
      </w:r>
      <w:r w:rsidRPr="00BB1C3B">
        <w:rPr>
          <w:rStyle w:val="normaltextrun"/>
          <w:noProof/>
          <w:color w:val="242424"/>
          <w:lang w:val="en"/>
        </w:rPr>
        <w:t xml:space="preserve"> have been supported via </w:t>
      </w:r>
      <w:r w:rsidRPr="00BB1C3B">
        <w:rPr>
          <w:rStyle w:val="normaltextrun"/>
          <w:bCs/>
          <w:noProof/>
          <w:color w:val="242424"/>
          <w:lang w:val="en"/>
        </w:rPr>
        <w:t>78</w:t>
      </w:r>
      <w:r w:rsidRPr="00BB1C3B">
        <w:rPr>
          <w:rStyle w:val="normaltextrun"/>
          <w:noProof/>
          <w:color w:val="242424"/>
          <w:lang w:val="en"/>
        </w:rPr>
        <w:t xml:space="preserve"> projects (60 related to cargo operations and 18 to transfer of patients and medical teams) with </w:t>
      </w:r>
      <w:r w:rsidRPr="00BB1C3B">
        <w:rPr>
          <w:rStyle w:val="normaltextrun"/>
          <w:bCs/>
          <w:noProof/>
          <w:color w:val="242424"/>
          <w:lang w:val="en"/>
        </w:rPr>
        <w:t>73 grant agreements signed</w:t>
      </w:r>
      <w:r w:rsidRPr="00BB1C3B">
        <w:rPr>
          <w:rStyle w:val="normaltextrun"/>
          <w:noProof/>
          <w:color w:val="242424"/>
          <w:lang w:val="en"/>
        </w:rPr>
        <w:t xml:space="preserve">. Overall, cargo operations have been financed with more than EUR </w:t>
      </w:r>
      <w:r w:rsidRPr="00BB1C3B">
        <w:rPr>
          <w:rStyle w:val="normaltextrun"/>
          <w:bCs/>
          <w:noProof/>
          <w:color w:val="242424"/>
          <w:lang w:val="en"/>
        </w:rPr>
        <w:t>164</w:t>
      </w:r>
      <w:r w:rsidRPr="00BB1C3B">
        <w:rPr>
          <w:rStyle w:val="normaltextrun"/>
          <w:noProof/>
          <w:color w:val="242424"/>
          <w:lang w:val="en"/>
        </w:rPr>
        <w:t xml:space="preserve"> million</w:t>
      </w:r>
      <w:r w:rsidRPr="00FE224F">
        <w:rPr>
          <w:rStyle w:val="normaltextrun"/>
          <w:noProof/>
          <w:color w:val="242424"/>
          <w:lang w:val="en"/>
        </w:rPr>
        <w:t xml:space="preserve"> </w:t>
      </w:r>
      <w:r w:rsidRPr="00314CAD">
        <w:rPr>
          <w:rStyle w:val="normaltextrun"/>
          <w:noProof/>
          <w:color w:val="242424"/>
          <w:lang w:val="en"/>
        </w:rPr>
        <w:t xml:space="preserve">and EUR </w:t>
      </w:r>
      <w:r w:rsidRPr="00314CAD">
        <w:rPr>
          <w:rStyle w:val="normaltextrun"/>
          <w:bCs/>
          <w:noProof/>
          <w:color w:val="242424"/>
          <w:lang w:val="en"/>
        </w:rPr>
        <w:t>9</w:t>
      </w:r>
      <w:r w:rsidRPr="00314CAD">
        <w:rPr>
          <w:rStyle w:val="normaltextrun"/>
          <w:noProof/>
          <w:color w:val="242424"/>
          <w:lang w:val="en"/>
        </w:rPr>
        <w:t xml:space="preserve"> million</w:t>
      </w:r>
      <w:r w:rsidRPr="00FE224F">
        <w:rPr>
          <w:rStyle w:val="normaltextrun"/>
          <w:noProof/>
          <w:color w:val="242424"/>
          <w:lang w:val="en"/>
        </w:rPr>
        <w:t xml:space="preserve"> have been awarded so far to </w:t>
      </w:r>
      <w:r>
        <w:rPr>
          <w:rStyle w:val="normaltextrun"/>
          <w:noProof/>
          <w:color w:val="242424"/>
          <w:lang w:val="en"/>
        </w:rPr>
        <w:t>Member States</w:t>
      </w:r>
      <w:r w:rsidRPr="00FE224F">
        <w:rPr>
          <w:rStyle w:val="normaltextrun"/>
          <w:noProof/>
          <w:color w:val="242424"/>
          <w:lang w:val="en"/>
        </w:rPr>
        <w:t xml:space="preserve"> for the transport of medical teams and transfer of patients. </w:t>
      </w:r>
    </w:p>
    <w:p w14:paraId="685C874C" w14:textId="77777777" w:rsidR="008A5B89" w:rsidRPr="00B1107E" w:rsidRDefault="008A5B89" w:rsidP="00B1107E">
      <w:pPr>
        <w:pStyle w:val="paragraph"/>
        <w:spacing w:before="0" w:beforeAutospacing="0" w:after="120" w:afterAutospacing="0"/>
        <w:jc w:val="both"/>
        <w:textAlignment w:val="baseline"/>
        <w:rPr>
          <w:rStyle w:val="normaltextrun"/>
          <w:noProof/>
          <w:lang w:val="en-GB"/>
        </w:rPr>
      </w:pPr>
    </w:p>
    <w:p w14:paraId="2751D47E" w14:textId="5410A099" w:rsidR="003D6D75" w:rsidRPr="00B1107E" w:rsidRDefault="003D6D75" w:rsidP="00B1107E">
      <w:pPr>
        <w:spacing w:after="120"/>
        <w:outlineLvl w:val="2"/>
        <w:rPr>
          <w:rStyle w:val="normaltextrun"/>
          <w:b/>
          <w:noProof/>
          <w:color w:val="242424"/>
          <w:lang w:val="en"/>
        </w:rPr>
      </w:pPr>
      <w:r w:rsidRPr="00B1107E">
        <w:rPr>
          <w:rStyle w:val="normaltextrun"/>
          <w:b/>
          <w:noProof/>
          <w:color w:val="242424"/>
          <w:lang w:val="en"/>
        </w:rPr>
        <w:tab/>
      </w:r>
      <w:bookmarkStart w:id="11" w:name="_Toc106701121"/>
      <w:r w:rsidRPr="00B1107E">
        <w:rPr>
          <w:rStyle w:val="normaltextrun"/>
          <w:b/>
          <w:noProof/>
          <w:color w:val="242424"/>
          <w:lang w:val="en"/>
        </w:rPr>
        <w:t>3.1.2</w:t>
      </w:r>
      <w:r w:rsidR="007227CB">
        <w:rPr>
          <w:rStyle w:val="normaltextrun"/>
          <w:b/>
          <w:noProof/>
          <w:color w:val="242424"/>
          <w:lang w:val="en"/>
        </w:rPr>
        <w:t>.</w:t>
      </w:r>
      <w:r w:rsidRPr="00B1107E">
        <w:rPr>
          <w:rStyle w:val="normaltextrun"/>
          <w:b/>
          <w:noProof/>
          <w:color w:val="242424"/>
          <w:lang w:val="en"/>
        </w:rPr>
        <w:t xml:space="preserve"> Facility for essential health-related products</w:t>
      </w:r>
      <w:bookmarkEnd w:id="11"/>
    </w:p>
    <w:p w14:paraId="438EF18A" w14:textId="6B37286C" w:rsidR="008A5B89" w:rsidRDefault="00906829" w:rsidP="00B1107E">
      <w:pPr>
        <w:spacing w:after="120"/>
        <w:rPr>
          <w:noProof/>
          <w:color w:val="242424"/>
          <w:lang w:val="en"/>
        </w:rPr>
      </w:pPr>
      <w:r>
        <w:rPr>
          <w:noProof/>
          <w:color w:val="242424"/>
          <w:lang w:val="en"/>
        </w:rPr>
        <w:t>T</w:t>
      </w:r>
      <w:r w:rsidR="003D6D75" w:rsidRPr="003D6D75">
        <w:rPr>
          <w:noProof/>
          <w:color w:val="242424"/>
          <w:lang w:val="en"/>
        </w:rPr>
        <w:t>he ESI allowed all Member States to have access to the therapeutic Remdesivir, (some 34 000 courses of treatment) the first EU-authorised medicine to treat COVID-19 and the best available scientific evidence at the time, although this was subsequently challenged, and at a time when national contracts with the so</w:t>
      </w:r>
      <w:r w:rsidR="008A5B89">
        <w:rPr>
          <w:noProof/>
          <w:color w:val="242424"/>
          <w:lang w:val="en"/>
        </w:rPr>
        <w:t xml:space="preserve">le producer were not on offer. </w:t>
      </w:r>
    </w:p>
    <w:p w14:paraId="6008F99C" w14:textId="06772D3C" w:rsidR="003D6D75" w:rsidRPr="003D6D75" w:rsidRDefault="003D6D75" w:rsidP="00B1107E">
      <w:pPr>
        <w:spacing w:after="120"/>
        <w:rPr>
          <w:noProof/>
          <w:color w:val="242424"/>
          <w:lang w:val="en"/>
        </w:rPr>
      </w:pPr>
      <w:r w:rsidRPr="003D6D75">
        <w:rPr>
          <w:noProof/>
          <w:color w:val="242424"/>
          <w:lang w:val="en"/>
        </w:rPr>
        <w:t>Also under th</w:t>
      </w:r>
      <w:r w:rsidR="00CD69E7">
        <w:rPr>
          <w:noProof/>
          <w:color w:val="242424"/>
          <w:lang w:val="en"/>
        </w:rPr>
        <w:t>is</w:t>
      </w:r>
      <w:r w:rsidRPr="003D6D75">
        <w:rPr>
          <w:noProof/>
          <w:color w:val="242424"/>
          <w:lang w:val="en"/>
        </w:rPr>
        <w:t xml:space="preserve"> facility, the instrument allowed the Union to procure and donate to the interested Member States over 23 million rapid antigen tests and 10 million masks. </w:t>
      </w:r>
    </w:p>
    <w:p w14:paraId="535CACF6" w14:textId="77777777" w:rsidR="003D6D75" w:rsidRPr="003D6D75" w:rsidRDefault="003D6D75" w:rsidP="00B1107E">
      <w:pPr>
        <w:spacing w:after="120"/>
        <w:rPr>
          <w:noProof/>
          <w:color w:val="242424"/>
          <w:lang w:val="en"/>
        </w:rPr>
      </w:pPr>
      <w:r w:rsidRPr="003D6D75">
        <w:rPr>
          <w:noProof/>
          <w:color w:val="242424"/>
          <w:lang w:val="en"/>
        </w:rPr>
        <w:t xml:space="preserve">The action to provide training in intensive care skills has proved very successful to increase the available capacity to support the regular Intensive Care Unit staff to take care of COVID-19 patients. With the collaboration of the European Society of Intensive Care Medicine (ESICM), more than 17 000 professionals were trained in 24 EU Member States plus UK, in 717 hospitals between August 2020 and May 2021. A total of 5 696 medical doctors and 6 400 registered nurses were certified. </w:t>
      </w:r>
    </w:p>
    <w:p w14:paraId="2FD5F978" w14:textId="77777777" w:rsidR="003D6D75" w:rsidRDefault="003D6D75" w:rsidP="00B1107E">
      <w:pPr>
        <w:spacing w:after="120"/>
        <w:rPr>
          <w:noProof/>
          <w:color w:val="242424"/>
          <w:lang w:val="en"/>
        </w:rPr>
      </w:pPr>
      <w:r w:rsidRPr="003D6D75">
        <w:rPr>
          <w:noProof/>
          <w:color w:val="242424"/>
          <w:lang w:val="en"/>
        </w:rPr>
        <w:t>Following the success of the initiative, the Commission received requests from third countries and international organisations to benefit from the established system and access the training platform. Therefore, an assignment agreement which settles the transfer of rights from the EC to ESICM was signed. As a result, ESICM opened the C19_SPACE for training to all health professionals interested and by March 2022 already 700 additional users had completed the programme. In March 2022 ESICM signed a contract with WHO to deliver the C19_SPACE training programme in the 6 languages of the WHO and it will be opened in the second trimester of 2022.</w:t>
      </w:r>
    </w:p>
    <w:p w14:paraId="49EE3142" w14:textId="77777777" w:rsidR="008A5B89" w:rsidRDefault="008A5B89" w:rsidP="00B1107E">
      <w:pPr>
        <w:spacing w:after="120"/>
        <w:rPr>
          <w:noProof/>
          <w:color w:val="242424"/>
          <w:lang w:val="en"/>
        </w:rPr>
      </w:pPr>
    </w:p>
    <w:p w14:paraId="7AD0212A" w14:textId="6513EDFB" w:rsidR="003D6D75" w:rsidRDefault="003D6D75" w:rsidP="00B92837">
      <w:pPr>
        <w:spacing w:after="120"/>
        <w:outlineLvl w:val="2"/>
        <w:rPr>
          <w:b/>
          <w:noProof/>
          <w:color w:val="242424"/>
          <w:lang w:val="en"/>
        </w:rPr>
      </w:pPr>
      <w:r w:rsidRPr="00B92837">
        <w:rPr>
          <w:b/>
          <w:noProof/>
          <w:color w:val="242424"/>
          <w:lang w:val="en"/>
        </w:rPr>
        <w:tab/>
      </w:r>
      <w:bookmarkStart w:id="12" w:name="_Toc106701122"/>
      <w:r w:rsidRPr="00B92837">
        <w:rPr>
          <w:b/>
          <w:noProof/>
          <w:color w:val="242424"/>
          <w:lang w:val="en"/>
        </w:rPr>
        <w:t>3.1.3</w:t>
      </w:r>
      <w:r w:rsidR="007227CB">
        <w:rPr>
          <w:b/>
          <w:noProof/>
          <w:color w:val="242424"/>
          <w:lang w:val="en"/>
        </w:rPr>
        <w:t>.</w:t>
      </w:r>
      <w:r w:rsidRPr="00B92837">
        <w:rPr>
          <w:b/>
          <w:noProof/>
          <w:color w:val="242424"/>
          <w:lang w:val="en"/>
        </w:rPr>
        <w:t xml:space="preserve"> Treatment of COVID-19 patients</w:t>
      </w:r>
      <w:r w:rsidR="008A5B89">
        <w:rPr>
          <w:b/>
          <w:noProof/>
          <w:color w:val="242424"/>
          <w:lang w:val="en"/>
        </w:rPr>
        <w:t xml:space="preserve"> </w:t>
      </w:r>
      <w:r w:rsidR="008A5B89" w:rsidRPr="008A5B89">
        <w:rPr>
          <w:b/>
          <w:noProof/>
          <w:color w:val="242424"/>
          <w:lang w:val="en"/>
        </w:rPr>
        <w:t>with convalescent plasma</w:t>
      </w:r>
      <w:bookmarkEnd w:id="12"/>
    </w:p>
    <w:p w14:paraId="37A23735" w14:textId="77777777" w:rsidR="008A5B89" w:rsidRDefault="003D6D75" w:rsidP="00B92837">
      <w:pPr>
        <w:spacing w:after="120"/>
        <w:rPr>
          <w:noProof/>
          <w:color w:val="242424"/>
          <w:lang w:val="en"/>
        </w:rPr>
      </w:pPr>
      <w:r w:rsidRPr="003D6D75">
        <w:rPr>
          <w:noProof/>
          <w:color w:val="242424"/>
          <w:lang w:val="en"/>
        </w:rPr>
        <w:t xml:space="preserve">As regards the treatment of COVID-19 patients with convalescent plasma, the instrument financed 20 projects across 13 Member States and the UK. It aimed at increasing the capacity of the public and NGO blood services to collect plasma from donors that had recovered from COVID-19, involving 150 collection centres. </w:t>
      </w:r>
    </w:p>
    <w:p w14:paraId="46DC35B2" w14:textId="1A1F17EC" w:rsidR="003D6D75" w:rsidRDefault="003D6D75" w:rsidP="00B92837">
      <w:pPr>
        <w:spacing w:after="120"/>
        <w:rPr>
          <w:noProof/>
          <w:color w:val="242424"/>
          <w:lang w:val="en"/>
        </w:rPr>
      </w:pPr>
      <w:r w:rsidRPr="003D6D75">
        <w:rPr>
          <w:noProof/>
          <w:color w:val="242424"/>
          <w:lang w:val="en"/>
        </w:rPr>
        <w:t>About EUR 22.5 million of the EUR 35 million allocated were spent: to purchase or lease 299 plasmapheresis machines, to expand plasma storage capacity through the purchase of 145 low temperature freezers, and to buy equipment/furniture and more than 70.000 collection kits. In addition, 35 new collection centres were opened while the other beneficiaries were able to expand their collection capacity. According to the final reports provided, beneficiaries have collected 165 444 units of convalescent plasma. The increase in plasmapheresis capacity will have a secondary long-term benefit of helping to address a significant dependence of the EU on the US for an adequate supply of plasma donations for the manufacture of essential medicinal products.</w:t>
      </w:r>
    </w:p>
    <w:p w14:paraId="35E56791" w14:textId="77777777" w:rsidR="008A5B89" w:rsidRDefault="008A5B89" w:rsidP="00B92837">
      <w:pPr>
        <w:spacing w:after="120"/>
        <w:rPr>
          <w:noProof/>
          <w:color w:val="242424"/>
          <w:lang w:val="en"/>
        </w:rPr>
      </w:pPr>
    </w:p>
    <w:p w14:paraId="38CE8871" w14:textId="2B6E4FE6" w:rsidR="003D6D75" w:rsidRPr="00B92837" w:rsidRDefault="003D6D75" w:rsidP="00B92837">
      <w:pPr>
        <w:spacing w:after="120"/>
        <w:outlineLvl w:val="2"/>
        <w:rPr>
          <w:b/>
          <w:noProof/>
          <w:color w:val="242424"/>
          <w:lang w:val="en"/>
        </w:rPr>
      </w:pPr>
      <w:r w:rsidRPr="00B92837">
        <w:rPr>
          <w:b/>
          <w:noProof/>
          <w:color w:val="242424"/>
          <w:lang w:val="en"/>
        </w:rPr>
        <w:tab/>
      </w:r>
      <w:bookmarkStart w:id="13" w:name="_Toc106701123"/>
      <w:r w:rsidRPr="00B92837">
        <w:rPr>
          <w:b/>
          <w:noProof/>
          <w:color w:val="242424"/>
          <w:lang w:val="en"/>
        </w:rPr>
        <w:t>3.1.4</w:t>
      </w:r>
      <w:r w:rsidR="007227CB">
        <w:rPr>
          <w:b/>
          <w:noProof/>
          <w:color w:val="242424"/>
          <w:lang w:val="en"/>
        </w:rPr>
        <w:t>.</w:t>
      </w:r>
      <w:r w:rsidRPr="00B92837">
        <w:rPr>
          <w:b/>
          <w:noProof/>
          <w:color w:val="242424"/>
          <w:lang w:val="en"/>
        </w:rPr>
        <w:t xml:space="preserve"> Clinical testing of repurposed medicines to treat SARS-COV-2 patients</w:t>
      </w:r>
      <w:bookmarkEnd w:id="13"/>
    </w:p>
    <w:p w14:paraId="4F4D7A68" w14:textId="198EBE11" w:rsidR="00B92837" w:rsidRPr="00F90369" w:rsidRDefault="003D6D75" w:rsidP="00B92837">
      <w:pPr>
        <w:spacing w:after="0"/>
        <w:rPr>
          <w:noProof/>
          <w:szCs w:val="24"/>
        </w:rPr>
      </w:pPr>
      <w:r w:rsidRPr="003D6D75">
        <w:rPr>
          <w:noProof/>
          <w:color w:val="242424"/>
          <w:lang w:val="en"/>
        </w:rPr>
        <w:t xml:space="preserve">With regards to clinical trials for testing repurposed medicines, a call was launched to five beneficiaries of Horizon 2020 funding to apply. </w:t>
      </w:r>
      <w:r w:rsidR="00B92837">
        <w:rPr>
          <w:noProof/>
          <w:szCs w:val="24"/>
        </w:rPr>
        <w:t>The intention was t</w:t>
      </w:r>
      <w:r w:rsidR="00B92837" w:rsidRPr="00F90369">
        <w:rPr>
          <w:noProof/>
          <w:szCs w:val="24"/>
        </w:rPr>
        <w:t xml:space="preserve">o </w:t>
      </w:r>
      <w:r w:rsidR="00906829">
        <w:rPr>
          <w:noProof/>
          <w:szCs w:val="24"/>
        </w:rPr>
        <w:t>develop</w:t>
      </w:r>
      <w:r w:rsidR="00B92837" w:rsidRPr="00F90369">
        <w:rPr>
          <w:noProof/>
          <w:szCs w:val="24"/>
        </w:rPr>
        <w:t xml:space="preserve"> the generation of clinical data to support </w:t>
      </w:r>
      <w:r w:rsidR="00B92837">
        <w:rPr>
          <w:noProof/>
          <w:szCs w:val="24"/>
        </w:rPr>
        <w:t>the</w:t>
      </w:r>
      <w:r w:rsidR="00B92837" w:rsidRPr="00F90369">
        <w:rPr>
          <w:noProof/>
          <w:szCs w:val="24"/>
        </w:rPr>
        <w:t xml:space="preserve"> application for a marketing authorisation for existing medicines to be repurposed to treat COVID-19 patients. The </w:t>
      </w:r>
      <w:r w:rsidR="00906829">
        <w:rPr>
          <w:noProof/>
          <w:szCs w:val="24"/>
        </w:rPr>
        <w:t>ultimate</w:t>
      </w:r>
      <w:r w:rsidR="00B92837" w:rsidRPr="00F90369">
        <w:rPr>
          <w:noProof/>
          <w:szCs w:val="24"/>
        </w:rPr>
        <w:t xml:space="preserve"> objective w</w:t>
      </w:r>
      <w:r w:rsidR="00906829">
        <w:rPr>
          <w:noProof/>
          <w:szCs w:val="24"/>
        </w:rPr>
        <w:t>as</w:t>
      </w:r>
      <w:r w:rsidR="00B92837" w:rsidRPr="00F90369">
        <w:rPr>
          <w:noProof/>
          <w:szCs w:val="24"/>
        </w:rPr>
        <w:t xml:space="preserve"> to increase the capacity of Member States to deal with the demand for medicines and therapies, to assess the safety and efficacy of investigational medicinal products in human subjects for the treatment of COVID-19; and to ensure that all Member States have fair access to essential medical products for treating COVID-19, including new and repurposed treatments.</w:t>
      </w:r>
      <w:r w:rsidR="00906829">
        <w:rPr>
          <w:noProof/>
          <w:szCs w:val="24"/>
        </w:rPr>
        <w:t xml:space="preserve"> Unfortunately, there were no adequate results.</w:t>
      </w:r>
    </w:p>
    <w:p w14:paraId="03D264E6" w14:textId="33AC5A87" w:rsidR="003D6D75" w:rsidRDefault="003D6D75">
      <w:pPr>
        <w:spacing w:after="120"/>
        <w:rPr>
          <w:noProof/>
          <w:color w:val="242424"/>
          <w:lang w:val="en"/>
        </w:rPr>
      </w:pPr>
      <w:r w:rsidRPr="003D6D75">
        <w:rPr>
          <w:noProof/>
          <w:color w:val="242424"/>
          <w:lang w:val="en"/>
        </w:rPr>
        <w:t>One applicant received a grant of EUR 1 million to carry out a clinical trial with the substance Raloxifene so as to study its use for preventing the evolution of COVID-19 towards severe and critical disease. Concerning the clinical trial itself, the company faced several operational problems and as a result, the action was (slightly) prolonged in order to recruit the foreseen number of participants. The results of the trial act as a proof of concept on the use of raloxifene. Three other submissions were rejected as they did not fall within the scope of the call and one did not apply.</w:t>
      </w:r>
    </w:p>
    <w:p w14:paraId="7619B592" w14:textId="1C4F8857" w:rsidR="00B92837" w:rsidRDefault="00B92837">
      <w:pPr>
        <w:spacing w:after="120"/>
        <w:rPr>
          <w:noProof/>
          <w:color w:val="242424"/>
          <w:lang w:val="en"/>
        </w:rPr>
      </w:pPr>
    </w:p>
    <w:p w14:paraId="322E42AE" w14:textId="7F853392" w:rsidR="00B92837" w:rsidRPr="003D6D75" w:rsidRDefault="00B92837" w:rsidP="00B92837">
      <w:pPr>
        <w:spacing w:after="120"/>
        <w:ind w:left="720"/>
        <w:rPr>
          <w:noProof/>
          <w:color w:val="242424"/>
          <w:lang w:val="en"/>
        </w:rPr>
      </w:pPr>
      <w:r w:rsidRPr="00E16DC4">
        <w:rPr>
          <w:b/>
          <w:noProof/>
          <w:color w:val="242424"/>
          <w:lang w:val="en"/>
        </w:rPr>
        <w:t>3.1.</w:t>
      </w:r>
      <w:r>
        <w:rPr>
          <w:b/>
          <w:noProof/>
          <w:color w:val="242424"/>
          <w:lang w:val="en"/>
        </w:rPr>
        <w:t>5.</w:t>
      </w:r>
      <w:r w:rsidRPr="00E16DC4">
        <w:rPr>
          <w:b/>
          <w:noProof/>
          <w:color w:val="242424"/>
          <w:lang w:val="en"/>
        </w:rPr>
        <w:t xml:space="preserve"> </w:t>
      </w:r>
      <w:r>
        <w:rPr>
          <w:b/>
          <w:noProof/>
          <w:color w:val="242424"/>
          <w:lang w:val="en"/>
        </w:rPr>
        <w:t>Increased testing capacity</w:t>
      </w:r>
    </w:p>
    <w:p w14:paraId="1200FC67" w14:textId="62CDC7BF" w:rsidR="003D6D75" w:rsidRDefault="003D6D75" w:rsidP="00B92837">
      <w:pPr>
        <w:spacing w:after="120"/>
        <w:rPr>
          <w:noProof/>
          <w:color w:val="242424"/>
          <w:lang w:val="en"/>
        </w:rPr>
      </w:pPr>
      <w:r w:rsidRPr="003D6D75">
        <w:rPr>
          <w:noProof/>
          <w:color w:val="242424"/>
          <w:lang w:val="en"/>
        </w:rPr>
        <w:t>Working with the national branches of the International Federation of the Red Cross, the instrument ensured the stepping up of testing capacity across seven Member States which expressed an interest. Between July 2020 and September 2021, a total of 9 222 volunteers and professionals were trained in testing techniques, 1 795 mobile testing teams were established and 1 263 309 tests conducted.</w:t>
      </w:r>
    </w:p>
    <w:p w14:paraId="6367F276" w14:textId="77777777" w:rsidR="008A5B89" w:rsidRDefault="008A5B89" w:rsidP="00B92837">
      <w:pPr>
        <w:spacing w:after="120"/>
        <w:rPr>
          <w:noProof/>
          <w:color w:val="242424"/>
          <w:lang w:val="en"/>
        </w:rPr>
      </w:pPr>
    </w:p>
    <w:p w14:paraId="42A0359D" w14:textId="0B74CA13" w:rsidR="003D6D75" w:rsidRPr="00B92837" w:rsidRDefault="003D6D75" w:rsidP="00B92837">
      <w:pPr>
        <w:spacing w:after="120"/>
        <w:outlineLvl w:val="2"/>
        <w:rPr>
          <w:b/>
          <w:noProof/>
          <w:color w:val="242424"/>
          <w:lang w:val="en"/>
        </w:rPr>
      </w:pPr>
      <w:r w:rsidRPr="00B92837">
        <w:rPr>
          <w:b/>
          <w:noProof/>
          <w:color w:val="242424"/>
          <w:lang w:val="en"/>
        </w:rPr>
        <w:tab/>
      </w:r>
      <w:bookmarkStart w:id="14" w:name="_Toc106701124"/>
      <w:r w:rsidRPr="00B92837">
        <w:rPr>
          <w:b/>
          <w:noProof/>
          <w:color w:val="242424"/>
          <w:lang w:val="en"/>
        </w:rPr>
        <w:t>3.1.</w:t>
      </w:r>
      <w:r w:rsidR="00B92837">
        <w:rPr>
          <w:b/>
          <w:noProof/>
          <w:color w:val="242424"/>
          <w:lang w:val="en"/>
        </w:rPr>
        <w:t>6</w:t>
      </w:r>
      <w:r w:rsidR="007227CB">
        <w:rPr>
          <w:b/>
          <w:noProof/>
          <w:color w:val="242424"/>
          <w:lang w:val="en"/>
        </w:rPr>
        <w:t>.</w:t>
      </w:r>
      <w:r w:rsidRPr="00B92837">
        <w:rPr>
          <w:b/>
          <w:noProof/>
          <w:color w:val="242424"/>
          <w:lang w:val="en"/>
        </w:rPr>
        <w:t xml:space="preserve"> Support in reception facilities in Greece</w:t>
      </w:r>
      <w:bookmarkEnd w:id="14"/>
    </w:p>
    <w:p w14:paraId="225F9BF3" w14:textId="583A9395" w:rsidR="003D6D75" w:rsidRDefault="003D6D75" w:rsidP="00B92837">
      <w:pPr>
        <w:spacing w:after="120"/>
        <w:rPr>
          <w:noProof/>
          <w:color w:val="242424"/>
          <w:lang w:val="en"/>
        </w:rPr>
      </w:pPr>
      <w:r w:rsidRPr="003D6D75">
        <w:rPr>
          <w:noProof/>
          <w:color w:val="242424"/>
          <w:lang w:val="en"/>
        </w:rPr>
        <w:t>The action to provide medical capacities for the reception facilities and their host communities in Greece was complementary and built upon the lessons learnt by providing structural investment to increase the capacity of local hospitals and within reception centres, geared towards the particular challenges related to the COVID-19 pandemic. The focus on structural investments increased the sustainability of the action, in line with the evaluation recommendations. Needs were assessed jointly, consulting in a bottom-up approach with the local hospitals and Greek health partners, and the selection of partners for the grant ensures a combination of local involvement and relevant expertise. The action was implemented by the International Organisation for Migration and will be running until 30 June 2022, where all the relevant procurement processes are expected to be completed and delivered to the Greek Authorities. Finally, the action was designed to be complementary to the funding for healthcare in the Greek migration reception system under the Asylum, Migration and Integration Fund.</w:t>
      </w:r>
    </w:p>
    <w:p w14:paraId="5A3C9617" w14:textId="77777777" w:rsidR="008A5B89" w:rsidRDefault="008A5B89" w:rsidP="00B92837">
      <w:pPr>
        <w:spacing w:after="120"/>
        <w:rPr>
          <w:noProof/>
          <w:color w:val="242424"/>
          <w:lang w:val="en"/>
        </w:rPr>
      </w:pPr>
    </w:p>
    <w:p w14:paraId="147BEDA3" w14:textId="27E5EDF5" w:rsidR="003D6D75" w:rsidRPr="00B92837" w:rsidRDefault="003D6D75" w:rsidP="00B92837">
      <w:pPr>
        <w:spacing w:after="120"/>
        <w:outlineLvl w:val="2"/>
        <w:rPr>
          <w:b/>
          <w:noProof/>
          <w:color w:val="242424"/>
          <w:lang w:val="en"/>
        </w:rPr>
      </w:pPr>
      <w:r w:rsidRPr="00B92837">
        <w:rPr>
          <w:b/>
          <w:noProof/>
          <w:color w:val="242424"/>
          <w:lang w:val="en"/>
        </w:rPr>
        <w:tab/>
      </w:r>
      <w:bookmarkStart w:id="15" w:name="_Toc106701125"/>
      <w:r w:rsidRPr="00B92837">
        <w:rPr>
          <w:b/>
          <w:noProof/>
          <w:color w:val="242424"/>
          <w:lang w:val="en"/>
        </w:rPr>
        <w:t>3.1.</w:t>
      </w:r>
      <w:r w:rsidR="00B92837">
        <w:rPr>
          <w:b/>
          <w:noProof/>
          <w:color w:val="242424"/>
          <w:lang w:val="en"/>
        </w:rPr>
        <w:t>7</w:t>
      </w:r>
      <w:r w:rsidR="007227CB">
        <w:rPr>
          <w:b/>
          <w:noProof/>
          <w:color w:val="242424"/>
          <w:lang w:val="en"/>
        </w:rPr>
        <w:t>.</w:t>
      </w:r>
      <w:r w:rsidRPr="00B92837">
        <w:rPr>
          <w:b/>
          <w:noProof/>
          <w:color w:val="242424"/>
          <w:lang w:val="en"/>
        </w:rPr>
        <w:t xml:space="preserve"> Break-through systems to effectively cope with the spread of the virus</w:t>
      </w:r>
      <w:bookmarkEnd w:id="15"/>
    </w:p>
    <w:p w14:paraId="64B3063D" w14:textId="5E0405BD" w:rsidR="003D6D75" w:rsidRPr="003D6D75" w:rsidRDefault="003D6D75" w:rsidP="00B92837">
      <w:pPr>
        <w:spacing w:after="120"/>
        <w:rPr>
          <w:noProof/>
          <w:color w:val="242424"/>
          <w:lang w:val="en"/>
        </w:rPr>
      </w:pPr>
      <w:r w:rsidRPr="003D6D75">
        <w:rPr>
          <w:noProof/>
          <w:color w:val="242424"/>
          <w:lang w:val="en"/>
        </w:rPr>
        <w:t>The instrument funded the supply of 305 UV disinfecting robots to hospitals in all 27 Member States, providing innovative, efficient and effective solutions to ensure the safety of healthcare environments and their staff.</w:t>
      </w:r>
    </w:p>
    <w:p w14:paraId="43032D46" w14:textId="77777777" w:rsidR="003D6D75" w:rsidRPr="003D6D75" w:rsidRDefault="003D6D75" w:rsidP="00B92837">
      <w:pPr>
        <w:spacing w:after="120"/>
        <w:rPr>
          <w:noProof/>
          <w:color w:val="242424"/>
          <w:lang w:val="en"/>
        </w:rPr>
      </w:pPr>
      <w:r w:rsidRPr="003D6D75">
        <w:rPr>
          <w:noProof/>
          <w:color w:val="242424"/>
          <w:lang w:val="en"/>
        </w:rPr>
        <w:t>EU wastewater monitoring system or the urgent characterisation of the SARS/CoV2 Omicron variant were also additional actions financed with this instrument and that could not have been implemented otherwise.</w:t>
      </w:r>
    </w:p>
    <w:p w14:paraId="209D4091" w14:textId="5B5D1BEB" w:rsidR="00B92837" w:rsidRDefault="001D41BE">
      <w:pPr>
        <w:spacing w:after="120"/>
        <w:rPr>
          <w:noProof/>
          <w:color w:val="242424"/>
          <w:lang w:val="en"/>
        </w:rPr>
      </w:pPr>
      <w:r>
        <w:rPr>
          <w:noProof/>
          <w:color w:val="242424"/>
          <w:lang w:val="en"/>
        </w:rPr>
        <w:t>T</w:t>
      </w:r>
      <w:r w:rsidR="00B92837" w:rsidRPr="00F40460">
        <w:rPr>
          <w:noProof/>
          <w:color w:val="242424"/>
          <w:lang w:val="en"/>
        </w:rPr>
        <w:t xml:space="preserve">he instrument </w:t>
      </w:r>
      <w:r>
        <w:rPr>
          <w:noProof/>
          <w:color w:val="242424"/>
          <w:lang w:val="en"/>
        </w:rPr>
        <w:t xml:space="preserve">also </w:t>
      </w:r>
      <w:r w:rsidR="00B92837" w:rsidRPr="00F40460">
        <w:rPr>
          <w:noProof/>
          <w:color w:val="242424"/>
          <w:lang w:val="en"/>
        </w:rPr>
        <w:t>financed the biological, immunological and epidemiological characterization of the SARS-CoV-2 Omicron variant. The Omicron characterization brought a lot of added value to implementing effective public health measures as it contributed to understanding the virulence, pathogenicity, and the immunological features of the variant</w:t>
      </w:r>
    </w:p>
    <w:p w14:paraId="4BF77741" w14:textId="6A7EE17C" w:rsidR="003D6D75" w:rsidRDefault="003D6D75" w:rsidP="00B92837">
      <w:pPr>
        <w:spacing w:after="120"/>
        <w:rPr>
          <w:noProof/>
          <w:color w:val="242424"/>
          <w:lang w:val="en"/>
        </w:rPr>
      </w:pPr>
      <w:r w:rsidRPr="003D6D75">
        <w:rPr>
          <w:noProof/>
          <w:color w:val="242424"/>
          <w:lang w:val="en"/>
        </w:rPr>
        <w:t>Through the instrument, the Union was able to provide solutions to other common challenges, such as the development of interoperability between national contact tracing apps. The system went live in October 2020.</w:t>
      </w:r>
    </w:p>
    <w:p w14:paraId="20831AD1" w14:textId="77777777" w:rsidR="008A5B89" w:rsidRDefault="008A5B89" w:rsidP="00B92837">
      <w:pPr>
        <w:spacing w:after="120"/>
        <w:rPr>
          <w:noProof/>
          <w:color w:val="242424"/>
          <w:lang w:val="en"/>
        </w:rPr>
      </w:pPr>
    </w:p>
    <w:p w14:paraId="6C2EFC40" w14:textId="1E04F4AB" w:rsidR="003D6D75" w:rsidRPr="00B92837" w:rsidRDefault="00F40460" w:rsidP="00B92837">
      <w:pPr>
        <w:spacing w:after="120"/>
        <w:ind w:left="720"/>
        <w:outlineLvl w:val="2"/>
        <w:rPr>
          <w:b/>
          <w:noProof/>
          <w:color w:val="242424"/>
          <w:lang w:val="en"/>
        </w:rPr>
      </w:pPr>
      <w:bookmarkStart w:id="16" w:name="_Toc106701126"/>
      <w:r w:rsidRPr="00B92837">
        <w:rPr>
          <w:b/>
          <w:noProof/>
          <w:color w:val="242424"/>
          <w:lang w:val="en"/>
        </w:rPr>
        <w:t>3.1.</w:t>
      </w:r>
      <w:r w:rsidR="00B92837">
        <w:rPr>
          <w:b/>
          <w:noProof/>
          <w:color w:val="242424"/>
          <w:lang w:val="en"/>
        </w:rPr>
        <w:t>8</w:t>
      </w:r>
      <w:r w:rsidR="007227CB">
        <w:rPr>
          <w:b/>
          <w:noProof/>
          <w:color w:val="242424"/>
          <w:lang w:val="en"/>
        </w:rPr>
        <w:t>.</w:t>
      </w:r>
      <w:r w:rsidRPr="00B92837">
        <w:rPr>
          <w:b/>
          <w:noProof/>
          <w:color w:val="242424"/>
          <w:lang w:val="en"/>
        </w:rPr>
        <w:t xml:space="preserve"> The benchmark of the EU response to the pandemic: the EU DCC</w:t>
      </w:r>
      <w:bookmarkEnd w:id="16"/>
    </w:p>
    <w:p w14:paraId="199D549C" w14:textId="3A807350" w:rsidR="00B92837" w:rsidRDefault="001D41BE" w:rsidP="00B92837">
      <w:pPr>
        <w:spacing w:after="0"/>
        <w:rPr>
          <w:noProof/>
          <w:color w:val="000000" w:themeColor="text1"/>
          <w:szCs w:val="24"/>
        </w:rPr>
      </w:pPr>
      <w:r>
        <w:rPr>
          <w:noProof/>
          <w:color w:val="000000" w:themeColor="text1"/>
          <w:szCs w:val="24"/>
        </w:rPr>
        <w:t>The e</w:t>
      </w:r>
      <w:r w:rsidR="00B92837">
        <w:rPr>
          <w:noProof/>
          <w:color w:val="000000" w:themeColor="text1"/>
          <w:szCs w:val="24"/>
        </w:rPr>
        <w:t>stablishment of a framework for the common issuance, verification and acceptance of interoperable Covid vaccination, test and recovery certificates</w:t>
      </w:r>
      <w:r>
        <w:rPr>
          <w:noProof/>
          <w:color w:val="000000" w:themeColor="text1"/>
          <w:szCs w:val="24"/>
        </w:rPr>
        <w:t xml:space="preserve"> was one of the big successes of the EU to allow mobility of the citizens and contribute to the reopening of services and travelling.</w:t>
      </w:r>
    </w:p>
    <w:p w14:paraId="6CD4A086" w14:textId="77777777" w:rsidR="00614801" w:rsidRPr="00F90369" w:rsidRDefault="00614801" w:rsidP="00B92837">
      <w:pPr>
        <w:spacing w:after="0"/>
        <w:rPr>
          <w:noProof/>
          <w:color w:val="000000" w:themeColor="text1"/>
          <w:szCs w:val="24"/>
        </w:rPr>
      </w:pPr>
    </w:p>
    <w:p w14:paraId="06227D4D" w14:textId="53BAEB62" w:rsidR="00F40460" w:rsidRDefault="00F40460">
      <w:pPr>
        <w:spacing w:after="120"/>
        <w:rPr>
          <w:noProof/>
          <w:color w:val="242424"/>
          <w:lang w:val="en"/>
        </w:rPr>
      </w:pPr>
      <w:r w:rsidRPr="00F40460">
        <w:rPr>
          <w:noProof/>
          <w:color w:val="242424"/>
          <w:lang w:val="en"/>
        </w:rPr>
        <w:t xml:space="preserve">The instrument financed grants to 24 interested Member States </w:t>
      </w:r>
      <w:r w:rsidR="00C87FDA">
        <w:rPr>
          <w:noProof/>
          <w:color w:val="242424"/>
          <w:lang w:val="en"/>
        </w:rPr>
        <w:t xml:space="preserve">for developing systems for the issuance and verification of EU Digital COVID Certificates (EU DCC) </w:t>
      </w:r>
      <w:r w:rsidRPr="00F40460">
        <w:rPr>
          <w:noProof/>
          <w:color w:val="242424"/>
          <w:lang w:val="en"/>
        </w:rPr>
        <w:t xml:space="preserve">as a proof of vaccination, recovery or negative test, between 29 March and 31 December 2021. </w:t>
      </w:r>
      <w:r w:rsidR="00C87FDA">
        <w:rPr>
          <w:noProof/>
          <w:color w:val="242424"/>
          <w:lang w:val="en"/>
        </w:rPr>
        <w:t xml:space="preserve">The cornerstone of the EU DCC system is the EU DCC gateway developed and maintained by the European Commission. The gateway is crucial for the trust framework of EU DCC, as it is used for sharing information on digital signatures, business rules, value sets, and revocation lists. The development of the EU DCC gateway was also financed through the instrument. </w:t>
      </w:r>
      <w:r w:rsidRPr="00F40460">
        <w:rPr>
          <w:noProof/>
          <w:color w:val="242424"/>
          <w:lang w:val="en"/>
        </w:rPr>
        <w:t xml:space="preserve">Additionally, grants to 18 interested Member States supported accessibility of tests for the delivery of the Digital Covid Certificate, for the period 1 June-31 October 2021. </w:t>
      </w:r>
    </w:p>
    <w:p w14:paraId="00FBAB99" w14:textId="77777777" w:rsidR="00B92837" w:rsidRPr="00F40460" w:rsidRDefault="00B92837" w:rsidP="00B92837">
      <w:pPr>
        <w:spacing w:after="120"/>
        <w:rPr>
          <w:noProof/>
          <w:color w:val="242424"/>
          <w:lang w:val="en"/>
        </w:rPr>
      </w:pPr>
    </w:p>
    <w:p w14:paraId="0BB1B7D3" w14:textId="0E368B5D" w:rsidR="00B92837" w:rsidRDefault="00B92837" w:rsidP="0015515A">
      <w:pPr>
        <w:spacing w:after="120"/>
        <w:ind w:left="720"/>
        <w:outlineLvl w:val="2"/>
        <w:rPr>
          <w:noProof/>
          <w:color w:val="242424"/>
          <w:lang w:val="en"/>
        </w:rPr>
      </w:pPr>
      <w:bookmarkStart w:id="17" w:name="_Toc106701127"/>
      <w:r w:rsidRPr="00E16DC4">
        <w:rPr>
          <w:b/>
          <w:noProof/>
          <w:color w:val="242424"/>
          <w:lang w:val="en"/>
        </w:rPr>
        <w:t>3.1.</w:t>
      </w:r>
      <w:r>
        <w:rPr>
          <w:b/>
          <w:noProof/>
          <w:color w:val="242424"/>
          <w:lang w:val="en"/>
        </w:rPr>
        <w:t>9.</w:t>
      </w:r>
      <w:r w:rsidRPr="00E16DC4">
        <w:rPr>
          <w:b/>
          <w:noProof/>
          <w:color w:val="242424"/>
          <w:lang w:val="en"/>
        </w:rPr>
        <w:t xml:space="preserve"> </w:t>
      </w:r>
      <w:r>
        <w:rPr>
          <w:b/>
          <w:noProof/>
          <w:color w:val="242424"/>
          <w:lang w:val="en"/>
        </w:rPr>
        <w:t>Common digital passenger locator form exchange platform</w:t>
      </w:r>
      <w:bookmarkEnd w:id="17"/>
    </w:p>
    <w:p w14:paraId="742DAFD0" w14:textId="6A24798C" w:rsidR="00F40460" w:rsidRPr="00F40460" w:rsidRDefault="00F40460" w:rsidP="00B92837">
      <w:pPr>
        <w:spacing w:after="120"/>
        <w:rPr>
          <w:noProof/>
          <w:color w:val="242424"/>
          <w:lang w:val="en"/>
        </w:rPr>
      </w:pPr>
      <w:r w:rsidRPr="00F40460">
        <w:rPr>
          <w:noProof/>
          <w:color w:val="242424"/>
          <w:lang w:val="en"/>
        </w:rPr>
        <w:t xml:space="preserve">The common digital passenger locator form exchange platform (including Pilot project), namely the ePLF exchange platform, was also financed by the Instrument. This platform </w:t>
      </w:r>
      <w:r w:rsidR="00BE383C" w:rsidRPr="00F40460">
        <w:rPr>
          <w:noProof/>
          <w:color w:val="242424"/>
          <w:lang w:val="en"/>
        </w:rPr>
        <w:t>offer</w:t>
      </w:r>
      <w:r w:rsidR="00BE383C">
        <w:rPr>
          <w:noProof/>
          <w:color w:val="242424"/>
          <w:lang w:val="en"/>
        </w:rPr>
        <w:t>ed</w:t>
      </w:r>
      <w:r w:rsidR="00BE383C" w:rsidRPr="00F40460">
        <w:rPr>
          <w:noProof/>
          <w:color w:val="242424"/>
          <w:lang w:val="en"/>
        </w:rPr>
        <w:t xml:space="preserve"> </w:t>
      </w:r>
      <w:r w:rsidRPr="00F40460">
        <w:rPr>
          <w:noProof/>
          <w:color w:val="242424"/>
          <w:lang w:val="en"/>
        </w:rPr>
        <w:t>the possibility to strengthen Member States’ contact tracing capabilities for cross-border travel through a dedicated platform for the exchange and processing of selective passenger data between Member States.</w:t>
      </w:r>
    </w:p>
    <w:p w14:paraId="17BEAB49" w14:textId="61678F65" w:rsidR="00F40460" w:rsidRDefault="00BE383C" w:rsidP="00B92837">
      <w:pPr>
        <w:spacing w:after="120"/>
        <w:rPr>
          <w:noProof/>
          <w:color w:val="242424"/>
          <w:lang w:val="en"/>
        </w:rPr>
      </w:pPr>
      <w:r>
        <w:rPr>
          <w:noProof/>
          <w:color w:val="242424"/>
          <w:lang w:val="en"/>
        </w:rPr>
        <w:t>To en</w:t>
      </w:r>
      <w:r w:rsidR="00CE2F3F">
        <w:rPr>
          <w:noProof/>
          <w:color w:val="242424"/>
          <w:lang w:val="en"/>
        </w:rPr>
        <w:t xml:space="preserve">able the </w:t>
      </w:r>
      <w:r w:rsidR="004F6F75">
        <w:rPr>
          <w:noProof/>
          <w:color w:val="242424"/>
          <w:lang w:val="en"/>
        </w:rPr>
        <w:t>functioning</w:t>
      </w:r>
      <w:r w:rsidR="00CE2F3F">
        <w:rPr>
          <w:noProof/>
          <w:color w:val="242424"/>
          <w:lang w:val="en"/>
        </w:rPr>
        <w:t xml:space="preserve"> of the plat</w:t>
      </w:r>
      <w:r>
        <w:rPr>
          <w:noProof/>
          <w:color w:val="242424"/>
          <w:lang w:val="en"/>
        </w:rPr>
        <w:t>form, t</w:t>
      </w:r>
      <w:r w:rsidR="00F40460" w:rsidRPr="00F40460">
        <w:rPr>
          <w:noProof/>
          <w:color w:val="242424"/>
          <w:lang w:val="en"/>
        </w:rPr>
        <w:t>he implementing acts of May and July 2021 established this platform, specified the operators and indicated a number of minimum data to be collected through national PLFs to ensure that all potentially exposed passengers are identified</w:t>
      </w:r>
      <w:r w:rsidR="001D41BE">
        <w:rPr>
          <w:noProof/>
          <w:color w:val="242424"/>
          <w:lang w:val="en"/>
        </w:rPr>
        <w:t xml:space="preserve"> and</w:t>
      </w:r>
      <w:r w:rsidR="00F40460" w:rsidRPr="00F40460">
        <w:rPr>
          <w:noProof/>
          <w:color w:val="242424"/>
          <w:lang w:val="en"/>
        </w:rPr>
        <w:t xml:space="preserve"> outline</w:t>
      </w:r>
      <w:r w:rsidR="001D41BE">
        <w:rPr>
          <w:noProof/>
          <w:color w:val="242424"/>
          <w:lang w:val="en"/>
        </w:rPr>
        <w:t>d</w:t>
      </w:r>
      <w:r w:rsidR="00F40460" w:rsidRPr="00F40460">
        <w:rPr>
          <w:noProof/>
          <w:color w:val="242424"/>
          <w:lang w:val="en"/>
        </w:rPr>
        <w:t xml:space="preserve"> the necessity for a dedicated exchange platform effective in cross border contact tracing. The acts specify that the exchange of data shall cease to exist after the 31st May </w:t>
      </w:r>
      <w:r w:rsidR="001D41BE">
        <w:rPr>
          <w:noProof/>
          <w:color w:val="242424"/>
          <w:lang w:val="en"/>
        </w:rPr>
        <w:t xml:space="preserve">2022 </w:t>
      </w:r>
      <w:r w:rsidR="00F40460" w:rsidRPr="00F40460">
        <w:rPr>
          <w:noProof/>
          <w:color w:val="242424"/>
          <w:lang w:val="en"/>
        </w:rPr>
        <w:t>or until the World Health organization has declared, in accordance with the International Health Regulations, that the public health emergency of international concern caused by SARS-CoV-2 has ended.</w:t>
      </w:r>
    </w:p>
    <w:p w14:paraId="6879A546" w14:textId="748C8B7E" w:rsidR="00596B79" w:rsidRPr="000151AC" w:rsidRDefault="00596B79" w:rsidP="00E57A3A">
      <w:pPr>
        <w:spacing w:after="120"/>
        <w:rPr>
          <w:noProof/>
          <w:lang w:val="en"/>
        </w:rPr>
      </w:pPr>
      <w:r w:rsidRPr="000151AC">
        <w:rPr>
          <w:noProof/>
          <w:lang w:val="en"/>
        </w:rPr>
        <w:t xml:space="preserve">Following the emergence of the </w:t>
      </w:r>
      <w:r w:rsidR="00614801" w:rsidRPr="000151AC">
        <w:rPr>
          <w:noProof/>
          <w:lang w:val="en"/>
        </w:rPr>
        <w:t>O</w:t>
      </w:r>
      <w:r w:rsidRPr="000151AC">
        <w:rPr>
          <w:noProof/>
          <w:lang w:val="en"/>
        </w:rPr>
        <w:t xml:space="preserve">micron variant in autumn 2021, the Commission put forward draft measures to make the collection of passenger locator forms (PLFs) and the connection to the PLF exchange platform mandatory for all Member States. Yet the initiative met with strong resistance by several Member States and was not pursued further. </w:t>
      </w:r>
    </w:p>
    <w:p w14:paraId="24F71781" w14:textId="7416C6C0" w:rsidR="00596B79" w:rsidRPr="000151AC" w:rsidRDefault="00F40460" w:rsidP="00B92837">
      <w:pPr>
        <w:spacing w:after="120"/>
        <w:rPr>
          <w:noProof/>
        </w:rPr>
      </w:pPr>
      <w:r w:rsidRPr="000151AC">
        <w:rPr>
          <w:noProof/>
          <w:lang w:val="en"/>
        </w:rPr>
        <w:t xml:space="preserve">As of April 2022, there </w:t>
      </w:r>
      <w:r w:rsidR="00BE383C" w:rsidRPr="000151AC">
        <w:rPr>
          <w:noProof/>
          <w:lang w:val="en"/>
        </w:rPr>
        <w:t xml:space="preserve">were </w:t>
      </w:r>
      <w:r w:rsidRPr="000151AC">
        <w:rPr>
          <w:noProof/>
          <w:lang w:val="en"/>
        </w:rPr>
        <w:t xml:space="preserve">five countries connected to the ePLF exchange platform, namely France, Italy, Malta, Slovenia, and Spain. </w:t>
      </w:r>
      <w:r w:rsidR="00596B79" w:rsidRPr="000151AC">
        <w:rPr>
          <w:noProof/>
          <w:lang w:val="en"/>
        </w:rPr>
        <w:t>Following the expiry of the relevant implementing decisions on 31 May 2022, no exchange of data is currently possible. Exchange of messages using this PLF exchange platform has been limited</w:t>
      </w:r>
      <w:r w:rsidR="000151AC">
        <w:rPr>
          <w:noProof/>
          <w:lang w:val="en"/>
        </w:rPr>
        <w:t>. T</w:t>
      </w:r>
      <w:r w:rsidR="00596B79" w:rsidRPr="000151AC">
        <w:rPr>
          <w:noProof/>
          <w:lang w:val="en"/>
        </w:rPr>
        <w:t xml:space="preserve">he Commission and the ECDC have been working since spring 2022 </w:t>
      </w:r>
      <w:r w:rsidR="00C164E5" w:rsidRPr="000151AC">
        <w:rPr>
          <w:noProof/>
          <w:lang w:val="en"/>
        </w:rPr>
        <w:t>on</w:t>
      </w:r>
      <w:r w:rsidR="00596B79" w:rsidRPr="000151AC">
        <w:rPr>
          <w:noProof/>
          <w:lang w:val="en"/>
        </w:rPr>
        <w:t xml:space="preserve"> a project integrating the PLF exchange platform and E</w:t>
      </w:r>
      <w:r w:rsidR="000151AC">
        <w:rPr>
          <w:noProof/>
          <w:lang w:val="en"/>
        </w:rPr>
        <w:t>arly Warning and Response System (E</w:t>
      </w:r>
      <w:r w:rsidR="00596B79" w:rsidRPr="000151AC">
        <w:rPr>
          <w:noProof/>
          <w:lang w:val="en"/>
        </w:rPr>
        <w:t>WRS</w:t>
      </w:r>
      <w:r w:rsidR="000151AC">
        <w:rPr>
          <w:noProof/>
          <w:lang w:val="en"/>
        </w:rPr>
        <w:t>)</w:t>
      </w:r>
      <w:r w:rsidR="00596B79" w:rsidRPr="000151AC">
        <w:rPr>
          <w:noProof/>
          <w:lang w:val="en"/>
        </w:rPr>
        <w:t>, in view of possible future needs.  </w:t>
      </w:r>
    </w:p>
    <w:p w14:paraId="6D0A3B92" w14:textId="77777777" w:rsidR="0015515A" w:rsidRDefault="0015515A" w:rsidP="00B92837">
      <w:pPr>
        <w:spacing w:after="120"/>
        <w:rPr>
          <w:noProof/>
          <w:color w:val="242424"/>
          <w:lang w:val="en"/>
        </w:rPr>
      </w:pPr>
    </w:p>
    <w:p w14:paraId="0A51CC87" w14:textId="06AF981C" w:rsidR="00752FAE" w:rsidRPr="000C0B15" w:rsidRDefault="00752FAE" w:rsidP="00FA0B9F">
      <w:pPr>
        <w:spacing w:after="120"/>
        <w:outlineLvl w:val="1"/>
        <w:rPr>
          <w:b/>
          <w:bCs/>
          <w:noProof/>
          <w:szCs w:val="24"/>
        </w:rPr>
      </w:pPr>
      <w:bookmarkStart w:id="18" w:name="_Toc106701128"/>
      <w:r w:rsidRPr="000C0B15">
        <w:rPr>
          <w:b/>
          <w:bCs/>
          <w:noProof/>
          <w:szCs w:val="24"/>
        </w:rPr>
        <w:t>3.</w:t>
      </w:r>
      <w:r>
        <w:rPr>
          <w:b/>
          <w:bCs/>
          <w:noProof/>
          <w:szCs w:val="24"/>
        </w:rPr>
        <w:t>2</w:t>
      </w:r>
      <w:r w:rsidR="007227CB">
        <w:rPr>
          <w:b/>
          <w:bCs/>
          <w:noProof/>
          <w:szCs w:val="24"/>
        </w:rPr>
        <w:t>.</w:t>
      </w:r>
      <w:r w:rsidRPr="000C0B15">
        <w:rPr>
          <w:b/>
          <w:bCs/>
          <w:noProof/>
          <w:szCs w:val="24"/>
        </w:rPr>
        <w:tab/>
      </w:r>
      <w:r>
        <w:rPr>
          <w:b/>
          <w:bCs/>
          <w:noProof/>
          <w:szCs w:val="24"/>
        </w:rPr>
        <w:t>Implementation and Performance</w:t>
      </w:r>
      <w:bookmarkEnd w:id="18"/>
    </w:p>
    <w:p w14:paraId="0E320269" w14:textId="540E66AC" w:rsidR="00CA6DA1" w:rsidRDefault="00B43E18" w:rsidP="00FA0B9F">
      <w:pPr>
        <w:spacing w:after="120"/>
        <w:rPr>
          <w:noProof/>
          <w:szCs w:val="24"/>
        </w:rPr>
      </w:pPr>
      <w:r w:rsidRPr="00B9345B">
        <w:rPr>
          <w:noProof/>
          <w:szCs w:val="24"/>
        </w:rPr>
        <w:t>The E</w:t>
      </w:r>
      <w:r w:rsidR="006660B2">
        <w:rPr>
          <w:noProof/>
          <w:szCs w:val="24"/>
        </w:rPr>
        <w:t>SI</w:t>
      </w:r>
      <w:r w:rsidRPr="00B9345B">
        <w:rPr>
          <w:noProof/>
          <w:szCs w:val="24"/>
        </w:rPr>
        <w:t xml:space="preserve"> has proven its effectiveness in terms of quickly mobilising resources towards the needs identified in the context of the COVID-19 pandemic</w:t>
      </w:r>
      <w:r w:rsidR="005062D3">
        <w:rPr>
          <w:noProof/>
          <w:szCs w:val="24"/>
        </w:rPr>
        <w:t>. T</w:t>
      </w:r>
      <w:r w:rsidRPr="00B9345B">
        <w:rPr>
          <w:noProof/>
          <w:szCs w:val="24"/>
        </w:rPr>
        <w:t>herefore</w:t>
      </w:r>
      <w:r w:rsidR="00EF68EF">
        <w:rPr>
          <w:noProof/>
          <w:szCs w:val="24"/>
        </w:rPr>
        <w:t>,</w:t>
      </w:r>
      <w:r w:rsidRPr="00B9345B">
        <w:rPr>
          <w:noProof/>
          <w:szCs w:val="24"/>
        </w:rPr>
        <w:t xml:space="preserve"> </w:t>
      </w:r>
      <w:r w:rsidR="005062D3">
        <w:rPr>
          <w:noProof/>
          <w:szCs w:val="24"/>
        </w:rPr>
        <w:t xml:space="preserve">it </w:t>
      </w:r>
      <w:r w:rsidR="00EF68EF">
        <w:rPr>
          <w:noProof/>
          <w:szCs w:val="24"/>
        </w:rPr>
        <w:t>managed to</w:t>
      </w:r>
      <w:r w:rsidR="005062D3">
        <w:rPr>
          <w:noProof/>
          <w:szCs w:val="24"/>
        </w:rPr>
        <w:t xml:space="preserve"> effectively</w:t>
      </w:r>
      <w:r w:rsidRPr="00B9345B">
        <w:rPr>
          <w:noProof/>
          <w:szCs w:val="24"/>
        </w:rPr>
        <w:t xml:space="preserve"> respond to the urgent, evolving and diverse needs of Member States in responding to the crisis. The flexibility enshrined in the legal bas</w:t>
      </w:r>
      <w:r w:rsidR="005062D3">
        <w:rPr>
          <w:noProof/>
          <w:szCs w:val="24"/>
        </w:rPr>
        <w:t>is</w:t>
      </w:r>
      <w:r w:rsidRPr="00B9345B">
        <w:rPr>
          <w:noProof/>
          <w:szCs w:val="24"/>
        </w:rPr>
        <w:t xml:space="preserve"> </w:t>
      </w:r>
      <w:r w:rsidR="005062D3">
        <w:rPr>
          <w:noProof/>
          <w:szCs w:val="24"/>
        </w:rPr>
        <w:t>and</w:t>
      </w:r>
      <w:r w:rsidRPr="00B9345B">
        <w:rPr>
          <w:noProof/>
          <w:szCs w:val="24"/>
        </w:rPr>
        <w:t xml:space="preserve"> the mandate given to the Commission to centrally manage the funding, in cooperation with Member States, allowed the prioritisation of those </w:t>
      </w:r>
      <w:r w:rsidR="00EF68EF">
        <w:rPr>
          <w:noProof/>
          <w:szCs w:val="24"/>
        </w:rPr>
        <w:t xml:space="preserve">collective </w:t>
      </w:r>
      <w:r w:rsidRPr="00B9345B">
        <w:rPr>
          <w:noProof/>
          <w:szCs w:val="24"/>
        </w:rPr>
        <w:t xml:space="preserve">actions </w:t>
      </w:r>
      <w:r w:rsidR="00EF68EF">
        <w:rPr>
          <w:noProof/>
          <w:szCs w:val="24"/>
        </w:rPr>
        <w:t xml:space="preserve">that </w:t>
      </w:r>
      <w:r w:rsidRPr="00B9345B">
        <w:rPr>
          <w:noProof/>
          <w:szCs w:val="24"/>
        </w:rPr>
        <w:t>could generate more timely interventions</w:t>
      </w:r>
      <w:r w:rsidR="00EF68EF">
        <w:rPr>
          <w:noProof/>
          <w:szCs w:val="24"/>
        </w:rPr>
        <w:t xml:space="preserve"> and</w:t>
      </w:r>
      <w:r w:rsidRPr="00B9345B">
        <w:rPr>
          <w:noProof/>
          <w:szCs w:val="24"/>
        </w:rPr>
        <w:t xml:space="preserve"> outcomes that could not have been achieved by Member States acting individually.</w:t>
      </w:r>
    </w:p>
    <w:p w14:paraId="208D4BEC" w14:textId="724CEA7E" w:rsidR="0064216D" w:rsidRPr="00B9345B" w:rsidRDefault="0064216D" w:rsidP="00FA0B9F">
      <w:pPr>
        <w:spacing w:after="120"/>
        <w:rPr>
          <w:noProof/>
          <w:szCs w:val="24"/>
        </w:rPr>
      </w:pPr>
      <w:r w:rsidRPr="00B9345B">
        <w:rPr>
          <w:noProof/>
          <w:szCs w:val="24"/>
        </w:rPr>
        <w:t xml:space="preserve">Financial execution for the instrument – both in terms of commitments and payments – is on track. The implementation rate for commitment appropriations in 2020 </w:t>
      </w:r>
      <w:r w:rsidR="00C164E5">
        <w:rPr>
          <w:noProof/>
          <w:szCs w:val="24"/>
        </w:rPr>
        <w:t xml:space="preserve">and 2021 </w:t>
      </w:r>
      <w:r w:rsidRPr="00B9345B">
        <w:rPr>
          <w:noProof/>
          <w:szCs w:val="24"/>
        </w:rPr>
        <w:t xml:space="preserve">was 100% as concerns the EUR </w:t>
      </w:r>
      <w:r w:rsidR="00EF68EF">
        <w:rPr>
          <w:noProof/>
          <w:szCs w:val="24"/>
        </w:rPr>
        <w:t>2.</w:t>
      </w:r>
      <w:r w:rsidR="001938E8">
        <w:rPr>
          <w:noProof/>
          <w:szCs w:val="24"/>
        </w:rPr>
        <w:t>9</w:t>
      </w:r>
      <w:r w:rsidR="00EF68EF">
        <w:rPr>
          <w:noProof/>
          <w:szCs w:val="24"/>
        </w:rPr>
        <w:t xml:space="preserve"> billion </w:t>
      </w:r>
      <w:r w:rsidR="00292DBA">
        <w:rPr>
          <w:noProof/>
          <w:szCs w:val="24"/>
        </w:rPr>
        <w:t xml:space="preserve">available </w:t>
      </w:r>
      <w:r w:rsidRPr="00B9345B">
        <w:rPr>
          <w:noProof/>
          <w:szCs w:val="24"/>
        </w:rPr>
        <w:t xml:space="preserve">budget credits. </w:t>
      </w:r>
      <w:r w:rsidR="00A63188">
        <w:rPr>
          <w:noProof/>
          <w:szCs w:val="24"/>
        </w:rPr>
        <w:t>Out of</w:t>
      </w:r>
      <w:r w:rsidRPr="00B9345B">
        <w:rPr>
          <w:noProof/>
          <w:szCs w:val="24"/>
        </w:rPr>
        <w:t xml:space="preserve"> the EUR 750 </w:t>
      </w:r>
      <w:r w:rsidR="00EF68EF">
        <w:rPr>
          <w:noProof/>
          <w:szCs w:val="24"/>
        </w:rPr>
        <w:t>million</w:t>
      </w:r>
      <w:r w:rsidRPr="00B9345B">
        <w:rPr>
          <w:noProof/>
          <w:szCs w:val="24"/>
        </w:rPr>
        <w:t xml:space="preserve"> in external assigned revenue from Member States’ contributions</w:t>
      </w:r>
      <w:r>
        <w:rPr>
          <w:noProof/>
          <w:szCs w:val="24"/>
        </w:rPr>
        <w:t xml:space="preserve">, </w:t>
      </w:r>
      <w:r w:rsidRPr="00B9345B">
        <w:rPr>
          <w:noProof/>
          <w:szCs w:val="24"/>
        </w:rPr>
        <w:t xml:space="preserve">EUR </w:t>
      </w:r>
      <w:r>
        <w:rPr>
          <w:noProof/>
          <w:szCs w:val="24"/>
        </w:rPr>
        <w:t>27</w:t>
      </w:r>
      <w:r w:rsidRPr="00B9345B">
        <w:rPr>
          <w:noProof/>
          <w:szCs w:val="24"/>
        </w:rPr>
        <w:t xml:space="preserve"> </w:t>
      </w:r>
      <w:r w:rsidR="00EF68EF">
        <w:rPr>
          <w:noProof/>
          <w:szCs w:val="24"/>
        </w:rPr>
        <w:t>million</w:t>
      </w:r>
      <w:r w:rsidRPr="00B9345B">
        <w:rPr>
          <w:noProof/>
          <w:szCs w:val="24"/>
        </w:rPr>
        <w:t xml:space="preserve"> </w:t>
      </w:r>
      <w:r>
        <w:rPr>
          <w:noProof/>
          <w:szCs w:val="24"/>
        </w:rPr>
        <w:t>were not spent following negative answers from Member States</w:t>
      </w:r>
      <w:r w:rsidR="008B4D4B">
        <w:rPr>
          <w:noProof/>
          <w:szCs w:val="24"/>
        </w:rPr>
        <w:t>,</w:t>
      </w:r>
      <w:r>
        <w:rPr>
          <w:noProof/>
          <w:szCs w:val="24"/>
        </w:rPr>
        <w:t xml:space="preserve"> which would otherwise have allowed these funds to be </w:t>
      </w:r>
      <w:r w:rsidR="00A63188">
        <w:rPr>
          <w:noProof/>
          <w:szCs w:val="24"/>
        </w:rPr>
        <w:t>used</w:t>
      </w:r>
      <w:r>
        <w:rPr>
          <w:noProof/>
          <w:szCs w:val="24"/>
        </w:rPr>
        <w:t xml:space="preserve"> in the vaccine sharing initiative for low income countries</w:t>
      </w:r>
      <w:r w:rsidRPr="00B9345B">
        <w:rPr>
          <w:noProof/>
          <w:szCs w:val="24"/>
        </w:rPr>
        <w:t xml:space="preserve">. </w:t>
      </w:r>
    </w:p>
    <w:p w14:paraId="406E2FD0" w14:textId="5D3842F9" w:rsidR="008A5B89" w:rsidRDefault="00CA6DA1" w:rsidP="00FA0B9F">
      <w:pPr>
        <w:spacing w:after="120"/>
        <w:rPr>
          <w:noProof/>
          <w:szCs w:val="24"/>
        </w:rPr>
      </w:pPr>
      <w:r w:rsidRPr="00B9345B">
        <w:rPr>
          <w:noProof/>
          <w:szCs w:val="24"/>
        </w:rPr>
        <w:t>The instrument is unique</w:t>
      </w:r>
      <w:r>
        <w:rPr>
          <w:noProof/>
          <w:szCs w:val="24"/>
        </w:rPr>
        <w:t xml:space="preserve"> under several point</w:t>
      </w:r>
      <w:r w:rsidR="003501CF">
        <w:rPr>
          <w:noProof/>
          <w:szCs w:val="24"/>
        </w:rPr>
        <w:t>s</w:t>
      </w:r>
      <w:r>
        <w:rPr>
          <w:noProof/>
          <w:szCs w:val="24"/>
        </w:rPr>
        <w:t xml:space="preserve"> of view. </w:t>
      </w:r>
      <w:r w:rsidR="00B2438E">
        <w:rPr>
          <w:noProof/>
          <w:szCs w:val="24"/>
        </w:rPr>
        <w:t>I</w:t>
      </w:r>
      <w:r>
        <w:rPr>
          <w:noProof/>
          <w:szCs w:val="24"/>
        </w:rPr>
        <w:t xml:space="preserve">t </w:t>
      </w:r>
      <w:r w:rsidRPr="00B9345B">
        <w:rPr>
          <w:noProof/>
          <w:szCs w:val="24"/>
        </w:rPr>
        <w:t>was deployed in a rapidly-evolving environment marked by uncertainties about the nature of the virus, the appropriate medical response, and both supply and demand.</w:t>
      </w:r>
      <w:r>
        <w:rPr>
          <w:noProof/>
          <w:szCs w:val="24"/>
        </w:rPr>
        <w:t xml:space="preserve"> At the same time, however, it resulted effective in responding swiftly when needed</w:t>
      </w:r>
      <w:r w:rsidR="00762244">
        <w:rPr>
          <w:noProof/>
          <w:szCs w:val="24"/>
        </w:rPr>
        <w:t xml:space="preserve">, for example, </w:t>
      </w:r>
      <w:r w:rsidR="00F06CA5">
        <w:rPr>
          <w:noProof/>
          <w:szCs w:val="24"/>
        </w:rPr>
        <w:t xml:space="preserve">by </w:t>
      </w:r>
      <w:r w:rsidR="00762244">
        <w:rPr>
          <w:noProof/>
          <w:szCs w:val="24"/>
        </w:rPr>
        <w:t>providing medical countermeasures</w:t>
      </w:r>
      <w:r w:rsidR="00F06CA5">
        <w:rPr>
          <w:noProof/>
          <w:szCs w:val="24"/>
        </w:rPr>
        <w:t xml:space="preserve"> (Remdesivir, rapid antigen tests, </w:t>
      </w:r>
      <w:r w:rsidR="00614801">
        <w:rPr>
          <w:noProof/>
          <w:szCs w:val="24"/>
        </w:rPr>
        <w:t>etc.</w:t>
      </w:r>
      <w:r w:rsidR="00F06CA5">
        <w:rPr>
          <w:noProof/>
          <w:szCs w:val="24"/>
        </w:rPr>
        <w:t>) in support to Member State needs</w:t>
      </w:r>
      <w:r>
        <w:rPr>
          <w:noProof/>
          <w:szCs w:val="24"/>
        </w:rPr>
        <w:t>.</w:t>
      </w:r>
      <w:r w:rsidRPr="00B9345B">
        <w:rPr>
          <w:noProof/>
          <w:szCs w:val="24"/>
        </w:rPr>
        <w:t xml:space="preserve"> </w:t>
      </w:r>
      <w:r>
        <w:rPr>
          <w:noProof/>
          <w:szCs w:val="24"/>
        </w:rPr>
        <w:t>Finally, t</w:t>
      </w:r>
      <w:r w:rsidRPr="00B9345B">
        <w:rPr>
          <w:noProof/>
          <w:szCs w:val="24"/>
        </w:rPr>
        <w:t xml:space="preserve">he breadth of scope and possible interventions also required </w:t>
      </w:r>
      <w:r>
        <w:rPr>
          <w:noProof/>
          <w:szCs w:val="24"/>
        </w:rPr>
        <w:t xml:space="preserve">specialised </w:t>
      </w:r>
      <w:r w:rsidRPr="00B9345B">
        <w:rPr>
          <w:noProof/>
          <w:szCs w:val="24"/>
        </w:rPr>
        <w:t>policy</w:t>
      </w:r>
      <w:r w:rsidR="00366161">
        <w:rPr>
          <w:noProof/>
          <w:szCs w:val="24"/>
        </w:rPr>
        <w:t>-</w:t>
      </w:r>
      <w:r>
        <w:rPr>
          <w:noProof/>
          <w:szCs w:val="24"/>
        </w:rPr>
        <w:t>making</w:t>
      </w:r>
      <w:r w:rsidRPr="00B9345B">
        <w:rPr>
          <w:noProof/>
          <w:szCs w:val="24"/>
        </w:rPr>
        <w:t xml:space="preserve"> in the context of a</w:t>
      </w:r>
      <w:r>
        <w:rPr>
          <w:noProof/>
          <w:szCs w:val="24"/>
        </w:rPr>
        <w:t>n ever-</w:t>
      </w:r>
      <w:r w:rsidR="00A63188">
        <w:rPr>
          <w:noProof/>
          <w:szCs w:val="24"/>
        </w:rPr>
        <w:t>changin</w:t>
      </w:r>
      <w:r w:rsidR="00B2438E">
        <w:rPr>
          <w:noProof/>
          <w:szCs w:val="24"/>
        </w:rPr>
        <w:t>g</w:t>
      </w:r>
      <w:r>
        <w:rPr>
          <w:noProof/>
          <w:szCs w:val="24"/>
        </w:rPr>
        <w:t xml:space="preserve"> </w:t>
      </w:r>
      <w:r w:rsidRPr="00B9345B">
        <w:rPr>
          <w:noProof/>
          <w:szCs w:val="24"/>
        </w:rPr>
        <w:t>epidemiological situation</w:t>
      </w:r>
      <w:r>
        <w:rPr>
          <w:noProof/>
          <w:szCs w:val="24"/>
        </w:rPr>
        <w:t xml:space="preserve">. This is particularly commendable especially considering the </w:t>
      </w:r>
      <w:r w:rsidR="00366161">
        <w:rPr>
          <w:noProof/>
          <w:szCs w:val="24"/>
        </w:rPr>
        <w:t>supporting</w:t>
      </w:r>
      <w:r w:rsidR="00366161" w:rsidRPr="00B9345B">
        <w:rPr>
          <w:noProof/>
          <w:szCs w:val="24"/>
        </w:rPr>
        <w:t xml:space="preserve"> </w:t>
      </w:r>
      <w:r w:rsidR="00EF68EF" w:rsidRPr="00B9345B">
        <w:rPr>
          <w:noProof/>
          <w:szCs w:val="24"/>
        </w:rPr>
        <w:t xml:space="preserve">competences </w:t>
      </w:r>
      <w:r w:rsidR="00EF68EF">
        <w:rPr>
          <w:noProof/>
          <w:szCs w:val="24"/>
        </w:rPr>
        <w:t xml:space="preserve">of the </w:t>
      </w:r>
      <w:r w:rsidRPr="00B9345B">
        <w:rPr>
          <w:noProof/>
          <w:szCs w:val="24"/>
        </w:rPr>
        <w:t>EU in the health domain.</w:t>
      </w:r>
    </w:p>
    <w:p w14:paraId="61AF9050" w14:textId="6087D37F" w:rsidR="00CA6DA1" w:rsidRDefault="00CA6DA1" w:rsidP="00FA0B9F">
      <w:pPr>
        <w:spacing w:after="120"/>
        <w:rPr>
          <w:noProof/>
          <w:szCs w:val="24"/>
        </w:rPr>
      </w:pPr>
    </w:p>
    <w:p w14:paraId="53EED2E3" w14:textId="14D5BD01" w:rsidR="00EF68EF" w:rsidRPr="00FA0B9F" w:rsidRDefault="00D47ECE" w:rsidP="00FA0B9F">
      <w:pPr>
        <w:spacing w:after="120"/>
        <w:ind w:firstLine="720"/>
        <w:outlineLvl w:val="2"/>
        <w:rPr>
          <w:b/>
          <w:noProof/>
          <w:szCs w:val="24"/>
        </w:rPr>
      </w:pPr>
      <w:bookmarkStart w:id="19" w:name="_Toc106701129"/>
      <w:r>
        <w:rPr>
          <w:b/>
          <w:noProof/>
          <w:szCs w:val="24"/>
        </w:rPr>
        <w:t>3.2.1</w:t>
      </w:r>
      <w:r w:rsidR="007227CB">
        <w:rPr>
          <w:b/>
          <w:noProof/>
          <w:szCs w:val="24"/>
        </w:rPr>
        <w:t>.</w:t>
      </w:r>
      <w:r>
        <w:rPr>
          <w:b/>
          <w:noProof/>
          <w:szCs w:val="24"/>
        </w:rPr>
        <w:tab/>
      </w:r>
      <w:r w:rsidR="009478CD">
        <w:rPr>
          <w:b/>
          <w:noProof/>
          <w:szCs w:val="24"/>
        </w:rPr>
        <w:t>An unprecedented endeavour: f</w:t>
      </w:r>
      <w:r w:rsidR="00EF68EF" w:rsidRPr="00FA0B9F">
        <w:rPr>
          <w:b/>
          <w:noProof/>
          <w:szCs w:val="24"/>
        </w:rPr>
        <w:t>inancing vaccines in the EU and beyond</w:t>
      </w:r>
      <w:bookmarkEnd w:id="19"/>
    </w:p>
    <w:p w14:paraId="5F785F8A" w14:textId="1EB36100" w:rsidR="00010287" w:rsidRDefault="00B43E18" w:rsidP="00FA0B9F">
      <w:pPr>
        <w:spacing w:after="120"/>
        <w:rPr>
          <w:noProof/>
          <w:szCs w:val="24"/>
        </w:rPr>
      </w:pPr>
      <w:r w:rsidRPr="007B3033">
        <w:rPr>
          <w:noProof/>
          <w:szCs w:val="24"/>
        </w:rPr>
        <w:t xml:space="preserve">The major focus of the programme (around </w:t>
      </w:r>
      <w:r w:rsidR="006B1D56" w:rsidRPr="007B3033">
        <w:rPr>
          <w:noProof/>
          <w:szCs w:val="24"/>
        </w:rPr>
        <w:t>7</w:t>
      </w:r>
      <w:r w:rsidR="007B3033" w:rsidRPr="007B3033">
        <w:rPr>
          <w:noProof/>
          <w:szCs w:val="24"/>
        </w:rPr>
        <w:t>0</w:t>
      </w:r>
      <w:r w:rsidRPr="007B3033">
        <w:rPr>
          <w:noProof/>
          <w:szCs w:val="24"/>
        </w:rPr>
        <w:t>% of funding) has been on the vaccines initiative</w:t>
      </w:r>
      <w:r w:rsidR="00010287">
        <w:rPr>
          <w:noProof/>
          <w:szCs w:val="24"/>
        </w:rPr>
        <w:t>.</w:t>
      </w:r>
      <w:r w:rsidRPr="007B3033">
        <w:rPr>
          <w:noProof/>
          <w:szCs w:val="24"/>
        </w:rPr>
        <w:t xml:space="preserve"> </w:t>
      </w:r>
      <w:r w:rsidR="00010287">
        <w:rPr>
          <w:noProof/>
          <w:szCs w:val="24"/>
        </w:rPr>
        <w:t>This</w:t>
      </w:r>
      <w:r w:rsidR="00010287" w:rsidRPr="007B3033">
        <w:rPr>
          <w:noProof/>
          <w:szCs w:val="24"/>
        </w:rPr>
        <w:t xml:space="preserve"> </w:t>
      </w:r>
      <w:r w:rsidRPr="007B3033">
        <w:rPr>
          <w:noProof/>
          <w:szCs w:val="24"/>
        </w:rPr>
        <w:t>allowed the conclusion at an early stage of advance</w:t>
      </w:r>
      <w:r w:rsidR="00010287">
        <w:rPr>
          <w:noProof/>
          <w:szCs w:val="24"/>
        </w:rPr>
        <w:t>d</w:t>
      </w:r>
      <w:r w:rsidRPr="007B3033">
        <w:rPr>
          <w:noProof/>
          <w:szCs w:val="24"/>
        </w:rPr>
        <w:t xml:space="preserve"> purchase agreements with pharmaceutical companies developing COVID-19 vaccine</w:t>
      </w:r>
      <w:r w:rsidR="00E418AE">
        <w:rPr>
          <w:noProof/>
          <w:szCs w:val="24"/>
        </w:rPr>
        <w:t xml:space="preserve"> candidates</w:t>
      </w:r>
      <w:r w:rsidRPr="007B3033">
        <w:rPr>
          <w:noProof/>
          <w:szCs w:val="24"/>
        </w:rPr>
        <w:t xml:space="preserve">, </w:t>
      </w:r>
      <w:r w:rsidR="00010287">
        <w:rPr>
          <w:noProof/>
          <w:szCs w:val="24"/>
        </w:rPr>
        <w:t>to provide</w:t>
      </w:r>
      <w:r w:rsidR="00010287" w:rsidRPr="007B3033">
        <w:rPr>
          <w:noProof/>
          <w:szCs w:val="24"/>
        </w:rPr>
        <w:t xml:space="preserve"> </w:t>
      </w:r>
      <w:r w:rsidRPr="007B3033">
        <w:rPr>
          <w:noProof/>
          <w:szCs w:val="24"/>
        </w:rPr>
        <w:t xml:space="preserve">the necessary investment to </w:t>
      </w:r>
      <w:r w:rsidR="00E418AE">
        <w:rPr>
          <w:noProof/>
          <w:szCs w:val="24"/>
        </w:rPr>
        <w:t xml:space="preserve">accelerate the scientific development of those vaccines and, in parallel, the development of the production capacities needed to produce </w:t>
      </w:r>
      <w:r w:rsidR="00010287">
        <w:rPr>
          <w:noProof/>
          <w:szCs w:val="24"/>
        </w:rPr>
        <w:t>them</w:t>
      </w:r>
      <w:r w:rsidR="00E418AE">
        <w:rPr>
          <w:noProof/>
          <w:szCs w:val="24"/>
        </w:rPr>
        <w:t xml:space="preserve"> at the scale needed. </w:t>
      </w:r>
    </w:p>
    <w:p w14:paraId="1B196169" w14:textId="66C09F16" w:rsidR="00EF666F" w:rsidRDefault="00CA6DA1" w:rsidP="00FA0B9F">
      <w:pPr>
        <w:spacing w:after="120"/>
        <w:rPr>
          <w:noProof/>
          <w:szCs w:val="24"/>
        </w:rPr>
      </w:pPr>
      <w:r w:rsidRPr="007B3033">
        <w:rPr>
          <w:noProof/>
          <w:szCs w:val="24"/>
        </w:rPr>
        <w:t>A</w:t>
      </w:r>
      <w:r w:rsidR="00B43E18" w:rsidRPr="007B3033">
        <w:rPr>
          <w:noProof/>
          <w:szCs w:val="24"/>
        </w:rPr>
        <w:t>s a result</w:t>
      </w:r>
      <w:r w:rsidRPr="007B3033">
        <w:rPr>
          <w:noProof/>
          <w:szCs w:val="24"/>
        </w:rPr>
        <w:t>,</w:t>
      </w:r>
      <w:r w:rsidR="00B43E18" w:rsidRPr="007B3033">
        <w:rPr>
          <w:noProof/>
          <w:szCs w:val="24"/>
        </w:rPr>
        <w:t xml:space="preserve"> </w:t>
      </w:r>
      <w:r w:rsidR="006B1D56" w:rsidRPr="007B3033">
        <w:rPr>
          <w:noProof/>
          <w:szCs w:val="24"/>
        </w:rPr>
        <w:t>2.2</w:t>
      </w:r>
      <w:r w:rsidR="00B43E18" w:rsidRPr="007B3033">
        <w:rPr>
          <w:noProof/>
          <w:szCs w:val="24"/>
        </w:rPr>
        <w:t xml:space="preserve"> billion doses of COVID-19 vaccines for Member States</w:t>
      </w:r>
      <w:r w:rsidR="00383658" w:rsidRPr="007B3033">
        <w:rPr>
          <w:noProof/>
          <w:szCs w:val="24"/>
        </w:rPr>
        <w:t xml:space="preserve"> were </w:t>
      </w:r>
      <w:r w:rsidR="00EF6975">
        <w:rPr>
          <w:noProof/>
          <w:szCs w:val="24"/>
        </w:rPr>
        <w:t>secured</w:t>
      </w:r>
      <w:r w:rsidR="00383658" w:rsidRPr="007B3033">
        <w:rPr>
          <w:noProof/>
          <w:szCs w:val="24"/>
        </w:rPr>
        <w:t xml:space="preserve"> through </w:t>
      </w:r>
      <w:r w:rsidR="00EF6975">
        <w:rPr>
          <w:noProof/>
          <w:szCs w:val="24"/>
        </w:rPr>
        <w:t xml:space="preserve">arrangements </w:t>
      </w:r>
      <w:r w:rsidR="009478CD">
        <w:rPr>
          <w:noProof/>
          <w:szCs w:val="24"/>
        </w:rPr>
        <w:t xml:space="preserve">financed </w:t>
      </w:r>
      <w:r w:rsidR="00EF6975">
        <w:rPr>
          <w:noProof/>
          <w:szCs w:val="24"/>
        </w:rPr>
        <w:t xml:space="preserve">with </w:t>
      </w:r>
      <w:r w:rsidR="00383658" w:rsidRPr="007B3033">
        <w:rPr>
          <w:noProof/>
          <w:szCs w:val="24"/>
        </w:rPr>
        <w:t>ESI</w:t>
      </w:r>
      <w:r w:rsidR="00EF6975">
        <w:rPr>
          <w:noProof/>
          <w:szCs w:val="24"/>
        </w:rPr>
        <w:t xml:space="preserve"> funding</w:t>
      </w:r>
      <w:r w:rsidR="00383658" w:rsidRPr="007B3033">
        <w:rPr>
          <w:rStyle w:val="FootnoteReference"/>
          <w:noProof/>
          <w:szCs w:val="24"/>
        </w:rPr>
        <w:footnoteReference w:id="14"/>
      </w:r>
      <w:r w:rsidR="00B43E18" w:rsidRPr="007B3033">
        <w:rPr>
          <w:noProof/>
          <w:szCs w:val="24"/>
        </w:rPr>
        <w:t xml:space="preserve">. The instrument provided the financial </w:t>
      </w:r>
      <w:r w:rsidRPr="007B3033">
        <w:rPr>
          <w:noProof/>
          <w:szCs w:val="24"/>
        </w:rPr>
        <w:t>grounds to encourage</w:t>
      </w:r>
      <w:r w:rsidR="00B43E18" w:rsidRPr="007B3033">
        <w:rPr>
          <w:noProof/>
          <w:szCs w:val="24"/>
        </w:rPr>
        <w:t xml:space="preserve"> Member States’ to </w:t>
      </w:r>
      <w:r w:rsidR="00010287">
        <w:rPr>
          <w:noProof/>
          <w:szCs w:val="24"/>
        </w:rPr>
        <w:t xml:space="preserve">take </w:t>
      </w:r>
      <w:r w:rsidR="00B43E18" w:rsidRPr="007B3033">
        <w:rPr>
          <w:noProof/>
          <w:szCs w:val="24"/>
        </w:rPr>
        <w:t>a joint approach in this area</w:t>
      </w:r>
      <w:r w:rsidRPr="007B3033">
        <w:rPr>
          <w:noProof/>
          <w:szCs w:val="24"/>
        </w:rPr>
        <w:t xml:space="preserve">. </w:t>
      </w:r>
      <w:r w:rsidR="00EF6975">
        <w:rPr>
          <w:noProof/>
          <w:szCs w:val="24"/>
        </w:rPr>
        <w:t xml:space="preserve">As a result, it </w:t>
      </w:r>
      <w:r w:rsidR="00010287">
        <w:rPr>
          <w:noProof/>
          <w:szCs w:val="24"/>
        </w:rPr>
        <w:t>provided</w:t>
      </w:r>
      <w:r w:rsidR="00EF6975">
        <w:rPr>
          <w:noProof/>
          <w:szCs w:val="24"/>
        </w:rPr>
        <w:t xml:space="preserve"> Member States </w:t>
      </w:r>
      <w:r w:rsidR="00010287">
        <w:rPr>
          <w:noProof/>
          <w:szCs w:val="24"/>
        </w:rPr>
        <w:t xml:space="preserve">with </w:t>
      </w:r>
      <w:r w:rsidR="00EF6975">
        <w:rPr>
          <w:noProof/>
          <w:szCs w:val="24"/>
        </w:rPr>
        <w:t>access to a wider portfolio of vaccine candidates</w:t>
      </w:r>
      <w:r w:rsidR="00010287">
        <w:rPr>
          <w:noProof/>
          <w:szCs w:val="24"/>
        </w:rPr>
        <w:t xml:space="preserve">. Indeed, </w:t>
      </w:r>
      <w:r w:rsidR="00EF6975">
        <w:rPr>
          <w:noProof/>
          <w:szCs w:val="24"/>
        </w:rPr>
        <w:t xml:space="preserve">many </w:t>
      </w:r>
      <w:r w:rsidR="00B43E18" w:rsidRPr="007B3033">
        <w:rPr>
          <w:noProof/>
          <w:szCs w:val="24"/>
        </w:rPr>
        <w:t xml:space="preserve">individual Member States would have had </w:t>
      </w:r>
      <w:r w:rsidR="00010287">
        <w:rPr>
          <w:noProof/>
          <w:szCs w:val="24"/>
        </w:rPr>
        <w:t>little leverage</w:t>
      </w:r>
      <w:r w:rsidR="00B43E18" w:rsidRPr="007B3033">
        <w:rPr>
          <w:noProof/>
          <w:szCs w:val="24"/>
        </w:rPr>
        <w:t xml:space="preserve"> to engage with developers of vaccines to secure supplies</w:t>
      </w:r>
      <w:r w:rsidR="00010287">
        <w:rPr>
          <w:noProof/>
          <w:szCs w:val="24"/>
        </w:rPr>
        <w:t>.</w:t>
      </w:r>
      <w:r w:rsidR="00EF6975">
        <w:rPr>
          <w:noProof/>
          <w:szCs w:val="24"/>
        </w:rPr>
        <w:t xml:space="preserve"> </w:t>
      </w:r>
      <w:r w:rsidR="00010287">
        <w:rPr>
          <w:noProof/>
          <w:szCs w:val="24"/>
        </w:rPr>
        <w:t xml:space="preserve">Joint action </w:t>
      </w:r>
      <w:r w:rsidR="00EF6975">
        <w:rPr>
          <w:noProof/>
          <w:szCs w:val="24"/>
        </w:rPr>
        <w:t>increased the chances for Member States to have access to whichever of the candidate vaccines eventually prove</w:t>
      </w:r>
      <w:r w:rsidR="008947A5">
        <w:rPr>
          <w:noProof/>
          <w:szCs w:val="24"/>
        </w:rPr>
        <w:t>d</w:t>
      </w:r>
      <w:r w:rsidR="00EF6975">
        <w:rPr>
          <w:noProof/>
          <w:szCs w:val="24"/>
        </w:rPr>
        <w:t xml:space="preserve"> successful. </w:t>
      </w:r>
    </w:p>
    <w:p w14:paraId="075C69D9" w14:textId="3188DDFD" w:rsidR="00132C4D" w:rsidRDefault="00EF6975" w:rsidP="00FA0B9F">
      <w:pPr>
        <w:spacing w:after="120"/>
        <w:rPr>
          <w:noProof/>
          <w:szCs w:val="24"/>
        </w:rPr>
      </w:pPr>
      <w:r>
        <w:rPr>
          <w:noProof/>
          <w:szCs w:val="24"/>
        </w:rPr>
        <w:t xml:space="preserve">The ESI funding also </w:t>
      </w:r>
      <w:r w:rsidR="00EF666F">
        <w:rPr>
          <w:noProof/>
          <w:szCs w:val="24"/>
        </w:rPr>
        <w:t>created</w:t>
      </w:r>
      <w:r>
        <w:rPr>
          <w:noProof/>
          <w:szCs w:val="24"/>
        </w:rPr>
        <w:t xml:space="preserve"> greater support for vaccine candidates than would have been the case under individual arrangement. In other words, the approach facilitated by the </w:t>
      </w:r>
      <w:r w:rsidR="00EF666F">
        <w:rPr>
          <w:noProof/>
          <w:szCs w:val="24"/>
        </w:rPr>
        <w:t>E</w:t>
      </w:r>
      <w:r>
        <w:rPr>
          <w:noProof/>
          <w:szCs w:val="24"/>
        </w:rPr>
        <w:t>SI ensured that the successful vaccines were ready earlier than would otherwise have been the case, and at greater scale -and were available to all Member States on an equal basis</w:t>
      </w:r>
      <w:r w:rsidR="00CA6DA1" w:rsidRPr="007B3033">
        <w:rPr>
          <w:noProof/>
          <w:szCs w:val="24"/>
        </w:rPr>
        <w:t xml:space="preserve">. </w:t>
      </w:r>
      <w:r>
        <w:rPr>
          <w:noProof/>
          <w:szCs w:val="24"/>
        </w:rPr>
        <w:t>This joint approach also</w:t>
      </w:r>
      <w:r w:rsidR="00CA6DA1">
        <w:rPr>
          <w:noProof/>
          <w:szCs w:val="24"/>
        </w:rPr>
        <w:t xml:space="preserve"> it leverage</w:t>
      </w:r>
      <w:r w:rsidR="00B43E18" w:rsidRPr="00B9345B">
        <w:rPr>
          <w:noProof/>
          <w:szCs w:val="24"/>
        </w:rPr>
        <w:t xml:space="preserve">d the </w:t>
      </w:r>
      <w:r w:rsidR="00132C4D">
        <w:rPr>
          <w:noProof/>
          <w:szCs w:val="24"/>
        </w:rPr>
        <w:t>purchasing power</w:t>
      </w:r>
      <w:r w:rsidR="00B43E18" w:rsidRPr="00B9345B">
        <w:rPr>
          <w:noProof/>
          <w:szCs w:val="24"/>
        </w:rPr>
        <w:t xml:space="preserve"> offered by Union investment to reduce prices and obtain contractual conditions on issues such as liability and capacity increase which will mitigate Member States’ risks going forward. </w:t>
      </w:r>
    </w:p>
    <w:p w14:paraId="2A7911B5" w14:textId="0F154A72" w:rsidR="00B43E18" w:rsidRDefault="00132C4D" w:rsidP="00FA0B9F">
      <w:pPr>
        <w:spacing w:after="120"/>
        <w:rPr>
          <w:noProof/>
          <w:szCs w:val="24"/>
        </w:rPr>
      </w:pPr>
      <w:r>
        <w:rPr>
          <w:noProof/>
          <w:szCs w:val="24"/>
        </w:rPr>
        <w:t>A</w:t>
      </w:r>
      <w:r w:rsidR="00B43E18" w:rsidRPr="00B9345B">
        <w:rPr>
          <w:noProof/>
          <w:szCs w:val="24"/>
        </w:rPr>
        <w:t xml:space="preserve">t the same time, the </w:t>
      </w:r>
      <w:r w:rsidR="00EF666F">
        <w:rPr>
          <w:noProof/>
          <w:szCs w:val="24"/>
        </w:rPr>
        <w:t>APAs</w:t>
      </w:r>
      <w:r w:rsidR="00B43E18" w:rsidRPr="00B9345B">
        <w:rPr>
          <w:noProof/>
          <w:szCs w:val="24"/>
        </w:rPr>
        <w:t xml:space="preserve"> funded by the instrument </w:t>
      </w:r>
      <w:r w:rsidR="00E418AE">
        <w:rPr>
          <w:noProof/>
          <w:szCs w:val="24"/>
        </w:rPr>
        <w:t xml:space="preserve">were always known to be </w:t>
      </w:r>
      <w:r w:rsidR="00A06DF8" w:rsidRPr="00B9345B">
        <w:rPr>
          <w:noProof/>
          <w:szCs w:val="24"/>
        </w:rPr>
        <w:t xml:space="preserve">risky investments </w:t>
      </w:r>
      <w:r w:rsidR="00B43E18" w:rsidRPr="00B9345B">
        <w:rPr>
          <w:noProof/>
          <w:szCs w:val="24"/>
        </w:rPr>
        <w:t>by their nature. Whilst the Commission designed a portfolio of contracts with the most promising candidates across a wide range of technologies, there was no guarantee that individual vaccines would be successful and authorised in the EU</w:t>
      </w:r>
      <w:r w:rsidR="001B6387">
        <w:rPr>
          <w:noProof/>
          <w:szCs w:val="24"/>
        </w:rPr>
        <w:t>.</w:t>
      </w:r>
      <w:r w:rsidR="00B43E18" w:rsidRPr="00B9345B">
        <w:rPr>
          <w:noProof/>
          <w:szCs w:val="24"/>
        </w:rPr>
        <w:t xml:space="preserve"> </w:t>
      </w:r>
      <w:r w:rsidR="001B6387">
        <w:rPr>
          <w:noProof/>
          <w:szCs w:val="24"/>
        </w:rPr>
        <w:t>The Vaccines Strategy was based on the assumption that it was likely</w:t>
      </w:r>
      <w:r w:rsidR="00EF666F">
        <w:rPr>
          <w:noProof/>
          <w:szCs w:val="24"/>
        </w:rPr>
        <w:t xml:space="preserve"> enough</w:t>
      </w:r>
      <w:r w:rsidR="001B6387">
        <w:rPr>
          <w:noProof/>
          <w:szCs w:val="24"/>
        </w:rPr>
        <w:t xml:space="preserve"> that </w:t>
      </w:r>
      <w:r w:rsidR="00EF666F">
        <w:rPr>
          <w:noProof/>
          <w:szCs w:val="24"/>
        </w:rPr>
        <w:t xml:space="preserve">at least </w:t>
      </w:r>
      <w:r w:rsidR="001B6387">
        <w:rPr>
          <w:noProof/>
          <w:szCs w:val="24"/>
        </w:rPr>
        <w:t xml:space="preserve">one of the vaccine candidates would </w:t>
      </w:r>
      <w:r w:rsidR="00EF666F">
        <w:rPr>
          <w:noProof/>
          <w:szCs w:val="24"/>
        </w:rPr>
        <w:t>succeed</w:t>
      </w:r>
      <w:r>
        <w:rPr>
          <w:noProof/>
          <w:szCs w:val="24"/>
        </w:rPr>
        <w:t xml:space="preserve">. </w:t>
      </w:r>
      <w:r w:rsidR="001B6387">
        <w:rPr>
          <w:noProof/>
          <w:szCs w:val="24"/>
        </w:rPr>
        <w:t xml:space="preserve">Risk was further </w:t>
      </w:r>
      <w:r w:rsidR="001B6387" w:rsidRPr="00B9345B">
        <w:rPr>
          <w:noProof/>
          <w:szCs w:val="24"/>
        </w:rPr>
        <w:t>mitigated</w:t>
      </w:r>
      <w:r w:rsidR="00EF666F">
        <w:rPr>
          <w:noProof/>
          <w:szCs w:val="24"/>
        </w:rPr>
        <w:t xml:space="preserve"> </w:t>
      </w:r>
      <w:r w:rsidR="00B43E18" w:rsidRPr="00B9345B">
        <w:rPr>
          <w:noProof/>
          <w:szCs w:val="24"/>
        </w:rPr>
        <w:t xml:space="preserve">by provisions in the </w:t>
      </w:r>
      <w:r w:rsidR="00EF666F">
        <w:rPr>
          <w:noProof/>
          <w:szCs w:val="24"/>
        </w:rPr>
        <w:t>APAs</w:t>
      </w:r>
      <w:r w:rsidR="00B43E18" w:rsidRPr="00B9345B">
        <w:rPr>
          <w:noProof/>
          <w:szCs w:val="24"/>
        </w:rPr>
        <w:t xml:space="preserve"> requiring the reimbursement of part of the unused EU investment in any such case.</w:t>
      </w:r>
    </w:p>
    <w:p w14:paraId="040E5673" w14:textId="2772A2A5" w:rsidR="008A5B89" w:rsidRDefault="00C2506B" w:rsidP="00FA0B9F">
      <w:pPr>
        <w:spacing w:after="120"/>
        <w:rPr>
          <w:noProof/>
          <w:szCs w:val="24"/>
          <w:lang w:val="en-US"/>
        </w:rPr>
      </w:pPr>
      <w:r w:rsidRPr="00B9345B">
        <w:rPr>
          <w:noProof/>
          <w:szCs w:val="24"/>
          <w:lang w:val="en-US"/>
        </w:rPr>
        <w:t xml:space="preserve">The </w:t>
      </w:r>
      <w:r w:rsidR="00292DBA">
        <w:rPr>
          <w:noProof/>
          <w:szCs w:val="24"/>
          <w:lang w:val="en-US"/>
        </w:rPr>
        <w:t xml:space="preserve">ESI </w:t>
      </w:r>
      <w:r w:rsidRPr="00B9345B">
        <w:rPr>
          <w:noProof/>
          <w:szCs w:val="24"/>
          <w:lang w:val="en-US"/>
        </w:rPr>
        <w:t xml:space="preserve">instrument contributed </w:t>
      </w:r>
      <w:r w:rsidR="00A06DF8">
        <w:rPr>
          <w:noProof/>
          <w:szCs w:val="24"/>
          <w:lang w:val="en-US"/>
        </w:rPr>
        <w:t xml:space="preserve">with </w:t>
      </w:r>
      <w:r w:rsidRPr="00B9345B">
        <w:rPr>
          <w:noProof/>
          <w:szCs w:val="24"/>
          <w:lang w:val="en-US"/>
        </w:rPr>
        <w:t xml:space="preserve">EUR </w:t>
      </w:r>
      <w:r w:rsidR="00AD6678">
        <w:rPr>
          <w:noProof/>
          <w:szCs w:val="24"/>
          <w:lang w:val="en-US"/>
        </w:rPr>
        <w:t>461</w:t>
      </w:r>
      <w:r w:rsidR="007B3033" w:rsidRPr="00B9345B">
        <w:rPr>
          <w:noProof/>
          <w:szCs w:val="24"/>
          <w:lang w:val="en-US"/>
        </w:rPr>
        <w:t xml:space="preserve"> million </w:t>
      </w:r>
      <w:r w:rsidR="00A06DF8">
        <w:rPr>
          <w:noProof/>
          <w:szCs w:val="24"/>
          <w:lang w:val="en-US"/>
        </w:rPr>
        <w:t xml:space="preserve">to support the </w:t>
      </w:r>
      <w:r w:rsidR="00822255">
        <w:rPr>
          <w:noProof/>
          <w:szCs w:val="24"/>
          <w:lang w:val="en-US"/>
        </w:rPr>
        <w:t>COVID-19 response and global vaccination efforts in</w:t>
      </w:r>
      <w:r w:rsidRPr="00B9345B">
        <w:rPr>
          <w:noProof/>
          <w:szCs w:val="24"/>
          <w:lang w:val="en-US"/>
        </w:rPr>
        <w:t xml:space="preserve"> low and lower-middle income countries</w:t>
      </w:r>
      <w:r w:rsidR="00A06DF8">
        <w:rPr>
          <w:noProof/>
          <w:szCs w:val="24"/>
          <w:lang w:val="en-US"/>
        </w:rPr>
        <w:t xml:space="preserve"> –</w:t>
      </w:r>
      <w:r w:rsidRPr="00B9345B">
        <w:rPr>
          <w:noProof/>
          <w:szCs w:val="24"/>
          <w:lang w:val="en-US"/>
        </w:rPr>
        <w:t xml:space="preserve"> actions</w:t>
      </w:r>
      <w:r w:rsidR="00A06DF8">
        <w:rPr>
          <w:noProof/>
          <w:szCs w:val="24"/>
          <w:lang w:val="en-US"/>
        </w:rPr>
        <w:t xml:space="preserve"> </w:t>
      </w:r>
      <w:r w:rsidRPr="00B9345B">
        <w:rPr>
          <w:noProof/>
          <w:szCs w:val="24"/>
          <w:lang w:val="en-US"/>
        </w:rPr>
        <w:t>that will be implemented in 2022</w:t>
      </w:r>
      <w:r w:rsidR="00B26914">
        <w:rPr>
          <w:noProof/>
          <w:szCs w:val="24"/>
          <w:lang w:val="en-US"/>
        </w:rPr>
        <w:t>.</w:t>
      </w:r>
      <w:r w:rsidR="00292DBA" w:rsidRPr="00292DBA">
        <w:rPr>
          <w:noProof/>
        </w:rPr>
        <w:t xml:space="preserve"> </w:t>
      </w:r>
      <w:r w:rsidR="00292DBA">
        <w:rPr>
          <w:noProof/>
        </w:rPr>
        <w:t>This support to the rol</w:t>
      </w:r>
      <w:r w:rsidR="00292DBA" w:rsidRPr="008A44A2">
        <w:rPr>
          <w:noProof/>
        </w:rPr>
        <w:t xml:space="preserve">lout </w:t>
      </w:r>
      <w:r w:rsidR="00292DBA">
        <w:rPr>
          <w:noProof/>
        </w:rPr>
        <w:t xml:space="preserve">of </w:t>
      </w:r>
      <w:r w:rsidR="00292DBA" w:rsidRPr="008A44A2">
        <w:rPr>
          <w:noProof/>
        </w:rPr>
        <w:t xml:space="preserve">COVID-19 vaccination </w:t>
      </w:r>
      <w:r w:rsidR="00762244">
        <w:rPr>
          <w:noProof/>
        </w:rPr>
        <w:t xml:space="preserve">targets </w:t>
      </w:r>
      <w:r w:rsidR="00292DBA">
        <w:rPr>
          <w:noProof/>
        </w:rPr>
        <w:t>the initial</w:t>
      </w:r>
      <w:r w:rsidR="00292DBA" w:rsidRPr="008A44A2">
        <w:rPr>
          <w:noProof/>
        </w:rPr>
        <w:t xml:space="preserve"> objective </w:t>
      </w:r>
      <w:r w:rsidR="00292DBA">
        <w:rPr>
          <w:noProof/>
        </w:rPr>
        <w:t xml:space="preserve">of </w:t>
      </w:r>
      <w:r w:rsidR="00292DBA" w:rsidRPr="008A44A2">
        <w:rPr>
          <w:noProof/>
        </w:rPr>
        <w:t>boost</w:t>
      </w:r>
      <w:r w:rsidR="00292DBA">
        <w:rPr>
          <w:noProof/>
        </w:rPr>
        <w:t xml:space="preserve">ing </w:t>
      </w:r>
      <w:r w:rsidR="00292DBA" w:rsidRPr="008A44A2">
        <w:rPr>
          <w:noProof/>
        </w:rPr>
        <w:t xml:space="preserve"> global vaccination to contribute to global immunisation that would also protect the EU from the emergence of other variants</w:t>
      </w:r>
    </w:p>
    <w:p w14:paraId="3F4892BF" w14:textId="77777777" w:rsidR="00EF6975" w:rsidRDefault="00EF6975" w:rsidP="00FA0B9F">
      <w:pPr>
        <w:spacing w:after="120"/>
        <w:rPr>
          <w:iCs/>
          <w:noProof/>
        </w:rPr>
      </w:pPr>
    </w:p>
    <w:p w14:paraId="336BE774" w14:textId="3D75B589" w:rsidR="000F019D" w:rsidRPr="00B9345B" w:rsidRDefault="000F019D" w:rsidP="00FA0B9F">
      <w:pPr>
        <w:pStyle w:val="Heading1"/>
        <w:spacing w:before="0" w:after="120"/>
        <w:rPr>
          <w:noProof/>
          <w:szCs w:val="24"/>
        </w:rPr>
      </w:pPr>
      <w:bookmarkStart w:id="20" w:name="_Toc106701130"/>
      <w:r w:rsidRPr="00B9345B">
        <w:rPr>
          <w:noProof/>
          <w:szCs w:val="24"/>
        </w:rPr>
        <w:t>Added value of the activation of the ESI regulation</w:t>
      </w:r>
      <w:r w:rsidR="00C972E6">
        <w:rPr>
          <w:noProof/>
          <w:szCs w:val="24"/>
        </w:rPr>
        <w:t xml:space="preserve"> in the context of the COVID 19 pandemic</w:t>
      </w:r>
      <w:bookmarkEnd w:id="20"/>
    </w:p>
    <w:p w14:paraId="3831483B" w14:textId="3B62364D" w:rsidR="009478CD" w:rsidRPr="00B9345B" w:rsidRDefault="00286E68" w:rsidP="009478CD">
      <w:pPr>
        <w:spacing w:after="120"/>
        <w:rPr>
          <w:noProof/>
          <w:szCs w:val="24"/>
        </w:rPr>
      </w:pPr>
      <w:r w:rsidRPr="00B9345B">
        <w:rPr>
          <w:noProof/>
          <w:szCs w:val="24"/>
        </w:rPr>
        <w:t>The ESI was designed to respond to severe humanitarian consequences resulting from acute crises. In 2016-201</w:t>
      </w:r>
      <w:r w:rsidR="007B382D">
        <w:rPr>
          <w:noProof/>
          <w:szCs w:val="24"/>
        </w:rPr>
        <w:t>8</w:t>
      </w:r>
      <w:r w:rsidRPr="00B9345B">
        <w:rPr>
          <w:noProof/>
          <w:szCs w:val="24"/>
        </w:rPr>
        <w:t xml:space="preserve">, it enabled the Union to provide appropriate and timely support for refugees and migrants present in Greece, and in </w:t>
      </w:r>
      <w:r w:rsidR="00087D72" w:rsidRPr="00B9345B">
        <w:rPr>
          <w:noProof/>
          <w:szCs w:val="24"/>
        </w:rPr>
        <w:t>2020,</w:t>
      </w:r>
      <w:r w:rsidRPr="00B9345B">
        <w:rPr>
          <w:noProof/>
          <w:szCs w:val="24"/>
        </w:rPr>
        <w:t xml:space="preserve"> it enabled EU to directly support the healthcare systems of EU Member States in their efforts to address t</w:t>
      </w:r>
      <w:r w:rsidR="00087D72">
        <w:rPr>
          <w:noProof/>
          <w:szCs w:val="24"/>
        </w:rPr>
        <w:t>he COVID</w:t>
      </w:r>
      <w:r w:rsidRPr="00B9345B">
        <w:rPr>
          <w:noProof/>
          <w:szCs w:val="24"/>
        </w:rPr>
        <w:t>-19 pandemic.</w:t>
      </w:r>
      <w:r w:rsidR="009478CD" w:rsidRPr="009478CD">
        <w:rPr>
          <w:noProof/>
          <w:szCs w:val="24"/>
        </w:rPr>
        <w:t xml:space="preserve"> </w:t>
      </w:r>
      <w:r w:rsidR="009478CD" w:rsidRPr="00B9345B">
        <w:rPr>
          <w:noProof/>
          <w:szCs w:val="24"/>
        </w:rPr>
        <w:t>Given the specific context and focus of the objectives of the first activation, the findings of the evaluation are of limited relevance to the present programme</w:t>
      </w:r>
      <w:r w:rsidR="009478CD">
        <w:rPr>
          <w:noProof/>
          <w:szCs w:val="24"/>
        </w:rPr>
        <w:t>.</w:t>
      </w:r>
    </w:p>
    <w:p w14:paraId="79AA642C" w14:textId="7ACBDBBA" w:rsidR="00080734" w:rsidRPr="00B9345B" w:rsidRDefault="009478CD" w:rsidP="00FA0B9F">
      <w:pPr>
        <w:spacing w:after="120"/>
        <w:rPr>
          <w:noProof/>
          <w:szCs w:val="24"/>
        </w:rPr>
      </w:pPr>
      <w:r>
        <w:rPr>
          <w:noProof/>
          <w:szCs w:val="24"/>
        </w:rPr>
        <w:t>In the period from February 2020 and January 2022, t</w:t>
      </w:r>
      <w:r w:rsidR="00286E68" w:rsidRPr="00B9345B">
        <w:rPr>
          <w:noProof/>
          <w:szCs w:val="24"/>
        </w:rPr>
        <w:t>he ESI provide</w:t>
      </w:r>
      <w:r>
        <w:rPr>
          <w:noProof/>
          <w:szCs w:val="24"/>
        </w:rPr>
        <w:t>d</w:t>
      </w:r>
      <w:r w:rsidR="00286E68" w:rsidRPr="00B9345B">
        <w:rPr>
          <w:noProof/>
          <w:szCs w:val="24"/>
        </w:rPr>
        <w:t xml:space="preserve"> a fast, flexible</w:t>
      </w:r>
      <w:r w:rsidR="007B0050">
        <w:rPr>
          <w:noProof/>
          <w:szCs w:val="24"/>
        </w:rPr>
        <w:t xml:space="preserve"> and</w:t>
      </w:r>
      <w:r w:rsidR="00286E68" w:rsidRPr="00B9345B">
        <w:rPr>
          <w:noProof/>
          <w:szCs w:val="24"/>
        </w:rPr>
        <w:t xml:space="preserve"> efficient instrument to deploy targeted actions preventing and mitigating the immediate acute consequences in one or more Member States and to support in a coordinated manner the needs related to the COVID-19 pandemic.</w:t>
      </w:r>
    </w:p>
    <w:p w14:paraId="3F78FDFB" w14:textId="320CABF4" w:rsidR="00080734" w:rsidRPr="00B9345B" w:rsidRDefault="00080734" w:rsidP="00FA0B9F">
      <w:pPr>
        <w:spacing w:after="120"/>
        <w:rPr>
          <w:noProof/>
          <w:szCs w:val="24"/>
        </w:rPr>
      </w:pPr>
      <w:r w:rsidRPr="00B9345B">
        <w:rPr>
          <w:noProof/>
          <w:szCs w:val="24"/>
        </w:rPr>
        <w:t>Complementarity and synergies with other mechanisms w</w:t>
      </w:r>
      <w:r w:rsidR="006F499B">
        <w:rPr>
          <w:noProof/>
          <w:szCs w:val="24"/>
        </w:rPr>
        <w:t>ere</w:t>
      </w:r>
      <w:r w:rsidRPr="00B9345B">
        <w:rPr>
          <w:noProof/>
          <w:szCs w:val="24"/>
        </w:rPr>
        <w:t xml:space="preserve"> a key test in the selection of actions</w:t>
      </w:r>
      <w:r w:rsidR="00FA764F">
        <w:rPr>
          <w:noProof/>
          <w:szCs w:val="24"/>
        </w:rPr>
        <w:t>. F</w:t>
      </w:r>
      <w:r w:rsidRPr="00B9345B">
        <w:rPr>
          <w:noProof/>
          <w:szCs w:val="24"/>
        </w:rPr>
        <w:t>or example</w:t>
      </w:r>
      <w:r w:rsidR="00FA764F">
        <w:rPr>
          <w:noProof/>
          <w:szCs w:val="24"/>
        </w:rPr>
        <w:t>,</w:t>
      </w:r>
      <w:r w:rsidRPr="00B9345B">
        <w:rPr>
          <w:noProof/>
          <w:szCs w:val="24"/>
        </w:rPr>
        <w:t xml:space="preserve"> there was no other EU instrument available to finance Advanced Purchase Agreements with vaccine developers</w:t>
      </w:r>
      <w:r w:rsidR="007441B6">
        <w:rPr>
          <w:noProof/>
          <w:szCs w:val="24"/>
        </w:rPr>
        <w:t xml:space="preserve">: </w:t>
      </w:r>
      <w:r w:rsidR="007441B6">
        <w:rPr>
          <w:noProof/>
        </w:rPr>
        <w:t>without the ESI funding and the legal basis of the ESI, a joint approach would have been far more difficult to construct, with the very likely outcome that Member States would have had great differences in access to safe and effective COVID-19 vaccines</w:t>
      </w:r>
      <w:r w:rsidR="001255E9">
        <w:rPr>
          <w:noProof/>
          <w:szCs w:val="24"/>
        </w:rPr>
        <w:t>. Moreover, a</w:t>
      </w:r>
      <w:r w:rsidRPr="00B9345B">
        <w:rPr>
          <w:noProof/>
          <w:szCs w:val="24"/>
        </w:rPr>
        <w:t xml:space="preserve">s concerns support to the medical facilities in Greece, no other instrument had the legal scope to provide funding to enhance the overall capacity of the local infrastructure to address the needs of hosting communities as well as those in reception centres. Actions such as the direct donations of UV disinfecting robots were delivered in partnership with the beneficiary local actors, at the level of individual hospitals. The action to increase testing capacity was implemented through the International Committee of the Red Cross, which is working through its national and regional branches to deliver localised increased testing. </w:t>
      </w:r>
    </w:p>
    <w:p w14:paraId="3C75EC73" w14:textId="080C3315" w:rsidR="00080734" w:rsidRDefault="00080734" w:rsidP="00FA0B9F">
      <w:pPr>
        <w:spacing w:after="120"/>
        <w:rPr>
          <w:noProof/>
          <w:szCs w:val="24"/>
        </w:rPr>
      </w:pPr>
      <w:r w:rsidRPr="00B9345B">
        <w:rPr>
          <w:noProof/>
          <w:szCs w:val="24"/>
        </w:rPr>
        <w:t>The E</w:t>
      </w:r>
      <w:r w:rsidR="006660B2">
        <w:rPr>
          <w:noProof/>
          <w:szCs w:val="24"/>
        </w:rPr>
        <w:t>SI</w:t>
      </w:r>
      <w:r w:rsidRPr="00B9345B">
        <w:rPr>
          <w:noProof/>
          <w:szCs w:val="24"/>
        </w:rPr>
        <w:t xml:space="preserve"> </w:t>
      </w:r>
      <w:r w:rsidR="009478CD" w:rsidRPr="00B9345B">
        <w:rPr>
          <w:noProof/>
          <w:szCs w:val="24"/>
        </w:rPr>
        <w:t>contribute</w:t>
      </w:r>
      <w:r w:rsidR="009478CD">
        <w:rPr>
          <w:noProof/>
          <w:szCs w:val="24"/>
        </w:rPr>
        <w:t>d</w:t>
      </w:r>
      <w:r w:rsidR="009478CD" w:rsidRPr="00B9345B">
        <w:rPr>
          <w:noProof/>
          <w:szCs w:val="24"/>
        </w:rPr>
        <w:t xml:space="preserve"> </w:t>
      </w:r>
      <w:r w:rsidRPr="00B9345B">
        <w:rPr>
          <w:noProof/>
          <w:szCs w:val="24"/>
        </w:rPr>
        <w:t>directly and in its entirety (EUR 3.7 billion) to S</w:t>
      </w:r>
      <w:r w:rsidR="0071479A">
        <w:rPr>
          <w:noProof/>
          <w:szCs w:val="24"/>
        </w:rPr>
        <w:t xml:space="preserve">ustainable </w:t>
      </w:r>
      <w:r w:rsidRPr="00B9345B">
        <w:rPr>
          <w:noProof/>
          <w:szCs w:val="24"/>
        </w:rPr>
        <w:t>D</w:t>
      </w:r>
      <w:r w:rsidR="0071479A">
        <w:rPr>
          <w:noProof/>
          <w:szCs w:val="24"/>
        </w:rPr>
        <w:t xml:space="preserve">evelopment </w:t>
      </w:r>
      <w:r w:rsidRPr="00B9345B">
        <w:rPr>
          <w:noProof/>
          <w:szCs w:val="24"/>
        </w:rPr>
        <w:t>G</w:t>
      </w:r>
      <w:r w:rsidR="0071479A">
        <w:rPr>
          <w:noProof/>
          <w:szCs w:val="24"/>
        </w:rPr>
        <w:t>oal</w:t>
      </w:r>
      <w:r w:rsidRPr="00B9345B">
        <w:rPr>
          <w:noProof/>
          <w:szCs w:val="24"/>
        </w:rPr>
        <w:t xml:space="preserve"> 3: good health and well-being.</w:t>
      </w:r>
      <w:r w:rsidR="00E5151E" w:rsidRPr="00B9345B">
        <w:rPr>
          <w:noProof/>
          <w:szCs w:val="24"/>
        </w:rPr>
        <w:t xml:space="preserve"> </w:t>
      </w:r>
      <w:r w:rsidRPr="00B9345B">
        <w:rPr>
          <w:noProof/>
          <w:szCs w:val="24"/>
        </w:rPr>
        <w:t>The United Nations (UN) has acknowledged that COVID-19 is spreading human suffering, destabilising the global economy and upending the lives of billions of people around the globe, and that the pandemic provides a watershed moment for health emergency preparedness. The E</w:t>
      </w:r>
      <w:r w:rsidR="006660B2">
        <w:rPr>
          <w:noProof/>
          <w:szCs w:val="24"/>
        </w:rPr>
        <w:t>SI</w:t>
      </w:r>
      <w:r w:rsidRPr="00B9345B">
        <w:rPr>
          <w:noProof/>
          <w:szCs w:val="24"/>
        </w:rPr>
        <w:t>, deployed in response to the health crisis, supports the whole-of-government and whole-of-society response needed, matching the resolve of frontline health workers.</w:t>
      </w:r>
    </w:p>
    <w:p w14:paraId="02C9E521" w14:textId="58C4A04B" w:rsidR="00745E36" w:rsidRPr="00B9345B" w:rsidRDefault="00745E36" w:rsidP="00FA0B9F">
      <w:pPr>
        <w:spacing w:after="120"/>
        <w:rPr>
          <w:noProof/>
          <w:szCs w:val="24"/>
        </w:rPr>
      </w:pPr>
      <w:r w:rsidRPr="004E0E1E">
        <w:rPr>
          <w:noProof/>
          <w:szCs w:val="24"/>
        </w:rPr>
        <w:t>The E</w:t>
      </w:r>
      <w:r w:rsidR="006660B2" w:rsidRPr="004E0E1E">
        <w:rPr>
          <w:noProof/>
          <w:szCs w:val="24"/>
        </w:rPr>
        <w:t>SI</w:t>
      </w:r>
      <w:r w:rsidRPr="004E0E1E">
        <w:rPr>
          <w:noProof/>
          <w:color w:val="000000" w:themeColor="text1"/>
          <w:szCs w:val="24"/>
        </w:rPr>
        <w:t xml:space="preserve"> provided </w:t>
      </w:r>
      <w:r w:rsidR="004E0E1E">
        <w:rPr>
          <w:noProof/>
          <w:color w:val="000000" w:themeColor="text1"/>
          <w:szCs w:val="24"/>
        </w:rPr>
        <w:t xml:space="preserve">medical equipment </w:t>
      </w:r>
      <w:r w:rsidRPr="004E0E1E">
        <w:rPr>
          <w:noProof/>
          <w:color w:val="000000" w:themeColor="text1"/>
          <w:szCs w:val="24"/>
        </w:rPr>
        <w:t>for health workers in the early days of the crisis, and therapeutics to treat nearly 35 000 patients later</w:t>
      </w:r>
      <w:r w:rsidRPr="00826237">
        <w:rPr>
          <w:noProof/>
          <w:color w:val="000000" w:themeColor="text1"/>
          <w:szCs w:val="24"/>
        </w:rPr>
        <w:t>. It has provided rapid antigen tests and also supported Member States to perform more tests. It has provided increased testing capacities and promoted the availability of treatments such as convalescent plasma. It has provided solutions to support the interoperability of tracing and warning apps across border, helping to break the chain of coronavirus infections and helping to save lives. Most importantly, it has accelerated the development of vaccines and secured access to s</w:t>
      </w:r>
      <w:r w:rsidR="0071479A">
        <w:rPr>
          <w:noProof/>
          <w:color w:val="000000" w:themeColor="text1"/>
          <w:szCs w:val="24"/>
        </w:rPr>
        <w:t>everal</w:t>
      </w:r>
      <w:r w:rsidRPr="00B9345B">
        <w:rPr>
          <w:noProof/>
          <w:szCs w:val="24"/>
        </w:rPr>
        <w:t xml:space="preserve"> billion doses of vaccines for EU Member States and – through COVAX – the wider world.</w:t>
      </w:r>
      <w:r>
        <w:rPr>
          <w:noProof/>
          <w:szCs w:val="24"/>
        </w:rPr>
        <w:t xml:space="preserve"> </w:t>
      </w:r>
    </w:p>
    <w:p w14:paraId="1667E6A7" w14:textId="59220F6F" w:rsidR="00745E36" w:rsidRDefault="00745E36" w:rsidP="00FA0B9F">
      <w:pPr>
        <w:spacing w:after="120"/>
        <w:rPr>
          <w:noProof/>
          <w:szCs w:val="24"/>
        </w:rPr>
      </w:pPr>
      <w:r w:rsidRPr="00B9345B">
        <w:rPr>
          <w:noProof/>
          <w:szCs w:val="24"/>
        </w:rPr>
        <w:t>The E</w:t>
      </w:r>
      <w:r w:rsidR="006660B2">
        <w:rPr>
          <w:noProof/>
          <w:szCs w:val="24"/>
        </w:rPr>
        <w:t xml:space="preserve">SI </w:t>
      </w:r>
      <w:r w:rsidRPr="00B9345B">
        <w:rPr>
          <w:noProof/>
          <w:szCs w:val="24"/>
        </w:rPr>
        <w:t xml:space="preserve">supported EU Member States </w:t>
      </w:r>
      <w:r w:rsidR="001255E9">
        <w:rPr>
          <w:noProof/>
          <w:szCs w:val="24"/>
        </w:rPr>
        <w:t xml:space="preserve">in creating and leveraging the </w:t>
      </w:r>
      <w:r w:rsidRPr="001739E0">
        <w:rPr>
          <w:noProof/>
          <w:color w:val="000000" w:themeColor="text1"/>
          <w:szCs w:val="24"/>
        </w:rPr>
        <w:t xml:space="preserve">EU Digital </w:t>
      </w:r>
      <w:r w:rsidR="009478CD">
        <w:rPr>
          <w:noProof/>
          <w:color w:val="000000" w:themeColor="text1"/>
          <w:szCs w:val="24"/>
        </w:rPr>
        <w:t>COVID</w:t>
      </w:r>
      <w:r w:rsidRPr="001739E0">
        <w:rPr>
          <w:noProof/>
          <w:color w:val="000000" w:themeColor="text1"/>
          <w:szCs w:val="24"/>
        </w:rPr>
        <w:t xml:space="preserve"> Certificate system </w:t>
      </w:r>
      <w:r w:rsidRPr="00B9345B">
        <w:rPr>
          <w:noProof/>
          <w:szCs w:val="24"/>
        </w:rPr>
        <w:t>(EU DCC)</w:t>
      </w:r>
      <w:r w:rsidR="00CB15A5">
        <w:rPr>
          <w:noProof/>
          <w:szCs w:val="24"/>
        </w:rPr>
        <w:t>. W</w:t>
      </w:r>
      <w:r w:rsidRPr="00B9345B">
        <w:rPr>
          <w:noProof/>
          <w:szCs w:val="24"/>
        </w:rPr>
        <w:t>ith 60 countries connected worldwide, the EU DCC was the largest global system of interoperable digital C</w:t>
      </w:r>
      <w:r w:rsidR="00CB15A5">
        <w:rPr>
          <w:noProof/>
          <w:szCs w:val="24"/>
        </w:rPr>
        <w:t>OVID-19</w:t>
      </w:r>
      <w:r w:rsidRPr="00B9345B">
        <w:rPr>
          <w:noProof/>
          <w:szCs w:val="24"/>
        </w:rPr>
        <w:t xml:space="preserve"> certificates, allowing interoperability among all countries connected, not only with and within the EU.</w:t>
      </w:r>
      <w:r>
        <w:rPr>
          <w:noProof/>
          <w:szCs w:val="24"/>
        </w:rPr>
        <w:t xml:space="preserve"> As reported by a Bruegel study</w:t>
      </w:r>
      <w:r>
        <w:rPr>
          <w:rStyle w:val="FootnoteReference"/>
          <w:noProof/>
          <w:szCs w:val="24"/>
        </w:rPr>
        <w:footnoteReference w:id="15"/>
      </w:r>
      <w:r w:rsidRPr="00B9345B">
        <w:rPr>
          <w:noProof/>
          <w:szCs w:val="24"/>
        </w:rPr>
        <w:t xml:space="preserve">, the EU Digital </w:t>
      </w:r>
      <w:r w:rsidR="009478CD">
        <w:rPr>
          <w:noProof/>
          <w:szCs w:val="24"/>
        </w:rPr>
        <w:t>COVID</w:t>
      </w:r>
      <w:r w:rsidRPr="00B9345B">
        <w:rPr>
          <w:noProof/>
          <w:szCs w:val="24"/>
        </w:rPr>
        <w:t xml:space="preserve"> Certificate</w:t>
      </w:r>
      <w:r w:rsidR="009478CD">
        <w:rPr>
          <w:rStyle w:val="FootnoteReference"/>
          <w:noProof/>
          <w:szCs w:val="24"/>
        </w:rPr>
        <w:footnoteReference w:id="16"/>
      </w:r>
      <w:r w:rsidRPr="00B9345B">
        <w:rPr>
          <w:noProof/>
          <w:szCs w:val="24"/>
        </w:rPr>
        <w:t xml:space="preserve"> has helped increased uptake for vaccines, avoiding thousands of deaths and improving public health and economic performance, preventing losses in the billions of euros</w:t>
      </w:r>
      <w:r>
        <w:rPr>
          <w:noProof/>
          <w:szCs w:val="24"/>
        </w:rPr>
        <w:t>.</w:t>
      </w:r>
      <w:r w:rsidRPr="00826237">
        <w:rPr>
          <w:noProof/>
        </w:rPr>
        <w:t xml:space="preserve"> </w:t>
      </w:r>
    </w:p>
    <w:p w14:paraId="563832D2" w14:textId="5A8B5338" w:rsidR="00C24C2E" w:rsidRDefault="00C24C2E" w:rsidP="00FA0B9F">
      <w:pPr>
        <w:spacing w:after="120"/>
        <w:rPr>
          <w:noProof/>
        </w:rPr>
      </w:pPr>
      <w:r>
        <w:rPr>
          <w:noProof/>
        </w:rPr>
        <w:t xml:space="preserve">The </w:t>
      </w:r>
      <w:r w:rsidRPr="00C47FF7">
        <w:rPr>
          <w:noProof/>
        </w:rPr>
        <w:t xml:space="preserve">digital Passenger Locator Forms, </w:t>
      </w:r>
      <w:r w:rsidR="000A2925">
        <w:rPr>
          <w:noProof/>
        </w:rPr>
        <w:t xml:space="preserve">has been instrumental </w:t>
      </w:r>
      <w:r w:rsidRPr="00C47FF7">
        <w:rPr>
          <w:noProof/>
        </w:rPr>
        <w:t xml:space="preserve">to enable the effective exchange passenger data among Member States </w:t>
      </w:r>
      <w:r w:rsidR="000A2925">
        <w:rPr>
          <w:noProof/>
        </w:rPr>
        <w:t xml:space="preserve">and </w:t>
      </w:r>
      <w:r w:rsidRPr="00C47FF7">
        <w:rPr>
          <w:noProof/>
        </w:rPr>
        <w:t xml:space="preserve">should be preserved and encourage further simplification and improvements. </w:t>
      </w:r>
      <w:r w:rsidRPr="002624E1">
        <w:rPr>
          <w:noProof/>
        </w:rPr>
        <w:t>This would allow the platform to exist on standby and be more easily activated in case needed</w:t>
      </w:r>
      <w:r>
        <w:rPr>
          <w:noProof/>
        </w:rPr>
        <w:t xml:space="preserve"> </w:t>
      </w:r>
      <w:r w:rsidR="000A2925">
        <w:rPr>
          <w:noProof/>
        </w:rPr>
        <w:t xml:space="preserve">not only </w:t>
      </w:r>
      <w:r>
        <w:rPr>
          <w:noProof/>
        </w:rPr>
        <w:t>for the COVID</w:t>
      </w:r>
      <w:r w:rsidR="00366161">
        <w:rPr>
          <w:noProof/>
        </w:rPr>
        <w:t>-19</w:t>
      </w:r>
      <w:r>
        <w:rPr>
          <w:noProof/>
        </w:rPr>
        <w:t xml:space="preserve"> pandemic, but also for other potential cross-border diseases.</w:t>
      </w:r>
    </w:p>
    <w:p w14:paraId="6EBDCF62" w14:textId="338F5E66" w:rsidR="00745E36" w:rsidRDefault="000A2925" w:rsidP="00FA0B9F">
      <w:pPr>
        <w:spacing w:after="120"/>
        <w:rPr>
          <w:noProof/>
          <w:szCs w:val="24"/>
        </w:rPr>
      </w:pPr>
      <w:r>
        <w:rPr>
          <w:noProof/>
          <w:szCs w:val="24"/>
        </w:rPr>
        <w:t>In summary, the ESI has been key to respond and fight the pandemic and no other EU mechanism on their own or even in combination with others could have been able to do it. It has been instrumental for supporting all EU Member States and guarantee that all of them had access to the same products and medicines at the same time and that cooperated and responded as a real Health Union in practical terms, even in the absence of specific legislation.</w:t>
      </w:r>
    </w:p>
    <w:p w14:paraId="1E254107" w14:textId="77777777" w:rsidR="008A5B89" w:rsidRPr="00B9345B" w:rsidRDefault="008A5B89" w:rsidP="00FA0B9F">
      <w:pPr>
        <w:spacing w:after="120"/>
        <w:rPr>
          <w:noProof/>
          <w:szCs w:val="24"/>
        </w:rPr>
      </w:pPr>
    </w:p>
    <w:p w14:paraId="52C90D26" w14:textId="24AB0477" w:rsidR="005A441E" w:rsidRPr="00566021" w:rsidRDefault="005A441E" w:rsidP="00FA0B9F">
      <w:pPr>
        <w:pStyle w:val="Heading1"/>
        <w:spacing w:before="0" w:after="120"/>
        <w:rPr>
          <w:noProof/>
          <w:szCs w:val="24"/>
        </w:rPr>
      </w:pPr>
      <w:bookmarkStart w:id="21" w:name="_Toc106701131"/>
      <w:r w:rsidRPr="00B9345B">
        <w:rPr>
          <w:noProof/>
          <w:szCs w:val="24"/>
        </w:rPr>
        <w:t>Way forward</w:t>
      </w:r>
      <w:bookmarkEnd w:id="21"/>
    </w:p>
    <w:p w14:paraId="693ED10B" w14:textId="3DF9D0A4" w:rsidR="002E3F31" w:rsidRDefault="00AD2654" w:rsidP="00FA0B9F">
      <w:pPr>
        <w:spacing w:after="120"/>
        <w:rPr>
          <w:noProof/>
        </w:rPr>
      </w:pPr>
      <w:r>
        <w:rPr>
          <w:noProof/>
        </w:rPr>
        <w:t>The nature and consequences of the COVID-19 outbreak in 2020 were on a large-scale and transnational and therefore it require</w:t>
      </w:r>
      <w:r w:rsidR="001C6F03">
        <w:rPr>
          <w:noProof/>
        </w:rPr>
        <w:t>d</w:t>
      </w:r>
      <w:r>
        <w:rPr>
          <w:noProof/>
        </w:rPr>
        <w:t xml:space="preserve"> a comprehensive response. </w:t>
      </w:r>
      <w:r w:rsidR="001C6F03">
        <w:rPr>
          <w:noProof/>
        </w:rPr>
        <w:t xml:space="preserve">The measures foreseen under the Union Civil Protection Mechanism/rescEU, the Coronavirus Response Investment Initiative to deploy European Structural and Investment Funds and other Union instruments were </w:t>
      </w:r>
      <w:r w:rsidR="00CB15A5">
        <w:rPr>
          <w:noProof/>
        </w:rPr>
        <w:t>partly cont</w:t>
      </w:r>
      <w:r w:rsidR="001C6F03">
        <w:rPr>
          <w:noProof/>
        </w:rPr>
        <w:t>ributing to address the current public health emergency. However, the scale and scope of the challenge required a stronger response, directed in particular to the EU healthcare sector. That is why the Commission proposed to mobilise the E</w:t>
      </w:r>
      <w:r w:rsidR="006660B2">
        <w:rPr>
          <w:noProof/>
        </w:rPr>
        <w:t>SI</w:t>
      </w:r>
      <w:r w:rsidR="001C6F03">
        <w:rPr>
          <w:noProof/>
        </w:rPr>
        <w:t xml:space="preserve"> to equip the EU with a broader toolbox commensurate to the large scale of the current COVID-19 pandemic. A coordinated action at EU level </w:t>
      </w:r>
      <w:r w:rsidR="006F6A52">
        <w:rPr>
          <w:noProof/>
        </w:rPr>
        <w:t>ma</w:t>
      </w:r>
      <w:r w:rsidR="004F6F75">
        <w:rPr>
          <w:noProof/>
        </w:rPr>
        <w:t>de</w:t>
      </w:r>
      <w:r w:rsidR="006F6A52">
        <w:rPr>
          <w:noProof/>
        </w:rPr>
        <w:t xml:space="preserve"> </w:t>
      </w:r>
      <w:r w:rsidR="001C6F03">
        <w:rPr>
          <w:noProof/>
        </w:rPr>
        <w:t>it possible to both address the current crisis and ensure a proper response in its aftermath.</w:t>
      </w:r>
      <w:r w:rsidR="009765E7">
        <w:rPr>
          <w:noProof/>
        </w:rPr>
        <w:t xml:space="preserve"> </w:t>
      </w:r>
      <w:r w:rsidR="004B0F9D">
        <w:rPr>
          <w:noProof/>
        </w:rPr>
        <w:t>For EU citizens, the ESI has been a</w:t>
      </w:r>
      <w:r w:rsidR="009765E7">
        <w:rPr>
          <w:noProof/>
        </w:rPr>
        <w:t xml:space="preserve"> clear demonstration of solidarity, proving that the EU can address pressing humanitarian challenges in a collective effort.</w:t>
      </w:r>
    </w:p>
    <w:p w14:paraId="0E6A257A" w14:textId="15E7A5A5" w:rsidR="00EA1910" w:rsidRDefault="00166637" w:rsidP="00FA0B9F">
      <w:pPr>
        <w:spacing w:after="120"/>
        <w:rPr>
          <w:noProof/>
          <w:szCs w:val="24"/>
        </w:rPr>
      </w:pPr>
      <w:r w:rsidRPr="00B9345B">
        <w:rPr>
          <w:noProof/>
          <w:szCs w:val="24"/>
        </w:rPr>
        <w:t>The instrument</w:t>
      </w:r>
      <w:r w:rsidR="00B2438E">
        <w:rPr>
          <w:noProof/>
          <w:szCs w:val="24"/>
        </w:rPr>
        <w:t>’s activation</w:t>
      </w:r>
      <w:r w:rsidRPr="00B9345B">
        <w:rPr>
          <w:noProof/>
          <w:szCs w:val="24"/>
        </w:rPr>
        <w:t xml:space="preserve"> expired on 31 January 2022</w:t>
      </w:r>
      <w:r>
        <w:rPr>
          <w:noProof/>
          <w:szCs w:val="24"/>
        </w:rPr>
        <w:t xml:space="preserve"> and the </w:t>
      </w:r>
      <w:r w:rsidR="00CB15A5">
        <w:rPr>
          <w:noProof/>
          <w:szCs w:val="24"/>
        </w:rPr>
        <w:t xml:space="preserve">Commission is </w:t>
      </w:r>
      <w:r w:rsidR="00EA1910">
        <w:rPr>
          <w:noProof/>
          <w:szCs w:val="24"/>
        </w:rPr>
        <w:t>finalising</w:t>
      </w:r>
      <w:r w:rsidR="00CB15A5">
        <w:rPr>
          <w:noProof/>
          <w:szCs w:val="24"/>
        </w:rPr>
        <w:t xml:space="preserve"> the activities related to it.</w:t>
      </w:r>
      <w:r w:rsidR="009765E7">
        <w:rPr>
          <w:noProof/>
          <w:szCs w:val="24"/>
        </w:rPr>
        <w:t xml:space="preserve"> </w:t>
      </w:r>
    </w:p>
    <w:p w14:paraId="3AFC14E6" w14:textId="4D93B1C7" w:rsidR="00EA1910" w:rsidRDefault="00EA1910" w:rsidP="00FA0B9F">
      <w:pPr>
        <w:spacing w:after="120"/>
        <w:rPr>
          <w:noProof/>
          <w:szCs w:val="24"/>
        </w:rPr>
      </w:pPr>
      <w:r>
        <w:rPr>
          <w:noProof/>
          <w:szCs w:val="24"/>
        </w:rPr>
        <w:t xml:space="preserve">There is </w:t>
      </w:r>
      <w:r w:rsidR="007B0050">
        <w:rPr>
          <w:noProof/>
          <w:szCs w:val="24"/>
        </w:rPr>
        <w:t xml:space="preserve">currently </w:t>
      </w:r>
      <w:r>
        <w:rPr>
          <w:noProof/>
          <w:szCs w:val="24"/>
        </w:rPr>
        <w:t>no intention to continue, expand or deploy it again for the current pandemic.</w:t>
      </w:r>
    </w:p>
    <w:p w14:paraId="3DD73392" w14:textId="713274A0" w:rsidR="007441B6" w:rsidRDefault="00EA1910" w:rsidP="00FA0B9F">
      <w:pPr>
        <w:spacing w:after="120"/>
        <w:rPr>
          <w:noProof/>
          <w:szCs w:val="24"/>
        </w:rPr>
      </w:pPr>
      <w:r>
        <w:rPr>
          <w:noProof/>
          <w:szCs w:val="24"/>
        </w:rPr>
        <w:t>The 24 months of implementation have allowed for the deployment of other legal instruments, under the European Health Union, in order to reinforce the EU competence on cross border health threats and reinforce the competences and scope o</w:t>
      </w:r>
      <w:r w:rsidR="00047D8D">
        <w:rPr>
          <w:noProof/>
          <w:szCs w:val="24"/>
        </w:rPr>
        <w:t>f</w:t>
      </w:r>
      <w:r>
        <w:rPr>
          <w:noProof/>
          <w:szCs w:val="24"/>
        </w:rPr>
        <w:t xml:space="preserve"> the European </w:t>
      </w:r>
      <w:r w:rsidR="0071479A">
        <w:rPr>
          <w:noProof/>
          <w:szCs w:val="24"/>
        </w:rPr>
        <w:t>C</w:t>
      </w:r>
      <w:r>
        <w:rPr>
          <w:noProof/>
          <w:szCs w:val="24"/>
        </w:rPr>
        <w:t xml:space="preserve">entre for Disease Prevention and Control and the European Medicines Agency. </w:t>
      </w:r>
    </w:p>
    <w:p w14:paraId="2ADD588D" w14:textId="0F626E74" w:rsidR="00F345B9" w:rsidRDefault="007441B6" w:rsidP="00FA0B9F">
      <w:pPr>
        <w:spacing w:after="120"/>
        <w:rPr>
          <w:noProof/>
          <w:szCs w:val="24"/>
        </w:rPr>
      </w:pPr>
      <w:r w:rsidRPr="1DCBB3B6">
        <w:rPr>
          <w:noProof/>
          <w:szCs w:val="24"/>
        </w:rPr>
        <w:t>Building on the added value of the ESI interventions, HERA was established in October 2021</w:t>
      </w:r>
      <w:r w:rsidR="00366161">
        <w:rPr>
          <w:noProof/>
          <w:szCs w:val="24"/>
        </w:rPr>
        <w:t xml:space="preserve"> as a Commission service</w:t>
      </w:r>
      <w:r w:rsidRPr="1DCBB3B6">
        <w:rPr>
          <w:noProof/>
          <w:szCs w:val="24"/>
        </w:rPr>
        <w:t xml:space="preserve"> to lead the way forward to anticipating and addressing risks jointly. HERA has been mandated to assess health threats, gather intelligence and promote R&amp;D of medical countermeasures and related technologies, address market challenges, boost the Union’s strategic autonomy in medical countermeasure production, and strengthen knowledge and skills in the area across the EU. </w:t>
      </w:r>
      <w:r w:rsidR="00366161">
        <w:rPr>
          <w:noProof/>
          <w:szCs w:val="24"/>
        </w:rPr>
        <w:t xml:space="preserve">The Commission’s </w:t>
      </w:r>
      <w:r w:rsidRPr="1DCBB3B6">
        <w:rPr>
          <w:noProof/>
          <w:szCs w:val="24"/>
        </w:rPr>
        <w:t xml:space="preserve">HERA will have at its disposal funding from various sources including the </w:t>
      </w:r>
      <w:r>
        <w:rPr>
          <w:noProof/>
        </w:rPr>
        <w:t>increased budget for the EU4health Programme</w:t>
      </w:r>
      <w:r w:rsidR="00CC449E">
        <w:rPr>
          <w:noProof/>
        </w:rPr>
        <w:t>, Horizon Europe and RescEU, including the activation of emergency funding in case of a health crisis</w:t>
      </w:r>
      <w:r>
        <w:rPr>
          <w:noProof/>
        </w:rPr>
        <w:t xml:space="preserve">. </w:t>
      </w:r>
    </w:p>
    <w:p w14:paraId="54B68876" w14:textId="02F0A81E" w:rsidR="000B15C2" w:rsidRDefault="007441B6">
      <w:pPr>
        <w:spacing w:after="120"/>
        <w:rPr>
          <w:noProof/>
          <w:szCs w:val="24"/>
        </w:rPr>
      </w:pPr>
      <w:r>
        <w:rPr>
          <w:noProof/>
        </w:rPr>
        <w:t>The implementation of the E</w:t>
      </w:r>
      <w:r w:rsidR="006660B2">
        <w:rPr>
          <w:noProof/>
        </w:rPr>
        <w:t>SI</w:t>
      </w:r>
      <w:r>
        <w:rPr>
          <w:noProof/>
        </w:rPr>
        <w:t xml:space="preserve"> has allowed </w:t>
      </w:r>
      <w:r w:rsidRPr="1DCBB3B6">
        <w:rPr>
          <w:noProof/>
          <w:szCs w:val="24"/>
        </w:rPr>
        <w:t>to shape the way forward towards better preparedness and response in the future.</w:t>
      </w:r>
    </w:p>
    <w:p w14:paraId="3C4887C3" w14:textId="7182C873" w:rsidR="000B15C2" w:rsidRDefault="00C97433" w:rsidP="00EF588A">
      <w:pPr>
        <w:spacing w:after="120"/>
        <w:rPr>
          <w:noProof/>
          <w:szCs w:val="24"/>
        </w:rPr>
      </w:pPr>
      <w:r w:rsidRPr="000151AC">
        <w:rPr>
          <w:noProof/>
          <w:lang w:val="en-IE"/>
        </w:rPr>
        <w:t>The Commission is currently working on a proposal for a Single Market Emergency Instrument to ensure a well-functioning Single Market, the free movement of goods, services and people, with greater transparency and coordination in times of crises. The new instrument will be aligned with relevant policy initiatives, such as the setting up of the Commission’s Health Emergency Preparedness and Response Authority (HERA), and the adopted contingency plan for transport and mobility. The proposal is planned for adoption in Q3 2022.</w:t>
      </w:r>
    </w:p>
    <w:sectPr w:rsidR="000B15C2" w:rsidSect="000711F8">
      <w:headerReference w:type="even" r:id="rId20"/>
      <w:headerReference w:type="default" r:id="rId21"/>
      <w:footerReference w:type="even" r:id="rId22"/>
      <w:footerReference w:type="default" r:id="rId23"/>
      <w:headerReference w:type="first" r:id="rId24"/>
      <w:footerReference w:type="first" r:id="rId2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7554" w14:textId="77777777" w:rsidR="006F285C" w:rsidRDefault="006F285C">
      <w:pPr>
        <w:spacing w:after="0"/>
      </w:pPr>
      <w:r>
        <w:separator/>
      </w:r>
    </w:p>
  </w:endnote>
  <w:endnote w:type="continuationSeparator" w:id="0">
    <w:p w14:paraId="773D643E" w14:textId="77777777" w:rsidR="006F285C" w:rsidRDefault="006F2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35ED" w14:textId="77777777" w:rsidR="00BD3BFF" w:rsidRPr="00BD3BFF" w:rsidRDefault="00BD3BFF" w:rsidP="00BD3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90B" w14:textId="40D7E8EA" w:rsidR="00EF588A" w:rsidRPr="00BD3BFF" w:rsidRDefault="00BD3BFF" w:rsidP="00BD3BFF">
    <w:pPr>
      <w:pStyle w:val="FooterCoverPage"/>
      <w:rPr>
        <w:rFonts w:ascii="Arial" w:hAnsi="Arial" w:cs="Arial"/>
        <w:b/>
        <w:sz w:val="48"/>
      </w:rPr>
    </w:pPr>
    <w:r w:rsidRPr="00BD3BFF">
      <w:rPr>
        <w:rFonts w:ascii="Arial" w:hAnsi="Arial" w:cs="Arial"/>
        <w:b/>
        <w:sz w:val="48"/>
      </w:rPr>
      <w:t>EN</w:t>
    </w:r>
    <w:r w:rsidRPr="00BD3BFF">
      <w:rPr>
        <w:rFonts w:ascii="Arial" w:hAnsi="Arial" w:cs="Arial"/>
        <w:b/>
        <w:sz w:val="48"/>
      </w:rPr>
      <w:tab/>
    </w:r>
    <w:r w:rsidRPr="00BD3BFF">
      <w:rPr>
        <w:rFonts w:ascii="Arial" w:hAnsi="Arial" w:cs="Arial"/>
        <w:b/>
        <w:sz w:val="48"/>
      </w:rPr>
      <w:tab/>
    </w:r>
    <w:r w:rsidRPr="00BD3BFF">
      <w:tab/>
    </w:r>
    <w:r w:rsidRPr="00BD3BF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FABA" w14:textId="77777777" w:rsidR="00BD3BFF" w:rsidRPr="00BD3BFF" w:rsidRDefault="00BD3BFF" w:rsidP="00BD3BF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F2FC" w14:textId="77777777" w:rsidR="003F5D74" w:rsidRDefault="003F5D74">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CBDA" w14:textId="29A2ABA1" w:rsidR="003F5D74" w:rsidRDefault="003F5D74">
    <w:pPr>
      <w:pStyle w:val="FooterLine"/>
      <w:jc w:val="center"/>
    </w:pPr>
    <w:r>
      <w:fldChar w:fldCharType="begin"/>
    </w:r>
    <w:r>
      <w:instrText>PAGE   \* MERGEFORMAT</w:instrText>
    </w:r>
    <w:r>
      <w:fldChar w:fldCharType="separate"/>
    </w:r>
    <w:r w:rsidR="00BD3BFF">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D0A9" w14:textId="77777777" w:rsidR="003F5D74" w:rsidRDefault="003F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182D0" w14:textId="77777777" w:rsidR="006F285C" w:rsidRDefault="006F285C">
      <w:pPr>
        <w:spacing w:after="0"/>
      </w:pPr>
      <w:r>
        <w:separator/>
      </w:r>
    </w:p>
  </w:footnote>
  <w:footnote w:type="continuationSeparator" w:id="0">
    <w:p w14:paraId="3E6D72B8" w14:textId="77777777" w:rsidR="006F285C" w:rsidRDefault="006F285C">
      <w:pPr>
        <w:spacing w:after="0"/>
      </w:pPr>
      <w:r>
        <w:continuationSeparator/>
      </w:r>
    </w:p>
  </w:footnote>
  <w:footnote w:id="1">
    <w:p w14:paraId="5B9FF5A3" w14:textId="77777777" w:rsidR="003F5D74" w:rsidRPr="002B14BF" w:rsidRDefault="003F5D74" w:rsidP="00B43E18">
      <w:pPr>
        <w:pStyle w:val="FootnoteText"/>
        <w:rPr>
          <w:lang w:val="en-IE"/>
        </w:rPr>
      </w:pPr>
      <w:r>
        <w:rPr>
          <w:rStyle w:val="FootnoteReference"/>
        </w:rPr>
        <w:footnoteRef/>
      </w:r>
      <w:r>
        <w:tab/>
      </w:r>
      <w:r w:rsidRPr="002B14BF">
        <w:t>https://eur-lex.europa.eu/legal-content/EN/TXT/PDF/?uri=CELEX:32016R0369&amp;from=EN</w:t>
      </w:r>
    </w:p>
  </w:footnote>
  <w:footnote w:id="2">
    <w:p w14:paraId="229F5937" w14:textId="77777777" w:rsidR="003F5D74" w:rsidRPr="002B14BF" w:rsidRDefault="003F5D74" w:rsidP="00B43E18">
      <w:pPr>
        <w:pStyle w:val="FootnoteText"/>
        <w:rPr>
          <w:lang w:val="en-IE"/>
        </w:rPr>
      </w:pPr>
      <w:r>
        <w:rPr>
          <w:rStyle w:val="FootnoteReference"/>
        </w:rPr>
        <w:footnoteRef/>
      </w:r>
      <w:r>
        <w:tab/>
      </w:r>
      <w:r w:rsidRPr="002B14BF">
        <w:t>https://ec.europa.eu/info/sites/info/files/about_the_european_commission/eu_budget/com175final_-_en_-_proposal_council_regulation_activating_esi.pdf</w:t>
      </w:r>
    </w:p>
  </w:footnote>
  <w:footnote w:id="3">
    <w:p w14:paraId="45AC5385" w14:textId="4E15AE77" w:rsidR="00AB60DC" w:rsidRPr="004E0E1E" w:rsidRDefault="00AB60DC">
      <w:pPr>
        <w:pStyle w:val="FootnoteText"/>
        <w:rPr>
          <w:lang w:val="en-IE"/>
        </w:rPr>
      </w:pPr>
      <w:r>
        <w:rPr>
          <w:rStyle w:val="FootnoteReference"/>
        </w:rPr>
        <w:footnoteRef/>
      </w:r>
      <w:r>
        <w:tab/>
      </w:r>
      <w:r w:rsidR="00093C31" w:rsidRPr="00093C31">
        <w:t>https://ec.europa.eu/info/live-work-travel-eu/coronavirus-response/emergency-support-instrument/covid-19-clearing-house-medical-equipment_en</w:t>
      </w:r>
    </w:p>
  </w:footnote>
  <w:footnote w:id="4">
    <w:p w14:paraId="486EDBEC" w14:textId="77777777" w:rsidR="003F5D74" w:rsidRDefault="003F5D74" w:rsidP="000611F1">
      <w:pPr>
        <w:pStyle w:val="FootnoteText"/>
        <w:rPr>
          <w:lang w:val="en-IE"/>
        </w:rPr>
      </w:pPr>
      <w:r>
        <w:rPr>
          <w:rStyle w:val="FootnoteReference"/>
        </w:rPr>
        <w:footnoteRef/>
      </w:r>
      <w:r>
        <w:rPr>
          <w:lang w:val="en-IE"/>
        </w:rPr>
        <w:tab/>
      </w:r>
      <w:r>
        <w:t>Commission Decision C(2020)2794 of 24 April 2020 on the financing of Emergency Support under Council Regulation (EU) 2016/369.</w:t>
      </w:r>
    </w:p>
  </w:footnote>
  <w:footnote w:id="5">
    <w:p w14:paraId="71F26661" w14:textId="3D36E76E" w:rsidR="00312F0C" w:rsidRPr="00312F0C" w:rsidRDefault="00312F0C">
      <w:pPr>
        <w:pStyle w:val="FootnoteText"/>
      </w:pPr>
      <w:r>
        <w:rPr>
          <w:rStyle w:val="FootnoteReference"/>
        </w:rPr>
        <w:footnoteRef/>
      </w:r>
      <w:r>
        <w:tab/>
        <w:t>Commission Decision C(2020)4192 of 18 June 2020 amending Decision C(2020)2794 as regards approving the agreement with Member States on procuring Covid-19 vaccines on behalf of the Member States and related procedures.</w:t>
      </w:r>
    </w:p>
  </w:footnote>
  <w:footnote w:id="6">
    <w:p w14:paraId="14924988" w14:textId="77777777" w:rsidR="003F5D74" w:rsidRDefault="003F5D74" w:rsidP="000074E4">
      <w:pPr>
        <w:pStyle w:val="FootnoteText"/>
      </w:pPr>
      <w:r>
        <w:rPr>
          <w:rStyle w:val="FootnoteReference"/>
        </w:rPr>
        <w:footnoteRef/>
      </w:r>
      <w:r>
        <w:tab/>
        <w:t>Commission Decision C(2020)4193 of 18 June 2020 amending Decision C(2020)2794 as regards the financing of the Vaccine Instrument.</w:t>
      </w:r>
    </w:p>
  </w:footnote>
  <w:footnote w:id="7">
    <w:p w14:paraId="46944151" w14:textId="1FF77A5D" w:rsidR="003F5D74" w:rsidRDefault="003F5D74" w:rsidP="000074E4">
      <w:pPr>
        <w:pStyle w:val="Default"/>
        <w:ind w:left="360" w:hanging="360"/>
        <w:jc w:val="both"/>
        <w:rPr>
          <w:color w:val="auto"/>
          <w:sz w:val="20"/>
          <w:szCs w:val="20"/>
        </w:rPr>
      </w:pPr>
      <w:r>
        <w:rPr>
          <w:rStyle w:val="FootnoteReference"/>
        </w:rPr>
        <w:footnoteRef/>
      </w:r>
      <w:r>
        <w:tab/>
      </w:r>
      <w:r>
        <w:rPr>
          <w:color w:val="auto"/>
          <w:sz w:val="20"/>
          <w:szCs w:val="20"/>
        </w:rPr>
        <w:t>Commission Decision C(2020)5162 of 23 July 2020 amending Decision C(2020)2794 as regards the financing of additional actions under the Emergency Support Instrument and the increase of the budget of the Vaccine Instrument.</w:t>
      </w:r>
    </w:p>
    <w:p w14:paraId="741E0BF6" w14:textId="77777777" w:rsidR="003F5D74" w:rsidRDefault="003F5D74" w:rsidP="000074E4">
      <w:pPr>
        <w:pStyle w:val="Default"/>
        <w:ind w:left="360" w:hanging="360"/>
        <w:jc w:val="both"/>
        <w:rPr>
          <w:color w:val="auto"/>
          <w:sz w:val="20"/>
          <w:szCs w:val="20"/>
        </w:rPr>
      </w:pPr>
    </w:p>
  </w:footnote>
  <w:footnote w:id="8">
    <w:p w14:paraId="60931D34" w14:textId="77777777" w:rsidR="003F5D74" w:rsidRDefault="003F5D74" w:rsidP="001E345A">
      <w:pPr>
        <w:pStyle w:val="FootnoteText"/>
      </w:pPr>
      <w:r w:rsidRPr="00477F7E">
        <w:rPr>
          <w:rStyle w:val="FootnoteReference"/>
        </w:rPr>
        <w:footnoteRef/>
      </w:r>
      <w:r>
        <w:tab/>
        <w:t xml:space="preserve">Commission Decision C(2020)8800 of 4 December 2020 amending Decision C(2020)2794 as regards the financing of additional actions under the Emergency Support Instrument and the increase of the budget of the Vaccine Instrument regarding donations from Member States. </w:t>
      </w:r>
    </w:p>
  </w:footnote>
  <w:footnote w:id="9">
    <w:p w14:paraId="47B4170A" w14:textId="1F9D9033" w:rsidR="006329CE" w:rsidRPr="00093C31" w:rsidRDefault="006329CE" w:rsidP="006329CE">
      <w:pPr>
        <w:pStyle w:val="FootnoteText"/>
      </w:pPr>
      <w:r>
        <w:rPr>
          <w:rStyle w:val="FootnoteReference"/>
        </w:rPr>
        <w:footnoteRef/>
      </w:r>
      <w:r w:rsidRPr="00093C31">
        <w:tab/>
        <w:t xml:space="preserve">Commission </w:t>
      </w:r>
      <w:r w:rsidRPr="00093C31">
        <w:rPr>
          <w:noProof/>
        </w:rPr>
        <w:t>Decision C(2021)4791</w:t>
      </w:r>
      <w:r w:rsidR="00312F0C">
        <w:rPr>
          <w:noProof/>
        </w:rPr>
        <w:t xml:space="preserve"> </w:t>
      </w:r>
      <w:r w:rsidR="00312F0C">
        <w:t>of 24 June 2021 amending Decision C(2020)2794 as regards the financing of additional actions under the Emergency Support Instrument and the increase of the budget of the Vaccine Instrument regarding donations from Member States.</w:t>
      </w:r>
    </w:p>
  </w:footnote>
  <w:footnote w:id="10">
    <w:p w14:paraId="4B9824F8" w14:textId="77777777" w:rsidR="003F5D74" w:rsidRPr="00BB6492" w:rsidRDefault="003F5D74" w:rsidP="000611F1">
      <w:pPr>
        <w:pStyle w:val="FootnoteText"/>
        <w:rPr>
          <w:lang w:val="en-IE"/>
        </w:rPr>
      </w:pPr>
      <w:r w:rsidRPr="00A0210F">
        <w:rPr>
          <w:rStyle w:val="FootnoteReference"/>
        </w:rPr>
        <w:footnoteRef/>
      </w:r>
      <w:r>
        <w:tab/>
      </w:r>
      <w:r w:rsidRPr="00FD0F2F">
        <w:t>Commission Decision C(</w:t>
      </w:r>
      <w:r>
        <w:t>2021)2347</w:t>
      </w:r>
      <w:r w:rsidRPr="00FD0F2F">
        <w:t xml:space="preserve"> of </w:t>
      </w:r>
      <w:r>
        <w:t>29 March 2021</w:t>
      </w:r>
      <w:r w:rsidRPr="00FD0F2F">
        <w:t xml:space="preserve"> amending Decision C(2020)2794 as regards the financing of additional actions under t</w:t>
      </w:r>
      <w:r>
        <w:t>he Emergency Support Instrument.</w:t>
      </w:r>
    </w:p>
  </w:footnote>
  <w:footnote w:id="11">
    <w:p w14:paraId="397B35E1" w14:textId="16D8A14C" w:rsidR="003F5D74" w:rsidRPr="00B2066A" w:rsidRDefault="003F5D74">
      <w:pPr>
        <w:pStyle w:val="FootnoteText"/>
        <w:rPr>
          <w:lang w:val="it-IT"/>
        </w:rPr>
      </w:pPr>
      <w:r>
        <w:rPr>
          <w:rStyle w:val="FootnoteReference"/>
        </w:rPr>
        <w:footnoteRef/>
      </w:r>
      <w:r w:rsidRPr="00B2066A">
        <w:rPr>
          <w:lang w:val="en-IE"/>
        </w:rPr>
        <w:tab/>
      </w:r>
      <w:r w:rsidRPr="00B2066A">
        <w:rPr>
          <w:noProof/>
          <w:lang w:val="en-IE"/>
        </w:rPr>
        <w:t>Commission Decision C(2021)10001</w:t>
      </w:r>
      <w:r w:rsidR="001605A6" w:rsidRPr="00B2066A">
        <w:rPr>
          <w:noProof/>
          <w:lang w:val="en-IE"/>
        </w:rPr>
        <w:t xml:space="preserve"> of 20 December 2021 </w:t>
      </w:r>
      <w:r w:rsidR="001605A6" w:rsidRPr="00FD0F2F">
        <w:t>as regards the financing of additional actions under t</w:t>
      </w:r>
      <w:r w:rsidR="001605A6">
        <w:t>he Emergency Support Instrument.</w:t>
      </w:r>
    </w:p>
  </w:footnote>
  <w:footnote w:id="12">
    <w:p w14:paraId="68F717AC" w14:textId="110EBEE7" w:rsidR="003F5D74" w:rsidRPr="0015515A" w:rsidRDefault="003F5D74">
      <w:pPr>
        <w:pStyle w:val="FootnoteText"/>
        <w:rPr>
          <w:noProof/>
          <w:lang w:val="it-IT"/>
        </w:rPr>
      </w:pPr>
      <w:r>
        <w:rPr>
          <w:rStyle w:val="FootnoteReference"/>
        </w:rPr>
        <w:footnoteRef/>
      </w:r>
      <w:r w:rsidRPr="0015515A">
        <w:rPr>
          <w:lang w:val="it-IT"/>
        </w:rPr>
        <w:tab/>
      </w:r>
      <w:r w:rsidRPr="0015515A">
        <w:rPr>
          <w:noProof/>
          <w:lang w:val="it-IT"/>
        </w:rPr>
        <w:t xml:space="preserve">Commission Decision C(2022) 698 </w:t>
      </w:r>
    </w:p>
  </w:footnote>
  <w:footnote w:id="13">
    <w:p w14:paraId="4011B707" w14:textId="4A717095" w:rsidR="00D07701" w:rsidRPr="0015515A" w:rsidRDefault="00D07701">
      <w:pPr>
        <w:pStyle w:val="FootnoteText"/>
        <w:rPr>
          <w:lang w:val="it-IT"/>
        </w:rPr>
      </w:pPr>
      <w:r>
        <w:rPr>
          <w:rStyle w:val="FootnoteReference"/>
        </w:rPr>
        <w:footnoteRef/>
      </w:r>
      <w:r w:rsidRPr="0015515A">
        <w:rPr>
          <w:lang w:val="it-IT"/>
        </w:rPr>
        <w:tab/>
      </w:r>
      <w:hyperlink r:id="rId1" w:anchor="general" w:history="1">
        <w:r w:rsidRPr="0015515A">
          <w:rPr>
            <w:rStyle w:val="Hyperlink"/>
            <w:szCs w:val="24"/>
            <w:lang w:val="it-IT"/>
          </w:rPr>
          <w:t>https://ec.europa.eu/info/live-work-travel-eu/coronavirus-response/emergency-support-instrument_en#general</w:t>
        </w:r>
      </w:hyperlink>
    </w:p>
  </w:footnote>
  <w:footnote w:id="14">
    <w:p w14:paraId="26950846" w14:textId="507534F3" w:rsidR="003F5D74" w:rsidRPr="00383658" w:rsidRDefault="003F5D74">
      <w:pPr>
        <w:pStyle w:val="FootnoteText"/>
        <w:rPr>
          <w:lang w:val="en-US"/>
        </w:rPr>
      </w:pPr>
      <w:r>
        <w:rPr>
          <w:rStyle w:val="FootnoteReference"/>
        </w:rPr>
        <w:footnoteRef/>
      </w:r>
      <w:r>
        <w:tab/>
        <w:t>In total, contracts for 4.6 billion doses were signed; however this included both Advance Purchase Agreements and Purchase Agreements. Moreover, not all vaccine manufacturers succeeded in obtaining a conditional marketing authorisation for vaccines.</w:t>
      </w:r>
    </w:p>
  </w:footnote>
  <w:footnote w:id="15">
    <w:p w14:paraId="2B0848F9" w14:textId="77777777" w:rsidR="003F5D74" w:rsidRPr="00C72FE4" w:rsidRDefault="003F5D74" w:rsidP="00745E36">
      <w:pPr>
        <w:pStyle w:val="FootnoteText"/>
        <w:rPr>
          <w:lang w:val="en-IE"/>
        </w:rPr>
      </w:pPr>
      <w:r>
        <w:rPr>
          <w:rStyle w:val="FootnoteReference"/>
        </w:rPr>
        <w:footnoteRef/>
      </w:r>
      <w:r>
        <w:tab/>
      </w:r>
      <w:hyperlink r:id="rId2" w:history="1">
        <w:r>
          <w:rPr>
            <w:rStyle w:val="Hyperlink"/>
          </w:rPr>
          <w:t>The effect of COVID certificates on vaccine uptake, public health, and the economy | Bruegel</w:t>
        </w:r>
      </w:hyperlink>
    </w:p>
  </w:footnote>
  <w:footnote w:id="16">
    <w:p w14:paraId="2358F1F2" w14:textId="12F24360" w:rsidR="009478CD" w:rsidRPr="009478CD" w:rsidRDefault="009478CD">
      <w:pPr>
        <w:pStyle w:val="FootnoteText"/>
      </w:pPr>
      <w:r>
        <w:rPr>
          <w:rStyle w:val="FootnoteReference"/>
        </w:rPr>
        <w:footnoteRef/>
      </w:r>
      <w:r>
        <w:tab/>
      </w:r>
      <w:r w:rsidRPr="009478CD">
        <w:t>The EU Digital COVID Certificate Regulation applied initially until 30 June 2022 and is extended by one year, until 30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7067" w14:textId="77777777" w:rsidR="00BD3BFF" w:rsidRPr="00BD3BFF" w:rsidRDefault="00BD3BFF" w:rsidP="00BD3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0A68" w14:textId="77777777" w:rsidR="00BD3BFF" w:rsidRPr="00BD3BFF" w:rsidRDefault="00BD3BFF" w:rsidP="00BD3BF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563B" w14:textId="77777777" w:rsidR="00BD3BFF" w:rsidRPr="00BD3BFF" w:rsidRDefault="00BD3BFF" w:rsidP="00BD3BF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BA39" w14:textId="77777777" w:rsidR="003F5D74" w:rsidRDefault="003F5D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2584" w14:textId="77777777" w:rsidR="003F5D74" w:rsidRDefault="003F5D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40AF" w14:textId="77777777" w:rsidR="003F5D74" w:rsidRDefault="003F5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A6A"/>
    <w:multiLevelType w:val="hybridMultilevel"/>
    <w:tmpl w:val="5844AE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CC718F"/>
    <w:multiLevelType w:val="multilevel"/>
    <w:tmpl w:val="A88C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900F7"/>
    <w:multiLevelType w:val="multilevel"/>
    <w:tmpl w:val="6BAE6E1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CAE111F"/>
    <w:multiLevelType w:val="hybridMultilevel"/>
    <w:tmpl w:val="AA04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73A"/>
    <w:multiLevelType w:val="multilevel"/>
    <w:tmpl w:val="0ABC3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FB7115"/>
    <w:multiLevelType w:val="multilevel"/>
    <w:tmpl w:val="12E06EB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5897"/>
    <w:multiLevelType w:val="hybridMultilevel"/>
    <w:tmpl w:val="A740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7201"/>
    <w:multiLevelType w:val="multilevel"/>
    <w:tmpl w:val="7BC8471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0B8345"/>
    <w:multiLevelType w:val="multilevel"/>
    <w:tmpl w:val="96BAFD1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262685D"/>
    <w:multiLevelType w:val="multilevel"/>
    <w:tmpl w:val="74204AB6"/>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43D0A16"/>
    <w:multiLevelType w:val="multilevel"/>
    <w:tmpl w:val="9B1ADE1A"/>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5CF4FB8"/>
    <w:multiLevelType w:val="hybridMultilevel"/>
    <w:tmpl w:val="2DA4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F0AC5"/>
    <w:multiLevelType w:val="multilevel"/>
    <w:tmpl w:val="D548B3C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8CD231B"/>
    <w:multiLevelType w:val="hybridMultilevel"/>
    <w:tmpl w:val="28467F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F126F3"/>
    <w:multiLevelType w:val="hybridMultilevel"/>
    <w:tmpl w:val="E7402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C7B624F"/>
    <w:multiLevelType w:val="multilevel"/>
    <w:tmpl w:val="C790667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5C662E5"/>
    <w:multiLevelType w:val="hybridMultilevel"/>
    <w:tmpl w:val="887EB2C8"/>
    <w:lvl w:ilvl="0" w:tplc="4B5ECA78">
      <w:start w:val="1"/>
      <w:numFmt w:val="bullet"/>
      <w:lvlText w:val="-"/>
      <w:lvlJc w:val="left"/>
      <w:pPr>
        <w:tabs>
          <w:tab w:val="num" w:pos="720"/>
        </w:tabs>
        <w:ind w:left="720" w:hanging="360"/>
      </w:pPr>
      <w:rPr>
        <w:rFonts w:ascii="Arial" w:hAnsi="Arial" w:hint="default"/>
      </w:rPr>
    </w:lvl>
    <w:lvl w:ilvl="1" w:tplc="FA705118" w:tentative="1">
      <w:start w:val="1"/>
      <w:numFmt w:val="bullet"/>
      <w:lvlText w:val="-"/>
      <w:lvlJc w:val="left"/>
      <w:pPr>
        <w:tabs>
          <w:tab w:val="num" w:pos="1440"/>
        </w:tabs>
        <w:ind w:left="1440" w:hanging="360"/>
      </w:pPr>
      <w:rPr>
        <w:rFonts w:ascii="Arial" w:hAnsi="Arial" w:hint="default"/>
      </w:rPr>
    </w:lvl>
    <w:lvl w:ilvl="2" w:tplc="5B7047BE" w:tentative="1">
      <w:start w:val="1"/>
      <w:numFmt w:val="bullet"/>
      <w:lvlText w:val="-"/>
      <w:lvlJc w:val="left"/>
      <w:pPr>
        <w:tabs>
          <w:tab w:val="num" w:pos="2160"/>
        </w:tabs>
        <w:ind w:left="2160" w:hanging="360"/>
      </w:pPr>
      <w:rPr>
        <w:rFonts w:ascii="Arial" w:hAnsi="Arial" w:hint="default"/>
      </w:rPr>
    </w:lvl>
    <w:lvl w:ilvl="3" w:tplc="D6A40BE4" w:tentative="1">
      <w:start w:val="1"/>
      <w:numFmt w:val="bullet"/>
      <w:lvlText w:val="-"/>
      <w:lvlJc w:val="left"/>
      <w:pPr>
        <w:tabs>
          <w:tab w:val="num" w:pos="2880"/>
        </w:tabs>
        <w:ind w:left="2880" w:hanging="360"/>
      </w:pPr>
      <w:rPr>
        <w:rFonts w:ascii="Arial" w:hAnsi="Arial" w:hint="default"/>
      </w:rPr>
    </w:lvl>
    <w:lvl w:ilvl="4" w:tplc="6B9A5F3E" w:tentative="1">
      <w:start w:val="1"/>
      <w:numFmt w:val="bullet"/>
      <w:lvlText w:val="-"/>
      <w:lvlJc w:val="left"/>
      <w:pPr>
        <w:tabs>
          <w:tab w:val="num" w:pos="3600"/>
        </w:tabs>
        <w:ind w:left="3600" w:hanging="360"/>
      </w:pPr>
      <w:rPr>
        <w:rFonts w:ascii="Arial" w:hAnsi="Arial" w:hint="default"/>
      </w:rPr>
    </w:lvl>
    <w:lvl w:ilvl="5" w:tplc="6406D70E" w:tentative="1">
      <w:start w:val="1"/>
      <w:numFmt w:val="bullet"/>
      <w:lvlText w:val="-"/>
      <w:lvlJc w:val="left"/>
      <w:pPr>
        <w:tabs>
          <w:tab w:val="num" w:pos="4320"/>
        </w:tabs>
        <w:ind w:left="4320" w:hanging="360"/>
      </w:pPr>
      <w:rPr>
        <w:rFonts w:ascii="Arial" w:hAnsi="Arial" w:hint="default"/>
      </w:rPr>
    </w:lvl>
    <w:lvl w:ilvl="6" w:tplc="DCD8EF0C" w:tentative="1">
      <w:start w:val="1"/>
      <w:numFmt w:val="bullet"/>
      <w:lvlText w:val="-"/>
      <w:lvlJc w:val="left"/>
      <w:pPr>
        <w:tabs>
          <w:tab w:val="num" w:pos="5040"/>
        </w:tabs>
        <w:ind w:left="5040" w:hanging="360"/>
      </w:pPr>
      <w:rPr>
        <w:rFonts w:ascii="Arial" w:hAnsi="Arial" w:hint="default"/>
      </w:rPr>
    </w:lvl>
    <w:lvl w:ilvl="7" w:tplc="42726142" w:tentative="1">
      <w:start w:val="1"/>
      <w:numFmt w:val="bullet"/>
      <w:lvlText w:val="-"/>
      <w:lvlJc w:val="left"/>
      <w:pPr>
        <w:tabs>
          <w:tab w:val="num" w:pos="5760"/>
        </w:tabs>
        <w:ind w:left="5760" w:hanging="360"/>
      </w:pPr>
      <w:rPr>
        <w:rFonts w:ascii="Arial" w:hAnsi="Arial" w:hint="default"/>
      </w:rPr>
    </w:lvl>
    <w:lvl w:ilvl="8" w:tplc="BEFAED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1043E4"/>
    <w:multiLevelType w:val="hybridMultilevel"/>
    <w:tmpl w:val="6BEA90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46539A"/>
    <w:multiLevelType w:val="hybridMultilevel"/>
    <w:tmpl w:val="EE583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35423"/>
    <w:multiLevelType w:val="hybridMultilevel"/>
    <w:tmpl w:val="723E5092"/>
    <w:lvl w:ilvl="0" w:tplc="7BE2EED2">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DFDF8"/>
    <w:multiLevelType w:val="multilevel"/>
    <w:tmpl w:val="3AE6EAB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2D293CE3"/>
    <w:multiLevelType w:val="multilevel"/>
    <w:tmpl w:val="C952FFA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2D293CF4"/>
    <w:multiLevelType w:val="multilevel"/>
    <w:tmpl w:val="6CE02A0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2E7A3E32"/>
    <w:multiLevelType w:val="hybridMultilevel"/>
    <w:tmpl w:val="A2BE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24F1E"/>
    <w:multiLevelType w:val="multilevel"/>
    <w:tmpl w:val="9D8208D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7CB1E1C"/>
    <w:multiLevelType w:val="multilevel"/>
    <w:tmpl w:val="E2B49F5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A7730C4"/>
    <w:multiLevelType w:val="multilevel"/>
    <w:tmpl w:val="B8784A4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BE75A2B"/>
    <w:multiLevelType w:val="hybridMultilevel"/>
    <w:tmpl w:val="C8D8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E662A"/>
    <w:multiLevelType w:val="multilevel"/>
    <w:tmpl w:val="6668227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4E1A63DF"/>
    <w:multiLevelType w:val="multilevel"/>
    <w:tmpl w:val="DD582100"/>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4E1A982C"/>
    <w:multiLevelType w:val="multilevel"/>
    <w:tmpl w:val="296686B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E637166"/>
    <w:multiLevelType w:val="hybridMultilevel"/>
    <w:tmpl w:val="6F08E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2619B"/>
    <w:multiLevelType w:val="multilevel"/>
    <w:tmpl w:val="721C3BA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50729B52"/>
    <w:multiLevelType w:val="multilevel"/>
    <w:tmpl w:val="474ED56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61985D5C"/>
    <w:multiLevelType w:val="hybridMultilevel"/>
    <w:tmpl w:val="DB48E7E2"/>
    <w:lvl w:ilvl="0" w:tplc="8264D7DC">
      <w:start w:val="1"/>
      <w:numFmt w:val="bullet"/>
      <w:pStyle w:val="agbullets"/>
      <w:lvlText w:val=""/>
      <w:lvlJc w:val="left"/>
      <w:pPr>
        <w:ind w:left="720" w:hanging="360"/>
      </w:pPr>
      <w:rPr>
        <w:rFonts w:ascii="Symbol" w:hAnsi="Symbol" w:hint="default"/>
      </w:rPr>
    </w:lvl>
    <w:lvl w:ilvl="1" w:tplc="F42E34E2">
      <w:numFmt w:val="decimal"/>
      <w:lvlText w:val=""/>
      <w:lvlJc w:val="left"/>
    </w:lvl>
    <w:lvl w:ilvl="2" w:tplc="33DCD5F2">
      <w:numFmt w:val="decimal"/>
      <w:lvlText w:val=""/>
      <w:lvlJc w:val="left"/>
    </w:lvl>
    <w:lvl w:ilvl="3" w:tplc="34ECBAA8">
      <w:numFmt w:val="decimal"/>
      <w:lvlText w:val=""/>
      <w:lvlJc w:val="left"/>
    </w:lvl>
    <w:lvl w:ilvl="4" w:tplc="49F80CD0">
      <w:numFmt w:val="decimal"/>
      <w:lvlText w:val=""/>
      <w:lvlJc w:val="left"/>
    </w:lvl>
    <w:lvl w:ilvl="5" w:tplc="0B6A31D0">
      <w:numFmt w:val="decimal"/>
      <w:lvlText w:val=""/>
      <w:lvlJc w:val="left"/>
    </w:lvl>
    <w:lvl w:ilvl="6" w:tplc="58529972">
      <w:numFmt w:val="decimal"/>
      <w:lvlText w:val=""/>
      <w:lvlJc w:val="left"/>
    </w:lvl>
    <w:lvl w:ilvl="7" w:tplc="3E90916A">
      <w:numFmt w:val="decimal"/>
      <w:lvlText w:val=""/>
      <w:lvlJc w:val="left"/>
    </w:lvl>
    <w:lvl w:ilvl="8" w:tplc="FEAEF2E0">
      <w:numFmt w:val="decimal"/>
      <w:lvlText w:val=""/>
      <w:lvlJc w:val="left"/>
    </w:lvl>
  </w:abstractNum>
  <w:abstractNum w:abstractNumId="36" w15:restartNumberingAfterBreak="0">
    <w:nsid w:val="67DF128B"/>
    <w:multiLevelType w:val="hybridMultilevel"/>
    <w:tmpl w:val="D20EE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7472E"/>
    <w:multiLevelType w:val="multilevel"/>
    <w:tmpl w:val="DE6EB81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6A435FE6"/>
    <w:multiLevelType w:val="hybridMultilevel"/>
    <w:tmpl w:val="A7807E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E625A8"/>
    <w:multiLevelType w:val="hybridMultilevel"/>
    <w:tmpl w:val="C73E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63963"/>
    <w:multiLevelType w:val="hybridMultilevel"/>
    <w:tmpl w:val="81F6284E"/>
    <w:lvl w:ilvl="0" w:tplc="18090001">
      <w:start w:val="1"/>
      <w:numFmt w:val="bullet"/>
      <w:lvlText w:val=""/>
      <w:lvlJc w:val="left"/>
      <w:pPr>
        <w:ind w:left="1434" w:hanging="360"/>
      </w:pPr>
      <w:rPr>
        <w:rFonts w:ascii="Symbol" w:hAnsi="Symbol" w:hint="default"/>
      </w:r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1" w15:restartNumberingAfterBreak="0">
    <w:nsid w:val="7C65145E"/>
    <w:multiLevelType w:val="multilevel"/>
    <w:tmpl w:val="3464677E"/>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3" w15:restartNumberingAfterBreak="0">
    <w:nsid w:val="7DAC7154"/>
    <w:multiLevelType w:val="multilevel"/>
    <w:tmpl w:val="F00A5A14"/>
    <w:lvl w:ilvl="0">
      <w:start w:val="1"/>
      <w:numFmt w:val="decimal"/>
      <w:pStyle w:val="BB-Heading1"/>
      <w:lvlText w:val="%1."/>
      <w:lvlJc w:val="left"/>
      <w:pPr>
        <w:tabs>
          <w:tab w:val="num" w:pos="57"/>
        </w:tabs>
        <w:ind w:left="0" w:firstLine="0"/>
      </w:pPr>
      <w:rPr>
        <w:rFonts w:hint="default"/>
      </w:rPr>
    </w:lvl>
    <w:lvl w:ilvl="1">
      <w:start w:val="1"/>
      <w:numFmt w:val="decimal"/>
      <w:pStyle w:val="BB-Heading2"/>
      <w:lvlText w:val="%1.%2."/>
      <w:lvlJc w:val="left"/>
      <w:pPr>
        <w:tabs>
          <w:tab w:val="num" w:pos="57"/>
        </w:tabs>
        <w:ind w:left="0" w:firstLine="0"/>
      </w:pPr>
      <w:rPr>
        <w:rFonts w:hint="default"/>
      </w:rPr>
    </w:lvl>
    <w:lvl w:ilvl="2">
      <w:start w:val="1"/>
      <w:numFmt w:val="decimal"/>
      <w:pStyle w:val="BB-Heading3"/>
      <w:lvlText w:val="%1.%2.%3"/>
      <w:lvlJc w:val="left"/>
      <w:pPr>
        <w:tabs>
          <w:tab w:val="num" w:pos="57"/>
        </w:tabs>
        <w:ind w:left="284" w:hanging="57"/>
      </w:pPr>
      <w:rPr>
        <w:rFonts w:hint="default"/>
      </w:rPr>
    </w:lvl>
    <w:lvl w:ilvl="3">
      <w:start w:val="1"/>
      <w:numFmt w:val="decimal"/>
      <w:pStyle w:val="BB-Heading4"/>
      <w:lvlText w:val="%1.%2.%3.%4"/>
      <w:lvlJc w:val="left"/>
      <w:pPr>
        <w:tabs>
          <w:tab w:val="num" w:pos="57"/>
        </w:tabs>
        <w:ind w:left="284" w:hanging="57"/>
      </w:pPr>
      <w:rPr>
        <w:rFonts w:hint="default"/>
      </w:rPr>
    </w:lvl>
    <w:lvl w:ilvl="4">
      <w:start w:val="1"/>
      <w:numFmt w:val="decimal"/>
      <w:pStyle w:val="BB-Heading5"/>
      <w:lvlText w:val="%1.%2.%3.%4.%5"/>
      <w:lvlJc w:val="left"/>
      <w:pPr>
        <w:tabs>
          <w:tab w:val="num" w:pos="57"/>
        </w:tabs>
        <w:ind w:left="284" w:hanging="57"/>
      </w:pPr>
      <w:rPr>
        <w:rFonts w:hint="default"/>
      </w:rPr>
    </w:lvl>
    <w:lvl w:ilvl="5">
      <w:start w:val="1"/>
      <w:numFmt w:val="decimal"/>
      <w:pStyle w:val="BB-Heading6"/>
      <w:lvlText w:val="%1.%2.%3.%4.%5.%6"/>
      <w:lvlJc w:val="left"/>
      <w:pPr>
        <w:tabs>
          <w:tab w:val="num" w:pos="57"/>
        </w:tabs>
        <w:ind w:left="284" w:hanging="57"/>
      </w:pPr>
      <w:rPr>
        <w:rFonts w:hint="default"/>
      </w:rPr>
    </w:lvl>
    <w:lvl w:ilvl="6">
      <w:start w:val="1"/>
      <w:numFmt w:val="decimal"/>
      <w:pStyle w:val="BB-Heading7"/>
      <w:lvlText w:val="%1.%2.%3.%4.%5.%6"/>
      <w:lvlJc w:val="left"/>
      <w:pPr>
        <w:tabs>
          <w:tab w:val="num" w:pos="57"/>
        </w:tabs>
        <w:ind w:left="284" w:hanging="57"/>
      </w:pPr>
      <w:rPr>
        <w:rFonts w:hint="default"/>
      </w:rPr>
    </w:lvl>
    <w:lvl w:ilvl="7">
      <w:numFmt w:val="decimal"/>
      <w:lvlText w:val=""/>
      <w:lvlJc w:val="left"/>
    </w:lvl>
    <w:lvl w:ilvl="8">
      <w:numFmt w:val="decimal"/>
      <w:lvlText w:val=""/>
      <w:lvlJc w:val="left"/>
    </w:lvl>
  </w:abstractNum>
  <w:num w:numId="1">
    <w:abstractNumId w:val="2"/>
  </w:num>
  <w:num w:numId="2">
    <w:abstractNumId w:val="24"/>
  </w:num>
  <w:num w:numId="3">
    <w:abstractNumId w:val="15"/>
  </w:num>
  <w:num w:numId="4">
    <w:abstractNumId w:val="25"/>
  </w:num>
  <w:num w:numId="5">
    <w:abstractNumId w:val="32"/>
  </w:num>
  <w:num w:numId="6">
    <w:abstractNumId w:val="37"/>
  </w:num>
  <w:num w:numId="7">
    <w:abstractNumId w:val="5"/>
  </w:num>
  <w:num w:numId="8">
    <w:abstractNumId w:val="12"/>
  </w:num>
  <w:num w:numId="9">
    <w:abstractNumId w:val="28"/>
  </w:num>
  <w:num w:numId="10">
    <w:abstractNumId w:val="7"/>
  </w:num>
  <w:num w:numId="11">
    <w:abstractNumId w:val="9"/>
  </w:num>
  <w:num w:numId="12">
    <w:abstractNumId w:val="10"/>
  </w:num>
  <w:num w:numId="13">
    <w:abstractNumId w:val="20"/>
  </w:num>
  <w:num w:numId="14">
    <w:abstractNumId w:val="26"/>
  </w:num>
  <w:num w:numId="15">
    <w:abstractNumId w:val="30"/>
  </w:num>
  <w:num w:numId="16">
    <w:abstractNumId w:val="41"/>
  </w:num>
  <w:num w:numId="17">
    <w:abstractNumId w:val="21"/>
  </w:num>
  <w:num w:numId="18">
    <w:abstractNumId w:val="22"/>
  </w:num>
  <w:num w:numId="19">
    <w:abstractNumId w:val="42"/>
  </w:num>
  <w:num w:numId="20">
    <w:abstractNumId w:val="29"/>
  </w:num>
  <w:num w:numId="21">
    <w:abstractNumId w:val="33"/>
  </w:num>
  <w:num w:numId="22">
    <w:abstractNumId w:val="8"/>
  </w:num>
  <w:num w:numId="23">
    <w:abstractNumId w:val="14"/>
  </w:num>
  <w:num w:numId="24">
    <w:abstractNumId w:val="14"/>
  </w:num>
  <w:num w:numId="25">
    <w:abstractNumId w:val="39"/>
  </w:num>
  <w:num w:numId="26">
    <w:abstractNumId w:val="36"/>
  </w:num>
  <w:num w:numId="27">
    <w:abstractNumId w:val="43"/>
  </w:num>
  <w:num w:numId="28">
    <w:abstractNumId w:val="43"/>
    <w:lvlOverride w:ilvl="0">
      <w:startOverride w:val="1"/>
    </w:lvlOverride>
  </w:num>
  <w:num w:numId="29">
    <w:abstractNumId w:val="35"/>
  </w:num>
  <w:num w:numId="30">
    <w:abstractNumId w:val="0"/>
  </w:num>
  <w:num w:numId="31">
    <w:abstractNumId w:val="4"/>
  </w:num>
  <w:num w:numId="32">
    <w:abstractNumId w:val="16"/>
  </w:num>
  <w:num w:numId="33">
    <w:abstractNumId w:val="27"/>
  </w:num>
  <w:num w:numId="34">
    <w:abstractNumId w:val="3"/>
  </w:num>
  <w:num w:numId="35">
    <w:abstractNumId w:val="31"/>
  </w:num>
  <w:num w:numId="36">
    <w:abstractNumId w:val="23"/>
  </w:num>
  <w:num w:numId="37">
    <w:abstractNumId w:val="18"/>
  </w:num>
  <w:num w:numId="38">
    <w:abstractNumId w:val="19"/>
  </w:num>
  <w:num w:numId="39">
    <w:abstractNumId w:val="6"/>
  </w:num>
  <w:num w:numId="40">
    <w:abstractNumId w:val="17"/>
  </w:num>
  <w:num w:numId="41">
    <w:abstractNumId w:val="41"/>
  </w:num>
  <w:num w:numId="42">
    <w:abstractNumId w:val="34"/>
  </w:num>
  <w:num w:numId="43">
    <w:abstractNumId w:val="40"/>
  </w:num>
  <w:num w:numId="44">
    <w:abstractNumId w:val="1"/>
  </w:num>
  <w:num w:numId="45">
    <w:abstractNumId w:val="38"/>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BE" w:vendorID="64" w:dllVersion="6" w:nlCheck="1" w:checkStyle="0"/>
  <w:activeWritingStyle w:appName="MSWord" w:lang="en-IE" w:vendorID="64" w:dllVersion="6" w:nlCheck="1" w:checkStyle="1"/>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it-I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78BDFAF-05AA-4B15-81E9-B634970D17E7"/>
    <w:docVar w:name="LW_COVERPAGE_TYPE" w:val="1"/>
    <w:docVar w:name="LW_CROSSREFERENCE" w:val="&lt;UNUSED&gt;"/>
    <w:docVar w:name="LW_DocType" w:val="EUROLOOK"/>
    <w:docVar w:name="LW_EMISSION" w:val="28.7.2022"/>
    <w:docVar w:name="LW_EMISSION_ISODATE" w:val="2022-07-28"/>
    <w:docVar w:name="LW_EMISSION_LOCATION" w:val="BRX"/>
    <w:docVar w:name="LW_EMISSION_PREFIX" w:val="Brussels, "/>
    <w:docVar w:name="LW_EMISSION_SUFFIX" w:val=" "/>
    <w:docVar w:name="LW_ID_DOCTYPE_NONLW" w:val="CP-00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3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Regulation (EU) 2020/521 on activating emergency support to finance necessary expenditure to address the COVID‐19 pandemic"/>
    <w:docVar w:name="LW_TYPE.DOC.CP" w:val="REPORT FROM THE COMMISSION TO THE COUNCIL"/>
    <w:docVar w:name="LwApiVersions" w:val="LW4CoDe 1.23.2.0; LW 8.0, Build 20211117"/>
  </w:docVars>
  <w:rsids>
    <w:rsidRoot w:val="005A441E"/>
    <w:rsid w:val="00001FF4"/>
    <w:rsid w:val="000074E4"/>
    <w:rsid w:val="00010287"/>
    <w:rsid w:val="00011007"/>
    <w:rsid w:val="000151AC"/>
    <w:rsid w:val="00026376"/>
    <w:rsid w:val="0003516C"/>
    <w:rsid w:val="00041A8B"/>
    <w:rsid w:val="00047D8D"/>
    <w:rsid w:val="00060295"/>
    <w:rsid w:val="000611F1"/>
    <w:rsid w:val="000711F8"/>
    <w:rsid w:val="00080734"/>
    <w:rsid w:val="000811FD"/>
    <w:rsid w:val="0008300C"/>
    <w:rsid w:val="000872B5"/>
    <w:rsid w:val="00087D72"/>
    <w:rsid w:val="000908B2"/>
    <w:rsid w:val="000910F6"/>
    <w:rsid w:val="00093C31"/>
    <w:rsid w:val="000A2787"/>
    <w:rsid w:val="000A2925"/>
    <w:rsid w:val="000A2FB6"/>
    <w:rsid w:val="000A5EF6"/>
    <w:rsid w:val="000B15C2"/>
    <w:rsid w:val="000B19A7"/>
    <w:rsid w:val="000B31CF"/>
    <w:rsid w:val="000B6B34"/>
    <w:rsid w:val="000C0B15"/>
    <w:rsid w:val="000D460F"/>
    <w:rsid w:val="000E134F"/>
    <w:rsid w:val="000F019D"/>
    <w:rsid w:val="000F0867"/>
    <w:rsid w:val="000F5642"/>
    <w:rsid w:val="00104695"/>
    <w:rsid w:val="001212E4"/>
    <w:rsid w:val="001255E9"/>
    <w:rsid w:val="001314AB"/>
    <w:rsid w:val="00131D8D"/>
    <w:rsid w:val="00132C4D"/>
    <w:rsid w:val="00136E53"/>
    <w:rsid w:val="001444D4"/>
    <w:rsid w:val="00144851"/>
    <w:rsid w:val="00145C6E"/>
    <w:rsid w:val="0015515A"/>
    <w:rsid w:val="001605A6"/>
    <w:rsid w:val="001608CC"/>
    <w:rsid w:val="00166637"/>
    <w:rsid w:val="001667A2"/>
    <w:rsid w:val="00170227"/>
    <w:rsid w:val="001739E0"/>
    <w:rsid w:val="00180D7C"/>
    <w:rsid w:val="00181F40"/>
    <w:rsid w:val="00183B80"/>
    <w:rsid w:val="001847A9"/>
    <w:rsid w:val="001938E8"/>
    <w:rsid w:val="0019437D"/>
    <w:rsid w:val="001A5D55"/>
    <w:rsid w:val="001A75B6"/>
    <w:rsid w:val="001B52B7"/>
    <w:rsid w:val="001B6387"/>
    <w:rsid w:val="001C2A27"/>
    <w:rsid w:val="001C6F03"/>
    <w:rsid w:val="001D24A8"/>
    <w:rsid w:val="001D374D"/>
    <w:rsid w:val="001D41BE"/>
    <w:rsid w:val="001E0430"/>
    <w:rsid w:val="001E345A"/>
    <w:rsid w:val="001E35F5"/>
    <w:rsid w:val="001E5236"/>
    <w:rsid w:val="001F734B"/>
    <w:rsid w:val="00212474"/>
    <w:rsid w:val="002217CC"/>
    <w:rsid w:val="002329B6"/>
    <w:rsid w:val="002363E3"/>
    <w:rsid w:val="002461A3"/>
    <w:rsid w:val="00251641"/>
    <w:rsid w:val="0025417E"/>
    <w:rsid w:val="00263FEC"/>
    <w:rsid w:val="00276A6A"/>
    <w:rsid w:val="00281828"/>
    <w:rsid w:val="00281971"/>
    <w:rsid w:val="00286E68"/>
    <w:rsid w:val="0029073B"/>
    <w:rsid w:val="00292DBA"/>
    <w:rsid w:val="002A07CB"/>
    <w:rsid w:val="002A6B88"/>
    <w:rsid w:val="002B14BF"/>
    <w:rsid w:val="002B1870"/>
    <w:rsid w:val="002B3F32"/>
    <w:rsid w:val="002D406A"/>
    <w:rsid w:val="002E001F"/>
    <w:rsid w:val="002E3F31"/>
    <w:rsid w:val="002E4825"/>
    <w:rsid w:val="002F0E0F"/>
    <w:rsid w:val="003128B0"/>
    <w:rsid w:val="00312F0C"/>
    <w:rsid w:val="00314CAD"/>
    <w:rsid w:val="0031728B"/>
    <w:rsid w:val="003200EC"/>
    <w:rsid w:val="003433C4"/>
    <w:rsid w:val="003501CF"/>
    <w:rsid w:val="00350A14"/>
    <w:rsid w:val="00363F49"/>
    <w:rsid w:val="00366161"/>
    <w:rsid w:val="00383658"/>
    <w:rsid w:val="003914F4"/>
    <w:rsid w:val="003A6541"/>
    <w:rsid w:val="003A7CA5"/>
    <w:rsid w:val="003B3B96"/>
    <w:rsid w:val="003C79BD"/>
    <w:rsid w:val="003D35BF"/>
    <w:rsid w:val="003D3EE0"/>
    <w:rsid w:val="003D6D75"/>
    <w:rsid w:val="003E4B9E"/>
    <w:rsid w:val="003E74F8"/>
    <w:rsid w:val="003F5D74"/>
    <w:rsid w:val="00401702"/>
    <w:rsid w:val="00405135"/>
    <w:rsid w:val="0042593E"/>
    <w:rsid w:val="00440E1C"/>
    <w:rsid w:val="00442021"/>
    <w:rsid w:val="004464F9"/>
    <w:rsid w:val="004538FF"/>
    <w:rsid w:val="004714F8"/>
    <w:rsid w:val="0047389D"/>
    <w:rsid w:val="00473EA2"/>
    <w:rsid w:val="00494F17"/>
    <w:rsid w:val="0049791C"/>
    <w:rsid w:val="004A3393"/>
    <w:rsid w:val="004B0F9D"/>
    <w:rsid w:val="004D3F79"/>
    <w:rsid w:val="004E0E1E"/>
    <w:rsid w:val="004F1518"/>
    <w:rsid w:val="004F2A20"/>
    <w:rsid w:val="004F32A8"/>
    <w:rsid w:val="004F47DB"/>
    <w:rsid w:val="004F6F75"/>
    <w:rsid w:val="0050288E"/>
    <w:rsid w:val="005062D3"/>
    <w:rsid w:val="00511E97"/>
    <w:rsid w:val="00512E66"/>
    <w:rsid w:val="0051641B"/>
    <w:rsid w:val="0053033D"/>
    <w:rsid w:val="00537423"/>
    <w:rsid w:val="00537A8B"/>
    <w:rsid w:val="00550025"/>
    <w:rsid w:val="00550850"/>
    <w:rsid w:val="00566021"/>
    <w:rsid w:val="00574460"/>
    <w:rsid w:val="005771F6"/>
    <w:rsid w:val="005871AE"/>
    <w:rsid w:val="00591811"/>
    <w:rsid w:val="0059500B"/>
    <w:rsid w:val="00596B79"/>
    <w:rsid w:val="005974A7"/>
    <w:rsid w:val="005A337D"/>
    <w:rsid w:val="005A40BE"/>
    <w:rsid w:val="005A441E"/>
    <w:rsid w:val="005A665F"/>
    <w:rsid w:val="005B766F"/>
    <w:rsid w:val="005C0B64"/>
    <w:rsid w:val="005C42A5"/>
    <w:rsid w:val="005C464A"/>
    <w:rsid w:val="005C719F"/>
    <w:rsid w:val="005D330A"/>
    <w:rsid w:val="005D3381"/>
    <w:rsid w:val="005E0531"/>
    <w:rsid w:val="005F0664"/>
    <w:rsid w:val="005F1893"/>
    <w:rsid w:val="005F707A"/>
    <w:rsid w:val="005F74CD"/>
    <w:rsid w:val="00604BF3"/>
    <w:rsid w:val="00614801"/>
    <w:rsid w:val="00620EC2"/>
    <w:rsid w:val="00624359"/>
    <w:rsid w:val="006329CE"/>
    <w:rsid w:val="006334DB"/>
    <w:rsid w:val="0063380A"/>
    <w:rsid w:val="00635187"/>
    <w:rsid w:val="006364A9"/>
    <w:rsid w:val="006376A9"/>
    <w:rsid w:val="00640D3B"/>
    <w:rsid w:val="0064216D"/>
    <w:rsid w:val="0065100C"/>
    <w:rsid w:val="006553B6"/>
    <w:rsid w:val="00665BEF"/>
    <w:rsid w:val="006660B2"/>
    <w:rsid w:val="00667341"/>
    <w:rsid w:val="00677469"/>
    <w:rsid w:val="006834FA"/>
    <w:rsid w:val="00687FC7"/>
    <w:rsid w:val="00690D83"/>
    <w:rsid w:val="00692F0B"/>
    <w:rsid w:val="006967BE"/>
    <w:rsid w:val="00697554"/>
    <w:rsid w:val="006A43CC"/>
    <w:rsid w:val="006B1D56"/>
    <w:rsid w:val="006C1A60"/>
    <w:rsid w:val="006C3E02"/>
    <w:rsid w:val="006C40C6"/>
    <w:rsid w:val="006F285C"/>
    <w:rsid w:val="006F499B"/>
    <w:rsid w:val="006F6A52"/>
    <w:rsid w:val="0070027A"/>
    <w:rsid w:val="0070101A"/>
    <w:rsid w:val="007013D0"/>
    <w:rsid w:val="00702BFA"/>
    <w:rsid w:val="007076B1"/>
    <w:rsid w:val="0071479A"/>
    <w:rsid w:val="007172D5"/>
    <w:rsid w:val="007227CB"/>
    <w:rsid w:val="00724AC2"/>
    <w:rsid w:val="0073558D"/>
    <w:rsid w:val="007441B6"/>
    <w:rsid w:val="007454E5"/>
    <w:rsid w:val="00745E36"/>
    <w:rsid w:val="00752FAE"/>
    <w:rsid w:val="00756FAD"/>
    <w:rsid w:val="007607B6"/>
    <w:rsid w:val="00762244"/>
    <w:rsid w:val="00763944"/>
    <w:rsid w:val="00777222"/>
    <w:rsid w:val="00796AB8"/>
    <w:rsid w:val="007A1C9F"/>
    <w:rsid w:val="007B0050"/>
    <w:rsid w:val="007B3033"/>
    <w:rsid w:val="007B382D"/>
    <w:rsid w:val="007C37F1"/>
    <w:rsid w:val="007C56FF"/>
    <w:rsid w:val="007E6B2C"/>
    <w:rsid w:val="007E6EA1"/>
    <w:rsid w:val="007F39B0"/>
    <w:rsid w:val="007F4BB2"/>
    <w:rsid w:val="00802E08"/>
    <w:rsid w:val="00804866"/>
    <w:rsid w:val="00812A6A"/>
    <w:rsid w:val="0081725A"/>
    <w:rsid w:val="00822255"/>
    <w:rsid w:val="00826237"/>
    <w:rsid w:val="00834764"/>
    <w:rsid w:val="00861321"/>
    <w:rsid w:val="008774B8"/>
    <w:rsid w:val="008800B1"/>
    <w:rsid w:val="008813D2"/>
    <w:rsid w:val="008879FC"/>
    <w:rsid w:val="0089236D"/>
    <w:rsid w:val="008941D0"/>
    <w:rsid w:val="008947A5"/>
    <w:rsid w:val="008A2509"/>
    <w:rsid w:val="008A5B89"/>
    <w:rsid w:val="008A7B75"/>
    <w:rsid w:val="008B2D5D"/>
    <w:rsid w:val="008B3038"/>
    <w:rsid w:val="008B4D4B"/>
    <w:rsid w:val="008B5672"/>
    <w:rsid w:val="008C0F00"/>
    <w:rsid w:val="008E1D19"/>
    <w:rsid w:val="008E1F4F"/>
    <w:rsid w:val="008E699A"/>
    <w:rsid w:val="008E7CF9"/>
    <w:rsid w:val="008F2BE6"/>
    <w:rsid w:val="008F48C0"/>
    <w:rsid w:val="008F6E08"/>
    <w:rsid w:val="00906829"/>
    <w:rsid w:val="009079A3"/>
    <w:rsid w:val="009233BC"/>
    <w:rsid w:val="00940425"/>
    <w:rsid w:val="00943B14"/>
    <w:rsid w:val="009478CD"/>
    <w:rsid w:val="009529A5"/>
    <w:rsid w:val="00953BAE"/>
    <w:rsid w:val="00960002"/>
    <w:rsid w:val="00960BD4"/>
    <w:rsid w:val="00961839"/>
    <w:rsid w:val="00966D8C"/>
    <w:rsid w:val="009716DA"/>
    <w:rsid w:val="009748FC"/>
    <w:rsid w:val="009765E7"/>
    <w:rsid w:val="009815FF"/>
    <w:rsid w:val="00990B6D"/>
    <w:rsid w:val="00991D56"/>
    <w:rsid w:val="009932F7"/>
    <w:rsid w:val="009A0224"/>
    <w:rsid w:val="009A18CE"/>
    <w:rsid w:val="009B3D4F"/>
    <w:rsid w:val="009B3DFD"/>
    <w:rsid w:val="009C113C"/>
    <w:rsid w:val="009D1DCD"/>
    <w:rsid w:val="009D6304"/>
    <w:rsid w:val="009E0468"/>
    <w:rsid w:val="009E7299"/>
    <w:rsid w:val="009F1463"/>
    <w:rsid w:val="009F3968"/>
    <w:rsid w:val="00A03B94"/>
    <w:rsid w:val="00A06180"/>
    <w:rsid w:val="00A06DF8"/>
    <w:rsid w:val="00A15F57"/>
    <w:rsid w:val="00A37E99"/>
    <w:rsid w:val="00A4559A"/>
    <w:rsid w:val="00A52002"/>
    <w:rsid w:val="00A569AC"/>
    <w:rsid w:val="00A63188"/>
    <w:rsid w:val="00A64132"/>
    <w:rsid w:val="00A65909"/>
    <w:rsid w:val="00A72D75"/>
    <w:rsid w:val="00AB13F9"/>
    <w:rsid w:val="00AB487A"/>
    <w:rsid w:val="00AB60DC"/>
    <w:rsid w:val="00AC4230"/>
    <w:rsid w:val="00AC612B"/>
    <w:rsid w:val="00AD0044"/>
    <w:rsid w:val="00AD0858"/>
    <w:rsid w:val="00AD2654"/>
    <w:rsid w:val="00AD2EC1"/>
    <w:rsid w:val="00AD38BA"/>
    <w:rsid w:val="00AD50D5"/>
    <w:rsid w:val="00AD6678"/>
    <w:rsid w:val="00AE03AA"/>
    <w:rsid w:val="00AE2E39"/>
    <w:rsid w:val="00AE3DCE"/>
    <w:rsid w:val="00AE6D71"/>
    <w:rsid w:val="00AF2A73"/>
    <w:rsid w:val="00AF64B7"/>
    <w:rsid w:val="00B041A1"/>
    <w:rsid w:val="00B079AD"/>
    <w:rsid w:val="00B1107E"/>
    <w:rsid w:val="00B16AC5"/>
    <w:rsid w:val="00B2066A"/>
    <w:rsid w:val="00B2438E"/>
    <w:rsid w:val="00B26914"/>
    <w:rsid w:val="00B323C3"/>
    <w:rsid w:val="00B34004"/>
    <w:rsid w:val="00B3696B"/>
    <w:rsid w:val="00B4156C"/>
    <w:rsid w:val="00B43E18"/>
    <w:rsid w:val="00B5417A"/>
    <w:rsid w:val="00B562EA"/>
    <w:rsid w:val="00B766AD"/>
    <w:rsid w:val="00B76AB9"/>
    <w:rsid w:val="00B83043"/>
    <w:rsid w:val="00B92837"/>
    <w:rsid w:val="00B9345B"/>
    <w:rsid w:val="00B948A1"/>
    <w:rsid w:val="00B956F3"/>
    <w:rsid w:val="00B97B1A"/>
    <w:rsid w:val="00BA4B44"/>
    <w:rsid w:val="00BA5187"/>
    <w:rsid w:val="00BB094E"/>
    <w:rsid w:val="00BB1C3B"/>
    <w:rsid w:val="00BC02D5"/>
    <w:rsid w:val="00BC3286"/>
    <w:rsid w:val="00BC7C71"/>
    <w:rsid w:val="00BC7DCA"/>
    <w:rsid w:val="00BD1E51"/>
    <w:rsid w:val="00BD3BFF"/>
    <w:rsid w:val="00BD4476"/>
    <w:rsid w:val="00BD7340"/>
    <w:rsid w:val="00BD7E83"/>
    <w:rsid w:val="00BE383C"/>
    <w:rsid w:val="00BF0787"/>
    <w:rsid w:val="00BF55FA"/>
    <w:rsid w:val="00BF6DB0"/>
    <w:rsid w:val="00C11486"/>
    <w:rsid w:val="00C149EA"/>
    <w:rsid w:val="00C164E5"/>
    <w:rsid w:val="00C2025E"/>
    <w:rsid w:val="00C20F34"/>
    <w:rsid w:val="00C220EC"/>
    <w:rsid w:val="00C234EE"/>
    <w:rsid w:val="00C24C2E"/>
    <w:rsid w:val="00C2506B"/>
    <w:rsid w:val="00C311EE"/>
    <w:rsid w:val="00C34D47"/>
    <w:rsid w:val="00C3636E"/>
    <w:rsid w:val="00C42FDF"/>
    <w:rsid w:val="00C457EE"/>
    <w:rsid w:val="00C50D8B"/>
    <w:rsid w:val="00C630AE"/>
    <w:rsid w:val="00C72FE4"/>
    <w:rsid w:val="00C825D4"/>
    <w:rsid w:val="00C87F95"/>
    <w:rsid w:val="00C87FDA"/>
    <w:rsid w:val="00C972E6"/>
    <w:rsid w:val="00C97433"/>
    <w:rsid w:val="00C97C3E"/>
    <w:rsid w:val="00CA6DA1"/>
    <w:rsid w:val="00CB15A5"/>
    <w:rsid w:val="00CB74F5"/>
    <w:rsid w:val="00CC140F"/>
    <w:rsid w:val="00CC2781"/>
    <w:rsid w:val="00CC449E"/>
    <w:rsid w:val="00CC5760"/>
    <w:rsid w:val="00CD69E7"/>
    <w:rsid w:val="00CE0D6D"/>
    <w:rsid w:val="00CE1D06"/>
    <w:rsid w:val="00CE2F3F"/>
    <w:rsid w:val="00CE3A3A"/>
    <w:rsid w:val="00CF086C"/>
    <w:rsid w:val="00D004A0"/>
    <w:rsid w:val="00D04E46"/>
    <w:rsid w:val="00D054CA"/>
    <w:rsid w:val="00D06475"/>
    <w:rsid w:val="00D07701"/>
    <w:rsid w:val="00D107D9"/>
    <w:rsid w:val="00D10E9F"/>
    <w:rsid w:val="00D11E82"/>
    <w:rsid w:val="00D12905"/>
    <w:rsid w:val="00D15259"/>
    <w:rsid w:val="00D218FB"/>
    <w:rsid w:val="00D21914"/>
    <w:rsid w:val="00D33988"/>
    <w:rsid w:val="00D353AE"/>
    <w:rsid w:val="00D35415"/>
    <w:rsid w:val="00D47D28"/>
    <w:rsid w:val="00D47ECE"/>
    <w:rsid w:val="00D50FD0"/>
    <w:rsid w:val="00D52CA9"/>
    <w:rsid w:val="00D667E4"/>
    <w:rsid w:val="00D67E5D"/>
    <w:rsid w:val="00D96EBB"/>
    <w:rsid w:val="00DB11E2"/>
    <w:rsid w:val="00DE613D"/>
    <w:rsid w:val="00DF187E"/>
    <w:rsid w:val="00E03A6D"/>
    <w:rsid w:val="00E05FB2"/>
    <w:rsid w:val="00E1546E"/>
    <w:rsid w:val="00E2701A"/>
    <w:rsid w:val="00E31FF0"/>
    <w:rsid w:val="00E34FCA"/>
    <w:rsid w:val="00E3679B"/>
    <w:rsid w:val="00E418AE"/>
    <w:rsid w:val="00E5151E"/>
    <w:rsid w:val="00E57A3A"/>
    <w:rsid w:val="00E60F95"/>
    <w:rsid w:val="00E61EA2"/>
    <w:rsid w:val="00E63151"/>
    <w:rsid w:val="00E641B1"/>
    <w:rsid w:val="00E67A98"/>
    <w:rsid w:val="00E86740"/>
    <w:rsid w:val="00E90021"/>
    <w:rsid w:val="00E92D90"/>
    <w:rsid w:val="00E94B65"/>
    <w:rsid w:val="00EA0193"/>
    <w:rsid w:val="00EA1910"/>
    <w:rsid w:val="00EA1C5D"/>
    <w:rsid w:val="00EA5279"/>
    <w:rsid w:val="00EE1665"/>
    <w:rsid w:val="00EE58B5"/>
    <w:rsid w:val="00EF1FE1"/>
    <w:rsid w:val="00EF2ED0"/>
    <w:rsid w:val="00EF5054"/>
    <w:rsid w:val="00EF56E3"/>
    <w:rsid w:val="00EF588A"/>
    <w:rsid w:val="00EF666F"/>
    <w:rsid w:val="00EF68EF"/>
    <w:rsid w:val="00EF6975"/>
    <w:rsid w:val="00F018E5"/>
    <w:rsid w:val="00F06CA5"/>
    <w:rsid w:val="00F10F81"/>
    <w:rsid w:val="00F14D37"/>
    <w:rsid w:val="00F1519B"/>
    <w:rsid w:val="00F345B9"/>
    <w:rsid w:val="00F37DFC"/>
    <w:rsid w:val="00F40460"/>
    <w:rsid w:val="00F43993"/>
    <w:rsid w:val="00F516EA"/>
    <w:rsid w:val="00F552EC"/>
    <w:rsid w:val="00F752A8"/>
    <w:rsid w:val="00F7609A"/>
    <w:rsid w:val="00F87A91"/>
    <w:rsid w:val="00F90369"/>
    <w:rsid w:val="00F9473E"/>
    <w:rsid w:val="00FA0B9F"/>
    <w:rsid w:val="00FA764F"/>
    <w:rsid w:val="00FB7479"/>
    <w:rsid w:val="00FB7DE7"/>
    <w:rsid w:val="00FC5D73"/>
    <w:rsid w:val="00FE13B1"/>
    <w:rsid w:val="00FE224F"/>
    <w:rsid w:val="00FF53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6B42A60"/>
  <w15:docId w15:val="{3950783C-FD19-451F-A234-F9DFE45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US"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iPriority="99" w:unhideWhenUsed="1"/>
    <w:lsdException w:name="header" w:uiPriority="2" w:unhideWhenUsed="1"/>
    <w:lsdException w:name="footer" w:uiPriority="2"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semiHidden="1" w:unhideWhenUsed="1"/>
    <w:lsdException w:name="List Number 2" w:uiPriority="1"/>
    <w:lsdException w:name="List Number 3" w:uiPriority="1" w:unhideWhenUsed="1"/>
    <w:lsdException w:name="List Number 4" w:uiPriority="1" w:unhideWhenUsed="1"/>
    <w:lsdException w:name="List Number 5" w:semiHidden="1"/>
    <w:lsdException w:name="Title" w:uiPriority="1" w:qFormat="1"/>
    <w:lsdException w:name="Closing" w:semiHidden="1" w:unhideWhenUsed="1"/>
    <w:lsdException w:name="Signature" w:uiPriority="2"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Normal"/>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Normal"/>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Normal"/>
    <w:next w:val="FigureBody"/>
    <w:uiPriority w:val="2"/>
    <w:pPr>
      <w:keepNext/>
      <w:spacing w:after="120"/>
    </w:pPr>
    <w:rPr>
      <w:b/>
      <w:i/>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link w:val="ZFlagChar"/>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1,Footnote Text Char Char,Footnote Text Char3 Char Char,Footnote Text Char2 Char Char Char,Footnote Text Char1 Char Char Char Char,Footnote Text Char Char Char Char Char Char,Fußnote,fn,single space,o,Char,f"/>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paragraph" w:styleId="ListParagraph">
    <w:name w:val="List Paragraph"/>
    <w:aliases w:val="Fiche List Paragraph,Task Body,Viñetas (Inicio Parrafo),3 Txt tabla,Zerrenda-paragrafoa,Lista multicolor - Énfasis 11,1st level - Bullet List Paragraph,Lettre d'introduction,Normal bullet 2,Bullet list,Listenabsatz1,Nad,L"/>
    <w:basedOn w:val="Normal"/>
    <w:link w:val="ListParagraphChar"/>
    <w:qFormat/>
    <w:locked/>
    <w:rsid w:val="005A441E"/>
    <w:pPr>
      <w:spacing w:after="0"/>
      <w:ind w:left="720"/>
      <w:jc w:val="left"/>
    </w:pPr>
    <w:rPr>
      <w:rFonts w:ascii="Calibri" w:eastAsia="Calibri" w:hAnsi="Calibri"/>
      <w:sz w:val="22"/>
      <w:szCs w:val="22"/>
      <w:lang w:val="en-US"/>
    </w:rPr>
  </w:style>
  <w:style w:type="character" w:styleId="FootnoteReference">
    <w:name w:val="footnote reference"/>
    <w:aliases w:val="Footnote,Footnote symbol,EN Footnote Reference,-E Fußnotenzeichen, BVI fnr,Footnote number,Footnote Reference Number,Footnote reference number,Times 10 Point,Exposant 3 Point,Footnote Reference Superscript, Exposant 3 Point"/>
    <w:basedOn w:val="DefaultParagraphFont"/>
    <w:link w:val="BVIfnrCarCarCarCarCharCharCharChar"/>
    <w:uiPriority w:val="99"/>
    <w:qFormat/>
    <w:locked/>
    <w:rsid w:val="000F019D"/>
    <w:rPr>
      <w:vertAlign w:val="superscript"/>
    </w:rPr>
  </w:style>
  <w:style w:type="character" w:styleId="CommentReference">
    <w:name w:val="annotation reference"/>
    <w:basedOn w:val="DefaultParagraphFont"/>
    <w:uiPriority w:val="99"/>
    <w:locked/>
    <w:rsid w:val="000F019D"/>
    <w:rPr>
      <w:sz w:val="16"/>
      <w:szCs w:val="16"/>
    </w:rPr>
  </w:style>
  <w:style w:type="paragraph" w:styleId="CommentText">
    <w:name w:val="annotation text"/>
    <w:basedOn w:val="Normal"/>
    <w:link w:val="CommentTextChar"/>
    <w:uiPriority w:val="99"/>
    <w:semiHidden/>
    <w:locked/>
    <w:rsid w:val="000F019D"/>
    <w:rPr>
      <w:sz w:val="20"/>
    </w:rPr>
  </w:style>
  <w:style w:type="character" w:customStyle="1" w:styleId="CommentTextChar">
    <w:name w:val="Comment Text Char"/>
    <w:basedOn w:val="DefaultParagraphFont"/>
    <w:link w:val="CommentText"/>
    <w:uiPriority w:val="99"/>
    <w:semiHidden/>
    <w:rsid w:val="000F019D"/>
    <w:rPr>
      <w:sz w:val="20"/>
    </w:rPr>
  </w:style>
  <w:style w:type="paragraph" w:styleId="CommentSubject">
    <w:name w:val="annotation subject"/>
    <w:basedOn w:val="CommentText"/>
    <w:next w:val="CommentText"/>
    <w:link w:val="CommentSubjectChar"/>
    <w:semiHidden/>
    <w:locked/>
    <w:rsid w:val="000F019D"/>
    <w:rPr>
      <w:b/>
      <w:bCs/>
    </w:rPr>
  </w:style>
  <w:style w:type="character" w:customStyle="1" w:styleId="CommentSubjectChar">
    <w:name w:val="Comment Subject Char"/>
    <w:basedOn w:val="CommentTextChar"/>
    <w:link w:val="CommentSubject"/>
    <w:semiHidden/>
    <w:rsid w:val="000F019D"/>
    <w:rPr>
      <w:b/>
      <w:bCs/>
      <w:sz w:val="20"/>
    </w:rPr>
  </w:style>
  <w:style w:type="paragraph" w:styleId="BalloonText">
    <w:name w:val="Balloon Text"/>
    <w:basedOn w:val="Normal"/>
    <w:link w:val="BalloonTextChar"/>
    <w:semiHidden/>
    <w:locked/>
    <w:rsid w:val="000F019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F019D"/>
    <w:rPr>
      <w:rFonts w:ascii="Segoe UI" w:hAnsi="Segoe UI" w:cs="Segoe UI"/>
      <w:sz w:val="18"/>
      <w:szCs w:val="18"/>
    </w:rPr>
  </w:style>
  <w:style w:type="paragraph" w:customStyle="1" w:styleId="BB-Heading1">
    <w:name w:val="BB-Heading 1"/>
    <w:basedOn w:val="Normal"/>
    <w:next w:val="Normal"/>
    <w:uiPriority w:val="99"/>
    <w:rsid w:val="00080734"/>
    <w:pPr>
      <w:keepNext/>
      <w:numPr>
        <w:numId w:val="27"/>
      </w:numPr>
      <w:spacing w:before="240" w:after="60"/>
      <w:jc w:val="left"/>
      <w:outlineLvl w:val="0"/>
    </w:pPr>
    <w:rPr>
      <w:b/>
      <w:bCs/>
      <w:kern w:val="22"/>
      <w:sz w:val="22"/>
      <w:szCs w:val="22"/>
      <w:lang w:eastAsia="en-GB"/>
    </w:rPr>
  </w:style>
  <w:style w:type="paragraph" w:customStyle="1" w:styleId="BB-Heading2">
    <w:name w:val="BB-Heading 2"/>
    <w:basedOn w:val="Normal"/>
    <w:next w:val="Normal"/>
    <w:uiPriority w:val="99"/>
    <w:rsid w:val="00080734"/>
    <w:pPr>
      <w:keepNext/>
      <w:numPr>
        <w:ilvl w:val="1"/>
        <w:numId w:val="27"/>
      </w:numPr>
      <w:spacing w:before="240" w:after="60"/>
      <w:jc w:val="left"/>
      <w:outlineLvl w:val="1"/>
    </w:pPr>
    <w:rPr>
      <w:b/>
      <w:bCs/>
      <w:sz w:val="22"/>
      <w:szCs w:val="22"/>
      <w:lang w:eastAsia="en-GB"/>
    </w:rPr>
  </w:style>
  <w:style w:type="paragraph" w:customStyle="1" w:styleId="BB-Heading3">
    <w:name w:val="BB-Heading 3"/>
    <w:basedOn w:val="BB-Heading2"/>
    <w:next w:val="Normal"/>
    <w:uiPriority w:val="99"/>
    <w:rsid w:val="00080734"/>
    <w:pPr>
      <w:numPr>
        <w:ilvl w:val="2"/>
      </w:numPr>
      <w:ind w:left="0" w:firstLine="0"/>
    </w:pPr>
  </w:style>
  <w:style w:type="paragraph" w:customStyle="1" w:styleId="BB-Heading4">
    <w:name w:val="BB-Heading 4"/>
    <w:basedOn w:val="BB-Heading3"/>
    <w:next w:val="Normal"/>
    <w:uiPriority w:val="99"/>
    <w:rsid w:val="00080734"/>
    <w:pPr>
      <w:numPr>
        <w:ilvl w:val="3"/>
      </w:numPr>
      <w:ind w:left="0" w:firstLine="0"/>
    </w:pPr>
  </w:style>
  <w:style w:type="paragraph" w:customStyle="1" w:styleId="BB-Heading5">
    <w:name w:val="BB-Heading 5"/>
    <w:basedOn w:val="BB-Heading3"/>
    <w:next w:val="Normal"/>
    <w:uiPriority w:val="99"/>
    <w:rsid w:val="00080734"/>
    <w:pPr>
      <w:numPr>
        <w:ilvl w:val="4"/>
      </w:numPr>
      <w:ind w:left="0" w:firstLine="0"/>
    </w:pPr>
  </w:style>
  <w:style w:type="paragraph" w:customStyle="1" w:styleId="BB-Heading6">
    <w:name w:val="BB-Heading 6"/>
    <w:basedOn w:val="BB-Heading3"/>
    <w:next w:val="Normal"/>
    <w:uiPriority w:val="99"/>
    <w:rsid w:val="00080734"/>
    <w:pPr>
      <w:numPr>
        <w:ilvl w:val="5"/>
      </w:numPr>
      <w:ind w:left="0" w:firstLine="0"/>
    </w:pPr>
  </w:style>
  <w:style w:type="paragraph" w:customStyle="1" w:styleId="BB-Heading7">
    <w:name w:val="BB-Heading 7"/>
    <w:basedOn w:val="BB-Heading3"/>
    <w:next w:val="Normal"/>
    <w:uiPriority w:val="99"/>
    <w:rsid w:val="00080734"/>
    <w:pPr>
      <w:numPr>
        <w:ilvl w:val="6"/>
      </w:numPr>
      <w:ind w:left="0" w:firstLine="0"/>
    </w:pPr>
  </w:style>
  <w:style w:type="table" w:styleId="TableGrid">
    <w:name w:val="Table Grid"/>
    <w:basedOn w:val="TableNormal"/>
    <w:uiPriority w:val="39"/>
    <w:locked/>
    <w:rsid w:val="00080734"/>
    <w:rPr>
      <w:sz w:val="20"/>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Pr>
    <w:trPr>
      <w:jc w:val="center"/>
    </w:trPr>
    <w:tcPr>
      <w:vAlign w:val="center"/>
    </w:tcPr>
  </w:style>
  <w:style w:type="paragraph" w:customStyle="1" w:styleId="PStabletitle">
    <w:name w:val="PS_table_title"/>
    <w:basedOn w:val="Normal"/>
    <w:rsid w:val="00080734"/>
    <w:pPr>
      <w:spacing w:after="0"/>
      <w:jc w:val="center"/>
    </w:pPr>
    <w:rPr>
      <w:sz w:val="18"/>
      <w:lang w:eastAsia="en-GB"/>
    </w:rPr>
  </w:style>
  <w:style w:type="paragraph" w:customStyle="1" w:styleId="PStabletxt">
    <w:name w:val="PS_table_txt"/>
    <w:basedOn w:val="Normal"/>
    <w:link w:val="PStabletxtChar"/>
    <w:rsid w:val="00080734"/>
    <w:pPr>
      <w:spacing w:after="0"/>
    </w:pPr>
    <w:rPr>
      <w:sz w:val="18"/>
      <w:lang w:eastAsia="en-GB"/>
    </w:rPr>
  </w:style>
  <w:style w:type="paragraph" w:customStyle="1" w:styleId="PStableamount">
    <w:name w:val="PS_table_amount"/>
    <w:basedOn w:val="PStabletxt"/>
    <w:rsid w:val="00080734"/>
    <w:pPr>
      <w:jc w:val="right"/>
    </w:pPr>
  </w:style>
  <w:style w:type="paragraph" w:customStyle="1" w:styleId="PSJustificationLevel1">
    <w:name w:val="PSJustificationLevel1"/>
    <w:basedOn w:val="Normal"/>
    <w:rsid w:val="00080734"/>
    <w:pPr>
      <w:spacing w:after="0"/>
      <w:jc w:val="left"/>
    </w:pPr>
    <w:rPr>
      <w:b/>
      <w:sz w:val="28"/>
      <w:u w:val="single"/>
      <w:lang w:eastAsia="en-GB"/>
    </w:rPr>
  </w:style>
  <w:style w:type="paragraph" w:customStyle="1" w:styleId="PSJustificationLevel2">
    <w:name w:val="PSJustificationLevel2"/>
    <w:basedOn w:val="Normal"/>
    <w:rsid w:val="00080734"/>
    <w:pPr>
      <w:spacing w:after="0"/>
      <w:jc w:val="left"/>
    </w:pPr>
    <w:rPr>
      <w:b/>
      <w:lang w:eastAsia="en-GB"/>
    </w:rPr>
  </w:style>
  <w:style w:type="paragraph" w:customStyle="1" w:styleId="PSJustificationLevel3">
    <w:name w:val="PSJustificationLevel3"/>
    <w:basedOn w:val="Normal"/>
    <w:rsid w:val="00080734"/>
    <w:pPr>
      <w:spacing w:after="0"/>
      <w:jc w:val="left"/>
    </w:pPr>
    <w:rPr>
      <w:b/>
      <w:sz w:val="20"/>
      <w:lang w:eastAsia="en-GB"/>
    </w:rPr>
  </w:style>
  <w:style w:type="paragraph" w:customStyle="1" w:styleId="agbullets">
    <w:name w:val="ag_bullets"/>
    <w:basedOn w:val="Normal"/>
    <w:qFormat/>
    <w:rsid w:val="00080734"/>
    <w:pPr>
      <w:numPr>
        <w:numId w:val="29"/>
      </w:numPr>
      <w:spacing w:after="0"/>
      <w:jc w:val="left"/>
    </w:pPr>
    <w:rPr>
      <w:sz w:val="20"/>
      <w:lang w:eastAsia="en-GB"/>
    </w:rPr>
  </w:style>
  <w:style w:type="character" w:customStyle="1" w:styleId="FootnoteTextChar">
    <w:name w:val="Footnote Text Char"/>
    <w:aliases w:val="Footnote Text Char1 Char,Footnote Text Char Char Char,Footnote Text Char3 Char Char Char,Footnote Text Char2 Char Char Char Char,Footnote Text Char1 Char Char Char Char Char,Footnote Text Char Char Char Char Char Char Char,fn Char"/>
    <w:basedOn w:val="DefaultParagraphFont"/>
    <w:link w:val="FootnoteText"/>
    <w:uiPriority w:val="99"/>
    <w:rsid w:val="00080734"/>
    <w:rPr>
      <w:sz w:val="20"/>
    </w:rPr>
  </w:style>
  <w:style w:type="character" w:styleId="Hyperlink">
    <w:name w:val="Hyperlink"/>
    <w:uiPriority w:val="99"/>
    <w:locked/>
    <w:rsid w:val="00080734"/>
    <w:rPr>
      <w:rFonts w:cs="Times New Roman"/>
      <w:color w:val="0000FF"/>
      <w:u w:val="single"/>
    </w:rPr>
  </w:style>
  <w:style w:type="paragraph" w:customStyle="1" w:styleId="BVIfnrCarCarCarCarCharCharCharChar">
    <w:name w:val="BVI fnr Car Car Car Car Char Char Char Char"/>
    <w:basedOn w:val="Normal"/>
    <w:link w:val="FootnoteReference"/>
    <w:autoRedefine/>
    <w:uiPriority w:val="99"/>
    <w:qFormat/>
    <w:locked/>
    <w:rsid w:val="00080734"/>
    <w:pPr>
      <w:spacing w:after="0"/>
      <w:ind w:left="720" w:hanging="720"/>
      <w:jc w:val="left"/>
    </w:pPr>
    <w:rPr>
      <w:vertAlign w:val="superscript"/>
    </w:rPr>
  </w:style>
  <w:style w:type="character" w:customStyle="1" w:styleId="ListParagraphChar">
    <w:name w:val="List Paragraph Char"/>
    <w:aliases w:val="Fiche List Paragraph Char,Task Body Char,Viñetas (Inicio Parrafo) Char,3 Txt tabla Char,Zerrenda-paragrafoa Char,Lista multicolor - Énfasis 11 Char,1st level - Bullet List Paragraph Char,Lettre d'introduction Char,Bullet list Char"/>
    <w:link w:val="ListParagraph"/>
    <w:qFormat/>
    <w:locked/>
    <w:rsid w:val="00080734"/>
    <w:rPr>
      <w:rFonts w:ascii="Calibri" w:eastAsia="Calibri" w:hAnsi="Calibri"/>
      <w:sz w:val="22"/>
      <w:szCs w:val="22"/>
      <w:lang w:val="en-US"/>
    </w:rPr>
  </w:style>
  <w:style w:type="character" w:customStyle="1" w:styleId="PStabletxtChar">
    <w:name w:val="PS_table_txt Char"/>
    <w:basedOn w:val="DefaultParagraphFont"/>
    <w:link w:val="PStabletxt"/>
    <w:rsid w:val="00080734"/>
    <w:rPr>
      <w:sz w:val="18"/>
      <w:lang w:eastAsia="en-GB"/>
    </w:rPr>
  </w:style>
  <w:style w:type="paragraph" w:customStyle="1" w:styleId="agencestableauxamount">
    <w:name w:val="agences_tableaux_amount"/>
    <w:basedOn w:val="Normal"/>
    <w:autoRedefine/>
    <w:rsid w:val="00B43E18"/>
    <w:pPr>
      <w:spacing w:after="0"/>
      <w:jc w:val="right"/>
    </w:pPr>
    <w:rPr>
      <w:sz w:val="18"/>
      <w:lang w:eastAsia="en-GB"/>
    </w:rPr>
  </w:style>
  <w:style w:type="paragraph" w:customStyle="1" w:styleId="PSNormal">
    <w:name w:val="PS_Normal"/>
    <w:basedOn w:val="Normal"/>
    <w:rsid w:val="00B43E18"/>
    <w:pPr>
      <w:spacing w:after="0"/>
      <w:jc w:val="left"/>
    </w:pPr>
    <w:rPr>
      <w:sz w:val="20"/>
      <w:lang w:eastAsia="en-GB"/>
    </w:rPr>
  </w:style>
  <w:style w:type="paragraph" w:customStyle="1" w:styleId="PStabletxtCenter">
    <w:name w:val="PS_table_txt_Center"/>
    <w:link w:val="PStabletxtCenterChar"/>
    <w:qFormat/>
    <w:rsid w:val="00B43E18"/>
    <w:pPr>
      <w:jc w:val="center"/>
    </w:pPr>
    <w:rPr>
      <w:sz w:val="18"/>
      <w:lang w:eastAsia="en-GB"/>
    </w:rPr>
  </w:style>
  <w:style w:type="paragraph" w:customStyle="1" w:styleId="PStabletxttot">
    <w:name w:val="PS_table_txt_tot"/>
    <w:basedOn w:val="PStabletxt"/>
    <w:rsid w:val="00B43E18"/>
    <w:rPr>
      <w:b/>
    </w:rPr>
  </w:style>
  <w:style w:type="paragraph" w:customStyle="1" w:styleId="PStableamounttot">
    <w:name w:val="PS_table_amount_tot"/>
    <w:basedOn w:val="PStableamount"/>
    <w:rsid w:val="00B43E18"/>
    <w:rPr>
      <w:b/>
    </w:rPr>
  </w:style>
  <w:style w:type="character" w:customStyle="1" w:styleId="PStabletxtCenterChar">
    <w:name w:val="PS_table_txt_Center Char"/>
    <w:basedOn w:val="DefaultParagraphFont"/>
    <w:link w:val="PStabletxtCenter"/>
    <w:rsid w:val="00B43E18"/>
    <w:rPr>
      <w:sz w:val="18"/>
      <w:lang w:eastAsia="en-GB"/>
    </w:rPr>
  </w:style>
  <w:style w:type="character" w:styleId="FollowedHyperlink">
    <w:name w:val="FollowedHyperlink"/>
    <w:basedOn w:val="DefaultParagraphFont"/>
    <w:semiHidden/>
    <w:locked/>
    <w:rsid w:val="00251641"/>
    <w:rPr>
      <w:color w:val="954F72" w:themeColor="followedHyperlink"/>
      <w:u w:val="single"/>
    </w:rPr>
  </w:style>
  <w:style w:type="table" w:customStyle="1" w:styleId="TableGridLight1">
    <w:name w:val="Table Grid Light1"/>
    <w:basedOn w:val="TableNormal"/>
    <w:locked/>
    <w:rsid w:val="003914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locked/>
    <w:rsid w:val="003914F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locked/>
    <w:rsid w:val="003914F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31">
    <w:name w:val="Plain Table 31"/>
    <w:basedOn w:val="TableNormal"/>
    <w:locked/>
    <w:rsid w:val="003914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9A022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
    <w:name w:val="Grid Table 3"/>
    <w:basedOn w:val="TableNormal"/>
    <w:locked/>
    <w:rsid w:val="009A02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semiHidden/>
    <w:unhideWhenUsed/>
    <w:locked/>
    <w:rsid w:val="00181F40"/>
    <w:pPr>
      <w:spacing w:before="100" w:beforeAutospacing="1" w:after="100" w:afterAutospacing="1"/>
      <w:jc w:val="left"/>
    </w:pPr>
    <w:rPr>
      <w:szCs w:val="24"/>
      <w:lang w:val="en-US"/>
    </w:rPr>
  </w:style>
  <w:style w:type="paragraph" w:customStyle="1" w:styleId="Tiret0">
    <w:name w:val="Tiret 0"/>
    <w:basedOn w:val="Normal"/>
    <w:rsid w:val="005F707A"/>
    <w:pPr>
      <w:numPr>
        <w:numId w:val="42"/>
      </w:numPr>
      <w:spacing w:before="120" w:after="120"/>
    </w:pPr>
    <w:rPr>
      <w:rFonts w:eastAsiaTheme="minorHAnsi"/>
      <w:szCs w:val="22"/>
    </w:rPr>
  </w:style>
  <w:style w:type="paragraph" w:customStyle="1" w:styleId="ManualConsidrant">
    <w:name w:val="Manual Considérant"/>
    <w:basedOn w:val="Normal"/>
    <w:rsid w:val="005F707A"/>
    <w:pPr>
      <w:spacing w:before="120" w:after="120"/>
      <w:ind w:left="709" w:hanging="709"/>
    </w:pPr>
    <w:rPr>
      <w:rFonts w:eastAsiaTheme="minorHAnsi"/>
      <w:szCs w:val="22"/>
    </w:rPr>
  </w:style>
  <w:style w:type="paragraph" w:customStyle="1" w:styleId="Default">
    <w:name w:val="Default"/>
    <w:rsid w:val="000611F1"/>
    <w:pPr>
      <w:autoSpaceDE w:val="0"/>
      <w:autoSpaceDN w:val="0"/>
      <w:adjustRightInd w:val="0"/>
    </w:pPr>
    <w:rPr>
      <w:rFonts w:eastAsiaTheme="minorHAnsi"/>
      <w:color w:val="000000"/>
      <w:szCs w:val="24"/>
    </w:rPr>
  </w:style>
  <w:style w:type="paragraph" w:styleId="Revision">
    <w:name w:val="Revision"/>
    <w:hidden/>
    <w:semiHidden/>
    <w:locked/>
    <w:rsid w:val="006C40C6"/>
  </w:style>
  <w:style w:type="paragraph" w:customStyle="1" w:styleId="paragraph">
    <w:name w:val="paragraph"/>
    <w:basedOn w:val="Normal"/>
    <w:rsid w:val="00B5417A"/>
    <w:pPr>
      <w:spacing w:before="100" w:beforeAutospacing="1" w:after="100" w:afterAutospacing="1"/>
      <w:jc w:val="left"/>
    </w:pPr>
    <w:rPr>
      <w:szCs w:val="24"/>
      <w:lang w:val="en-IE" w:eastAsia="en-IE"/>
    </w:rPr>
  </w:style>
  <w:style w:type="character" w:customStyle="1" w:styleId="normaltextrun">
    <w:name w:val="normaltextrun"/>
    <w:basedOn w:val="DefaultParagraphFont"/>
    <w:rsid w:val="00B5417A"/>
  </w:style>
  <w:style w:type="character" w:customStyle="1" w:styleId="eop">
    <w:name w:val="eop"/>
    <w:basedOn w:val="DefaultParagraphFont"/>
    <w:rsid w:val="00B5417A"/>
  </w:style>
  <w:style w:type="character" w:customStyle="1" w:styleId="Marker">
    <w:name w:val="Marker"/>
    <w:basedOn w:val="DefaultParagraphFont"/>
    <w:rsid w:val="000711F8"/>
    <w:rPr>
      <w:color w:val="0000FF"/>
      <w:shd w:val="clear" w:color="auto" w:fill="auto"/>
    </w:rPr>
  </w:style>
  <w:style w:type="paragraph" w:customStyle="1" w:styleId="Pagedecouverture">
    <w:name w:val="Page de couverture"/>
    <w:basedOn w:val="Normal"/>
    <w:next w:val="Normal"/>
    <w:rsid w:val="000711F8"/>
    <w:pPr>
      <w:spacing w:after="0"/>
    </w:pPr>
    <w:rPr>
      <w:rFonts w:eastAsiaTheme="minorHAnsi"/>
      <w:szCs w:val="22"/>
    </w:rPr>
  </w:style>
  <w:style w:type="paragraph" w:customStyle="1" w:styleId="FooterCoverPage">
    <w:name w:val="Footer Cover Page"/>
    <w:basedOn w:val="Normal"/>
    <w:link w:val="FooterCoverPageChar"/>
    <w:rsid w:val="000711F8"/>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2"/>
    <w:rsid w:val="000711F8"/>
  </w:style>
  <w:style w:type="character" w:customStyle="1" w:styleId="FooterCoverPageChar">
    <w:name w:val="Footer Cover Page Char"/>
    <w:basedOn w:val="ZFlagChar"/>
    <w:link w:val="FooterCoverPage"/>
    <w:rsid w:val="000711F8"/>
  </w:style>
  <w:style w:type="paragraph" w:customStyle="1" w:styleId="FooterSensitivity">
    <w:name w:val="Footer Sensitivity"/>
    <w:basedOn w:val="Normal"/>
    <w:link w:val="FooterSensitivityChar"/>
    <w:rsid w:val="000711F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sid w:val="000711F8"/>
    <w:rPr>
      <w:b/>
      <w:sz w:val="32"/>
    </w:rPr>
  </w:style>
  <w:style w:type="paragraph" w:customStyle="1" w:styleId="HeaderCoverPage">
    <w:name w:val="Header Cover Page"/>
    <w:basedOn w:val="Normal"/>
    <w:link w:val="HeaderCoverPageChar"/>
    <w:rsid w:val="000711F8"/>
    <w:pPr>
      <w:tabs>
        <w:tab w:val="center" w:pos="4535"/>
        <w:tab w:val="right" w:pos="9071"/>
      </w:tabs>
      <w:spacing w:after="120"/>
    </w:pPr>
  </w:style>
  <w:style w:type="character" w:customStyle="1" w:styleId="HeaderCoverPageChar">
    <w:name w:val="Header Cover Page Char"/>
    <w:basedOn w:val="ZFlagChar"/>
    <w:link w:val="HeaderCoverPage"/>
    <w:rsid w:val="000711F8"/>
  </w:style>
  <w:style w:type="paragraph" w:customStyle="1" w:styleId="HeaderSensitivity">
    <w:name w:val="Header Sensitivity"/>
    <w:basedOn w:val="Normal"/>
    <w:link w:val="HeaderSensitivityChar"/>
    <w:rsid w:val="000711F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sid w:val="000711F8"/>
    <w:rPr>
      <w:b/>
      <w:sz w:val="32"/>
    </w:rPr>
  </w:style>
  <w:style w:type="paragraph" w:customStyle="1" w:styleId="HeaderSensitivityRight">
    <w:name w:val="Header Sensitivity Right"/>
    <w:basedOn w:val="Normal"/>
    <w:link w:val="HeaderSensitivityRightChar"/>
    <w:rsid w:val="000711F8"/>
    <w:pPr>
      <w:spacing w:after="120"/>
      <w:jc w:val="right"/>
    </w:pPr>
    <w:rPr>
      <w:sz w:val="28"/>
    </w:rPr>
  </w:style>
  <w:style w:type="character" w:customStyle="1" w:styleId="HeaderSensitivityRightChar">
    <w:name w:val="Header Sensitivity Right Char"/>
    <w:basedOn w:val="ZFlagChar"/>
    <w:link w:val="HeaderSensitivityRight"/>
    <w:rsid w:val="000711F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7137">
      <w:bodyDiv w:val="1"/>
      <w:marLeft w:val="0"/>
      <w:marRight w:val="0"/>
      <w:marTop w:val="0"/>
      <w:marBottom w:val="0"/>
      <w:divBdr>
        <w:top w:val="none" w:sz="0" w:space="0" w:color="auto"/>
        <w:left w:val="none" w:sz="0" w:space="0" w:color="auto"/>
        <w:bottom w:val="none" w:sz="0" w:space="0" w:color="auto"/>
        <w:right w:val="none" w:sz="0" w:space="0" w:color="auto"/>
      </w:divBdr>
    </w:div>
    <w:div w:id="801994864">
      <w:bodyDiv w:val="1"/>
      <w:marLeft w:val="0"/>
      <w:marRight w:val="0"/>
      <w:marTop w:val="0"/>
      <w:marBottom w:val="0"/>
      <w:divBdr>
        <w:top w:val="none" w:sz="0" w:space="0" w:color="auto"/>
        <w:left w:val="none" w:sz="0" w:space="0" w:color="auto"/>
        <w:bottom w:val="none" w:sz="0" w:space="0" w:color="auto"/>
        <w:right w:val="none" w:sz="0" w:space="0" w:color="auto"/>
      </w:divBdr>
    </w:div>
    <w:div w:id="925840644">
      <w:bodyDiv w:val="1"/>
      <w:marLeft w:val="0"/>
      <w:marRight w:val="0"/>
      <w:marTop w:val="0"/>
      <w:marBottom w:val="0"/>
      <w:divBdr>
        <w:top w:val="none" w:sz="0" w:space="0" w:color="auto"/>
        <w:left w:val="none" w:sz="0" w:space="0" w:color="auto"/>
        <w:bottom w:val="none" w:sz="0" w:space="0" w:color="auto"/>
        <w:right w:val="none" w:sz="0" w:space="0" w:color="auto"/>
      </w:divBdr>
    </w:div>
    <w:div w:id="1008824993">
      <w:bodyDiv w:val="1"/>
      <w:marLeft w:val="0"/>
      <w:marRight w:val="0"/>
      <w:marTop w:val="0"/>
      <w:marBottom w:val="0"/>
      <w:divBdr>
        <w:top w:val="none" w:sz="0" w:space="0" w:color="auto"/>
        <w:left w:val="none" w:sz="0" w:space="0" w:color="auto"/>
        <w:bottom w:val="none" w:sz="0" w:space="0" w:color="auto"/>
        <w:right w:val="none" w:sz="0" w:space="0" w:color="auto"/>
      </w:divBdr>
    </w:div>
    <w:div w:id="1064984191">
      <w:bodyDiv w:val="1"/>
      <w:marLeft w:val="0"/>
      <w:marRight w:val="0"/>
      <w:marTop w:val="0"/>
      <w:marBottom w:val="0"/>
      <w:divBdr>
        <w:top w:val="none" w:sz="0" w:space="0" w:color="auto"/>
        <w:left w:val="none" w:sz="0" w:space="0" w:color="auto"/>
        <w:bottom w:val="none" w:sz="0" w:space="0" w:color="auto"/>
        <w:right w:val="none" w:sz="0" w:space="0" w:color="auto"/>
      </w:divBdr>
    </w:div>
    <w:div w:id="1081873314">
      <w:bodyDiv w:val="1"/>
      <w:marLeft w:val="0"/>
      <w:marRight w:val="0"/>
      <w:marTop w:val="0"/>
      <w:marBottom w:val="0"/>
      <w:divBdr>
        <w:top w:val="none" w:sz="0" w:space="0" w:color="auto"/>
        <w:left w:val="none" w:sz="0" w:space="0" w:color="auto"/>
        <w:bottom w:val="none" w:sz="0" w:space="0" w:color="auto"/>
        <w:right w:val="none" w:sz="0" w:space="0" w:color="auto"/>
      </w:divBdr>
    </w:div>
    <w:div w:id="1156338555">
      <w:bodyDiv w:val="1"/>
      <w:marLeft w:val="0"/>
      <w:marRight w:val="0"/>
      <w:marTop w:val="0"/>
      <w:marBottom w:val="0"/>
      <w:divBdr>
        <w:top w:val="none" w:sz="0" w:space="0" w:color="auto"/>
        <w:left w:val="none" w:sz="0" w:space="0" w:color="auto"/>
        <w:bottom w:val="none" w:sz="0" w:space="0" w:color="auto"/>
        <w:right w:val="none" w:sz="0" w:space="0" w:color="auto"/>
      </w:divBdr>
    </w:div>
    <w:div w:id="1261110951">
      <w:bodyDiv w:val="1"/>
      <w:marLeft w:val="0"/>
      <w:marRight w:val="0"/>
      <w:marTop w:val="0"/>
      <w:marBottom w:val="0"/>
      <w:divBdr>
        <w:top w:val="none" w:sz="0" w:space="0" w:color="auto"/>
        <w:left w:val="none" w:sz="0" w:space="0" w:color="auto"/>
        <w:bottom w:val="none" w:sz="0" w:space="0" w:color="auto"/>
        <w:right w:val="none" w:sz="0" w:space="0" w:color="auto"/>
      </w:divBdr>
    </w:div>
    <w:div w:id="1636182130">
      <w:bodyDiv w:val="1"/>
      <w:marLeft w:val="0"/>
      <w:marRight w:val="0"/>
      <w:marTop w:val="0"/>
      <w:marBottom w:val="0"/>
      <w:divBdr>
        <w:top w:val="none" w:sz="0" w:space="0" w:color="auto"/>
        <w:left w:val="none" w:sz="0" w:space="0" w:color="auto"/>
        <w:bottom w:val="none" w:sz="0" w:space="0" w:color="auto"/>
        <w:right w:val="none" w:sz="0" w:space="0" w:color="auto"/>
      </w:divBdr>
      <w:divsChild>
        <w:div w:id="1357582096">
          <w:marLeft w:val="0"/>
          <w:marRight w:val="0"/>
          <w:marTop w:val="0"/>
          <w:marBottom w:val="0"/>
          <w:divBdr>
            <w:top w:val="none" w:sz="0" w:space="0" w:color="auto"/>
            <w:left w:val="none" w:sz="0" w:space="0" w:color="auto"/>
            <w:bottom w:val="none" w:sz="0" w:space="0" w:color="auto"/>
            <w:right w:val="none" w:sz="0" w:space="0" w:color="auto"/>
          </w:divBdr>
        </w:div>
        <w:div w:id="442845500">
          <w:marLeft w:val="0"/>
          <w:marRight w:val="0"/>
          <w:marTop w:val="0"/>
          <w:marBottom w:val="0"/>
          <w:divBdr>
            <w:top w:val="none" w:sz="0" w:space="0" w:color="auto"/>
            <w:left w:val="none" w:sz="0" w:space="0" w:color="auto"/>
            <w:bottom w:val="none" w:sz="0" w:space="0" w:color="auto"/>
            <w:right w:val="none" w:sz="0" w:space="0" w:color="auto"/>
          </w:divBdr>
        </w:div>
        <w:div w:id="832530109">
          <w:marLeft w:val="0"/>
          <w:marRight w:val="0"/>
          <w:marTop w:val="0"/>
          <w:marBottom w:val="0"/>
          <w:divBdr>
            <w:top w:val="none" w:sz="0" w:space="0" w:color="auto"/>
            <w:left w:val="none" w:sz="0" w:space="0" w:color="auto"/>
            <w:bottom w:val="none" w:sz="0" w:space="0" w:color="auto"/>
            <w:right w:val="none" w:sz="0" w:space="0" w:color="auto"/>
          </w:divBdr>
        </w:div>
        <w:div w:id="791948657">
          <w:marLeft w:val="0"/>
          <w:marRight w:val="0"/>
          <w:marTop w:val="0"/>
          <w:marBottom w:val="0"/>
          <w:divBdr>
            <w:top w:val="none" w:sz="0" w:space="0" w:color="auto"/>
            <w:left w:val="none" w:sz="0" w:space="0" w:color="auto"/>
            <w:bottom w:val="none" w:sz="0" w:space="0" w:color="auto"/>
            <w:right w:val="none" w:sz="0" w:space="0" w:color="auto"/>
          </w:divBdr>
        </w:div>
      </w:divsChild>
    </w:div>
    <w:div w:id="1970085208">
      <w:bodyDiv w:val="1"/>
      <w:marLeft w:val="0"/>
      <w:marRight w:val="0"/>
      <w:marTop w:val="0"/>
      <w:marBottom w:val="0"/>
      <w:divBdr>
        <w:top w:val="none" w:sz="0" w:space="0" w:color="auto"/>
        <w:left w:val="none" w:sz="0" w:space="0" w:color="auto"/>
        <w:bottom w:val="none" w:sz="0" w:space="0" w:color="auto"/>
        <w:right w:val="none" w:sz="0" w:space="0" w:color="auto"/>
      </w:divBdr>
    </w:div>
    <w:div w:id="2009209202">
      <w:bodyDiv w:val="1"/>
      <w:marLeft w:val="0"/>
      <w:marRight w:val="0"/>
      <w:marTop w:val="0"/>
      <w:marBottom w:val="0"/>
      <w:divBdr>
        <w:top w:val="none" w:sz="0" w:space="0" w:color="auto"/>
        <w:left w:val="none" w:sz="0" w:space="0" w:color="auto"/>
        <w:bottom w:val="none" w:sz="0" w:space="0" w:color="auto"/>
        <w:right w:val="none" w:sz="0" w:space="0" w:color="auto"/>
      </w:divBdr>
      <w:divsChild>
        <w:div w:id="251163713">
          <w:marLeft w:val="0"/>
          <w:marRight w:val="0"/>
          <w:marTop w:val="0"/>
          <w:marBottom w:val="0"/>
          <w:divBdr>
            <w:top w:val="none" w:sz="0" w:space="0" w:color="auto"/>
            <w:left w:val="none" w:sz="0" w:space="0" w:color="auto"/>
            <w:bottom w:val="none" w:sz="0" w:space="0" w:color="auto"/>
            <w:right w:val="none" w:sz="0" w:space="0" w:color="auto"/>
          </w:divBdr>
        </w:div>
        <w:div w:id="694497656">
          <w:marLeft w:val="0"/>
          <w:marRight w:val="0"/>
          <w:marTop w:val="0"/>
          <w:marBottom w:val="0"/>
          <w:divBdr>
            <w:top w:val="none" w:sz="0" w:space="0" w:color="auto"/>
            <w:left w:val="none" w:sz="0" w:space="0" w:color="auto"/>
            <w:bottom w:val="none" w:sz="0" w:space="0" w:color="auto"/>
            <w:right w:val="none" w:sz="0" w:space="0" w:color="auto"/>
          </w:divBdr>
        </w:div>
        <w:div w:id="1420255385">
          <w:marLeft w:val="0"/>
          <w:marRight w:val="0"/>
          <w:marTop w:val="0"/>
          <w:marBottom w:val="0"/>
          <w:divBdr>
            <w:top w:val="none" w:sz="0" w:space="0" w:color="auto"/>
            <w:left w:val="none" w:sz="0" w:space="0" w:color="auto"/>
            <w:bottom w:val="none" w:sz="0" w:space="0" w:color="auto"/>
            <w:right w:val="none" w:sz="0" w:space="0" w:color="auto"/>
          </w:divBdr>
        </w:div>
        <w:div w:id="1889800566">
          <w:marLeft w:val="0"/>
          <w:marRight w:val="0"/>
          <w:marTop w:val="0"/>
          <w:marBottom w:val="0"/>
          <w:divBdr>
            <w:top w:val="none" w:sz="0" w:space="0" w:color="auto"/>
            <w:left w:val="none" w:sz="0" w:space="0" w:color="auto"/>
            <w:bottom w:val="none" w:sz="0" w:space="0" w:color="auto"/>
            <w:right w:val="none" w:sz="0" w:space="0" w:color="auto"/>
          </w:divBdr>
        </w:div>
        <w:div w:id="1776559920">
          <w:marLeft w:val="0"/>
          <w:marRight w:val="0"/>
          <w:marTop w:val="0"/>
          <w:marBottom w:val="0"/>
          <w:divBdr>
            <w:top w:val="none" w:sz="0" w:space="0" w:color="auto"/>
            <w:left w:val="none" w:sz="0" w:space="0" w:color="auto"/>
            <w:bottom w:val="none" w:sz="0" w:space="0" w:color="auto"/>
            <w:right w:val="none" w:sz="0" w:space="0" w:color="auto"/>
          </w:divBdr>
        </w:div>
        <w:div w:id="1582444640">
          <w:marLeft w:val="0"/>
          <w:marRight w:val="0"/>
          <w:marTop w:val="0"/>
          <w:marBottom w:val="0"/>
          <w:divBdr>
            <w:top w:val="none" w:sz="0" w:space="0" w:color="auto"/>
            <w:left w:val="none" w:sz="0" w:space="0" w:color="auto"/>
            <w:bottom w:val="none" w:sz="0" w:space="0" w:color="auto"/>
            <w:right w:val="none" w:sz="0" w:space="0" w:color="auto"/>
          </w:divBdr>
        </w:div>
        <w:div w:id="1530141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ec.europa.eu/info/live-work-travel-eu/coronavirus-response/emergency-support-instrument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ruegel.org/2022/01/the-effect-of-covid-certificates-on-vaccine-uptake-public-health-and-the-economy" TargetMode="External"/><Relationship Id="rId1" Type="http://schemas.openxmlformats.org/officeDocument/2006/relationships/hyperlink" Target="https://ec.europa.eu/info/live-work-travel-eu/coronavirus-response/emergency-support-instru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10.0.43105.0</Version>
    <Date>2022-03-08T09:58:14</Date>
    <Language>EN</Language>
    <Note/>
  </Created>
  <Edited>
    <Version/>
    <Date/>
  </Edited>
  <DocumentModel>
    <Id>6cbda13a-4db2-46c6-876a-ef72275827ef</Id>
    <Name>Report</Name>
  </DocumentModel>
  <DocumentDate>2022-03-08T09:58:14</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3.xml><?xml version="1.0" encoding="utf-8"?>
<Author Role="Creator" AuthorRoleName="Writer" AuthorRoleId="a4fbaff4-b07c-48b4-a21e-e7b9eedf3796">
  <Id>4b2d92da-d642-4bdb-98ab-1980150571b4</Id>
  <Names>
    <Latin>
      <FirstName>Isabel</FirstName>
      <LastName>DE LA MATA BARRANCO</LastName>
    </Latin>
    <Greek>
      <FirstName/>
      <LastName/>
    </Greek>
    <Cyrillic>
      <FirstName/>
      <LastName/>
    </Cyrillic>
    <DocumentScript>
      <FirstName>Isabel</FirstName>
      <LastName>DE LA MATA BARRANCO</LastName>
      <FullName>Isabel DE LA MATA BARRANCO</FullName>
    </DocumentScript>
  </Names>
  <Initials>IDLMB</Initials>
  <Gender>f</Gender>
  <Email>Isabel.DELAMATA@ec.europa.eu</Email>
  <Service>SANTE.DDG1.PA01</Service>
  <Function ADCode="21" ShowInSignature="true" ShowInHeader="false" HeaderText="">Principal Adviser</Function>
  <WebAddress/>
  <FunctionalMailbox/>
  <InheritedWebAddress>WebAddress</InheritedWebAddress>
  <OrgaEntity1>
    <Id>6332c4d2-2874-4332-ae74-fc843cef9b7e</Id>
    <LogicalLevel>1</LogicalLevel>
    <Name>SANTE</Name>
    <HeadLine1>DIRECTORATE-GENERAL FOR HEALTH AND FOOD SAFETY</HeadLine1>
    <HeadLine2/>
    <PrimaryAddressId>f03b5801-04c9-4931-aa17-c6d6c70bc579</PrimaryAddressId>
    <SecondaryAddressId/>
    <WebAddress>WebAddress</WebAddress>
    <InheritedWebAddress>WebAddress</InheritedWebAddress>
    <ShowInHeader>true</ShowInHeader>
  </OrgaEntity1>
  <OrgaEntity2/>
  <OrgaEntity3>
    <Id>6c355363-7585-44ef-8821-b1f8551d8958</Id>
    <LogicalLevel>3</LogicalLevel>
    <Name>SANTE.DDG1.PA01</Name>
    <HeadLine1>Principal Adviser for Health and Crisis management</HeadLine1>
    <HeadLine2/>
    <PrimaryAddressId>f03b5801-04c9-4931-aa17-c6d6c70bc579</PrimaryAddressId>
    <SecondaryAddressId/>
    <WebAddress/>
    <InheritedWebAddress>WebAddress</InheritedWebAddress>
    <ShowInHeader>true</ShowInHeader>
  </OrgaEntity3>
  <Hierarchy>
    <OrgaEntity>
      <Id>6332c4d2-2874-4332-ae74-fc843cef9b7e</Id>
      <LogicalLevel>1</LogicalLevel>
      <Name>SANTE</Name>
      <HeadLine1>DIRECTORATE-GENERAL FOR HEALTH AND FOOD SAFETY</HeadLine1>
      <HeadLine2/>
      <PrimaryAddressId>f03b5801-04c9-4931-aa17-c6d6c70bc579</PrimaryAddressId>
      <SecondaryAddressId/>
      <WebAddress>WebAddress</WebAddress>
      <InheritedWebAddress>WebAddress</InheritedWebAddress>
      <ShowInHeader>true</ShowInHeader>
    </OrgaEntity>
    <OrgaEntity>
      <Id>6c355363-7585-44ef-8821-b1f8551d8958</Id>
      <LogicalLevel>3</LogicalLevel>
      <Name>SANTE.DDG1.PA01</Name>
      <HeadLine1>Principal Adviser for Health and Crisis management</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9477b21f-3bff-4071-bc5a-78636fecdbbf</Id>
      <Name>&lt;No Address&gt;</Name>
      <PhoneNumberPrefix/>
      <TranslatedName/>
      <Location/>
      <Footer/>
    </Address>
  </Addresses>
  <JobAssignmentId/>
  <MainWorkplace IsMain="true">
    <AddressId>f03b5801-04c9-4931-aa17-c6d6c70bc579</AddressId>
    <Fax/>
    <Phone>+32 229-60236</Phone>
    <Office>F101 07/071</Office>
  </MainWorkplace>
  <Workplaces>
    <Workplace IsMain="true">
      <AddressId>f03b5801-04c9-4931-aa17-c6d6c70bc579</AddressId>
      <Fax/>
      <Phone>+32 229-60236</Phone>
      <Office>F101 07/071</Office>
    </Workplace>
    <Workplace IsMain="false">
      <AddressId>9477b21f-3bff-4071-bc5a-78636fecdbbf</AddressId>
      <Fax/>
      <Phone/>
      <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8BD8DD30-8A53-45C0-BA96-7FBF29BF907A}">
  <ds:schemaRefs/>
</ds:datastoreItem>
</file>

<file path=customXml/itemProps4.xml><?xml version="1.0" encoding="utf-8"?>
<ds:datastoreItem xmlns:ds="http://schemas.openxmlformats.org/officeDocument/2006/customXml" ds:itemID="{A512C5BD-E9B6-40E0-9B4F-00E327BB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6748</Words>
  <Characters>37049</Characters>
  <Application>Microsoft Office Word</Application>
  <DocSecurity>0</DocSecurity>
  <PresentationFormat>Microsoft Word 14.0</PresentationFormat>
  <Lines>607</Lines>
  <Paragraphs>157</Paragraphs>
  <ScaleCrop>true</ScaleCrop>
  <HeadingPairs>
    <vt:vector size="4" baseType="variant">
      <vt:variant>
        <vt:lpstr>Title</vt:lpstr>
      </vt:variant>
      <vt:variant>
        <vt:i4>1</vt:i4>
      </vt:variant>
      <vt:variant>
        <vt:lpstr>Titolo</vt:lpstr>
      </vt:variant>
      <vt:variant>
        <vt:i4>1</vt:i4>
      </vt:variant>
    </vt:vector>
  </HeadingPairs>
  <TitlesOfParts>
    <vt:vector size="2" baseType="lpstr">
      <vt:lpstr>REPORT FROM THE COMMISSION TO THE COUNCIL</vt:lpstr>
      <vt:lpstr>REPORT FROM THE COMMISSION TO THE COUNCIL</vt:lpstr>
    </vt:vector>
  </TitlesOfParts>
  <Manager/>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COUNCIL</dc:title>
  <dc:subject>on the implementation of Regulation (EU) 2020/521 on activating emergency support to finance necessary expenditure to address the COVID‐19 pandemic</dc:subject>
  <dc:creator/>
  <cp:keywords/>
  <dc:description/>
  <cp:lastModifiedBy>EC CoDe</cp:lastModifiedBy>
  <cp:revision>28</cp:revision>
  <cp:lastPrinted>2022-05-12T14:57:00Z</cp:lastPrinted>
  <dcterms:created xsi:type="dcterms:W3CDTF">2022-06-29T15:17:00Z</dcterms:created>
  <dcterms:modified xsi:type="dcterms:W3CDTF">2022-07-28T06:22:00Z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2022-03-18T08:04:17Z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60f0f7b1-0cce-4e26-9744-9ed44f514d56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CP-004</vt:lpwstr>
  </property>
  <property fmtid="{D5CDD505-2E9C-101B-9397-08002B2CF9AE}" pid="16" name="Last edited using">
    <vt:lpwstr>LW 8.0, Build 20220128</vt:lpwstr>
  </property>
  <property fmtid="{D5CDD505-2E9C-101B-9397-08002B2CF9AE}" pid="17" name="Created using">
    <vt:lpwstr>LW 8.0, Build 20220128</vt:lpwstr>
  </property>
</Properties>
</file>