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B3817" w14:textId="484B4EBB" w:rsidR="00181EDF" w:rsidRDefault="00A93E7C" w:rsidP="00A93E7C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1CB1F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39B9D5B8-BC06-4B8A-B609-E3EAA3EA7779" style="width:455.25pt;height:310.5pt">
            <v:imagedata r:id="rId8" o:title=""/>
          </v:shape>
        </w:pict>
      </w:r>
    </w:p>
    <w:bookmarkEnd w:id="0"/>
    <w:p w14:paraId="332A0092" w14:textId="77777777" w:rsidR="001D182E" w:rsidRDefault="001D182E" w:rsidP="001D182E">
      <w:pPr>
        <w:rPr>
          <w:noProof/>
        </w:rPr>
        <w:sectPr w:rsidR="001D182E" w:rsidSect="00A93E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7B387CD" w14:textId="4DC25454" w:rsidR="00181EDF" w:rsidRDefault="00A97B6C">
      <w:pPr>
        <w:pStyle w:val="TOCHeading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color w:val="auto"/>
          <w:sz w:val="24"/>
        </w:rPr>
        <w:lastRenderedPageBreak/>
        <w:t>ZPRÁVA KOMISE</w:t>
      </w:r>
    </w:p>
    <w:p w14:paraId="5D6D74D9" w14:textId="4284F1D2" w:rsidR="00181EDF" w:rsidRDefault="00A97B6C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Výroční zpráva Evropské komise o bezpečnosti činností v odvětví ropy a zemního plynu v moři za rok 2020</w:t>
      </w:r>
    </w:p>
    <w:p w14:paraId="4B289D92" w14:textId="77777777" w:rsidR="00181EDF" w:rsidRDefault="00A97B6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365F91"/>
          <w:sz w:val="32"/>
          <w:szCs w:val="32"/>
        </w:rPr>
      </w:pPr>
      <w:r>
        <w:rPr>
          <w:noProof/>
        </w:rPr>
        <w:br w:type="page"/>
      </w:r>
    </w:p>
    <w:p w14:paraId="7031C3BA" w14:textId="77777777" w:rsidR="00181EDF" w:rsidRDefault="00A97B6C">
      <w:pPr>
        <w:pStyle w:val="TOCHeading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</w:rPr>
        <w:t>Obsah</w:t>
      </w:r>
    </w:p>
    <w:p w14:paraId="35DDB164" w14:textId="6D91694A" w:rsidR="00E05CE2" w:rsidRDefault="00A97B6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r>
        <w:rPr>
          <w:rFonts w:ascii="Times New Roman" w:hAnsi="Times New Roman"/>
          <w:noProof/>
          <w:sz w:val="24"/>
        </w:rPr>
        <w:fldChar w:fldCharType="begin"/>
      </w:r>
      <w:r>
        <w:rPr>
          <w:rFonts w:ascii="Times New Roman" w:hAnsi="Times New Roman"/>
          <w:noProof/>
          <w:sz w:val="24"/>
        </w:rPr>
        <w:instrText xml:space="preserve"> TOC \o "1-3" \h \z \u </w:instrText>
      </w:r>
      <w:r>
        <w:rPr>
          <w:rFonts w:ascii="Times New Roman" w:hAnsi="Times New Roman"/>
          <w:noProof/>
          <w:sz w:val="24"/>
        </w:rPr>
        <w:fldChar w:fldCharType="separate"/>
      </w:r>
      <w:hyperlink w:anchor="_Toc111108957" w:history="1">
        <w:r w:rsidR="00E05CE2" w:rsidRPr="00F41A7D">
          <w:rPr>
            <w:rStyle w:val="Hyperlink"/>
            <w:rFonts w:ascii="Times New Roman" w:hAnsi="Times New Roman"/>
            <w:noProof/>
          </w:rPr>
          <w:t>1.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ÚVOD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_Toc111108957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3</w:t>
        </w:r>
        <w:r w:rsidR="00E05CE2">
          <w:rPr>
            <w:noProof/>
            <w:webHidden/>
          </w:rPr>
          <w:fldChar w:fldCharType="end"/>
        </w:r>
      </w:hyperlink>
    </w:p>
    <w:p w14:paraId="14EB10E3" w14:textId="103860B3" w:rsidR="00E05CE2" w:rsidRDefault="00A93E7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58" w:history="1">
        <w:r w:rsidR="00E05CE2" w:rsidRPr="00F41A7D">
          <w:rPr>
            <w:rStyle w:val="Hyperlink"/>
            <w:rFonts w:ascii="Times New Roman" w:hAnsi="Times New Roman"/>
            <w:noProof/>
          </w:rPr>
          <w:t>2.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PRÁVNÍ ZÁKLAD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_Toc111108958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4</w:t>
        </w:r>
        <w:r w:rsidR="00E05CE2">
          <w:rPr>
            <w:noProof/>
            <w:webHidden/>
          </w:rPr>
          <w:fldChar w:fldCharType="end"/>
        </w:r>
      </w:hyperlink>
    </w:p>
    <w:p w14:paraId="18F399DA" w14:textId="4EA633A7" w:rsidR="00E05CE2" w:rsidRDefault="00A93E7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59" w:history="1">
        <w:r w:rsidR="00E05CE2" w:rsidRPr="00F41A7D">
          <w:rPr>
            <w:rStyle w:val="Hyperlink"/>
            <w:rFonts w:ascii="Times New Roman" w:hAnsi="Times New Roman"/>
            <w:noProof/>
          </w:rPr>
          <w:t>3.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METODIKA A OBDRŽENÉ INFORMACE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_Toc111108959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4</w:t>
        </w:r>
        <w:r w:rsidR="00E05CE2">
          <w:rPr>
            <w:noProof/>
            <w:webHidden/>
          </w:rPr>
          <w:fldChar w:fldCharType="end"/>
        </w:r>
      </w:hyperlink>
    </w:p>
    <w:p w14:paraId="5461FB50" w14:textId="45CBC751" w:rsidR="00E05CE2" w:rsidRDefault="00A93E7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60" w:history="1">
        <w:r w:rsidR="00E05CE2" w:rsidRPr="00F41A7D">
          <w:rPr>
            <w:rStyle w:val="Hyperlink"/>
            <w:rFonts w:ascii="Times New Roman" w:hAnsi="Times New Roman"/>
            <w:noProof/>
          </w:rPr>
          <w:t>4.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ODVĚTVÍ ROPY A ZEMNÍHO PLYNU V MOŘÍCH EU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_Toc111108960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5</w:t>
        </w:r>
        <w:r w:rsidR="00E05CE2">
          <w:rPr>
            <w:noProof/>
            <w:webHidden/>
          </w:rPr>
          <w:fldChar w:fldCharType="end"/>
        </w:r>
      </w:hyperlink>
    </w:p>
    <w:p w14:paraId="4DF311F7" w14:textId="37C81216" w:rsidR="00E05CE2" w:rsidRDefault="00A93E7C">
      <w:pPr>
        <w:pStyle w:val="TOC2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61" w:history="1">
        <w:r w:rsidR="00E05CE2" w:rsidRPr="00F41A7D">
          <w:rPr>
            <w:rStyle w:val="Hyperlink"/>
            <w:rFonts w:ascii="Times New Roman" w:hAnsi="Times New Roman"/>
            <w:noProof/>
          </w:rPr>
          <w:t>4.1 Zařízení a těžba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_Toc111108961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5</w:t>
        </w:r>
        <w:r w:rsidR="00E05CE2">
          <w:rPr>
            <w:noProof/>
            <w:webHidden/>
          </w:rPr>
          <w:fldChar w:fldCharType="end"/>
        </w:r>
      </w:hyperlink>
    </w:p>
    <w:p w14:paraId="01050BC6" w14:textId="622E3235" w:rsidR="00E05CE2" w:rsidRDefault="00A93E7C">
      <w:pPr>
        <w:pStyle w:val="TOC2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62" w:history="1">
        <w:r w:rsidR="00E05CE2" w:rsidRPr="00F41A7D">
          <w:rPr>
            <w:rStyle w:val="Hyperlink"/>
            <w:rFonts w:ascii="Times New Roman" w:hAnsi="Times New Roman"/>
            <w:noProof/>
          </w:rPr>
          <w:t>4.2 Inspekce na moři, šetření, donucovací opatření a regulační rámec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_Toc111108962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8</w:t>
        </w:r>
        <w:r w:rsidR="00E05CE2">
          <w:rPr>
            <w:noProof/>
            <w:webHidden/>
          </w:rPr>
          <w:fldChar w:fldCharType="end"/>
        </w:r>
      </w:hyperlink>
    </w:p>
    <w:p w14:paraId="39A152A4" w14:textId="33994625" w:rsidR="00E05CE2" w:rsidRDefault="00A93E7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63" w:history="1">
        <w:r w:rsidR="00E05CE2" w:rsidRPr="00F41A7D">
          <w:rPr>
            <w:rStyle w:val="Hyperlink"/>
            <w:rFonts w:ascii="Times New Roman" w:hAnsi="Times New Roman"/>
            <w:noProof/>
          </w:rPr>
          <w:t>5.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NEHODY A VÝKONNOST V OBLASTI BEZPEČNOSTI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_Toc111108963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9</w:t>
        </w:r>
        <w:r w:rsidR="00E05CE2">
          <w:rPr>
            <w:noProof/>
            <w:webHidden/>
          </w:rPr>
          <w:fldChar w:fldCharType="end"/>
        </w:r>
      </w:hyperlink>
    </w:p>
    <w:p w14:paraId="7CEC41C1" w14:textId="76248A76" w:rsidR="00E05CE2" w:rsidRDefault="00A93E7C">
      <w:pPr>
        <w:pStyle w:val="TOC1"/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11108964" w:history="1">
        <w:r w:rsidR="00E05CE2" w:rsidRPr="00F41A7D">
          <w:rPr>
            <w:rStyle w:val="Hyperlink"/>
            <w:rFonts w:ascii="Times New Roman" w:hAnsi="Times New Roman"/>
            <w:noProof/>
          </w:rPr>
          <w:t>6.</w:t>
        </w:r>
        <w:r w:rsidR="00E05CE2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E05CE2" w:rsidRPr="00F41A7D">
          <w:rPr>
            <w:rStyle w:val="Hyperlink"/>
            <w:rFonts w:ascii="Times New Roman" w:hAnsi="Times New Roman"/>
            <w:noProof/>
          </w:rPr>
          <w:t>ZÁVĚRY</w:t>
        </w:r>
        <w:r w:rsidR="00E05CE2">
          <w:rPr>
            <w:noProof/>
            <w:webHidden/>
          </w:rPr>
          <w:tab/>
        </w:r>
        <w:r w:rsidR="00E05CE2">
          <w:rPr>
            <w:noProof/>
            <w:webHidden/>
          </w:rPr>
          <w:fldChar w:fldCharType="begin"/>
        </w:r>
        <w:r w:rsidR="00E05CE2">
          <w:rPr>
            <w:noProof/>
            <w:webHidden/>
          </w:rPr>
          <w:instrText xml:space="preserve"> PAGEREF _Toc111108964 \h </w:instrText>
        </w:r>
        <w:r w:rsidR="00E05CE2">
          <w:rPr>
            <w:noProof/>
            <w:webHidden/>
          </w:rPr>
        </w:r>
        <w:r w:rsidR="00E05CE2">
          <w:rPr>
            <w:noProof/>
            <w:webHidden/>
          </w:rPr>
          <w:fldChar w:fldCharType="separate"/>
        </w:r>
        <w:r w:rsidR="00886720">
          <w:rPr>
            <w:noProof/>
            <w:webHidden/>
          </w:rPr>
          <w:t>12</w:t>
        </w:r>
        <w:r w:rsidR="00E05CE2">
          <w:rPr>
            <w:noProof/>
            <w:webHidden/>
          </w:rPr>
          <w:fldChar w:fldCharType="end"/>
        </w:r>
      </w:hyperlink>
    </w:p>
    <w:p w14:paraId="15B2627B" w14:textId="6F9803FB" w:rsidR="00181EDF" w:rsidRDefault="00A97B6C">
      <w:pPr>
        <w:pStyle w:val="TOC1"/>
        <w:rPr>
          <w:rFonts w:ascii="Times New Roman" w:hAnsi="Times New Roman"/>
          <w:noProof/>
          <w:sz w:val="24"/>
        </w:rPr>
        <w:sectPr w:rsidR="00181EDF" w:rsidSect="001D18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noProof/>
          <w:sz w:val="24"/>
        </w:rPr>
        <w:fldChar w:fldCharType="end"/>
      </w:r>
    </w:p>
    <w:p w14:paraId="7778D34F" w14:textId="77777777" w:rsidR="00181EDF" w:rsidRDefault="00A97B6C">
      <w:pPr>
        <w:pStyle w:val="Heading1"/>
        <w:rPr>
          <w:rFonts w:ascii="Times New Roman" w:hAnsi="Times New Roman"/>
          <w:color w:val="auto"/>
        </w:rPr>
      </w:pPr>
      <w:bookmarkStart w:id="2" w:name="_Toc111108957"/>
      <w:r>
        <w:rPr>
          <w:rFonts w:ascii="Times New Roman" w:hAnsi="Times New Roman"/>
          <w:color w:val="auto"/>
        </w:rPr>
        <w:t>1.</w:t>
      </w:r>
      <w:r>
        <w:tab/>
      </w:r>
      <w:r>
        <w:rPr>
          <w:rFonts w:ascii="Times New Roman" w:hAnsi="Times New Roman"/>
          <w:color w:val="auto"/>
        </w:rPr>
        <w:t>ÚVOD</w:t>
      </w:r>
      <w:bookmarkEnd w:id="2"/>
    </w:p>
    <w:p w14:paraId="714F7A9A" w14:textId="72F4DD78" w:rsidR="00181EDF" w:rsidRDefault="00786D3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Výroční zprávu o bezpečnosti činností EU v odvětví ropy a zemního plynu v moři zveřejňuje Evropská komise od roku 2016.</w:t>
      </w:r>
    </w:p>
    <w:p w14:paraId="111F5E5C" w14:textId="20DB39FF" w:rsidR="00685964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Právním základem této zprávy je směrnice Evropského parlamentu a Rady 2013/30/EU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ze dne 12.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června 2013 o bezpečnosti činností v odvětví ropy a zemního plynu v moři a o změně směrnice 2004/35/ES („směrnice o bezpečnosti činností v odvětví ropy a zemního plynu v moři“). Cílem této zprávy je dosáhnout vysoké úrovně bezpečnosti činností v odvětví ropy a zemního plynu v moři, z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níž budou mít užitek:</w:t>
      </w:r>
    </w:p>
    <w:p w14:paraId="7B739EFF" w14:textId="419B217C" w:rsidR="00685964" w:rsidRPr="00A037F9" w:rsidRDefault="00A97B6C" w:rsidP="00A037F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pracovníci,</w:t>
      </w:r>
    </w:p>
    <w:p w14:paraId="1DA7A9F4" w14:textId="77607540" w:rsidR="00685964" w:rsidRPr="00A037F9" w:rsidRDefault="00A97B6C" w:rsidP="00A037F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životní prostředí,</w:t>
      </w:r>
    </w:p>
    <w:p w14:paraId="442FBF4C" w14:textId="05EE8D84" w:rsidR="00685964" w:rsidRPr="00A037F9" w:rsidRDefault="00A97B6C" w:rsidP="00A037F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těžební plošiny a zařízení na moři</w:t>
      </w:r>
    </w:p>
    <w:p w14:paraId="76CA8F49" w14:textId="2BB7B840" w:rsidR="00685964" w:rsidRPr="00A037F9" w:rsidRDefault="00A97B6C" w:rsidP="00A037F9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hospodářské činnosti, např. rybolov a cestovní ruch. </w:t>
      </w:r>
    </w:p>
    <w:p w14:paraId="53E7EB10" w14:textId="42244B0A" w:rsidR="00A037F9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Směrnice, již provádí členské státy, pomáhá:</w:t>
      </w:r>
    </w:p>
    <w:p w14:paraId="0331B549" w14:textId="3FCA2727" w:rsidR="00A037F9" w:rsidRPr="00A037F9" w:rsidRDefault="00A97B6C" w:rsidP="00A037F9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předcházet závažným haváriím a nehodám;</w:t>
      </w:r>
    </w:p>
    <w:p w14:paraId="25045749" w14:textId="3C97AC17" w:rsidR="00A037F9" w:rsidRPr="00A037F9" w:rsidRDefault="00A97B6C" w:rsidP="00A037F9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snížit počet nehod,</w:t>
      </w:r>
    </w:p>
    <w:p w14:paraId="329553FB" w14:textId="1DA54EDE" w:rsidR="00181EDF" w:rsidRPr="00A037F9" w:rsidRDefault="00A97B6C" w:rsidP="00A037F9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zajistit účinná následná opatření po nehodách a mimořádných událostech, která mají snížit závažnost následků.</w:t>
      </w:r>
    </w:p>
    <w:p w14:paraId="25C3811A" w14:textId="40C5246E" w:rsidR="00825AB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Stejně jako minulé zprávy i tato výroční zpráva:</w:t>
      </w:r>
    </w:p>
    <w:p w14:paraId="583C8FC5" w14:textId="37422C31" w:rsidR="00825ABF" w:rsidRPr="00825ABF" w:rsidRDefault="003A54B6" w:rsidP="00825AB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poskytuje údaje o počtu a druhu zařízení v EU,</w:t>
      </w:r>
    </w:p>
    <w:p w14:paraId="266463CA" w14:textId="535B5F63" w:rsidR="00825ABF" w:rsidRPr="00825ABF" w:rsidRDefault="00844CA9" w:rsidP="00825AB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informuje o bezpečnostních nehodách v těchto zařízeních,</w:t>
      </w:r>
    </w:p>
    <w:p w14:paraId="74551372" w14:textId="63CF008A" w:rsidR="00825ABF" w:rsidRPr="00825ABF" w:rsidRDefault="00A97B6C" w:rsidP="00825AB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posuzuje výkonnost činností v odvětví ropy a zemního plynu v moři, pokud jde o bezpečnost. </w:t>
      </w:r>
    </w:p>
    <w:p w14:paraId="7ED7FF29" w14:textId="30E2BE4D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 každou novou zprávou je analýza trendů směrodatnější. Tyto zprávy také slouží jako záznam o úrovni bezpečnosti činností v odvětví ropy a zemního plynu v moři v jednotlivých členských státech.</w:t>
      </w:r>
    </w:p>
    <w:p w14:paraId="3F64C6C0" w14:textId="05AB60AD" w:rsidR="00DA2542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Tato zpráva vychází z výročních zpráv a údajů, které členské státy předložily v souladu s požadavky směrnice o bezpečnosti činností v odvětví ropy a zemního plynu v moři.</w:t>
      </w:r>
    </w:p>
    <w:p w14:paraId="18297B29" w14:textId="5110FF45" w:rsidR="000B418E" w:rsidRDefault="00E95716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Severním moři a v Atlantském oceánu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se nachází 187 zařízení v odvětví ropy a zemního plynu, 165 zařízení je umístěno ve Středozemním moři, devět v Černém moři a dvě v Baltském moři. V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 xml:space="preserve">roce 2020 provedly příslušné orgány členských států v rámci svých jurisdikcí inspekci bezpečnosti 141 zařízení v moři. Země oznámily 2 závažné havárie: jednu v Chorvatsku a jednu v Dánsku. </w:t>
      </w:r>
    </w:p>
    <w:p w14:paraId="0A668B58" w14:textId="46820265" w:rsidR="00181EDF" w:rsidRDefault="000569A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Počet nehod se snížil z 34 v roce 2019 na 16 v roce 2020. To odráží významná zlepšení bezpečnosti zařízení.</w:t>
      </w:r>
    </w:p>
    <w:p w14:paraId="5A09B333" w14:textId="77777777" w:rsidR="00181EDF" w:rsidRDefault="00A97B6C">
      <w:pPr>
        <w:pStyle w:val="Heading1"/>
        <w:rPr>
          <w:rFonts w:ascii="Times New Roman" w:hAnsi="Times New Roman"/>
          <w:color w:val="auto"/>
        </w:rPr>
      </w:pPr>
      <w:bookmarkStart w:id="3" w:name="_Toc111108958"/>
      <w:r>
        <w:rPr>
          <w:rFonts w:ascii="Times New Roman" w:hAnsi="Times New Roman"/>
          <w:color w:val="auto"/>
        </w:rPr>
        <w:t>2.</w:t>
      </w:r>
      <w:r>
        <w:tab/>
      </w:r>
      <w:r>
        <w:rPr>
          <w:rFonts w:ascii="Times New Roman" w:hAnsi="Times New Roman"/>
          <w:color w:val="auto"/>
        </w:rPr>
        <w:t>PRÁVNÍ ZÁKLAD</w:t>
      </w:r>
      <w:bookmarkEnd w:id="3"/>
    </w:p>
    <w:p w14:paraId="686EE5FE" w14:textId="605F1643" w:rsidR="00181EDF" w:rsidRDefault="00A97B6C" w:rsidP="003877C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 souladu s článkem 25 směrnice o bezpečnosti činností v odvětví ropy a zemního plynu v moři musí Komise zveřejňovat výroční zprávu o bezpečnosti činností v odvětví ropy a zemního plynu v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moři a jejich dopadu na životní prostředí. Tato zpráva vychází z jednotlivých výročních zpráv, které musí členské státy předkládat Komisi. Příloha IX bod 3 směrnice stanoví minimální informace, které musí výroční zprávy uvádět:</w:t>
      </w:r>
    </w:p>
    <w:p w14:paraId="017A38B7" w14:textId="77777777" w:rsidR="00181EDF" w:rsidRDefault="00A97B6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a) počet, stáří a umístění zařízení;</w:t>
      </w:r>
    </w:p>
    <w:p w14:paraId="48DE6620" w14:textId="747DBC49" w:rsidR="00181EDF" w:rsidRDefault="00A97B6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b) počet a druh provedených inspekcí a šetření, jakož i veškerých donucovacích opatření či rozsudků;</w:t>
      </w:r>
    </w:p>
    <w:p w14:paraId="1700A276" w14:textId="6F0302CE" w:rsidR="00181EDF" w:rsidRDefault="00A97B6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c) nehody, k nimž došlo;</w:t>
      </w:r>
    </w:p>
    <w:p w14:paraId="0E6536BA" w14:textId="77777777" w:rsidR="00181EDF" w:rsidRDefault="00A97B6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d) veškeré významné změny v regulačním rámci pro činnosti v odvětví ropy a zemního plynu v moři;</w:t>
      </w:r>
    </w:p>
    <w:p w14:paraId="5BF13757" w14:textId="77777777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e) výkonnost činností v odvětví ropy a zemního plynu v moři.</w:t>
      </w:r>
    </w:p>
    <w:p w14:paraId="4FE4E02B" w14:textId="5A42C528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Lhůta, ve které musí členské státy požadované informace zveřejňovat a předkládat, je den 1. června následujícího po vykazovaném období (např. 1. června 2021 pro rok 2020).</w:t>
      </w:r>
    </w:p>
    <w:p w14:paraId="64B83349" w14:textId="34E0DC09" w:rsidR="00B06A22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Členské státy musí při předkládání informací použít vzory stanovené v prováděcím nařízení Komise (EU) č. 1112/2014 ze dne 13. října 2014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</w:rPr>
        <w:t>. Tyto vzory umožňují:</w:t>
      </w:r>
    </w:p>
    <w:p w14:paraId="06180D12" w14:textId="357F49F3" w:rsidR="00B06A22" w:rsidRPr="00B06A22" w:rsidRDefault="00A97B6C" w:rsidP="00B06A2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provozovatelům a vlastníkům zařízení v odvětví ropy a zemního plynu v moři sdílet informace o ukazatelích významných rizik;</w:t>
      </w:r>
    </w:p>
    <w:p w14:paraId="2E25EB46" w14:textId="7DA3C7B3" w:rsidR="00B06A22" w:rsidRPr="00B06A22" w:rsidRDefault="00CC0F34" w:rsidP="00B06A2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členským státům zveřejnit informace o ukazatelích významných rizik. </w:t>
      </w:r>
    </w:p>
    <w:p w14:paraId="1A78AA1D" w14:textId="00A59A6C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Dokument s pokyny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obsahuje další konkrétní informace o prováděcím nařízení a vysvětluje, jak vzory pro podávání zpráv používat.</w:t>
      </w:r>
    </w:p>
    <w:p w14:paraId="2222E1DE" w14:textId="6C21D7DB" w:rsidR="00181EDF" w:rsidRDefault="00A97B6C">
      <w:pPr>
        <w:pStyle w:val="Heading1"/>
        <w:ind w:left="720" w:hanging="720"/>
        <w:rPr>
          <w:rFonts w:ascii="Times New Roman" w:hAnsi="Times New Roman"/>
          <w:color w:val="auto"/>
        </w:rPr>
      </w:pPr>
      <w:bookmarkStart w:id="4" w:name="_Toc111108959"/>
      <w:r>
        <w:rPr>
          <w:rFonts w:ascii="Times New Roman" w:hAnsi="Times New Roman"/>
          <w:color w:val="auto"/>
        </w:rPr>
        <w:t>3.</w:t>
      </w:r>
      <w:r>
        <w:tab/>
      </w:r>
      <w:r>
        <w:rPr>
          <w:rFonts w:ascii="Times New Roman" w:hAnsi="Times New Roman"/>
          <w:color w:val="auto"/>
        </w:rPr>
        <w:t>METODIKA A OBDRŽENÉ INFORMACE</w:t>
      </w:r>
      <w:bookmarkEnd w:id="4"/>
      <w:r>
        <w:rPr>
          <w:rFonts w:ascii="Times New Roman" w:hAnsi="Times New Roman"/>
          <w:color w:val="auto"/>
        </w:rPr>
        <w:t xml:space="preserve"> </w:t>
      </w:r>
    </w:p>
    <w:p w14:paraId="2F3FD87E" w14:textId="7623565A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Členské státy musí o bezpečnostních nehodách v odvětví ropy a zemního plynu na moři předložit jasně definované informace a použít pro to dané vzory. Údaje musí obsahovat informace o zařízeních v odvětví ropy a zemního plynu v moři v EU, např. jejich počet, druh, umístění a stáří. Zprávy členských států musí rovněž poskytovat informace o počtu i) provedených inspekcí na moři, vyšetřování a donucovacích opatření; ii) nehod podle kategorií; a iii) zranění.</w:t>
      </w:r>
    </w:p>
    <w:p w14:paraId="3F612141" w14:textId="61AB294A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Pro tuto výroční zprávu Komise použila informace poskytnuté Bulharskem, Chorvatskem, Kyprem, Dánskem, Francií, Německem, Řeckem, Irskem, Itálií, Nizozemskem, Polskem, Rumunskem a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Španělskem. Ostatní členské státy nebyly v odvětví ropy a zemního plynu v moři činné nebo nepředložily relevantní informace.</w:t>
      </w:r>
    </w:p>
    <w:p w14:paraId="0C459F65" w14:textId="081CC772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Všechny členské státy vykonávající činnosti v odvětví ropy a zemního plynu v moři prohlásily, že předložily veškeré požadované informace o všech zařízeních. </w:t>
      </w:r>
    </w:p>
    <w:p w14:paraId="6600A4EE" w14:textId="3438DE4C" w:rsidR="00181EDF" w:rsidRDefault="00A97B6C">
      <w:pPr>
        <w:pStyle w:val="Heading1"/>
        <w:ind w:left="720" w:hanging="720"/>
        <w:rPr>
          <w:rFonts w:ascii="Times New Roman" w:hAnsi="Times New Roman"/>
          <w:color w:val="auto"/>
        </w:rPr>
      </w:pPr>
      <w:bookmarkStart w:id="5" w:name="_Toc111108960"/>
      <w:r>
        <w:rPr>
          <w:rFonts w:ascii="Times New Roman" w:hAnsi="Times New Roman"/>
          <w:color w:val="auto"/>
        </w:rPr>
        <w:t>4.</w:t>
      </w:r>
      <w:r>
        <w:tab/>
      </w:r>
      <w:r>
        <w:rPr>
          <w:rFonts w:ascii="Times New Roman" w:hAnsi="Times New Roman"/>
          <w:color w:val="auto"/>
        </w:rPr>
        <w:t>ODVĚTVÍ ROPY A ZEMNÍHO PLYNU V MOŘÍCH EU</w:t>
      </w:r>
      <w:bookmarkEnd w:id="5"/>
    </w:p>
    <w:p w14:paraId="41C423FD" w14:textId="77777777" w:rsidR="00181EDF" w:rsidRDefault="00A97B6C">
      <w:pPr>
        <w:pStyle w:val="Heading2"/>
        <w:spacing w:after="120"/>
        <w:rPr>
          <w:rFonts w:ascii="Times New Roman" w:hAnsi="Times New Roman"/>
          <w:noProof/>
          <w:color w:val="auto"/>
        </w:rPr>
      </w:pPr>
      <w:bookmarkStart w:id="6" w:name="_Toc111108961"/>
      <w:r>
        <w:rPr>
          <w:rFonts w:ascii="Times New Roman" w:hAnsi="Times New Roman"/>
          <w:noProof/>
          <w:color w:val="auto"/>
        </w:rPr>
        <w:t>4.1 Zařízení a těžba</w:t>
      </w:r>
      <w:bookmarkEnd w:id="6"/>
    </w:p>
    <w:p w14:paraId="1046542E" w14:textId="081E6A25" w:rsidR="00D662B5" w:rsidRDefault="004A3796" w:rsidP="00D662B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Členské státy vykázaly v roce 2020 ve vodách EU 363 zařízení (viz tabulka 1):</w:t>
      </w:r>
    </w:p>
    <w:p w14:paraId="3A3F45B5" w14:textId="59022CF7" w:rsidR="00490B7E" w:rsidRPr="00D662B5" w:rsidRDefault="00B52C9F" w:rsidP="00D662B5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Většina zařízení v moři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se nachází v Severním moři a Atlantiku.</w:t>
      </w:r>
    </w:p>
    <w:p w14:paraId="09040CED" w14:textId="50CD9204" w:rsidR="00490B7E" w:rsidRPr="00490B7E" w:rsidRDefault="00954764" w:rsidP="00490B7E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Přibližně 42 % se nachází v nizozemské části Severního moře (známé jako výlučná ekonomická zóna Nizozemska).</w:t>
      </w:r>
    </w:p>
    <w:p w14:paraId="0B18AB46" w14:textId="15891D68" w:rsidR="00490B7E" w:rsidRPr="00490B7E" w:rsidRDefault="00A97B6C" w:rsidP="00490B7E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Ve Středozemním moři je nejaktivnějším členským státem Itálie (38 % všech zařízení ve vodách EU), kterou následuje Chorvatsko.</w:t>
      </w:r>
    </w:p>
    <w:p w14:paraId="4E89D393" w14:textId="7F4A9660" w:rsidR="00A6698A" w:rsidRDefault="00A97B6C" w:rsidP="00490B7E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Černém moři má dobře zavedené odvětví těžby ropy a zemního plynu na moři Rumunsko. Bulharsko pokračovalo v průzkumu uhlovodíků na moři, ale má pouze jedno zařízení, a proto těží jen velmi málo ropy a zemního plynu. </w:t>
      </w:r>
    </w:p>
    <w:p w14:paraId="1CA57F79" w14:textId="7044D68C" w:rsidR="00181EDF" w:rsidRPr="00A6698A" w:rsidRDefault="00A6698A" w:rsidP="00A6698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Baltském moři má zařízení v moři pouze Polsko. </w:t>
      </w:r>
    </w:p>
    <w:p w14:paraId="14180147" w14:textId="58BF6D94" w:rsidR="00181EDF" w:rsidRDefault="00A97B6C">
      <w:pPr>
        <w:pStyle w:val="Caption"/>
        <w:rPr>
          <w:noProof/>
        </w:rPr>
      </w:pPr>
      <w:r>
        <w:rPr>
          <w:noProof/>
        </w:rPr>
        <w:br w:type="page"/>
        <w:t>Tabulka 1: Zařízení ke dni 1. ledna 2020: druh zařízení podle regionu a členského státu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512"/>
        <w:gridCol w:w="1020"/>
        <w:gridCol w:w="1020"/>
        <w:gridCol w:w="1020"/>
        <w:gridCol w:w="1020"/>
        <w:gridCol w:w="1488"/>
      </w:tblGrid>
      <w:tr w:rsidR="00181EDF" w:rsidRPr="00F55FEB" w14:paraId="6860EFBB" w14:textId="77777777">
        <w:trPr>
          <w:trHeight w:val="292"/>
        </w:trPr>
        <w:tc>
          <w:tcPr>
            <w:tcW w:w="2628" w:type="dxa"/>
            <w:noWrap/>
            <w:hideMark/>
          </w:tcPr>
          <w:p w14:paraId="77F5BCBC" w14:textId="7E2BD1CC" w:rsidR="00181EDF" w:rsidRPr="00F55FEB" w:rsidRDefault="00A97B6C" w:rsidP="004B4572">
            <w:pPr>
              <w:rPr>
                <w:b/>
                <w:bCs/>
                <w:noProof/>
              </w:rPr>
            </w:pPr>
            <w:r>
              <w:rPr>
                <w:b/>
                <w:noProof/>
              </w:rPr>
              <w:t>Region</w:t>
            </w:r>
          </w:p>
        </w:tc>
        <w:tc>
          <w:tcPr>
            <w:tcW w:w="1512" w:type="dxa"/>
            <w:noWrap/>
          </w:tcPr>
          <w:p w14:paraId="29565E20" w14:textId="2EA205C2" w:rsidR="00181EDF" w:rsidRPr="00F0276C" w:rsidRDefault="004B4572">
            <w:pPr>
              <w:rPr>
                <w:b/>
                <w:bCs/>
                <w:noProof/>
              </w:rPr>
            </w:pPr>
            <w:r>
              <w:rPr>
                <w:b/>
                <w:noProof/>
              </w:rPr>
              <w:t>Země</w:t>
            </w:r>
          </w:p>
        </w:tc>
        <w:tc>
          <w:tcPr>
            <w:tcW w:w="5324" w:type="dxa"/>
            <w:gridSpan w:val="5"/>
            <w:noWrap/>
          </w:tcPr>
          <w:p w14:paraId="7165C5C4" w14:textId="77777777" w:rsidR="00181EDF" w:rsidRPr="00F0276C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Druh zařízení(*)</w:t>
            </w:r>
          </w:p>
        </w:tc>
      </w:tr>
      <w:tr w:rsidR="00181EDF" w14:paraId="44DD0948" w14:textId="77777777">
        <w:trPr>
          <w:trHeight w:val="292"/>
        </w:trPr>
        <w:tc>
          <w:tcPr>
            <w:tcW w:w="2628" w:type="dxa"/>
            <w:noWrap/>
          </w:tcPr>
          <w:p w14:paraId="69D9B8C4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</w:tcPr>
          <w:p w14:paraId="60921D41" w14:textId="77777777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</w:tcPr>
          <w:p w14:paraId="60792F9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FMI</w:t>
            </w:r>
          </w:p>
        </w:tc>
        <w:tc>
          <w:tcPr>
            <w:tcW w:w="1020" w:type="dxa"/>
            <w:noWrap/>
          </w:tcPr>
          <w:p w14:paraId="242379B1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NUI</w:t>
            </w:r>
          </w:p>
        </w:tc>
        <w:tc>
          <w:tcPr>
            <w:tcW w:w="1020" w:type="dxa"/>
            <w:noWrap/>
          </w:tcPr>
          <w:p w14:paraId="000039D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FNP</w:t>
            </w:r>
          </w:p>
        </w:tc>
        <w:tc>
          <w:tcPr>
            <w:tcW w:w="1020" w:type="dxa"/>
            <w:noWrap/>
          </w:tcPr>
          <w:p w14:paraId="23B8C6D4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FPI</w:t>
            </w:r>
          </w:p>
        </w:tc>
        <w:tc>
          <w:tcPr>
            <w:tcW w:w="1244" w:type="dxa"/>
            <w:noWrap/>
          </w:tcPr>
          <w:p w14:paraId="02B069F2" w14:textId="6BB00BC7" w:rsidR="00181EDF" w:rsidRDefault="00A97B6C">
            <w:pPr>
              <w:rPr>
                <w:noProof/>
              </w:rPr>
            </w:pPr>
            <w:r>
              <w:rPr>
                <w:noProof/>
              </w:rPr>
              <w:t>Celkem (region/země)</w:t>
            </w:r>
          </w:p>
        </w:tc>
      </w:tr>
      <w:tr w:rsidR="00181EDF" w14:paraId="5BD9B09E" w14:textId="77777777">
        <w:trPr>
          <w:trHeight w:val="292"/>
        </w:trPr>
        <w:tc>
          <w:tcPr>
            <w:tcW w:w="2628" w:type="dxa"/>
            <w:vMerge w:val="restart"/>
            <w:noWrap/>
            <w:hideMark/>
          </w:tcPr>
          <w:p w14:paraId="6EB9FAFA" w14:textId="77777777" w:rsidR="00181EDF" w:rsidRPr="00F0276C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Baltské moře</w:t>
            </w:r>
          </w:p>
          <w:p w14:paraId="6FDE4845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3D877E38" w14:textId="479A8C92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  <w:hideMark/>
          </w:tcPr>
          <w:p w14:paraId="12020DA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73D1807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4739A70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9C88225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6C35826E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81EDF" w14:paraId="0E7904BA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49598493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0A3FD9D1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Polsko</w:t>
            </w:r>
          </w:p>
        </w:tc>
        <w:tc>
          <w:tcPr>
            <w:tcW w:w="1020" w:type="dxa"/>
            <w:noWrap/>
            <w:hideMark/>
          </w:tcPr>
          <w:p w14:paraId="4E93D54E" w14:textId="706B5CDF" w:rsidR="00181EDF" w:rsidRDefault="007A004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186AFBE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5B4DF22E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850A9D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298FD8B3" w14:textId="69E9B694" w:rsidR="00181EDF" w:rsidRDefault="007A004F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81EDF" w14:paraId="35B6D3A0" w14:textId="77777777">
        <w:trPr>
          <w:trHeight w:val="292"/>
        </w:trPr>
        <w:tc>
          <w:tcPr>
            <w:tcW w:w="2628" w:type="dxa"/>
            <w:vMerge w:val="restart"/>
            <w:noWrap/>
            <w:hideMark/>
          </w:tcPr>
          <w:p w14:paraId="53B701CD" w14:textId="77777777" w:rsidR="00181EDF" w:rsidRPr="00F0276C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Černé moře</w:t>
            </w:r>
          </w:p>
          <w:p w14:paraId="2ECCF216" w14:textId="77777777" w:rsidR="00181EDF" w:rsidRPr="00F0276C" w:rsidRDefault="00181EDF">
            <w:pPr>
              <w:rPr>
                <w:b/>
                <w:noProof/>
              </w:rPr>
            </w:pPr>
          </w:p>
          <w:p w14:paraId="076FFCF4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6E47D0A3" w14:textId="111F8B1D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  <w:hideMark/>
          </w:tcPr>
          <w:p w14:paraId="541BFFA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020" w:type="dxa"/>
            <w:noWrap/>
            <w:hideMark/>
          </w:tcPr>
          <w:p w14:paraId="512BFFBD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1FFECD7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D1D96AB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4329CD5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181EDF" w14:paraId="7A29956C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41E17F3C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02DB0009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Bulharsko</w:t>
            </w:r>
          </w:p>
        </w:tc>
        <w:tc>
          <w:tcPr>
            <w:tcW w:w="1020" w:type="dxa"/>
            <w:noWrap/>
            <w:hideMark/>
          </w:tcPr>
          <w:p w14:paraId="269D0794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13875FB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1E131E6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E818DB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2B265F7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81EDF" w14:paraId="4BA2B9D1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285642BA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104AA207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Rumunsko</w:t>
            </w:r>
          </w:p>
        </w:tc>
        <w:tc>
          <w:tcPr>
            <w:tcW w:w="1020" w:type="dxa"/>
            <w:noWrap/>
            <w:hideMark/>
          </w:tcPr>
          <w:p w14:paraId="1A36B2D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020" w:type="dxa"/>
            <w:noWrap/>
            <w:hideMark/>
          </w:tcPr>
          <w:p w14:paraId="3F76F8A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522F159C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35CD8D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4BF686EB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181EDF" w14:paraId="7A5FF3F0" w14:textId="77777777">
        <w:trPr>
          <w:trHeight w:val="292"/>
        </w:trPr>
        <w:tc>
          <w:tcPr>
            <w:tcW w:w="2628" w:type="dxa"/>
            <w:vMerge w:val="restart"/>
            <w:noWrap/>
            <w:hideMark/>
          </w:tcPr>
          <w:p w14:paraId="3CBF559A" w14:textId="4A98361A" w:rsidR="00181EDF" w:rsidRPr="00F0276C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Středozemní moře</w:t>
            </w:r>
          </w:p>
        </w:tc>
        <w:tc>
          <w:tcPr>
            <w:tcW w:w="1512" w:type="dxa"/>
            <w:noWrap/>
            <w:hideMark/>
          </w:tcPr>
          <w:p w14:paraId="1343C426" w14:textId="49157EBC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  <w:hideMark/>
          </w:tcPr>
          <w:p w14:paraId="29C8990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020" w:type="dxa"/>
            <w:noWrap/>
            <w:hideMark/>
          </w:tcPr>
          <w:p w14:paraId="0FA49138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147</w:t>
            </w:r>
          </w:p>
        </w:tc>
        <w:tc>
          <w:tcPr>
            <w:tcW w:w="1020" w:type="dxa"/>
            <w:noWrap/>
            <w:hideMark/>
          </w:tcPr>
          <w:p w14:paraId="3763D0BC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B4B8967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44" w:type="dxa"/>
            <w:noWrap/>
            <w:hideMark/>
          </w:tcPr>
          <w:p w14:paraId="6BE2E45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165</w:t>
            </w:r>
          </w:p>
        </w:tc>
      </w:tr>
      <w:tr w:rsidR="00181EDF" w14:paraId="333EF8D6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4E1E3FE3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7985D17C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Chorvatsko</w:t>
            </w:r>
          </w:p>
        </w:tc>
        <w:tc>
          <w:tcPr>
            <w:tcW w:w="1020" w:type="dxa"/>
            <w:noWrap/>
            <w:hideMark/>
          </w:tcPr>
          <w:p w14:paraId="1DC2831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4A2B41A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1020" w:type="dxa"/>
            <w:noWrap/>
            <w:hideMark/>
          </w:tcPr>
          <w:p w14:paraId="78825DA9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3C500CDD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660A467C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181EDF" w14:paraId="7A3909C6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11DCF1E7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6438DB52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Řecko</w:t>
            </w:r>
          </w:p>
        </w:tc>
        <w:tc>
          <w:tcPr>
            <w:tcW w:w="1020" w:type="dxa"/>
            <w:noWrap/>
            <w:hideMark/>
          </w:tcPr>
          <w:p w14:paraId="7442BFA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3FBFC5A8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3B0EA34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3B9A0407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1E994D59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81EDF" w14:paraId="150E4F46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7938E4D7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16B00C5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Itálie</w:t>
            </w:r>
          </w:p>
        </w:tc>
        <w:tc>
          <w:tcPr>
            <w:tcW w:w="1020" w:type="dxa"/>
            <w:noWrap/>
            <w:hideMark/>
          </w:tcPr>
          <w:p w14:paraId="7AD50471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020" w:type="dxa"/>
            <w:noWrap/>
            <w:hideMark/>
          </w:tcPr>
          <w:p w14:paraId="591869C5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126</w:t>
            </w:r>
          </w:p>
        </w:tc>
        <w:tc>
          <w:tcPr>
            <w:tcW w:w="1020" w:type="dxa"/>
            <w:noWrap/>
            <w:hideMark/>
          </w:tcPr>
          <w:p w14:paraId="189E9B3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7B43424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44" w:type="dxa"/>
            <w:noWrap/>
            <w:hideMark/>
          </w:tcPr>
          <w:p w14:paraId="7741094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140</w:t>
            </w:r>
          </w:p>
        </w:tc>
      </w:tr>
      <w:tr w:rsidR="00181EDF" w14:paraId="37FE965A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6103FFC7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71785CD7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Španělsko</w:t>
            </w:r>
          </w:p>
        </w:tc>
        <w:tc>
          <w:tcPr>
            <w:tcW w:w="1020" w:type="dxa"/>
            <w:noWrap/>
            <w:hideMark/>
          </w:tcPr>
          <w:p w14:paraId="318EA55C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486A7AA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37EF8C3E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BE3F5D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735C538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81EDF" w14:paraId="57724361" w14:textId="77777777">
        <w:trPr>
          <w:trHeight w:val="292"/>
        </w:trPr>
        <w:tc>
          <w:tcPr>
            <w:tcW w:w="2628" w:type="dxa"/>
            <w:vMerge w:val="restart"/>
            <w:noWrap/>
            <w:hideMark/>
          </w:tcPr>
          <w:p w14:paraId="3CDAC8D9" w14:textId="77777777" w:rsidR="00181EDF" w:rsidRPr="00F0276C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Severní moře a Atlantský oceán</w:t>
            </w:r>
          </w:p>
        </w:tc>
        <w:tc>
          <w:tcPr>
            <w:tcW w:w="1512" w:type="dxa"/>
            <w:noWrap/>
            <w:hideMark/>
          </w:tcPr>
          <w:p w14:paraId="3057F19E" w14:textId="4117BB90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  <w:hideMark/>
          </w:tcPr>
          <w:p w14:paraId="38DD0A7F" w14:textId="1710C628" w:rsidR="00181EDF" w:rsidRDefault="007A004F">
            <w:pPr>
              <w:rPr>
                <w:noProof/>
              </w:rPr>
            </w:pPr>
            <w:r>
              <w:rPr>
                <w:noProof/>
              </w:rPr>
              <w:t>59</w:t>
            </w:r>
          </w:p>
        </w:tc>
        <w:tc>
          <w:tcPr>
            <w:tcW w:w="1020" w:type="dxa"/>
            <w:noWrap/>
            <w:hideMark/>
          </w:tcPr>
          <w:p w14:paraId="12E88AA6" w14:textId="72B3E73C" w:rsidR="00181EDF" w:rsidRDefault="007A004F" w:rsidP="007A004F">
            <w:pPr>
              <w:rPr>
                <w:noProof/>
              </w:rPr>
            </w:pPr>
            <w:r>
              <w:rPr>
                <w:noProof/>
              </w:rPr>
              <w:t>127</w:t>
            </w:r>
          </w:p>
        </w:tc>
        <w:tc>
          <w:tcPr>
            <w:tcW w:w="1020" w:type="dxa"/>
            <w:noWrap/>
            <w:hideMark/>
          </w:tcPr>
          <w:p w14:paraId="7E1BB3FB" w14:textId="4F29D0FF" w:rsidR="00181EDF" w:rsidRDefault="007A004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07D48E70" w14:textId="13542C06" w:rsidR="00181EDF" w:rsidRDefault="007A004F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006901AF" w14:textId="1C7191A8" w:rsidR="00181EDF" w:rsidRDefault="007A004F">
            <w:pPr>
              <w:rPr>
                <w:noProof/>
              </w:rPr>
            </w:pPr>
            <w:r>
              <w:rPr>
                <w:noProof/>
              </w:rPr>
              <w:t>187</w:t>
            </w:r>
          </w:p>
        </w:tc>
      </w:tr>
      <w:tr w:rsidR="00181EDF" w14:paraId="042F8841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558FD1E8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09748834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Dánsko</w:t>
            </w:r>
          </w:p>
        </w:tc>
        <w:tc>
          <w:tcPr>
            <w:tcW w:w="1020" w:type="dxa"/>
            <w:noWrap/>
            <w:hideMark/>
          </w:tcPr>
          <w:p w14:paraId="5699DAF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020" w:type="dxa"/>
            <w:noWrap/>
            <w:hideMark/>
          </w:tcPr>
          <w:p w14:paraId="6772897A" w14:textId="47FFB4EE" w:rsidR="00181EDF" w:rsidRDefault="005102A8">
            <w:pPr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020" w:type="dxa"/>
            <w:noWrap/>
            <w:hideMark/>
          </w:tcPr>
          <w:p w14:paraId="3010F34D" w14:textId="0F106DE8" w:rsidR="00181EDF" w:rsidRDefault="005102A8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15528C9E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1AE9535B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181EDF" w14:paraId="7959ACAC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2E8ACFF3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1E5868C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Německo</w:t>
            </w:r>
          </w:p>
        </w:tc>
        <w:tc>
          <w:tcPr>
            <w:tcW w:w="1020" w:type="dxa"/>
            <w:noWrap/>
            <w:hideMark/>
          </w:tcPr>
          <w:p w14:paraId="40B9844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28143850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AC1287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4F39F0B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7CD458A5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81EDF" w14:paraId="373119C0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004230B5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06534AB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Irsko</w:t>
            </w:r>
          </w:p>
        </w:tc>
        <w:tc>
          <w:tcPr>
            <w:tcW w:w="1020" w:type="dxa"/>
            <w:noWrap/>
            <w:hideMark/>
          </w:tcPr>
          <w:p w14:paraId="4466732D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295D50A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7BEB5541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E3288DD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43B94FA4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81EDF" w14:paraId="4777F59A" w14:textId="77777777">
        <w:trPr>
          <w:trHeight w:val="292"/>
        </w:trPr>
        <w:tc>
          <w:tcPr>
            <w:tcW w:w="2628" w:type="dxa"/>
            <w:vMerge/>
            <w:noWrap/>
            <w:hideMark/>
          </w:tcPr>
          <w:p w14:paraId="71B5A60D" w14:textId="77777777" w:rsidR="00181EDF" w:rsidRPr="00F0276C" w:rsidRDefault="00181EDF">
            <w:pPr>
              <w:rPr>
                <w:b/>
                <w:noProof/>
              </w:rPr>
            </w:pPr>
          </w:p>
        </w:tc>
        <w:tc>
          <w:tcPr>
            <w:tcW w:w="1512" w:type="dxa"/>
            <w:noWrap/>
            <w:hideMark/>
          </w:tcPr>
          <w:p w14:paraId="60B02F9D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Nizozemsko</w:t>
            </w:r>
          </w:p>
        </w:tc>
        <w:tc>
          <w:tcPr>
            <w:tcW w:w="1020" w:type="dxa"/>
            <w:noWrap/>
            <w:hideMark/>
          </w:tcPr>
          <w:p w14:paraId="621F93A4" w14:textId="77777777" w:rsidR="00181EDF" w:rsidRDefault="007C7B5A" w:rsidP="007C7B5A">
            <w:pPr>
              <w:rPr>
                <w:noProof/>
              </w:rPr>
            </w:pPr>
            <w:r>
              <w:rPr>
                <w:noProof/>
              </w:rPr>
              <w:t>46</w:t>
            </w:r>
          </w:p>
        </w:tc>
        <w:tc>
          <w:tcPr>
            <w:tcW w:w="1020" w:type="dxa"/>
            <w:noWrap/>
            <w:hideMark/>
          </w:tcPr>
          <w:p w14:paraId="706FF336" w14:textId="6690899F" w:rsidR="00181EDF" w:rsidRDefault="007C7B5A" w:rsidP="005102A8">
            <w:pPr>
              <w:rPr>
                <w:noProof/>
              </w:rPr>
            </w:pPr>
            <w:r>
              <w:rPr>
                <w:noProof/>
              </w:rPr>
              <w:t>105</w:t>
            </w:r>
          </w:p>
        </w:tc>
        <w:tc>
          <w:tcPr>
            <w:tcW w:w="1020" w:type="dxa"/>
            <w:noWrap/>
            <w:hideMark/>
          </w:tcPr>
          <w:p w14:paraId="11D24965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4B565506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4A089CE6" w14:textId="1033590D" w:rsidR="00181EDF" w:rsidRDefault="007C7B5A" w:rsidP="005102A8">
            <w:pPr>
              <w:rPr>
                <w:noProof/>
              </w:rPr>
            </w:pPr>
            <w:r>
              <w:rPr>
                <w:noProof/>
              </w:rPr>
              <w:t>151</w:t>
            </w:r>
          </w:p>
        </w:tc>
      </w:tr>
      <w:tr w:rsidR="00181EDF" w14:paraId="0BADFDF9" w14:textId="77777777">
        <w:trPr>
          <w:trHeight w:val="292"/>
        </w:trPr>
        <w:tc>
          <w:tcPr>
            <w:tcW w:w="2628" w:type="dxa"/>
            <w:noWrap/>
            <w:hideMark/>
          </w:tcPr>
          <w:p w14:paraId="6015EAD0" w14:textId="721C787E" w:rsidR="00181EDF" w:rsidRPr="00F0276C" w:rsidRDefault="00A97B6C" w:rsidP="004256B9">
            <w:pPr>
              <w:rPr>
                <w:b/>
                <w:noProof/>
              </w:rPr>
            </w:pPr>
            <w:r>
              <w:rPr>
                <w:b/>
                <w:noProof/>
              </w:rPr>
              <w:t>Celkem (druh zařízení)</w:t>
            </w:r>
          </w:p>
        </w:tc>
        <w:tc>
          <w:tcPr>
            <w:tcW w:w="1512" w:type="dxa"/>
            <w:noWrap/>
            <w:hideMark/>
          </w:tcPr>
          <w:p w14:paraId="43DE0D8C" w14:textId="77777777" w:rsidR="00181EDF" w:rsidRDefault="00181EDF">
            <w:pPr>
              <w:rPr>
                <w:noProof/>
              </w:rPr>
            </w:pPr>
          </w:p>
        </w:tc>
        <w:tc>
          <w:tcPr>
            <w:tcW w:w="1020" w:type="dxa"/>
            <w:noWrap/>
            <w:hideMark/>
          </w:tcPr>
          <w:p w14:paraId="38BA817C" w14:textId="4FC909C7" w:rsidR="00181EDF" w:rsidRDefault="005102A8">
            <w:pPr>
              <w:rPr>
                <w:noProof/>
              </w:rPr>
            </w:pPr>
            <w:r>
              <w:rPr>
                <w:noProof/>
              </w:rPr>
              <w:t>84</w:t>
            </w:r>
          </w:p>
        </w:tc>
        <w:tc>
          <w:tcPr>
            <w:tcW w:w="1020" w:type="dxa"/>
            <w:noWrap/>
            <w:hideMark/>
          </w:tcPr>
          <w:p w14:paraId="660652C7" w14:textId="57A8A61B" w:rsidR="00181EDF" w:rsidRDefault="005102A8">
            <w:pPr>
              <w:rPr>
                <w:noProof/>
              </w:rPr>
            </w:pPr>
            <w:r>
              <w:rPr>
                <w:noProof/>
              </w:rPr>
              <w:t>276</w:t>
            </w:r>
          </w:p>
        </w:tc>
        <w:tc>
          <w:tcPr>
            <w:tcW w:w="1020" w:type="dxa"/>
            <w:noWrap/>
            <w:hideMark/>
          </w:tcPr>
          <w:p w14:paraId="1BA2893E" w14:textId="4CE19391" w:rsidR="00181EDF" w:rsidRDefault="005102A8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4577C70C" w14:textId="31B9C695" w:rsidR="00181EDF" w:rsidRDefault="005102A8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44" w:type="dxa"/>
            <w:noWrap/>
            <w:hideMark/>
          </w:tcPr>
          <w:p w14:paraId="1F1BE1B1" w14:textId="77777777" w:rsidR="00181EDF" w:rsidRDefault="007C7B5A" w:rsidP="007C7B5A">
            <w:pPr>
              <w:rPr>
                <w:noProof/>
              </w:rPr>
            </w:pPr>
            <w:r>
              <w:rPr>
                <w:noProof/>
              </w:rPr>
              <w:t>363</w:t>
            </w:r>
          </w:p>
        </w:tc>
      </w:tr>
    </w:tbl>
    <w:p w14:paraId="2CF4F58D" w14:textId="77777777" w:rsidR="00181EDF" w:rsidRDefault="00181EDF">
      <w:pPr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8"/>
        <w:gridCol w:w="1484"/>
      </w:tblGrid>
      <w:tr w:rsidR="00181EDF" w14:paraId="08559B97" w14:textId="77777777">
        <w:trPr>
          <w:trHeight w:val="300"/>
          <w:jc w:val="center"/>
        </w:trPr>
        <w:tc>
          <w:tcPr>
            <w:tcW w:w="42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7CEFA0" w14:textId="136419E0" w:rsidR="00181EDF" w:rsidRDefault="00A97B6C" w:rsidP="00152365">
            <w:pPr>
              <w:spacing w:before="60" w:after="6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(*) FMI: FMI – pevné zařízení s osádkou, FNP: pevné jiné než těžební zařízení, FPI: plovoucí těžební zařízení, NUI: zařízení, které je běžně bez obsluhy.</w:t>
            </w:r>
          </w:p>
        </w:tc>
        <w:tc>
          <w:tcPr>
            <w:tcW w:w="745" w:type="pct"/>
            <w:tcBorders>
              <w:left w:val="nil"/>
              <w:bottom w:val="nil"/>
              <w:right w:val="nil"/>
            </w:tcBorders>
          </w:tcPr>
          <w:p w14:paraId="700198F3" w14:textId="77777777" w:rsidR="00181EDF" w:rsidRDefault="00181EDF">
            <w:pPr>
              <w:spacing w:before="60" w:after="60" w:line="240" w:lineRule="auto"/>
              <w:rPr>
                <w:rFonts w:ascii="Times New Roman" w:hAnsi="Times New Roman"/>
                <w:b/>
                <w:bCs/>
                <w:noProof/>
              </w:rPr>
            </w:pPr>
          </w:p>
        </w:tc>
      </w:tr>
    </w:tbl>
    <w:p w14:paraId="573EA654" w14:textId="77777777" w:rsidR="00181EDF" w:rsidRDefault="00181ED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197FC061" w14:textId="440CA481" w:rsidR="00A21F81" w:rsidRPr="00A21F81" w:rsidRDefault="00A21F81" w:rsidP="00A21F8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Více než polovina zařízení v moři byla uvedena do provozu v letech 1980 až 2000; v roce 2020 nebyla uvedena do provozu žádná nová pevná zařízení. Od roku 2010 výrazně klesá výstavba nových těžebních zařízení v regionu Severního moře a Atlantského oceánu.</w:t>
      </w:r>
    </w:p>
    <w:p w14:paraId="5504173D" w14:textId="03DB20CC" w:rsidR="005102A8" w:rsidRDefault="00644AF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 Severním moři a Atlantiku se těží přibližně 81 % domácí ropy a zemního plynu v EU (18 795 kilotun ropného ekvivalentu) (viz tabulka 2). Nejvíce zde těží Nizozemsko a Dánsko. Ve Středozemním moři nejvíce těží Itálie a Chorvatsko. V Černém moři je významná pouze těžba Rumunska.</w:t>
      </w:r>
    </w:p>
    <w:p w14:paraId="0A935501" w14:textId="77777777" w:rsidR="005102A8" w:rsidRDefault="005102A8" w:rsidP="005102A8">
      <w:pPr>
        <w:pStyle w:val="Caption"/>
        <w:rPr>
          <w:noProof/>
        </w:rPr>
      </w:pPr>
      <w:r>
        <w:rPr>
          <w:noProof/>
        </w:rPr>
        <w:t>Tabulka 2: Těžba ropy a zemního plynu v moři v EU v kilotunách ropného ekvivalentu (ktoe) v roce 2020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843"/>
        <w:gridCol w:w="2354"/>
        <w:gridCol w:w="2849"/>
        <w:gridCol w:w="2636"/>
      </w:tblGrid>
      <w:tr w:rsidR="005102A8" w14:paraId="60193552" w14:textId="77777777" w:rsidTr="007F3BE6">
        <w:trPr>
          <w:trHeight w:val="300"/>
        </w:trPr>
        <w:tc>
          <w:tcPr>
            <w:tcW w:w="2843" w:type="dxa"/>
            <w:noWrap/>
            <w:hideMark/>
          </w:tcPr>
          <w:p w14:paraId="5130C7A7" w14:textId="6EF84884" w:rsidR="005102A8" w:rsidRDefault="005102A8" w:rsidP="00E53A80">
            <w:pPr>
              <w:rPr>
                <w:b/>
                <w:noProof/>
              </w:rPr>
            </w:pPr>
            <w:r>
              <w:rPr>
                <w:b/>
                <w:noProof/>
              </w:rPr>
              <w:t>Region</w:t>
            </w:r>
          </w:p>
        </w:tc>
        <w:tc>
          <w:tcPr>
            <w:tcW w:w="2354" w:type="dxa"/>
            <w:noWrap/>
            <w:hideMark/>
          </w:tcPr>
          <w:p w14:paraId="576825A9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Země</w:t>
            </w:r>
          </w:p>
        </w:tc>
        <w:tc>
          <w:tcPr>
            <w:tcW w:w="2849" w:type="dxa"/>
            <w:noWrap/>
            <w:hideMark/>
          </w:tcPr>
          <w:p w14:paraId="5179B5FC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ktoe</w:t>
            </w:r>
          </w:p>
        </w:tc>
        <w:tc>
          <w:tcPr>
            <w:tcW w:w="2636" w:type="dxa"/>
            <w:noWrap/>
            <w:hideMark/>
          </w:tcPr>
          <w:p w14:paraId="45476C79" w14:textId="144E464E" w:rsidR="005102A8" w:rsidRDefault="005102A8" w:rsidP="00E53A80">
            <w:pPr>
              <w:rPr>
                <w:b/>
                <w:noProof/>
              </w:rPr>
            </w:pPr>
            <w:r>
              <w:rPr>
                <w:b/>
                <w:noProof/>
              </w:rPr>
              <w:t>Podíl na celkové těžbě v EU v %</w:t>
            </w:r>
          </w:p>
        </w:tc>
      </w:tr>
      <w:tr w:rsidR="005102A8" w14:paraId="3D27CCF4" w14:textId="77777777" w:rsidTr="007F3BE6">
        <w:trPr>
          <w:trHeight w:val="300"/>
        </w:trPr>
        <w:tc>
          <w:tcPr>
            <w:tcW w:w="28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21F830D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Baltské moře</w:t>
            </w:r>
          </w:p>
        </w:tc>
        <w:tc>
          <w:tcPr>
            <w:tcW w:w="2354" w:type="dxa"/>
            <w:tcBorders>
              <w:left w:val="single" w:sz="4" w:space="0" w:color="FFFFFF" w:themeColor="background1"/>
            </w:tcBorders>
            <w:noWrap/>
            <w:hideMark/>
          </w:tcPr>
          <w:p w14:paraId="4DF351A7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0A905BE6" w14:textId="77777777" w:rsidR="005102A8" w:rsidRDefault="005102A8" w:rsidP="007F3B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249</w:t>
            </w:r>
          </w:p>
        </w:tc>
        <w:tc>
          <w:tcPr>
            <w:tcW w:w="2636" w:type="dxa"/>
            <w:noWrap/>
            <w:vAlign w:val="bottom"/>
            <w:hideMark/>
          </w:tcPr>
          <w:p w14:paraId="5F222D11" w14:textId="10B96BD7" w:rsidR="005102A8" w:rsidRDefault="005102A8" w:rsidP="007F3B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1,3 %</w:t>
            </w:r>
          </w:p>
        </w:tc>
      </w:tr>
      <w:tr w:rsidR="005102A8" w14:paraId="1E73584F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</w:tcBorders>
            <w:noWrap/>
          </w:tcPr>
          <w:p w14:paraId="3AEE7612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hideMark/>
          </w:tcPr>
          <w:p w14:paraId="69346AAD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</w:rPr>
              <w:t>Polsko</w:t>
            </w:r>
          </w:p>
        </w:tc>
        <w:tc>
          <w:tcPr>
            <w:tcW w:w="2849" w:type="dxa"/>
            <w:noWrap/>
            <w:vAlign w:val="bottom"/>
            <w:hideMark/>
          </w:tcPr>
          <w:p w14:paraId="1AED5C65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249</w:t>
            </w:r>
          </w:p>
        </w:tc>
        <w:tc>
          <w:tcPr>
            <w:tcW w:w="2636" w:type="dxa"/>
            <w:noWrap/>
            <w:vAlign w:val="bottom"/>
            <w:hideMark/>
          </w:tcPr>
          <w:p w14:paraId="1EFE5799" w14:textId="20264710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1,3 %</w:t>
            </w:r>
          </w:p>
        </w:tc>
      </w:tr>
      <w:tr w:rsidR="005102A8" w14:paraId="6DF01A9E" w14:textId="77777777" w:rsidTr="007F3BE6">
        <w:trPr>
          <w:trHeight w:val="300"/>
        </w:trPr>
        <w:tc>
          <w:tcPr>
            <w:tcW w:w="28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A0F8C5D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Černé moře</w:t>
            </w:r>
          </w:p>
        </w:tc>
        <w:tc>
          <w:tcPr>
            <w:tcW w:w="2354" w:type="dxa"/>
            <w:tcBorders>
              <w:left w:val="single" w:sz="4" w:space="0" w:color="FFFFFF" w:themeColor="background1"/>
            </w:tcBorders>
            <w:noWrap/>
            <w:hideMark/>
          </w:tcPr>
          <w:p w14:paraId="5188B86E" w14:textId="77777777" w:rsidR="005102A8" w:rsidRDefault="005102A8" w:rsidP="007F3BE6">
            <w:pPr>
              <w:rPr>
                <w:noProof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05183C57" w14:textId="7031F6ED" w:rsidR="005102A8" w:rsidRDefault="005102A8" w:rsidP="007F3B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1 179</w:t>
            </w:r>
          </w:p>
        </w:tc>
        <w:tc>
          <w:tcPr>
            <w:tcW w:w="2636" w:type="dxa"/>
            <w:noWrap/>
            <w:vAlign w:val="bottom"/>
            <w:hideMark/>
          </w:tcPr>
          <w:p w14:paraId="0DCF8A0F" w14:textId="1AF342FC" w:rsidR="005102A8" w:rsidRDefault="005102A8" w:rsidP="005102A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5,9 %</w:t>
            </w:r>
          </w:p>
        </w:tc>
      </w:tr>
      <w:tr w:rsidR="005102A8" w14:paraId="5F07DDB5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F3A0FF1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hideMark/>
          </w:tcPr>
          <w:p w14:paraId="618263CB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</w:rPr>
              <w:t>Bulharsko</w:t>
            </w:r>
          </w:p>
        </w:tc>
        <w:tc>
          <w:tcPr>
            <w:tcW w:w="2849" w:type="dxa"/>
            <w:noWrap/>
            <w:vAlign w:val="bottom"/>
            <w:hideMark/>
          </w:tcPr>
          <w:p w14:paraId="623B5B61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30</w:t>
            </w:r>
          </w:p>
        </w:tc>
        <w:tc>
          <w:tcPr>
            <w:tcW w:w="2636" w:type="dxa"/>
            <w:noWrap/>
            <w:vAlign w:val="bottom"/>
            <w:hideMark/>
          </w:tcPr>
          <w:p w14:paraId="1A2D8304" w14:textId="3B6DE506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0,1 %</w:t>
            </w:r>
          </w:p>
        </w:tc>
      </w:tr>
      <w:tr w:rsidR="005102A8" w14:paraId="03A90F1C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</w:tcBorders>
            <w:noWrap/>
          </w:tcPr>
          <w:p w14:paraId="4BD15DDE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hideMark/>
          </w:tcPr>
          <w:p w14:paraId="3A0AE3D1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</w:rPr>
              <w:t>Rumunsko</w:t>
            </w:r>
          </w:p>
        </w:tc>
        <w:tc>
          <w:tcPr>
            <w:tcW w:w="2849" w:type="dxa"/>
            <w:noWrap/>
            <w:vAlign w:val="bottom"/>
            <w:hideMark/>
          </w:tcPr>
          <w:p w14:paraId="4ED29E6B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1149</w:t>
            </w:r>
          </w:p>
        </w:tc>
        <w:tc>
          <w:tcPr>
            <w:tcW w:w="2636" w:type="dxa"/>
            <w:noWrap/>
            <w:vAlign w:val="bottom"/>
            <w:hideMark/>
          </w:tcPr>
          <w:p w14:paraId="01145261" w14:textId="6326D3D0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5,8 %</w:t>
            </w:r>
          </w:p>
        </w:tc>
      </w:tr>
      <w:tr w:rsidR="005102A8" w14:paraId="6ED746A4" w14:textId="77777777" w:rsidTr="007F3BE6">
        <w:trPr>
          <w:trHeight w:val="300"/>
        </w:trPr>
        <w:tc>
          <w:tcPr>
            <w:tcW w:w="28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7B55DAC" w14:textId="3F8EC61E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Středozemní moře</w:t>
            </w:r>
          </w:p>
        </w:tc>
        <w:tc>
          <w:tcPr>
            <w:tcW w:w="2354" w:type="dxa"/>
            <w:tcBorders>
              <w:left w:val="single" w:sz="4" w:space="0" w:color="FFFFFF" w:themeColor="background1"/>
            </w:tcBorders>
            <w:noWrap/>
            <w:hideMark/>
          </w:tcPr>
          <w:p w14:paraId="53D74CCF" w14:textId="77777777" w:rsidR="005102A8" w:rsidRDefault="005102A8" w:rsidP="007F3BE6">
            <w:pPr>
              <w:rPr>
                <w:noProof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05AA7A0D" w14:textId="40CE8251" w:rsidR="005102A8" w:rsidRDefault="005102A8" w:rsidP="007F3B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2 790</w:t>
            </w:r>
          </w:p>
        </w:tc>
        <w:tc>
          <w:tcPr>
            <w:tcW w:w="2636" w:type="dxa"/>
            <w:noWrap/>
            <w:vAlign w:val="bottom"/>
            <w:hideMark/>
          </w:tcPr>
          <w:p w14:paraId="7818EA09" w14:textId="0F9B5C17" w:rsidR="005102A8" w:rsidRDefault="005102A8" w:rsidP="005102A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13,9 %</w:t>
            </w:r>
          </w:p>
        </w:tc>
      </w:tr>
      <w:tr w:rsidR="005102A8" w14:paraId="7206FF9A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3BDE6A8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37469638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Chorvatsko</w:t>
            </w:r>
          </w:p>
        </w:tc>
        <w:tc>
          <w:tcPr>
            <w:tcW w:w="2849" w:type="dxa"/>
            <w:noWrap/>
            <w:vAlign w:val="bottom"/>
          </w:tcPr>
          <w:p w14:paraId="29FDBE5B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241</w:t>
            </w:r>
          </w:p>
        </w:tc>
        <w:tc>
          <w:tcPr>
            <w:tcW w:w="2636" w:type="dxa"/>
            <w:noWrap/>
            <w:vAlign w:val="bottom"/>
          </w:tcPr>
          <w:p w14:paraId="067C8500" w14:textId="6898D673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1,2 %</w:t>
            </w:r>
          </w:p>
        </w:tc>
      </w:tr>
      <w:tr w:rsidR="005102A8" w14:paraId="3B66053C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1188B667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44CA3FD8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Řecko</w:t>
            </w:r>
          </w:p>
        </w:tc>
        <w:tc>
          <w:tcPr>
            <w:tcW w:w="2849" w:type="dxa"/>
            <w:noWrap/>
            <w:vAlign w:val="bottom"/>
          </w:tcPr>
          <w:p w14:paraId="1E0024AD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97</w:t>
            </w:r>
          </w:p>
        </w:tc>
        <w:tc>
          <w:tcPr>
            <w:tcW w:w="2636" w:type="dxa"/>
            <w:noWrap/>
            <w:vAlign w:val="bottom"/>
          </w:tcPr>
          <w:p w14:paraId="068BC736" w14:textId="1EF19EBA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0,5 %</w:t>
            </w:r>
          </w:p>
        </w:tc>
      </w:tr>
      <w:tr w:rsidR="005102A8" w14:paraId="4D873B46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3E3A57D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5F508C51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Itálie</w:t>
            </w:r>
          </w:p>
        </w:tc>
        <w:tc>
          <w:tcPr>
            <w:tcW w:w="2849" w:type="dxa"/>
            <w:noWrap/>
            <w:vAlign w:val="bottom"/>
          </w:tcPr>
          <w:p w14:paraId="3023EC73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2422</w:t>
            </w:r>
          </w:p>
        </w:tc>
        <w:tc>
          <w:tcPr>
            <w:tcW w:w="2636" w:type="dxa"/>
            <w:noWrap/>
            <w:vAlign w:val="bottom"/>
          </w:tcPr>
          <w:p w14:paraId="6D32B644" w14:textId="1DF959E9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12,1 %</w:t>
            </w:r>
          </w:p>
        </w:tc>
      </w:tr>
      <w:tr w:rsidR="005102A8" w14:paraId="793ABFAA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</w:tcBorders>
            <w:noWrap/>
          </w:tcPr>
          <w:p w14:paraId="57F9CDE9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255D498D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Španělsko</w:t>
            </w:r>
          </w:p>
        </w:tc>
        <w:tc>
          <w:tcPr>
            <w:tcW w:w="2849" w:type="dxa"/>
            <w:noWrap/>
            <w:vAlign w:val="bottom"/>
          </w:tcPr>
          <w:p w14:paraId="06DB5AE7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30</w:t>
            </w:r>
          </w:p>
        </w:tc>
        <w:tc>
          <w:tcPr>
            <w:tcW w:w="2636" w:type="dxa"/>
            <w:noWrap/>
            <w:vAlign w:val="bottom"/>
          </w:tcPr>
          <w:p w14:paraId="283AF7A2" w14:textId="57FFDD88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0,1 %</w:t>
            </w:r>
          </w:p>
        </w:tc>
      </w:tr>
      <w:tr w:rsidR="005102A8" w14:paraId="501794DC" w14:textId="77777777" w:rsidTr="007F3BE6">
        <w:trPr>
          <w:trHeight w:val="300"/>
        </w:trPr>
        <w:tc>
          <w:tcPr>
            <w:tcW w:w="28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DD7D757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Severní moře a Atlantský oceán</w:t>
            </w:r>
          </w:p>
        </w:tc>
        <w:tc>
          <w:tcPr>
            <w:tcW w:w="2354" w:type="dxa"/>
            <w:tcBorders>
              <w:left w:val="single" w:sz="4" w:space="0" w:color="FFFFFF" w:themeColor="background1"/>
            </w:tcBorders>
            <w:noWrap/>
            <w:hideMark/>
          </w:tcPr>
          <w:p w14:paraId="3C6D04BD" w14:textId="77777777" w:rsidR="005102A8" w:rsidRDefault="005102A8" w:rsidP="007F3BE6">
            <w:pPr>
              <w:rPr>
                <w:noProof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3D5BA239" w14:textId="1B0DA021" w:rsidR="005102A8" w:rsidRPr="0091549B" w:rsidRDefault="005102A8" w:rsidP="007F3B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color w:val="000000"/>
              </w:rPr>
              <w:t>157 233</w:t>
            </w:r>
          </w:p>
        </w:tc>
        <w:tc>
          <w:tcPr>
            <w:tcW w:w="2636" w:type="dxa"/>
            <w:noWrap/>
            <w:vAlign w:val="bottom"/>
            <w:hideMark/>
          </w:tcPr>
          <w:p w14:paraId="7F6B3D32" w14:textId="2B70615E" w:rsidR="005102A8" w:rsidRPr="00DC68BD" w:rsidRDefault="005102A8" w:rsidP="005102A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color w:val="000000"/>
              </w:rPr>
              <w:t>78,9 %</w:t>
            </w:r>
          </w:p>
        </w:tc>
      </w:tr>
      <w:tr w:rsidR="005102A8" w14:paraId="27674102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3B692C4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7E2930AE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Dánsko</w:t>
            </w:r>
          </w:p>
        </w:tc>
        <w:tc>
          <w:tcPr>
            <w:tcW w:w="2849" w:type="dxa"/>
            <w:noWrap/>
            <w:vAlign w:val="bottom"/>
          </w:tcPr>
          <w:p w14:paraId="0D3D8E5B" w14:textId="6F6FABA4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4 917</w:t>
            </w:r>
          </w:p>
        </w:tc>
        <w:tc>
          <w:tcPr>
            <w:tcW w:w="2636" w:type="dxa"/>
            <w:noWrap/>
            <w:vAlign w:val="bottom"/>
          </w:tcPr>
          <w:p w14:paraId="0D8AF860" w14:textId="6214F063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24,6 %</w:t>
            </w:r>
          </w:p>
        </w:tc>
      </w:tr>
      <w:tr w:rsidR="005102A8" w14:paraId="648F0A07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F35C42A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14:paraId="0CB36251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Německo</w:t>
            </w:r>
          </w:p>
        </w:tc>
        <w:tc>
          <w:tcPr>
            <w:tcW w:w="2849" w:type="dxa"/>
            <w:noWrap/>
            <w:vAlign w:val="bottom"/>
            <w:hideMark/>
          </w:tcPr>
          <w:p w14:paraId="58CF75D8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890</w:t>
            </w:r>
          </w:p>
        </w:tc>
        <w:tc>
          <w:tcPr>
            <w:tcW w:w="2636" w:type="dxa"/>
            <w:noWrap/>
            <w:vAlign w:val="bottom"/>
            <w:hideMark/>
          </w:tcPr>
          <w:p w14:paraId="29E8D70E" w14:textId="406A8162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4,5 %</w:t>
            </w:r>
          </w:p>
        </w:tc>
      </w:tr>
      <w:tr w:rsidR="005102A8" w14:paraId="73564E5A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E80957E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05F3F2A5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Irsko</w:t>
            </w:r>
          </w:p>
        </w:tc>
        <w:tc>
          <w:tcPr>
            <w:tcW w:w="2849" w:type="dxa"/>
            <w:noWrap/>
            <w:vAlign w:val="bottom"/>
          </w:tcPr>
          <w:p w14:paraId="7AB05EAF" w14:textId="77777777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90</w:t>
            </w:r>
          </w:p>
        </w:tc>
        <w:tc>
          <w:tcPr>
            <w:tcW w:w="2636" w:type="dxa"/>
            <w:noWrap/>
            <w:vAlign w:val="bottom"/>
          </w:tcPr>
          <w:p w14:paraId="5B2D48FF" w14:textId="4FDE6FEF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0,5 %</w:t>
            </w:r>
          </w:p>
        </w:tc>
      </w:tr>
      <w:tr w:rsidR="005102A8" w14:paraId="6DD0C71C" w14:textId="77777777" w:rsidTr="007F3BE6">
        <w:trPr>
          <w:trHeight w:val="300"/>
        </w:trPr>
        <w:tc>
          <w:tcPr>
            <w:tcW w:w="2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108CC3A" w14:textId="77777777" w:rsidR="005102A8" w:rsidRDefault="005102A8" w:rsidP="007F3BE6">
            <w:pPr>
              <w:rPr>
                <w:b/>
                <w:noProof/>
              </w:rPr>
            </w:pPr>
          </w:p>
        </w:tc>
        <w:tc>
          <w:tcPr>
            <w:tcW w:w="2354" w:type="dxa"/>
            <w:noWrap/>
            <w:vAlign w:val="bottom"/>
          </w:tcPr>
          <w:p w14:paraId="598FBEE3" w14:textId="77777777" w:rsidR="005102A8" w:rsidRDefault="005102A8" w:rsidP="007F3BE6">
            <w:pPr>
              <w:rPr>
                <w:noProof/>
              </w:rPr>
            </w:pPr>
            <w:r>
              <w:rPr>
                <w:noProof/>
                <w:color w:val="000000"/>
              </w:rPr>
              <w:t>Nizozemsko</w:t>
            </w:r>
          </w:p>
        </w:tc>
        <w:tc>
          <w:tcPr>
            <w:tcW w:w="2849" w:type="dxa"/>
            <w:noWrap/>
            <w:vAlign w:val="bottom"/>
          </w:tcPr>
          <w:p w14:paraId="7A9AE0EE" w14:textId="4FA247DF" w:rsidR="005102A8" w:rsidRDefault="005102A8" w:rsidP="007F3BE6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9 826</w:t>
            </w:r>
          </w:p>
        </w:tc>
        <w:tc>
          <w:tcPr>
            <w:tcW w:w="2636" w:type="dxa"/>
            <w:noWrap/>
            <w:vAlign w:val="bottom"/>
          </w:tcPr>
          <w:p w14:paraId="22B3FBD4" w14:textId="32BA36AC" w:rsidR="005102A8" w:rsidRDefault="005102A8" w:rsidP="005102A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49,2 %</w:t>
            </w:r>
          </w:p>
        </w:tc>
      </w:tr>
      <w:tr w:rsidR="005102A8" w14:paraId="5F04410F" w14:textId="77777777" w:rsidTr="007F3BE6">
        <w:trPr>
          <w:trHeight w:val="300"/>
        </w:trPr>
        <w:tc>
          <w:tcPr>
            <w:tcW w:w="2843" w:type="dxa"/>
            <w:noWrap/>
          </w:tcPr>
          <w:p w14:paraId="7D7367DE" w14:textId="77777777" w:rsidR="005102A8" w:rsidRDefault="005102A8" w:rsidP="007F3BE6">
            <w:pPr>
              <w:rPr>
                <w:b/>
                <w:noProof/>
              </w:rPr>
            </w:pPr>
            <w:r>
              <w:rPr>
                <w:b/>
                <w:noProof/>
              </w:rPr>
              <w:t>Celkem</w:t>
            </w:r>
          </w:p>
        </w:tc>
        <w:tc>
          <w:tcPr>
            <w:tcW w:w="2354" w:type="dxa"/>
            <w:noWrap/>
          </w:tcPr>
          <w:p w14:paraId="4F64A2AA" w14:textId="77777777" w:rsidR="005102A8" w:rsidRDefault="005102A8" w:rsidP="007F3BE6">
            <w:pPr>
              <w:rPr>
                <w:noProof/>
              </w:rPr>
            </w:pPr>
          </w:p>
        </w:tc>
        <w:tc>
          <w:tcPr>
            <w:tcW w:w="2849" w:type="dxa"/>
            <w:noWrap/>
            <w:vAlign w:val="bottom"/>
          </w:tcPr>
          <w:p w14:paraId="62C126B4" w14:textId="1F9C4EE8" w:rsidR="005102A8" w:rsidRDefault="005102A8" w:rsidP="007F3B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19 941</w:t>
            </w:r>
          </w:p>
        </w:tc>
        <w:tc>
          <w:tcPr>
            <w:tcW w:w="2636" w:type="dxa"/>
            <w:noWrap/>
            <w:vAlign w:val="bottom"/>
          </w:tcPr>
          <w:p w14:paraId="26F6A427" w14:textId="77777777" w:rsidR="005102A8" w:rsidRDefault="005102A8" w:rsidP="007F3BE6">
            <w:pPr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                  100 %</w:t>
            </w:r>
          </w:p>
        </w:tc>
      </w:tr>
    </w:tbl>
    <w:p w14:paraId="767FA049" w14:textId="77777777" w:rsidR="005102A8" w:rsidRDefault="005102A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C8CB27A" w14:textId="17BB5EFA" w:rsidR="005102A8" w:rsidRDefault="000C4854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důsledku odchodu Spojeného království z EU ztratila EU přibližně 80 % své těžby ropy a zemního plynu v moři. Těžbu mírně zvýšilo Polsko, Bulharsko a Německo, ale všechny ostatní členské státy, zejména Dánsko, ji snížilo. Ve srovnání s těžbou v členských státech v roce 2019 došlo v roce 2020 k 18% ztrátě těžby (přibližně 4 317 kilotun ropného ekvivalentu). </w:t>
      </w:r>
    </w:p>
    <w:p w14:paraId="0A376162" w14:textId="125C3A4E" w:rsidR="007F3BE6" w:rsidRDefault="007F3BE6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773573CA" w14:textId="33881784" w:rsidR="007F3BE6" w:rsidRDefault="007F3BE6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 celkové těžby v EU měřené v kilotunách ropného ekvivalentu (ktoe) představoval plyn 70 % a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ropa pouze 30 %. Nejvýznamnějším producentem ropy bylo Dánsko (3619 ktoe), následovalo Německo (867 ktoe), Nizozemsko (451 ktoe) a Itálie (440 ktoe).</w:t>
      </w:r>
    </w:p>
    <w:p w14:paraId="15FCD1E3" w14:textId="03895C66" w:rsidR="00181EDF" w:rsidRDefault="00181ED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F0CB31B" w14:textId="77777777" w:rsidR="00181EDF" w:rsidRDefault="00A97B6C">
      <w:pPr>
        <w:pStyle w:val="Heading2"/>
        <w:spacing w:after="120"/>
        <w:rPr>
          <w:rFonts w:ascii="Times New Roman" w:hAnsi="Times New Roman"/>
          <w:noProof/>
          <w:color w:val="auto"/>
          <w:sz w:val="24"/>
          <w:szCs w:val="24"/>
        </w:rPr>
      </w:pPr>
      <w:bookmarkStart w:id="7" w:name="_Toc111108962"/>
      <w:r>
        <w:rPr>
          <w:rFonts w:ascii="Times New Roman" w:hAnsi="Times New Roman"/>
          <w:noProof/>
          <w:color w:val="auto"/>
        </w:rPr>
        <w:t>4.2 Inspekce na moři, šetření, donucovací opatření a regulační rámec</w:t>
      </w:r>
      <w:bookmarkEnd w:id="7"/>
    </w:p>
    <w:p w14:paraId="453FCAC8" w14:textId="5D9F1920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Příslušné orgány v členských státech v roce 2020 pravidelně kontrolovaly zařízení v moři v jejich jurisdikci (viz tabulka 3) – čím více zařízení daná země měla, tím více inspekcí bylo obvykle prováděno.</w:t>
      </w:r>
    </w:p>
    <w:p w14:paraId="3B53286F" w14:textId="02096D25" w:rsidR="00BA7D81" w:rsidRDefault="007C740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Ve srovnání s rokem 2019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 se počet inspekcí snížil, stejně jako počet pracovních dní strávených během inspekce na zařízeních a počet kontrolovaných zařízení. V porovnání s rokem 2019 se snížil zejména čas, který inspektoři strávili na zařízeních. </w:t>
      </w:r>
    </w:p>
    <w:p w14:paraId="257F0970" w14:textId="77777777" w:rsidR="00181EDF" w:rsidRDefault="00A97B6C">
      <w:pPr>
        <w:pStyle w:val="Caption"/>
        <w:rPr>
          <w:noProof/>
        </w:rPr>
      </w:pPr>
      <w:r>
        <w:rPr>
          <w:noProof/>
        </w:rPr>
        <w:t>Tabulka 3: Počet inspekcí na moři podle regionů a členských států v roce 2020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499"/>
        <w:gridCol w:w="2673"/>
        <w:gridCol w:w="1451"/>
        <w:gridCol w:w="2274"/>
        <w:gridCol w:w="1785"/>
      </w:tblGrid>
      <w:tr w:rsidR="00181EDF" w14:paraId="3415F42F" w14:textId="77777777">
        <w:trPr>
          <w:trHeight w:val="300"/>
        </w:trPr>
        <w:tc>
          <w:tcPr>
            <w:tcW w:w="2499" w:type="dxa"/>
            <w:noWrap/>
            <w:hideMark/>
          </w:tcPr>
          <w:p w14:paraId="1599DF5D" w14:textId="3EACCCC1" w:rsidR="00181EDF" w:rsidRDefault="00A97B6C" w:rsidP="00163692">
            <w:pPr>
              <w:rPr>
                <w:b/>
                <w:noProof/>
              </w:rPr>
            </w:pPr>
            <w:r>
              <w:rPr>
                <w:b/>
                <w:noProof/>
              </w:rPr>
              <w:t>Region</w:t>
            </w:r>
          </w:p>
        </w:tc>
        <w:tc>
          <w:tcPr>
            <w:tcW w:w="2673" w:type="dxa"/>
            <w:noWrap/>
            <w:hideMark/>
          </w:tcPr>
          <w:p w14:paraId="4B1AA5D0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Země</w:t>
            </w:r>
          </w:p>
        </w:tc>
        <w:tc>
          <w:tcPr>
            <w:tcW w:w="1451" w:type="dxa"/>
            <w:noWrap/>
            <w:hideMark/>
          </w:tcPr>
          <w:p w14:paraId="5857EAC9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Inspekce</w:t>
            </w:r>
          </w:p>
        </w:tc>
        <w:tc>
          <w:tcPr>
            <w:tcW w:w="2274" w:type="dxa"/>
            <w:noWrap/>
            <w:hideMark/>
          </w:tcPr>
          <w:p w14:paraId="3FD71323" w14:textId="3AB9931A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Počet pracovních dnů na zařízení (bez doby strávené na cestě)</w:t>
            </w:r>
          </w:p>
        </w:tc>
        <w:tc>
          <w:tcPr>
            <w:tcW w:w="1785" w:type="dxa"/>
            <w:noWrap/>
            <w:hideMark/>
          </w:tcPr>
          <w:p w14:paraId="3905F1B1" w14:textId="0637D752" w:rsidR="00181EDF" w:rsidRDefault="00A97B6C" w:rsidP="001F464F">
            <w:pPr>
              <w:rPr>
                <w:b/>
                <w:noProof/>
              </w:rPr>
            </w:pPr>
            <w:r>
              <w:rPr>
                <w:b/>
                <w:noProof/>
              </w:rPr>
              <w:t>Počet kontrolovaných zařízení</w:t>
            </w:r>
          </w:p>
        </w:tc>
      </w:tr>
      <w:tr w:rsidR="00181EDF" w14:paraId="27F6FF48" w14:textId="77777777">
        <w:trPr>
          <w:trHeight w:val="300"/>
        </w:trPr>
        <w:tc>
          <w:tcPr>
            <w:tcW w:w="249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9458398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Baltské moře</w:t>
            </w:r>
          </w:p>
        </w:tc>
        <w:tc>
          <w:tcPr>
            <w:tcW w:w="2673" w:type="dxa"/>
            <w:tcBorders>
              <w:left w:val="single" w:sz="4" w:space="0" w:color="FFFFFF" w:themeColor="background1"/>
            </w:tcBorders>
            <w:noWrap/>
            <w:hideMark/>
          </w:tcPr>
          <w:p w14:paraId="0AD633DE" w14:textId="77777777" w:rsidR="00181EDF" w:rsidRDefault="00181EDF">
            <w:pPr>
              <w:rPr>
                <w:b/>
                <w:noProof/>
              </w:rPr>
            </w:pPr>
          </w:p>
        </w:tc>
        <w:tc>
          <w:tcPr>
            <w:tcW w:w="1451" w:type="dxa"/>
            <w:noWrap/>
            <w:vAlign w:val="bottom"/>
            <w:hideMark/>
          </w:tcPr>
          <w:p w14:paraId="5690705D" w14:textId="77777777" w:rsidR="00181EDF" w:rsidRDefault="00235695" w:rsidP="00235695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2</w:t>
            </w:r>
          </w:p>
        </w:tc>
        <w:tc>
          <w:tcPr>
            <w:tcW w:w="2274" w:type="dxa"/>
            <w:noWrap/>
            <w:vAlign w:val="bottom"/>
            <w:hideMark/>
          </w:tcPr>
          <w:p w14:paraId="7E3379C5" w14:textId="77777777" w:rsidR="00181EDF" w:rsidRDefault="00235695" w:rsidP="00235695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7</w:t>
            </w:r>
          </w:p>
        </w:tc>
        <w:tc>
          <w:tcPr>
            <w:tcW w:w="1785" w:type="dxa"/>
            <w:noWrap/>
            <w:vAlign w:val="bottom"/>
            <w:hideMark/>
          </w:tcPr>
          <w:p w14:paraId="17D3808A" w14:textId="77777777" w:rsidR="00181EDF" w:rsidRDefault="00A97B6C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4</w:t>
            </w:r>
          </w:p>
        </w:tc>
      </w:tr>
      <w:tr w:rsidR="00181EDF" w14:paraId="14630DCC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</w:tcBorders>
            <w:noWrap/>
          </w:tcPr>
          <w:p w14:paraId="49AC3C21" w14:textId="77777777" w:rsidR="00181EDF" w:rsidRDefault="00181EDF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  <w:hideMark/>
          </w:tcPr>
          <w:p w14:paraId="6F8BA90F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Polsko</w:t>
            </w:r>
          </w:p>
        </w:tc>
        <w:tc>
          <w:tcPr>
            <w:tcW w:w="1451" w:type="dxa"/>
            <w:noWrap/>
            <w:vAlign w:val="bottom"/>
            <w:hideMark/>
          </w:tcPr>
          <w:p w14:paraId="5BE193F1" w14:textId="77777777" w:rsidR="00181EDF" w:rsidRDefault="00657BF4" w:rsidP="00657BF4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2274" w:type="dxa"/>
            <w:noWrap/>
            <w:vAlign w:val="bottom"/>
            <w:hideMark/>
          </w:tcPr>
          <w:p w14:paraId="77F5692D" w14:textId="77777777" w:rsidR="00181EDF" w:rsidRDefault="00E55E95" w:rsidP="00E55E95">
            <w:pPr>
              <w:rPr>
                <w:noProof/>
              </w:rPr>
            </w:pPr>
            <w:r>
              <w:rPr>
                <w:noProof/>
                <w:color w:val="000000"/>
              </w:rPr>
              <w:t>7</w:t>
            </w:r>
          </w:p>
        </w:tc>
        <w:tc>
          <w:tcPr>
            <w:tcW w:w="1785" w:type="dxa"/>
            <w:noWrap/>
            <w:vAlign w:val="bottom"/>
            <w:hideMark/>
          </w:tcPr>
          <w:p w14:paraId="1CD0E161" w14:textId="77777777" w:rsidR="00181EDF" w:rsidRDefault="00A97B6C">
            <w:pPr>
              <w:rPr>
                <w:noProof/>
              </w:rPr>
            </w:pPr>
            <w:r>
              <w:rPr>
                <w:noProof/>
                <w:color w:val="000000"/>
              </w:rPr>
              <w:t>4</w:t>
            </w:r>
          </w:p>
        </w:tc>
      </w:tr>
      <w:tr w:rsidR="00181EDF" w14:paraId="7E2E4482" w14:textId="77777777">
        <w:trPr>
          <w:trHeight w:val="300"/>
        </w:trPr>
        <w:tc>
          <w:tcPr>
            <w:tcW w:w="249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715107E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Černé moře</w:t>
            </w:r>
          </w:p>
        </w:tc>
        <w:tc>
          <w:tcPr>
            <w:tcW w:w="2673" w:type="dxa"/>
            <w:tcBorders>
              <w:left w:val="single" w:sz="4" w:space="0" w:color="FFFFFF" w:themeColor="background1"/>
            </w:tcBorders>
            <w:noWrap/>
            <w:hideMark/>
          </w:tcPr>
          <w:p w14:paraId="3E269341" w14:textId="77777777" w:rsidR="00181EDF" w:rsidRDefault="00181EDF">
            <w:pPr>
              <w:rPr>
                <w:b/>
                <w:noProof/>
              </w:rPr>
            </w:pPr>
          </w:p>
        </w:tc>
        <w:tc>
          <w:tcPr>
            <w:tcW w:w="1451" w:type="dxa"/>
            <w:noWrap/>
            <w:vAlign w:val="bottom"/>
            <w:hideMark/>
          </w:tcPr>
          <w:p w14:paraId="68EC0A83" w14:textId="77777777" w:rsidR="00181EDF" w:rsidRDefault="00E55E95" w:rsidP="00E55E95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10</w:t>
            </w:r>
          </w:p>
        </w:tc>
        <w:tc>
          <w:tcPr>
            <w:tcW w:w="2274" w:type="dxa"/>
            <w:noWrap/>
            <w:vAlign w:val="bottom"/>
            <w:hideMark/>
          </w:tcPr>
          <w:p w14:paraId="425C44FE" w14:textId="77777777" w:rsidR="00181EDF" w:rsidRDefault="00E55E95" w:rsidP="00E55E95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60</w:t>
            </w:r>
          </w:p>
        </w:tc>
        <w:tc>
          <w:tcPr>
            <w:tcW w:w="1785" w:type="dxa"/>
            <w:noWrap/>
            <w:vAlign w:val="bottom"/>
            <w:hideMark/>
          </w:tcPr>
          <w:p w14:paraId="68CF9259" w14:textId="77777777" w:rsidR="00181EDF" w:rsidRDefault="00E55E95" w:rsidP="00E55E95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7</w:t>
            </w:r>
          </w:p>
        </w:tc>
      </w:tr>
      <w:tr w:rsidR="00BC34E2" w14:paraId="145895CA" w14:textId="77777777" w:rsidTr="007F3BE6">
        <w:trPr>
          <w:trHeight w:val="300"/>
        </w:trPr>
        <w:tc>
          <w:tcPr>
            <w:tcW w:w="249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22A65B45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630838EF" w14:textId="2D464889" w:rsidR="00BC34E2" w:rsidRDefault="00BC34E2" w:rsidP="00BC34E2">
            <w:pPr>
              <w:rPr>
                <w:b/>
                <w:noProof/>
              </w:rPr>
            </w:pPr>
            <w:r>
              <w:rPr>
                <w:noProof/>
              </w:rPr>
              <w:t>Bulharsko</w:t>
            </w:r>
          </w:p>
        </w:tc>
        <w:tc>
          <w:tcPr>
            <w:tcW w:w="1451" w:type="dxa"/>
            <w:noWrap/>
            <w:vAlign w:val="bottom"/>
          </w:tcPr>
          <w:p w14:paraId="4D7D24FB" w14:textId="0DB732DE" w:rsidR="00BC34E2" w:rsidRDefault="00BC34E2" w:rsidP="00BC34E2">
            <w:pPr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2274" w:type="dxa"/>
            <w:noWrap/>
            <w:vAlign w:val="bottom"/>
          </w:tcPr>
          <w:p w14:paraId="55008A33" w14:textId="3970E203" w:rsidR="00BC34E2" w:rsidRPr="00BC34E2" w:rsidRDefault="00BC34E2" w:rsidP="00BC34E2">
            <w:pPr>
              <w:rPr>
                <w:rFonts w:cs="Calibri"/>
                <w:bCs/>
                <w:noProof/>
                <w:color w:val="000000"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785" w:type="dxa"/>
            <w:noWrap/>
            <w:vAlign w:val="bottom"/>
          </w:tcPr>
          <w:p w14:paraId="10C29847" w14:textId="44393C0D" w:rsidR="00BC34E2" w:rsidRPr="00BC34E2" w:rsidRDefault="00BC34E2" w:rsidP="00BC34E2">
            <w:pPr>
              <w:rPr>
                <w:rFonts w:cs="Calibri"/>
                <w:bCs/>
                <w:noProof/>
                <w:color w:val="000000"/>
              </w:rPr>
            </w:pPr>
            <w:r>
              <w:rPr>
                <w:noProof/>
                <w:color w:val="000000"/>
              </w:rPr>
              <w:t>0</w:t>
            </w:r>
          </w:p>
        </w:tc>
      </w:tr>
      <w:tr w:rsidR="00BC34E2" w14:paraId="7A04A0C5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</w:tcBorders>
            <w:noWrap/>
          </w:tcPr>
          <w:p w14:paraId="31EDBBD4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084B8697" w14:textId="22E3A39F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Rumunsko</w:t>
            </w:r>
          </w:p>
        </w:tc>
        <w:tc>
          <w:tcPr>
            <w:tcW w:w="1451" w:type="dxa"/>
            <w:noWrap/>
            <w:vAlign w:val="bottom"/>
          </w:tcPr>
          <w:p w14:paraId="547708C6" w14:textId="67FEBF84" w:rsidR="00BC34E2" w:rsidRDefault="00BC34E2" w:rsidP="00BC34E2">
            <w:pPr>
              <w:rPr>
                <w:rFonts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10</w:t>
            </w:r>
          </w:p>
        </w:tc>
        <w:tc>
          <w:tcPr>
            <w:tcW w:w="2274" w:type="dxa"/>
            <w:noWrap/>
            <w:vAlign w:val="bottom"/>
          </w:tcPr>
          <w:p w14:paraId="75987D6D" w14:textId="4AE0757D" w:rsidR="00BC34E2" w:rsidRDefault="00BC34E2" w:rsidP="00BC34E2">
            <w:pPr>
              <w:rPr>
                <w:rFonts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60</w:t>
            </w:r>
          </w:p>
        </w:tc>
        <w:tc>
          <w:tcPr>
            <w:tcW w:w="1785" w:type="dxa"/>
            <w:noWrap/>
            <w:vAlign w:val="bottom"/>
          </w:tcPr>
          <w:p w14:paraId="7610B535" w14:textId="02BD5D67" w:rsidR="00BC34E2" w:rsidRDefault="00BC34E2" w:rsidP="00BC34E2">
            <w:pPr>
              <w:rPr>
                <w:rFonts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7</w:t>
            </w:r>
          </w:p>
        </w:tc>
      </w:tr>
      <w:tr w:rsidR="00BC34E2" w14:paraId="7E69F9BA" w14:textId="77777777">
        <w:trPr>
          <w:trHeight w:val="300"/>
        </w:trPr>
        <w:tc>
          <w:tcPr>
            <w:tcW w:w="249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5785F57" w14:textId="0662E1EA" w:rsidR="00BC34E2" w:rsidRDefault="00BC34E2" w:rsidP="00BC34E2">
            <w:pPr>
              <w:rPr>
                <w:b/>
                <w:noProof/>
              </w:rPr>
            </w:pPr>
            <w:r>
              <w:rPr>
                <w:b/>
                <w:noProof/>
              </w:rPr>
              <w:t>Středozemní moře</w:t>
            </w:r>
          </w:p>
        </w:tc>
        <w:tc>
          <w:tcPr>
            <w:tcW w:w="2673" w:type="dxa"/>
            <w:tcBorders>
              <w:left w:val="single" w:sz="4" w:space="0" w:color="FFFFFF" w:themeColor="background1"/>
            </w:tcBorders>
            <w:noWrap/>
            <w:hideMark/>
          </w:tcPr>
          <w:p w14:paraId="65EE4C71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1451" w:type="dxa"/>
            <w:noWrap/>
            <w:vAlign w:val="bottom"/>
            <w:hideMark/>
          </w:tcPr>
          <w:p w14:paraId="01F781F7" w14:textId="77777777" w:rsidR="00BC34E2" w:rsidRDefault="00BC34E2" w:rsidP="00BC34E2">
            <w:pPr>
              <w:rPr>
                <w:b/>
                <w:noProof/>
              </w:rPr>
            </w:pPr>
            <w:r>
              <w:rPr>
                <w:noProof/>
                <w:color w:val="000000"/>
              </w:rPr>
              <w:t>181</w:t>
            </w:r>
          </w:p>
        </w:tc>
        <w:tc>
          <w:tcPr>
            <w:tcW w:w="2274" w:type="dxa"/>
            <w:noWrap/>
            <w:vAlign w:val="bottom"/>
            <w:hideMark/>
          </w:tcPr>
          <w:p w14:paraId="0F419E53" w14:textId="77777777" w:rsidR="00BC34E2" w:rsidRDefault="00BC34E2" w:rsidP="00BC34E2">
            <w:pPr>
              <w:rPr>
                <w:b/>
                <w:noProof/>
              </w:rPr>
            </w:pPr>
            <w:r>
              <w:rPr>
                <w:noProof/>
                <w:color w:val="000000"/>
              </w:rPr>
              <w:t>175</w:t>
            </w:r>
          </w:p>
        </w:tc>
        <w:tc>
          <w:tcPr>
            <w:tcW w:w="1785" w:type="dxa"/>
            <w:noWrap/>
            <w:vAlign w:val="bottom"/>
            <w:hideMark/>
          </w:tcPr>
          <w:p w14:paraId="63639578" w14:textId="77777777" w:rsidR="00BC34E2" w:rsidRDefault="00BC34E2" w:rsidP="00BC34E2">
            <w:pPr>
              <w:rPr>
                <w:b/>
                <w:noProof/>
              </w:rPr>
            </w:pPr>
            <w:r>
              <w:rPr>
                <w:noProof/>
                <w:color w:val="000000"/>
              </w:rPr>
              <w:t>80</w:t>
            </w:r>
          </w:p>
        </w:tc>
      </w:tr>
      <w:tr w:rsidR="00BC34E2" w14:paraId="4CE6DE7D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29E4C4E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4DE2305D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Chorvatsko</w:t>
            </w:r>
          </w:p>
        </w:tc>
        <w:tc>
          <w:tcPr>
            <w:tcW w:w="1451" w:type="dxa"/>
            <w:noWrap/>
            <w:vAlign w:val="bottom"/>
          </w:tcPr>
          <w:p w14:paraId="79664C6E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13</w:t>
            </w:r>
          </w:p>
        </w:tc>
        <w:tc>
          <w:tcPr>
            <w:tcW w:w="2274" w:type="dxa"/>
            <w:noWrap/>
            <w:vAlign w:val="bottom"/>
          </w:tcPr>
          <w:p w14:paraId="648F0056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13</w:t>
            </w:r>
          </w:p>
        </w:tc>
        <w:tc>
          <w:tcPr>
            <w:tcW w:w="1785" w:type="dxa"/>
            <w:noWrap/>
            <w:vAlign w:val="bottom"/>
          </w:tcPr>
          <w:p w14:paraId="5D0CBE21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6</w:t>
            </w:r>
          </w:p>
        </w:tc>
      </w:tr>
      <w:tr w:rsidR="00BC34E2" w14:paraId="6CB0A00D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FF24DD5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  <w:hideMark/>
          </w:tcPr>
          <w:p w14:paraId="1DA0B7DA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Kypr</w:t>
            </w:r>
          </w:p>
        </w:tc>
        <w:tc>
          <w:tcPr>
            <w:tcW w:w="1451" w:type="dxa"/>
            <w:noWrap/>
            <w:vAlign w:val="bottom"/>
            <w:hideMark/>
          </w:tcPr>
          <w:p w14:paraId="39B9E702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2274" w:type="dxa"/>
            <w:noWrap/>
            <w:vAlign w:val="bottom"/>
            <w:hideMark/>
          </w:tcPr>
          <w:p w14:paraId="2BE01623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785" w:type="dxa"/>
            <w:noWrap/>
            <w:vAlign w:val="bottom"/>
            <w:hideMark/>
          </w:tcPr>
          <w:p w14:paraId="4EBE1175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</w:tr>
      <w:tr w:rsidR="00BC34E2" w14:paraId="13F4C1CE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EF8F7CD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40474EA9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Řecko</w:t>
            </w:r>
          </w:p>
        </w:tc>
        <w:tc>
          <w:tcPr>
            <w:tcW w:w="1451" w:type="dxa"/>
            <w:noWrap/>
            <w:vAlign w:val="bottom"/>
          </w:tcPr>
          <w:p w14:paraId="0AA18569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2274" w:type="dxa"/>
            <w:noWrap/>
            <w:vAlign w:val="bottom"/>
          </w:tcPr>
          <w:p w14:paraId="7187C2B7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1785" w:type="dxa"/>
            <w:noWrap/>
            <w:vAlign w:val="bottom"/>
          </w:tcPr>
          <w:p w14:paraId="0045E1D1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</w:tr>
      <w:tr w:rsidR="00BC34E2" w14:paraId="0F571834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FBBBC21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502CF9FD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Itálie</w:t>
            </w:r>
          </w:p>
        </w:tc>
        <w:tc>
          <w:tcPr>
            <w:tcW w:w="1451" w:type="dxa"/>
            <w:noWrap/>
            <w:vAlign w:val="bottom"/>
          </w:tcPr>
          <w:p w14:paraId="687F2D35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164</w:t>
            </w:r>
          </w:p>
        </w:tc>
        <w:tc>
          <w:tcPr>
            <w:tcW w:w="2274" w:type="dxa"/>
            <w:noWrap/>
            <w:vAlign w:val="bottom"/>
          </w:tcPr>
          <w:p w14:paraId="71F64356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156</w:t>
            </w:r>
          </w:p>
        </w:tc>
        <w:tc>
          <w:tcPr>
            <w:tcW w:w="1785" w:type="dxa"/>
            <w:noWrap/>
            <w:vAlign w:val="bottom"/>
          </w:tcPr>
          <w:p w14:paraId="0F822877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69</w:t>
            </w:r>
          </w:p>
        </w:tc>
      </w:tr>
      <w:tr w:rsidR="00BC34E2" w14:paraId="670AC95D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</w:tcBorders>
            <w:noWrap/>
          </w:tcPr>
          <w:p w14:paraId="1B48347F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3C12A90E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Španělsko</w:t>
            </w:r>
          </w:p>
        </w:tc>
        <w:tc>
          <w:tcPr>
            <w:tcW w:w="1451" w:type="dxa"/>
            <w:noWrap/>
            <w:vAlign w:val="bottom"/>
          </w:tcPr>
          <w:p w14:paraId="32EC4B6A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3</w:t>
            </w:r>
          </w:p>
        </w:tc>
        <w:tc>
          <w:tcPr>
            <w:tcW w:w="2274" w:type="dxa"/>
            <w:noWrap/>
            <w:vAlign w:val="bottom"/>
          </w:tcPr>
          <w:p w14:paraId="2E15E65E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1785" w:type="dxa"/>
            <w:noWrap/>
            <w:vAlign w:val="bottom"/>
          </w:tcPr>
          <w:p w14:paraId="19337B38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3</w:t>
            </w:r>
          </w:p>
        </w:tc>
      </w:tr>
      <w:tr w:rsidR="00BC34E2" w14:paraId="794977DF" w14:textId="77777777">
        <w:trPr>
          <w:trHeight w:val="300"/>
        </w:trPr>
        <w:tc>
          <w:tcPr>
            <w:tcW w:w="249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3DBF391" w14:textId="274C08AE" w:rsidR="00BC34E2" w:rsidRDefault="00BC34E2" w:rsidP="00BC34E2">
            <w:pPr>
              <w:rPr>
                <w:b/>
                <w:noProof/>
              </w:rPr>
            </w:pPr>
            <w:r>
              <w:rPr>
                <w:b/>
                <w:noProof/>
              </w:rPr>
              <w:t>Severní moře a Atlantský oceán</w:t>
            </w:r>
          </w:p>
        </w:tc>
        <w:tc>
          <w:tcPr>
            <w:tcW w:w="2673" w:type="dxa"/>
            <w:tcBorders>
              <w:left w:val="single" w:sz="4" w:space="0" w:color="FFFFFF" w:themeColor="background1"/>
            </w:tcBorders>
            <w:noWrap/>
            <w:hideMark/>
          </w:tcPr>
          <w:p w14:paraId="481BC20A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1451" w:type="dxa"/>
            <w:noWrap/>
            <w:vAlign w:val="bottom"/>
            <w:hideMark/>
          </w:tcPr>
          <w:p w14:paraId="6BEFD498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62</w:t>
            </w:r>
          </w:p>
        </w:tc>
        <w:tc>
          <w:tcPr>
            <w:tcW w:w="2274" w:type="dxa"/>
            <w:noWrap/>
            <w:vAlign w:val="bottom"/>
            <w:hideMark/>
          </w:tcPr>
          <w:p w14:paraId="6ABBB8B0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89</w:t>
            </w:r>
          </w:p>
        </w:tc>
        <w:tc>
          <w:tcPr>
            <w:tcW w:w="1785" w:type="dxa"/>
            <w:noWrap/>
            <w:vAlign w:val="bottom"/>
            <w:hideMark/>
          </w:tcPr>
          <w:p w14:paraId="3EA92050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50</w:t>
            </w:r>
          </w:p>
        </w:tc>
      </w:tr>
      <w:tr w:rsidR="00BC34E2" w14:paraId="554CEE2E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1288ABE9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2037D3E7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Dánsko</w:t>
            </w:r>
          </w:p>
        </w:tc>
        <w:tc>
          <w:tcPr>
            <w:tcW w:w="1451" w:type="dxa"/>
            <w:noWrap/>
            <w:vAlign w:val="bottom"/>
          </w:tcPr>
          <w:p w14:paraId="18C8F89F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12</w:t>
            </w:r>
          </w:p>
        </w:tc>
        <w:tc>
          <w:tcPr>
            <w:tcW w:w="2274" w:type="dxa"/>
            <w:noWrap/>
            <w:vAlign w:val="bottom"/>
          </w:tcPr>
          <w:p w14:paraId="70F6ABF9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53</w:t>
            </w:r>
          </w:p>
        </w:tc>
        <w:tc>
          <w:tcPr>
            <w:tcW w:w="1785" w:type="dxa"/>
            <w:noWrap/>
            <w:vAlign w:val="bottom"/>
          </w:tcPr>
          <w:p w14:paraId="423062D9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10</w:t>
            </w:r>
          </w:p>
        </w:tc>
      </w:tr>
      <w:tr w:rsidR="00BC34E2" w14:paraId="6528C828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F6B165A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7A457CD8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Německo</w:t>
            </w:r>
          </w:p>
        </w:tc>
        <w:tc>
          <w:tcPr>
            <w:tcW w:w="1451" w:type="dxa"/>
            <w:noWrap/>
            <w:vAlign w:val="bottom"/>
          </w:tcPr>
          <w:p w14:paraId="56D357F0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2274" w:type="dxa"/>
            <w:noWrap/>
            <w:vAlign w:val="bottom"/>
          </w:tcPr>
          <w:p w14:paraId="04E17A91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3</w:t>
            </w:r>
          </w:p>
        </w:tc>
        <w:tc>
          <w:tcPr>
            <w:tcW w:w="1785" w:type="dxa"/>
            <w:noWrap/>
            <w:vAlign w:val="bottom"/>
          </w:tcPr>
          <w:p w14:paraId="5927C120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</w:tr>
      <w:tr w:rsidR="00BC34E2" w14:paraId="12884D90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8939712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01178701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Irsko</w:t>
            </w:r>
          </w:p>
        </w:tc>
        <w:tc>
          <w:tcPr>
            <w:tcW w:w="1451" w:type="dxa"/>
            <w:noWrap/>
            <w:vAlign w:val="bottom"/>
          </w:tcPr>
          <w:p w14:paraId="7EA2CF55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2274" w:type="dxa"/>
            <w:noWrap/>
            <w:vAlign w:val="bottom"/>
          </w:tcPr>
          <w:p w14:paraId="46F8E2E5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12</w:t>
            </w:r>
          </w:p>
        </w:tc>
        <w:tc>
          <w:tcPr>
            <w:tcW w:w="1785" w:type="dxa"/>
            <w:noWrap/>
            <w:vAlign w:val="bottom"/>
          </w:tcPr>
          <w:p w14:paraId="552549AD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</w:t>
            </w:r>
          </w:p>
        </w:tc>
      </w:tr>
      <w:tr w:rsidR="00BC34E2" w14:paraId="5018304B" w14:textId="77777777">
        <w:trPr>
          <w:trHeight w:val="300"/>
        </w:trPr>
        <w:tc>
          <w:tcPr>
            <w:tcW w:w="2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12144D61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2673" w:type="dxa"/>
            <w:noWrap/>
          </w:tcPr>
          <w:p w14:paraId="2FE94154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</w:rPr>
              <w:t>Nizozemsko</w:t>
            </w:r>
          </w:p>
        </w:tc>
        <w:tc>
          <w:tcPr>
            <w:tcW w:w="1451" w:type="dxa"/>
            <w:noWrap/>
            <w:vAlign w:val="bottom"/>
          </w:tcPr>
          <w:p w14:paraId="227C0B1C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46</w:t>
            </w:r>
          </w:p>
        </w:tc>
        <w:tc>
          <w:tcPr>
            <w:tcW w:w="2274" w:type="dxa"/>
            <w:noWrap/>
            <w:vAlign w:val="bottom"/>
          </w:tcPr>
          <w:p w14:paraId="0BC2F19D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21</w:t>
            </w:r>
          </w:p>
        </w:tc>
        <w:tc>
          <w:tcPr>
            <w:tcW w:w="1785" w:type="dxa"/>
            <w:noWrap/>
            <w:vAlign w:val="bottom"/>
          </w:tcPr>
          <w:p w14:paraId="50BBCF9A" w14:textId="77777777" w:rsidR="00BC34E2" w:rsidRDefault="00BC34E2" w:rsidP="00BC34E2">
            <w:pPr>
              <w:rPr>
                <w:noProof/>
              </w:rPr>
            </w:pPr>
            <w:r>
              <w:rPr>
                <w:noProof/>
                <w:color w:val="000000"/>
              </w:rPr>
              <w:t>36</w:t>
            </w:r>
          </w:p>
        </w:tc>
      </w:tr>
      <w:tr w:rsidR="00BC34E2" w14:paraId="5305EBEC" w14:textId="77777777">
        <w:trPr>
          <w:trHeight w:val="300"/>
        </w:trPr>
        <w:tc>
          <w:tcPr>
            <w:tcW w:w="2499" w:type="dxa"/>
            <w:tcBorders>
              <w:right w:val="single" w:sz="4" w:space="0" w:color="FFFFFF" w:themeColor="background1"/>
            </w:tcBorders>
            <w:noWrap/>
          </w:tcPr>
          <w:p w14:paraId="4B0195EC" w14:textId="2AF5D547" w:rsidR="00BC34E2" w:rsidRDefault="00BC34E2" w:rsidP="00BC34E2">
            <w:pPr>
              <w:rPr>
                <w:b/>
                <w:noProof/>
              </w:rPr>
            </w:pPr>
            <w:r>
              <w:rPr>
                <w:b/>
                <w:noProof/>
              </w:rPr>
              <w:t>Celkem</w:t>
            </w:r>
          </w:p>
        </w:tc>
        <w:tc>
          <w:tcPr>
            <w:tcW w:w="2673" w:type="dxa"/>
            <w:tcBorders>
              <w:left w:val="single" w:sz="4" w:space="0" w:color="FFFFFF" w:themeColor="background1"/>
            </w:tcBorders>
            <w:noWrap/>
          </w:tcPr>
          <w:p w14:paraId="16E14F0F" w14:textId="77777777" w:rsidR="00BC34E2" w:rsidRDefault="00BC34E2" w:rsidP="00BC34E2">
            <w:pPr>
              <w:rPr>
                <w:b/>
                <w:noProof/>
              </w:rPr>
            </w:pPr>
          </w:p>
        </w:tc>
        <w:tc>
          <w:tcPr>
            <w:tcW w:w="1451" w:type="dxa"/>
            <w:noWrap/>
            <w:vAlign w:val="bottom"/>
          </w:tcPr>
          <w:p w14:paraId="5CA2C17F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255</w:t>
            </w:r>
          </w:p>
        </w:tc>
        <w:tc>
          <w:tcPr>
            <w:tcW w:w="2274" w:type="dxa"/>
            <w:noWrap/>
            <w:vAlign w:val="bottom"/>
          </w:tcPr>
          <w:p w14:paraId="6AE6172D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331 </w:t>
            </w:r>
          </w:p>
        </w:tc>
        <w:tc>
          <w:tcPr>
            <w:tcW w:w="1785" w:type="dxa"/>
            <w:noWrap/>
            <w:vAlign w:val="bottom"/>
          </w:tcPr>
          <w:p w14:paraId="181404B9" w14:textId="77777777" w:rsidR="00BC34E2" w:rsidRDefault="00BC34E2" w:rsidP="00BC34E2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141</w:t>
            </w:r>
          </w:p>
        </w:tc>
      </w:tr>
    </w:tbl>
    <w:p w14:paraId="253897D9" w14:textId="77777777" w:rsidR="00181EDF" w:rsidRDefault="00181EDF">
      <w:pPr>
        <w:rPr>
          <w:noProof/>
        </w:rPr>
      </w:pPr>
    </w:p>
    <w:p w14:paraId="072634E1" w14:textId="41346F5A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Článek 18 směrnice o bezpečnosti činností v odvětví ropy a zemního plynu v moři dává příslušným vnitrostátním orgánům práva a pravomoci týkající se činností a zařízení v jejich jurisdikci. Mezi tyto pravomoci patří právo zakázat provoz a požadovat opatření zajišťující soulad s řízením rizik i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 xml:space="preserve">bezpečný provoz. </w:t>
      </w:r>
    </w:p>
    <w:p w14:paraId="5FC7556E" w14:textId="188D3B1E" w:rsidR="00181EDF" w:rsidRDefault="00FE079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 roce 2020 Dánsko vyšetřovalo jednu závažnou havárii a Chorvatsko provedlo jedno šetření v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návaznosti na obavy týkající se bezpečnosti a životního prostředí, na něž upozornili pracovníci. V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roce 2019 provedly Itálie a Rumunsko každý jedno vyšetřování.</w:t>
      </w:r>
    </w:p>
    <w:p w14:paraId="7D2557EA" w14:textId="08A26944" w:rsidR="00181EDF" w:rsidRDefault="001F2397">
      <w:pPr>
        <w:jc w:val="both"/>
        <w:rPr>
          <w:rFonts w:ascii="Times New Roman" w:hAnsi="Times New Roman"/>
          <w:i/>
          <w:noProof/>
        </w:rPr>
      </w:pPr>
      <w:r>
        <w:rPr>
          <w:rFonts w:ascii="Times New Roman" w:hAnsi="Times New Roman"/>
          <w:noProof/>
          <w:sz w:val="24"/>
        </w:rPr>
        <w:t xml:space="preserve">V roce 2020 přijalo donucovací opatření pouze Dánsko. Jediné donucovací opatření v roce 2019 přijalo Nizozemsko (není zohledněno Spojené království). </w:t>
      </w:r>
    </w:p>
    <w:p w14:paraId="1CAAAEFC" w14:textId="5C717076" w:rsidR="00181EDF" w:rsidRDefault="00A97B6C">
      <w:pPr>
        <w:pStyle w:val="Heading1"/>
        <w:ind w:left="720" w:hanging="720"/>
        <w:rPr>
          <w:rFonts w:ascii="Times New Roman" w:hAnsi="Times New Roman"/>
          <w:color w:val="auto"/>
        </w:rPr>
      </w:pPr>
      <w:bookmarkStart w:id="8" w:name="_Toc111108963"/>
      <w:r>
        <w:rPr>
          <w:rFonts w:ascii="Times New Roman" w:hAnsi="Times New Roman"/>
          <w:color w:val="auto"/>
        </w:rPr>
        <w:t>5.</w:t>
      </w:r>
      <w:r>
        <w:tab/>
      </w:r>
      <w:r>
        <w:rPr>
          <w:rFonts w:ascii="Times New Roman" w:hAnsi="Times New Roman"/>
          <w:color w:val="auto"/>
        </w:rPr>
        <w:t>NEHODY A VÝKONNOST V OBLASTI BEZPEČNOSTI</w:t>
      </w:r>
      <w:bookmarkEnd w:id="8"/>
      <w:r>
        <w:rPr>
          <w:rFonts w:ascii="Times New Roman" w:hAnsi="Times New Roman"/>
          <w:color w:val="auto"/>
        </w:rPr>
        <w:t xml:space="preserve"> </w:t>
      </w:r>
    </w:p>
    <w:p w14:paraId="5B07C081" w14:textId="5C24D7E5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Provozovatelé a vlastníci zařízení a vnitrostátní orgány musí podat zprávu o havárii nebo situaci vážného nebezpečí (dále jen „událost“). Je však možné, že jednu událost lze zařadit do více než jedné kategorie nehod. Například je třeba u stejné události oznámit dvě kategorie nehod, pokud došlo a) k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 xml:space="preserve">nechtěnému úniku plynu, který si vyžadoval b) evakuaci pracovníků. </w:t>
      </w:r>
    </w:p>
    <w:p w14:paraId="5370EF3A" w14:textId="2481D2D1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 roce 2020 oznámily členské státy 15 událostí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</w:rPr>
        <w:t xml:space="preserve"> oproti 30 v roce 2019 (není zohledněno Spojené království):</w:t>
      </w:r>
    </w:p>
    <w:p w14:paraId="2E966029" w14:textId="7E37A55C" w:rsidR="00181EDF" w:rsidRPr="005102A8" w:rsidRDefault="00A97B6C" w:rsidP="005102A8">
      <w:pPr>
        <w:pStyle w:val="ListParagraph"/>
        <w:numPr>
          <w:ilvl w:val="0"/>
          <w:numId w:val="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Dánsko – 8 událostí (6 v roce 2019), včetně jedné závažné havárie.</w:t>
      </w:r>
    </w:p>
    <w:p w14:paraId="59F3C16F" w14:textId="4F9B45C8" w:rsidR="00181EDF" w:rsidRPr="005102A8" w:rsidRDefault="001F2397" w:rsidP="005102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Chorvatsko – 3 událostí (0 v roce 2019), včetně jedné závažné havárie. </w:t>
      </w:r>
    </w:p>
    <w:p w14:paraId="6E777F3B" w14:textId="0167E127" w:rsidR="00EE4FAD" w:rsidRPr="005102A8" w:rsidRDefault="00A57017" w:rsidP="005102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Nizozemsko – 4 události, ale žádné závažné havárie (18 událostí v roce 2019, včetně 1 závažné havárie).</w:t>
      </w:r>
    </w:p>
    <w:p w14:paraId="7958F623" w14:textId="77777777" w:rsidR="00181EDF" w:rsidRDefault="00181EDF">
      <w:pPr>
        <w:spacing w:after="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</w:p>
    <w:p w14:paraId="64E798B8" w14:textId="45986210" w:rsidR="00181EDF" w:rsidRDefault="00F35EE8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Závažné havárie zahrnují nehody, které by mohly způsobit smrt nebo vážná zranění (i když k nim nedošlo).</w:t>
      </w:r>
    </w:p>
    <w:p w14:paraId="23DABC5D" w14:textId="77777777" w:rsidR="00181EDF" w:rsidRDefault="00181ED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090C2BA" w14:textId="775B052C" w:rsidR="00BA7D81" w:rsidRDefault="003E76B9" w:rsidP="00C137C2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 nehod, k nimž došlo v roce 2020, patřilo 69 % do kategorie neúmyslných úniků zemního plynu a/nebo ropy, 25 % se týkalo selhání kritických prvků v oblasti bezpečnosti a životního prostředí a</w:t>
      </w:r>
      <w:r w:rsidR="00E05CE2">
        <w:rPr>
          <w:rFonts w:ascii="Times New Roman" w:hAnsi="Times New Roman"/>
          <w:noProof/>
          <w:sz w:val="24"/>
        </w:rPr>
        <w:t> </w:t>
      </w:r>
      <w:r>
        <w:rPr>
          <w:rFonts w:ascii="Times New Roman" w:hAnsi="Times New Roman"/>
          <w:noProof/>
          <w:sz w:val="24"/>
        </w:rPr>
        <w:t>6 % se týkalo ztráty strukturální integrity. Pozitivní je, že nebyly hlášeny žádné srážky plavidel ani nehody vrtulníků a žádná z nehod nevedla ke ztrátám na životech.</w:t>
      </w:r>
      <w:r>
        <w:rPr>
          <w:rFonts w:ascii="Times New Roman" w:hAnsi="Times New Roman"/>
          <w:noProof/>
          <w:sz w:val="24"/>
        </w:rPr>
        <w:br w:type="page"/>
      </w:r>
    </w:p>
    <w:p w14:paraId="5C8B2B17" w14:textId="73B5CF0C" w:rsidR="00181EDF" w:rsidRDefault="00A97B6C">
      <w:pPr>
        <w:pStyle w:val="Caption"/>
        <w:rPr>
          <w:noProof/>
        </w:rPr>
      </w:pPr>
      <w:r>
        <w:rPr>
          <w:noProof/>
        </w:rPr>
        <w:t>Tabulka 4: Nehody podle kategorií (stanovené v příloze IX směrnice o bezpečnosti činností v odvětví ropy a zemního plynu v moři) v roce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655"/>
        <w:gridCol w:w="934"/>
        <w:gridCol w:w="1328"/>
        <w:gridCol w:w="1536"/>
      </w:tblGrid>
      <w:tr w:rsidR="00181EDF" w14:paraId="7A02A698" w14:textId="77777777">
        <w:trPr>
          <w:trHeight w:val="300"/>
        </w:trPr>
        <w:tc>
          <w:tcPr>
            <w:tcW w:w="6164" w:type="dxa"/>
            <w:gridSpan w:val="2"/>
            <w:noWrap/>
            <w:hideMark/>
          </w:tcPr>
          <w:p w14:paraId="6201032B" w14:textId="3A9E0E06" w:rsidR="00181EDF" w:rsidRDefault="00065BDC">
            <w:pPr>
              <w:rPr>
                <w:b/>
                <w:noProof/>
              </w:rPr>
            </w:pPr>
            <w:r>
              <w:rPr>
                <w:b/>
                <w:noProof/>
              </w:rPr>
              <w:t>Kategorie</w:t>
            </w:r>
          </w:p>
        </w:tc>
        <w:tc>
          <w:tcPr>
            <w:tcW w:w="934" w:type="dxa"/>
            <w:noWrap/>
            <w:hideMark/>
          </w:tcPr>
          <w:p w14:paraId="5BE38573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Celkem</w:t>
            </w:r>
          </w:p>
        </w:tc>
        <w:tc>
          <w:tcPr>
            <w:tcW w:w="1328" w:type="dxa"/>
            <w:noWrap/>
            <w:hideMark/>
          </w:tcPr>
          <w:p w14:paraId="42837E25" w14:textId="226E4A51" w:rsidR="00181EDF" w:rsidRDefault="00A97B6C" w:rsidP="000D69D0">
            <w:pPr>
              <w:rPr>
                <w:b/>
                <w:noProof/>
              </w:rPr>
            </w:pPr>
            <w:r>
              <w:rPr>
                <w:b/>
                <w:noProof/>
              </w:rPr>
              <w:t>Podíl v kategorii celkem</w:t>
            </w:r>
          </w:p>
        </w:tc>
        <w:tc>
          <w:tcPr>
            <w:tcW w:w="1536" w:type="dxa"/>
            <w:noWrap/>
            <w:hideMark/>
          </w:tcPr>
          <w:p w14:paraId="498B2476" w14:textId="1DACB28B" w:rsidR="00181EDF" w:rsidRDefault="00A97B6C" w:rsidP="000D69D0">
            <w:pPr>
              <w:rPr>
                <w:b/>
                <w:noProof/>
              </w:rPr>
            </w:pPr>
            <w:r>
              <w:rPr>
                <w:b/>
                <w:noProof/>
              </w:rPr>
              <w:t>Podíl na událostech celkem</w:t>
            </w:r>
          </w:p>
        </w:tc>
      </w:tr>
      <w:tr w:rsidR="00802304" w14:paraId="5F65290C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52BE0C5B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a)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FECD1B4" w14:textId="054A37E5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Neúmyslné úniky – celkem</w:t>
            </w:r>
          </w:p>
        </w:tc>
        <w:tc>
          <w:tcPr>
            <w:tcW w:w="934" w:type="dxa"/>
            <w:noWrap/>
            <w:vAlign w:val="bottom"/>
            <w:hideMark/>
          </w:tcPr>
          <w:p w14:paraId="1B35CDA5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11</w:t>
            </w:r>
          </w:p>
        </w:tc>
        <w:tc>
          <w:tcPr>
            <w:tcW w:w="1328" w:type="dxa"/>
            <w:noWrap/>
            <w:vAlign w:val="bottom"/>
            <w:hideMark/>
          </w:tcPr>
          <w:p w14:paraId="7A1EF1F4" w14:textId="77777777" w:rsidR="00181EDF" w:rsidRDefault="00A97B6C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100 %</w:t>
            </w:r>
          </w:p>
        </w:tc>
        <w:tc>
          <w:tcPr>
            <w:tcW w:w="1536" w:type="dxa"/>
            <w:noWrap/>
            <w:vAlign w:val="bottom"/>
            <w:hideMark/>
          </w:tcPr>
          <w:p w14:paraId="103514A1" w14:textId="0B4F04EA" w:rsidR="00181EDF" w:rsidRDefault="00802304" w:rsidP="00DE1099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68,75 %</w:t>
            </w:r>
          </w:p>
        </w:tc>
      </w:tr>
      <w:tr w:rsidR="00802304" w14:paraId="05FC1275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6E492EA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49E507E1" w14:textId="19F37E36" w:rsidR="00181EDF" w:rsidRDefault="00FB429D" w:rsidP="00FB429D">
            <w:pPr>
              <w:rPr>
                <w:noProof/>
              </w:rPr>
            </w:pPr>
            <w:r>
              <w:rPr>
                <w:noProof/>
              </w:rPr>
              <w:t>Požáry způsobené vznícením ropy/plynu</w:t>
            </w:r>
          </w:p>
        </w:tc>
        <w:tc>
          <w:tcPr>
            <w:tcW w:w="934" w:type="dxa"/>
            <w:noWrap/>
            <w:vAlign w:val="bottom"/>
            <w:hideMark/>
          </w:tcPr>
          <w:p w14:paraId="726C19A7" w14:textId="77777777" w:rsidR="00181EDF" w:rsidRDefault="00EE4FAD" w:rsidP="00EE4FAD">
            <w:pPr>
              <w:rPr>
                <w:noProof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1328" w:type="dxa"/>
            <w:noWrap/>
            <w:vAlign w:val="bottom"/>
            <w:hideMark/>
          </w:tcPr>
          <w:p w14:paraId="3821107B" w14:textId="478E9A01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9,09 %</w:t>
            </w:r>
          </w:p>
        </w:tc>
        <w:tc>
          <w:tcPr>
            <w:tcW w:w="1536" w:type="dxa"/>
            <w:noWrap/>
            <w:vAlign w:val="bottom"/>
            <w:hideMark/>
          </w:tcPr>
          <w:p w14:paraId="67821F6A" w14:textId="44B6EFCE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6,25 %</w:t>
            </w:r>
          </w:p>
        </w:tc>
      </w:tr>
      <w:tr w:rsidR="00802304" w14:paraId="2FCFAF66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325CCA07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2CBF38E0" w14:textId="424A9021" w:rsidR="00181EDF" w:rsidRDefault="00D00323" w:rsidP="00BB50A8">
            <w:pPr>
              <w:rPr>
                <w:noProof/>
              </w:rPr>
            </w:pPr>
            <w:r>
              <w:rPr>
                <w:noProof/>
              </w:rPr>
              <w:t>Exploze způsobené vznícením ropy/plynu</w:t>
            </w:r>
          </w:p>
        </w:tc>
        <w:tc>
          <w:tcPr>
            <w:tcW w:w="934" w:type="dxa"/>
            <w:noWrap/>
            <w:vAlign w:val="bottom"/>
            <w:hideMark/>
          </w:tcPr>
          <w:p w14:paraId="3EF5A40B" w14:textId="77777777" w:rsidR="00181EDF" w:rsidRDefault="00A97B6C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70A31C73" w14:textId="41880B58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3C875B8B" w14:textId="1B280224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198CC8EB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D88B5F8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10B9C3BD" w14:textId="7DBA7A21" w:rsidR="00181EDF" w:rsidRDefault="00AB58AB" w:rsidP="00BB50A8">
            <w:pPr>
              <w:rPr>
                <w:noProof/>
              </w:rPr>
            </w:pPr>
            <w:r>
              <w:rPr>
                <w:noProof/>
              </w:rPr>
              <w:t xml:space="preserve">Nevznícený plyn </w:t>
            </w:r>
          </w:p>
        </w:tc>
        <w:tc>
          <w:tcPr>
            <w:tcW w:w="934" w:type="dxa"/>
            <w:noWrap/>
            <w:vAlign w:val="bottom"/>
            <w:hideMark/>
          </w:tcPr>
          <w:p w14:paraId="4196D891" w14:textId="77777777" w:rsidR="00181EDF" w:rsidRDefault="00EE4FAD" w:rsidP="00EE4FAD">
            <w:pPr>
              <w:rPr>
                <w:noProof/>
              </w:rPr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1328" w:type="dxa"/>
            <w:noWrap/>
            <w:vAlign w:val="bottom"/>
            <w:hideMark/>
          </w:tcPr>
          <w:p w14:paraId="52FF0146" w14:textId="75EC3D98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45,45 %</w:t>
            </w:r>
          </w:p>
        </w:tc>
        <w:tc>
          <w:tcPr>
            <w:tcW w:w="1536" w:type="dxa"/>
            <w:noWrap/>
            <w:vAlign w:val="bottom"/>
            <w:hideMark/>
          </w:tcPr>
          <w:p w14:paraId="1BE0C907" w14:textId="0303E8EF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31,25 %</w:t>
            </w:r>
          </w:p>
        </w:tc>
      </w:tr>
      <w:tr w:rsidR="00802304" w14:paraId="62765DC4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9049BC3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0D8711D" w14:textId="0581907B" w:rsidR="00181EDF" w:rsidRDefault="00AB58AB" w:rsidP="00BB50A8">
            <w:pPr>
              <w:rPr>
                <w:noProof/>
              </w:rPr>
            </w:pPr>
            <w:r>
              <w:rPr>
                <w:noProof/>
              </w:rPr>
              <w:t xml:space="preserve">Nevznícená ropa </w:t>
            </w:r>
          </w:p>
        </w:tc>
        <w:tc>
          <w:tcPr>
            <w:tcW w:w="934" w:type="dxa"/>
            <w:noWrap/>
            <w:vAlign w:val="bottom"/>
            <w:hideMark/>
          </w:tcPr>
          <w:p w14:paraId="1A78473F" w14:textId="77777777" w:rsidR="00181EDF" w:rsidRDefault="00874B5F" w:rsidP="00874B5F">
            <w:pPr>
              <w:rPr>
                <w:noProof/>
              </w:rPr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1328" w:type="dxa"/>
            <w:noWrap/>
            <w:vAlign w:val="bottom"/>
            <w:hideMark/>
          </w:tcPr>
          <w:p w14:paraId="1351E9F8" w14:textId="56907A53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45,45 %</w:t>
            </w:r>
          </w:p>
        </w:tc>
        <w:tc>
          <w:tcPr>
            <w:tcW w:w="1536" w:type="dxa"/>
            <w:noWrap/>
            <w:vAlign w:val="bottom"/>
            <w:hideMark/>
          </w:tcPr>
          <w:p w14:paraId="48899DC5" w14:textId="7FB1B277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31,25 %</w:t>
            </w:r>
          </w:p>
        </w:tc>
      </w:tr>
      <w:tr w:rsidR="00802304" w14:paraId="5A0974BF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71F801D1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26A920E" w14:textId="4B78A4A7" w:rsidR="00181EDF" w:rsidRDefault="00A97B6C" w:rsidP="00BB50A8">
            <w:pPr>
              <w:rPr>
                <w:noProof/>
              </w:rPr>
            </w:pPr>
            <w:r>
              <w:rPr>
                <w:noProof/>
              </w:rPr>
              <w:t xml:space="preserve">Nebezpečné látky </w:t>
            </w:r>
          </w:p>
        </w:tc>
        <w:tc>
          <w:tcPr>
            <w:tcW w:w="934" w:type="dxa"/>
            <w:noWrap/>
            <w:vAlign w:val="bottom"/>
            <w:hideMark/>
          </w:tcPr>
          <w:p w14:paraId="5D7208E9" w14:textId="77777777" w:rsidR="00181EDF" w:rsidRDefault="00874B5F" w:rsidP="00874B5F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7ACCCD13" w14:textId="77777777" w:rsidR="00181EDF" w:rsidRDefault="00802304" w:rsidP="00802304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1DE44A77" w14:textId="77777777" w:rsidR="00181EDF" w:rsidRDefault="00802304" w:rsidP="00802304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3657189F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37D0A219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b)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9E76356" w14:textId="6E517421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Ztráta kontroly nad vrtem – celkem</w:t>
            </w:r>
          </w:p>
        </w:tc>
        <w:tc>
          <w:tcPr>
            <w:tcW w:w="934" w:type="dxa"/>
            <w:noWrap/>
            <w:vAlign w:val="bottom"/>
            <w:hideMark/>
          </w:tcPr>
          <w:p w14:paraId="1CDAB44F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0D43FAEB" w14:textId="77777777" w:rsidR="00181EDF" w:rsidRDefault="00A955C7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03FDB00A" w14:textId="77777777" w:rsidR="00181EDF" w:rsidRDefault="00802304" w:rsidP="00802304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0 %</w:t>
            </w:r>
          </w:p>
        </w:tc>
      </w:tr>
      <w:tr w:rsidR="00802304" w14:paraId="0512004E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6584CF3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448CE12A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blowout</w:t>
            </w:r>
          </w:p>
        </w:tc>
        <w:tc>
          <w:tcPr>
            <w:tcW w:w="934" w:type="dxa"/>
            <w:noWrap/>
            <w:vAlign w:val="bottom"/>
            <w:hideMark/>
          </w:tcPr>
          <w:p w14:paraId="6BA6EEC2" w14:textId="77777777" w:rsidR="00181EDF" w:rsidRDefault="00A97B6C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7E2274E5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0AEB6F1A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21EDDC2D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1EA26B3B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7F8876E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blowout/ aktivace systému bezpečnostního uzávěru / diverteru</w:t>
            </w:r>
          </w:p>
        </w:tc>
        <w:tc>
          <w:tcPr>
            <w:tcW w:w="934" w:type="dxa"/>
            <w:noWrap/>
            <w:vAlign w:val="bottom"/>
            <w:hideMark/>
          </w:tcPr>
          <w:p w14:paraId="74706E5C" w14:textId="77777777" w:rsidR="00181EDF" w:rsidRDefault="00EE4FAD" w:rsidP="00EE4FAD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1846B2BD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6B43C51D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604A158F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3D2480E4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3C717CCD" w14:textId="45E1118C" w:rsidR="00181EDF" w:rsidRDefault="00A97B6C" w:rsidP="00D00323">
            <w:pPr>
              <w:rPr>
                <w:noProof/>
              </w:rPr>
            </w:pPr>
            <w:r>
              <w:rPr>
                <w:noProof/>
              </w:rPr>
              <w:t>Selhání ochran vrtu</w:t>
            </w:r>
          </w:p>
        </w:tc>
        <w:tc>
          <w:tcPr>
            <w:tcW w:w="934" w:type="dxa"/>
            <w:noWrap/>
            <w:vAlign w:val="bottom"/>
            <w:hideMark/>
          </w:tcPr>
          <w:p w14:paraId="68CD935F" w14:textId="77777777" w:rsidR="00181EDF" w:rsidRDefault="00EE4FAD" w:rsidP="00EE4FAD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319B879E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36AE85A7" w14:textId="77777777" w:rsidR="00181EDF" w:rsidRDefault="00A955C7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56998454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1529EA24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c) 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04081CBB" w14:textId="2F7560FF" w:rsidR="00181EDF" w:rsidRDefault="006F7919" w:rsidP="006F7919">
            <w:pPr>
              <w:rPr>
                <w:b/>
                <w:noProof/>
              </w:rPr>
            </w:pPr>
            <w:r>
              <w:rPr>
                <w:b/>
                <w:noProof/>
              </w:rPr>
              <w:t>Selhání rozhodujícího prvku bezpečnosti a ochrany životního prostředí</w:t>
            </w:r>
          </w:p>
        </w:tc>
        <w:tc>
          <w:tcPr>
            <w:tcW w:w="934" w:type="dxa"/>
            <w:noWrap/>
            <w:vAlign w:val="bottom"/>
            <w:hideMark/>
          </w:tcPr>
          <w:p w14:paraId="4642E782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4</w:t>
            </w:r>
          </w:p>
        </w:tc>
        <w:tc>
          <w:tcPr>
            <w:tcW w:w="1328" w:type="dxa"/>
            <w:noWrap/>
            <w:vAlign w:val="bottom"/>
            <w:hideMark/>
          </w:tcPr>
          <w:p w14:paraId="0FB83B33" w14:textId="77777777" w:rsidR="00181EDF" w:rsidRDefault="00A97B6C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100 %</w:t>
            </w:r>
          </w:p>
        </w:tc>
        <w:tc>
          <w:tcPr>
            <w:tcW w:w="1536" w:type="dxa"/>
            <w:noWrap/>
            <w:vAlign w:val="bottom"/>
            <w:hideMark/>
          </w:tcPr>
          <w:p w14:paraId="29C3C641" w14:textId="77777777" w:rsidR="00181EDF" w:rsidRDefault="00802304" w:rsidP="00802304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25 %</w:t>
            </w:r>
          </w:p>
        </w:tc>
      </w:tr>
      <w:tr w:rsidR="00802304" w14:paraId="6C4C0E54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5A7666C0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d)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0B50C498" w14:textId="4516EFE0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Ztráta strukturální integrity – celkem</w:t>
            </w:r>
          </w:p>
        </w:tc>
        <w:tc>
          <w:tcPr>
            <w:tcW w:w="934" w:type="dxa"/>
            <w:noWrap/>
            <w:vAlign w:val="bottom"/>
            <w:hideMark/>
          </w:tcPr>
          <w:p w14:paraId="3492C3D3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</w:t>
            </w:r>
          </w:p>
        </w:tc>
        <w:tc>
          <w:tcPr>
            <w:tcW w:w="1328" w:type="dxa"/>
            <w:noWrap/>
            <w:vAlign w:val="bottom"/>
            <w:hideMark/>
          </w:tcPr>
          <w:p w14:paraId="7D6F4FDD" w14:textId="77777777" w:rsidR="00181EDF" w:rsidRDefault="00A97B6C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100 %</w:t>
            </w:r>
          </w:p>
        </w:tc>
        <w:tc>
          <w:tcPr>
            <w:tcW w:w="1536" w:type="dxa"/>
            <w:noWrap/>
            <w:vAlign w:val="bottom"/>
            <w:hideMark/>
          </w:tcPr>
          <w:p w14:paraId="3257C5CD" w14:textId="1BFD4B07" w:rsidR="00181EDF" w:rsidRDefault="00802304" w:rsidP="00DE1099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6,25 %</w:t>
            </w:r>
          </w:p>
        </w:tc>
      </w:tr>
      <w:tr w:rsidR="00802304" w14:paraId="2312FE8D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3CCEA9F2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F5A8573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Ztráta strukturální integrity</w:t>
            </w:r>
          </w:p>
        </w:tc>
        <w:tc>
          <w:tcPr>
            <w:tcW w:w="934" w:type="dxa"/>
            <w:noWrap/>
            <w:vAlign w:val="bottom"/>
            <w:hideMark/>
          </w:tcPr>
          <w:p w14:paraId="2EBE7321" w14:textId="77777777" w:rsidR="00181EDF" w:rsidRDefault="00EE4FAD">
            <w:pPr>
              <w:rPr>
                <w:noProof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1328" w:type="dxa"/>
            <w:noWrap/>
            <w:vAlign w:val="bottom"/>
            <w:hideMark/>
          </w:tcPr>
          <w:p w14:paraId="5B539779" w14:textId="5F341F89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100 %</w:t>
            </w:r>
          </w:p>
        </w:tc>
        <w:tc>
          <w:tcPr>
            <w:tcW w:w="1536" w:type="dxa"/>
            <w:noWrap/>
            <w:vAlign w:val="bottom"/>
            <w:hideMark/>
          </w:tcPr>
          <w:p w14:paraId="30E6D8AC" w14:textId="6DAABC5C" w:rsidR="00181EDF" w:rsidRDefault="00802304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6,25 %</w:t>
            </w:r>
          </w:p>
        </w:tc>
      </w:tr>
      <w:tr w:rsidR="00802304" w14:paraId="7FB38316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2ABC2650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0F16A2A8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Ztráta stability/vztlaku</w:t>
            </w:r>
          </w:p>
        </w:tc>
        <w:tc>
          <w:tcPr>
            <w:tcW w:w="934" w:type="dxa"/>
            <w:noWrap/>
            <w:vAlign w:val="bottom"/>
            <w:hideMark/>
          </w:tcPr>
          <w:p w14:paraId="726AC778" w14:textId="77777777" w:rsidR="00181EDF" w:rsidRDefault="00A97B6C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05732887" w14:textId="4A08FD59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2DE6861B" w14:textId="55EC16C6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4F4848B1" w14:textId="77777777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24B8D58F" w14:textId="77777777" w:rsidR="00181EDF" w:rsidRDefault="00181EDF">
            <w:pPr>
              <w:rPr>
                <w:noProof/>
              </w:rPr>
            </w:pP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61E59E72" w14:textId="77777777" w:rsidR="00181EDF" w:rsidRDefault="00A97B6C">
            <w:pPr>
              <w:rPr>
                <w:noProof/>
              </w:rPr>
            </w:pPr>
            <w:r>
              <w:rPr>
                <w:noProof/>
              </w:rPr>
              <w:t>Selhání udržování polohy</w:t>
            </w:r>
          </w:p>
        </w:tc>
        <w:tc>
          <w:tcPr>
            <w:tcW w:w="934" w:type="dxa"/>
            <w:noWrap/>
            <w:vAlign w:val="bottom"/>
            <w:hideMark/>
          </w:tcPr>
          <w:p w14:paraId="40FC70E7" w14:textId="77777777" w:rsidR="00181EDF" w:rsidRDefault="00A97B6C">
            <w:pPr>
              <w:rPr>
                <w:noProof/>
              </w:rPr>
            </w:pPr>
            <w:r>
              <w:rPr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  <w:hideMark/>
          </w:tcPr>
          <w:p w14:paraId="2F842091" w14:textId="5D3282CB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  <w:tc>
          <w:tcPr>
            <w:tcW w:w="1536" w:type="dxa"/>
            <w:noWrap/>
            <w:vAlign w:val="bottom"/>
            <w:hideMark/>
          </w:tcPr>
          <w:p w14:paraId="7AE21B8F" w14:textId="75D08FEB" w:rsidR="00181EDF" w:rsidRDefault="00A97B6C" w:rsidP="00DE1099">
            <w:pPr>
              <w:rPr>
                <w:noProof/>
              </w:rPr>
            </w:pPr>
            <w:r>
              <w:rPr>
                <w:noProof/>
                <w:color w:val="000000"/>
              </w:rPr>
              <w:t>0 %</w:t>
            </w:r>
          </w:p>
        </w:tc>
      </w:tr>
      <w:tr w:rsidR="00802304" w14:paraId="47BB4B7D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23197F00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e) 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2429EE88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Srážky plavidel</w:t>
            </w:r>
          </w:p>
        </w:tc>
        <w:tc>
          <w:tcPr>
            <w:tcW w:w="934" w:type="dxa"/>
            <w:noWrap/>
            <w:vAlign w:val="bottom"/>
            <w:hideMark/>
          </w:tcPr>
          <w:p w14:paraId="77B08E7A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4B56CB91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5BCC4D38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802304" w14:paraId="345405C5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774BD4B2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f)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332BAC26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Havárie vrtulníků</w:t>
            </w:r>
          </w:p>
        </w:tc>
        <w:tc>
          <w:tcPr>
            <w:tcW w:w="934" w:type="dxa"/>
            <w:noWrap/>
            <w:vAlign w:val="bottom"/>
            <w:hideMark/>
          </w:tcPr>
          <w:p w14:paraId="2D77EE78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6D044210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57676329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802304" w14:paraId="5DB368A8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166E234C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g)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1A4CCE16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Havárie s následkem smrti</w:t>
            </w:r>
            <w:r>
              <w:rPr>
                <w:b/>
                <w:noProof/>
                <w:vertAlign w:val="superscript"/>
              </w:rPr>
              <w:t>(*)</w:t>
            </w:r>
          </w:p>
        </w:tc>
        <w:tc>
          <w:tcPr>
            <w:tcW w:w="934" w:type="dxa"/>
            <w:noWrap/>
            <w:vAlign w:val="bottom"/>
            <w:hideMark/>
          </w:tcPr>
          <w:p w14:paraId="0F8AF3AB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60B29A25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3ED07208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802304" w14:paraId="24D2B3DD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6C2E75F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h)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3E330865" w14:textId="5D2E12F8" w:rsidR="00181EDF" w:rsidRDefault="00A97B6C" w:rsidP="006F7919">
            <w:pPr>
              <w:rPr>
                <w:b/>
                <w:noProof/>
              </w:rPr>
            </w:pPr>
            <w:r>
              <w:rPr>
                <w:b/>
                <w:noProof/>
              </w:rPr>
              <w:t>Vážná zranění pěti nebo více osob při jedné havárii</w:t>
            </w:r>
          </w:p>
        </w:tc>
        <w:tc>
          <w:tcPr>
            <w:tcW w:w="934" w:type="dxa"/>
            <w:noWrap/>
            <w:vAlign w:val="bottom"/>
            <w:hideMark/>
          </w:tcPr>
          <w:p w14:paraId="46D5DF36" w14:textId="77777777" w:rsidR="00181EDF" w:rsidRDefault="00A97B6C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15E0F043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716E056A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802304" w14:paraId="1A88383D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424ADE9B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i)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4D4AB86C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Evakuace pracovníků</w:t>
            </w:r>
          </w:p>
        </w:tc>
        <w:tc>
          <w:tcPr>
            <w:tcW w:w="934" w:type="dxa"/>
            <w:noWrap/>
            <w:vAlign w:val="bottom"/>
            <w:hideMark/>
          </w:tcPr>
          <w:p w14:paraId="4691F873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68F53F39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238759AE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802304" w14:paraId="308757B0" w14:textId="77777777" w:rsidTr="00802304">
        <w:trPr>
          <w:trHeight w:val="300"/>
        </w:trPr>
        <w:tc>
          <w:tcPr>
            <w:tcW w:w="509" w:type="dxa"/>
            <w:tcBorders>
              <w:right w:val="single" w:sz="4" w:space="0" w:color="FFFFFF" w:themeColor="background1"/>
            </w:tcBorders>
            <w:noWrap/>
            <w:hideMark/>
          </w:tcPr>
          <w:p w14:paraId="76E22F55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j)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</w:tcBorders>
            <w:noWrap/>
            <w:hideMark/>
          </w:tcPr>
          <w:p w14:paraId="5E3ED267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Ekologické nehody</w:t>
            </w:r>
            <w:r>
              <w:rPr>
                <w:b/>
                <w:noProof/>
                <w:vertAlign w:val="superscript"/>
              </w:rPr>
              <w:t>(**)</w:t>
            </w:r>
          </w:p>
        </w:tc>
        <w:tc>
          <w:tcPr>
            <w:tcW w:w="934" w:type="dxa"/>
            <w:noWrap/>
            <w:vAlign w:val="bottom"/>
            <w:hideMark/>
          </w:tcPr>
          <w:p w14:paraId="2B1AA371" w14:textId="77777777" w:rsidR="00181EDF" w:rsidRDefault="00EE4FAD" w:rsidP="00EE4FAD">
            <w:pPr>
              <w:rPr>
                <w:b/>
                <w:bCs/>
                <w:noProof/>
              </w:rPr>
            </w:pPr>
            <w:r>
              <w:rPr>
                <w:b/>
                <w:noProof/>
                <w:color w:val="000000"/>
              </w:rPr>
              <w:t>0</w:t>
            </w:r>
          </w:p>
        </w:tc>
        <w:tc>
          <w:tcPr>
            <w:tcW w:w="1328" w:type="dxa"/>
            <w:noWrap/>
            <w:vAlign w:val="bottom"/>
          </w:tcPr>
          <w:p w14:paraId="37FD00B7" w14:textId="77777777" w:rsidR="00181EDF" w:rsidRDefault="00181EDF">
            <w:pPr>
              <w:rPr>
                <w:b/>
                <w:bCs/>
                <w:noProof/>
              </w:rPr>
            </w:pPr>
          </w:p>
        </w:tc>
        <w:tc>
          <w:tcPr>
            <w:tcW w:w="1536" w:type="dxa"/>
            <w:noWrap/>
            <w:vAlign w:val="bottom"/>
          </w:tcPr>
          <w:p w14:paraId="00113E15" w14:textId="77777777" w:rsidR="00181EDF" w:rsidRDefault="00181EDF">
            <w:pPr>
              <w:rPr>
                <w:b/>
                <w:bCs/>
                <w:noProof/>
              </w:rPr>
            </w:pPr>
          </w:p>
        </w:tc>
      </w:tr>
      <w:tr w:rsidR="00181EDF" w14:paraId="0C95FA52" w14:textId="77777777">
        <w:trPr>
          <w:trHeight w:val="300"/>
        </w:trPr>
        <w:tc>
          <w:tcPr>
            <w:tcW w:w="6164" w:type="dxa"/>
            <w:gridSpan w:val="2"/>
            <w:noWrap/>
            <w:hideMark/>
          </w:tcPr>
          <w:p w14:paraId="533BCD49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Celkem</w:t>
            </w:r>
          </w:p>
        </w:tc>
        <w:tc>
          <w:tcPr>
            <w:tcW w:w="934" w:type="dxa"/>
            <w:noWrap/>
            <w:hideMark/>
          </w:tcPr>
          <w:p w14:paraId="383F4289" w14:textId="77777777" w:rsidR="00181EDF" w:rsidRDefault="00874B5F" w:rsidP="00874B5F">
            <w:pPr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  <w:tc>
          <w:tcPr>
            <w:tcW w:w="1328" w:type="dxa"/>
            <w:noWrap/>
            <w:vAlign w:val="bottom"/>
            <w:hideMark/>
          </w:tcPr>
          <w:p w14:paraId="6DE85384" w14:textId="77777777" w:rsidR="00181EDF" w:rsidRDefault="00181EDF">
            <w:pPr>
              <w:rPr>
                <w:b/>
                <w:noProof/>
              </w:rPr>
            </w:pPr>
          </w:p>
        </w:tc>
        <w:tc>
          <w:tcPr>
            <w:tcW w:w="1536" w:type="dxa"/>
            <w:noWrap/>
            <w:vAlign w:val="bottom"/>
            <w:hideMark/>
          </w:tcPr>
          <w:p w14:paraId="04D8CF51" w14:textId="77777777" w:rsidR="00181EDF" w:rsidRDefault="00A97B6C">
            <w:pPr>
              <w:rPr>
                <w:b/>
                <w:noProof/>
              </w:rPr>
            </w:pPr>
            <w:r>
              <w:rPr>
                <w:b/>
                <w:noProof/>
              </w:rPr>
              <w:t>100 %</w:t>
            </w:r>
          </w:p>
        </w:tc>
      </w:tr>
      <w:tr w:rsidR="00181EDF" w14:paraId="1C3BBB04" w14:textId="77777777">
        <w:trPr>
          <w:trHeight w:val="300"/>
        </w:trPr>
        <w:tc>
          <w:tcPr>
            <w:tcW w:w="9962" w:type="dxa"/>
            <w:gridSpan w:val="5"/>
            <w:noWrap/>
          </w:tcPr>
          <w:p w14:paraId="70B0CF7D" w14:textId="77777777" w:rsidR="00181EDF" w:rsidRDefault="00A97B6C">
            <w:pPr>
              <w:spacing w:after="0"/>
              <w:rPr>
                <w:i/>
                <w:noProof/>
                <w:sz w:val="20"/>
              </w:rPr>
            </w:pPr>
            <w:r>
              <w:rPr>
                <w:noProof/>
                <w:sz w:val="20"/>
              </w:rPr>
              <w:t xml:space="preserve">(*) </w:t>
            </w:r>
            <w:r>
              <w:rPr>
                <w:i/>
                <w:noProof/>
                <w:sz w:val="20"/>
              </w:rPr>
              <w:t>Pouze v případě, že se týkají závažné havárie.</w:t>
            </w:r>
          </w:p>
          <w:p w14:paraId="4A14D4FD" w14:textId="068B35BD" w:rsidR="00181EDF" w:rsidRDefault="00A97B6C" w:rsidP="00BB50A8">
            <w:pPr>
              <w:rPr>
                <w:noProof/>
              </w:rPr>
            </w:pPr>
            <w:r>
              <w:rPr>
                <w:noProof/>
                <w:sz w:val="20"/>
              </w:rPr>
              <w:t xml:space="preserve">(**) </w:t>
            </w:r>
            <w:r>
              <w:rPr>
                <w:i/>
                <w:noProof/>
                <w:sz w:val="20"/>
              </w:rPr>
              <w:t>Podle členských států nebyly hlášené závažné havárie považovány za ekologické havárie.</w:t>
            </w:r>
          </w:p>
        </w:tc>
      </w:tr>
    </w:tbl>
    <w:p w14:paraId="3A823868" w14:textId="77777777" w:rsidR="00181EDF" w:rsidRDefault="00181ED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30BAD136" w14:textId="1F3E48DB" w:rsidR="00A04416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EU se celkový počet nehod snížil ze 34 v roce 2019 (není zohledněno Spojené království) na 16 v roce 2020 (viz níže). To je téměř rovnocenné roku 2016. </w:t>
      </w:r>
    </w:p>
    <w:p w14:paraId="09F8DFE2" w14:textId="77777777" w:rsidR="00A04416" w:rsidRDefault="00A04416">
      <w:pPr>
        <w:jc w:val="both"/>
        <w:rPr>
          <w:rFonts w:ascii="Times New Roman" w:hAnsi="Times New Roman"/>
          <w:noProof/>
          <w:sz w:val="24"/>
          <w:szCs w:val="24"/>
          <w:lang w:val="en-IE"/>
        </w:rPr>
      </w:pPr>
    </w:p>
    <w:p w14:paraId="2BB19DB8" w14:textId="77777777" w:rsidR="00454C7A" w:rsidRDefault="00454C7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C238865" wp14:editId="4900F9D9">
            <wp:extent cx="6188710" cy="28892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FC73A9" w14:textId="0897D082" w:rsidR="00CF60A0" w:rsidRDefault="00CF60A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Ke snížení došlo z velké části díky nižšímu počtu neúmyslných úniků ropy i zemního plynu. V roce 2020 se počet nehod, které znamenaly ztrátu kontroly nad vrtem a únik nebezpečných látek, snížil na nulu. Selhání rozhodujících prvků v oblasti bezpečnosti a životního prostředí se však v letech 2019 až 2020 zdvojnásobilo ze dvou na čtyři. Stejně jako v roce 2019 byly dvě nehody klasifikovány jako závažné havárie, protože mohly způsobit smrt nebo vážná zranění.</w:t>
      </w:r>
    </w:p>
    <w:p w14:paraId="0AEDEFBE" w14:textId="77777777" w:rsidR="00181EDF" w:rsidRPr="00886720" w:rsidRDefault="00181EDF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512FB3A" w14:textId="77777777" w:rsidR="00181EDF" w:rsidRDefault="00A97B6C">
      <w:pPr>
        <w:pStyle w:val="Heading1"/>
        <w:spacing w:before="0"/>
        <w:rPr>
          <w:rFonts w:ascii="Times New Roman" w:hAnsi="Times New Roman"/>
          <w:color w:val="auto"/>
        </w:rPr>
      </w:pPr>
      <w:bookmarkStart w:id="9" w:name="_Toc111108964"/>
      <w:r>
        <w:rPr>
          <w:rFonts w:ascii="Times New Roman" w:hAnsi="Times New Roman"/>
          <w:color w:val="auto"/>
        </w:rPr>
        <w:t>6.</w:t>
      </w:r>
      <w:r>
        <w:tab/>
      </w:r>
      <w:r>
        <w:rPr>
          <w:rFonts w:ascii="Times New Roman" w:hAnsi="Times New Roman"/>
          <w:color w:val="auto"/>
        </w:rPr>
        <w:t>ZÁVĚRY</w:t>
      </w:r>
      <w:bookmarkEnd w:id="9"/>
    </w:p>
    <w:p w14:paraId="243CCA8C" w14:textId="102D7189" w:rsidR="00181EDF" w:rsidRDefault="004F5FD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roce 2020 existovalo v EU 363 zařízení pro těžbu ropy a zemního plynu v moři. Úroveň celkové těžby ropy a zemního plynu se významně snížila ze 24 258 kilotun ropného ekvivalentu v roce 2019 na 19 941 kilotun ropného ekvivalentu v roce 2020. 74 % celkové těžby ropy a zemního plynu v moři v EU připadá na Dánsko a Nizozemsko. </w:t>
      </w:r>
    </w:p>
    <w:p w14:paraId="4B33149B" w14:textId="040FF0E2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Komise posoudila bezpečnost činností EU v odvětví ropy a zemního plynu v moři na základě informací, které poskytly členské státy v souladu s pravidly prováděcího nařízení o podávání zpráv. Přesnost analýzy Komise se proto odvíjí od přesnosti těchto informací.</w:t>
      </w:r>
    </w:p>
    <w:p w14:paraId="01AA5D8C" w14:textId="59A72DB8" w:rsidR="00181EDF" w:rsidRDefault="00A97B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 roce 2020 se vnitrostátní orgány dále snažily zajistit vysokou úroveň bezpečnosti činností v odvětví ropy a zemního plynu v moři prostřednictvím inspekcí 141 zařízení (ve srovnání se 170 v roce 2019). Jedinou zemí, která oznámila donucovací opatření, bylo Dánsko.</w:t>
      </w:r>
    </w:p>
    <w:p w14:paraId="7FD37229" w14:textId="7970B3A2" w:rsidR="00181EDF" w:rsidRDefault="009E08C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roce 2020 došlo ke dvěma závažným haváriím, stejně jako v roce 2019. Celkový počet nehod (podle kategorií v tabulce 4) se snížil ze 34 v roce 2019 na 16 v roce 2020, zejména díky snížení počtu nehod v Nizozemsku (z 18 na 4). Stejně jako v roce 2019 nebyly hlášeny žádné ztráty na životech, došlo však ke 24 případům zranění a 10 případům vážných zranění. </w:t>
      </w:r>
    </w:p>
    <w:p w14:paraId="6DCF98D6" w14:textId="1467C2E9" w:rsidR="005F6235" w:rsidRDefault="00593B8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Závěrem lze říci, že díky povinným inspekcím a přijatým nápravným opatřením v souladu se směrnicí o bezpečnosti činností v odvětví ropy a zemního plynu v moři vedla práce orgánů členských států ve srovnání s rokem 2019 k podstatně větší bezpečnosti činností v odvětví ropy a zemního plynu v moři. </w:t>
      </w:r>
    </w:p>
    <w:p w14:paraId="50273E8E" w14:textId="6EC4B628" w:rsidR="00181EDF" w:rsidRDefault="00D5377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Aby se tato vysoká úroveň bezpečnosti i nadále zachovala, Komise dále úzce spolupracuje se skupinou orgánů dohledu nad pobřežními vodami Evropské unie (EUOAG). Komise se bude v rámci této spolupráce snažit, aby všechny členské státy zohlednily význam uplatňování osvědčených postupů, jakož i pomáhat vnitrostátním orgánům zastoupeným ve skupině. </w:t>
      </w:r>
    </w:p>
    <w:p w14:paraId="0C97AE52" w14:textId="77777777" w:rsidR="00181EDF" w:rsidRDefault="00181EDF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3207465F" w14:textId="77777777" w:rsidR="00D371E3" w:rsidRDefault="00D371E3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371E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6114" w14:textId="77777777" w:rsidR="003F116A" w:rsidRDefault="003F116A">
      <w:pPr>
        <w:spacing w:after="0" w:line="240" w:lineRule="auto"/>
      </w:pPr>
      <w:r>
        <w:separator/>
      </w:r>
    </w:p>
  </w:endnote>
  <w:endnote w:type="continuationSeparator" w:id="0">
    <w:p w14:paraId="18D39B6A" w14:textId="77777777" w:rsidR="003F116A" w:rsidRDefault="003F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8B53" w14:textId="77777777" w:rsidR="00A93E7C" w:rsidRPr="00A93E7C" w:rsidRDefault="00A93E7C" w:rsidP="00A9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0940" w14:textId="3BA2CA29" w:rsidR="00886720" w:rsidRPr="00A93E7C" w:rsidRDefault="00A93E7C" w:rsidP="00A93E7C">
    <w:pPr>
      <w:pStyle w:val="FooterCoverPage"/>
      <w:rPr>
        <w:rFonts w:ascii="Arial" w:hAnsi="Arial" w:cs="Arial"/>
        <w:b/>
        <w:sz w:val="48"/>
      </w:rPr>
    </w:pPr>
    <w:r w:rsidRPr="00A93E7C">
      <w:rPr>
        <w:rFonts w:ascii="Arial" w:hAnsi="Arial" w:cs="Arial"/>
        <w:b/>
        <w:sz w:val="48"/>
      </w:rPr>
      <w:t>CS</w:t>
    </w:r>
    <w:r w:rsidRPr="00A93E7C">
      <w:rPr>
        <w:rFonts w:ascii="Arial" w:hAnsi="Arial" w:cs="Arial"/>
        <w:b/>
        <w:sz w:val="48"/>
      </w:rPr>
      <w:tab/>
    </w:r>
    <w:r w:rsidRPr="00A93E7C">
      <w:rPr>
        <w:rFonts w:ascii="Arial" w:hAnsi="Arial" w:cs="Arial"/>
        <w:b/>
        <w:sz w:val="48"/>
      </w:rPr>
      <w:tab/>
    </w:r>
    <w:r w:rsidRPr="00A93E7C">
      <w:tab/>
    </w:r>
    <w:r w:rsidRPr="00A93E7C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F8F2" w14:textId="77777777" w:rsidR="00A93E7C" w:rsidRPr="00A93E7C" w:rsidRDefault="00A93E7C" w:rsidP="00A93E7C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73CB7" w14:textId="77777777" w:rsidR="001D182E" w:rsidRDefault="001D18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BD6B" w14:textId="5BE38843" w:rsidR="001D182E" w:rsidRDefault="001D18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E7C">
      <w:rPr>
        <w:noProof/>
      </w:rPr>
      <w:t>1</w:t>
    </w:r>
    <w:r>
      <w:fldChar w:fldCharType="end"/>
    </w:r>
  </w:p>
  <w:p w14:paraId="294A64C0" w14:textId="77777777" w:rsidR="001D182E" w:rsidRDefault="001D182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3CB3" w14:textId="77777777" w:rsidR="001D182E" w:rsidRDefault="001D182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D5B9" w14:textId="77777777" w:rsidR="007F3BE6" w:rsidRDefault="007F3BE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6B79" w14:textId="48C580DA" w:rsidR="007F3BE6" w:rsidRDefault="007F3B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E7C">
      <w:rPr>
        <w:noProof/>
      </w:rPr>
      <w:t>13</w:t>
    </w:r>
    <w:r>
      <w:fldChar w:fldCharType="end"/>
    </w:r>
  </w:p>
  <w:p w14:paraId="61C0D447" w14:textId="77777777" w:rsidR="007F3BE6" w:rsidRDefault="007F3BE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5D225" w14:textId="77777777" w:rsidR="007F3BE6" w:rsidRDefault="007F3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1F0F" w14:textId="77777777" w:rsidR="003F116A" w:rsidRDefault="003F116A">
      <w:pPr>
        <w:spacing w:after="0" w:line="240" w:lineRule="auto"/>
      </w:pPr>
      <w:r>
        <w:separator/>
      </w:r>
    </w:p>
  </w:footnote>
  <w:footnote w:type="continuationSeparator" w:id="0">
    <w:p w14:paraId="3617F840" w14:textId="77777777" w:rsidR="003F116A" w:rsidRDefault="003F116A">
      <w:pPr>
        <w:spacing w:after="0" w:line="240" w:lineRule="auto"/>
      </w:pPr>
      <w:r>
        <w:continuationSeparator/>
      </w:r>
    </w:p>
  </w:footnote>
  <w:footnote w:id="1">
    <w:p w14:paraId="71F34FD4" w14:textId="77777777" w:rsidR="007F3BE6" w:rsidRPr="001F32BC" w:rsidRDefault="007F3BE6">
      <w:pPr>
        <w:pStyle w:val="FootnoteText"/>
        <w:rPr>
          <w:rFonts w:ascii="Times New Roman" w:hAnsi="Times New Roman"/>
        </w:rPr>
      </w:pPr>
      <w:r w:rsidRPr="00E05CE2">
        <w:rPr>
          <w:rStyle w:val="FootnoteReference"/>
        </w:rPr>
        <w:footnoteRef/>
      </w:r>
      <w:r>
        <w:rPr>
          <w:rFonts w:ascii="Times New Roman" w:hAnsi="Times New Roman"/>
        </w:rPr>
        <w:t xml:space="preserve"> Úř. věst. L 178, 28.6. 2013, s. 66.</w:t>
      </w:r>
    </w:p>
  </w:footnote>
  <w:footnote w:id="2">
    <w:p w14:paraId="1E4A6650" w14:textId="50C0A58D" w:rsidR="007F3BE6" w:rsidRPr="00DA2542" w:rsidRDefault="007F3BE6">
      <w:pPr>
        <w:pStyle w:val="FootnoteText"/>
      </w:pPr>
      <w:r w:rsidRPr="00E05CE2">
        <w:rPr>
          <w:rStyle w:val="FootnoteReference"/>
        </w:rPr>
        <w:footnoteRef/>
      </w:r>
      <w:r w:rsidR="00E05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 odchodu Spojeného království z EU se počet zařízení v Severním moři a Atlantském oceánu snížil o 176.</w:t>
      </w:r>
    </w:p>
  </w:footnote>
  <w:footnote w:id="3">
    <w:p w14:paraId="2743CCED" w14:textId="77777777" w:rsidR="007F3BE6" w:rsidRDefault="007F3BE6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Úř. věst. L 302, 22.10.2014, s. 2.</w:t>
      </w:r>
    </w:p>
  </w:footnote>
  <w:footnote w:id="4">
    <w:p w14:paraId="6F196CF9" w14:textId="77777777" w:rsidR="007F3BE6" w:rsidRDefault="007F3BE6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https://euoag.jrc.ec.europa.eu/files/attachments/2015_11_25_implementing_regulation_guidance_document_final.pdf</w:t>
      </w:r>
    </w:p>
  </w:footnote>
  <w:footnote w:id="5">
    <w:p w14:paraId="3D76743C" w14:textId="2E866CC2" w:rsidR="007F3BE6" w:rsidRDefault="007F3BE6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 w:rsidR="00E05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Analýza v kapitole 4.1 se netýká mobilních vrtných jednotek na moři.</w:t>
      </w:r>
    </w:p>
  </w:footnote>
  <w:footnote w:id="6">
    <w:p w14:paraId="0455EB4E" w14:textId="143995AA" w:rsidR="007F3BE6" w:rsidRPr="00C6304E" w:rsidRDefault="007F3BE6">
      <w:pPr>
        <w:pStyle w:val="FootnoteText"/>
      </w:pPr>
      <w:r w:rsidRPr="00E05CE2">
        <w:rPr>
          <w:rStyle w:val="FootnoteReference"/>
        </w:rPr>
        <w:footnoteRef/>
      </w:r>
      <w:r w:rsidR="00E05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Srovnání let 2020 a 2019 nezahrnuje údaje Spojeného království za rok 2019.</w:t>
      </w:r>
    </w:p>
  </w:footnote>
  <w:footnote w:id="7">
    <w:p w14:paraId="3DC54AB1" w14:textId="174BBC6C" w:rsidR="007F3BE6" w:rsidRPr="0068584D" w:rsidRDefault="007F3BE6">
      <w:pPr>
        <w:pStyle w:val="FootnoteText"/>
      </w:pPr>
      <w:r w:rsidRPr="00E05CE2">
        <w:rPr>
          <w:rStyle w:val="FootnoteReference"/>
        </w:rPr>
        <w:footnoteRef/>
      </w:r>
      <w:r w:rsidR="00E05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určité události se oznamovací povinnost nevztahuje (např. události nesouvisející s operacemi).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C284E" w14:textId="77777777" w:rsidR="00A93E7C" w:rsidRPr="00A93E7C" w:rsidRDefault="00A93E7C" w:rsidP="00A93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7943" w14:textId="77777777" w:rsidR="00A93E7C" w:rsidRPr="00A93E7C" w:rsidRDefault="00A93E7C" w:rsidP="00A93E7C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E75C" w14:textId="77777777" w:rsidR="00A93E7C" w:rsidRPr="00A93E7C" w:rsidRDefault="00A93E7C" w:rsidP="00A93E7C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161D" w14:textId="77777777" w:rsidR="001D182E" w:rsidRDefault="001D18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56CA" w14:textId="77777777" w:rsidR="001D182E" w:rsidRDefault="001D18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D6723" w14:textId="77777777" w:rsidR="001D182E" w:rsidRDefault="001D182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3624" w14:textId="77777777" w:rsidR="007F3BE6" w:rsidRDefault="007F3BE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E891" w14:textId="77777777" w:rsidR="007F3BE6" w:rsidRDefault="007F3BE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F68F" w14:textId="77777777" w:rsidR="007F3BE6" w:rsidRDefault="007F3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4812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A0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B2B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825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68D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AD4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03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A62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AD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E6A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75A"/>
    <w:multiLevelType w:val="hybridMultilevel"/>
    <w:tmpl w:val="0CA473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82E53"/>
    <w:multiLevelType w:val="hybridMultilevel"/>
    <w:tmpl w:val="D6C4DF50"/>
    <w:lvl w:ilvl="0" w:tplc="ED987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96107"/>
    <w:multiLevelType w:val="hybridMultilevel"/>
    <w:tmpl w:val="341A19A4"/>
    <w:lvl w:ilvl="0" w:tplc="82BAB730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D0E32"/>
    <w:multiLevelType w:val="hybridMultilevel"/>
    <w:tmpl w:val="A8D2EA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D0569"/>
    <w:multiLevelType w:val="hybridMultilevel"/>
    <w:tmpl w:val="708C29DA"/>
    <w:lvl w:ilvl="0" w:tplc="D08C0E28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2062D"/>
    <w:multiLevelType w:val="hybridMultilevel"/>
    <w:tmpl w:val="1F1841D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944CB"/>
    <w:multiLevelType w:val="hybridMultilevel"/>
    <w:tmpl w:val="577C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D1944"/>
    <w:multiLevelType w:val="hybridMultilevel"/>
    <w:tmpl w:val="0D304F36"/>
    <w:lvl w:ilvl="0" w:tplc="6124312E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368"/>
    <w:multiLevelType w:val="hybridMultilevel"/>
    <w:tmpl w:val="DE44938A"/>
    <w:lvl w:ilvl="0" w:tplc="AC0E200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79E0"/>
    <w:multiLevelType w:val="hybridMultilevel"/>
    <w:tmpl w:val="B518FD42"/>
    <w:lvl w:ilvl="0" w:tplc="ED987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C7BB3"/>
    <w:multiLevelType w:val="hybridMultilevel"/>
    <w:tmpl w:val="878EED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92971"/>
    <w:multiLevelType w:val="hybridMultilevel"/>
    <w:tmpl w:val="0C12691A"/>
    <w:lvl w:ilvl="0" w:tplc="EF6E0B48">
      <w:start w:val="3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5264B"/>
    <w:multiLevelType w:val="hybridMultilevel"/>
    <w:tmpl w:val="DE9C802C"/>
    <w:lvl w:ilvl="0" w:tplc="4998C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D4CA5"/>
    <w:multiLevelType w:val="hybridMultilevel"/>
    <w:tmpl w:val="ADBA36E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21C5"/>
    <w:multiLevelType w:val="hybridMultilevel"/>
    <w:tmpl w:val="549A0660"/>
    <w:lvl w:ilvl="0" w:tplc="ED987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E13C6"/>
    <w:multiLevelType w:val="hybridMultilevel"/>
    <w:tmpl w:val="93546A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1449B"/>
    <w:multiLevelType w:val="hybridMultilevel"/>
    <w:tmpl w:val="77F0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4AD6"/>
    <w:multiLevelType w:val="hybridMultilevel"/>
    <w:tmpl w:val="8F4CC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57452"/>
    <w:multiLevelType w:val="hybridMultilevel"/>
    <w:tmpl w:val="34644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1"/>
  </w:num>
  <w:num w:numId="5">
    <w:abstractNumId w:val="24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0"/>
  </w:num>
  <w:num w:numId="20">
    <w:abstractNumId w:val="23"/>
  </w:num>
  <w:num w:numId="21">
    <w:abstractNumId w:val="22"/>
  </w:num>
  <w:num w:numId="22">
    <w:abstractNumId w:val="27"/>
  </w:num>
  <w:num w:numId="23">
    <w:abstractNumId w:val="21"/>
  </w:num>
  <w:num w:numId="24">
    <w:abstractNumId w:val="12"/>
  </w:num>
  <w:num w:numId="25">
    <w:abstractNumId w:val="15"/>
  </w:num>
  <w:num w:numId="26">
    <w:abstractNumId w:val="25"/>
  </w:num>
  <w:num w:numId="27">
    <w:abstractNumId w:val="20"/>
  </w:num>
  <w:num w:numId="28">
    <w:abstractNumId w:val="13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39B9D5B8-BC06-4B8A-B609-E3EAA3EA7779"/>
    <w:docVar w:name="LW_COVERPAGE_TYPE" w:val="1"/>
    <w:docVar w:name="LW_CROSSREFERENCE" w:val="&lt;UNUSED&gt;"/>
    <w:docVar w:name="LW_DocType" w:val="NORMAL"/>
    <w:docVar w:name="LW_EMISSION" w:val="26.8.2022"/>
    <w:docVar w:name="LW_EMISSION_ISODATE" w:val="2022-08-26"/>
    <w:docVar w:name="LW_EMISSION_LOCATION" w:val="BRX"/>
    <w:docVar w:name="LW_EMISSION_PREFIX" w:val="V Bruselu dne "/>
    <w:docVar w:name="LW_EMISSION_SUFFIX" w:val=" "/>
    <w:docVar w:name="LW_ID_DOCTYPE_NONLW" w:val="CP-003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2) 41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Výroční zpráva Evropské komise o bezpečnosti činností v odvětví ropy a zemního plynu v moři za rok 2020"/>
    <w:docVar w:name="LW_TYPE.DOC.CP" w:val="ZPRÁVA KOMISE"/>
    <w:docVar w:name="LwApiVersions" w:val="LW4CoDe 1.23.2.0; LW 8.0, Build 20211117"/>
    <w:docVar w:name="Stamp" w:val="\\dossiers.dgt.cec.eu.int\dossiers\MOVE\MOVE-2018-00531\MOVE-2018-00531-00-00-EN-EDT-00.201805230858395479302.DOCX"/>
  </w:docVars>
  <w:rsids>
    <w:rsidRoot w:val="00181EDF"/>
    <w:rsid w:val="00033962"/>
    <w:rsid w:val="000505C8"/>
    <w:rsid w:val="00052B31"/>
    <w:rsid w:val="000546D3"/>
    <w:rsid w:val="00055EB5"/>
    <w:rsid w:val="000569AA"/>
    <w:rsid w:val="00062767"/>
    <w:rsid w:val="00062ABF"/>
    <w:rsid w:val="00065BDC"/>
    <w:rsid w:val="000672F0"/>
    <w:rsid w:val="00073D6C"/>
    <w:rsid w:val="000A39A4"/>
    <w:rsid w:val="000A4F01"/>
    <w:rsid w:val="000B418E"/>
    <w:rsid w:val="000C4854"/>
    <w:rsid w:val="000D1D6A"/>
    <w:rsid w:val="000D69D0"/>
    <w:rsid w:val="000D7B49"/>
    <w:rsid w:val="000E024B"/>
    <w:rsid w:val="000E13E4"/>
    <w:rsid w:val="00104862"/>
    <w:rsid w:val="001217DF"/>
    <w:rsid w:val="00124DBA"/>
    <w:rsid w:val="001255A1"/>
    <w:rsid w:val="00127431"/>
    <w:rsid w:val="00135A55"/>
    <w:rsid w:val="00152365"/>
    <w:rsid w:val="00163692"/>
    <w:rsid w:val="0016453C"/>
    <w:rsid w:val="00181EDF"/>
    <w:rsid w:val="001A4211"/>
    <w:rsid w:val="001A4A67"/>
    <w:rsid w:val="001A5810"/>
    <w:rsid w:val="001C3985"/>
    <w:rsid w:val="001D04D5"/>
    <w:rsid w:val="001D182E"/>
    <w:rsid w:val="001D7F49"/>
    <w:rsid w:val="001F028A"/>
    <w:rsid w:val="001F2397"/>
    <w:rsid w:val="001F32BC"/>
    <w:rsid w:val="001F464F"/>
    <w:rsid w:val="00216485"/>
    <w:rsid w:val="00216B1C"/>
    <w:rsid w:val="00220882"/>
    <w:rsid w:val="00224387"/>
    <w:rsid w:val="00232656"/>
    <w:rsid w:val="00235695"/>
    <w:rsid w:val="00241724"/>
    <w:rsid w:val="002432CD"/>
    <w:rsid w:val="00247E8F"/>
    <w:rsid w:val="0025225D"/>
    <w:rsid w:val="0025400E"/>
    <w:rsid w:val="00270E7A"/>
    <w:rsid w:val="002A2C28"/>
    <w:rsid w:val="002C026A"/>
    <w:rsid w:val="002D4BBB"/>
    <w:rsid w:val="00330E77"/>
    <w:rsid w:val="003663E1"/>
    <w:rsid w:val="00380BE9"/>
    <w:rsid w:val="003877C2"/>
    <w:rsid w:val="00393C66"/>
    <w:rsid w:val="003A52D8"/>
    <w:rsid w:val="003A54B6"/>
    <w:rsid w:val="003B2A6D"/>
    <w:rsid w:val="003C1108"/>
    <w:rsid w:val="003C5582"/>
    <w:rsid w:val="003E46C3"/>
    <w:rsid w:val="003E76B9"/>
    <w:rsid w:val="003F116A"/>
    <w:rsid w:val="004042E4"/>
    <w:rsid w:val="00406D93"/>
    <w:rsid w:val="004151DB"/>
    <w:rsid w:val="004256B9"/>
    <w:rsid w:val="00430617"/>
    <w:rsid w:val="00432D81"/>
    <w:rsid w:val="00447DA7"/>
    <w:rsid w:val="00453529"/>
    <w:rsid w:val="00454C7A"/>
    <w:rsid w:val="004821CC"/>
    <w:rsid w:val="00490B7E"/>
    <w:rsid w:val="004A3796"/>
    <w:rsid w:val="004B384B"/>
    <w:rsid w:val="004B4572"/>
    <w:rsid w:val="004C194C"/>
    <w:rsid w:val="004D700E"/>
    <w:rsid w:val="004F5FDA"/>
    <w:rsid w:val="00502159"/>
    <w:rsid w:val="0050277C"/>
    <w:rsid w:val="005102A8"/>
    <w:rsid w:val="00510BC2"/>
    <w:rsid w:val="00530DAE"/>
    <w:rsid w:val="00533603"/>
    <w:rsid w:val="0053371A"/>
    <w:rsid w:val="005468A1"/>
    <w:rsid w:val="00550A78"/>
    <w:rsid w:val="0055225C"/>
    <w:rsid w:val="0056770D"/>
    <w:rsid w:val="00585E4A"/>
    <w:rsid w:val="00593B80"/>
    <w:rsid w:val="005962C9"/>
    <w:rsid w:val="005C1665"/>
    <w:rsid w:val="005C3A61"/>
    <w:rsid w:val="005C6911"/>
    <w:rsid w:val="005C7C84"/>
    <w:rsid w:val="005F6080"/>
    <w:rsid w:val="005F6235"/>
    <w:rsid w:val="00600A3D"/>
    <w:rsid w:val="00602C2E"/>
    <w:rsid w:val="006045BF"/>
    <w:rsid w:val="00610559"/>
    <w:rsid w:val="006141CD"/>
    <w:rsid w:val="00616141"/>
    <w:rsid w:val="0063404F"/>
    <w:rsid w:val="0063723E"/>
    <w:rsid w:val="00644AFC"/>
    <w:rsid w:val="00657BF4"/>
    <w:rsid w:val="00667E63"/>
    <w:rsid w:val="0067360C"/>
    <w:rsid w:val="00673B10"/>
    <w:rsid w:val="006755E8"/>
    <w:rsid w:val="0068076F"/>
    <w:rsid w:val="0068584D"/>
    <w:rsid w:val="00685964"/>
    <w:rsid w:val="00693872"/>
    <w:rsid w:val="00693C7A"/>
    <w:rsid w:val="006A4663"/>
    <w:rsid w:val="006B64BB"/>
    <w:rsid w:val="006C0250"/>
    <w:rsid w:val="006E633F"/>
    <w:rsid w:val="006F7919"/>
    <w:rsid w:val="00702586"/>
    <w:rsid w:val="00731C27"/>
    <w:rsid w:val="007344B2"/>
    <w:rsid w:val="00757C15"/>
    <w:rsid w:val="00764137"/>
    <w:rsid w:val="007642FE"/>
    <w:rsid w:val="00780BCD"/>
    <w:rsid w:val="00785781"/>
    <w:rsid w:val="00785E22"/>
    <w:rsid w:val="00786D3B"/>
    <w:rsid w:val="007A004F"/>
    <w:rsid w:val="007C7403"/>
    <w:rsid w:val="007C7B5A"/>
    <w:rsid w:val="007D499B"/>
    <w:rsid w:val="007F3BE6"/>
    <w:rsid w:val="007F7D5D"/>
    <w:rsid w:val="00800D16"/>
    <w:rsid w:val="00802304"/>
    <w:rsid w:val="00813A31"/>
    <w:rsid w:val="00820B3A"/>
    <w:rsid w:val="00825ABF"/>
    <w:rsid w:val="00842E05"/>
    <w:rsid w:val="0084398E"/>
    <w:rsid w:val="00844CA9"/>
    <w:rsid w:val="00846CB6"/>
    <w:rsid w:val="00863080"/>
    <w:rsid w:val="00874B5F"/>
    <w:rsid w:val="00876ADA"/>
    <w:rsid w:val="00886720"/>
    <w:rsid w:val="00894691"/>
    <w:rsid w:val="008A0663"/>
    <w:rsid w:val="008B09EA"/>
    <w:rsid w:val="008B4E45"/>
    <w:rsid w:val="008C0CCB"/>
    <w:rsid w:val="008C340C"/>
    <w:rsid w:val="008C6704"/>
    <w:rsid w:val="008E68E0"/>
    <w:rsid w:val="008E7BAB"/>
    <w:rsid w:val="008F263B"/>
    <w:rsid w:val="00910B28"/>
    <w:rsid w:val="00913753"/>
    <w:rsid w:val="00914E8B"/>
    <w:rsid w:val="0091549B"/>
    <w:rsid w:val="00926921"/>
    <w:rsid w:val="00942CDB"/>
    <w:rsid w:val="009433AD"/>
    <w:rsid w:val="00943A26"/>
    <w:rsid w:val="00946B07"/>
    <w:rsid w:val="0094703D"/>
    <w:rsid w:val="00954764"/>
    <w:rsid w:val="009633BF"/>
    <w:rsid w:val="00990CB5"/>
    <w:rsid w:val="009925E5"/>
    <w:rsid w:val="009A7EB4"/>
    <w:rsid w:val="009B1157"/>
    <w:rsid w:val="009D113E"/>
    <w:rsid w:val="009E08C9"/>
    <w:rsid w:val="009E4A86"/>
    <w:rsid w:val="00A037F9"/>
    <w:rsid w:val="00A04416"/>
    <w:rsid w:val="00A21F81"/>
    <w:rsid w:val="00A24D9F"/>
    <w:rsid w:val="00A3435B"/>
    <w:rsid w:val="00A50D54"/>
    <w:rsid w:val="00A57017"/>
    <w:rsid w:val="00A6698A"/>
    <w:rsid w:val="00A717A1"/>
    <w:rsid w:val="00A758D1"/>
    <w:rsid w:val="00A84D59"/>
    <w:rsid w:val="00A93E7C"/>
    <w:rsid w:val="00A955C7"/>
    <w:rsid w:val="00A97B6C"/>
    <w:rsid w:val="00AA3765"/>
    <w:rsid w:val="00AB58AB"/>
    <w:rsid w:val="00AB72A9"/>
    <w:rsid w:val="00AC7BD2"/>
    <w:rsid w:val="00AF193C"/>
    <w:rsid w:val="00B04027"/>
    <w:rsid w:val="00B06A22"/>
    <w:rsid w:val="00B20DDA"/>
    <w:rsid w:val="00B215A0"/>
    <w:rsid w:val="00B316A3"/>
    <w:rsid w:val="00B52C9F"/>
    <w:rsid w:val="00B66E29"/>
    <w:rsid w:val="00B853B2"/>
    <w:rsid w:val="00BA7D81"/>
    <w:rsid w:val="00BA7F0F"/>
    <w:rsid w:val="00BB50A8"/>
    <w:rsid w:val="00BC34E2"/>
    <w:rsid w:val="00BE03B8"/>
    <w:rsid w:val="00BE073F"/>
    <w:rsid w:val="00BE23FA"/>
    <w:rsid w:val="00BE43BC"/>
    <w:rsid w:val="00BF06F7"/>
    <w:rsid w:val="00BF144F"/>
    <w:rsid w:val="00BF1ABC"/>
    <w:rsid w:val="00C00841"/>
    <w:rsid w:val="00C063BD"/>
    <w:rsid w:val="00C137C2"/>
    <w:rsid w:val="00C4001A"/>
    <w:rsid w:val="00C45DE8"/>
    <w:rsid w:val="00C53735"/>
    <w:rsid w:val="00C546A3"/>
    <w:rsid w:val="00C6304E"/>
    <w:rsid w:val="00C82C3B"/>
    <w:rsid w:val="00C83EE5"/>
    <w:rsid w:val="00CA2947"/>
    <w:rsid w:val="00CB43D3"/>
    <w:rsid w:val="00CC0F34"/>
    <w:rsid w:val="00CC48E4"/>
    <w:rsid w:val="00CD4C2E"/>
    <w:rsid w:val="00CF2B25"/>
    <w:rsid w:val="00CF60A0"/>
    <w:rsid w:val="00D00323"/>
    <w:rsid w:val="00D00D41"/>
    <w:rsid w:val="00D0315D"/>
    <w:rsid w:val="00D11702"/>
    <w:rsid w:val="00D25E3F"/>
    <w:rsid w:val="00D26E1C"/>
    <w:rsid w:val="00D33977"/>
    <w:rsid w:val="00D371E3"/>
    <w:rsid w:val="00D4076D"/>
    <w:rsid w:val="00D41A7F"/>
    <w:rsid w:val="00D4626D"/>
    <w:rsid w:val="00D53777"/>
    <w:rsid w:val="00D662B5"/>
    <w:rsid w:val="00D76501"/>
    <w:rsid w:val="00D81268"/>
    <w:rsid w:val="00D92D60"/>
    <w:rsid w:val="00D95687"/>
    <w:rsid w:val="00DA2542"/>
    <w:rsid w:val="00DC68BD"/>
    <w:rsid w:val="00DE1099"/>
    <w:rsid w:val="00E05CE2"/>
    <w:rsid w:val="00E05F24"/>
    <w:rsid w:val="00E250A8"/>
    <w:rsid w:val="00E365E4"/>
    <w:rsid w:val="00E52F64"/>
    <w:rsid w:val="00E53A80"/>
    <w:rsid w:val="00E5465C"/>
    <w:rsid w:val="00E55E95"/>
    <w:rsid w:val="00E9358A"/>
    <w:rsid w:val="00E95716"/>
    <w:rsid w:val="00EB42BB"/>
    <w:rsid w:val="00EB4636"/>
    <w:rsid w:val="00EB76FE"/>
    <w:rsid w:val="00EC442D"/>
    <w:rsid w:val="00EE4FAD"/>
    <w:rsid w:val="00EF0CA9"/>
    <w:rsid w:val="00EF2821"/>
    <w:rsid w:val="00F0276C"/>
    <w:rsid w:val="00F03583"/>
    <w:rsid w:val="00F07ED8"/>
    <w:rsid w:val="00F16855"/>
    <w:rsid w:val="00F2630B"/>
    <w:rsid w:val="00F35EE8"/>
    <w:rsid w:val="00F43A6D"/>
    <w:rsid w:val="00F55FEB"/>
    <w:rsid w:val="00F75D42"/>
    <w:rsid w:val="00F86748"/>
    <w:rsid w:val="00F9179F"/>
    <w:rsid w:val="00F94760"/>
    <w:rsid w:val="00FA1256"/>
    <w:rsid w:val="00FA6E5B"/>
    <w:rsid w:val="00FB429D"/>
    <w:rsid w:val="00FD46D9"/>
    <w:rsid w:val="00FD4F58"/>
    <w:rsid w:val="00FD6766"/>
    <w:rsid w:val="00FE079C"/>
    <w:rsid w:val="00FF1447"/>
    <w:rsid w:val="00FF39D6"/>
    <w:rsid w:val="00FF4C8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3C98B4"/>
  <w15:docId w15:val="{4BCF940A-58D9-4B6E-8425-23C6C308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360"/>
      <w:outlineLvl w:val="0"/>
    </w:pPr>
    <w:rPr>
      <w:rFonts w:ascii="Cambria" w:eastAsia="Times New Roman" w:hAnsi="Cambria"/>
      <w:noProof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pPr>
      <w:keepNext/>
      <w:spacing w:line="240" w:lineRule="auto"/>
    </w:pPr>
    <w:rPr>
      <w:rFonts w:ascii="Times New Roman" w:hAnsi="Times New Roman"/>
      <w:i/>
      <w:iCs/>
      <w:sz w:val="24"/>
      <w:szCs w:val="24"/>
    </w:rPr>
  </w:style>
  <w:style w:type="table" w:customStyle="1" w:styleId="TByColumn">
    <w:name w:val="TByColumn"/>
    <w:basedOn w:val="TableNormal"/>
    <w:uiPriority w:val="99"/>
    <w:tblPr>
      <w:tblBorders>
        <w:left w:val="single" w:sz="18" w:space="0" w:color="auto"/>
        <w:right w:val="single" w:sz="18" w:space="0" w:color="auto"/>
        <w:insideH w:val="single" w:sz="2" w:space="0" w:color="A6A6A6"/>
        <w:insideV w:val="single" w:sz="18" w:space="0" w:color="auto"/>
      </w:tblBorders>
    </w:tblPr>
    <w:tblStylePr w:type="firstRow">
      <w:rPr>
        <w:color w:val="F2F2F2"/>
      </w:rPr>
      <w:tblPr/>
      <w:tcPr>
        <w:shd w:val="clear" w:color="auto" w:fill="365F91"/>
      </w:tcPr>
    </w:tblStylePr>
    <w:tblStylePr w:type="lastRow">
      <w:rPr>
        <w:b/>
      </w:rPr>
      <w:tblPr/>
      <w:tcPr>
        <w:shd w:val="clear" w:color="auto" w:fill="DBE5F1"/>
      </w:tcPr>
    </w:tblStylePr>
    <w:tblStylePr w:type="lastCol">
      <w:rPr>
        <w:b/>
        <w:i w:val="0"/>
      </w:rPr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color w:val="243F60"/>
      <w:sz w:val="24"/>
      <w:szCs w:val="24"/>
      <w:lang w:val="cs-CZ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noProof/>
      <w:color w:val="365F91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color w:val="365F9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 w:line="259" w:lineRule="auto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9736"/>
      </w:tabs>
      <w:spacing w:after="100" w:line="259" w:lineRule="auto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 w:line="259" w:lineRule="auto"/>
      <w:ind w:left="440"/>
    </w:pPr>
    <w:rPr>
      <w:rFonts w:eastAsia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styleId="NoSpacing">
    <w:name w:val="No Spacing"/>
    <w:uiPriority w:val="1"/>
    <w:qFormat/>
    <w:rPr>
      <w:sz w:val="22"/>
      <w:szCs w:val="22"/>
    </w:rPr>
  </w:style>
  <w:style w:type="table" w:customStyle="1" w:styleId="COMREP-TBL-STYLE-1">
    <w:name w:val="COMREP-TBL-STYLE-1"/>
    <w:basedOn w:val="TableGrid"/>
    <w:uiPriority w:val="99"/>
    <w:rPr>
      <w:sz w:val="22"/>
      <w:szCs w:val="22"/>
    </w:rPr>
    <w:tblPr/>
    <w:tblStylePr w:type="firstRow">
      <w:rPr>
        <w:b/>
      </w:rPr>
    </w:tblStylePr>
    <w:tblStylePr w:type="firstCol">
      <w:rPr>
        <w:b/>
      </w:rPr>
    </w:tblStylePr>
  </w:style>
  <w:style w:type="table" w:customStyle="1" w:styleId="COMREP-TBL-STYLE-11">
    <w:name w:val="COMREP-TBL-STYLE-11"/>
    <w:basedOn w:val="TableGrid"/>
    <w:uiPriority w:val="99"/>
    <w:rPr>
      <w:sz w:val="22"/>
      <w:szCs w:val="22"/>
    </w:rPr>
    <w:tblPr/>
    <w:tblStylePr w:type="firstRow">
      <w:rPr>
        <w:b/>
      </w:rPr>
    </w:tblStylePr>
    <w:tblStylePr w:type="firstCol">
      <w:rPr>
        <w:b/>
      </w:rPr>
    </w:tblStylePr>
  </w:style>
  <w:style w:type="table" w:customStyle="1" w:styleId="TableGrid1">
    <w:name w:val="Table Grid1"/>
    <w:basedOn w:val="TableNormal"/>
    <w:next w:val="TableGrid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table" w:customStyle="1" w:styleId="TableGrid2">
    <w:name w:val="Table Grid2"/>
    <w:basedOn w:val="TableNormal"/>
    <w:next w:val="TableGrid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val="cs-CZ" w:eastAsia="en-US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eastAsiaTheme="minorHAnsi" w:hAnsi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/>
      <w:sz w:val="28"/>
    </w:rPr>
  </w:style>
  <w:style w:type="table" w:customStyle="1" w:styleId="comrep">
    <w:name w:val="comrep"/>
    <w:basedOn w:val="TableNormal"/>
    <w:uiPriority w:val="9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t1.cec.eu.int\ENER\B\4\2.4%20Offshore%20Safety\02.Reporting\Annual%20report%202020\Annual%20report%20COM%202020\incidents%20EU%202016%20to%202020%20without%20UK%20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incidents at offshore oil and gas installations in the EU (excluding UK) from 2016 to 2020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spPr>
            <a:ln w="31750" cap="rnd">
              <a:solidFill>
                <a:schemeClr val="accent2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Sheet1!$A$3:$A$7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Sheet1!$C$3:$C$7</c:f>
              <c:numCache>
                <c:formatCode>General</c:formatCode>
                <c:ptCount val="5"/>
                <c:pt idx="0">
                  <c:v>15</c:v>
                </c:pt>
                <c:pt idx="1">
                  <c:v>28</c:v>
                </c:pt>
                <c:pt idx="2">
                  <c:v>25</c:v>
                </c:pt>
                <c:pt idx="3">
                  <c:v>34</c:v>
                </c:pt>
                <c:pt idx="4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4E-442B-BA45-717C160ABB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0245376"/>
        <c:axId val="44024570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31750" cap="rnd">
                    <a:solidFill>
                      <a:schemeClr val="accent1">
                        <a:alpha val="85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Sheet1!$A$3:$A$7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Sheet1!$B$3:$B$7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4F4E-442B-BA45-717C160ABBCC}"/>
                  </c:ext>
                </c:extLst>
              </c15:ser>
            </c15:filteredLineSeries>
          </c:ext>
        </c:extLst>
      </c:lineChart>
      <c:catAx>
        <c:axId val="44024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245704"/>
        <c:crosses val="autoZero"/>
        <c:auto val="1"/>
        <c:lblAlgn val="ctr"/>
        <c:lblOffset val="100"/>
        <c:noMultiLvlLbl val="0"/>
      </c:catAx>
      <c:valAx>
        <c:axId val="4402457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024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ECDD-E332-4F01-BEF7-F31EB519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2554</Words>
  <Characters>12597</Characters>
  <Application>Microsoft Office Word</Application>
  <DocSecurity>0</DocSecurity>
  <Lines>663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14646</CharactersWithSpaces>
  <SharedDoc>false</SharedDoc>
  <HLinks>
    <vt:vector size="48" baseType="variant"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_Toc520821446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_Toc520821445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_Toc520821444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_Toc520821443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_Toc520821442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_Toc520821441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_Toc520821440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_Toc520821439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EC CoDe</cp:lastModifiedBy>
  <cp:revision>33</cp:revision>
  <cp:lastPrinted>2019-03-25T15:47:00Z</cp:lastPrinted>
  <dcterms:created xsi:type="dcterms:W3CDTF">2022-08-10T14:15:00Z</dcterms:created>
  <dcterms:modified xsi:type="dcterms:W3CDTF">2022-08-25T10:07:00Z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  <property fmtid="{D5CDD505-2E9C-101B-9397-08002B2CF9AE}" pid="6" name="Last edited using">
    <vt:lpwstr>LW 8.0.1, Build 20220429</vt:lpwstr>
  </property>
  <property fmtid="{D5CDD505-2E9C-101B-9397-08002B2CF9AE}" pid="7" name="Created using">
    <vt:lpwstr>LW 6.0.1, Build 20180503</vt:lpwstr>
  </property>
  <property fmtid="{D5CDD505-2E9C-101B-9397-08002B2CF9AE}" pid="8" name="CPTemplateID">
    <vt:lpwstr>CP-003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2022-07-28T15:37:10Z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3c253474-50e6-460c-83c2-84f48568183e</vt:lpwstr>
  </property>
  <property fmtid="{D5CDD505-2E9C-101B-9397-08002B2CF9AE}" pid="15" name="MSIP_Label_6bd9ddd1-4d20-43f6-abfa-fc3c07406f94_ContentBits">
    <vt:lpwstr>0</vt:lpwstr>
  </property>
</Properties>
</file>