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C24FB" w14:textId="2DD31A8B" w:rsidR="000255ED" w:rsidRPr="008B244E" w:rsidRDefault="002E0CCA" w:rsidP="002E0CCA">
      <w:pPr>
        <w:pStyle w:val="Pagedecouverture"/>
        <w:rPr>
          <w:noProof/>
        </w:rPr>
      </w:pPr>
      <w:bookmarkStart w:id="0" w:name="LW_BM_COVERPAGE"/>
      <w:r>
        <w:rPr>
          <w:noProof/>
        </w:rPr>
        <w:pict w14:anchorId="3FD20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7CCC0B20-7453-4200-B863-A215DFCA0D13" style="width:455.25pt;height:351.75pt">
            <v:imagedata r:id="rId8" o:title=""/>
          </v:shape>
        </w:pict>
      </w:r>
    </w:p>
    <w:bookmarkEnd w:id="0"/>
    <w:p w14:paraId="21239C42" w14:textId="77777777" w:rsidR="007D0D92" w:rsidRDefault="007D0D92" w:rsidP="007D0D92">
      <w:pPr>
        <w:rPr>
          <w:noProof/>
        </w:rPr>
        <w:sectPr w:rsidR="007D0D92" w:rsidSect="002E0CC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imes New Roman" w:hAnsi="Times New Roman" w:cs="Times New Roman"/>
          <w:noProof/>
          <w:color w:val="auto"/>
          <w:sz w:val="24"/>
        </w:rPr>
        <w:id w:val="1282231980"/>
        <w:docPartObj>
          <w:docPartGallery w:val="Table of Contents"/>
          <w:docPartUnique/>
        </w:docPartObj>
      </w:sdtPr>
      <w:sdtEndPr>
        <w:rPr>
          <w:b/>
        </w:rPr>
      </w:sdtEndPr>
      <w:sdtContent>
        <w:p w14:paraId="6E2E591B" w14:textId="77777777" w:rsidR="005B597E" w:rsidRPr="005B597E" w:rsidRDefault="005B597E">
          <w:pPr>
            <w:pStyle w:val="TOCHeading"/>
            <w:rPr>
              <w:noProof/>
            </w:rPr>
          </w:pPr>
          <w:r>
            <w:rPr>
              <w:noProof/>
            </w:rPr>
            <w:t>Inhaltsverzeichnis</w:t>
          </w:r>
        </w:p>
        <w:p w14:paraId="76789AC3" w14:textId="6719FBAE" w:rsidR="00F83B98" w:rsidRDefault="005B597E">
          <w:pPr>
            <w:pStyle w:val="TOC1"/>
            <w:tabs>
              <w:tab w:val="left" w:pos="440"/>
              <w:tab w:val="right" w:leader="dot" w:pos="9016"/>
            </w:tabs>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111153410" w:history="1">
            <w:r w:rsidR="00F83B98" w:rsidRPr="00D0022B">
              <w:rPr>
                <w:rStyle w:val="Hyperlink"/>
                <w:noProof/>
              </w:rPr>
              <w:t>1</w:t>
            </w:r>
            <w:r w:rsidR="00F83B98" w:rsidRPr="00F024F2">
              <w:rPr>
                <w:rStyle w:val="Hyperlink"/>
                <w:noProof/>
              </w:rPr>
              <w:t>.</w:t>
            </w:r>
            <w:r w:rsidR="00F83B98">
              <w:rPr>
                <w:rFonts w:asciiTheme="minorHAnsi" w:eastAsiaTheme="minorEastAsia" w:hAnsiTheme="minorHAnsi" w:cstheme="minorBidi"/>
                <w:noProof/>
                <w:sz w:val="22"/>
                <w:szCs w:val="22"/>
              </w:rPr>
              <w:tab/>
            </w:r>
            <w:r w:rsidR="00F83B98" w:rsidRPr="00F024F2">
              <w:rPr>
                <w:rStyle w:val="Hyperlink"/>
                <w:noProof/>
              </w:rPr>
              <w:t>Zusammenfassung</w:t>
            </w:r>
            <w:r w:rsidR="00F83B98">
              <w:rPr>
                <w:noProof/>
                <w:webHidden/>
              </w:rPr>
              <w:tab/>
            </w:r>
            <w:r w:rsidR="00F83B98">
              <w:rPr>
                <w:noProof/>
                <w:webHidden/>
              </w:rPr>
              <w:fldChar w:fldCharType="begin"/>
            </w:r>
            <w:r w:rsidR="00F83B98">
              <w:rPr>
                <w:noProof/>
                <w:webHidden/>
              </w:rPr>
              <w:instrText xml:space="preserve"> PAGEREF _Toc111153410 \h </w:instrText>
            </w:r>
            <w:r w:rsidR="00F83B98">
              <w:rPr>
                <w:noProof/>
                <w:webHidden/>
              </w:rPr>
            </w:r>
            <w:r w:rsidR="00F83B98">
              <w:rPr>
                <w:noProof/>
                <w:webHidden/>
              </w:rPr>
              <w:fldChar w:fldCharType="separate"/>
            </w:r>
            <w:r w:rsidR="00D0022B">
              <w:rPr>
                <w:noProof/>
                <w:webHidden/>
              </w:rPr>
              <w:t>2</w:t>
            </w:r>
            <w:r w:rsidR="00F83B98">
              <w:rPr>
                <w:noProof/>
                <w:webHidden/>
              </w:rPr>
              <w:fldChar w:fldCharType="end"/>
            </w:r>
          </w:hyperlink>
        </w:p>
        <w:p w14:paraId="0BD62281" w14:textId="694B5E1E" w:rsidR="00F83B98" w:rsidRDefault="002E0CCA">
          <w:pPr>
            <w:pStyle w:val="TOC1"/>
            <w:tabs>
              <w:tab w:val="left" w:pos="440"/>
              <w:tab w:val="right" w:leader="dot" w:pos="9016"/>
            </w:tabs>
            <w:rPr>
              <w:rFonts w:asciiTheme="minorHAnsi" w:eastAsiaTheme="minorEastAsia" w:hAnsiTheme="minorHAnsi" w:cstheme="minorBidi"/>
              <w:noProof/>
              <w:sz w:val="22"/>
              <w:szCs w:val="22"/>
            </w:rPr>
          </w:pPr>
          <w:hyperlink w:anchor="_Toc111153411" w:history="1">
            <w:r w:rsidR="00F83B98" w:rsidRPr="00D0022B">
              <w:rPr>
                <w:rStyle w:val="Hyperlink"/>
                <w:noProof/>
              </w:rPr>
              <w:t>2</w:t>
            </w:r>
            <w:r w:rsidR="00F83B98" w:rsidRPr="00F024F2">
              <w:rPr>
                <w:rStyle w:val="Hyperlink"/>
                <w:noProof/>
              </w:rPr>
              <w:t>.</w:t>
            </w:r>
            <w:r w:rsidR="00F83B98">
              <w:rPr>
                <w:rFonts w:asciiTheme="minorHAnsi" w:eastAsiaTheme="minorEastAsia" w:hAnsiTheme="minorHAnsi" w:cstheme="minorBidi"/>
                <w:noProof/>
                <w:sz w:val="22"/>
                <w:szCs w:val="22"/>
              </w:rPr>
              <w:tab/>
            </w:r>
            <w:r w:rsidR="00F83B98" w:rsidRPr="00F024F2">
              <w:rPr>
                <w:rStyle w:val="Hyperlink"/>
                <w:noProof/>
              </w:rPr>
              <w:t>Einleitung</w:t>
            </w:r>
            <w:r w:rsidR="00F83B98">
              <w:rPr>
                <w:noProof/>
                <w:webHidden/>
              </w:rPr>
              <w:tab/>
            </w:r>
            <w:r w:rsidR="00F83B98">
              <w:rPr>
                <w:noProof/>
                <w:webHidden/>
              </w:rPr>
              <w:fldChar w:fldCharType="begin"/>
            </w:r>
            <w:r w:rsidR="00F83B98">
              <w:rPr>
                <w:noProof/>
                <w:webHidden/>
              </w:rPr>
              <w:instrText xml:space="preserve"> PAGEREF _Toc111153411 \h </w:instrText>
            </w:r>
            <w:r w:rsidR="00F83B98">
              <w:rPr>
                <w:noProof/>
                <w:webHidden/>
              </w:rPr>
            </w:r>
            <w:r w:rsidR="00F83B98">
              <w:rPr>
                <w:noProof/>
                <w:webHidden/>
              </w:rPr>
              <w:fldChar w:fldCharType="separate"/>
            </w:r>
            <w:r w:rsidR="00D0022B">
              <w:rPr>
                <w:noProof/>
                <w:webHidden/>
              </w:rPr>
              <w:t>3</w:t>
            </w:r>
            <w:r w:rsidR="00F83B98">
              <w:rPr>
                <w:noProof/>
                <w:webHidden/>
              </w:rPr>
              <w:fldChar w:fldCharType="end"/>
            </w:r>
          </w:hyperlink>
        </w:p>
        <w:p w14:paraId="30F6657D" w14:textId="77215CD4" w:rsidR="00F83B98" w:rsidRDefault="002E0CCA">
          <w:pPr>
            <w:pStyle w:val="TOC1"/>
            <w:tabs>
              <w:tab w:val="left" w:pos="440"/>
              <w:tab w:val="right" w:leader="dot" w:pos="9016"/>
            </w:tabs>
            <w:rPr>
              <w:rFonts w:asciiTheme="minorHAnsi" w:eastAsiaTheme="minorEastAsia" w:hAnsiTheme="minorHAnsi" w:cstheme="minorBidi"/>
              <w:noProof/>
              <w:sz w:val="22"/>
              <w:szCs w:val="22"/>
            </w:rPr>
          </w:pPr>
          <w:hyperlink w:anchor="_Toc111153412" w:history="1">
            <w:r w:rsidR="00F83B98" w:rsidRPr="00D0022B">
              <w:rPr>
                <w:rStyle w:val="Hyperlink"/>
                <w:noProof/>
              </w:rPr>
              <w:t>3</w:t>
            </w:r>
            <w:r w:rsidR="00F83B98" w:rsidRPr="00F024F2">
              <w:rPr>
                <w:rStyle w:val="Hyperlink"/>
                <w:noProof/>
              </w:rPr>
              <w:t>.</w:t>
            </w:r>
            <w:r w:rsidR="00F83B98">
              <w:rPr>
                <w:rFonts w:asciiTheme="minorHAnsi" w:eastAsiaTheme="minorEastAsia" w:hAnsiTheme="minorHAnsi" w:cstheme="minorBidi"/>
                <w:noProof/>
                <w:sz w:val="22"/>
                <w:szCs w:val="22"/>
              </w:rPr>
              <w:tab/>
            </w:r>
            <w:r w:rsidR="00F83B98" w:rsidRPr="00F024F2">
              <w:rPr>
                <w:rStyle w:val="Hyperlink"/>
                <w:noProof/>
              </w:rPr>
              <w:t>Kontext der Verordnung</w:t>
            </w:r>
            <w:r w:rsidR="00F83B98">
              <w:rPr>
                <w:noProof/>
                <w:webHidden/>
              </w:rPr>
              <w:tab/>
            </w:r>
            <w:r w:rsidR="00F83B98">
              <w:rPr>
                <w:noProof/>
                <w:webHidden/>
              </w:rPr>
              <w:fldChar w:fldCharType="begin"/>
            </w:r>
            <w:r w:rsidR="00F83B98">
              <w:rPr>
                <w:noProof/>
                <w:webHidden/>
              </w:rPr>
              <w:instrText xml:space="preserve"> PAGEREF _Toc111153412 \h </w:instrText>
            </w:r>
            <w:r w:rsidR="00F83B98">
              <w:rPr>
                <w:noProof/>
                <w:webHidden/>
              </w:rPr>
            </w:r>
            <w:r w:rsidR="00F83B98">
              <w:rPr>
                <w:noProof/>
                <w:webHidden/>
              </w:rPr>
              <w:fldChar w:fldCharType="separate"/>
            </w:r>
            <w:r w:rsidR="00D0022B">
              <w:rPr>
                <w:noProof/>
                <w:webHidden/>
              </w:rPr>
              <w:t>4</w:t>
            </w:r>
            <w:r w:rsidR="00F83B98">
              <w:rPr>
                <w:noProof/>
                <w:webHidden/>
              </w:rPr>
              <w:fldChar w:fldCharType="end"/>
            </w:r>
          </w:hyperlink>
        </w:p>
        <w:p w14:paraId="77A02FD8" w14:textId="01300365"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13" w:history="1">
            <w:r w:rsidR="00F83B98" w:rsidRPr="00D0022B">
              <w:rPr>
                <w:rStyle w:val="Hyperlink"/>
                <w:noProof/>
              </w:rPr>
              <w:t>3</w:t>
            </w:r>
            <w:r w:rsidR="00F83B98" w:rsidRPr="00F024F2">
              <w:rPr>
                <w:rStyle w:val="Hyperlink"/>
                <w:noProof/>
              </w:rPr>
              <w:t>.</w:t>
            </w:r>
            <w:r w:rsidR="00F83B98" w:rsidRPr="00D0022B">
              <w:rPr>
                <w:rStyle w:val="Hyperlink"/>
                <w:noProof/>
              </w:rPr>
              <w:t>1</w:t>
            </w:r>
            <w:r w:rsidR="00F83B98" w:rsidRPr="00F024F2">
              <w:rPr>
                <w:rStyle w:val="Hyperlink"/>
                <w:noProof/>
              </w:rPr>
              <w:t> Europäischer Kontext</w:t>
            </w:r>
            <w:r w:rsidR="00F83B98">
              <w:rPr>
                <w:noProof/>
                <w:webHidden/>
              </w:rPr>
              <w:tab/>
            </w:r>
            <w:r w:rsidR="00F83B98">
              <w:rPr>
                <w:noProof/>
                <w:webHidden/>
              </w:rPr>
              <w:fldChar w:fldCharType="begin"/>
            </w:r>
            <w:r w:rsidR="00F83B98">
              <w:rPr>
                <w:noProof/>
                <w:webHidden/>
              </w:rPr>
              <w:instrText xml:space="preserve"> PAGEREF _Toc111153413 \h </w:instrText>
            </w:r>
            <w:r w:rsidR="00F83B98">
              <w:rPr>
                <w:noProof/>
                <w:webHidden/>
              </w:rPr>
            </w:r>
            <w:r w:rsidR="00F83B98">
              <w:rPr>
                <w:noProof/>
                <w:webHidden/>
              </w:rPr>
              <w:fldChar w:fldCharType="separate"/>
            </w:r>
            <w:r w:rsidR="00D0022B">
              <w:rPr>
                <w:noProof/>
                <w:webHidden/>
              </w:rPr>
              <w:t>4</w:t>
            </w:r>
            <w:r w:rsidR="00F83B98">
              <w:rPr>
                <w:noProof/>
                <w:webHidden/>
              </w:rPr>
              <w:fldChar w:fldCharType="end"/>
            </w:r>
          </w:hyperlink>
        </w:p>
        <w:p w14:paraId="57585D97" w14:textId="1F4E098A"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14" w:history="1">
            <w:r w:rsidR="00F83B98" w:rsidRPr="00D0022B">
              <w:rPr>
                <w:rStyle w:val="Hyperlink"/>
                <w:noProof/>
              </w:rPr>
              <w:t>3</w:t>
            </w:r>
            <w:r w:rsidR="00F83B98" w:rsidRPr="00F024F2">
              <w:rPr>
                <w:rStyle w:val="Hyperlink"/>
                <w:noProof/>
              </w:rPr>
              <w:t>.</w:t>
            </w:r>
            <w:r w:rsidR="00F83B98" w:rsidRPr="00D0022B">
              <w:rPr>
                <w:rStyle w:val="Hyperlink"/>
                <w:noProof/>
              </w:rPr>
              <w:t>2</w:t>
            </w:r>
            <w:r w:rsidR="00F83B98" w:rsidRPr="00F024F2">
              <w:rPr>
                <w:rStyle w:val="Hyperlink"/>
                <w:noProof/>
              </w:rPr>
              <w:t> Internationaler Kontext</w:t>
            </w:r>
            <w:r w:rsidR="00F83B98">
              <w:rPr>
                <w:noProof/>
                <w:webHidden/>
              </w:rPr>
              <w:tab/>
            </w:r>
            <w:r w:rsidR="00F83B98">
              <w:rPr>
                <w:noProof/>
                <w:webHidden/>
              </w:rPr>
              <w:fldChar w:fldCharType="begin"/>
            </w:r>
            <w:r w:rsidR="00F83B98">
              <w:rPr>
                <w:noProof/>
                <w:webHidden/>
              </w:rPr>
              <w:instrText xml:space="preserve"> PAGEREF _Toc111153414 \h </w:instrText>
            </w:r>
            <w:r w:rsidR="00F83B98">
              <w:rPr>
                <w:noProof/>
                <w:webHidden/>
              </w:rPr>
            </w:r>
            <w:r w:rsidR="00F83B98">
              <w:rPr>
                <w:noProof/>
                <w:webHidden/>
              </w:rPr>
              <w:fldChar w:fldCharType="separate"/>
            </w:r>
            <w:r w:rsidR="00D0022B">
              <w:rPr>
                <w:noProof/>
                <w:webHidden/>
              </w:rPr>
              <w:t>5</w:t>
            </w:r>
            <w:r w:rsidR="00F83B98">
              <w:rPr>
                <w:noProof/>
                <w:webHidden/>
              </w:rPr>
              <w:fldChar w:fldCharType="end"/>
            </w:r>
          </w:hyperlink>
        </w:p>
        <w:p w14:paraId="740B47E3" w14:textId="478942F6" w:rsidR="00F83B98" w:rsidRDefault="002E0CCA">
          <w:pPr>
            <w:pStyle w:val="TOC1"/>
            <w:tabs>
              <w:tab w:val="left" w:pos="440"/>
              <w:tab w:val="right" w:leader="dot" w:pos="9016"/>
            </w:tabs>
            <w:rPr>
              <w:rFonts w:asciiTheme="minorHAnsi" w:eastAsiaTheme="minorEastAsia" w:hAnsiTheme="minorHAnsi" w:cstheme="minorBidi"/>
              <w:noProof/>
              <w:sz w:val="22"/>
              <w:szCs w:val="22"/>
            </w:rPr>
          </w:pPr>
          <w:hyperlink w:anchor="_Toc111153415" w:history="1">
            <w:r w:rsidR="00F83B98" w:rsidRPr="00D0022B">
              <w:rPr>
                <w:rStyle w:val="Hyperlink"/>
                <w:noProof/>
              </w:rPr>
              <w:t>4</w:t>
            </w:r>
            <w:r w:rsidR="00F83B98" w:rsidRPr="00F024F2">
              <w:rPr>
                <w:rStyle w:val="Hyperlink"/>
                <w:noProof/>
              </w:rPr>
              <w:t>.</w:t>
            </w:r>
            <w:r w:rsidR="00F83B98">
              <w:rPr>
                <w:rFonts w:asciiTheme="minorHAnsi" w:eastAsiaTheme="minorEastAsia" w:hAnsiTheme="minorHAnsi" w:cstheme="minorBidi"/>
                <w:noProof/>
                <w:sz w:val="22"/>
                <w:szCs w:val="22"/>
              </w:rPr>
              <w:tab/>
            </w:r>
            <w:r w:rsidR="00F83B98" w:rsidRPr="00F024F2">
              <w:rPr>
                <w:rStyle w:val="Hyperlink"/>
                <w:noProof/>
              </w:rPr>
              <w:t>Durchführung der Verordnung</w:t>
            </w:r>
            <w:r w:rsidR="00F83B98">
              <w:rPr>
                <w:noProof/>
                <w:webHidden/>
              </w:rPr>
              <w:tab/>
            </w:r>
            <w:r w:rsidR="00F83B98">
              <w:rPr>
                <w:noProof/>
                <w:webHidden/>
              </w:rPr>
              <w:fldChar w:fldCharType="begin"/>
            </w:r>
            <w:r w:rsidR="00F83B98">
              <w:rPr>
                <w:noProof/>
                <w:webHidden/>
              </w:rPr>
              <w:instrText xml:space="preserve"> PAGEREF _Toc111153415 \h </w:instrText>
            </w:r>
            <w:r w:rsidR="00F83B98">
              <w:rPr>
                <w:noProof/>
                <w:webHidden/>
              </w:rPr>
            </w:r>
            <w:r w:rsidR="00F83B98">
              <w:rPr>
                <w:noProof/>
                <w:webHidden/>
              </w:rPr>
              <w:fldChar w:fldCharType="separate"/>
            </w:r>
            <w:r w:rsidR="00D0022B">
              <w:rPr>
                <w:noProof/>
                <w:webHidden/>
              </w:rPr>
              <w:t>5</w:t>
            </w:r>
            <w:r w:rsidR="00F83B98">
              <w:rPr>
                <w:noProof/>
                <w:webHidden/>
              </w:rPr>
              <w:fldChar w:fldCharType="end"/>
            </w:r>
          </w:hyperlink>
        </w:p>
        <w:p w14:paraId="6FD1CE17" w14:textId="50931E92"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16" w:history="1">
            <w:r w:rsidR="00F83B98" w:rsidRPr="00D0022B">
              <w:rPr>
                <w:rStyle w:val="Hyperlink"/>
                <w:noProof/>
              </w:rPr>
              <w:t>4</w:t>
            </w:r>
            <w:r w:rsidR="00F83B98" w:rsidRPr="00F024F2">
              <w:rPr>
                <w:rStyle w:val="Hyperlink"/>
                <w:noProof/>
              </w:rPr>
              <w:t>.</w:t>
            </w:r>
            <w:r w:rsidR="00F83B98" w:rsidRPr="00D0022B">
              <w:rPr>
                <w:rStyle w:val="Hyperlink"/>
                <w:noProof/>
              </w:rPr>
              <w:t>1</w:t>
            </w:r>
            <w:r w:rsidR="00F83B98" w:rsidRPr="00F024F2">
              <w:rPr>
                <w:rStyle w:val="Hyperlink"/>
                <w:noProof/>
              </w:rPr>
              <w:t> Ziele und Erfolg</w:t>
            </w:r>
            <w:r w:rsidR="00F83B98">
              <w:rPr>
                <w:noProof/>
                <w:webHidden/>
              </w:rPr>
              <w:tab/>
            </w:r>
            <w:r w:rsidR="00F83B98">
              <w:rPr>
                <w:noProof/>
                <w:webHidden/>
              </w:rPr>
              <w:fldChar w:fldCharType="begin"/>
            </w:r>
            <w:r w:rsidR="00F83B98">
              <w:rPr>
                <w:noProof/>
                <w:webHidden/>
              </w:rPr>
              <w:instrText xml:space="preserve"> PAGEREF _Toc111153416 \h </w:instrText>
            </w:r>
            <w:r w:rsidR="00F83B98">
              <w:rPr>
                <w:noProof/>
                <w:webHidden/>
              </w:rPr>
            </w:r>
            <w:r w:rsidR="00F83B98">
              <w:rPr>
                <w:noProof/>
                <w:webHidden/>
              </w:rPr>
              <w:fldChar w:fldCharType="separate"/>
            </w:r>
            <w:r w:rsidR="00D0022B">
              <w:rPr>
                <w:noProof/>
                <w:webHidden/>
              </w:rPr>
              <w:t>5</w:t>
            </w:r>
            <w:r w:rsidR="00F83B98">
              <w:rPr>
                <w:noProof/>
                <w:webHidden/>
              </w:rPr>
              <w:fldChar w:fldCharType="end"/>
            </w:r>
          </w:hyperlink>
        </w:p>
        <w:p w14:paraId="5EDC47A8" w14:textId="162D6B66"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17" w:history="1">
            <w:r w:rsidR="00F83B98" w:rsidRPr="00D0022B">
              <w:rPr>
                <w:rStyle w:val="Hyperlink"/>
                <w:noProof/>
              </w:rPr>
              <w:t>4</w:t>
            </w:r>
            <w:r w:rsidR="00F83B98" w:rsidRPr="00F024F2">
              <w:rPr>
                <w:rStyle w:val="Hyperlink"/>
                <w:noProof/>
              </w:rPr>
              <w:t>.</w:t>
            </w:r>
            <w:r w:rsidR="00F83B98" w:rsidRPr="00D0022B">
              <w:rPr>
                <w:rStyle w:val="Hyperlink"/>
                <w:noProof/>
              </w:rPr>
              <w:t>2</w:t>
            </w:r>
            <w:r w:rsidR="00F83B98" w:rsidRPr="00F024F2">
              <w:rPr>
                <w:rStyle w:val="Hyperlink"/>
                <w:noProof/>
              </w:rPr>
              <w:t> Bestimmung des Begriffs „Kulturgut“</w:t>
            </w:r>
            <w:r w:rsidR="00F83B98">
              <w:rPr>
                <w:noProof/>
                <w:webHidden/>
              </w:rPr>
              <w:tab/>
            </w:r>
            <w:r w:rsidR="00F83B98">
              <w:rPr>
                <w:noProof/>
                <w:webHidden/>
              </w:rPr>
              <w:fldChar w:fldCharType="begin"/>
            </w:r>
            <w:r w:rsidR="00F83B98">
              <w:rPr>
                <w:noProof/>
                <w:webHidden/>
              </w:rPr>
              <w:instrText xml:space="preserve"> PAGEREF _Toc111153417 \h </w:instrText>
            </w:r>
            <w:r w:rsidR="00F83B98">
              <w:rPr>
                <w:noProof/>
                <w:webHidden/>
              </w:rPr>
            </w:r>
            <w:r w:rsidR="00F83B98">
              <w:rPr>
                <w:noProof/>
                <w:webHidden/>
              </w:rPr>
              <w:fldChar w:fldCharType="separate"/>
            </w:r>
            <w:r w:rsidR="00D0022B">
              <w:rPr>
                <w:noProof/>
                <w:webHidden/>
              </w:rPr>
              <w:t>7</w:t>
            </w:r>
            <w:r w:rsidR="00F83B98">
              <w:rPr>
                <w:noProof/>
                <w:webHidden/>
              </w:rPr>
              <w:fldChar w:fldCharType="end"/>
            </w:r>
          </w:hyperlink>
        </w:p>
        <w:p w14:paraId="43B5E93F" w14:textId="6B3269E8"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18" w:history="1">
            <w:r w:rsidR="00F83B98" w:rsidRPr="00D0022B">
              <w:rPr>
                <w:rStyle w:val="Hyperlink"/>
                <w:noProof/>
              </w:rPr>
              <w:t>4</w:t>
            </w:r>
            <w:r w:rsidR="00F83B98" w:rsidRPr="00F024F2">
              <w:rPr>
                <w:rStyle w:val="Hyperlink"/>
                <w:noProof/>
              </w:rPr>
              <w:t>.</w:t>
            </w:r>
            <w:r w:rsidR="00F83B98" w:rsidRPr="00D0022B">
              <w:rPr>
                <w:rStyle w:val="Hyperlink"/>
                <w:noProof/>
              </w:rPr>
              <w:t>3</w:t>
            </w:r>
            <w:r w:rsidR="00F83B98" w:rsidRPr="00F024F2">
              <w:rPr>
                <w:rStyle w:val="Hyperlink"/>
                <w:noProof/>
              </w:rPr>
              <w:t> Altersgruppen</w:t>
            </w:r>
            <w:r w:rsidR="00F83B98">
              <w:rPr>
                <w:noProof/>
                <w:webHidden/>
              </w:rPr>
              <w:tab/>
            </w:r>
            <w:r w:rsidR="00F83B98">
              <w:rPr>
                <w:noProof/>
                <w:webHidden/>
              </w:rPr>
              <w:fldChar w:fldCharType="begin"/>
            </w:r>
            <w:r w:rsidR="00F83B98">
              <w:rPr>
                <w:noProof/>
                <w:webHidden/>
              </w:rPr>
              <w:instrText xml:space="preserve"> PAGEREF _Toc111153418 \h </w:instrText>
            </w:r>
            <w:r w:rsidR="00F83B98">
              <w:rPr>
                <w:noProof/>
                <w:webHidden/>
              </w:rPr>
            </w:r>
            <w:r w:rsidR="00F83B98">
              <w:rPr>
                <w:noProof/>
                <w:webHidden/>
              </w:rPr>
              <w:fldChar w:fldCharType="separate"/>
            </w:r>
            <w:r w:rsidR="00D0022B">
              <w:rPr>
                <w:noProof/>
                <w:webHidden/>
              </w:rPr>
              <w:t>8</w:t>
            </w:r>
            <w:r w:rsidR="00F83B98">
              <w:rPr>
                <w:noProof/>
                <w:webHidden/>
              </w:rPr>
              <w:fldChar w:fldCharType="end"/>
            </w:r>
          </w:hyperlink>
        </w:p>
        <w:p w14:paraId="34C20156" w14:textId="787CFA6C"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19" w:history="1">
            <w:r w:rsidR="00F83B98" w:rsidRPr="00D0022B">
              <w:rPr>
                <w:rStyle w:val="Hyperlink"/>
                <w:noProof/>
              </w:rPr>
              <w:t>4</w:t>
            </w:r>
            <w:r w:rsidR="00F83B98" w:rsidRPr="00F024F2">
              <w:rPr>
                <w:rStyle w:val="Hyperlink"/>
                <w:noProof/>
              </w:rPr>
              <w:t>.</w:t>
            </w:r>
            <w:r w:rsidR="00F83B98" w:rsidRPr="00D0022B">
              <w:rPr>
                <w:rStyle w:val="Hyperlink"/>
                <w:noProof/>
              </w:rPr>
              <w:t>4</w:t>
            </w:r>
            <w:r w:rsidR="00F83B98" w:rsidRPr="00F024F2">
              <w:rPr>
                <w:rStyle w:val="Hyperlink"/>
                <w:noProof/>
              </w:rPr>
              <w:t> Wertgruppen</w:t>
            </w:r>
            <w:r w:rsidR="00F83B98">
              <w:rPr>
                <w:noProof/>
                <w:webHidden/>
              </w:rPr>
              <w:tab/>
            </w:r>
            <w:r w:rsidR="00F83B98">
              <w:rPr>
                <w:noProof/>
                <w:webHidden/>
              </w:rPr>
              <w:fldChar w:fldCharType="begin"/>
            </w:r>
            <w:r w:rsidR="00F83B98">
              <w:rPr>
                <w:noProof/>
                <w:webHidden/>
              </w:rPr>
              <w:instrText xml:space="preserve"> PAGEREF _Toc111153419 \h </w:instrText>
            </w:r>
            <w:r w:rsidR="00F83B98">
              <w:rPr>
                <w:noProof/>
                <w:webHidden/>
              </w:rPr>
            </w:r>
            <w:r w:rsidR="00F83B98">
              <w:rPr>
                <w:noProof/>
                <w:webHidden/>
              </w:rPr>
              <w:fldChar w:fldCharType="separate"/>
            </w:r>
            <w:r w:rsidR="00D0022B">
              <w:rPr>
                <w:noProof/>
                <w:webHidden/>
              </w:rPr>
              <w:t>9</w:t>
            </w:r>
            <w:r w:rsidR="00F83B98">
              <w:rPr>
                <w:noProof/>
                <w:webHidden/>
              </w:rPr>
              <w:fldChar w:fldCharType="end"/>
            </w:r>
          </w:hyperlink>
        </w:p>
        <w:p w14:paraId="11BA05DB" w14:textId="1CBF44BB"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20" w:history="1">
            <w:r w:rsidR="00F83B98" w:rsidRPr="00D0022B">
              <w:rPr>
                <w:rStyle w:val="Hyperlink"/>
                <w:noProof/>
              </w:rPr>
              <w:t>4</w:t>
            </w:r>
            <w:r w:rsidR="00F83B98" w:rsidRPr="00F024F2">
              <w:rPr>
                <w:rStyle w:val="Hyperlink"/>
                <w:noProof/>
              </w:rPr>
              <w:t>.</w:t>
            </w:r>
            <w:r w:rsidR="00F83B98" w:rsidRPr="00D0022B">
              <w:rPr>
                <w:rStyle w:val="Hyperlink"/>
                <w:noProof/>
              </w:rPr>
              <w:t>5</w:t>
            </w:r>
            <w:r w:rsidR="00F83B98" w:rsidRPr="00F024F2">
              <w:rPr>
                <w:rStyle w:val="Hyperlink"/>
                <w:noProof/>
              </w:rPr>
              <w:t> Zahl der normalen Ausfuhrgenehmigungen</w:t>
            </w:r>
            <w:r w:rsidR="00F83B98">
              <w:rPr>
                <w:noProof/>
                <w:webHidden/>
              </w:rPr>
              <w:tab/>
            </w:r>
            <w:r w:rsidR="00F83B98">
              <w:rPr>
                <w:noProof/>
                <w:webHidden/>
              </w:rPr>
              <w:fldChar w:fldCharType="begin"/>
            </w:r>
            <w:r w:rsidR="00F83B98">
              <w:rPr>
                <w:noProof/>
                <w:webHidden/>
              </w:rPr>
              <w:instrText xml:space="preserve"> PAGEREF _Toc111153420 \h </w:instrText>
            </w:r>
            <w:r w:rsidR="00F83B98">
              <w:rPr>
                <w:noProof/>
                <w:webHidden/>
              </w:rPr>
            </w:r>
            <w:r w:rsidR="00F83B98">
              <w:rPr>
                <w:noProof/>
                <w:webHidden/>
              </w:rPr>
              <w:fldChar w:fldCharType="separate"/>
            </w:r>
            <w:r w:rsidR="00D0022B">
              <w:rPr>
                <w:noProof/>
                <w:webHidden/>
              </w:rPr>
              <w:t>9</w:t>
            </w:r>
            <w:r w:rsidR="00F83B98">
              <w:rPr>
                <w:noProof/>
                <w:webHidden/>
              </w:rPr>
              <w:fldChar w:fldCharType="end"/>
            </w:r>
          </w:hyperlink>
        </w:p>
        <w:p w14:paraId="287F4C38" w14:textId="51F8B709"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21" w:history="1">
            <w:r w:rsidR="00F83B98" w:rsidRPr="00D0022B">
              <w:rPr>
                <w:rStyle w:val="Hyperlink"/>
                <w:noProof/>
              </w:rPr>
              <w:t>4</w:t>
            </w:r>
            <w:r w:rsidR="00F83B98" w:rsidRPr="00F024F2">
              <w:rPr>
                <w:rStyle w:val="Hyperlink"/>
                <w:noProof/>
              </w:rPr>
              <w:t>.</w:t>
            </w:r>
            <w:r w:rsidR="00F83B98" w:rsidRPr="00D0022B">
              <w:rPr>
                <w:rStyle w:val="Hyperlink"/>
                <w:noProof/>
              </w:rPr>
              <w:t>6</w:t>
            </w:r>
            <w:r w:rsidR="00F83B98" w:rsidRPr="00F024F2">
              <w:rPr>
                <w:rStyle w:val="Hyperlink"/>
                <w:noProof/>
              </w:rPr>
              <w:t> Spezifische und allgemeine offene Genehmigungen</w:t>
            </w:r>
            <w:r w:rsidR="00F83B98">
              <w:rPr>
                <w:noProof/>
                <w:webHidden/>
              </w:rPr>
              <w:tab/>
            </w:r>
            <w:r w:rsidR="00F83B98">
              <w:rPr>
                <w:noProof/>
                <w:webHidden/>
              </w:rPr>
              <w:fldChar w:fldCharType="begin"/>
            </w:r>
            <w:r w:rsidR="00F83B98">
              <w:rPr>
                <w:noProof/>
                <w:webHidden/>
              </w:rPr>
              <w:instrText xml:space="preserve"> PAGEREF _Toc111153421 \h </w:instrText>
            </w:r>
            <w:r w:rsidR="00F83B98">
              <w:rPr>
                <w:noProof/>
                <w:webHidden/>
              </w:rPr>
            </w:r>
            <w:r w:rsidR="00F83B98">
              <w:rPr>
                <w:noProof/>
                <w:webHidden/>
              </w:rPr>
              <w:fldChar w:fldCharType="separate"/>
            </w:r>
            <w:r w:rsidR="00D0022B">
              <w:rPr>
                <w:noProof/>
                <w:webHidden/>
              </w:rPr>
              <w:t>10</w:t>
            </w:r>
            <w:r w:rsidR="00F83B98">
              <w:rPr>
                <w:noProof/>
                <w:webHidden/>
              </w:rPr>
              <w:fldChar w:fldCharType="end"/>
            </w:r>
          </w:hyperlink>
        </w:p>
        <w:p w14:paraId="369BD9E2" w14:textId="1AF433D8"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22" w:history="1">
            <w:r w:rsidR="00F83B98" w:rsidRPr="00D0022B">
              <w:rPr>
                <w:rStyle w:val="Hyperlink"/>
                <w:noProof/>
              </w:rPr>
              <w:t>4</w:t>
            </w:r>
            <w:r w:rsidR="00F83B98" w:rsidRPr="00F024F2">
              <w:rPr>
                <w:rStyle w:val="Hyperlink"/>
                <w:noProof/>
              </w:rPr>
              <w:t>.</w:t>
            </w:r>
            <w:r w:rsidR="00F83B98" w:rsidRPr="00D0022B">
              <w:rPr>
                <w:rStyle w:val="Hyperlink"/>
                <w:noProof/>
              </w:rPr>
              <w:t>7</w:t>
            </w:r>
            <w:r w:rsidR="00F83B98" w:rsidRPr="00F024F2">
              <w:rPr>
                <w:rStyle w:val="Hyperlink"/>
                <w:noProof/>
              </w:rPr>
              <w:t> Befreiung von der Ausfuhrgenehmigung</w:t>
            </w:r>
            <w:r w:rsidR="00F83B98">
              <w:rPr>
                <w:noProof/>
                <w:webHidden/>
              </w:rPr>
              <w:tab/>
            </w:r>
            <w:r w:rsidR="00F83B98">
              <w:rPr>
                <w:noProof/>
                <w:webHidden/>
              </w:rPr>
              <w:fldChar w:fldCharType="begin"/>
            </w:r>
            <w:r w:rsidR="00F83B98">
              <w:rPr>
                <w:noProof/>
                <w:webHidden/>
              </w:rPr>
              <w:instrText xml:space="preserve"> PAGEREF _Toc111153422 \h </w:instrText>
            </w:r>
            <w:r w:rsidR="00F83B98">
              <w:rPr>
                <w:noProof/>
                <w:webHidden/>
              </w:rPr>
            </w:r>
            <w:r w:rsidR="00F83B98">
              <w:rPr>
                <w:noProof/>
                <w:webHidden/>
              </w:rPr>
              <w:fldChar w:fldCharType="separate"/>
            </w:r>
            <w:r w:rsidR="00D0022B">
              <w:rPr>
                <w:noProof/>
                <w:webHidden/>
              </w:rPr>
              <w:t>12</w:t>
            </w:r>
            <w:r w:rsidR="00F83B98">
              <w:rPr>
                <w:noProof/>
                <w:webHidden/>
              </w:rPr>
              <w:fldChar w:fldCharType="end"/>
            </w:r>
          </w:hyperlink>
        </w:p>
        <w:p w14:paraId="14028F44" w14:textId="4D735AC5"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23" w:history="1">
            <w:r w:rsidR="00F83B98" w:rsidRPr="00D0022B">
              <w:rPr>
                <w:rStyle w:val="Hyperlink"/>
                <w:noProof/>
              </w:rPr>
              <w:t>4</w:t>
            </w:r>
            <w:r w:rsidR="00F83B98" w:rsidRPr="00F024F2">
              <w:rPr>
                <w:rStyle w:val="Hyperlink"/>
                <w:noProof/>
              </w:rPr>
              <w:t>.</w:t>
            </w:r>
            <w:r w:rsidR="00F83B98" w:rsidRPr="00D0022B">
              <w:rPr>
                <w:rStyle w:val="Hyperlink"/>
                <w:noProof/>
              </w:rPr>
              <w:t>8</w:t>
            </w:r>
            <w:r w:rsidR="00F83B98" w:rsidRPr="00F024F2">
              <w:rPr>
                <w:rStyle w:val="Hyperlink"/>
                <w:noProof/>
              </w:rPr>
              <w:t> Gründe für die Ablehnung eines Genehmigungsantrags</w:t>
            </w:r>
            <w:r w:rsidR="00F83B98">
              <w:rPr>
                <w:noProof/>
                <w:webHidden/>
              </w:rPr>
              <w:tab/>
            </w:r>
            <w:r w:rsidR="00F83B98">
              <w:rPr>
                <w:noProof/>
                <w:webHidden/>
              </w:rPr>
              <w:fldChar w:fldCharType="begin"/>
            </w:r>
            <w:r w:rsidR="00F83B98">
              <w:rPr>
                <w:noProof/>
                <w:webHidden/>
              </w:rPr>
              <w:instrText xml:space="preserve"> PAGEREF _Toc111153423 \h </w:instrText>
            </w:r>
            <w:r w:rsidR="00F83B98">
              <w:rPr>
                <w:noProof/>
                <w:webHidden/>
              </w:rPr>
            </w:r>
            <w:r w:rsidR="00F83B98">
              <w:rPr>
                <w:noProof/>
                <w:webHidden/>
              </w:rPr>
              <w:fldChar w:fldCharType="separate"/>
            </w:r>
            <w:r w:rsidR="00D0022B">
              <w:rPr>
                <w:noProof/>
                <w:webHidden/>
              </w:rPr>
              <w:t>12</w:t>
            </w:r>
            <w:r w:rsidR="00F83B98">
              <w:rPr>
                <w:noProof/>
                <w:webHidden/>
              </w:rPr>
              <w:fldChar w:fldCharType="end"/>
            </w:r>
          </w:hyperlink>
        </w:p>
        <w:p w14:paraId="413EE737" w14:textId="0AA9CFDB"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24" w:history="1">
            <w:r w:rsidR="00F83B98" w:rsidRPr="00D0022B">
              <w:rPr>
                <w:rStyle w:val="Hyperlink"/>
                <w:noProof/>
              </w:rPr>
              <w:t>4</w:t>
            </w:r>
            <w:r w:rsidR="00F83B98" w:rsidRPr="00F024F2">
              <w:rPr>
                <w:rStyle w:val="Hyperlink"/>
                <w:noProof/>
              </w:rPr>
              <w:t>.</w:t>
            </w:r>
            <w:r w:rsidR="00F83B98" w:rsidRPr="00D0022B">
              <w:rPr>
                <w:rStyle w:val="Hyperlink"/>
                <w:noProof/>
              </w:rPr>
              <w:t>9</w:t>
            </w:r>
            <w:r w:rsidR="00F83B98" w:rsidRPr="00F024F2">
              <w:rPr>
                <w:rStyle w:val="Hyperlink"/>
                <w:noProof/>
              </w:rPr>
              <w:t> Probleme bei den Genehmigungsvordrucken</w:t>
            </w:r>
            <w:r w:rsidR="00F83B98">
              <w:rPr>
                <w:noProof/>
                <w:webHidden/>
              </w:rPr>
              <w:tab/>
            </w:r>
            <w:r w:rsidR="00F83B98">
              <w:rPr>
                <w:noProof/>
                <w:webHidden/>
              </w:rPr>
              <w:fldChar w:fldCharType="begin"/>
            </w:r>
            <w:r w:rsidR="00F83B98">
              <w:rPr>
                <w:noProof/>
                <w:webHidden/>
              </w:rPr>
              <w:instrText xml:space="preserve"> PAGEREF _Toc111153424 \h </w:instrText>
            </w:r>
            <w:r w:rsidR="00F83B98">
              <w:rPr>
                <w:noProof/>
                <w:webHidden/>
              </w:rPr>
            </w:r>
            <w:r w:rsidR="00F83B98">
              <w:rPr>
                <w:noProof/>
                <w:webHidden/>
              </w:rPr>
              <w:fldChar w:fldCharType="separate"/>
            </w:r>
            <w:r w:rsidR="00D0022B">
              <w:rPr>
                <w:noProof/>
                <w:webHidden/>
              </w:rPr>
              <w:t>13</w:t>
            </w:r>
            <w:r w:rsidR="00F83B98">
              <w:rPr>
                <w:noProof/>
                <w:webHidden/>
              </w:rPr>
              <w:fldChar w:fldCharType="end"/>
            </w:r>
          </w:hyperlink>
        </w:p>
        <w:p w14:paraId="2538F5B6" w14:textId="6166358A"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25" w:history="1">
            <w:r w:rsidR="00F83B98" w:rsidRPr="00D0022B">
              <w:rPr>
                <w:rStyle w:val="Hyperlink"/>
                <w:noProof/>
              </w:rPr>
              <w:t>4</w:t>
            </w:r>
            <w:r w:rsidR="00F83B98" w:rsidRPr="00F024F2">
              <w:rPr>
                <w:rStyle w:val="Hyperlink"/>
                <w:noProof/>
              </w:rPr>
              <w:t>.</w:t>
            </w:r>
            <w:r w:rsidR="00F83B98" w:rsidRPr="00D0022B">
              <w:rPr>
                <w:rStyle w:val="Hyperlink"/>
                <w:noProof/>
              </w:rPr>
              <w:t>10</w:t>
            </w:r>
            <w:r w:rsidR="00F83B98" w:rsidRPr="00F024F2">
              <w:rPr>
                <w:rStyle w:val="Hyperlink"/>
                <w:noProof/>
              </w:rPr>
              <w:t> Rücknahme oder Widerruf von Genehmigungen</w:t>
            </w:r>
            <w:r w:rsidR="00F83B98">
              <w:rPr>
                <w:noProof/>
                <w:webHidden/>
              </w:rPr>
              <w:tab/>
            </w:r>
            <w:r w:rsidR="00F83B98">
              <w:rPr>
                <w:noProof/>
                <w:webHidden/>
              </w:rPr>
              <w:fldChar w:fldCharType="begin"/>
            </w:r>
            <w:r w:rsidR="00F83B98">
              <w:rPr>
                <w:noProof/>
                <w:webHidden/>
              </w:rPr>
              <w:instrText xml:space="preserve"> PAGEREF _Toc111153425 \h </w:instrText>
            </w:r>
            <w:r w:rsidR="00F83B98">
              <w:rPr>
                <w:noProof/>
                <w:webHidden/>
              </w:rPr>
            </w:r>
            <w:r w:rsidR="00F83B98">
              <w:rPr>
                <w:noProof/>
                <w:webHidden/>
              </w:rPr>
              <w:fldChar w:fldCharType="separate"/>
            </w:r>
            <w:r w:rsidR="00D0022B">
              <w:rPr>
                <w:noProof/>
                <w:webHidden/>
              </w:rPr>
              <w:t>14</w:t>
            </w:r>
            <w:r w:rsidR="00F83B98">
              <w:rPr>
                <w:noProof/>
                <w:webHidden/>
              </w:rPr>
              <w:fldChar w:fldCharType="end"/>
            </w:r>
          </w:hyperlink>
        </w:p>
        <w:p w14:paraId="1536FA99" w14:textId="2AD84935"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26" w:history="1">
            <w:r w:rsidR="00F83B98" w:rsidRPr="00D0022B">
              <w:rPr>
                <w:rStyle w:val="Hyperlink"/>
                <w:noProof/>
              </w:rPr>
              <w:t>4</w:t>
            </w:r>
            <w:r w:rsidR="00F83B98" w:rsidRPr="00F024F2">
              <w:rPr>
                <w:rStyle w:val="Hyperlink"/>
                <w:noProof/>
              </w:rPr>
              <w:t>.</w:t>
            </w:r>
            <w:r w:rsidR="00F83B98" w:rsidRPr="00D0022B">
              <w:rPr>
                <w:rStyle w:val="Hyperlink"/>
                <w:noProof/>
              </w:rPr>
              <w:t>11</w:t>
            </w:r>
            <w:r w:rsidR="00F83B98" w:rsidRPr="00F024F2">
              <w:rPr>
                <w:rStyle w:val="Hyperlink"/>
                <w:noProof/>
              </w:rPr>
              <w:t> Verwendung elektronischer Systeme/Datenbanken</w:t>
            </w:r>
            <w:r w:rsidR="00F83B98">
              <w:rPr>
                <w:noProof/>
                <w:webHidden/>
              </w:rPr>
              <w:tab/>
            </w:r>
            <w:r w:rsidR="00F83B98">
              <w:rPr>
                <w:noProof/>
                <w:webHidden/>
              </w:rPr>
              <w:fldChar w:fldCharType="begin"/>
            </w:r>
            <w:r w:rsidR="00F83B98">
              <w:rPr>
                <w:noProof/>
                <w:webHidden/>
              </w:rPr>
              <w:instrText xml:space="preserve"> PAGEREF _Toc111153426 \h </w:instrText>
            </w:r>
            <w:r w:rsidR="00F83B98">
              <w:rPr>
                <w:noProof/>
                <w:webHidden/>
              </w:rPr>
            </w:r>
            <w:r w:rsidR="00F83B98">
              <w:rPr>
                <w:noProof/>
                <w:webHidden/>
              </w:rPr>
              <w:fldChar w:fldCharType="separate"/>
            </w:r>
            <w:r w:rsidR="00D0022B">
              <w:rPr>
                <w:noProof/>
                <w:webHidden/>
              </w:rPr>
              <w:t>14</w:t>
            </w:r>
            <w:r w:rsidR="00F83B98">
              <w:rPr>
                <w:noProof/>
                <w:webHidden/>
              </w:rPr>
              <w:fldChar w:fldCharType="end"/>
            </w:r>
          </w:hyperlink>
        </w:p>
        <w:p w14:paraId="79386AE3" w14:textId="0632DF9F"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27" w:history="1">
            <w:r w:rsidR="00F83B98" w:rsidRPr="00D0022B">
              <w:rPr>
                <w:rStyle w:val="Hyperlink"/>
                <w:noProof/>
              </w:rPr>
              <w:t>4</w:t>
            </w:r>
            <w:r w:rsidR="00F83B98" w:rsidRPr="00F024F2">
              <w:rPr>
                <w:rStyle w:val="Hyperlink"/>
                <w:noProof/>
              </w:rPr>
              <w:t>.</w:t>
            </w:r>
            <w:r w:rsidR="00F83B98" w:rsidRPr="00D0022B">
              <w:rPr>
                <w:rStyle w:val="Hyperlink"/>
                <w:noProof/>
              </w:rPr>
              <w:t>12</w:t>
            </w:r>
            <w:r w:rsidR="00F83B98" w:rsidRPr="00F024F2">
              <w:rPr>
                <w:rStyle w:val="Hyperlink"/>
                <w:noProof/>
              </w:rPr>
              <w:t> Sachmittel und Personal</w:t>
            </w:r>
            <w:r w:rsidR="00F83B98">
              <w:rPr>
                <w:noProof/>
                <w:webHidden/>
              </w:rPr>
              <w:tab/>
            </w:r>
            <w:r w:rsidR="00F83B98">
              <w:rPr>
                <w:noProof/>
                <w:webHidden/>
              </w:rPr>
              <w:fldChar w:fldCharType="begin"/>
            </w:r>
            <w:r w:rsidR="00F83B98">
              <w:rPr>
                <w:noProof/>
                <w:webHidden/>
              </w:rPr>
              <w:instrText xml:space="preserve"> PAGEREF _Toc111153427 \h </w:instrText>
            </w:r>
            <w:r w:rsidR="00F83B98">
              <w:rPr>
                <w:noProof/>
                <w:webHidden/>
              </w:rPr>
            </w:r>
            <w:r w:rsidR="00F83B98">
              <w:rPr>
                <w:noProof/>
                <w:webHidden/>
              </w:rPr>
              <w:fldChar w:fldCharType="separate"/>
            </w:r>
            <w:r w:rsidR="00D0022B">
              <w:rPr>
                <w:noProof/>
                <w:webHidden/>
              </w:rPr>
              <w:t>15</w:t>
            </w:r>
            <w:r w:rsidR="00F83B98">
              <w:rPr>
                <w:noProof/>
                <w:webHidden/>
              </w:rPr>
              <w:fldChar w:fldCharType="end"/>
            </w:r>
          </w:hyperlink>
        </w:p>
        <w:p w14:paraId="04698639" w14:textId="35CD2A41" w:rsidR="00F83B98" w:rsidRDefault="002E0CCA">
          <w:pPr>
            <w:pStyle w:val="TOC1"/>
            <w:tabs>
              <w:tab w:val="left" w:pos="440"/>
              <w:tab w:val="right" w:leader="dot" w:pos="9016"/>
            </w:tabs>
            <w:rPr>
              <w:rFonts w:asciiTheme="minorHAnsi" w:eastAsiaTheme="minorEastAsia" w:hAnsiTheme="minorHAnsi" w:cstheme="minorBidi"/>
              <w:noProof/>
              <w:sz w:val="22"/>
              <w:szCs w:val="22"/>
            </w:rPr>
          </w:pPr>
          <w:hyperlink w:anchor="_Toc111153428" w:history="1">
            <w:r w:rsidR="00F83B98" w:rsidRPr="00D0022B">
              <w:rPr>
                <w:rStyle w:val="Hyperlink"/>
                <w:noProof/>
              </w:rPr>
              <w:t>5</w:t>
            </w:r>
            <w:r w:rsidR="00F83B98" w:rsidRPr="00F024F2">
              <w:rPr>
                <w:rStyle w:val="Hyperlink"/>
                <w:noProof/>
              </w:rPr>
              <w:t>.</w:t>
            </w:r>
            <w:r w:rsidR="00F83B98">
              <w:rPr>
                <w:rFonts w:asciiTheme="minorHAnsi" w:eastAsiaTheme="minorEastAsia" w:hAnsiTheme="minorHAnsi" w:cstheme="minorBidi"/>
                <w:noProof/>
                <w:sz w:val="22"/>
                <w:szCs w:val="22"/>
              </w:rPr>
              <w:tab/>
            </w:r>
            <w:r w:rsidR="00F83B98" w:rsidRPr="00F024F2">
              <w:rPr>
                <w:rStyle w:val="Hyperlink"/>
                <w:noProof/>
              </w:rPr>
              <w:t>Schlussfolgerungen und offene Fragen</w:t>
            </w:r>
            <w:r w:rsidR="00F83B98">
              <w:rPr>
                <w:noProof/>
                <w:webHidden/>
              </w:rPr>
              <w:tab/>
            </w:r>
            <w:r w:rsidR="00F83B98">
              <w:rPr>
                <w:noProof/>
                <w:webHidden/>
              </w:rPr>
              <w:fldChar w:fldCharType="begin"/>
            </w:r>
            <w:r w:rsidR="00F83B98">
              <w:rPr>
                <w:noProof/>
                <w:webHidden/>
              </w:rPr>
              <w:instrText xml:space="preserve"> PAGEREF _Toc111153428 \h </w:instrText>
            </w:r>
            <w:r w:rsidR="00F83B98">
              <w:rPr>
                <w:noProof/>
                <w:webHidden/>
              </w:rPr>
            </w:r>
            <w:r w:rsidR="00F83B98">
              <w:rPr>
                <w:noProof/>
                <w:webHidden/>
              </w:rPr>
              <w:fldChar w:fldCharType="separate"/>
            </w:r>
            <w:r w:rsidR="00D0022B">
              <w:rPr>
                <w:noProof/>
                <w:webHidden/>
              </w:rPr>
              <w:t>15</w:t>
            </w:r>
            <w:r w:rsidR="00F83B98">
              <w:rPr>
                <w:noProof/>
                <w:webHidden/>
              </w:rPr>
              <w:fldChar w:fldCharType="end"/>
            </w:r>
          </w:hyperlink>
        </w:p>
        <w:p w14:paraId="5F4EE0A4" w14:textId="6CBB0450" w:rsidR="00F83B98" w:rsidRDefault="002E0CCA">
          <w:pPr>
            <w:pStyle w:val="TOC1"/>
            <w:tabs>
              <w:tab w:val="left" w:pos="440"/>
              <w:tab w:val="right" w:leader="dot" w:pos="9016"/>
            </w:tabs>
            <w:rPr>
              <w:rFonts w:asciiTheme="minorHAnsi" w:eastAsiaTheme="minorEastAsia" w:hAnsiTheme="minorHAnsi" w:cstheme="minorBidi"/>
              <w:noProof/>
              <w:sz w:val="22"/>
              <w:szCs w:val="22"/>
            </w:rPr>
          </w:pPr>
          <w:hyperlink w:anchor="_Toc111153429" w:history="1">
            <w:r w:rsidR="00F83B98" w:rsidRPr="00D0022B">
              <w:rPr>
                <w:rStyle w:val="Hyperlink"/>
                <w:noProof/>
              </w:rPr>
              <w:t>6</w:t>
            </w:r>
            <w:r w:rsidR="00F83B98" w:rsidRPr="00F024F2">
              <w:rPr>
                <w:rStyle w:val="Hyperlink"/>
                <w:noProof/>
              </w:rPr>
              <w:t>.</w:t>
            </w:r>
            <w:r w:rsidR="00F83B98">
              <w:rPr>
                <w:rFonts w:asciiTheme="minorHAnsi" w:eastAsiaTheme="minorEastAsia" w:hAnsiTheme="minorHAnsi" w:cstheme="minorBidi"/>
                <w:noProof/>
                <w:sz w:val="22"/>
                <w:szCs w:val="22"/>
              </w:rPr>
              <w:tab/>
            </w:r>
            <w:r w:rsidR="00F83B98" w:rsidRPr="00F024F2">
              <w:rPr>
                <w:rStyle w:val="Hyperlink"/>
                <w:noProof/>
              </w:rPr>
              <w:t>Anhänge</w:t>
            </w:r>
            <w:r w:rsidR="00F83B98">
              <w:rPr>
                <w:noProof/>
                <w:webHidden/>
              </w:rPr>
              <w:tab/>
            </w:r>
            <w:r w:rsidR="00F83B98">
              <w:rPr>
                <w:noProof/>
                <w:webHidden/>
              </w:rPr>
              <w:fldChar w:fldCharType="begin"/>
            </w:r>
            <w:r w:rsidR="00F83B98">
              <w:rPr>
                <w:noProof/>
                <w:webHidden/>
              </w:rPr>
              <w:instrText xml:space="preserve"> PAGEREF _Toc111153429 \h </w:instrText>
            </w:r>
            <w:r w:rsidR="00F83B98">
              <w:rPr>
                <w:noProof/>
                <w:webHidden/>
              </w:rPr>
            </w:r>
            <w:r w:rsidR="00F83B98">
              <w:rPr>
                <w:noProof/>
                <w:webHidden/>
              </w:rPr>
              <w:fldChar w:fldCharType="separate"/>
            </w:r>
            <w:r w:rsidR="00D0022B">
              <w:rPr>
                <w:noProof/>
                <w:webHidden/>
              </w:rPr>
              <w:t>17</w:t>
            </w:r>
            <w:r w:rsidR="00F83B98">
              <w:rPr>
                <w:noProof/>
                <w:webHidden/>
              </w:rPr>
              <w:fldChar w:fldCharType="end"/>
            </w:r>
          </w:hyperlink>
        </w:p>
        <w:p w14:paraId="700CECA9" w14:textId="62B25F13"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30" w:history="1">
            <w:r w:rsidR="00F83B98" w:rsidRPr="00F024F2">
              <w:rPr>
                <w:rStyle w:val="Hyperlink"/>
                <w:noProof/>
              </w:rPr>
              <w:t>Tabelle </w:t>
            </w:r>
            <w:r w:rsidR="00F83B98" w:rsidRPr="00D0022B">
              <w:rPr>
                <w:rStyle w:val="Hyperlink"/>
                <w:noProof/>
              </w:rPr>
              <w:t>1</w:t>
            </w:r>
            <w:r w:rsidR="00F83B98" w:rsidRPr="00F024F2">
              <w:rPr>
                <w:rStyle w:val="Hyperlink"/>
                <w:noProof/>
              </w:rPr>
              <w:t>. Von den Mitgliedstaaten erteilte normale Ausfuhrgenehmigungen</w:t>
            </w:r>
            <w:r w:rsidR="00F83B98">
              <w:rPr>
                <w:noProof/>
                <w:webHidden/>
              </w:rPr>
              <w:tab/>
            </w:r>
            <w:r w:rsidR="00F83B98">
              <w:rPr>
                <w:noProof/>
                <w:webHidden/>
              </w:rPr>
              <w:fldChar w:fldCharType="begin"/>
            </w:r>
            <w:r w:rsidR="00F83B98">
              <w:rPr>
                <w:noProof/>
                <w:webHidden/>
              </w:rPr>
              <w:instrText xml:space="preserve"> PAGEREF _Toc111153430 \h </w:instrText>
            </w:r>
            <w:r w:rsidR="00F83B98">
              <w:rPr>
                <w:noProof/>
                <w:webHidden/>
              </w:rPr>
            </w:r>
            <w:r w:rsidR="00F83B98">
              <w:rPr>
                <w:noProof/>
                <w:webHidden/>
              </w:rPr>
              <w:fldChar w:fldCharType="separate"/>
            </w:r>
            <w:r w:rsidR="00D0022B">
              <w:rPr>
                <w:noProof/>
                <w:webHidden/>
              </w:rPr>
              <w:t>17</w:t>
            </w:r>
            <w:r w:rsidR="00F83B98">
              <w:rPr>
                <w:noProof/>
                <w:webHidden/>
              </w:rPr>
              <w:fldChar w:fldCharType="end"/>
            </w:r>
          </w:hyperlink>
        </w:p>
        <w:p w14:paraId="3ADFFD9D" w14:textId="5BD83F28"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31" w:history="1">
            <w:r w:rsidR="00F83B98" w:rsidRPr="00F024F2">
              <w:rPr>
                <w:rStyle w:val="Hyperlink"/>
                <w:noProof/>
              </w:rPr>
              <w:t>Tabelle </w:t>
            </w:r>
            <w:r w:rsidR="00F83B98" w:rsidRPr="00D0022B">
              <w:rPr>
                <w:rStyle w:val="Hyperlink"/>
                <w:noProof/>
              </w:rPr>
              <w:t>2</w:t>
            </w:r>
            <w:r w:rsidR="00F83B98" w:rsidRPr="00F024F2">
              <w:rPr>
                <w:rStyle w:val="Hyperlink"/>
                <w:noProof/>
              </w:rPr>
              <w:t>. Im Umlauf befindliche spezifische offene Genehmigungen</w:t>
            </w:r>
            <w:r w:rsidR="00F83B98">
              <w:rPr>
                <w:noProof/>
                <w:webHidden/>
              </w:rPr>
              <w:tab/>
            </w:r>
            <w:r w:rsidR="00F83B98">
              <w:rPr>
                <w:noProof/>
                <w:webHidden/>
              </w:rPr>
              <w:fldChar w:fldCharType="begin"/>
            </w:r>
            <w:r w:rsidR="00F83B98">
              <w:rPr>
                <w:noProof/>
                <w:webHidden/>
              </w:rPr>
              <w:instrText xml:space="preserve"> PAGEREF _Toc111153431 \h </w:instrText>
            </w:r>
            <w:r w:rsidR="00F83B98">
              <w:rPr>
                <w:noProof/>
                <w:webHidden/>
              </w:rPr>
            </w:r>
            <w:r w:rsidR="00F83B98">
              <w:rPr>
                <w:noProof/>
                <w:webHidden/>
              </w:rPr>
              <w:fldChar w:fldCharType="separate"/>
            </w:r>
            <w:r w:rsidR="00D0022B">
              <w:rPr>
                <w:noProof/>
                <w:webHidden/>
              </w:rPr>
              <w:t>19</w:t>
            </w:r>
            <w:r w:rsidR="00F83B98">
              <w:rPr>
                <w:noProof/>
                <w:webHidden/>
              </w:rPr>
              <w:fldChar w:fldCharType="end"/>
            </w:r>
          </w:hyperlink>
        </w:p>
        <w:p w14:paraId="3E11515E" w14:textId="44BC42E6"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32" w:history="1">
            <w:r w:rsidR="00F83B98" w:rsidRPr="00F024F2">
              <w:rPr>
                <w:rStyle w:val="Hyperlink"/>
                <w:noProof/>
              </w:rPr>
              <w:t>Tabelle </w:t>
            </w:r>
            <w:r w:rsidR="00F83B98" w:rsidRPr="00D0022B">
              <w:rPr>
                <w:rStyle w:val="Hyperlink"/>
                <w:noProof/>
              </w:rPr>
              <w:t>3</w:t>
            </w:r>
            <w:r w:rsidR="00F83B98" w:rsidRPr="00F024F2">
              <w:rPr>
                <w:rStyle w:val="Hyperlink"/>
                <w:noProof/>
              </w:rPr>
              <w:t>. Im Umlauf befindliche allgemeine offene Genehmigungen</w:t>
            </w:r>
            <w:r w:rsidR="00F83B98">
              <w:rPr>
                <w:noProof/>
                <w:webHidden/>
              </w:rPr>
              <w:tab/>
            </w:r>
            <w:r w:rsidR="00F83B98">
              <w:rPr>
                <w:noProof/>
                <w:webHidden/>
              </w:rPr>
              <w:fldChar w:fldCharType="begin"/>
            </w:r>
            <w:r w:rsidR="00F83B98">
              <w:rPr>
                <w:noProof/>
                <w:webHidden/>
              </w:rPr>
              <w:instrText xml:space="preserve"> PAGEREF _Toc111153432 \h </w:instrText>
            </w:r>
            <w:r w:rsidR="00F83B98">
              <w:rPr>
                <w:noProof/>
                <w:webHidden/>
              </w:rPr>
            </w:r>
            <w:r w:rsidR="00F83B98">
              <w:rPr>
                <w:noProof/>
                <w:webHidden/>
              </w:rPr>
              <w:fldChar w:fldCharType="separate"/>
            </w:r>
            <w:r w:rsidR="00D0022B">
              <w:rPr>
                <w:noProof/>
                <w:webHidden/>
              </w:rPr>
              <w:t>20</w:t>
            </w:r>
            <w:r w:rsidR="00F83B98">
              <w:rPr>
                <w:noProof/>
                <w:webHidden/>
              </w:rPr>
              <w:fldChar w:fldCharType="end"/>
            </w:r>
          </w:hyperlink>
        </w:p>
        <w:p w14:paraId="396B5B1D" w14:textId="46C7263E"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33" w:history="1">
            <w:r w:rsidR="00F83B98" w:rsidRPr="00F024F2">
              <w:rPr>
                <w:rStyle w:val="Hyperlink"/>
                <w:noProof/>
              </w:rPr>
              <w:t>Tabelle </w:t>
            </w:r>
            <w:r w:rsidR="00F83B98" w:rsidRPr="00D0022B">
              <w:rPr>
                <w:rStyle w:val="Hyperlink"/>
                <w:noProof/>
              </w:rPr>
              <w:t>4</w:t>
            </w:r>
            <w:r w:rsidR="00F83B98" w:rsidRPr="00F024F2">
              <w:rPr>
                <w:rStyle w:val="Hyperlink"/>
                <w:noProof/>
              </w:rPr>
              <w:t>. Abgelehnte Anträge auf normale Genehmigungen</w:t>
            </w:r>
            <w:r w:rsidR="00F83B98">
              <w:rPr>
                <w:noProof/>
                <w:webHidden/>
              </w:rPr>
              <w:tab/>
            </w:r>
            <w:r w:rsidR="00F83B98">
              <w:rPr>
                <w:noProof/>
                <w:webHidden/>
              </w:rPr>
              <w:fldChar w:fldCharType="begin"/>
            </w:r>
            <w:r w:rsidR="00F83B98">
              <w:rPr>
                <w:noProof/>
                <w:webHidden/>
              </w:rPr>
              <w:instrText xml:space="preserve"> PAGEREF _Toc111153433 \h </w:instrText>
            </w:r>
            <w:r w:rsidR="00F83B98">
              <w:rPr>
                <w:noProof/>
                <w:webHidden/>
              </w:rPr>
            </w:r>
            <w:r w:rsidR="00F83B98">
              <w:rPr>
                <w:noProof/>
                <w:webHidden/>
              </w:rPr>
              <w:fldChar w:fldCharType="separate"/>
            </w:r>
            <w:r w:rsidR="00D0022B">
              <w:rPr>
                <w:noProof/>
                <w:webHidden/>
              </w:rPr>
              <w:t>21</w:t>
            </w:r>
            <w:r w:rsidR="00F83B98">
              <w:rPr>
                <w:noProof/>
                <w:webHidden/>
              </w:rPr>
              <w:fldChar w:fldCharType="end"/>
            </w:r>
          </w:hyperlink>
        </w:p>
        <w:p w14:paraId="66934AD0" w14:textId="171BCA2B" w:rsidR="00F83B98" w:rsidRDefault="002E0CCA">
          <w:pPr>
            <w:pStyle w:val="TOC2"/>
            <w:tabs>
              <w:tab w:val="right" w:leader="dot" w:pos="9016"/>
            </w:tabs>
            <w:rPr>
              <w:rFonts w:asciiTheme="minorHAnsi" w:eastAsiaTheme="minorEastAsia" w:hAnsiTheme="minorHAnsi" w:cstheme="minorBidi"/>
              <w:noProof/>
              <w:sz w:val="22"/>
              <w:szCs w:val="22"/>
            </w:rPr>
          </w:pPr>
          <w:hyperlink w:anchor="_Toc111153434" w:history="1">
            <w:r w:rsidR="00F83B98" w:rsidRPr="00F024F2">
              <w:rPr>
                <w:rStyle w:val="Hyperlink"/>
                <w:noProof/>
              </w:rPr>
              <w:t>Tabelle </w:t>
            </w:r>
            <w:r w:rsidR="00F83B98" w:rsidRPr="00D0022B">
              <w:rPr>
                <w:rStyle w:val="Hyperlink"/>
                <w:noProof/>
              </w:rPr>
              <w:t>5</w:t>
            </w:r>
            <w:r w:rsidR="00F83B98" w:rsidRPr="00F024F2">
              <w:rPr>
                <w:rStyle w:val="Hyperlink"/>
                <w:noProof/>
              </w:rPr>
              <w:t>. Fälle von Verstoß/Nichteinhaltung</w:t>
            </w:r>
            <w:r w:rsidR="00F83B98">
              <w:rPr>
                <w:noProof/>
                <w:webHidden/>
              </w:rPr>
              <w:tab/>
            </w:r>
            <w:r w:rsidR="00F83B98">
              <w:rPr>
                <w:noProof/>
                <w:webHidden/>
              </w:rPr>
              <w:fldChar w:fldCharType="begin"/>
            </w:r>
            <w:r w:rsidR="00F83B98">
              <w:rPr>
                <w:noProof/>
                <w:webHidden/>
              </w:rPr>
              <w:instrText xml:space="preserve"> PAGEREF _Toc111153434 \h </w:instrText>
            </w:r>
            <w:r w:rsidR="00F83B98">
              <w:rPr>
                <w:noProof/>
                <w:webHidden/>
              </w:rPr>
            </w:r>
            <w:r w:rsidR="00F83B98">
              <w:rPr>
                <w:noProof/>
                <w:webHidden/>
              </w:rPr>
              <w:fldChar w:fldCharType="separate"/>
            </w:r>
            <w:r w:rsidR="00D0022B">
              <w:rPr>
                <w:noProof/>
                <w:webHidden/>
              </w:rPr>
              <w:t>22</w:t>
            </w:r>
            <w:r w:rsidR="00F83B98">
              <w:rPr>
                <w:noProof/>
                <w:webHidden/>
              </w:rPr>
              <w:fldChar w:fldCharType="end"/>
            </w:r>
          </w:hyperlink>
        </w:p>
        <w:p w14:paraId="07CFB57C" w14:textId="3B278726" w:rsidR="005B597E" w:rsidRDefault="005B597E">
          <w:pPr>
            <w:rPr>
              <w:noProof/>
            </w:rPr>
          </w:pPr>
          <w:r>
            <w:rPr>
              <w:b/>
              <w:noProof/>
            </w:rPr>
            <w:fldChar w:fldCharType="end"/>
          </w:r>
        </w:p>
      </w:sdtContent>
    </w:sdt>
    <w:p w14:paraId="467211D7" w14:textId="77777777" w:rsidR="00EF74AD" w:rsidRPr="000A656F" w:rsidRDefault="00EF74AD">
      <w:pPr>
        <w:rPr>
          <w:noProof/>
        </w:rPr>
      </w:pPr>
      <w:r>
        <w:rPr>
          <w:noProof/>
        </w:rPr>
        <w:br w:type="page"/>
      </w:r>
    </w:p>
    <w:p w14:paraId="21233D00" w14:textId="77777777" w:rsidR="00EF74AD" w:rsidRPr="0048262E" w:rsidRDefault="00EF74AD" w:rsidP="0048262E">
      <w:pPr>
        <w:pStyle w:val="Heading1"/>
        <w:rPr>
          <w:noProof/>
        </w:rPr>
      </w:pPr>
      <w:bookmarkStart w:id="2" w:name="_Toc16070164"/>
      <w:bookmarkStart w:id="3" w:name="_Toc111153410"/>
      <w:r>
        <w:rPr>
          <w:noProof/>
        </w:rPr>
        <w:t>Zusammenfassung</w:t>
      </w:r>
      <w:bookmarkEnd w:id="2"/>
      <w:bookmarkEnd w:id="3"/>
    </w:p>
    <w:p w14:paraId="5FE7DEF2" w14:textId="77777777" w:rsidR="00EF74AD" w:rsidRPr="00F60491" w:rsidRDefault="00EF74AD" w:rsidP="00EF74AD">
      <w:pPr>
        <w:spacing w:after="160" w:line="259" w:lineRule="auto"/>
        <w:jc w:val="both"/>
        <w:rPr>
          <w:noProof/>
        </w:rPr>
      </w:pPr>
      <w:r>
        <w:rPr>
          <w:noProof/>
        </w:rPr>
        <w:t>Gegenstand dieses Berichts ist die Durchführung der Regelung zur Ausfuhrgenehmigungspflicht für Kulturgüter, die mit der Verordnung (EG) Nr. </w:t>
      </w:r>
      <w:r w:rsidRPr="00D0022B">
        <w:rPr>
          <w:noProof/>
        </w:rPr>
        <w:t>116</w:t>
      </w:r>
      <w:r>
        <w:rPr>
          <w:noProof/>
        </w:rPr>
        <w:t>/</w:t>
      </w:r>
      <w:r w:rsidRPr="00D0022B">
        <w:rPr>
          <w:noProof/>
        </w:rPr>
        <w:t>2009</w:t>
      </w:r>
      <w:r>
        <w:rPr>
          <w:noProof/>
        </w:rPr>
        <w:t xml:space="preserve"> über die Ausfuhr von Kulturgütern und die Durchführungsverordnung (EU) Nr. </w:t>
      </w:r>
      <w:r w:rsidRPr="00D0022B">
        <w:rPr>
          <w:noProof/>
        </w:rPr>
        <w:t>1081</w:t>
      </w:r>
      <w:r>
        <w:rPr>
          <w:noProof/>
        </w:rPr>
        <w:t>/</w:t>
      </w:r>
      <w:r w:rsidRPr="00D0022B">
        <w:rPr>
          <w:noProof/>
        </w:rPr>
        <w:t>2012</w:t>
      </w:r>
      <w:r>
        <w:rPr>
          <w:noProof/>
        </w:rPr>
        <w:t xml:space="preserve"> der Kommission festgelegt wurde.</w:t>
      </w:r>
      <w:r>
        <w:rPr>
          <w:noProof/>
          <w:vertAlign w:val="superscript"/>
        </w:rPr>
        <w:footnoteReference w:id="1"/>
      </w:r>
      <w:r>
        <w:rPr>
          <w:noProof/>
        </w:rPr>
        <w:t xml:space="preserve"> </w:t>
      </w:r>
    </w:p>
    <w:p w14:paraId="5D60E1B9" w14:textId="19AA272C" w:rsidR="00EF74AD" w:rsidRPr="00F60491" w:rsidRDefault="00EF74AD" w:rsidP="00EF74AD">
      <w:pPr>
        <w:spacing w:after="160" w:line="259" w:lineRule="auto"/>
        <w:jc w:val="both"/>
        <w:rPr>
          <w:noProof/>
        </w:rPr>
      </w:pPr>
      <w:r>
        <w:rPr>
          <w:noProof/>
        </w:rPr>
        <w:t>Grundlage des Berichts sind vor allem die Informationen, die von den Mitgliedstaaten</w:t>
      </w:r>
      <w:r>
        <w:rPr>
          <w:rStyle w:val="FootnoteReference"/>
          <w:noProof/>
        </w:rPr>
        <w:footnoteReference w:id="2"/>
      </w:r>
      <w:r>
        <w:rPr>
          <w:noProof/>
        </w:rPr>
        <w:t xml:space="preserve"> in Beantwortung eines Fragebogens zu allen Aspekten der Durchführung der Regelung zur Ausfuhrgenehmigungspflicht übermittelt wurden. Dieser Fragebogen erstreckt sich auf den Zeitraum von </w:t>
      </w:r>
      <w:r w:rsidRPr="00D0022B">
        <w:rPr>
          <w:noProof/>
        </w:rPr>
        <w:t>2018</w:t>
      </w:r>
      <w:r>
        <w:rPr>
          <w:noProof/>
        </w:rPr>
        <w:t xml:space="preserve"> bis </w:t>
      </w:r>
      <w:r w:rsidRPr="00D0022B">
        <w:rPr>
          <w:noProof/>
        </w:rPr>
        <w:t>2020</w:t>
      </w:r>
      <w:r>
        <w:rPr>
          <w:noProof/>
        </w:rPr>
        <w:t xml:space="preserve">. Die im Anhang aufgeführten Zahlen beziehen sich auf drei Arten von Ausfuhrgenehmigungen: normale Genehmigungen, spezifische offene Genehmigungen (für die mehrmalige vorübergehende Ausfuhr durch Privatpersonen) und allgemeine offene Genehmigungen (für die mehrmalige vorübergehende Ausfuhr durch Museen und ähnliche Einrichtungen).  </w:t>
      </w:r>
    </w:p>
    <w:p w14:paraId="68C0610D" w14:textId="77777777" w:rsidR="00EF74AD" w:rsidRPr="00F60491" w:rsidRDefault="00EF74AD" w:rsidP="00EF74AD">
      <w:pPr>
        <w:spacing w:after="160" w:line="259" w:lineRule="auto"/>
        <w:jc w:val="both"/>
        <w:rPr>
          <w:noProof/>
        </w:rPr>
      </w:pPr>
      <w:r>
        <w:rPr>
          <w:noProof/>
        </w:rPr>
        <w:t>Der Bericht informiert außerdem über laufende Initiativen und zukünftige Herausforderungen, beispielsweise die Verbesserung der Zusammenarbeit zwischen den Behörden, die in den Mitgliedstaaten an der Durchführung der Verordnung mitwirken, das Herbeiführen einer einheitlichen Auslegung der Bestimmungen der Verordnung durch die Mitgliedstaaten, die Ermittlung bewährter Verfahren, mit denen die zuständigen Behörden und der Zoll die Herkunft von Kulturgütern ermitteln können, und die Prüfung der technischen, finanziellen und rechtlichen Möglichkeiten zur Erteilung und Kontrolle von Ausfuhrgenehmigungen mit elektronischen Mitteln, beispielsweise durch die Entwicklung eines zentralen elektronischen Systems, das mit den nationalen Zollabfertigungssystemen verbunden ist, oder durch den Anschluss an ein solches System.</w:t>
      </w:r>
    </w:p>
    <w:p w14:paraId="375830AD" w14:textId="77777777" w:rsidR="00D2684C" w:rsidRPr="003E6C7A" w:rsidRDefault="00D2684C">
      <w:pPr>
        <w:rPr>
          <w:noProof/>
        </w:rPr>
      </w:pPr>
      <w:r>
        <w:rPr>
          <w:noProof/>
        </w:rPr>
        <w:br w:type="page"/>
      </w:r>
    </w:p>
    <w:p w14:paraId="4D50277A" w14:textId="77777777" w:rsidR="00D2684C" w:rsidRPr="000A656F" w:rsidRDefault="00D2684C" w:rsidP="0048262E">
      <w:pPr>
        <w:pStyle w:val="Heading1"/>
        <w:rPr>
          <w:noProof/>
        </w:rPr>
      </w:pPr>
      <w:bookmarkStart w:id="4" w:name="_Toc111153411"/>
      <w:r>
        <w:rPr>
          <w:noProof/>
        </w:rPr>
        <w:t>Einleitung</w:t>
      </w:r>
      <w:bookmarkEnd w:id="4"/>
    </w:p>
    <w:p w14:paraId="170749DE" w14:textId="77777777" w:rsidR="00D2684C" w:rsidRPr="00F60491" w:rsidRDefault="00D2684C" w:rsidP="00823E2B">
      <w:pPr>
        <w:spacing w:after="160"/>
        <w:jc w:val="both"/>
        <w:rPr>
          <w:noProof/>
        </w:rPr>
      </w:pPr>
      <w:r>
        <w:rPr>
          <w:noProof/>
        </w:rPr>
        <w:t>Aufgrund der Verordnung (EG) Nr. </w:t>
      </w:r>
      <w:r w:rsidRPr="00D0022B">
        <w:rPr>
          <w:noProof/>
        </w:rPr>
        <w:t>116</w:t>
      </w:r>
      <w:r>
        <w:rPr>
          <w:noProof/>
        </w:rPr>
        <w:t>/</w:t>
      </w:r>
      <w:r w:rsidRPr="00D0022B">
        <w:rPr>
          <w:noProof/>
        </w:rPr>
        <w:t>2009</w:t>
      </w:r>
      <w:r>
        <w:rPr>
          <w:noProof/>
        </w:rPr>
        <w:t xml:space="preserve"> über die Ausfuhr von Kulturgütern</w:t>
      </w:r>
      <w:r>
        <w:rPr>
          <w:rStyle w:val="FootnoteReference"/>
          <w:noProof/>
        </w:rPr>
        <w:footnoteReference w:id="3"/>
      </w:r>
      <w:r>
        <w:rPr>
          <w:noProof/>
        </w:rPr>
        <w:t xml:space="preserve"> (im Folgenden die „Verordnung“) dürfen bestimmte Kulturgüter nur gegen Vorlage einer Ausfuhrgenehmigung aus dem Zollgebiet der Union ausgeführt werden, und es wird eine einheitliche Kontrolle der Ausfuhr dieser Güter an den Außengrenzen der Union sichergestellt. In Anhang I ist der sachliche Anwendungsbereich der Verordnung festgelegt, indem die Kategorien der ihr unterliegenden Kulturgüter aufgeführt werden und für die meisten dieser Kategorien zudem Grenzwerte im Hinblick auf ihr Alter und/oder ihren Wert definiert sind. </w:t>
      </w:r>
    </w:p>
    <w:p w14:paraId="0DA97543" w14:textId="77777777" w:rsidR="00F463AF" w:rsidRPr="00F60491" w:rsidRDefault="00F463AF" w:rsidP="00823E2B">
      <w:pPr>
        <w:spacing w:after="160"/>
        <w:jc w:val="both"/>
        <w:rPr>
          <w:noProof/>
        </w:rPr>
      </w:pPr>
      <w:r>
        <w:rPr>
          <w:noProof/>
        </w:rPr>
        <w:t xml:space="preserve">Das Ziel der Verordnung besteht darin, im Rahmen des </w:t>
      </w:r>
      <w:r w:rsidRPr="00D0022B">
        <w:rPr>
          <w:noProof/>
        </w:rPr>
        <w:t>1993</w:t>
      </w:r>
      <w:r>
        <w:rPr>
          <w:noProof/>
        </w:rPr>
        <w:t xml:space="preserve"> realisierten Binnenmarkts, in dem alle Binnengrenzen zwischen den Mitgliedstaaten aufgehoben wurden, den freien Warenverkehr und den Schutz des nationalen Kulturguts als wesentliche Grundsätze in Einklang zu bringen. </w:t>
      </w:r>
    </w:p>
    <w:p w14:paraId="390433E0" w14:textId="77777777" w:rsidR="00D2684C" w:rsidRPr="00F60491" w:rsidRDefault="00D2684C" w:rsidP="00823E2B">
      <w:pPr>
        <w:spacing w:after="160"/>
        <w:jc w:val="both"/>
        <w:rPr>
          <w:noProof/>
        </w:rPr>
      </w:pPr>
      <w:r>
        <w:rPr>
          <w:noProof/>
        </w:rPr>
        <w:t>Ausfuhrgenehmigungen werden von der zuständigen Behörde des Mitgliedstaats erteilt, in dessen Hoheitsgebiet sich das betreffende Kulturgut „</w:t>
      </w:r>
      <w:r>
        <w:rPr>
          <w:i/>
          <w:noProof/>
        </w:rPr>
        <w:t>rechtmäßig und endgültig befunden hat</w:t>
      </w:r>
      <w:r>
        <w:rPr>
          <w:noProof/>
        </w:rPr>
        <w:t>“</w:t>
      </w:r>
      <w:r>
        <w:rPr>
          <w:rStyle w:val="FootnoteReference"/>
          <w:noProof/>
        </w:rPr>
        <w:footnoteReference w:id="4"/>
      </w:r>
      <w:r>
        <w:rPr>
          <w:noProof/>
        </w:rPr>
        <w:t xml:space="preserve">. Die Erteilung oder Verweigerung der Ausfuhrgenehmigung erfolgt nach den Rechtsvorschriften dieses Mitgliedstaats. Anschließend wird durch die Zollkontrolle sichergestellt, dass Kulturgüter das Zollgebiet der Union nur verlassen können, wenn ihnen eine gültige Ausfuhrgenehmigung beiliegt. </w:t>
      </w:r>
    </w:p>
    <w:p w14:paraId="7146FC7A" w14:textId="77777777" w:rsidR="00D2684C" w:rsidRPr="00F60491" w:rsidRDefault="00D2684C" w:rsidP="00823E2B">
      <w:pPr>
        <w:spacing w:after="160"/>
        <w:jc w:val="both"/>
        <w:rPr>
          <w:noProof/>
        </w:rPr>
      </w:pPr>
      <w:r>
        <w:rPr>
          <w:noProof/>
        </w:rPr>
        <w:t>Um die Einheitlichkeit des Vordrucks für die Ausfuhrgenehmigung zu gewährleisten, waren die Einzelheiten der Ausstellung, Erteilung und Verwendung dieses Papiers zu regeln. In der Durchführungsverordnung (EU) Nr. </w:t>
      </w:r>
      <w:r w:rsidRPr="00D0022B">
        <w:rPr>
          <w:noProof/>
        </w:rPr>
        <w:t>1081</w:t>
      </w:r>
      <w:r>
        <w:rPr>
          <w:noProof/>
        </w:rPr>
        <w:t>/</w:t>
      </w:r>
      <w:r w:rsidRPr="00D0022B">
        <w:rPr>
          <w:noProof/>
        </w:rPr>
        <w:t>2012</w:t>
      </w:r>
      <w:r>
        <w:rPr>
          <w:rStyle w:val="FootnoteReference"/>
          <w:noProof/>
        </w:rPr>
        <w:footnoteReference w:id="5"/>
      </w:r>
      <w:r>
        <w:rPr>
          <w:noProof/>
        </w:rPr>
        <w:t xml:space="preserve"> sind drei Arten von Ausfuhrgenehmigungen (normale Genehmigungen, spezifische offene Genehmigungen und allgemeine offene Genehmigungen) sowie die Vorschriften für ihre Beantragung niedergelegt. In bestimmten – aber nicht allen – Mitgliedstaaten muss der Antragsteller eine Gebühr entrichten, um eine Ausfuhrgenehmigung zu erhalten. Das nationale Recht bestimmter Mitgliedstaaten kann weitere Einschränkungen vorsehen, beispielsweise kann eine nationale Genehmigung – sowie eine EU-Ausfuhrgenehmigung – erforderlich sein, um Gegenstände, die als „nationales Kulturgut“ eingestuft sind, rechtmäßig außerhalb des nationalen Hoheitsgebiets zu verbringen. </w:t>
      </w:r>
    </w:p>
    <w:p w14:paraId="4B50C7EF" w14:textId="77777777" w:rsidR="00D2684C" w:rsidRPr="00F60491" w:rsidRDefault="00D2684C" w:rsidP="00823E2B">
      <w:pPr>
        <w:spacing w:after="160"/>
        <w:jc w:val="both"/>
        <w:rPr>
          <w:noProof/>
        </w:rPr>
      </w:pPr>
      <w:r>
        <w:rPr>
          <w:noProof/>
        </w:rPr>
        <w:t>Die jeweils aktuelle Liste der Behörden der Mitgliedstaaten, die bevollmächtigt sind, Ausfuhrgenehmigungen für Kulturgüter auszustellen, sowie die Liste der Zollstellen, die für die Erledigung der Ausfuhrzollförmlichkeiten zuständig sind, wird im Amtsblatt der Europäischen Union veröffentlicht.</w:t>
      </w:r>
      <w:r>
        <w:rPr>
          <w:rStyle w:val="FootnoteReference"/>
          <w:noProof/>
        </w:rPr>
        <w:footnoteReference w:id="6"/>
      </w:r>
      <w:r>
        <w:rPr>
          <w:noProof/>
        </w:rPr>
        <w:t xml:space="preserve"> </w:t>
      </w:r>
    </w:p>
    <w:p w14:paraId="75130026" w14:textId="77777777" w:rsidR="00D2684C" w:rsidRPr="00F60491" w:rsidRDefault="00D2684C" w:rsidP="00823E2B">
      <w:pPr>
        <w:spacing w:after="160"/>
        <w:jc w:val="both"/>
        <w:rPr>
          <w:noProof/>
        </w:rPr>
      </w:pPr>
      <w:r>
        <w:rPr>
          <w:noProof/>
        </w:rPr>
        <w:t>Gemäß Artikel </w:t>
      </w:r>
      <w:r w:rsidRPr="00D0022B">
        <w:rPr>
          <w:noProof/>
        </w:rPr>
        <w:t>10</w:t>
      </w:r>
      <w:r>
        <w:rPr>
          <w:noProof/>
        </w:rPr>
        <w:t xml:space="preserve"> der Verordnung legt die Kommission dem Europäischen Parlament, dem Rat und dem Europäischen Wirtschafts- und Sozialausschuss regelmäßig einen Bericht über die Durchführung dieser Verordnung vor. </w:t>
      </w:r>
    </w:p>
    <w:p w14:paraId="74F9BA52" w14:textId="4B2E73AB" w:rsidR="00D2684C" w:rsidRDefault="00D2684C" w:rsidP="00823E2B">
      <w:pPr>
        <w:spacing w:after="160"/>
        <w:jc w:val="both"/>
        <w:rPr>
          <w:noProof/>
        </w:rPr>
      </w:pPr>
      <w:r>
        <w:rPr>
          <w:noProof/>
        </w:rPr>
        <w:t xml:space="preserve">Der vorliegende Bericht stützt sich auf Informationen zu allen Aspekten der Durchführung der Regelung zur Ausfuhrgenehmigungspflicht, einschließlich statistischer Daten über die Verwendung von Genehmigungen, die von den Mitgliedstaaten in Beantwortung eines Fragebogens übermittelt wurden, sowie auf Gespräche mit dem Beratenden Ausschuss für Kulturgüter und der Expertengruppe für Zollfragen mit Bezug auf Kulturgüter. </w:t>
      </w:r>
    </w:p>
    <w:p w14:paraId="50183558" w14:textId="4C74B5BA" w:rsidR="005375AC" w:rsidRPr="00F60491" w:rsidRDefault="005375AC" w:rsidP="00823E2B">
      <w:pPr>
        <w:spacing w:after="160"/>
        <w:jc w:val="both"/>
        <w:rPr>
          <w:noProof/>
        </w:rPr>
      </w:pPr>
      <w:r>
        <w:rPr>
          <w:noProof/>
        </w:rPr>
        <w:t xml:space="preserve">Der Bericht erstreckt sich auf den Zeitraum bis </w:t>
      </w:r>
      <w:r w:rsidRPr="00D0022B">
        <w:rPr>
          <w:noProof/>
        </w:rPr>
        <w:t>31</w:t>
      </w:r>
      <w:r>
        <w:rPr>
          <w:noProof/>
        </w:rPr>
        <w:t xml:space="preserve">. Dezember </w:t>
      </w:r>
      <w:r w:rsidRPr="00D0022B">
        <w:rPr>
          <w:noProof/>
        </w:rPr>
        <w:t>2020</w:t>
      </w:r>
      <w:r>
        <w:rPr>
          <w:noProof/>
        </w:rPr>
        <w:t xml:space="preserve">, und die statistischen Daten aus den Mitgliedstaaten enthalten daher auch Daten aus dem Vereinigten Königreich. Seit dem </w:t>
      </w:r>
      <w:r w:rsidRPr="00D0022B">
        <w:rPr>
          <w:noProof/>
        </w:rPr>
        <w:t>1</w:t>
      </w:r>
      <w:r>
        <w:rPr>
          <w:noProof/>
        </w:rPr>
        <w:t xml:space="preserve">. Januar </w:t>
      </w:r>
      <w:r w:rsidRPr="00D0022B">
        <w:rPr>
          <w:noProof/>
        </w:rPr>
        <w:t>2021</w:t>
      </w:r>
      <w:r>
        <w:rPr>
          <w:noProof/>
        </w:rPr>
        <w:t xml:space="preserve"> ist das EU-Recht im Vereinigten Königreich nicht mehr anwendbar, außer in Bezug auf Nordirland. Daher werden Berichte, die zukünftige Zeiträume abdecken, nur Statistiken der </w:t>
      </w:r>
      <w:r w:rsidRPr="00D0022B">
        <w:rPr>
          <w:noProof/>
        </w:rPr>
        <w:t>27</w:t>
      </w:r>
      <w:r>
        <w:rPr>
          <w:noProof/>
        </w:rPr>
        <w:t> EU-Mitgliedstaaten und des Vereinigten Königreichs in Bezug auf Nordirland enthalten.</w:t>
      </w:r>
    </w:p>
    <w:p w14:paraId="2B6DDA32" w14:textId="77777777" w:rsidR="00D2684C" w:rsidRPr="000A656F" w:rsidRDefault="00D2684C" w:rsidP="0048262E">
      <w:pPr>
        <w:pStyle w:val="Heading1"/>
        <w:rPr>
          <w:noProof/>
        </w:rPr>
      </w:pPr>
      <w:bookmarkStart w:id="5" w:name="_Toc111153412"/>
      <w:r>
        <w:rPr>
          <w:noProof/>
        </w:rPr>
        <w:t>Kontext der Verordnung</w:t>
      </w:r>
      <w:bookmarkEnd w:id="5"/>
    </w:p>
    <w:p w14:paraId="30587420" w14:textId="77777777" w:rsidR="00D2684C" w:rsidRPr="00F93F16" w:rsidRDefault="00C0273F" w:rsidP="00F93F16">
      <w:pPr>
        <w:pStyle w:val="Heading2"/>
        <w:rPr>
          <w:noProof/>
        </w:rPr>
      </w:pPr>
      <w:bookmarkStart w:id="6" w:name="_Toc111153413"/>
      <w:r w:rsidRPr="00D0022B">
        <w:rPr>
          <w:noProof/>
        </w:rPr>
        <w:t>3</w:t>
      </w:r>
      <w:r>
        <w:rPr>
          <w:noProof/>
        </w:rPr>
        <w:t>.</w:t>
      </w:r>
      <w:r w:rsidRPr="00D0022B">
        <w:rPr>
          <w:noProof/>
        </w:rPr>
        <w:t>1</w:t>
      </w:r>
      <w:r>
        <w:rPr>
          <w:noProof/>
        </w:rPr>
        <w:t> Europäischer Kontext</w:t>
      </w:r>
      <w:bookmarkEnd w:id="6"/>
    </w:p>
    <w:p w14:paraId="4C6BBFCC" w14:textId="77777777" w:rsidR="001C754E" w:rsidRPr="00F60491" w:rsidRDefault="00D2684C" w:rsidP="00C0273F">
      <w:pPr>
        <w:pStyle w:val="Default"/>
        <w:spacing w:after="160"/>
        <w:jc w:val="both"/>
        <w:rPr>
          <w:noProof/>
        </w:rPr>
      </w:pPr>
      <w:r>
        <w:rPr>
          <w:noProof/>
        </w:rPr>
        <w:t>Die mit der Verordnung auf EU-Ebene eingeführte Regelung ergänzt andere Instrumente und Initiativen zum Schutz von Kulturgut. An erster Stelle ist hier die Richtlinie </w:t>
      </w:r>
      <w:r w:rsidRPr="00D0022B">
        <w:rPr>
          <w:noProof/>
        </w:rPr>
        <w:t>2014</w:t>
      </w:r>
      <w:r>
        <w:rPr>
          <w:noProof/>
        </w:rPr>
        <w:t>/</w:t>
      </w:r>
      <w:r w:rsidRPr="00D0022B">
        <w:rPr>
          <w:noProof/>
        </w:rPr>
        <w:t>60</w:t>
      </w:r>
      <w:r>
        <w:rPr>
          <w:noProof/>
        </w:rPr>
        <w:t>/EU über die Rückgabe von unrechtmäßig aus dem Hoheitsgebiet eines Mitgliedstaats verbrachten Kulturgütern</w:t>
      </w:r>
      <w:r>
        <w:rPr>
          <w:rStyle w:val="FootnoteReference"/>
          <w:noProof/>
        </w:rPr>
        <w:footnoteReference w:id="7"/>
      </w:r>
      <w:r>
        <w:rPr>
          <w:noProof/>
        </w:rPr>
        <w:t xml:space="preserve"> zu nennen. Diese Richtlinie regelt die Rückgabe kultureller Gegenstände, die von einem Mitgliedstaat als nationales Kulturgut von künstlerischem, geschichtlichem oder archäologischem Wert eingestuft wurden. Zu diesem Zweck müssen die zentralen Stellen, die in den Mitgliedstaaten für die Richtlinie zuständig sind, zusammenarbeiten und über das Binnenmarktinformationssystem („IMI“) Informationen über unrechtmäßig verbrachte Kulturgüter austauschen. </w:t>
      </w:r>
    </w:p>
    <w:p w14:paraId="5CA9DC95" w14:textId="77777777" w:rsidR="00CF5520" w:rsidRPr="00F60491" w:rsidRDefault="001C754E" w:rsidP="00C0273F">
      <w:pPr>
        <w:pStyle w:val="Default"/>
        <w:spacing w:after="160"/>
        <w:jc w:val="both"/>
        <w:rPr>
          <w:noProof/>
        </w:rPr>
      </w:pPr>
      <w:r>
        <w:rPr>
          <w:noProof/>
        </w:rPr>
        <w:t xml:space="preserve">Eine weitere wichtige Ergänzung der Verordnung ist die Verordnung (EU) </w:t>
      </w:r>
      <w:r w:rsidRPr="00D0022B">
        <w:rPr>
          <w:noProof/>
        </w:rPr>
        <w:t>2019</w:t>
      </w:r>
      <w:r>
        <w:rPr>
          <w:noProof/>
        </w:rPr>
        <w:t>/</w:t>
      </w:r>
      <w:r w:rsidRPr="00D0022B">
        <w:rPr>
          <w:noProof/>
        </w:rPr>
        <w:t>880</w:t>
      </w:r>
      <w:r>
        <w:rPr>
          <w:noProof/>
        </w:rPr>
        <w:t xml:space="preserve"> des Europäischen Parlaments und des Rates über das Verbringen und die Einfuhr von Kulturgütern</w:t>
      </w:r>
      <w:r>
        <w:rPr>
          <w:rStyle w:val="FootnoteReference"/>
          <w:noProof/>
        </w:rPr>
        <w:footnoteReference w:id="8"/>
      </w:r>
      <w:r>
        <w:rPr>
          <w:noProof/>
        </w:rPr>
        <w:t xml:space="preserve">. Dieses neue Instrument definiert die Vorschriften und Bedingungen für die vorübergehende oder dauerhafte Einfuhr von Kulturgütern in die Union, die in Drittländern geschaffen oder entdeckt wurden. Aufgrund ihres Bezugs zum Außenhandel beruhte die Typologie der Verordnung (EU) </w:t>
      </w:r>
      <w:r w:rsidRPr="00D0022B">
        <w:rPr>
          <w:noProof/>
        </w:rPr>
        <w:t>2019</w:t>
      </w:r>
      <w:r>
        <w:rPr>
          <w:noProof/>
        </w:rPr>
        <w:t>/</w:t>
      </w:r>
      <w:r w:rsidRPr="00D0022B">
        <w:rPr>
          <w:noProof/>
        </w:rPr>
        <w:t>880</w:t>
      </w:r>
      <w:r>
        <w:rPr>
          <w:noProof/>
        </w:rPr>
        <w:t xml:space="preserve"> in erster Linie auf dem UNESCO-Übereinkommen über Maßnahmen zum Verbot und zur Verhütung der unzulässigen Einfuhr, Ausfuhr und Übereignung von Kulturgut aus dem Jahr </w:t>
      </w:r>
      <w:r w:rsidRPr="00D0022B">
        <w:rPr>
          <w:noProof/>
        </w:rPr>
        <w:t>1970</w:t>
      </w:r>
      <w:r>
        <w:rPr>
          <w:rStyle w:val="FootnoteReference"/>
          <w:noProof/>
        </w:rPr>
        <w:footnoteReference w:id="9"/>
      </w:r>
      <w:r>
        <w:rPr>
          <w:noProof/>
        </w:rPr>
        <w:t xml:space="preserve">. </w:t>
      </w:r>
    </w:p>
    <w:p w14:paraId="7B803A69" w14:textId="77777777" w:rsidR="001C754E" w:rsidRPr="00F60491" w:rsidRDefault="00C648DA" w:rsidP="00C0273F">
      <w:pPr>
        <w:pStyle w:val="Default"/>
        <w:spacing w:after="160"/>
        <w:jc w:val="both"/>
        <w:rPr>
          <w:noProof/>
        </w:rPr>
      </w:pPr>
      <w:r>
        <w:rPr>
          <w:noProof/>
        </w:rPr>
        <w:t>Die Einfuhrverordnung wurde kürzlich durch den Erlass von Durchführungsbestimmungen</w:t>
      </w:r>
      <w:r>
        <w:rPr>
          <w:rStyle w:val="FootnoteReference"/>
          <w:noProof/>
        </w:rPr>
        <w:footnoteReference w:id="10"/>
      </w:r>
      <w:r>
        <w:rPr>
          <w:noProof/>
        </w:rPr>
        <w:t xml:space="preserve"> mit Einzelheiten zu Einfuhrgenehmigungen und Erklärungen der Einführer sowie der Entwicklung, dem Betrieb, der Instandhaltung und der Verwendung eines zentralen elektronischen Systems („EKG-System“) für die Speicherung und den Austausch von Informationen zwischen den Behörden der Mitgliedstaaten und die Erledigung der Formalitäten durch die Wirtschaftsbeteiligten in einer papierlosen Umgebung ergänzt. Das EKG-System soll spätestens am </w:t>
      </w:r>
      <w:r w:rsidRPr="00D0022B">
        <w:rPr>
          <w:noProof/>
        </w:rPr>
        <w:t>28</w:t>
      </w:r>
      <w:r>
        <w:rPr>
          <w:noProof/>
        </w:rPr>
        <w:t xml:space="preserve">. Juni </w:t>
      </w:r>
      <w:r w:rsidRPr="00D0022B">
        <w:rPr>
          <w:noProof/>
        </w:rPr>
        <w:t>2025</w:t>
      </w:r>
      <w:r>
        <w:rPr>
          <w:noProof/>
        </w:rPr>
        <w:t xml:space="preserve"> einsatzbereit sein.</w:t>
      </w:r>
    </w:p>
    <w:p w14:paraId="014DB8C6" w14:textId="77777777" w:rsidR="00EF74AD" w:rsidRPr="00F60491" w:rsidRDefault="001C754E" w:rsidP="00C0273F">
      <w:pPr>
        <w:autoSpaceDE w:val="0"/>
        <w:autoSpaceDN w:val="0"/>
        <w:adjustRightInd w:val="0"/>
        <w:spacing w:after="160"/>
        <w:jc w:val="both"/>
        <w:rPr>
          <w:noProof/>
        </w:rPr>
      </w:pPr>
      <w:r>
        <w:rPr>
          <w:noProof/>
        </w:rPr>
        <w:t>Und schließlich untersagen zwei Ad-hoc-Maßnahmen der Union, die Verordnung (EG) Nr. </w:t>
      </w:r>
      <w:r w:rsidRPr="00D0022B">
        <w:rPr>
          <w:noProof/>
        </w:rPr>
        <w:t>1210</w:t>
      </w:r>
      <w:r>
        <w:rPr>
          <w:noProof/>
        </w:rPr>
        <w:t>/</w:t>
      </w:r>
      <w:r w:rsidRPr="00D0022B">
        <w:rPr>
          <w:noProof/>
        </w:rPr>
        <w:t>2003</w:t>
      </w:r>
      <w:r>
        <w:rPr>
          <w:rStyle w:val="FootnoteReference"/>
          <w:noProof/>
        </w:rPr>
        <w:footnoteReference w:id="11"/>
      </w:r>
      <w:r>
        <w:rPr>
          <w:noProof/>
        </w:rPr>
        <w:t xml:space="preserve"> und die Verordnung (EU) Nr. </w:t>
      </w:r>
      <w:r w:rsidRPr="00D0022B">
        <w:rPr>
          <w:noProof/>
        </w:rPr>
        <w:t>36</w:t>
      </w:r>
      <w:r>
        <w:rPr>
          <w:noProof/>
        </w:rPr>
        <w:t>/</w:t>
      </w:r>
      <w:r w:rsidRPr="00D0022B">
        <w:rPr>
          <w:noProof/>
        </w:rPr>
        <w:t>2012</w:t>
      </w:r>
      <w:r>
        <w:rPr>
          <w:rStyle w:val="FootnoteReference"/>
          <w:noProof/>
        </w:rPr>
        <w:footnoteReference w:id="12"/>
      </w:r>
      <w:r>
        <w:rPr>
          <w:noProof/>
        </w:rPr>
        <w:t>, den Kulturgüterhandel mit Irak und Syrien.</w:t>
      </w:r>
    </w:p>
    <w:p w14:paraId="1DB62354" w14:textId="77777777" w:rsidR="00730273" w:rsidRPr="000A656F" w:rsidRDefault="00730273" w:rsidP="00823E2B">
      <w:pPr>
        <w:pStyle w:val="Heading2"/>
        <w:rPr>
          <w:noProof/>
        </w:rPr>
      </w:pPr>
      <w:bookmarkStart w:id="7" w:name="_Toc111153414"/>
      <w:r w:rsidRPr="00D0022B">
        <w:rPr>
          <w:noProof/>
        </w:rPr>
        <w:t>3</w:t>
      </w:r>
      <w:r>
        <w:rPr>
          <w:noProof/>
        </w:rPr>
        <w:t>.</w:t>
      </w:r>
      <w:r w:rsidRPr="00D0022B">
        <w:rPr>
          <w:noProof/>
        </w:rPr>
        <w:t>2</w:t>
      </w:r>
      <w:r>
        <w:rPr>
          <w:noProof/>
        </w:rPr>
        <w:t> Internationaler Kontext</w:t>
      </w:r>
      <w:bookmarkEnd w:id="7"/>
      <w:r>
        <w:rPr>
          <w:noProof/>
        </w:rPr>
        <w:t xml:space="preserve"> </w:t>
      </w:r>
    </w:p>
    <w:p w14:paraId="6F76051C" w14:textId="77777777" w:rsidR="00D2684C" w:rsidRPr="00F60491" w:rsidRDefault="00730273" w:rsidP="00C0273F">
      <w:pPr>
        <w:autoSpaceDE w:val="0"/>
        <w:autoSpaceDN w:val="0"/>
        <w:adjustRightInd w:val="0"/>
        <w:spacing w:after="160"/>
        <w:jc w:val="both"/>
        <w:rPr>
          <w:noProof/>
        </w:rPr>
      </w:pPr>
      <w:r>
        <w:rPr>
          <w:noProof/>
        </w:rPr>
        <w:t>Auf internationaler Ebene stellt das UNESCO-Übereinkommen über Maßnahmen zum Verbot und zur Verhütung der unzulässigen Einfuhr, Ausfuhr und Übereignung von Kulturgut aus dem Jahr </w:t>
      </w:r>
      <w:r w:rsidRPr="00D0022B">
        <w:rPr>
          <w:noProof/>
        </w:rPr>
        <w:t>1970</w:t>
      </w:r>
      <w:r>
        <w:rPr>
          <w:noProof/>
        </w:rPr>
        <w:t xml:space="preserve"> das wichtigste Instrument für die Ausfuhr von Kulturgütern dar. Bislang sind </w:t>
      </w:r>
      <w:r w:rsidRPr="00D0022B">
        <w:rPr>
          <w:noProof/>
        </w:rPr>
        <w:t>141</w:t>
      </w:r>
      <w:r>
        <w:rPr>
          <w:noProof/>
        </w:rPr>
        <w:t xml:space="preserve"> Staaten dem Übereinkommen beigetreten, und </w:t>
      </w:r>
      <w:r w:rsidRPr="00D0022B">
        <w:rPr>
          <w:noProof/>
        </w:rPr>
        <w:t>26</w:t>
      </w:r>
      <w:r>
        <w:rPr>
          <w:noProof/>
        </w:rPr>
        <w:t> EU-Mitgliedstaaten haben es ratifiziert.</w:t>
      </w:r>
    </w:p>
    <w:p w14:paraId="1DAF0656" w14:textId="77777777" w:rsidR="00730273" w:rsidRPr="000A656F" w:rsidRDefault="00730273" w:rsidP="0048262E">
      <w:pPr>
        <w:pStyle w:val="Heading1"/>
        <w:rPr>
          <w:noProof/>
        </w:rPr>
      </w:pPr>
      <w:bookmarkStart w:id="8" w:name="_Toc111153415"/>
      <w:r>
        <w:rPr>
          <w:noProof/>
        </w:rPr>
        <w:t>Durchführung der Verordnung</w:t>
      </w:r>
      <w:bookmarkEnd w:id="8"/>
    </w:p>
    <w:p w14:paraId="5E92D68D" w14:textId="77777777" w:rsidR="00730273" w:rsidRPr="000A656F" w:rsidRDefault="00730273" w:rsidP="00823E2B">
      <w:pPr>
        <w:pStyle w:val="Heading2"/>
        <w:rPr>
          <w:noProof/>
        </w:rPr>
      </w:pPr>
      <w:bookmarkStart w:id="9" w:name="_Toc111153416"/>
      <w:r w:rsidRPr="00D0022B">
        <w:rPr>
          <w:noProof/>
        </w:rPr>
        <w:t>4</w:t>
      </w:r>
      <w:r>
        <w:rPr>
          <w:noProof/>
        </w:rPr>
        <w:t>.</w:t>
      </w:r>
      <w:r w:rsidRPr="00D0022B">
        <w:rPr>
          <w:noProof/>
        </w:rPr>
        <w:t>1</w:t>
      </w:r>
      <w:r>
        <w:rPr>
          <w:noProof/>
        </w:rPr>
        <w:t> Ziele und Erfolg</w:t>
      </w:r>
      <w:bookmarkEnd w:id="9"/>
      <w:r>
        <w:rPr>
          <w:noProof/>
        </w:rPr>
        <w:t xml:space="preserve"> </w:t>
      </w:r>
    </w:p>
    <w:p w14:paraId="423DB9BC" w14:textId="77777777" w:rsidR="00730273" w:rsidRPr="00F60491" w:rsidRDefault="00730273" w:rsidP="00C0273F">
      <w:pPr>
        <w:pStyle w:val="Default"/>
        <w:spacing w:after="160"/>
        <w:jc w:val="both"/>
        <w:rPr>
          <w:noProof/>
        </w:rPr>
      </w:pPr>
      <w:r>
        <w:rPr>
          <w:noProof/>
        </w:rPr>
        <w:t xml:space="preserve">Nach Einschätzung der Mitgliedstaaten wurden die Ziele der Verordnung im Großen und Ganzen erreicht. In manchen Bereichen wurde jedoch auch Verbesserungsbedarf festgestellt. </w:t>
      </w:r>
    </w:p>
    <w:p w14:paraId="550B4B52" w14:textId="77777777" w:rsidR="00745B07" w:rsidRPr="00F60491" w:rsidRDefault="00730273" w:rsidP="00C0273F">
      <w:pPr>
        <w:pStyle w:val="Default"/>
        <w:spacing w:after="160"/>
        <w:jc w:val="both"/>
        <w:rPr>
          <w:noProof/>
        </w:rPr>
      </w:pPr>
      <w:r>
        <w:rPr>
          <w:noProof/>
        </w:rPr>
        <w:t>Insbesondere bei der Bekämpfung des illegalen Handels mit Kulturgütern wurden dank der Verordnung gute Erfolge erzielt.</w:t>
      </w:r>
      <w:r>
        <w:rPr>
          <w:rFonts w:ascii="Calibri" w:hAnsi="Calibri"/>
          <w:noProof/>
        </w:rPr>
        <w:t xml:space="preserve"> </w:t>
      </w:r>
      <w:r>
        <w:rPr>
          <w:noProof/>
        </w:rPr>
        <w:t xml:space="preserve">Wie ein Mitgliedstaat berichtete, war eine wichtige Auswirkung der Verordnung das wachsende Bewusstsein bei Kulturerbe-Einrichtungen sowie beim legitimen Kunsthandel und bei Sammlern für die Bedeutung ausreichender Herkunftsinformationen vor dem Erwerb oder dem Inverkehrbringen eines Kulturguts. Objekte, die ohne EU-Ausfuhrgenehmigung ausgeführt wurden, obwohl diese erforderlich war, erleiden Marktwertverluste und sind über den legalen Kunsthandel schwieriger zu verkaufen. </w:t>
      </w:r>
    </w:p>
    <w:p w14:paraId="2D556374" w14:textId="3F0F437F" w:rsidR="00745B07" w:rsidRPr="00F60491" w:rsidRDefault="002F55C9" w:rsidP="00C0273F">
      <w:pPr>
        <w:pStyle w:val="Default"/>
        <w:spacing w:after="160"/>
        <w:jc w:val="both"/>
        <w:rPr>
          <w:noProof/>
        </w:rPr>
      </w:pPr>
      <w:r>
        <w:rPr>
          <w:noProof/>
        </w:rPr>
        <w:t xml:space="preserve">Nach Angaben desselben Mitgliedstaats zeigt sich der legale Kunstmarkt nach wie vor reserviert, wenn es darum geht, den zuständigen Behörden vollständige Informationen zur Herkunft von Kulturgütern bereitzustellen, die zuvor an den Antragsteller für eine Ausfuhrgenehmigung verkauft wurden. </w:t>
      </w:r>
    </w:p>
    <w:p w14:paraId="3FD52ABD" w14:textId="77777777" w:rsidR="002F55C9" w:rsidRPr="00F60491" w:rsidRDefault="00657A99" w:rsidP="00C0273F">
      <w:pPr>
        <w:pStyle w:val="Default"/>
        <w:spacing w:after="160"/>
        <w:jc w:val="both"/>
        <w:rPr>
          <w:noProof/>
        </w:rPr>
      </w:pPr>
      <w:r>
        <w:rPr>
          <w:noProof/>
        </w:rPr>
        <w:t xml:space="preserve">Einige Mitgliedstaaten weisen darauf hin, dass ihre nationalen Rechtsvorschriften zum nationalen Kulturerbe einen weiteren Anwendungsbereich als die Verordnung haben und daher bestimmte Arten von Kulturgütern ungeschützt lassen. Dazu muss erklärt werden, dass der sachliche Anwendungsbereich der Verordnung zwar seinerzeit als gemeinsamer Nenner nationaler Vorschriften konzipiert wurde und möglicherweise enger gefasst ist als die Palette geschützter Güter bestimmter Mitgliedstaaten, die Verordnung jedoch einen zusätzlichen Schutz für Kulturgüter bietet, den die nationalen Rechtsordnungen nicht erzielen können. </w:t>
      </w:r>
    </w:p>
    <w:p w14:paraId="6FD56714" w14:textId="0EA15695" w:rsidR="00092182" w:rsidRPr="00F60491" w:rsidRDefault="00657A99" w:rsidP="00C0273F">
      <w:pPr>
        <w:pStyle w:val="Default"/>
        <w:spacing w:after="160"/>
        <w:jc w:val="both"/>
        <w:rPr>
          <w:noProof/>
        </w:rPr>
      </w:pPr>
      <w:r>
        <w:rPr>
          <w:noProof/>
        </w:rPr>
        <w:t>Da es nämlich in der Union keine Binnengrenzen gibt, können Güter das Gebiet eines Mitgliedstaats trotz nationaler Verbote verlassen und über das Gebiet eines anderen Mitgliedstaats, in dem die Verbote des ersten Mitgliedstaats nicht greifen, rechtmäßig aus der Union ausgeführt werden. Vor diesem Hintergrund können die nationalen Kulturerbevorschriften eines Mitgliedstaats, auch wenn ihr sachlicher Anwendungsbereich in bestimmten Fällen umfassender sein mag, die Kulturgüter, die aus dem Hoheitsgebiet dieses Mitgliedstaats verbracht werden, nicht so schützen, wie es die Verordnung kann.</w:t>
      </w:r>
    </w:p>
    <w:p w14:paraId="68E062F9" w14:textId="77777777" w:rsidR="00092182" w:rsidRPr="00F60491" w:rsidRDefault="00850A60" w:rsidP="00C0273F">
      <w:pPr>
        <w:pStyle w:val="Default"/>
        <w:spacing w:after="160"/>
        <w:jc w:val="both"/>
        <w:rPr>
          <w:noProof/>
        </w:rPr>
      </w:pPr>
      <w:r>
        <w:rPr>
          <w:noProof/>
        </w:rPr>
        <w:t>Zu einem damit zusammenhängenden Thema äußerten einige Mitgliedstaaten die Meinung, dass die Verordnung die Einheitlichkeit der Vorschriften zum Schutz des kulturellen Erbes in der gesamten Union nicht ausreichend gewährleistet. Ob eine Ausfuhrgenehmigung erteilt wird oder nicht, wird auf der Grundlage der innerstaatlichen Rechtsvorschriften entschieden. In diesem Sinne kann die Ausfuhr von Kulturgütern, die zu einer bestimmten Kategorie von Anhang I gehören, in Mitgliedstaat A erlaubt sein – also würde die Genehmigung dort erteilt – aber nicht in Mitgliedstaat B, wo die Genehmigung verweigert würde. Dies ist normal und kann nicht geändert werden, da kulturelle Angelegenheiten in die ausschließliche Zuständigkeit der Mitgliedstaaten fallen. Die Union ist folglich nicht in der Lage, die entsprechenden Bestimmungen zu harmonisieren und den Mitgliedstaaten vorzuschreiben, welche Kulturgüter sie als „</w:t>
      </w:r>
      <w:r>
        <w:rPr>
          <w:i/>
          <w:noProof/>
        </w:rPr>
        <w:t>nationales Kulturgut von künstlerischem, geschichtlichem oder archäologischem Wert</w:t>
      </w:r>
      <w:r>
        <w:rPr>
          <w:noProof/>
        </w:rPr>
        <w:t>“</w:t>
      </w:r>
      <w:r>
        <w:rPr>
          <w:rStyle w:val="FootnoteReference"/>
          <w:noProof/>
        </w:rPr>
        <w:footnoteReference w:id="13"/>
      </w:r>
      <w:r>
        <w:rPr>
          <w:noProof/>
        </w:rPr>
        <w:t xml:space="preserve"> einstufen müssen. </w:t>
      </w:r>
    </w:p>
    <w:p w14:paraId="0341DC47" w14:textId="77777777" w:rsidR="00657A99" w:rsidRPr="00F60491" w:rsidRDefault="00657A99" w:rsidP="00C0273F">
      <w:pPr>
        <w:pStyle w:val="Default"/>
        <w:spacing w:after="160"/>
        <w:jc w:val="both"/>
        <w:rPr>
          <w:noProof/>
        </w:rPr>
      </w:pPr>
      <w:r>
        <w:rPr>
          <w:noProof/>
        </w:rPr>
        <w:t>Auch die Frage der Wertgruppen wurde von einer Reihe von Mitgliedstaaten als potenzielles Mittel zur Verbesserung der Wirksamkeit der Verordnung erwähnt (</w:t>
      </w:r>
      <w:r>
        <w:rPr>
          <w:i/>
          <w:noProof/>
        </w:rPr>
        <w:t>siehe</w:t>
      </w:r>
      <w:r>
        <w:rPr>
          <w:noProof/>
        </w:rPr>
        <w:t xml:space="preserve"> dazu Abschnitt </w:t>
      </w:r>
      <w:r w:rsidRPr="00D0022B">
        <w:rPr>
          <w:noProof/>
        </w:rPr>
        <w:t>4</w:t>
      </w:r>
      <w:r>
        <w:rPr>
          <w:noProof/>
        </w:rPr>
        <w:t>.</w:t>
      </w:r>
      <w:r w:rsidRPr="00D0022B">
        <w:rPr>
          <w:noProof/>
        </w:rPr>
        <w:t>4</w:t>
      </w:r>
      <w:r>
        <w:rPr>
          <w:noProof/>
        </w:rPr>
        <w:t>).</w:t>
      </w:r>
    </w:p>
    <w:p w14:paraId="08498E35" w14:textId="203CE58A" w:rsidR="008F5258" w:rsidRDefault="006741E9" w:rsidP="00C0273F">
      <w:pPr>
        <w:pStyle w:val="Default"/>
        <w:spacing w:after="160"/>
        <w:jc w:val="both"/>
        <w:rPr>
          <w:noProof/>
        </w:rPr>
      </w:pPr>
      <w:r>
        <w:rPr>
          <w:noProof/>
        </w:rPr>
        <w:t xml:space="preserve">Diesbezüglich weisen die Mitgliedstaaten erneut darauf hin, dass mehr Informationen über die nationale Gesetzgebung zum Schutz des kulturellen Erbes der jeweils anderen Länder notwendig sind, damit die für die Erteilung von Genehmigungen zuständigen Behörden den illegalen Handel wirkungsvoller bekämpfen können. Hierzu muss bemerkt werden, dass die Rechtsvorschriften einiger Mitgliedstaaten nicht online verfügbar sind, weshalb die Kommissionsdienststellen bisher nicht in der Lage waren, ein Online-Kompendium mit Hyperlinks zu diesen Rechtsvorschriften zur Verwendung durch die Behörden anderer Mitgliedstaaten und für Ausführer zu erarbeiten. </w:t>
      </w:r>
    </w:p>
    <w:p w14:paraId="10AC3FE6" w14:textId="70B26191" w:rsidR="00730273" w:rsidRPr="00F60491" w:rsidRDefault="00190A4C" w:rsidP="00C0273F">
      <w:pPr>
        <w:pStyle w:val="Default"/>
        <w:spacing w:after="160"/>
        <w:jc w:val="both"/>
        <w:rPr>
          <w:noProof/>
        </w:rPr>
      </w:pPr>
      <w:r>
        <w:rPr>
          <w:noProof/>
        </w:rPr>
        <w:t>Im Rahmen des künftigen Ausbaus des EKG-Systems, mit dem auch die Ausfuhrgenehmigungen gemäß der Verordnung (EG) Nr. </w:t>
      </w:r>
      <w:r w:rsidRPr="00D0022B">
        <w:rPr>
          <w:noProof/>
        </w:rPr>
        <w:t>116</w:t>
      </w:r>
      <w:r>
        <w:rPr>
          <w:noProof/>
        </w:rPr>
        <w:t>/</w:t>
      </w:r>
      <w:r w:rsidRPr="00D0022B">
        <w:rPr>
          <w:noProof/>
        </w:rPr>
        <w:t>2009</w:t>
      </w:r>
      <w:r>
        <w:rPr>
          <w:noProof/>
        </w:rPr>
        <w:t xml:space="preserve"> digitalisiert werden, könnte ein Kompendium mit grundlegenden Informationen zu den nationalen Bestimmungen der Mitgliedstaaten hinzugefügt werden, wie es auch für die Rechtsvorschriften von Drittländern geplant ist. In der Zwischenzeit könnten die Kommissionsdienststellen versuchen, die Kulturgüter-Webseite auf dem Europa-Server um Informationen über die Rechtsvorschriften der Mitgliedstaaten zu ergänzen (und, falls diese nicht online auf nationaler Ebene veröffentlicht sind, eine PDF-Datei mit dem Gesetzestext bereitstellen).</w:t>
      </w:r>
    </w:p>
    <w:p w14:paraId="3B1C2590" w14:textId="77777777" w:rsidR="001C754E" w:rsidRPr="00F60491" w:rsidRDefault="00730273" w:rsidP="00C0273F">
      <w:pPr>
        <w:pStyle w:val="Default"/>
        <w:spacing w:after="160"/>
        <w:jc w:val="both"/>
        <w:rPr>
          <w:noProof/>
        </w:rPr>
      </w:pPr>
      <w:r>
        <w:rPr>
          <w:noProof/>
        </w:rPr>
        <w:t>Im Interesse eines größeren Gesamterfolgs der Verordnung sollte nach Ansicht der Mitgliedstaaten auch genauer definiert werden, wie der Ausdruck, dass sich ein Kulturgut dort „rechtmäßig und endgültig befunden“ hat, bei der Bestimmung des für die Erteilung der Ausfuhrgenehmigung zuständigen Mitgliedstaats auszulegen ist.</w:t>
      </w:r>
      <w:r>
        <w:rPr>
          <w:rStyle w:val="FootnoteReference"/>
          <w:noProof/>
        </w:rPr>
        <w:footnoteReference w:id="14"/>
      </w:r>
      <w:r>
        <w:rPr>
          <w:noProof/>
        </w:rPr>
        <w:t xml:space="preserve"> Auf diese Weise könnte verhindert werden, dass skrupellose Händler ein Kulturgut vorübergehend in einen anderen Mitgliedstaat verbringen, wo es nicht als nationales Kulturgut geschützt ist, nur um dort eine Ausfuhrgenehmigung zu beantragen. Da es bisher keine einschlägige Rechtsprechung des Gerichtshofs der Europäischen Union</w:t>
      </w:r>
      <w:r>
        <w:rPr>
          <w:rStyle w:val="FootnoteReference"/>
          <w:noProof/>
        </w:rPr>
        <w:footnoteReference w:id="15"/>
      </w:r>
      <w:r>
        <w:rPr>
          <w:noProof/>
        </w:rPr>
        <w:t xml:space="preserve"> gibt, der für die maßgebliche Auslegung dieser Begriffe allein zuständig ist, werden sie von den Behörden und Interessenträgern weiterhin unterschiedlich gedeutet und angewendet.</w:t>
      </w:r>
    </w:p>
    <w:p w14:paraId="6C4FE88C" w14:textId="77777777" w:rsidR="00130A15" w:rsidRDefault="0002188C" w:rsidP="00C0273F">
      <w:pPr>
        <w:pStyle w:val="Default"/>
        <w:spacing w:after="160"/>
        <w:jc w:val="both"/>
        <w:rPr>
          <w:noProof/>
        </w:rPr>
      </w:pPr>
      <w:r>
        <w:rPr>
          <w:noProof/>
        </w:rPr>
        <w:t xml:space="preserve">Die Projektgruppe, die </w:t>
      </w:r>
      <w:r w:rsidRPr="00D0022B">
        <w:rPr>
          <w:noProof/>
        </w:rPr>
        <w:t>2017</w:t>
      </w:r>
      <w:r>
        <w:rPr>
          <w:noProof/>
        </w:rPr>
        <w:t xml:space="preserve"> mit dem Ziel eingerichtet wurde, die Arbeitsmethoden der Mitgliedstaaten zur Überprüfung der Herkunft von Kulturgütern zu untersuchen, bewährte Verfahren zu ermitteln und praktische Empfehlungen für die Erteilung von Genehmigungen und die Zollkontrolle zu erarbeiten, hat </w:t>
      </w:r>
      <w:r w:rsidRPr="00D0022B">
        <w:rPr>
          <w:noProof/>
        </w:rPr>
        <w:t>2020</w:t>
      </w:r>
      <w:r>
        <w:rPr>
          <w:noProof/>
        </w:rPr>
        <w:t xml:space="preserve"> ihre Arbeit erfolgreich abgeschlossen und der Expertengruppe für Zollfragen mit Bezug auf Kulturgüter ihren Bericht zusammen mit Orientierungshilfen vorgelegt. </w:t>
      </w:r>
    </w:p>
    <w:p w14:paraId="41D9C8F9" w14:textId="641972FA" w:rsidR="00523ED8" w:rsidRPr="00F60491" w:rsidRDefault="008F5258" w:rsidP="00C0273F">
      <w:pPr>
        <w:pStyle w:val="Default"/>
        <w:spacing w:after="160"/>
        <w:jc w:val="both"/>
        <w:rPr>
          <w:noProof/>
        </w:rPr>
      </w:pPr>
      <w:r>
        <w:rPr>
          <w:noProof/>
        </w:rPr>
        <w:t>Im Rahmen ihrer Untersuchungen versuchte die Gruppe, den Begriff der „Herkunft“ zu definieren, d. h. die einzelnen Angaben, die eine zuständige Behörde von einem Antragsteller über den auszuführenden Gegenstand anfordern sollte, um über die Erteilung einer Genehmigung zu entscheiden. In diesem Zusammenhang kam die Gruppe zu dem Schluss, dass die Herkunft eines Kulturguts definiert werden kann als „die Geschichte und die Besitzverhältnisse eines Gegenstands vom Zeitpunkt seiner Entdeckung oder Schöpfung bis in die Gegenwart, wodurch Echtheit und Eigentumsansprüche festgestellt werden“.</w:t>
      </w:r>
    </w:p>
    <w:p w14:paraId="5AFFD31E" w14:textId="77777777" w:rsidR="00730273" w:rsidRPr="000A656F" w:rsidRDefault="00730273" w:rsidP="00823E2B">
      <w:pPr>
        <w:pStyle w:val="Heading2"/>
        <w:rPr>
          <w:noProof/>
        </w:rPr>
      </w:pPr>
      <w:bookmarkStart w:id="10" w:name="_Toc111153417"/>
      <w:r w:rsidRPr="00D0022B">
        <w:rPr>
          <w:noProof/>
        </w:rPr>
        <w:t>4</w:t>
      </w:r>
      <w:r>
        <w:rPr>
          <w:noProof/>
        </w:rPr>
        <w:t>.</w:t>
      </w:r>
      <w:r w:rsidRPr="00D0022B">
        <w:rPr>
          <w:noProof/>
        </w:rPr>
        <w:t>2</w:t>
      </w:r>
      <w:r>
        <w:rPr>
          <w:noProof/>
        </w:rPr>
        <w:t> Bestimmung des Begriffs „Kulturgut“</w:t>
      </w:r>
      <w:bookmarkEnd w:id="10"/>
      <w:r>
        <w:rPr>
          <w:noProof/>
        </w:rPr>
        <w:t xml:space="preserve"> </w:t>
      </w:r>
    </w:p>
    <w:p w14:paraId="23531DDC" w14:textId="77777777" w:rsidR="00730273" w:rsidRPr="00F60491" w:rsidRDefault="00730273" w:rsidP="00C0273F">
      <w:pPr>
        <w:pStyle w:val="Default"/>
        <w:spacing w:after="160"/>
        <w:jc w:val="both"/>
        <w:rPr>
          <w:noProof/>
        </w:rPr>
      </w:pPr>
      <w:r>
        <w:rPr>
          <w:noProof/>
        </w:rPr>
        <w:t xml:space="preserve">Der Begriff „Kulturgut“ wird in der Verordnung nicht definiert. Stattdessen werden in Anhang I </w:t>
      </w:r>
      <w:r w:rsidRPr="00D0022B">
        <w:rPr>
          <w:noProof/>
        </w:rPr>
        <w:t>15</w:t>
      </w:r>
      <w:r>
        <w:rPr>
          <w:noProof/>
        </w:rPr>
        <w:t xml:space="preserve"> Kategorien von Gütern aufgeführt, die unter diesen Begriff fallen. Für die meisten dieser Kategorien werden ein Mindestalter und ein Mindestwert angegeben. Anhang I wird gemeinhin als angemessener Rahmen erachtet. </w:t>
      </w:r>
    </w:p>
    <w:p w14:paraId="46AD5358" w14:textId="77777777" w:rsidR="005B4CBA" w:rsidRPr="00F60491" w:rsidRDefault="00730273" w:rsidP="00C0273F">
      <w:pPr>
        <w:pStyle w:val="Default"/>
        <w:spacing w:after="160"/>
        <w:jc w:val="both"/>
        <w:rPr>
          <w:noProof/>
        </w:rPr>
      </w:pPr>
      <w:r>
        <w:rPr>
          <w:noProof/>
        </w:rPr>
        <w:t>Im Hinblick auf den genauen Gegenstand der in Anhang I aufgeführten Kategorien erwies sich die einheitliche Auslegung des Geltungsbereichs durch die Mitgliedstaaten bei einigen Arten von Kulturgütern – wie bereits in früheren Berichten – auch den Erkenntnissen dieser Konsultationsrunde zufolge als besonders schwierig, nämlich:</w:t>
      </w:r>
    </w:p>
    <w:p w14:paraId="02632952" w14:textId="77777777" w:rsidR="005B4CBA" w:rsidRPr="00F60491" w:rsidRDefault="00B90DE9" w:rsidP="00414031">
      <w:pPr>
        <w:pStyle w:val="Default"/>
        <w:numPr>
          <w:ilvl w:val="0"/>
          <w:numId w:val="3"/>
        </w:numPr>
        <w:ind w:left="851"/>
        <w:jc w:val="both"/>
        <w:rPr>
          <w:noProof/>
        </w:rPr>
      </w:pPr>
      <w:r>
        <w:rPr>
          <w:noProof/>
        </w:rPr>
        <w:t xml:space="preserve">bei alten Münzen, </w:t>
      </w:r>
    </w:p>
    <w:p w14:paraId="3134D3CE" w14:textId="77777777" w:rsidR="005B4CBA" w:rsidRPr="00F60491" w:rsidRDefault="00730273" w:rsidP="00414031">
      <w:pPr>
        <w:pStyle w:val="Default"/>
        <w:numPr>
          <w:ilvl w:val="0"/>
          <w:numId w:val="3"/>
        </w:numPr>
        <w:ind w:left="851"/>
        <w:jc w:val="both"/>
        <w:rPr>
          <w:noProof/>
        </w:rPr>
      </w:pPr>
      <w:r>
        <w:rPr>
          <w:noProof/>
        </w:rPr>
        <w:t>bei Sammlungen der Kategorie </w:t>
      </w:r>
      <w:r w:rsidRPr="00D0022B">
        <w:rPr>
          <w:noProof/>
        </w:rPr>
        <w:t>13</w:t>
      </w:r>
      <w:r>
        <w:rPr>
          <w:noProof/>
        </w:rPr>
        <w:t xml:space="preserve">.b) im Gegensatz zu Einzelexemplaren, </w:t>
      </w:r>
    </w:p>
    <w:p w14:paraId="52AE5556" w14:textId="77777777" w:rsidR="005B4CBA" w:rsidRPr="00F60491" w:rsidRDefault="00730273" w:rsidP="00414031">
      <w:pPr>
        <w:pStyle w:val="Default"/>
        <w:numPr>
          <w:ilvl w:val="0"/>
          <w:numId w:val="3"/>
        </w:numPr>
        <w:ind w:left="851"/>
        <w:jc w:val="both"/>
        <w:rPr>
          <w:noProof/>
        </w:rPr>
      </w:pPr>
      <w:r>
        <w:rPr>
          <w:noProof/>
        </w:rPr>
        <w:t>bei der Einstufung liturgischer Ikonen als Gemälde oder als Bestandteile von Denkmälern</w:t>
      </w:r>
      <w:r>
        <w:rPr>
          <w:rStyle w:val="FootnoteReference"/>
          <w:noProof/>
        </w:rPr>
        <w:footnoteReference w:id="16"/>
      </w:r>
      <w:r>
        <w:rPr>
          <w:noProof/>
        </w:rPr>
        <w:t xml:space="preserve">, </w:t>
      </w:r>
    </w:p>
    <w:p w14:paraId="050CAA60" w14:textId="77777777" w:rsidR="00AA55C4" w:rsidRPr="00414031" w:rsidRDefault="00730273" w:rsidP="00414031">
      <w:pPr>
        <w:pStyle w:val="Default"/>
        <w:numPr>
          <w:ilvl w:val="0"/>
          <w:numId w:val="3"/>
        </w:numPr>
        <w:ind w:left="851"/>
        <w:jc w:val="both"/>
        <w:rPr>
          <w:noProof/>
        </w:rPr>
      </w:pPr>
      <w:r>
        <w:rPr>
          <w:noProof/>
        </w:rPr>
        <w:t>bei der Frage, ob die Aufzählung bestimmter Arten von Gütern in der Kategorie </w:t>
      </w:r>
      <w:r w:rsidRPr="00D0022B">
        <w:rPr>
          <w:noProof/>
        </w:rPr>
        <w:t>15</w:t>
      </w:r>
      <w:r>
        <w:rPr>
          <w:noProof/>
        </w:rPr>
        <w:t>.a) vollständig oder indikativ ist, und</w:t>
      </w:r>
    </w:p>
    <w:p w14:paraId="51F0C817" w14:textId="77777777" w:rsidR="00730273" w:rsidRPr="00414031" w:rsidRDefault="003953BF" w:rsidP="00414031">
      <w:pPr>
        <w:pStyle w:val="Default"/>
        <w:numPr>
          <w:ilvl w:val="0"/>
          <w:numId w:val="3"/>
        </w:numPr>
        <w:spacing w:after="160"/>
        <w:ind w:left="850" w:hanging="357"/>
        <w:jc w:val="both"/>
        <w:rPr>
          <w:noProof/>
        </w:rPr>
      </w:pPr>
      <w:r>
        <w:rPr>
          <w:noProof/>
        </w:rPr>
        <w:t xml:space="preserve">bei der richtigen zolltariflichen Einreihung einer bestimmten Kategorie (KN-Code). </w:t>
      </w:r>
    </w:p>
    <w:p w14:paraId="3D43C177" w14:textId="00E5D13B" w:rsidR="00190A4C" w:rsidRDefault="0062547C" w:rsidP="00394E76">
      <w:pPr>
        <w:autoSpaceDE w:val="0"/>
        <w:autoSpaceDN w:val="0"/>
        <w:adjustRightInd w:val="0"/>
        <w:spacing w:after="160"/>
        <w:jc w:val="both"/>
        <w:rPr>
          <w:noProof/>
        </w:rPr>
      </w:pPr>
      <w:r>
        <w:rPr>
          <w:noProof/>
        </w:rPr>
        <w:t>Im Rahmen des von den Dienststellen der Kommission konsequent geförderten Dialogs und Meinungsaustausches zwischen den Mitgliedstaaten zu diesem Thema wurden von der Arbeitsgruppe „Interpretation von Kategorien“ (</w:t>
      </w:r>
      <w:r w:rsidRPr="00D0022B">
        <w:rPr>
          <w:noProof/>
        </w:rPr>
        <w:t>2013</w:t>
      </w:r>
      <w:r>
        <w:rPr>
          <w:noProof/>
        </w:rPr>
        <w:t>–</w:t>
      </w:r>
      <w:r w:rsidRPr="00D0022B">
        <w:rPr>
          <w:noProof/>
        </w:rPr>
        <w:t>2017</w:t>
      </w:r>
      <w:r>
        <w:rPr>
          <w:noProof/>
        </w:rPr>
        <w:t xml:space="preserve">), die aus Vertretern der Mitgliedstaaten bestand und damit beauftragt war, die vorherrschenden Ansichten zur Auslegung der einzelnen Kulturgüterkategorien zusammenzustellen, die wichtigsten Meinungsunterschiede zwischen den Mitgliedstaaten zu den oben genannten Fragen festgehalten. </w:t>
      </w:r>
    </w:p>
    <w:p w14:paraId="1E86412C" w14:textId="77777777" w:rsidR="00190A4C" w:rsidRDefault="00394E76" w:rsidP="00394E76">
      <w:pPr>
        <w:autoSpaceDE w:val="0"/>
        <w:autoSpaceDN w:val="0"/>
        <w:adjustRightInd w:val="0"/>
        <w:spacing w:after="160"/>
        <w:jc w:val="both"/>
        <w:rPr>
          <w:noProof/>
        </w:rPr>
      </w:pPr>
      <w:r>
        <w:rPr>
          <w:noProof/>
        </w:rPr>
        <w:t xml:space="preserve">Ferner ist anzumerken, dass insbesondere die Frage der Einstufung liturgischer Ikonen durch die Klarstellungen der neuen Verordnung (EU) </w:t>
      </w:r>
      <w:r w:rsidRPr="00D0022B">
        <w:rPr>
          <w:noProof/>
        </w:rPr>
        <w:t>2019</w:t>
      </w:r>
      <w:r>
        <w:rPr>
          <w:noProof/>
        </w:rPr>
        <w:t>/</w:t>
      </w:r>
      <w:r w:rsidRPr="00D0022B">
        <w:rPr>
          <w:noProof/>
        </w:rPr>
        <w:t>880</w:t>
      </w:r>
      <w:r>
        <w:rPr>
          <w:noProof/>
        </w:rPr>
        <w:t xml:space="preserve"> zur Einfuhr von Kulturgütern beantwortet wird (liturgische Ikonen und Statuen sind Bestandteile religiöser Denkmäler). </w:t>
      </w:r>
    </w:p>
    <w:p w14:paraId="39F7B4D7" w14:textId="77777777" w:rsidR="00A47D6F" w:rsidRDefault="00184DBB" w:rsidP="00394E76">
      <w:pPr>
        <w:autoSpaceDE w:val="0"/>
        <w:autoSpaceDN w:val="0"/>
        <w:adjustRightInd w:val="0"/>
        <w:spacing w:after="160"/>
        <w:jc w:val="both"/>
        <w:rPr>
          <w:noProof/>
        </w:rPr>
      </w:pPr>
      <w:r>
        <w:rPr>
          <w:noProof/>
        </w:rPr>
        <w:t xml:space="preserve">Hinsichtlich der Zuordnung einer bestimmten Kategorie von Kulturgütern zu der entsprechenden zolltariflichen Einreihung scheint es zwei verschiedene Probleme zu geben. </w:t>
      </w:r>
    </w:p>
    <w:p w14:paraId="6B432363" w14:textId="14508D64" w:rsidR="00A47D6F" w:rsidRDefault="00184DBB" w:rsidP="00394E76">
      <w:pPr>
        <w:autoSpaceDE w:val="0"/>
        <w:autoSpaceDN w:val="0"/>
        <w:adjustRightInd w:val="0"/>
        <w:spacing w:after="160"/>
        <w:jc w:val="both"/>
        <w:rPr>
          <w:noProof/>
        </w:rPr>
      </w:pPr>
      <w:r>
        <w:rPr>
          <w:noProof/>
        </w:rPr>
        <w:t>Das erste betrifft Kulturgüter, die in das Kapitel </w:t>
      </w:r>
      <w:r w:rsidRPr="00D0022B">
        <w:rPr>
          <w:noProof/>
        </w:rPr>
        <w:t>97</w:t>
      </w:r>
      <w:r>
        <w:rPr>
          <w:noProof/>
        </w:rPr>
        <w:t xml:space="preserve"> der Kombinierten Nomenklatur eingereiht werden. Dieses Kapitel enthält nur sehr wenige Unterteilungen und fasst mehrere unterschiedliche Kategorien von Kulturgütern unter derselben Tarifposition zusammen. Dies erschwert die Bestimmung des jeweils anwendbaren Zollcodes und damit die Einordnung in eine Kategorie von Kulturgütern im Sinne der Verordnung sowie die zolltarifliche Einreihung für die Zollanmeldung. Die Weltzollorganisation (WZO), die auf internationaler Ebene für die zolltarifliche Nomenklatur zuständig ist, hat unlängst ihre Absicht bekundet, weitere Unterteilungen für Kapitel </w:t>
      </w:r>
      <w:r w:rsidRPr="00D0022B">
        <w:rPr>
          <w:noProof/>
        </w:rPr>
        <w:t>97</w:t>
      </w:r>
      <w:r>
        <w:rPr>
          <w:noProof/>
        </w:rPr>
        <w:t xml:space="preserve"> zu schaffen, und dies wird das Problem hoffentlich lösen.</w:t>
      </w:r>
    </w:p>
    <w:p w14:paraId="1D39026F" w14:textId="3CFE62BF" w:rsidR="004C6C69" w:rsidRPr="00414031" w:rsidRDefault="00184DBB" w:rsidP="00394E76">
      <w:pPr>
        <w:autoSpaceDE w:val="0"/>
        <w:autoSpaceDN w:val="0"/>
        <w:adjustRightInd w:val="0"/>
        <w:spacing w:after="160"/>
        <w:jc w:val="both"/>
        <w:rPr>
          <w:noProof/>
        </w:rPr>
      </w:pPr>
      <w:r>
        <w:rPr>
          <w:noProof/>
        </w:rPr>
        <w:t>Ein weiteres Problem ergibt sich aus den regelmäßigen Änderungen des Harmonisierten Systems zur Bezeichnung und Codierung der Waren (HS) – auf dem die Kombinierte Nomenklatur der EU basiert – auf internationaler Ebene. Infolge der vielen aufeinanderfolgenden Änderungen des HS seit dem Inkrafttreten der Verordnung im Jahr </w:t>
      </w:r>
      <w:r w:rsidRPr="00D0022B">
        <w:rPr>
          <w:noProof/>
        </w:rPr>
        <w:t>1993</w:t>
      </w:r>
      <w:r>
        <w:rPr>
          <w:noProof/>
        </w:rPr>
        <w:t xml:space="preserve"> wurden bestimmte Zollcodes, die in Anhang I der Verordnung aufgeführt sind, zwischenzeitlich geändert, weshalb es manchmal schwierig ist, den richtigen Zollcode für eine bestimmte Kategorie von Kulturgütern allein anhand der Beschreibung der Kategorien in diesem Anhang herauszufinden.</w:t>
      </w:r>
    </w:p>
    <w:p w14:paraId="2F1F1B44" w14:textId="7B7E859D" w:rsidR="00D2684C" w:rsidRPr="00414031" w:rsidRDefault="00FC0C2B" w:rsidP="00C0273F">
      <w:pPr>
        <w:autoSpaceDE w:val="0"/>
        <w:autoSpaceDN w:val="0"/>
        <w:adjustRightInd w:val="0"/>
        <w:spacing w:after="160"/>
        <w:jc w:val="both"/>
        <w:rPr>
          <w:noProof/>
        </w:rPr>
      </w:pPr>
      <w:r>
        <w:rPr>
          <w:noProof/>
        </w:rPr>
        <w:t xml:space="preserve">Was die Ausarbeitung von Leitlinien für die Auslegung von Kategorien anbelangt, so wären diese, selbst wenn sie von den Mitgliedstaaten vereinbart würden – was nicht immer der Fall ist – immer noch nicht rechtsverbindlich und könnten daher den Interessenträgern keine Rechtssicherheit bieten. Die Auslegung des EU-Rechts obliegt allein dem Gerichtshof der Europäischen Union, der, wie bereits erwähnt, bisher keine Gelegenheit hatte, sich zu einer dieser Fragen zu äußern. Abgesehen davon könnte der beträchtliche Arbeitsaufwand der Gruppe „Interpretation von Kategorien“ nach Ansicht der Mitgliedstaaten immer noch von Nutzen sein, ihre Analysen und Schlussfolgerungen könnten etwa bei einer künftigen Überarbeitung der Verordnung und ihres Anhangs I berücksichtigt werden. </w:t>
      </w:r>
    </w:p>
    <w:p w14:paraId="5765C95B" w14:textId="77777777" w:rsidR="001F0D23" w:rsidRPr="000A656F" w:rsidRDefault="001F0D23" w:rsidP="00823E2B">
      <w:pPr>
        <w:pStyle w:val="Heading2"/>
        <w:rPr>
          <w:noProof/>
        </w:rPr>
      </w:pPr>
      <w:bookmarkStart w:id="11" w:name="_Toc111153418"/>
      <w:r w:rsidRPr="00D0022B">
        <w:rPr>
          <w:noProof/>
        </w:rPr>
        <w:t>4</w:t>
      </w:r>
      <w:r>
        <w:rPr>
          <w:noProof/>
        </w:rPr>
        <w:t>.</w:t>
      </w:r>
      <w:r w:rsidRPr="00D0022B">
        <w:rPr>
          <w:noProof/>
        </w:rPr>
        <w:t>3</w:t>
      </w:r>
      <w:r>
        <w:rPr>
          <w:noProof/>
        </w:rPr>
        <w:t> Altersgruppen</w:t>
      </w:r>
      <w:bookmarkEnd w:id="11"/>
      <w:r>
        <w:rPr>
          <w:noProof/>
        </w:rPr>
        <w:t xml:space="preserve"> </w:t>
      </w:r>
    </w:p>
    <w:p w14:paraId="76EA9719" w14:textId="77777777" w:rsidR="00BD243D" w:rsidRPr="00612016" w:rsidRDefault="001F0D23" w:rsidP="00C0273F">
      <w:pPr>
        <w:pStyle w:val="Default"/>
        <w:spacing w:after="160"/>
        <w:jc w:val="both"/>
        <w:rPr>
          <w:noProof/>
        </w:rPr>
      </w:pPr>
      <w:r>
        <w:rPr>
          <w:noProof/>
        </w:rPr>
        <w:t xml:space="preserve">Die </w:t>
      </w:r>
      <w:r>
        <w:rPr>
          <w:b/>
          <w:noProof/>
        </w:rPr>
        <w:t>Altersgruppen</w:t>
      </w:r>
      <w:r>
        <w:rPr>
          <w:noProof/>
        </w:rPr>
        <w:t xml:space="preserve">, die in der Verordnung für bestimmte Kategorien von Kulturgütern festgelegt sind, werden von der Mehrheit der Mitgliedstaaten als angemessen erachtet. </w:t>
      </w:r>
    </w:p>
    <w:p w14:paraId="20B3A1A1" w14:textId="611D1759" w:rsidR="00E81363" w:rsidRPr="00612016" w:rsidRDefault="00E81363" w:rsidP="00C0273F">
      <w:pPr>
        <w:pStyle w:val="Default"/>
        <w:spacing w:after="160"/>
        <w:jc w:val="both"/>
        <w:rPr>
          <w:noProof/>
        </w:rPr>
      </w:pPr>
      <w:r>
        <w:rPr>
          <w:noProof/>
        </w:rPr>
        <w:t>Einige Mitgliedstaaten sind der Meinung, dass die Grenzwerte zu hoch angesetzt sind, um die Gesamtheit der als „nationales Kulturgut“ eingestuften Gegenstände innerhalb ihres eigenen Hoheitsgebiets zu erfassen und zu schützen. Im Gegensatz dazu halten einige andere Mitgliedstaaten die Grenzwerte für zu niedrig, insbesondere im Hinblick auf Kategorien, für die es keine Wertgrenzen gibt (z. B. Archive oder Handschriften) und bei denen es vorkommen kann, dass Zollbehörden und zuständige Behörden sich mit großen Mengen von seriengefertigten zeitgenössischen Gegenständen beschäftigen müssen, die zwar aus technischer Sicht in den Anwendungsbereich der Verordnung fallen und entsprechend genehmigungspflichtig sind, jedoch generell nicht als „</w:t>
      </w:r>
      <w:r>
        <w:rPr>
          <w:i/>
          <w:noProof/>
        </w:rPr>
        <w:t>für Archäologie, Vorgeschichte, Geschichte, Literatur, Kunst oder Wissenschaft bedeutungsvoll</w:t>
      </w:r>
      <w:r>
        <w:rPr>
          <w:noProof/>
        </w:rPr>
        <w:t>“</w:t>
      </w:r>
      <w:r>
        <w:rPr>
          <w:rStyle w:val="FootnoteReference"/>
          <w:noProof/>
        </w:rPr>
        <w:footnoteReference w:id="17"/>
      </w:r>
      <w:r>
        <w:rPr>
          <w:noProof/>
        </w:rPr>
        <w:t xml:space="preserve"> betrachtet werden.</w:t>
      </w:r>
    </w:p>
    <w:p w14:paraId="5C2EFE58" w14:textId="77777777" w:rsidR="001C6DF0" w:rsidRPr="00612016" w:rsidRDefault="007A2DB5" w:rsidP="00C0273F">
      <w:pPr>
        <w:pStyle w:val="Default"/>
        <w:spacing w:after="160"/>
        <w:jc w:val="both"/>
        <w:rPr>
          <w:noProof/>
        </w:rPr>
      </w:pPr>
      <w:r>
        <w:rPr>
          <w:noProof/>
        </w:rPr>
        <w:t>In Ermangelung einer Definition des Begriffs „Kulturgut“ in der Verordnung – wie sie in Artikel </w:t>
      </w:r>
      <w:r w:rsidRPr="00D0022B">
        <w:rPr>
          <w:noProof/>
        </w:rPr>
        <w:t>1</w:t>
      </w:r>
      <w:r>
        <w:rPr>
          <w:noProof/>
        </w:rPr>
        <w:t xml:space="preserve"> des UNESCO-Übereinkommens von </w:t>
      </w:r>
      <w:r w:rsidRPr="00D0022B">
        <w:rPr>
          <w:noProof/>
        </w:rPr>
        <w:t>1970</w:t>
      </w:r>
      <w:r>
        <w:rPr>
          <w:noProof/>
        </w:rPr>
        <w:t xml:space="preserve"> enthalten ist – kann jeder Gegenstand, der die technischen Kriterien Alter und/oder Wert erfüllt, unabhängig davon, ob es sich um ein tatsächliches Kulturgut handelt, in den Anwendungsbereich der Verordnung fallen und benötigt eine Ausfuhrgenehmigung, um das Gebiet der Union rechtmäßig zu verlassen.  </w:t>
      </w:r>
    </w:p>
    <w:p w14:paraId="11E064CA" w14:textId="77777777" w:rsidR="005B252C" w:rsidRPr="000A656F" w:rsidRDefault="005B252C" w:rsidP="00823E2B">
      <w:pPr>
        <w:pStyle w:val="Heading2"/>
        <w:rPr>
          <w:noProof/>
        </w:rPr>
      </w:pPr>
      <w:bookmarkStart w:id="12" w:name="_Toc111153419"/>
      <w:r w:rsidRPr="00D0022B">
        <w:rPr>
          <w:noProof/>
        </w:rPr>
        <w:t>4</w:t>
      </w:r>
      <w:r>
        <w:rPr>
          <w:noProof/>
        </w:rPr>
        <w:t>.</w:t>
      </w:r>
      <w:r w:rsidRPr="00D0022B">
        <w:rPr>
          <w:noProof/>
        </w:rPr>
        <w:t>4</w:t>
      </w:r>
      <w:r>
        <w:rPr>
          <w:noProof/>
        </w:rPr>
        <w:t> Wertgruppen</w:t>
      </w:r>
      <w:bookmarkEnd w:id="12"/>
    </w:p>
    <w:p w14:paraId="688765A8" w14:textId="57AC96DB" w:rsidR="00120511" w:rsidRPr="00612016" w:rsidRDefault="00120511" w:rsidP="00C0273F">
      <w:pPr>
        <w:pStyle w:val="Default"/>
        <w:spacing w:after="160"/>
        <w:jc w:val="both"/>
        <w:rPr>
          <w:noProof/>
        </w:rPr>
      </w:pPr>
      <w:r>
        <w:rPr>
          <w:noProof/>
        </w:rPr>
        <w:t xml:space="preserve">Die </w:t>
      </w:r>
      <w:r>
        <w:rPr>
          <w:b/>
          <w:noProof/>
        </w:rPr>
        <w:t>Wertgrenzen</w:t>
      </w:r>
      <w:r>
        <w:rPr>
          <w:noProof/>
        </w:rPr>
        <w:t xml:space="preserve"> für Kulturgüter in Anhang I.B der Verordnung werden von den meisten Mitgliedstaaten als verhältnismäßig hoch erachtet, nur eine geringe Minderheit hält ihre weitere Anhebung für geboten. </w:t>
      </w:r>
    </w:p>
    <w:p w14:paraId="2D53DACA" w14:textId="77777777" w:rsidR="00B83BF0" w:rsidRPr="00612016" w:rsidRDefault="00DE42D1" w:rsidP="00C0273F">
      <w:pPr>
        <w:pStyle w:val="Default"/>
        <w:spacing w:after="160"/>
        <w:jc w:val="both"/>
        <w:rPr>
          <w:noProof/>
        </w:rPr>
      </w:pPr>
      <w:r>
        <w:rPr>
          <w:noProof/>
        </w:rPr>
        <w:t>Ein Mitgliedstaat, der sich für eine Anhebung der Wertgrenzen in Anhang I.B ausgesprochen hat, weist darauf hin, dass die Mindestwerte seit Annahme der ursprünglichen Verordnung nicht geändert worden seien (abgesehen von der Einfügung einer gesonderten Wertgruppe für Aquarelle, Gouachen und Pastelle im Jahr </w:t>
      </w:r>
      <w:r w:rsidRPr="00D0022B">
        <w:rPr>
          <w:noProof/>
        </w:rPr>
        <w:t>1996</w:t>
      </w:r>
      <w:r>
        <w:rPr>
          <w:noProof/>
        </w:rPr>
        <w:t>) und schlägt vor, sie auf der Grundlage von Artikel </w:t>
      </w:r>
      <w:r w:rsidRPr="00D0022B">
        <w:rPr>
          <w:noProof/>
        </w:rPr>
        <w:t>10</w:t>
      </w:r>
      <w:r>
        <w:rPr>
          <w:noProof/>
        </w:rPr>
        <w:t xml:space="preserve"> Absatz </w:t>
      </w:r>
      <w:r w:rsidRPr="00D0022B">
        <w:rPr>
          <w:noProof/>
        </w:rPr>
        <w:t>2</w:t>
      </w:r>
      <w:r>
        <w:rPr>
          <w:noProof/>
        </w:rPr>
        <w:t xml:space="preserve"> Unterabsatz </w:t>
      </w:r>
      <w:r w:rsidRPr="00D0022B">
        <w:rPr>
          <w:noProof/>
        </w:rPr>
        <w:t>2</w:t>
      </w:r>
      <w:r>
        <w:rPr>
          <w:noProof/>
        </w:rPr>
        <w:t xml:space="preserve"> zu überprüfen, um der Inflation Rechnung zu tragen. </w:t>
      </w:r>
    </w:p>
    <w:p w14:paraId="333AD892" w14:textId="1A4E608D" w:rsidR="0016329B" w:rsidRPr="00612016" w:rsidRDefault="003D6423" w:rsidP="00C0273F">
      <w:pPr>
        <w:pStyle w:val="Default"/>
        <w:spacing w:after="160"/>
        <w:jc w:val="both"/>
        <w:rPr>
          <w:noProof/>
        </w:rPr>
      </w:pPr>
      <w:r>
        <w:rPr>
          <w:noProof/>
        </w:rPr>
        <w:t xml:space="preserve">Andere Mitgliedstaaten, die eine Senkung der Grenzwerte befürworten, schlagen die Verwendung eines Anpassungsmechanismus zur Berücksichtigung von Währungsschwankungen und eines „länderspezifischen Koeffizienten“ vor, um die Unterschiede zwischen den Verkaufspreisen auf den Kunstmärkten der Mitgliedstaaten zu berücksichtigen. Wie einer dieser Mitgliedstaaten betont, würden zahlreiche Objekte, die als Teil ständiger Sammlungen in seinen Museen ausgestellt sind, allein wegen der hohen Wertgrenzen nicht in den Anwendungsbereich der Verordnung fallen, obwohl die betreffenden Objekte eindeutig als nationales Kulturgut von historischer und kultureller Bedeutung eingestuft sind. </w:t>
      </w:r>
    </w:p>
    <w:p w14:paraId="01DD4F04" w14:textId="77777777" w:rsidR="001F0D23" w:rsidRPr="000A656F" w:rsidRDefault="001F0D23" w:rsidP="00823E2B">
      <w:pPr>
        <w:pStyle w:val="Heading2"/>
        <w:rPr>
          <w:noProof/>
        </w:rPr>
      </w:pPr>
      <w:bookmarkStart w:id="13" w:name="_Toc111153420"/>
      <w:r w:rsidRPr="00D0022B">
        <w:rPr>
          <w:noProof/>
        </w:rPr>
        <w:t>4</w:t>
      </w:r>
      <w:r>
        <w:rPr>
          <w:noProof/>
        </w:rPr>
        <w:t>.</w:t>
      </w:r>
      <w:r w:rsidRPr="00D0022B">
        <w:rPr>
          <w:noProof/>
        </w:rPr>
        <w:t>5</w:t>
      </w:r>
      <w:r>
        <w:rPr>
          <w:noProof/>
        </w:rPr>
        <w:t> Zahl der normalen Ausfuhrgenehmigungen</w:t>
      </w:r>
      <w:bookmarkEnd w:id="13"/>
      <w:r>
        <w:rPr>
          <w:noProof/>
        </w:rPr>
        <w:t xml:space="preserve"> </w:t>
      </w:r>
    </w:p>
    <w:p w14:paraId="222D0972" w14:textId="77777777" w:rsidR="001F0D23" w:rsidRPr="00612016" w:rsidRDefault="001F0D23" w:rsidP="007B209D">
      <w:pPr>
        <w:pStyle w:val="Default"/>
        <w:spacing w:after="160"/>
        <w:jc w:val="both"/>
        <w:rPr>
          <w:noProof/>
        </w:rPr>
      </w:pPr>
      <w:r>
        <w:rPr>
          <w:noProof/>
        </w:rPr>
        <w:t xml:space="preserve">Im Zeitraum </w:t>
      </w:r>
      <w:r w:rsidRPr="00D0022B">
        <w:rPr>
          <w:noProof/>
        </w:rPr>
        <w:t>2018</w:t>
      </w:r>
      <w:r>
        <w:rPr>
          <w:noProof/>
        </w:rPr>
        <w:t>–</w:t>
      </w:r>
      <w:r w:rsidRPr="00D0022B">
        <w:rPr>
          <w:noProof/>
        </w:rPr>
        <w:t>2020</w:t>
      </w:r>
      <w:r>
        <w:rPr>
          <w:noProof/>
        </w:rPr>
        <w:t xml:space="preserve"> haben die Mitgliedstaaten </w:t>
      </w:r>
      <w:r w:rsidRPr="00D0022B">
        <w:rPr>
          <w:noProof/>
        </w:rPr>
        <w:t>44</w:t>
      </w:r>
      <w:r>
        <w:rPr>
          <w:noProof/>
        </w:rPr>
        <w:t> </w:t>
      </w:r>
      <w:r w:rsidRPr="00D0022B">
        <w:rPr>
          <w:noProof/>
        </w:rPr>
        <w:t>138</w:t>
      </w:r>
      <w:r>
        <w:rPr>
          <w:noProof/>
        </w:rPr>
        <w:t xml:space="preserve"> normale Ausfuhrgenehmigungen erteilt (die jährlichen Daten sind Anhang </w:t>
      </w:r>
      <w:r w:rsidRPr="00D0022B">
        <w:rPr>
          <w:noProof/>
        </w:rPr>
        <w:t>1</w:t>
      </w:r>
      <w:r>
        <w:rPr>
          <w:noProof/>
        </w:rPr>
        <w:t xml:space="preserve"> Tabelle </w:t>
      </w:r>
      <w:r w:rsidRPr="00D0022B">
        <w:rPr>
          <w:noProof/>
        </w:rPr>
        <w:t>1</w:t>
      </w:r>
      <w:r>
        <w:rPr>
          <w:noProof/>
        </w:rPr>
        <w:t xml:space="preserve"> zu entnehmen). </w:t>
      </w:r>
    </w:p>
    <w:p w14:paraId="34D02EB6" w14:textId="77777777" w:rsidR="001F0D23" w:rsidRDefault="001F0D23" w:rsidP="00612FAD">
      <w:pPr>
        <w:pStyle w:val="Default"/>
        <w:keepNext/>
        <w:spacing w:before="600" w:after="600"/>
        <w:jc w:val="center"/>
        <w:rPr>
          <w:b/>
          <w:noProof/>
          <w:sz w:val="28"/>
        </w:rPr>
      </w:pPr>
      <w:r>
        <w:rPr>
          <w:b/>
          <w:noProof/>
          <w:sz w:val="28"/>
        </w:rPr>
        <w:t xml:space="preserve">Normale Genehmigungen nach Mitgliedstaaten </w:t>
      </w:r>
      <w:r w:rsidRPr="00D0022B">
        <w:rPr>
          <w:b/>
          <w:noProof/>
          <w:sz w:val="28"/>
        </w:rPr>
        <w:t>2018</w:t>
      </w:r>
      <w:r>
        <w:rPr>
          <w:b/>
          <w:noProof/>
          <w:sz w:val="28"/>
        </w:rPr>
        <w:t>–</w:t>
      </w:r>
      <w:r w:rsidRPr="00D0022B">
        <w:rPr>
          <w:b/>
          <w:noProof/>
          <w:sz w:val="28"/>
        </w:rPr>
        <w:t>2020</w:t>
      </w:r>
    </w:p>
    <w:p w14:paraId="319CD3DC" w14:textId="77777777" w:rsidR="000C73F6" w:rsidRDefault="000C73F6" w:rsidP="007B209D">
      <w:pPr>
        <w:pStyle w:val="Default"/>
        <w:spacing w:before="600" w:after="600"/>
        <w:jc w:val="center"/>
        <w:rPr>
          <w:b/>
          <w:noProof/>
          <w:sz w:val="28"/>
        </w:rPr>
      </w:pPr>
      <w:r>
        <w:rPr>
          <w:noProof/>
          <w:lang w:val="en-GB" w:eastAsia="en-GB"/>
        </w:rPr>
        <w:drawing>
          <wp:inline distT="0" distB="0" distL="0" distR="0" wp14:anchorId="07159077" wp14:editId="683C993F">
            <wp:extent cx="5542671" cy="3805311"/>
            <wp:effectExtent l="0" t="0" r="127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786D4B" w14:textId="77777777" w:rsidR="001F0D23" w:rsidRPr="00244753" w:rsidRDefault="001F0D23" w:rsidP="00C0273F">
      <w:pPr>
        <w:autoSpaceDE w:val="0"/>
        <w:autoSpaceDN w:val="0"/>
        <w:adjustRightInd w:val="0"/>
        <w:spacing w:after="160"/>
        <w:jc w:val="both"/>
        <w:rPr>
          <w:noProof/>
        </w:rPr>
      </w:pPr>
      <w:r>
        <w:rPr>
          <w:noProof/>
        </w:rPr>
        <w:t>Die wichtigsten Kategorien, für die während des Berichtszeitraums Genehmigungsanträge eingingen, waren (in absteigender Reihenfolge): Kunstwerke (Gemälde, Mosaike, Aquarelle und Gouachen, Radierungen, Skulpturen), archäologische Gegenstände (vorwiegend zur vorübergehenden Ausfuhr für Ausstellungen), Inkunabeln, Handschriften und Landkarten, Gegenstände von numismatischem Wert (Münzen), gefolgt von diversen Antiquitäten der Kategorie </w:t>
      </w:r>
      <w:r w:rsidRPr="00D0022B">
        <w:rPr>
          <w:noProof/>
        </w:rPr>
        <w:t>15</w:t>
      </w:r>
      <w:r>
        <w:rPr>
          <w:noProof/>
        </w:rPr>
        <w:t xml:space="preserve"> wie Schmuck, Musikinstrumente, Möbel, Uhrmacherwaren, Waffen, Spielzeug und Spiele, Teppiche usw. (zumeist für die endgültige Ausfuhr). Mehrere Mitgliedstaaten meldeten einen erheblichen Rückgang der Ausfuhren in bestimmten Kategorien (z. B. Gemälde) im Jahr </w:t>
      </w:r>
      <w:r w:rsidRPr="00D0022B">
        <w:rPr>
          <w:noProof/>
        </w:rPr>
        <w:t>2020</w:t>
      </w:r>
      <w:r>
        <w:rPr>
          <w:noProof/>
        </w:rPr>
        <w:t>, was sie auf die COVID-</w:t>
      </w:r>
      <w:r w:rsidRPr="00D0022B">
        <w:rPr>
          <w:noProof/>
        </w:rPr>
        <w:t>19</w:t>
      </w:r>
      <w:r>
        <w:rPr>
          <w:noProof/>
        </w:rPr>
        <w:t xml:space="preserve">-Pandemie zurückführen. Nach Angaben der Mitgliedstaaten wurde jedoch im selben Zeitraum ein erheblicher Anstieg der Zahl der nationalen („Verbringungs-“)Genehmigungen beobachtet, was auf eine steigende Nachfrage auf dem Unionsmarkt hindeutet. </w:t>
      </w:r>
    </w:p>
    <w:p w14:paraId="6F05D64C" w14:textId="77777777" w:rsidR="001F0D23" w:rsidRPr="000A656F" w:rsidRDefault="001F0D23" w:rsidP="00823E2B">
      <w:pPr>
        <w:pStyle w:val="Heading2"/>
        <w:rPr>
          <w:noProof/>
        </w:rPr>
      </w:pPr>
      <w:bookmarkStart w:id="14" w:name="_Toc111153421"/>
      <w:r w:rsidRPr="00D0022B">
        <w:rPr>
          <w:noProof/>
        </w:rPr>
        <w:t>4</w:t>
      </w:r>
      <w:r>
        <w:rPr>
          <w:noProof/>
        </w:rPr>
        <w:t>.</w:t>
      </w:r>
      <w:r w:rsidRPr="00D0022B">
        <w:rPr>
          <w:noProof/>
        </w:rPr>
        <w:t>6</w:t>
      </w:r>
      <w:r>
        <w:rPr>
          <w:noProof/>
        </w:rPr>
        <w:t> Spezifische und allgemeine offene Genehmigungen</w:t>
      </w:r>
      <w:bookmarkEnd w:id="14"/>
      <w:r>
        <w:rPr>
          <w:noProof/>
        </w:rPr>
        <w:t xml:space="preserve"> </w:t>
      </w:r>
    </w:p>
    <w:p w14:paraId="4DFB0BB5" w14:textId="77777777" w:rsidR="001F0D23" w:rsidRPr="00244753" w:rsidRDefault="001F0D23" w:rsidP="00C0273F">
      <w:pPr>
        <w:autoSpaceDE w:val="0"/>
        <w:autoSpaceDN w:val="0"/>
        <w:adjustRightInd w:val="0"/>
        <w:spacing w:after="160"/>
        <w:jc w:val="both"/>
        <w:rPr>
          <w:noProof/>
        </w:rPr>
      </w:pPr>
      <w:r>
        <w:rPr>
          <w:noProof/>
        </w:rPr>
        <w:t xml:space="preserve">Spezifische offene Genehmigungen können für ein bestimmtes Kulturgut erteilt werden, das </w:t>
      </w:r>
      <w:r>
        <w:rPr>
          <w:b/>
          <w:noProof/>
        </w:rPr>
        <w:t>regelmäßig vorübergehend von einer Privatperson aus der Union ausgeführt wird</w:t>
      </w:r>
      <w:r>
        <w:rPr>
          <w:noProof/>
        </w:rPr>
        <w:t xml:space="preserve"> (Artikel </w:t>
      </w:r>
      <w:r w:rsidRPr="00D0022B">
        <w:rPr>
          <w:noProof/>
        </w:rPr>
        <w:t>10</w:t>
      </w:r>
      <w:r>
        <w:rPr>
          <w:noProof/>
        </w:rPr>
        <w:t xml:space="preserve"> Durchführungsverordnung). Im Zeitraum </w:t>
      </w:r>
      <w:r w:rsidRPr="00D0022B">
        <w:rPr>
          <w:noProof/>
        </w:rPr>
        <w:t>2018</w:t>
      </w:r>
      <w:r>
        <w:rPr>
          <w:noProof/>
        </w:rPr>
        <w:t>–</w:t>
      </w:r>
      <w:r w:rsidRPr="00D0022B">
        <w:rPr>
          <w:noProof/>
        </w:rPr>
        <w:t>2020</w:t>
      </w:r>
      <w:r>
        <w:rPr>
          <w:noProof/>
        </w:rPr>
        <w:t xml:space="preserve"> wurden </w:t>
      </w:r>
      <w:r w:rsidRPr="00D0022B">
        <w:rPr>
          <w:noProof/>
        </w:rPr>
        <w:t>3282</w:t>
      </w:r>
      <w:r>
        <w:rPr>
          <w:noProof/>
        </w:rPr>
        <w:t> spezifische offene Genehmigungen erteilt (die jährlichen Daten sind Anhang </w:t>
      </w:r>
      <w:r w:rsidRPr="00D0022B">
        <w:rPr>
          <w:noProof/>
        </w:rPr>
        <w:t>1</w:t>
      </w:r>
      <w:r>
        <w:rPr>
          <w:noProof/>
        </w:rPr>
        <w:t xml:space="preserve"> Tabelle </w:t>
      </w:r>
      <w:r w:rsidRPr="00D0022B">
        <w:rPr>
          <w:noProof/>
        </w:rPr>
        <w:t>2</w:t>
      </w:r>
      <w:r>
        <w:rPr>
          <w:noProof/>
        </w:rPr>
        <w:t xml:space="preserve"> zu entnehmen). Beinahe die Hälfte der Mitgliedstaaten gibt an, dass die Erteilung solcher Genehmigungen bei ihnen nicht vorgesehen ist. Die Mitgliedstaaten, die spezifische offene Genehmigungen erteilen, tun dies vorwiegend für Musikinstrumente, die bei künstlerischen Auftritten verwendet werden, oder für historische Verkehrsmittel, die zu Ausstellungszwecken ausgeführt werden. </w:t>
      </w:r>
    </w:p>
    <w:p w14:paraId="32FD0063" w14:textId="77777777" w:rsidR="001F0D23" w:rsidRPr="00244753" w:rsidRDefault="001F0D23" w:rsidP="00C0273F">
      <w:pPr>
        <w:autoSpaceDE w:val="0"/>
        <w:autoSpaceDN w:val="0"/>
        <w:adjustRightInd w:val="0"/>
        <w:spacing w:after="160"/>
        <w:jc w:val="both"/>
        <w:rPr>
          <w:noProof/>
        </w:rPr>
      </w:pPr>
      <w:r>
        <w:rPr>
          <w:noProof/>
        </w:rPr>
        <w:t xml:space="preserve">Mit Ausnahme von zwei Mitgliedstaaten haben alle übrigen Länder im Berichtszeitraum verhältnismäßig wenige solche Genehmigungen erteilt. </w:t>
      </w:r>
    </w:p>
    <w:p w14:paraId="2F04A371" w14:textId="77777777" w:rsidR="001F0D23" w:rsidRDefault="001F0D23" w:rsidP="001205C6">
      <w:pPr>
        <w:pStyle w:val="Default"/>
        <w:spacing w:before="600" w:after="600"/>
        <w:jc w:val="center"/>
        <w:rPr>
          <w:b/>
          <w:noProof/>
          <w:sz w:val="28"/>
        </w:rPr>
      </w:pPr>
      <w:r>
        <w:rPr>
          <w:b/>
          <w:noProof/>
          <w:sz w:val="28"/>
        </w:rPr>
        <w:t xml:space="preserve">Im Umlauf befindliche spezifische offene Genehmigungen nach Mitgliedstaaten </w:t>
      </w:r>
      <w:r w:rsidRPr="00D0022B">
        <w:rPr>
          <w:b/>
          <w:noProof/>
          <w:sz w:val="28"/>
        </w:rPr>
        <w:t>2018</w:t>
      </w:r>
      <w:r>
        <w:rPr>
          <w:b/>
          <w:noProof/>
          <w:sz w:val="28"/>
        </w:rPr>
        <w:t>–</w:t>
      </w:r>
      <w:r w:rsidRPr="00D0022B">
        <w:rPr>
          <w:b/>
          <w:noProof/>
          <w:sz w:val="28"/>
        </w:rPr>
        <w:t>2020</w:t>
      </w:r>
    </w:p>
    <w:p w14:paraId="5FFEF8D8" w14:textId="77777777" w:rsidR="007C0516" w:rsidRDefault="007C0516" w:rsidP="001205C6">
      <w:pPr>
        <w:pStyle w:val="Default"/>
        <w:spacing w:before="600" w:after="600"/>
        <w:jc w:val="center"/>
        <w:rPr>
          <w:b/>
          <w:noProof/>
          <w:sz w:val="28"/>
        </w:rPr>
      </w:pPr>
      <w:r>
        <w:rPr>
          <w:noProof/>
          <w:lang w:val="en-GB" w:eastAsia="en-GB"/>
        </w:rPr>
        <w:drawing>
          <wp:inline distT="0" distB="0" distL="0" distR="0" wp14:anchorId="6B8D4851" wp14:editId="4E0BB81D">
            <wp:extent cx="5311472" cy="3705308"/>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9D6BA8" w14:textId="77777777" w:rsidR="001F0D23" w:rsidRPr="006A19F7" w:rsidRDefault="001F0D23" w:rsidP="00C0273F">
      <w:pPr>
        <w:autoSpaceDE w:val="0"/>
        <w:autoSpaceDN w:val="0"/>
        <w:adjustRightInd w:val="0"/>
        <w:spacing w:after="160"/>
        <w:jc w:val="both"/>
        <w:rPr>
          <w:noProof/>
        </w:rPr>
      </w:pPr>
      <w:r>
        <w:rPr>
          <w:noProof/>
        </w:rPr>
        <w:t>Die Gültigkeitsdauer spezifischer offener Genehmigungen wird durch die Durchführungsverordnung auf maximal fünf Jahre begrenzt. Die Mehrheit der Mitgliedstaaten, die solche Genehmigungen erteilen, wendet diese Begrenzung an; es gibt jedoch einige Ausnahmen, bei denen die maximale Gültigkeitsdauer entweder nicht festgelegt wird oder kürzer ist (</w:t>
      </w:r>
      <w:r w:rsidRPr="00D0022B">
        <w:rPr>
          <w:noProof/>
        </w:rPr>
        <w:t>1</w:t>
      </w:r>
      <w:r>
        <w:rPr>
          <w:noProof/>
        </w:rPr>
        <w:t>–</w:t>
      </w:r>
      <w:r w:rsidRPr="00D0022B">
        <w:rPr>
          <w:noProof/>
        </w:rPr>
        <w:t>3</w:t>
      </w:r>
      <w:r>
        <w:rPr>
          <w:noProof/>
        </w:rPr>
        <w:t> Jahre). Während der Gültigkeitsdauer ist die wiederholte Ausfuhr der betreffenden Gegenstände erlaubt.</w:t>
      </w:r>
    </w:p>
    <w:p w14:paraId="5937E92A" w14:textId="45BE9074" w:rsidR="001F0D23" w:rsidRDefault="001F0D23" w:rsidP="00C0273F">
      <w:pPr>
        <w:autoSpaceDE w:val="0"/>
        <w:autoSpaceDN w:val="0"/>
        <w:adjustRightInd w:val="0"/>
        <w:spacing w:after="160"/>
        <w:jc w:val="both"/>
        <w:rPr>
          <w:noProof/>
        </w:rPr>
      </w:pPr>
      <w:r>
        <w:rPr>
          <w:noProof/>
        </w:rPr>
        <w:t>Allgemeine offene Genehmigungen (Artikel </w:t>
      </w:r>
      <w:r w:rsidRPr="00D0022B">
        <w:rPr>
          <w:noProof/>
        </w:rPr>
        <w:t>13</w:t>
      </w:r>
      <w:r>
        <w:rPr>
          <w:noProof/>
        </w:rPr>
        <w:t xml:space="preserve"> Durchführungsverordnung) können </w:t>
      </w:r>
      <w:r>
        <w:rPr>
          <w:b/>
          <w:noProof/>
        </w:rPr>
        <w:t>Museen oder ähnlichen Einrichtungen</w:t>
      </w:r>
      <w:r>
        <w:rPr>
          <w:noProof/>
        </w:rPr>
        <w:t xml:space="preserve"> zur regelmäßigen vorübergehenden Ausfuhr von Kulturgütern erteilt werden. Im Zeitraum </w:t>
      </w:r>
      <w:r w:rsidRPr="00D0022B">
        <w:rPr>
          <w:noProof/>
        </w:rPr>
        <w:t>2018</w:t>
      </w:r>
      <w:r>
        <w:rPr>
          <w:noProof/>
        </w:rPr>
        <w:t>–</w:t>
      </w:r>
      <w:r w:rsidRPr="00D0022B">
        <w:rPr>
          <w:noProof/>
        </w:rPr>
        <w:t>2020</w:t>
      </w:r>
      <w:r>
        <w:rPr>
          <w:noProof/>
        </w:rPr>
        <w:t xml:space="preserve"> wurden </w:t>
      </w:r>
      <w:r w:rsidRPr="00D0022B">
        <w:rPr>
          <w:noProof/>
        </w:rPr>
        <w:t>1727</w:t>
      </w:r>
      <w:r>
        <w:rPr>
          <w:noProof/>
        </w:rPr>
        <w:t xml:space="preserve"> allgemeine offene Genehmigungen erteilt (die jährlichen Daten sind Anhang </w:t>
      </w:r>
      <w:r w:rsidRPr="00D0022B">
        <w:rPr>
          <w:noProof/>
        </w:rPr>
        <w:t>1</w:t>
      </w:r>
      <w:r>
        <w:rPr>
          <w:noProof/>
        </w:rPr>
        <w:t xml:space="preserve"> Tabelle </w:t>
      </w:r>
      <w:r w:rsidRPr="00D0022B">
        <w:rPr>
          <w:noProof/>
        </w:rPr>
        <w:t>3</w:t>
      </w:r>
      <w:r>
        <w:rPr>
          <w:noProof/>
        </w:rPr>
        <w:t xml:space="preserve"> zu entnehmen). Auch die Gültigkeitsdauer dieser Genehmigungen ist auf fünf Jahre begrenzt. Die Mehrheit der Mitgliedstaaten, die solche Genehmigungen erteilen, wendet eine kürzere maximale Gültigkeitsdauer an. Diese richtet sich in der Regel nach dem Versicherungsschutz oder den Anforderungen der Leihgabe oder Ausstellung.</w:t>
      </w:r>
    </w:p>
    <w:p w14:paraId="3AB8980B" w14:textId="77777777" w:rsidR="00A85267" w:rsidRPr="006A19F7" w:rsidRDefault="00A85267" w:rsidP="00C0273F">
      <w:pPr>
        <w:autoSpaceDE w:val="0"/>
        <w:autoSpaceDN w:val="0"/>
        <w:adjustRightInd w:val="0"/>
        <w:spacing w:after="160"/>
        <w:jc w:val="both"/>
        <w:rPr>
          <w:noProof/>
        </w:rPr>
      </w:pPr>
    </w:p>
    <w:p w14:paraId="50F8E7FE" w14:textId="77777777" w:rsidR="001F0D23" w:rsidRPr="001205C6" w:rsidRDefault="001F0D23" w:rsidP="001205C6">
      <w:pPr>
        <w:pStyle w:val="Default"/>
        <w:spacing w:before="600" w:after="600"/>
        <w:jc w:val="center"/>
        <w:rPr>
          <w:b/>
          <w:noProof/>
          <w:sz w:val="28"/>
        </w:rPr>
      </w:pPr>
      <w:r>
        <w:rPr>
          <w:b/>
          <w:noProof/>
          <w:sz w:val="28"/>
        </w:rPr>
        <w:t xml:space="preserve">Im Umlauf befindliche allgemeine offene Genehmigungen nach Mitgliedstaaten </w:t>
      </w:r>
      <w:r w:rsidRPr="00D0022B">
        <w:rPr>
          <w:b/>
          <w:noProof/>
          <w:sz w:val="28"/>
        </w:rPr>
        <w:t>2018</w:t>
      </w:r>
      <w:r>
        <w:rPr>
          <w:b/>
          <w:noProof/>
          <w:sz w:val="28"/>
        </w:rPr>
        <w:t>–</w:t>
      </w:r>
      <w:r w:rsidRPr="00D0022B">
        <w:rPr>
          <w:b/>
          <w:noProof/>
          <w:sz w:val="28"/>
        </w:rPr>
        <w:t>2020</w:t>
      </w:r>
    </w:p>
    <w:p w14:paraId="77E8DF26" w14:textId="77777777" w:rsidR="00386C19" w:rsidRPr="00386C19" w:rsidRDefault="00386C19" w:rsidP="00386C19">
      <w:pPr>
        <w:pStyle w:val="Default"/>
        <w:spacing w:before="600" w:after="600"/>
        <w:jc w:val="center"/>
        <w:rPr>
          <w:b/>
          <w:noProof/>
          <w:sz w:val="28"/>
        </w:rPr>
      </w:pPr>
      <w:r>
        <w:rPr>
          <w:noProof/>
          <w:lang w:val="en-GB" w:eastAsia="en-GB"/>
        </w:rPr>
        <w:drawing>
          <wp:inline distT="0" distB="0" distL="0" distR="0" wp14:anchorId="239D131F" wp14:editId="25707FC6">
            <wp:extent cx="5338689" cy="3826412"/>
            <wp:effectExtent l="0" t="0" r="0" b="31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C5B9E1" w14:textId="77777777" w:rsidR="001F0D23" w:rsidRPr="000A656F" w:rsidRDefault="001F0D23" w:rsidP="00823E2B">
      <w:pPr>
        <w:pStyle w:val="Heading2"/>
        <w:rPr>
          <w:noProof/>
        </w:rPr>
      </w:pPr>
      <w:bookmarkStart w:id="15" w:name="_Toc111153422"/>
      <w:r w:rsidRPr="00D0022B">
        <w:rPr>
          <w:noProof/>
        </w:rPr>
        <w:t>4</w:t>
      </w:r>
      <w:r>
        <w:rPr>
          <w:noProof/>
        </w:rPr>
        <w:t>.</w:t>
      </w:r>
      <w:r w:rsidRPr="00D0022B">
        <w:rPr>
          <w:noProof/>
        </w:rPr>
        <w:t>7</w:t>
      </w:r>
      <w:r>
        <w:rPr>
          <w:noProof/>
        </w:rPr>
        <w:t> Befreiung von der Ausfuhrgenehmigung</w:t>
      </w:r>
      <w:bookmarkEnd w:id="15"/>
      <w:r>
        <w:rPr>
          <w:noProof/>
        </w:rPr>
        <w:t xml:space="preserve"> </w:t>
      </w:r>
    </w:p>
    <w:p w14:paraId="2B78B6FE" w14:textId="77777777" w:rsidR="003F7B89" w:rsidRPr="00020C7A" w:rsidRDefault="00597D7E" w:rsidP="00C0273F">
      <w:pPr>
        <w:pStyle w:val="Default"/>
        <w:spacing w:after="160"/>
        <w:jc w:val="both"/>
        <w:rPr>
          <w:noProof/>
        </w:rPr>
      </w:pPr>
      <w:r>
        <w:rPr>
          <w:noProof/>
        </w:rPr>
        <w:t>Nach Artikel </w:t>
      </w:r>
      <w:r w:rsidRPr="00D0022B">
        <w:rPr>
          <w:noProof/>
        </w:rPr>
        <w:t>2</w:t>
      </w:r>
      <w:r>
        <w:rPr>
          <w:noProof/>
        </w:rPr>
        <w:t xml:space="preserve"> Absatz </w:t>
      </w:r>
      <w:r w:rsidRPr="00D0022B">
        <w:rPr>
          <w:noProof/>
        </w:rPr>
        <w:t>2</w:t>
      </w:r>
      <w:r>
        <w:rPr>
          <w:noProof/>
        </w:rPr>
        <w:t xml:space="preserve"> der Verordnung sind die Mitgliedstaaten ermächtigt, keine Ausfuhrgenehmigungen für die in Anhang I unter dem ersten und zweiten Gedankenstrich der Kategorie A.</w:t>
      </w:r>
      <w:r w:rsidRPr="00D0022B">
        <w:rPr>
          <w:noProof/>
        </w:rPr>
        <w:t>1</w:t>
      </w:r>
      <w:r>
        <w:rPr>
          <w:noProof/>
        </w:rPr>
        <w:t xml:space="preserve"> aufgeführten Kulturgüter zu verlangen, wenn diese Güter von archäologisch oder wissenschaftlich beschränktem Wert sind. </w:t>
      </w:r>
    </w:p>
    <w:p w14:paraId="51110856" w14:textId="77777777" w:rsidR="001F0D23" w:rsidRPr="00020C7A" w:rsidRDefault="00947D48" w:rsidP="00C0273F">
      <w:pPr>
        <w:pStyle w:val="Default"/>
        <w:spacing w:after="160"/>
        <w:jc w:val="both"/>
        <w:rPr>
          <w:noProof/>
        </w:rPr>
      </w:pPr>
      <w:r>
        <w:rPr>
          <w:noProof/>
        </w:rPr>
        <w:t xml:space="preserve">In früheren Berichtszeiträumen hatte nur ein Mitgliedstaat angegeben, dass er von dieser Bestimmung Gebrauch gemacht habe. Im aktuellen Berichtszeitraum wurde jedoch von zwei weiteren Mitgliedstaaten berichtet, dass sie archäologische Gegenstände von beschränktem Wert von der Genehmigungspflicht ausgenommen haben. Als Kriterium für die Bestimmung des „beschränkten Werts“ scheint die Art der Gegenstände zugrunde zu liegen, insbesondere ob es sich um Gegenstände handelt, die in der Vergangenheit in großer Zahl produziert wurden und quasi identisch sind (z. B. antike Münzen), oder um solche, die seit vielen Jahren „ausgestellt“ sind und daher nicht mehr als </w:t>
      </w:r>
      <w:r>
        <w:rPr>
          <w:i/>
          <w:noProof/>
        </w:rPr>
        <w:t>„</w:t>
      </w:r>
      <w:r>
        <w:rPr>
          <w:b/>
          <w:i/>
          <w:noProof/>
        </w:rPr>
        <w:t>unmittelbares</w:t>
      </w:r>
      <w:r>
        <w:rPr>
          <w:i/>
          <w:noProof/>
        </w:rPr>
        <w:t xml:space="preserve"> Ergebnis von Ausgrabungen</w:t>
      </w:r>
      <w:r>
        <w:rPr>
          <w:noProof/>
        </w:rPr>
        <w:t xml:space="preserve">“ betrachtet werden können.  </w:t>
      </w:r>
    </w:p>
    <w:p w14:paraId="1579B1D2" w14:textId="77777777" w:rsidR="001F0D23" w:rsidRPr="000A656F" w:rsidRDefault="001F0D23" w:rsidP="00823E2B">
      <w:pPr>
        <w:pStyle w:val="Heading2"/>
        <w:rPr>
          <w:noProof/>
        </w:rPr>
      </w:pPr>
      <w:bookmarkStart w:id="16" w:name="_Toc111153423"/>
      <w:r w:rsidRPr="00D0022B">
        <w:rPr>
          <w:noProof/>
        </w:rPr>
        <w:t>4</w:t>
      </w:r>
      <w:r>
        <w:rPr>
          <w:noProof/>
        </w:rPr>
        <w:t>.</w:t>
      </w:r>
      <w:r w:rsidRPr="00D0022B">
        <w:rPr>
          <w:noProof/>
        </w:rPr>
        <w:t>8</w:t>
      </w:r>
      <w:r>
        <w:rPr>
          <w:noProof/>
        </w:rPr>
        <w:t> Gründe für die Ablehnung eines Genehmigungsantrags</w:t>
      </w:r>
      <w:bookmarkEnd w:id="16"/>
      <w:r>
        <w:rPr>
          <w:noProof/>
        </w:rPr>
        <w:t xml:space="preserve"> </w:t>
      </w:r>
    </w:p>
    <w:p w14:paraId="78A79250" w14:textId="7011F239" w:rsidR="00CB336A" w:rsidRPr="00020C7A" w:rsidRDefault="00FD493B" w:rsidP="00C0273F">
      <w:pPr>
        <w:pStyle w:val="Default"/>
        <w:spacing w:after="160"/>
        <w:jc w:val="both"/>
        <w:rPr>
          <w:noProof/>
        </w:rPr>
      </w:pPr>
      <w:r>
        <w:rPr>
          <w:noProof/>
        </w:rPr>
        <w:t xml:space="preserve">Wie in früheren Berichtszeiträumen sind Fälle der Ablehnung eines Ausfuhrgenehmigungsantrags recht selten. Mit Ausnahme des Vereinigten Königreichs, das zwei Drittel des EU-Kunstmarktes ausmacht und </w:t>
      </w:r>
      <w:r w:rsidRPr="00D0022B">
        <w:rPr>
          <w:noProof/>
        </w:rPr>
        <w:t>14</w:t>
      </w:r>
      <w:r>
        <w:rPr>
          <w:noProof/>
        </w:rPr>
        <w:t xml:space="preserve"> Ablehnungen meldete, wurde in den meisten übrigen Mitgliedstaaten im Berichtszeitraum durchschnittlich weniger als ein Antrag pro Jahr abgelehnt. Mehrere Mitgliedstaaten berichten, dass sie im Berichtszeitraum keinen Antrag abgelehnt haben, und zwei Mitgliedstaaten geben sogar an, noch nie einen Genehmigungsantrag abgelehnt zu haben. </w:t>
      </w:r>
    </w:p>
    <w:p w14:paraId="4FA4FCC6" w14:textId="77777777" w:rsidR="001F0D23" w:rsidRPr="00020C7A" w:rsidRDefault="00CB336A" w:rsidP="00C0273F">
      <w:pPr>
        <w:pStyle w:val="Default"/>
        <w:spacing w:after="160"/>
        <w:jc w:val="both"/>
        <w:rPr>
          <w:noProof/>
        </w:rPr>
      </w:pPr>
      <w:r>
        <w:rPr>
          <w:noProof/>
        </w:rPr>
        <w:t xml:space="preserve">Was die Gründe für die Ablehnung von Anträgen betrifft, wird – neben der Einstufung des Gegenstands als nationales Kulturgut, dessen Ausfuhr verboten ist – am häufigsten angegeben, dass der Wirtschaftsbeteiligte den Antrag nicht bei der richtigen zuständigen Behörde des Mitgliedstaats eingereicht hat, dass der Antragsteller die angeforderten Informationen zur rechtmäßigen Herkunft verweigert oder aus anderem Grund nicht beigebracht hat, dass der Gegenstand gefälscht war, dass der Gegenstand nicht in den Anwendungsbereich der Verordnung fiel, oder dass der Antragsteller die erforderliche nationale Verbringungsgenehmigung nicht eingeholt hat.  </w:t>
      </w:r>
    </w:p>
    <w:p w14:paraId="07821F8F" w14:textId="77777777" w:rsidR="003A7937" w:rsidRPr="00020C7A" w:rsidRDefault="00A80303" w:rsidP="00C0273F">
      <w:pPr>
        <w:pStyle w:val="Default"/>
        <w:spacing w:after="160"/>
        <w:jc w:val="both"/>
        <w:rPr>
          <w:noProof/>
        </w:rPr>
      </w:pPr>
      <w:r>
        <w:rPr>
          <w:noProof/>
        </w:rPr>
        <w:t xml:space="preserve">Dieser letztgenannte Ablehnungsgrund hängt mit bestimmten innerstaatlichen Rechtsvorschriften der Mitgliedstaaten zusammen, wonach ein Ausführer zusätzlich zur EU-Ausfuhrgenehmigung auch eine nationale „Verbringungsgenehmigung“ einholen muss, die die Ausfuhr des Kulturguts aus dem Staatsgebiet erlaubt. Soweit nach den Rechtsvorschriften bestimmter Mitgliedstaaten eine „Verbringungsgenehmigung“ erforderlich ist, muss die EU-Ausfuhrgenehmigung gleichzeitig oder innerhalb einer bestimmten Frist nach Erteilung der nationalen „Verbringungsgenehmigung“ beantragt werden, d. h. die Erlangung einer nationalen Genehmigung ist Voraussetzung und Grundlage für die Erteilung der EU-Ausfuhrgenehmigung. </w:t>
      </w:r>
    </w:p>
    <w:p w14:paraId="26016C72" w14:textId="77777777" w:rsidR="0087111E" w:rsidRPr="000A656F" w:rsidRDefault="0087111E" w:rsidP="00823E2B">
      <w:pPr>
        <w:pStyle w:val="Heading2"/>
        <w:rPr>
          <w:noProof/>
        </w:rPr>
      </w:pPr>
      <w:bookmarkStart w:id="17" w:name="_Toc111153424"/>
      <w:r w:rsidRPr="00D0022B">
        <w:rPr>
          <w:noProof/>
        </w:rPr>
        <w:t>4</w:t>
      </w:r>
      <w:r>
        <w:rPr>
          <w:noProof/>
        </w:rPr>
        <w:t>.</w:t>
      </w:r>
      <w:r w:rsidRPr="00D0022B">
        <w:rPr>
          <w:noProof/>
        </w:rPr>
        <w:t>9</w:t>
      </w:r>
      <w:r>
        <w:rPr>
          <w:noProof/>
        </w:rPr>
        <w:t> Probleme bei den Genehmigungsvordrucken</w:t>
      </w:r>
      <w:bookmarkEnd w:id="17"/>
      <w:r>
        <w:rPr>
          <w:noProof/>
        </w:rPr>
        <w:t xml:space="preserve"> </w:t>
      </w:r>
    </w:p>
    <w:p w14:paraId="1FAA0D6F" w14:textId="77777777" w:rsidR="0087111E" w:rsidRPr="00020C7A" w:rsidRDefault="00CD186F" w:rsidP="00C0273F">
      <w:pPr>
        <w:pStyle w:val="Default"/>
        <w:spacing w:after="160"/>
        <w:jc w:val="both"/>
        <w:rPr>
          <w:noProof/>
        </w:rPr>
      </w:pPr>
      <w:r>
        <w:rPr>
          <w:b/>
          <w:noProof/>
        </w:rPr>
        <w:t>Fotos</w:t>
      </w:r>
      <w:r>
        <w:rPr>
          <w:noProof/>
        </w:rPr>
        <w:t xml:space="preserve">. Die Aufnahme von Fotos in den Genehmigungsantrag ist von großer Bedeutung, da der Zoll auf diesem Wege den Gegenstand bei der Kontrolle der Ausfuhrgenehmigung identifizieren kann. Alle Mitgliedstaaten verlangen für endgültige Ausfuhren ein Foto, vor allem wenn Sammlungen unter einer einzigen Genehmigung ausgeführt werden sollen. Bei vorübergehenden Ausfuhren von Gegenständen von geringem Wert (z. B. Sammlungen von Büchern oder anderen Gegenständen ohne besondere Kennzeichen) machen bestimmte Mitgliedstaaten gewisse Ausnahmen. </w:t>
      </w:r>
    </w:p>
    <w:p w14:paraId="59D221C1" w14:textId="77777777" w:rsidR="0087111E" w:rsidRPr="00020C7A" w:rsidRDefault="00792936" w:rsidP="00C0273F">
      <w:pPr>
        <w:pStyle w:val="Default"/>
        <w:spacing w:after="160"/>
        <w:jc w:val="both"/>
        <w:rPr>
          <w:noProof/>
        </w:rPr>
      </w:pPr>
      <w:r>
        <w:rPr>
          <w:b/>
          <w:noProof/>
        </w:rPr>
        <w:t>Rücksendung des Blatts </w:t>
      </w:r>
      <w:r w:rsidRPr="00D0022B">
        <w:rPr>
          <w:b/>
          <w:noProof/>
        </w:rPr>
        <w:t>3</w:t>
      </w:r>
      <w:r>
        <w:rPr>
          <w:noProof/>
        </w:rPr>
        <w:t>. Nach Artikel </w:t>
      </w:r>
      <w:r w:rsidRPr="00D0022B">
        <w:rPr>
          <w:noProof/>
        </w:rPr>
        <w:t>5</w:t>
      </w:r>
      <w:r>
        <w:rPr>
          <w:noProof/>
        </w:rPr>
        <w:t xml:space="preserve"> der Durchführungsverordnung wird das Blatt </w:t>
      </w:r>
      <w:r w:rsidRPr="00D0022B">
        <w:rPr>
          <w:noProof/>
        </w:rPr>
        <w:t>3</w:t>
      </w:r>
      <w:r>
        <w:rPr>
          <w:rStyle w:val="FootnoteReference"/>
          <w:noProof/>
        </w:rPr>
        <w:footnoteReference w:id="18"/>
      </w:r>
      <w:r>
        <w:rPr>
          <w:noProof/>
        </w:rPr>
        <w:t xml:space="preserve"> des Ausfuhrgenehmigungsvordrucks von der Ausgangszollstelle an die ausstellende Behörde zurückgeschickt, um zu bestätigen, dass die Ausfuhr unter Verwendung der Genehmigung tatsächlich stattgefunden hat. Nach Angabe der Mitgliedstaaten geschieht dies jedoch nicht immer. </w:t>
      </w:r>
    </w:p>
    <w:p w14:paraId="6D65DF6C" w14:textId="77777777" w:rsidR="00725E9E" w:rsidRPr="00020C7A" w:rsidRDefault="00725E9E" w:rsidP="00C0273F">
      <w:pPr>
        <w:pStyle w:val="Default"/>
        <w:spacing w:after="160"/>
        <w:jc w:val="both"/>
        <w:rPr>
          <w:noProof/>
        </w:rPr>
      </w:pPr>
      <w:r>
        <w:rPr>
          <w:noProof/>
        </w:rPr>
        <w:t xml:space="preserve">Nur zwei Mitgliedstaaten, die ein elektronisches System zur Erteilung von Ausfuhrlizenzen entwickelt haben und verwenden, können überprüfen, ob alle Genehmigungen verwendet wurden, da ihr System mit dem Zoll verbunden ist. Die Überprüfung ist jedoch auch in diesen Fällen schwierig, wenn die Kulturgüter die Union über das Hoheitsgebiet eines anderen Mitgliedstaats verlassen. Die Nutzung eines zentralen elektronischen Genehmigungssystems, das mit den Zoll-IT-Systemen verbunden ist – wie es derzeit für die Zwecke der Einfuhrverordnung entwickelt wird – wird von den Mitgliedstaaten allgemein als ideale Lösung für dieses Problem angesehen. </w:t>
      </w:r>
    </w:p>
    <w:p w14:paraId="78392B2A" w14:textId="77777777" w:rsidR="0087111E" w:rsidRPr="000A656F" w:rsidRDefault="0087111E" w:rsidP="00823E2B">
      <w:pPr>
        <w:pStyle w:val="Heading2"/>
        <w:rPr>
          <w:noProof/>
        </w:rPr>
      </w:pPr>
      <w:bookmarkStart w:id="18" w:name="_Toc111153425"/>
      <w:r w:rsidRPr="00D0022B">
        <w:rPr>
          <w:noProof/>
        </w:rPr>
        <w:t>4</w:t>
      </w:r>
      <w:r>
        <w:rPr>
          <w:noProof/>
        </w:rPr>
        <w:t>.</w:t>
      </w:r>
      <w:r w:rsidRPr="00D0022B">
        <w:rPr>
          <w:noProof/>
        </w:rPr>
        <w:t>10</w:t>
      </w:r>
      <w:r>
        <w:rPr>
          <w:noProof/>
        </w:rPr>
        <w:t> Rücknahme oder Widerruf von Genehmigungen</w:t>
      </w:r>
      <w:bookmarkEnd w:id="18"/>
      <w:r>
        <w:rPr>
          <w:noProof/>
        </w:rPr>
        <w:t xml:space="preserve"> </w:t>
      </w:r>
    </w:p>
    <w:p w14:paraId="4439F10E" w14:textId="77777777" w:rsidR="0087111E" w:rsidRPr="00020C7A" w:rsidRDefault="0087111E" w:rsidP="00C0273F">
      <w:pPr>
        <w:pStyle w:val="Default"/>
        <w:spacing w:after="160"/>
        <w:jc w:val="both"/>
        <w:rPr>
          <w:noProof/>
        </w:rPr>
      </w:pPr>
      <w:r>
        <w:rPr>
          <w:noProof/>
        </w:rPr>
        <w:t xml:space="preserve">In etwa der Hälfte der Mitgliedstaaten gibt es gesetzliche Regelungen zur Rücknahme oder zum Widerruf bereits erteilter Genehmigungen, entweder in Form spezifischer Vorschriften für Kulturgüter oder auf der Grundlage des verwaltungsrechtlichen Prinzips, nach dem ein Verwaltungsakt widerrufen werden kann, wenn er auf irreführenden oder falschen Angaben beruht. Im Berichtszeitraum hat lediglich ein Mitgliedstaat Ausfuhrgenehmigungen widerrufen (in einem Fall). Ein anderer Mitgliedstaat gab an, dass </w:t>
      </w:r>
      <w:r w:rsidRPr="00D0022B">
        <w:rPr>
          <w:noProof/>
        </w:rPr>
        <w:t>13</w:t>
      </w:r>
      <w:r>
        <w:rPr>
          <w:noProof/>
        </w:rPr>
        <w:t> nationale „Verbringungsgenehmigungen“ widerrufen wurden, die in diesem Mitgliedstaat eine Voraussetzung für die Erteilung einer EU-Ausfuhrgenehmigung sind.</w:t>
      </w:r>
    </w:p>
    <w:p w14:paraId="7DE1773B" w14:textId="77777777" w:rsidR="0087111E" w:rsidRPr="000A656F" w:rsidRDefault="0087111E" w:rsidP="00823E2B">
      <w:pPr>
        <w:pStyle w:val="Heading2"/>
        <w:rPr>
          <w:noProof/>
        </w:rPr>
      </w:pPr>
      <w:bookmarkStart w:id="19" w:name="_Toc111153426"/>
      <w:r w:rsidRPr="00D0022B">
        <w:rPr>
          <w:noProof/>
        </w:rPr>
        <w:t>4</w:t>
      </w:r>
      <w:r>
        <w:rPr>
          <w:noProof/>
        </w:rPr>
        <w:t>.</w:t>
      </w:r>
      <w:r w:rsidRPr="00D0022B">
        <w:rPr>
          <w:noProof/>
        </w:rPr>
        <w:t>11</w:t>
      </w:r>
      <w:r>
        <w:rPr>
          <w:noProof/>
        </w:rPr>
        <w:t> Verwendung elektronischer Systeme/Datenbanken</w:t>
      </w:r>
      <w:bookmarkEnd w:id="19"/>
    </w:p>
    <w:p w14:paraId="4DA807C5" w14:textId="149E2E04" w:rsidR="00CC2181" w:rsidRPr="00020C7A" w:rsidRDefault="00CC2181" w:rsidP="00C0273F">
      <w:pPr>
        <w:autoSpaceDE w:val="0"/>
        <w:autoSpaceDN w:val="0"/>
        <w:adjustRightInd w:val="0"/>
        <w:spacing w:after="160"/>
        <w:jc w:val="both"/>
        <w:rPr>
          <w:noProof/>
        </w:rPr>
      </w:pPr>
      <w:r>
        <w:rPr>
          <w:noProof/>
        </w:rPr>
        <w:t>Wie bereits erwähnt (</w:t>
      </w:r>
      <w:r>
        <w:rPr>
          <w:i/>
          <w:noProof/>
        </w:rPr>
        <w:t>siehe</w:t>
      </w:r>
      <w:r>
        <w:rPr>
          <w:noProof/>
        </w:rPr>
        <w:t xml:space="preserve"> Abschnitt </w:t>
      </w:r>
      <w:r w:rsidRPr="00D0022B">
        <w:rPr>
          <w:noProof/>
        </w:rPr>
        <w:t>3</w:t>
      </w:r>
      <w:r>
        <w:rPr>
          <w:noProof/>
        </w:rPr>
        <w:t>.</w:t>
      </w:r>
      <w:r w:rsidRPr="00D0022B">
        <w:rPr>
          <w:noProof/>
        </w:rPr>
        <w:t>1</w:t>
      </w:r>
      <w:r>
        <w:rPr>
          <w:noProof/>
        </w:rPr>
        <w:t xml:space="preserve">), arbeiten die Dienststellen der Kommission derzeit an der Entwicklung des „EKG-Systems“ für die Einfuhr von Kulturgütern, eines zentralen elektronischen Systems für die Erledigung von Formalitäten und die Verwaltungszusammenarbeit im Rahmen der Verordnung (EU) </w:t>
      </w:r>
      <w:r w:rsidRPr="00D0022B">
        <w:rPr>
          <w:noProof/>
        </w:rPr>
        <w:t>2019</w:t>
      </w:r>
      <w:r>
        <w:rPr>
          <w:noProof/>
        </w:rPr>
        <w:t>/</w:t>
      </w:r>
      <w:r w:rsidRPr="00D0022B">
        <w:rPr>
          <w:noProof/>
        </w:rPr>
        <w:t>880</w:t>
      </w:r>
      <w:r>
        <w:rPr>
          <w:noProof/>
        </w:rPr>
        <w:t>. In Anbetracht der Erwartung, dass dieses System Kontrollen erleichtern und zur Bekämpfung des illegalen Handels mit Kulturgütern aus Drittländern beitragen wird, erschien es sinnvoll, das Gleiche für Kulturgüter europäischen Ursprungs zu unternehmen und ihnen den gleichen Schutz zukommen zu lassen. Die Dienststellen der Kommission haben daher darauf geachtet, das EKG-System so zu gestalten, dass es – mit den notwendigen Anpassungen – in Zukunft auch für die Zwecke des EU-Ausfuhrgenehmigungssystems verwendet werden kann.</w:t>
      </w:r>
    </w:p>
    <w:p w14:paraId="423EFBCA" w14:textId="77777777" w:rsidR="000577B7" w:rsidRPr="00020C7A" w:rsidRDefault="000577B7" w:rsidP="00C0273F">
      <w:pPr>
        <w:autoSpaceDE w:val="0"/>
        <w:autoSpaceDN w:val="0"/>
        <w:adjustRightInd w:val="0"/>
        <w:spacing w:after="160"/>
        <w:jc w:val="both"/>
        <w:rPr>
          <w:noProof/>
        </w:rPr>
      </w:pPr>
      <w:r>
        <w:rPr>
          <w:noProof/>
        </w:rPr>
        <w:t>Immer mehr Mitgliedstaaten haben ihr Ausfuhrgenehmigungssystem digitalisiert oder sind derzeit dabei, dies zu tun. In einigen Mitgliedstaaten kann der Antrag auf elektronischem Wege ausgefüllt und eingereicht werden (z. B. über ein interaktives PDF-Formular im Internet), doch die Unterschrift und die anschließende Erteilung der Ausfuhrgenehmigung erfolgen nach wie vor auf Papier. Dies liegt daran, dass die Durchführungsverordnung die Verwendung eines Vordrucks für die Genehmigung vorsieht.</w:t>
      </w:r>
    </w:p>
    <w:p w14:paraId="054E4B74" w14:textId="77777777" w:rsidR="00DB3F51" w:rsidRPr="00020C7A" w:rsidRDefault="000577B7" w:rsidP="00C0273F">
      <w:pPr>
        <w:autoSpaceDE w:val="0"/>
        <w:autoSpaceDN w:val="0"/>
        <w:adjustRightInd w:val="0"/>
        <w:spacing w:after="160"/>
        <w:jc w:val="both"/>
        <w:rPr>
          <w:noProof/>
        </w:rPr>
      </w:pPr>
      <w:r>
        <w:rPr>
          <w:noProof/>
        </w:rPr>
        <w:t xml:space="preserve">In diesem Zusammenhang muss auch darauf hingewiesen werden, dass die nationalen Rechtsvorschriften in mehreren Mitgliedstaaten derzeit das Recht der Bürger vorsehen, Anträge bei Behörden in einem digitalen Format online einreichen zu können. Diesem Recht, das alle Arten von Anträgen – nicht nur im Zusammenhang mit der Ausfuhr von Kulturgütern – betrifft, steht die Verpflichtung der Behörden gegenüber, entsprechende IT-Plattformen und </w:t>
      </w:r>
      <w:r>
        <w:rPr>
          <w:noProof/>
        </w:rPr>
        <w:noBreakHyphen/>
        <w:t>Systeme zu entwickeln, um ihre Verfahren zu digitalisieren und Anträge von Antragstellern elektronisch entgegennehmen zu können. Dementsprechend haben mehrere Mitgliedstaaten derartige nationalen elektronischen Systeme entwickelt, um sowohl EU-Ausfuhrgenehmigungen als auch nationale Verbringungsgenehmigungen, d. h. Genehmigungen für die Verbringung von Kulturgütern innerhalb der Union, zu verwalten.</w:t>
      </w:r>
    </w:p>
    <w:p w14:paraId="27B1572A" w14:textId="77777777" w:rsidR="00DB3F51" w:rsidRPr="00020C7A" w:rsidRDefault="005A0875" w:rsidP="00C0273F">
      <w:pPr>
        <w:autoSpaceDE w:val="0"/>
        <w:autoSpaceDN w:val="0"/>
        <w:adjustRightInd w:val="0"/>
        <w:spacing w:after="160"/>
        <w:jc w:val="both"/>
        <w:rPr>
          <w:noProof/>
        </w:rPr>
      </w:pPr>
      <w:r>
        <w:rPr>
          <w:noProof/>
        </w:rPr>
        <w:t>Die Vorteile eines digitalen EU-Systems für Ausfuhrgenehmigungen sind zahlreich und offenkundig: bessere Zusammenarbeit und Kommunikation zwischen Zoll- und Kulturbehörden auf nationaler und auch auf Unionsebene; bessere Überwachung der Verwendung von Genehmigungen, insbesondere wenn sich die Ausgangszollstelle nicht in dem Mitgliedstaat befindet, der die Genehmigung erteilt hat; Schnittstelle zu Zoll-IT-Systemen über die zentrale europäische Anlaufstelle („Single Window“) für den Zoll; Handelserleichterungen für Ausführer; einheitlichere Durchführung der Verordnung; schnellere Erledigung von Formalitäten in einem papierlosen Umfeld und wirksame Verhinderung von Fälschungen – um nur einige zu nennen, sodass die große Mehrheit der Mitgliedstaaten die Digitalisierung stark befürwortet. Zwei Mitgliedstaaten haben jedoch gewisse Bedenken hinsichtlich der Verwendung eines zentralen elektronischen Systems des gleichen Typs, wie er derzeit für Einfuhrzwecke entwickelt wird, geäußert.</w:t>
      </w:r>
    </w:p>
    <w:p w14:paraId="5969BEAC" w14:textId="77777777" w:rsidR="0087111E" w:rsidRPr="00020C7A" w:rsidRDefault="00F52DE4" w:rsidP="00C0273F">
      <w:pPr>
        <w:autoSpaceDE w:val="0"/>
        <w:autoSpaceDN w:val="0"/>
        <w:adjustRightInd w:val="0"/>
        <w:spacing w:after="160"/>
        <w:jc w:val="both"/>
        <w:rPr>
          <w:noProof/>
        </w:rPr>
      </w:pPr>
      <w:r>
        <w:rPr>
          <w:noProof/>
        </w:rPr>
        <w:t>Diese Mitgliedstaaten haben konkret darauf hingewiesen, dass die von ihnen derzeit verwendeten nationalen Systeme oder Datenbanken auf ihre Besonderheiten abgestimmt sind, zumal ihre Rechtsvorschriften nationale Genehmigungen vorsehen, die zusätzlich zur EU-Ausfuhrgenehmigung eingeholt werden müssen oder Voraussetzung für die Erteilung der EU-Ausfuhrgenehmigung sind. Darüber hinaus könnte es angesichts der bereits getätigten Investitionen kontraproduktiv erscheinen, ihre nationalen Systeme vollständig abzuschaffen, um sie durch ein zentrales EU-System zu ersetzen.</w:t>
      </w:r>
    </w:p>
    <w:p w14:paraId="48C4B336" w14:textId="1F040642" w:rsidR="0087095C" w:rsidRPr="00020C7A" w:rsidRDefault="0087095C" w:rsidP="00C0273F">
      <w:pPr>
        <w:autoSpaceDE w:val="0"/>
        <w:autoSpaceDN w:val="0"/>
        <w:adjustRightInd w:val="0"/>
        <w:spacing w:after="160"/>
        <w:jc w:val="both"/>
        <w:rPr>
          <w:noProof/>
        </w:rPr>
      </w:pPr>
      <w:r>
        <w:rPr>
          <w:noProof/>
        </w:rPr>
        <w:t>Aus diesem Grund haben die Kommissionsdienststellen eine Durchführbarkeitsstudie in Auftrag gegeben, in der – neben anderen Digitalisierungsaspekten – das Geschäftsszenario der Entwicklung einer „hybriden“ Erweiterung des EKG-Systems für Ausfuhrzwecke analysiert und untersucht wird, bei dem diejenigen Funktionen, deren Digitalisierung Vorteile bringt, zentralisiert würden, während andere Komponenten, die besser auf der Ebene der Mitgliedstaaten angegangen werden sollten, den nationalen Systemen überlassen würden (mit der Möglichkeit einer Schnittstelle).</w:t>
      </w:r>
    </w:p>
    <w:p w14:paraId="3D1BF995" w14:textId="13A353CC" w:rsidR="00A357B5" w:rsidRPr="00020C7A" w:rsidRDefault="00B97FB8" w:rsidP="00C0273F">
      <w:pPr>
        <w:autoSpaceDE w:val="0"/>
        <w:autoSpaceDN w:val="0"/>
        <w:adjustRightInd w:val="0"/>
        <w:spacing w:after="160"/>
        <w:jc w:val="both"/>
        <w:rPr>
          <w:noProof/>
        </w:rPr>
      </w:pPr>
      <w:r>
        <w:rPr>
          <w:noProof/>
        </w:rPr>
        <w:t xml:space="preserve">Die Digitalisierung in Verbindung mit der Regelung für die Ausfuhrgenehmigungspflicht erfordert eine Änderung der Durchführungsbestimmungen der Verordnung (Verordnung (EU) </w:t>
      </w:r>
      <w:r w:rsidRPr="00D0022B">
        <w:rPr>
          <w:noProof/>
        </w:rPr>
        <w:t>1081</w:t>
      </w:r>
      <w:r>
        <w:rPr>
          <w:noProof/>
        </w:rPr>
        <w:t>/</w:t>
      </w:r>
      <w:r w:rsidRPr="00D0022B">
        <w:rPr>
          <w:noProof/>
        </w:rPr>
        <w:t>2012</w:t>
      </w:r>
      <w:r>
        <w:rPr>
          <w:noProof/>
        </w:rPr>
        <w:t>). Mit dem gleichen Instrument sollte auch die Beziehung von Ausfuhr- und Einfuhrgenehmigungen festgelegt werden, um Rechtssicherheit zu gewährleisten und Doppelanforderungen hinsichtlich der Dokumentation zu vermeiden</w:t>
      </w:r>
      <w:r>
        <w:rPr>
          <w:rStyle w:val="FootnoteReference"/>
          <w:noProof/>
        </w:rPr>
        <w:footnoteReference w:id="19"/>
      </w:r>
      <w:r>
        <w:rPr>
          <w:noProof/>
        </w:rPr>
        <w:t xml:space="preserve">. </w:t>
      </w:r>
    </w:p>
    <w:p w14:paraId="7542903C" w14:textId="77777777" w:rsidR="00A357B5" w:rsidRPr="000A656F" w:rsidRDefault="00A357B5" w:rsidP="00823E2B">
      <w:pPr>
        <w:pStyle w:val="Heading2"/>
        <w:rPr>
          <w:noProof/>
        </w:rPr>
      </w:pPr>
      <w:bookmarkStart w:id="20" w:name="_Toc111153427"/>
      <w:r w:rsidRPr="00D0022B">
        <w:rPr>
          <w:noProof/>
        </w:rPr>
        <w:t>4</w:t>
      </w:r>
      <w:r>
        <w:rPr>
          <w:noProof/>
        </w:rPr>
        <w:t>.</w:t>
      </w:r>
      <w:r w:rsidRPr="00D0022B">
        <w:rPr>
          <w:noProof/>
        </w:rPr>
        <w:t>12</w:t>
      </w:r>
      <w:r>
        <w:rPr>
          <w:noProof/>
        </w:rPr>
        <w:t> Sachmittel und Personal</w:t>
      </w:r>
      <w:bookmarkEnd w:id="20"/>
      <w:r>
        <w:rPr>
          <w:noProof/>
        </w:rPr>
        <w:t xml:space="preserve"> </w:t>
      </w:r>
    </w:p>
    <w:p w14:paraId="15A4361A" w14:textId="77777777" w:rsidR="00A357B5" w:rsidRPr="00020C7A" w:rsidRDefault="00A357B5" w:rsidP="00C0273F">
      <w:pPr>
        <w:autoSpaceDE w:val="0"/>
        <w:autoSpaceDN w:val="0"/>
        <w:adjustRightInd w:val="0"/>
        <w:spacing w:after="160"/>
        <w:jc w:val="both"/>
        <w:rPr>
          <w:noProof/>
        </w:rPr>
      </w:pPr>
      <w:r>
        <w:rPr>
          <w:noProof/>
        </w:rPr>
        <w:t>Der für die Durchführung der Verordnung erforderliche Bedarf an Sachmitteln und Personal ist im Berichtszeitraum in den meisten Mitgliedstaaten konstant geblieben. In drei Mitgliedstaaten wurden die personellen Ressourcen in Anbetracht des steigenden Bedarfs in Politik und Verwaltung erhöht, während der gestiegene Bedarf in zwei weiteren Mitgliedstaaten noch nicht durch die Einstellung der benötigten Mitarbeiter gedeckt wurde (einer dieser Mitgliedstaaten gab die COVID-</w:t>
      </w:r>
      <w:r w:rsidRPr="00D0022B">
        <w:rPr>
          <w:noProof/>
        </w:rPr>
        <w:t>19</w:t>
      </w:r>
      <w:r>
        <w:rPr>
          <w:noProof/>
        </w:rPr>
        <w:t>-Pandemie als Grund für die Verspätungen bei der Einstellung von zusätzlichem Personal an). Drei Mitgliedstaaten gaben an, dass ihr Bedarf aufgrund der rückläufigen Zahl von Ausfuhrgenehmigungen zurückgegangen sei (als Ursache für den Rückgang wurde auch hier COVID-</w:t>
      </w:r>
      <w:r w:rsidRPr="00D0022B">
        <w:rPr>
          <w:noProof/>
        </w:rPr>
        <w:t>19</w:t>
      </w:r>
      <w:r>
        <w:rPr>
          <w:noProof/>
        </w:rPr>
        <w:t xml:space="preserve"> genannt).</w:t>
      </w:r>
    </w:p>
    <w:p w14:paraId="57BC30ED" w14:textId="77777777" w:rsidR="00A357B5" w:rsidRPr="000A656F" w:rsidRDefault="00A357B5" w:rsidP="0048262E">
      <w:pPr>
        <w:pStyle w:val="Heading1"/>
        <w:rPr>
          <w:noProof/>
        </w:rPr>
      </w:pPr>
      <w:bookmarkStart w:id="21" w:name="_Toc111153428"/>
      <w:r>
        <w:rPr>
          <w:noProof/>
        </w:rPr>
        <w:t>Schlussfolgerungen und offene Fragen</w:t>
      </w:r>
      <w:bookmarkEnd w:id="21"/>
    </w:p>
    <w:p w14:paraId="69ADD7C0" w14:textId="77130477" w:rsidR="00A357B5" w:rsidRPr="00A972C9" w:rsidRDefault="00A357B5" w:rsidP="00C0273F">
      <w:pPr>
        <w:pStyle w:val="Default"/>
        <w:spacing w:after="160"/>
        <w:jc w:val="both"/>
        <w:rPr>
          <w:noProof/>
        </w:rPr>
      </w:pPr>
      <w:r>
        <w:rPr>
          <w:noProof/>
        </w:rPr>
        <w:t xml:space="preserve">Den Rückmeldungen der Mitgliedstaaten für den Berichtszeitraum </w:t>
      </w:r>
      <w:r w:rsidRPr="00D0022B">
        <w:rPr>
          <w:noProof/>
        </w:rPr>
        <w:t>2018</w:t>
      </w:r>
      <w:r>
        <w:rPr>
          <w:noProof/>
        </w:rPr>
        <w:t>–</w:t>
      </w:r>
      <w:r w:rsidRPr="00D0022B">
        <w:rPr>
          <w:noProof/>
        </w:rPr>
        <w:t>2020</w:t>
      </w:r>
      <w:r>
        <w:rPr>
          <w:noProof/>
        </w:rPr>
        <w:t xml:space="preserve"> ist zu entnehmen, dass die Verordnung ihren vorgesehenen Zweck gut erfüllt und als enorm wichtiges Rechtsinstrument zur Bekämpfung des illegalen Handels mit Kulturgütern wahrgenommen wird. </w:t>
      </w:r>
    </w:p>
    <w:p w14:paraId="4D3AD0EB" w14:textId="77777777" w:rsidR="00521BC7" w:rsidRPr="00A972C9" w:rsidRDefault="005172E2" w:rsidP="00C0273F">
      <w:pPr>
        <w:pStyle w:val="Default"/>
        <w:spacing w:after="160"/>
        <w:jc w:val="both"/>
        <w:rPr>
          <w:noProof/>
        </w:rPr>
      </w:pPr>
      <w:r>
        <w:rPr>
          <w:noProof/>
        </w:rPr>
        <w:t xml:space="preserve">Wie bereits in vorherigen Berichten festgestellt wurde, erweist sich die Zusammenarbeit zwischen den Behörden, die in der gesamten Union für die Anwendung der Verordnung zuständig sind, als einer der wichtigsten Aspekte, bei denen die Durchführung verbessert werden kann. </w:t>
      </w:r>
    </w:p>
    <w:p w14:paraId="646D9DFC" w14:textId="3E359039" w:rsidR="00A357B5" w:rsidRPr="00A972C9" w:rsidRDefault="008172DE" w:rsidP="00C0273F">
      <w:pPr>
        <w:pStyle w:val="Default"/>
        <w:spacing w:after="160"/>
        <w:jc w:val="both"/>
        <w:rPr>
          <w:noProof/>
        </w:rPr>
      </w:pPr>
      <w:r>
        <w:rPr>
          <w:noProof/>
        </w:rPr>
        <w:t>Die unterschiedliche Auslegung gewisser Bestimmungen der Verordnung und insbesondere des Anwendungsbereichs der Kategorien von Kulturgütern und des Schlüsselbegriffs [wo sich das betreffende Kulturgut] „</w:t>
      </w:r>
      <w:r>
        <w:rPr>
          <w:i/>
          <w:iCs/>
          <w:noProof/>
        </w:rPr>
        <w:t>endgültig befunden hat</w:t>
      </w:r>
      <w:r>
        <w:rPr>
          <w:noProof/>
        </w:rPr>
        <w:t xml:space="preserve">“, der bestimmt, welcher Mitgliedstaat für die Erteilung der Ausfuhrgenehmigung zuständig ist, werden ebenfalls als mögliche Hindernisse für die einheitliche Durchführung der Verordnung genannt. </w:t>
      </w:r>
    </w:p>
    <w:p w14:paraId="5C52CBD9" w14:textId="77777777" w:rsidR="008172DE" w:rsidRPr="00A972C9" w:rsidRDefault="008172DE" w:rsidP="00C0273F">
      <w:pPr>
        <w:pStyle w:val="Default"/>
        <w:spacing w:after="160"/>
        <w:jc w:val="both"/>
        <w:rPr>
          <w:noProof/>
        </w:rPr>
      </w:pPr>
      <w:r>
        <w:rPr>
          <w:noProof/>
        </w:rPr>
        <w:t>Mehrere Mitgliedstaaten weisen auch darauf hin, dass die Wertgruppen nicht gut an die lokalen Preise und Märkte angepasst und die Grenzwerte viel zu hoch seien, was dazu führt, dass viele Kulturgüter, die nach ihren innerstaatlichen Rechtsvorschriften als nationales Kulturgut eingestuft werden, vom Geltungsbereich und Schutz der Verordnung ausgeschlossen sind.</w:t>
      </w:r>
    </w:p>
    <w:p w14:paraId="6F6334F9" w14:textId="77777777" w:rsidR="000A656F" w:rsidRPr="00A972C9" w:rsidRDefault="00A357B5" w:rsidP="00C0273F">
      <w:pPr>
        <w:autoSpaceDE w:val="0"/>
        <w:autoSpaceDN w:val="0"/>
        <w:adjustRightInd w:val="0"/>
        <w:spacing w:after="160"/>
        <w:jc w:val="both"/>
        <w:rPr>
          <w:noProof/>
        </w:rPr>
      </w:pPr>
      <w:r>
        <w:rPr>
          <w:noProof/>
        </w:rPr>
        <w:t>Schließlich bekräftigen die Mitgliedstaaten erneut ihre Bereitschaft zur Umstellung von papierbasierten Ausfuhrgenehmigungen auf ein elektronisches, papierloses System. Ihrer Ansicht nach wird die Digitalisierung der Ausfuhrgenehmigungen die Erledigung der Formalitäten durch die Wirtschaftsbeteiligten vereinfachen, die Bearbeitung der Anträge beschleunigen, eine bessere Überprüfung der Herkunft durch die zuständigen Behörden ermöglichen und die Wirksamkeit und Effizienz der Zollkontrollen verbessern.</w:t>
      </w:r>
    </w:p>
    <w:p w14:paraId="4BF418EF" w14:textId="77777777" w:rsidR="00A357B5" w:rsidRPr="000A656F" w:rsidRDefault="00A357B5" w:rsidP="00A357B5">
      <w:pPr>
        <w:jc w:val="both"/>
        <w:rPr>
          <w:noProof/>
          <w:sz w:val="23"/>
        </w:rPr>
      </w:pPr>
    </w:p>
    <w:p w14:paraId="6E6D78FD" w14:textId="77777777" w:rsidR="00A357B5" w:rsidRPr="000A656F" w:rsidRDefault="00A357B5">
      <w:pPr>
        <w:rPr>
          <w:noProof/>
          <w:sz w:val="23"/>
        </w:rPr>
      </w:pPr>
      <w:r>
        <w:rPr>
          <w:noProof/>
        </w:rPr>
        <w:br w:type="page"/>
      </w:r>
    </w:p>
    <w:p w14:paraId="78C77EE3" w14:textId="77777777" w:rsidR="00A357B5" w:rsidRPr="000A656F" w:rsidRDefault="00A357B5" w:rsidP="00C34E95">
      <w:pPr>
        <w:pStyle w:val="Heading1"/>
        <w:spacing w:before="0" w:after="240"/>
        <w:rPr>
          <w:noProof/>
        </w:rPr>
      </w:pPr>
      <w:bookmarkStart w:id="22" w:name="_Toc111153429"/>
      <w:r>
        <w:rPr>
          <w:noProof/>
        </w:rPr>
        <w:t>Anhänge</w:t>
      </w:r>
      <w:bookmarkEnd w:id="22"/>
    </w:p>
    <w:p w14:paraId="185BC9C5" w14:textId="77777777" w:rsidR="00A357B5" w:rsidRPr="000A656F" w:rsidRDefault="00A357B5" w:rsidP="00665FC8">
      <w:pPr>
        <w:pStyle w:val="Heading2"/>
        <w:rPr>
          <w:noProof/>
        </w:rPr>
      </w:pPr>
      <w:bookmarkStart w:id="23" w:name="_Toc111153430"/>
      <w:r>
        <w:rPr>
          <w:noProof/>
        </w:rPr>
        <w:t>Tabelle </w:t>
      </w:r>
      <w:r w:rsidRPr="00D0022B">
        <w:rPr>
          <w:noProof/>
        </w:rPr>
        <w:t>1</w:t>
      </w:r>
      <w:r>
        <w:rPr>
          <w:noProof/>
        </w:rPr>
        <w:t>. Von den Mitgliedstaaten erteilte normale Ausfuhrgenehmigungen</w:t>
      </w:r>
      <w:bookmarkEnd w:id="23"/>
    </w:p>
    <w:tbl>
      <w:tblPr>
        <w:tblW w:w="9062" w:type="dxa"/>
        <w:tblInd w:w="1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50"/>
        <w:gridCol w:w="1441"/>
        <w:gridCol w:w="1441"/>
        <w:gridCol w:w="1370"/>
        <w:gridCol w:w="1524"/>
        <w:gridCol w:w="1736"/>
      </w:tblGrid>
      <w:tr w:rsidR="008B244E" w:rsidRPr="008B244E" w14:paraId="203BDDCF" w14:textId="77777777" w:rsidTr="008B244E">
        <w:trPr>
          <w:trHeight w:val="590"/>
        </w:trPr>
        <w:tc>
          <w:tcPr>
            <w:tcW w:w="1550" w:type="dxa"/>
            <w:vMerge w:val="restart"/>
            <w:tcBorders>
              <w:top w:val="double" w:sz="4" w:space="0" w:color="auto"/>
              <w:right w:val="single" w:sz="4" w:space="0" w:color="auto"/>
            </w:tcBorders>
            <w:shd w:val="clear" w:color="auto" w:fill="DBE5F1" w:themeFill="accent1" w:themeFillTint="33"/>
            <w:noWrap/>
            <w:vAlign w:val="center"/>
          </w:tcPr>
          <w:p w14:paraId="1458556C" w14:textId="77777777" w:rsidR="008B244E" w:rsidRPr="008B244E" w:rsidRDefault="008B244E" w:rsidP="008B244E">
            <w:pPr>
              <w:jc w:val="center"/>
              <w:rPr>
                <w:b/>
                <w:noProof/>
                <w:sz w:val="22"/>
              </w:rPr>
            </w:pPr>
            <w:r>
              <w:rPr>
                <w:b/>
                <w:noProof/>
                <w:sz w:val="22"/>
              </w:rPr>
              <w:t>Mitgliedstaat</w:t>
            </w:r>
          </w:p>
        </w:tc>
        <w:tc>
          <w:tcPr>
            <w:tcW w:w="4252" w:type="dxa"/>
            <w:gridSpan w:val="3"/>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1BD1D552" w14:textId="77777777" w:rsidR="008B244E" w:rsidRPr="008B244E" w:rsidRDefault="008B244E" w:rsidP="008B244E">
            <w:pPr>
              <w:jc w:val="center"/>
              <w:rPr>
                <w:b/>
                <w:noProof/>
                <w:sz w:val="22"/>
              </w:rPr>
            </w:pPr>
            <w:r>
              <w:rPr>
                <w:b/>
                <w:noProof/>
                <w:sz w:val="22"/>
              </w:rPr>
              <w:t>Jahr</w:t>
            </w:r>
          </w:p>
        </w:tc>
        <w:tc>
          <w:tcPr>
            <w:tcW w:w="1524" w:type="dxa"/>
            <w:vMerge w:val="restart"/>
            <w:tcBorders>
              <w:top w:val="double" w:sz="4" w:space="0" w:color="auto"/>
              <w:left w:val="single" w:sz="4" w:space="0" w:color="auto"/>
              <w:right w:val="double" w:sz="4" w:space="0" w:color="auto"/>
            </w:tcBorders>
            <w:shd w:val="clear" w:color="auto" w:fill="DBE5F1" w:themeFill="accent1" w:themeFillTint="33"/>
            <w:noWrap/>
            <w:vAlign w:val="center"/>
          </w:tcPr>
          <w:p w14:paraId="5BF17065" w14:textId="77777777" w:rsidR="008B244E" w:rsidRPr="008B244E" w:rsidRDefault="008B244E" w:rsidP="008B244E">
            <w:pPr>
              <w:jc w:val="center"/>
              <w:rPr>
                <w:b/>
                <w:noProof/>
                <w:sz w:val="22"/>
              </w:rPr>
            </w:pPr>
            <w:r w:rsidRPr="00D0022B">
              <w:rPr>
                <w:b/>
                <w:noProof/>
                <w:sz w:val="22"/>
              </w:rPr>
              <w:t>2018</w:t>
            </w:r>
            <w:r>
              <w:rPr>
                <w:b/>
                <w:noProof/>
                <w:sz w:val="22"/>
              </w:rPr>
              <w:t>–</w:t>
            </w:r>
            <w:r w:rsidRPr="00D0022B">
              <w:rPr>
                <w:b/>
                <w:noProof/>
                <w:sz w:val="22"/>
              </w:rPr>
              <w:t>2020</w:t>
            </w:r>
          </w:p>
        </w:tc>
        <w:tc>
          <w:tcPr>
            <w:tcW w:w="1736" w:type="dxa"/>
            <w:vMerge w:val="restart"/>
            <w:tcBorders>
              <w:top w:val="double" w:sz="4" w:space="0" w:color="auto"/>
              <w:left w:val="double" w:sz="4" w:space="0" w:color="auto"/>
            </w:tcBorders>
            <w:shd w:val="clear" w:color="auto" w:fill="DBE5F1" w:themeFill="accent1" w:themeFillTint="33"/>
            <w:vAlign w:val="center"/>
          </w:tcPr>
          <w:p w14:paraId="5871C914" w14:textId="6932C722" w:rsidR="008B244E" w:rsidRPr="008B244E" w:rsidRDefault="008B244E" w:rsidP="00901240">
            <w:pPr>
              <w:jc w:val="center"/>
              <w:rPr>
                <w:b/>
                <w:noProof/>
                <w:sz w:val="22"/>
              </w:rPr>
            </w:pPr>
            <w:r>
              <w:rPr>
                <w:b/>
                <w:noProof/>
                <w:sz w:val="22"/>
              </w:rPr>
              <w:t>Anteil an der Gesamtzahl in</w:t>
            </w:r>
            <w:r>
              <w:rPr>
                <w:noProof/>
              </w:rPr>
              <w:t xml:space="preserve"> </w:t>
            </w:r>
            <w:r>
              <w:rPr>
                <w:noProof/>
              </w:rPr>
              <w:br/>
            </w:r>
            <w:r>
              <w:rPr>
                <w:b/>
                <w:noProof/>
                <w:sz w:val="22"/>
              </w:rPr>
              <w:t>%</w:t>
            </w:r>
          </w:p>
        </w:tc>
      </w:tr>
      <w:tr w:rsidR="008B244E" w:rsidRPr="008B244E" w14:paraId="2CA506EE" w14:textId="77777777" w:rsidTr="008B244E">
        <w:trPr>
          <w:trHeight w:val="590"/>
        </w:trPr>
        <w:tc>
          <w:tcPr>
            <w:tcW w:w="1550" w:type="dxa"/>
            <w:vMerge/>
            <w:tcBorders>
              <w:bottom w:val="single" w:sz="4" w:space="0" w:color="auto"/>
              <w:right w:val="single" w:sz="4" w:space="0" w:color="auto"/>
            </w:tcBorders>
            <w:shd w:val="clear" w:color="auto" w:fill="DBE5F1" w:themeFill="accent1" w:themeFillTint="33"/>
            <w:noWrap/>
            <w:vAlign w:val="center"/>
            <w:hideMark/>
          </w:tcPr>
          <w:p w14:paraId="33B90400" w14:textId="77777777" w:rsidR="008B244E" w:rsidRPr="008B244E" w:rsidRDefault="008B244E" w:rsidP="008B244E">
            <w:pPr>
              <w:jc w:val="center"/>
              <w:rPr>
                <w:noProof/>
                <w:sz w:val="22"/>
              </w:rPr>
            </w:pP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DB3782" w14:textId="77777777" w:rsidR="008B244E" w:rsidRPr="008B244E" w:rsidRDefault="008B244E" w:rsidP="008B244E">
            <w:pPr>
              <w:jc w:val="center"/>
              <w:rPr>
                <w:b/>
                <w:noProof/>
                <w:sz w:val="22"/>
              </w:rPr>
            </w:pPr>
            <w:r w:rsidRPr="00D0022B">
              <w:rPr>
                <w:b/>
                <w:noProof/>
                <w:sz w:val="22"/>
              </w:rPr>
              <w:t>2018</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3ED6952" w14:textId="77777777" w:rsidR="008B244E" w:rsidRPr="008B244E" w:rsidRDefault="008B244E" w:rsidP="008B244E">
            <w:pPr>
              <w:jc w:val="center"/>
              <w:rPr>
                <w:b/>
                <w:noProof/>
                <w:sz w:val="22"/>
              </w:rPr>
            </w:pPr>
            <w:r w:rsidRPr="00D0022B">
              <w:rPr>
                <w:b/>
                <w:noProof/>
                <w:sz w:val="22"/>
              </w:rPr>
              <w:t>2019</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EE2244" w14:textId="77777777" w:rsidR="008B244E" w:rsidRPr="008B244E" w:rsidRDefault="008B244E" w:rsidP="008B244E">
            <w:pPr>
              <w:jc w:val="center"/>
              <w:rPr>
                <w:b/>
                <w:noProof/>
                <w:sz w:val="22"/>
              </w:rPr>
            </w:pPr>
            <w:r w:rsidRPr="00D0022B">
              <w:rPr>
                <w:b/>
                <w:noProof/>
                <w:sz w:val="22"/>
              </w:rPr>
              <w:t>2020</w:t>
            </w:r>
          </w:p>
        </w:tc>
        <w:tc>
          <w:tcPr>
            <w:tcW w:w="1524" w:type="dxa"/>
            <w:vMerge/>
            <w:tcBorders>
              <w:left w:val="single" w:sz="4" w:space="0" w:color="auto"/>
              <w:bottom w:val="single" w:sz="4" w:space="0" w:color="auto"/>
              <w:right w:val="double" w:sz="4" w:space="0" w:color="auto"/>
            </w:tcBorders>
            <w:shd w:val="clear" w:color="auto" w:fill="auto"/>
            <w:noWrap/>
            <w:vAlign w:val="center"/>
            <w:hideMark/>
          </w:tcPr>
          <w:p w14:paraId="5BA55C60" w14:textId="77777777" w:rsidR="008B244E" w:rsidRPr="008B244E" w:rsidRDefault="008B244E" w:rsidP="008B244E">
            <w:pPr>
              <w:jc w:val="center"/>
              <w:rPr>
                <w:b/>
                <w:noProof/>
                <w:sz w:val="22"/>
              </w:rPr>
            </w:pPr>
          </w:p>
        </w:tc>
        <w:tc>
          <w:tcPr>
            <w:tcW w:w="1736" w:type="dxa"/>
            <w:vMerge/>
            <w:tcBorders>
              <w:left w:val="double" w:sz="4" w:space="0" w:color="auto"/>
              <w:bottom w:val="single" w:sz="4" w:space="0" w:color="auto"/>
            </w:tcBorders>
            <w:shd w:val="clear" w:color="auto" w:fill="auto"/>
            <w:vAlign w:val="center"/>
            <w:hideMark/>
          </w:tcPr>
          <w:p w14:paraId="71D5A843" w14:textId="77777777" w:rsidR="008B244E" w:rsidRPr="008B244E" w:rsidRDefault="008B244E" w:rsidP="008B244E">
            <w:pPr>
              <w:jc w:val="center"/>
              <w:rPr>
                <w:noProof/>
                <w:sz w:val="22"/>
              </w:rPr>
            </w:pPr>
          </w:p>
        </w:tc>
      </w:tr>
      <w:tr w:rsidR="008B244E" w:rsidRPr="008B244E" w14:paraId="0A35E4E1"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207A436" w14:textId="77777777" w:rsidR="008B244E" w:rsidRPr="008B244E" w:rsidRDefault="008B244E" w:rsidP="008B244E">
            <w:pPr>
              <w:spacing w:before="40" w:after="40"/>
              <w:jc w:val="center"/>
              <w:rPr>
                <w:b/>
                <w:noProof/>
                <w:sz w:val="22"/>
              </w:rPr>
            </w:pPr>
            <w:r>
              <w:rPr>
                <w:b/>
                <w:noProof/>
                <w:sz w:val="22"/>
              </w:rPr>
              <w:t>BE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9DF6" w14:textId="77777777" w:rsidR="008B244E" w:rsidRPr="008B244E" w:rsidRDefault="008B244E" w:rsidP="008B244E">
            <w:pPr>
              <w:spacing w:before="40" w:after="40"/>
              <w:jc w:val="right"/>
              <w:rPr>
                <w:noProof/>
                <w:sz w:val="22"/>
              </w:rPr>
            </w:pPr>
            <w:r w:rsidRPr="00D0022B">
              <w:rPr>
                <w:noProof/>
                <w:sz w:val="22"/>
              </w:rPr>
              <w:t>340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A0E2" w14:textId="77777777" w:rsidR="008B244E" w:rsidRPr="008B244E" w:rsidRDefault="008B244E" w:rsidP="008B244E">
            <w:pPr>
              <w:spacing w:before="40" w:after="40"/>
              <w:jc w:val="right"/>
              <w:rPr>
                <w:noProof/>
                <w:sz w:val="22"/>
              </w:rPr>
            </w:pPr>
            <w:r w:rsidRPr="00D0022B">
              <w:rPr>
                <w:noProof/>
                <w:sz w:val="22"/>
              </w:rPr>
              <w:t>352</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BF8FD" w14:textId="77777777" w:rsidR="008B244E" w:rsidRPr="008B244E" w:rsidRDefault="008B244E" w:rsidP="008B244E">
            <w:pPr>
              <w:spacing w:before="40" w:after="40"/>
              <w:jc w:val="right"/>
              <w:rPr>
                <w:noProof/>
                <w:sz w:val="22"/>
              </w:rPr>
            </w:pPr>
            <w:r w:rsidRPr="00D0022B">
              <w:rPr>
                <w:noProof/>
                <w:sz w:val="22"/>
              </w:rPr>
              <w:t>181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7B5BB130" w14:textId="77777777" w:rsidR="008B244E" w:rsidRPr="008B244E" w:rsidRDefault="008B244E" w:rsidP="008B244E">
            <w:pPr>
              <w:spacing w:before="40" w:after="40"/>
              <w:jc w:val="right"/>
              <w:rPr>
                <w:noProof/>
                <w:sz w:val="22"/>
              </w:rPr>
            </w:pPr>
            <w:r w:rsidRPr="00D0022B">
              <w:rPr>
                <w:noProof/>
                <w:sz w:val="22"/>
              </w:rPr>
              <w:t>873</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07A96FE2" w14:textId="77777777" w:rsidR="008B244E" w:rsidRPr="008B244E" w:rsidRDefault="008B244E" w:rsidP="008B244E">
            <w:pPr>
              <w:spacing w:before="40" w:after="40"/>
              <w:jc w:val="right"/>
              <w:rPr>
                <w:noProof/>
                <w:sz w:val="22"/>
              </w:rPr>
            </w:pPr>
            <w:r w:rsidRPr="00D0022B">
              <w:rPr>
                <w:noProof/>
                <w:sz w:val="22"/>
              </w:rPr>
              <w:t>1</w:t>
            </w:r>
            <w:r>
              <w:rPr>
                <w:noProof/>
                <w:sz w:val="22"/>
              </w:rPr>
              <w:t>,</w:t>
            </w:r>
            <w:r w:rsidRPr="00D0022B">
              <w:rPr>
                <w:noProof/>
                <w:sz w:val="22"/>
              </w:rPr>
              <w:t>98</w:t>
            </w:r>
            <w:r>
              <w:rPr>
                <w:noProof/>
                <w:sz w:val="22"/>
              </w:rPr>
              <w:t> %</w:t>
            </w:r>
          </w:p>
        </w:tc>
      </w:tr>
      <w:tr w:rsidR="008B244E" w:rsidRPr="008B244E" w14:paraId="7C2A0D0D"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09A52EB" w14:textId="77777777" w:rsidR="008B244E" w:rsidRPr="008B244E" w:rsidRDefault="008B244E" w:rsidP="008B244E">
            <w:pPr>
              <w:spacing w:before="40" w:after="40"/>
              <w:jc w:val="center"/>
              <w:rPr>
                <w:b/>
                <w:noProof/>
                <w:sz w:val="22"/>
              </w:rPr>
            </w:pPr>
            <w:r>
              <w:rPr>
                <w:b/>
                <w:noProof/>
                <w:sz w:val="22"/>
              </w:rPr>
              <w:t>BG</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F0A4"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B934E" w14:textId="77777777" w:rsidR="008B244E" w:rsidRPr="008B244E" w:rsidRDefault="008B244E" w:rsidP="008B244E">
            <w:pPr>
              <w:spacing w:before="40" w:after="40"/>
              <w:jc w:val="right"/>
              <w:rPr>
                <w:noProof/>
                <w:sz w:val="22"/>
              </w:rPr>
            </w:pPr>
            <w:r w:rsidRPr="00D0022B">
              <w:rPr>
                <w:noProof/>
                <w:sz w:val="22"/>
              </w:rPr>
              <w:t>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ED500"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774E4DA5" w14:textId="77777777" w:rsidR="008B244E" w:rsidRPr="008B244E" w:rsidRDefault="008B244E" w:rsidP="008B244E">
            <w:pPr>
              <w:spacing w:before="40" w:after="40"/>
              <w:jc w:val="right"/>
              <w:rPr>
                <w:noProof/>
                <w:sz w:val="22"/>
              </w:rPr>
            </w:pPr>
            <w:r w:rsidRPr="00D0022B">
              <w:rPr>
                <w:noProof/>
                <w:sz w:val="22"/>
              </w:rPr>
              <w:t>1</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12059B78"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257608B0"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443B058" w14:textId="77777777" w:rsidR="008B244E" w:rsidRPr="008B244E" w:rsidRDefault="008B244E" w:rsidP="008B244E">
            <w:pPr>
              <w:spacing w:before="40" w:after="40"/>
              <w:jc w:val="center"/>
              <w:rPr>
                <w:b/>
                <w:noProof/>
                <w:sz w:val="22"/>
              </w:rPr>
            </w:pPr>
            <w:r>
              <w:rPr>
                <w:b/>
                <w:noProof/>
                <w:sz w:val="22"/>
              </w:rPr>
              <w:t>CZ</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10D4A" w14:textId="77777777" w:rsidR="008B244E" w:rsidRPr="008B244E" w:rsidRDefault="008B244E" w:rsidP="008B244E">
            <w:pPr>
              <w:spacing w:before="40" w:after="40"/>
              <w:jc w:val="right"/>
              <w:rPr>
                <w:noProof/>
                <w:sz w:val="22"/>
              </w:rPr>
            </w:pPr>
            <w:r w:rsidRPr="00D0022B">
              <w:rPr>
                <w:noProof/>
                <w:sz w:val="22"/>
              </w:rPr>
              <w:t>12</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7AA52" w14:textId="77777777" w:rsidR="008B244E" w:rsidRPr="008B244E" w:rsidRDefault="008B244E" w:rsidP="008B244E">
            <w:pPr>
              <w:spacing w:before="40" w:after="40"/>
              <w:jc w:val="right"/>
              <w:rPr>
                <w:noProof/>
                <w:sz w:val="22"/>
              </w:rPr>
            </w:pPr>
            <w:r w:rsidRPr="00D0022B">
              <w:rPr>
                <w:noProof/>
                <w:sz w:val="22"/>
              </w:rPr>
              <w:t>96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EED8" w14:textId="77777777" w:rsidR="008B244E" w:rsidRPr="008B244E" w:rsidRDefault="008B244E" w:rsidP="008B244E">
            <w:pPr>
              <w:spacing w:before="40" w:after="40"/>
              <w:jc w:val="right"/>
              <w:rPr>
                <w:noProof/>
                <w:sz w:val="22"/>
              </w:rPr>
            </w:pPr>
            <w:r w:rsidRPr="00D0022B">
              <w:rPr>
                <w:noProof/>
                <w:sz w:val="22"/>
              </w:rPr>
              <w:t>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6DD0B340" w14:textId="77777777" w:rsidR="008B244E" w:rsidRPr="008B244E" w:rsidRDefault="008B244E" w:rsidP="008B244E">
            <w:pPr>
              <w:spacing w:before="40" w:after="40"/>
              <w:jc w:val="right"/>
              <w:rPr>
                <w:noProof/>
                <w:sz w:val="22"/>
              </w:rPr>
            </w:pPr>
            <w:r w:rsidRPr="00D0022B">
              <w:rPr>
                <w:noProof/>
                <w:sz w:val="22"/>
              </w:rPr>
              <w:t>110</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7A7995D5"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25</w:t>
            </w:r>
            <w:r>
              <w:rPr>
                <w:noProof/>
                <w:sz w:val="22"/>
              </w:rPr>
              <w:t> %</w:t>
            </w:r>
          </w:p>
        </w:tc>
      </w:tr>
      <w:tr w:rsidR="008B244E" w:rsidRPr="008B244E" w14:paraId="3DE6D0E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C38089A" w14:textId="77777777" w:rsidR="008B244E" w:rsidRPr="008B244E" w:rsidRDefault="008B244E" w:rsidP="008B244E">
            <w:pPr>
              <w:spacing w:before="40" w:after="40"/>
              <w:jc w:val="center"/>
              <w:rPr>
                <w:b/>
                <w:noProof/>
                <w:sz w:val="22"/>
              </w:rPr>
            </w:pPr>
            <w:r>
              <w:rPr>
                <w:b/>
                <w:noProof/>
                <w:sz w:val="22"/>
              </w:rPr>
              <w:t>DK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ECC6B" w14:textId="77777777" w:rsidR="008B244E" w:rsidRPr="008B244E" w:rsidRDefault="008B244E" w:rsidP="008B244E">
            <w:pPr>
              <w:spacing w:before="40" w:after="40"/>
              <w:jc w:val="right"/>
              <w:rPr>
                <w:noProof/>
                <w:sz w:val="22"/>
              </w:rPr>
            </w:pPr>
            <w:r w:rsidRPr="00D0022B">
              <w:rPr>
                <w:noProof/>
                <w:sz w:val="22"/>
              </w:rPr>
              <w:t>59</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501DB" w14:textId="77777777" w:rsidR="008B244E" w:rsidRPr="008B244E" w:rsidRDefault="008B244E" w:rsidP="008B244E">
            <w:pPr>
              <w:spacing w:before="40" w:after="40"/>
              <w:jc w:val="right"/>
              <w:rPr>
                <w:noProof/>
                <w:sz w:val="22"/>
              </w:rPr>
            </w:pPr>
            <w:r w:rsidRPr="00D0022B">
              <w:rPr>
                <w:noProof/>
                <w:sz w:val="22"/>
              </w:rPr>
              <w:t>61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5185C" w14:textId="77777777" w:rsidR="008B244E" w:rsidRPr="008B244E" w:rsidRDefault="008B244E" w:rsidP="008B244E">
            <w:pPr>
              <w:spacing w:before="40" w:after="40"/>
              <w:jc w:val="right"/>
              <w:rPr>
                <w:noProof/>
                <w:sz w:val="22"/>
              </w:rPr>
            </w:pPr>
            <w:r w:rsidRPr="00D0022B">
              <w:rPr>
                <w:noProof/>
                <w:sz w:val="22"/>
              </w:rPr>
              <w:t>24</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7104472D" w14:textId="77777777" w:rsidR="008B244E" w:rsidRPr="008B244E" w:rsidRDefault="008B244E" w:rsidP="008B244E">
            <w:pPr>
              <w:spacing w:before="40" w:after="40"/>
              <w:jc w:val="right"/>
              <w:rPr>
                <w:noProof/>
                <w:sz w:val="22"/>
              </w:rPr>
            </w:pPr>
            <w:r w:rsidRPr="00D0022B">
              <w:rPr>
                <w:noProof/>
                <w:sz w:val="22"/>
              </w:rPr>
              <w:t>144</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4C2B8DAC"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33</w:t>
            </w:r>
            <w:r>
              <w:rPr>
                <w:noProof/>
                <w:sz w:val="22"/>
              </w:rPr>
              <w:t> %</w:t>
            </w:r>
          </w:p>
        </w:tc>
      </w:tr>
      <w:tr w:rsidR="008B244E" w:rsidRPr="008B244E" w14:paraId="36DB60B8"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AEA254F" w14:textId="77777777" w:rsidR="008B244E" w:rsidRPr="008B244E" w:rsidRDefault="008B244E" w:rsidP="008B244E">
            <w:pPr>
              <w:spacing w:before="40" w:after="40"/>
              <w:jc w:val="center"/>
              <w:rPr>
                <w:b/>
                <w:noProof/>
                <w:sz w:val="22"/>
              </w:rPr>
            </w:pPr>
            <w:r>
              <w:rPr>
                <w:b/>
                <w:noProof/>
                <w:sz w:val="22"/>
              </w:rPr>
              <w:t>DE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62249" w14:textId="77777777" w:rsidR="008B244E" w:rsidRPr="008B244E" w:rsidRDefault="008B244E" w:rsidP="008B244E">
            <w:pPr>
              <w:spacing w:before="40" w:after="40"/>
              <w:jc w:val="right"/>
              <w:rPr>
                <w:noProof/>
                <w:sz w:val="22"/>
              </w:rPr>
            </w:pPr>
            <w:r w:rsidRPr="00D0022B">
              <w:rPr>
                <w:noProof/>
                <w:sz w:val="22"/>
              </w:rPr>
              <w:t>1</w:t>
            </w:r>
            <w:r>
              <w:rPr>
                <w:noProof/>
                <w:sz w:val="22"/>
              </w:rPr>
              <w:t> </w:t>
            </w:r>
            <w:r w:rsidRPr="00D0022B">
              <w:rPr>
                <w:noProof/>
                <w:sz w:val="22"/>
              </w:rPr>
              <w:t>368</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3B82" w14:textId="77777777" w:rsidR="008B244E" w:rsidRPr="008B244E" w:rsidRDefault="008B244E" w:rsidP="008B244E">
            <w:pPr>
              <w:spacing w:before="40" w:after="40"/>
              <w:jc w:val="right"/>
              <w:rPr>
                <w:noProof/>
                <w:sz w:val="22"/>
              </w:rPr>
            </w:pPr>
            <w:r w:rsidRPr="00D0022B">
              <w:rPr>
                <w:noProof/>
                <w:sz w:val="22"/>
              </w:rPr>
              <w:t>1</w:t>
            </w:r>
            <w:r>
              <w:rPr>
                <w:noProof/>
                <w:sz w:val="22"/>
              </w:rPr>
              <w:t> </w:t>
            </w:r>
            <w:r w:rsidRPr="00D0022B">
              <w:rPr>
                <w:noProof/>
                <w:sz w:val="22"/>
              </w:rPr>
              <w:t>387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DE722" w14:textId="77777777" w:rsidR="008B244E" w:rsidRPr="008B244E" w:rsidRDefault="008B244E" w:rsidP="008B244E">
            <w:pPr>
              <w:spacing w:before="40" w:after="40"/>
              <w:jc w:val="right"/>
              <w:rPr>
                <w:noProof/>
                <w:sz w:val="22"/>
              </w:rPr>
            </w:pPr>
            <w:r w:rsidRPr="00D0022B">
              <w:rPr>
                <w:noProof/>
                <w:sz w:val="22"/>
              </w:rPr>
              <w:t>931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5058D566" w14:textId="77777777" w:rsidR="008B244E" w:rsidRPr="008B244E" w:rsidRDefault="008B244E" w:rsidP="008B244E">
            <w:pPr>
              <w:spacing w:before="40" w:after="40"/>
              <w:jc w:val="right"/>
              <w:rPr>
                <w:noProof/>
                <w:sz w:val="22"/>
              </w:rPr>
            </w:pPr>
            <w:r w:rsidRPr="00D0022B">
              <w:rPr>
                <w:noProof/>
                <w:sz w:val="22"/>
              </w:rPr>
              <w:t>3</w:t>
            </w:r>
            <w:r>
              <w:rPr>
                <w:noProof/>
                <w:sz w:val="22"/>
              </w:rPr>
              <w:t> </w:t>
            </w:r>
            <w:r w:rsidRPr="00D0022B">
              <w:rPr>
                <w:noProof/>
                <w:sz w:val="22"/>
              </w:rPr>
              <w:t>686</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7AFF7FEB" w14:textId="77777777" w:rsidR="008B244E" w:rsidRPr="008B244E" w:rsidRDefault="008B244E" w:rsidP="008B244E">
            <w:pPr>
              <w:spacing w:before="40" w:after="40"/>
              <w:jc w:val="right"/>
              <w:rPr>
                <w:noProof/>
                <w:sz w:val="22"/>
              </w:rPr>
            </w:pPr>
            <w:r w:rsidRPr="00D0022B">
              <w:rPr>
                <w:noProof/>
                <w:sz w:val="22"/>
              </w:rPr>
              <w:t>8</w:t>
            </w:r>
            <w:r>
              <w:rPr>
                <w:noProof/>
                <w:sz w:val="22"/>
              </w:rPr>
              <w:t>,</w:t>
            </w:r>
            <w:r w:rsidRPr="00D0022B">
              <w:rPr>
                <w:noProof/>
                <w:sz w:val="22"/>
              </w:rPr>
              <w:t>35</w:t>
            </w:r>
            <w:r>
              <w:rPr>
                <w:noProof/>
                <w:sz w:val="22"/>
              </w:rPr>
              <w:t> %</w:t>
            </w:r>
          </w:p>
        </w:tc>
      </w:tr>
      <w:tr w:rsidR="008B244E" w:rsidRPr="008B244E" w14:paraId="657C1C50"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91A408C" w14:textId="77777777" w:rsidR="008B244E" w:rsidRPr="008B244E" w:rsidRDefault="008B244E" w:rsidP="008B244E">
            <w:pPr>
              <w:spacing w:before="40" w:after="40"/>
              <w:jc w:val="center"/>
              <w:rPr>
                <w:b/>
                <w:noProof/>
                <w:sz w:val="22"/>
              </w:rPr>
            </w:pPr>
            <w:r>
              <w:rPr>
                <w:b/>
                <w:noProof/>
                <w:sz w:val="22"/>
              </w:rPr>
              <w:t>EE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AFC33"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F2FD"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BB22C"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573F08CA"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2841202D"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37B611B1"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5570B37" w14:textId="77777777" w:rsidR="008B244E" w:rsidRPr="008B244E" w:rsidRDefault="008B244E" w:rsidP="008B244E">
            <w:pPr>
              <w:spacing w:before="40" w:after="40"/>
              <w:jc w:val="center"/>
              <w:rPr>
                <w:b/>
                <w:noProof/>
                <w:sz w:val="22"/>
              </w:rPr>
            </w:pPr>
            <w:r>
              <w:rPr>
                <w:b/>
                <w:noProof/>
                <w:sz w:val="22"/>
              </w:rPr>
              <w:t>IE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3B3C" w14:textId="77777777" w:rsidR="008B244E" w:rsidRPr="008B244E" w:rsidRDefault="008B244E" w:rsidP="008B244E">
            <w:pPr>
              <w:spacing w:before="40" w:after="40"/>
              <w:jc w:val="right"/>
              <w:rPr>
                <w:noProof/>
                <w:sz w:val="22"/>
              </w:rPr>
            </w:pPr>
            <w:r w:rsidRPr="00D0022B">
              <w:rPr>
                <w:noProof/>
                <w:sz w:val="22"/>
              </w:rPr>
              <w:t>16</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491C" w14:textId="77777777" w:rsidR="008B244E" w:rsidRPr="008B244E" w:rsidRDefault="008B244E" w:rsidP="008B244E">
            <w:pPr>
              <w:spacing w:before="40" w:after="40"/>
              <w:jc w:val="right"/>
              <w:rPr>
                <w:noProof/>
                <w:sz w:val="22"/>
              </w:rPr>
            </w:pPr>
            <w:r w:rsidRPr="00D0022B">
              <w:rPr>
                <w:noProof/>
                <w:sz w:val="22"/>
              </w:rPr>
              <w:t>17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0889E" w14:textId="77777777" w:rsidR="008B244E" w:rsidRPr="008B244E" w:rsidRDefault="008B244E" w:rsidP="008B244E">
            <w:pPr>
              <w:spacing w:before="40" w:after="40"/>
              <w:jc w:val="right"/>
              <w:rPr>
                <w:noProof/>
                <w:sz w:val="22"/>
              </w:rPr>
            </w:pPr>
            <w:r w:rsidRPr="00D0022B">
              <w:rPr>
                <w:noProof/>
                <w:sz w:val="22"/>
              </w:rPr>
              <w:t>11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36A6003F" w14:textId="77777777" w:rsidR="008B244E" w:rsidRPr="008B244E" w:rsidRDefault="008B244E" w:rsidP="008B244E">
            <w:pPr>
              <w:spacing w:before="40" w:after="40"/>
              <w:jc w:val="right"/>
              <w:rPr>
                <w:noProof/>
                <w:sz w:val="22"/>
              </w:rPr>
            </w:pPr>
            <w:r w:rsidRPr="00D0022B">
              <w:rPr>
                <w:noProof/>
                <w:sz w:val="22"/>
              </w:rPr>
              <w:t>44</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19644BA1"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10</w:t>
            </w:r>
            <w:r>
              <w:rPr>
                <w:noProof/>
                <w:sz w:val="22"/>
              </w:rPr>
              <w:t> %</w:t>
            </w:r>
          </w:p>
        </w:tc>
      </w:tr>
      <w:tr w:rsidR="008B244E" w:rsidRPr="008B244E" w14:paraId="2A3258EC"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ED18199" w14:textId="77777777" w:rsidR="008B244E" w:rsidRPr="008B244E" w:rsidRDefault="008B244E" w:rsidP="008B244E">
            <w:pPr>
              <w:spacing w:before="40" w:after="40"/>
              <w:jc w:val="center"/>
              <w:rPr>
                <w:b/>
                <w:noProof/>
                <w:sz w:val="22"/>
              </w:rPr>
            </w:pPr>
            <w:r>
              <w:rPr>
                <w:b/>
                <w:noProof/>
                <w:sz w:val="22"/>
              </w:rPr>
              <w:t>EL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C3AB"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3EFB"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CDE13"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72F07643"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0DF5CFD2"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289BF7B"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88A20F6" w14:textId="77777777" w:rsidR="008B244E" w:rsidRPr="008B244E" w:rsidRDefault="008B244E" w:rsidP="008B244E">
            <w:pPr>
              <w:spacing w:before="40" w:after="40"/>
              <w:jc w:val="center"/>
              <w:rPr>
                <w:b/>
                <w:noProof/>
                <w:sz w:val="22"/>
              </w:rPr>
            </w:pPr>
            <w:r>
              <w:rPr>
                <w:b/>
                <w:noProof/>
                <w:sz w:val="22"/>
              </w:rPr>
              <w:t>ES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654C" w14:textId="77777777" w:rsidR="008B244E" w:rsidRPr="008B244E" w:rsidRDefault="008B244E" w:rsidP="008B244E">
            <w:pPr>
              <w:spacing w:before="40" w:after="40"/>
              <w:jc w:val="right"/>
              <w:rPr>
                <w:noProof/>
                <w:sz w:val="22"/>
              </w:rPr>
            </w:pPr>
            <w:r w:rsidRPr="00D0022B">
              <w:rPr>
                <w:noProof/>
                <w:sz w:val="22"/>
              </w:rPr>
              <w:t>1</w:t>
            </w:r>
            <w:r>
              <w:rPr>
                <w:noProof/>
                <w:sz w:val="22"/>
              </w:rPr>
              <w:t> </w:t>
            </w:r>
            <w:r w:rsidRPr="00D0022B">
              <w:rPr>
                <w:noProof/>
                <w:sz w:val="22"/>
              </w:rPr>
              <w:t>694</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C59D" w14:textId="77777777" w:rsidR="008B244E" w:rsidRPr="008B244E" w:rsidRDefault="008B244E" w:rsidP="008B244E">
            <w:pPr>
              <w:spacing w:before="40" w:after="40"/>
              <w:jc w:val="right"/>
              <w:rPr>
                <w:noProof/>
                <w:sz w:val="22"/>
              </w:rPr>
            </w:pPr>
            <w:r w:rsidRPr="00D0022B">
              <w:rPr>
                <w:noProof/>
                <w:sz w:val="22"/>
              </w:rPr>
              <w:t>1</w:t>
            </w:r>
            <w:r>
              <w:rPr>
                <w:noProof/>
                <w:sz w:val="22"/>
              </w:rPr>
              <w:t> </w:t>
            </w:r>
            <w:r w:rsidRPr="00D0022B">
              <w:rPr>
                <w:noProof/>
                <w:sz w:val="22"/>
              </w:rPr>
              <w:t>838</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E9EE" w14:textId="77777777" w:rsidR="008B244E" w:rsidRPr="008B244E" w:rsidRDefault="008B244E" w:rsidP="008B244E">
            <w:pPr>
              <w:spacing w:before="40" w:after="40"/>
              <w:jc w:val="right"/>
              <w:rPr>
                <w:noProof/>
                <w:sz w:val="22"/>
              </w:rPr>
            </w:pPr>
            <w:r w:rsidRPr="00D0022B">
              <w:rPr>
                <w:noProof/>
                <w:sz w:val="22"/>
              </w:rPr>
              <w:t>2</w:t>
            </w:r>
            <w:r>
              <w:rPr>
                <w:noProof/>
                <w:sz w:val="22"/>
              </w:rPr>
              <w:t> </w:t>
            </w:r>
            <w:r w:rsidRPr="00D0022B">
              <w:rPr>
                <w:noProof/>
                <w:sz w:val="22"/>
              </w:rPr>
              <w:t>185</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09A53DC2" w14:textId="77777777" w:rsidR="008B244E" w:rsidRPr="008B244E" w:rsidRDefault="008B244E" w:rsidP="008B244E">
            <w:pPr>
              <w:spacing w:before="40" w:after="40"/>
              <w:jc w:val="right"/>
              <w:rPr>
                <w:noProof/>
                <w:sz w:val="22"/>
              </w:rPr>
            </w:pPr>
            <w:r w:rsidRPr="00D0022B">
              <w:rPr>
                <w:noProof/>
                <w:sz w:val="22"/>
              </w:rPr>
              <w:t>5</w:t>
            </w:r>
            <w:r>
              <w:rPr>
                <w:noProof/>
                <w:sz w:val="22"/>
              </w:rPr>
              <w:t> </w:t>
            </w:r>
            <w:r w:rsidRPr="00D0022B">
              <w:rPr>
                <w:noProof/>
                <w:sz w:val="22"/>
              </w:rPr>
              <w:t>717</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233EFD57" w14:textId="77777777" w:rsidR="008B244E" w:rsidRPr="008B244E" w:rsidRDefault="008B244E" w:rsidP="008B244E">
            <w:pPr>
              <w:spacing w:before="40" w:after="40"/>
              <w:jc w:val="right"/>
              <w:rPr>
                <w:noProof/>
                <w:sz w:val="22"/>
              </w:rPr>
            </w:pPr>
            <w:r w:rsidRPr="00D0022B">
              <w:rPr>
                <w:noProof/>
                <w:sz w:val="22"/>
              </w:rPr>
              <w:t>12</w:t>
            </w:r>
            <w:r>
              <w:rPr>
                <w:noProof/>
                <w:sz w:val="22"/>
              </w:rPr>
              <w:t>,</w:t>
            </w:r>
            <w:r w:rsidRPr="00D0022B">
              <w:rPr>
                <w:noProof/>
                <w:sz w:val="22"/>
              </w:rPr>
              <w:t>95</w:t>
            </w:r>
            <w:r>
              <w:rPr>
                <w:noProof/>
                <w:sz w:val="22"/>
              </w:rPr>
              <w:t> %</w:t>
            </w:r>
          </w:p>
        </w:tc>
      </w:tr>
      <w:tr w:rsidR="008B244E" w:rsidRPr="008B244E" w14:paraId="16BD4510"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983B976" w14:textId="77777777" w:rsidR="008B244E" w:rsidRPr="008B244E" w:rsidRDefault="008B244E" w:rsidP="008B244E">
            <w:pPr>
              <w:spacing w:before="40" w:after="40"/>
              <w:jc w:val="center"/>
              <w:rPr>
                <w:b/>
                <w:noProof/>
                <w:sz w:val="22"/>
              </w:rPr>
            </w:pPr>
            <w:r>
              <w:rPr>
                <w:b/>
                <w:noProof/>
                <w:sz w:val="22"/>
              </w:rPr>
              <w:t>FR</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AD4D" w14:textId="77777777" w:rsidR="008B244E" w:rsidRPr="008B244E" w:rsidRDefault="008B244E" w:rsidP="008B244E">
            <w:pPr>
              <w:spacing w:before="40" w:after="40"/>
              <w:jc w:val="right"/>
              <w:rPr>
                <w:noProof/>
                <w:sz w:val="22"/>
              </w:rPr>
            </w:pPr>
            <w:r w:rsidRPr="00D0022B">
              <w:rPr>
                <w:noProof/>
                <w:sz w:val="22"/>
              </w:rPr>
              <w:t>3</w:t>
            </w:r>
            <w:r>
              <w:rPr>
                <w:noProof/>
                <w:sz w:val="22"/>
              </w:rPr>
              <w:t> </w:t>
            </w:r>
            <w:r w:rsidRPr="00D0022B">
              <w:rPr>
                <w:noProof/>
                <w:sz w:val="22"/>
              </w:rPr>
              <w:t>064</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B16BF" w14:textId="77777777" w:rsidR="008B244E" w:rsidRPr="008B244E" w:rsidRDefault="008B244E" w:rsidP="008B244E">
            <w:pPr>
              <w:spacing w:before="40" w:after="40"/>
              <w:jc w:val="right"/>
              <w:rPr>
                <w:noProof/>
                <w:sz w:val="22"/>
              </w:rPr>
            </w:pPr>
            <w:r w:rsidRPr="00D0022B">
              <w:rPr>
                <w:noProof/>
                <w:sz w:val="22"/>
              </w:rPr>
              <w:t>2</w:t>
            </w:r>
            <w:r>
              <w:rPr>
                <w:noProof/>
                <w:sz w:val="22"/>
              </w:rPr>
              <w:t> </w:t>
            </w:r>
            <w:r w:rsidRPr="00D0022B">
              <w:rPr>
                <w:noProof/>
                <w:sz w:val="22"/>
              </w:rPr>
              <w:t>990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48AEE" w14:textId="77777777" w:rsidR="008B244E" w:rsidRPr="008B244E" w:rsidRDefault="008B244E" w:rsidP="008B244E">
            <w:pPr>
              <w:spacing w:before="40" w:after="40"/>
              <w:jc w:val="right"/>
              <w:rPr>
                <w:noProof/>
                <w:sz w:val="22"/>
              </w:rPr>
            </w:pPr>
            <w:r w:rsidRPr="00D0022B">
              <w:rPr>
                <w:noProof/>
                <w:sz w:val="22"/>
              </w:rPr>
              <w:t>1</w:t>
            </w:r>
            <w:r>
              <w:rPr>
                <w:noProof/>
                <w:sz w:val="22"/>
              </w:rPr>
              <w:t> </w:t>
            </w:r>
            <w:r w:rsidRPr="00D0022B">
              <w:rPr>
                <w:noProof/>
                <w:sz w:val="22"/>
              </w:rPr>
              <w:t>841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2372BBBB" w14:textId="77777777" w:rsidR="008B244E" w:rsidRPr="008B244E" w:rsidRDefault="008B244E" w:rsidP="008B244E">
            <w:pPr>
              <w:spacing w:before="40" w:after="40"/>
              <w:jc w:val="right"/>
              <w:rPr>
                <w:noProof/>
                <w:sz w:val="22"/>
              </w:rPr>
            </w:pPr>
            <w:r w:rsidRPr="00D0022B">
              <w:rPr>
                <w:noProof/>
                <w:sz w:val="22"/>
              </w:rPr>
              <w:t>7</w:t>
            </w:r>
            <w:r>
              <w:rPr>
                <w:noProof/>
                <w:sz w:val="22"/>
              </w:rPr>
              <w:t> </w:t>
            </w:r>
            <w:r w:rsidRPr="00D0022B">
              <w:rPr>
                <w:noProof/>
                <w:sz w:val="22"/>
              </w:rPr>
              <w:t>895</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0398C4A9" w14:textId="77777777" w:rsidR="008B244E" w:rsidRPr="008B244E" w:rsidRDefault="008B244E" w:rsidP="008B244E">
            <w:pPr>
              <w:spacing w:before="40" w:after="40"/>
              <w:jc w:val="right"/>
              <w:rPr>
                <w:noProof/>
                <w:sz w:val="22"/>
              </w:rPr>
            </w:pPr>
            <w:r w:rsidRPr="00D0022B">
              <w:rPr>
                <w:noProof/>
                <w:sz w:val="22"/>
              </w:rPr>
              <w:t>17</w:t>
            </w:r>
            <w:r>
              <w:rPr>
                <w:noProof/>
                <w:sz w:val="22"/>
              </w:rPr>
              <w:t>,</w:t>
            </w:r>
            <w:r w:rsidRPr="00D0022B">
              <w:rPr>
                <w:noProof/>
                <w:sz w:val="22"/>
              </w:rPr>
              <w:t>89</w:t>
            </w:r>
            <w:r>
              <w:rPr>
                <w:noProof/>
                <w:sz w:val="22"/>
              </w:rPr>
              <w:t> %</w:t>
            </w:r>
          </w:p>
        </w:tc>
      </w:tr>
      <w:tr w:rsidR="008B244E" w:rsidRPr="008B244E" w14:paraId="2A15879D"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60F3D18" w14:textId="77777777" w:rsidR="008B244E" w:rsidRPr="008B244E" w:rsidRDefault="008B244E" w:rsidP="008B244E">
            <w:pPr>
              <w:spacing w:before="40" w:after="40"/>
              <w:jc w:val="center"/>
              <w:rPr>
                <w:b/>
                <w:noProof/>
                <w:sz w:val="22"/>
              </w:rPr>
            </w:pPr>
            <w:r>
              <w:rPr>
                <w:b/>
                <w:noProof/>
                <w:sz w:val="22"/>
              </w:rPr>
              <w:t>HR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7AA18" w14:textId="77777777" w:rsidR="008B244E" w:rsidRPr="008B244E" w:rsidRDefault="008B244E" w:rsidP="008B244E">
            <w:pPr>
              <w:spacing w:before="40" w:after="40"/>
              <w:jc w:val="right"/>
              <w:rPr>
                <w:noProof/>
                <w:sz w:val="22"/>
              </w:rPr>
            </w:pPr>
            <w:r w:rsidRPr="00D0022B">
              <w:rPr>
                <w:noProof/>
                <w:sz w:val="22"/>
              </w:rPr>
              <w:t>19</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359B" w14:textId="77777777" w:rsidR="008B244E" w:rsidRPr="008B244E" w:rsidRDefault="008B244E" w:rsidP="008B244E">
            <w:pPr>
              <w:spacing w:before="40" w:after="40"/>
              <w:jc w:val="right"/>
              <w:rPr>
                <w:noProof/>
                <w:sz w:val="22"/>
              </w:rPr>
            </w:pPr>
            <w:r w:rsidRPr="00D0022B">
              <w:rPr>
                <w:noProof/>
                <w:sz w:val="22"/>
              </w:rPr>
              <w:t>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61D0" w14:textId="77777777" w:rsidR="008B244E" w:rsidRPr="008B244E" w:rsidRDefault="008B244E" w:rsidP="008B244E">
            <w:pPr>
              <w:spacing w:before="40" w:after="40"/>
              <w:jc w:val="right"/>
              <w:rPr>
                <w:noProof/>
                <w:sz w:val="22"/>
              </w:rPr>
            </w:pPr>
            <w:r w:rsidRPr="00D0022B">
              <w:rPr>
                <w:noProof/>
                <w:sz w:val="22"/>
              </w:rPr>
              <w:t>14</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68F32E9E" w14:textId="77777777" w:rsidR="008B244E" w:rsidRPr="008B244E" w:rsidRDefault="008B244E" w:rsidP="008B244E">
            <w:pPr>
              <w:spacing w:before="40" w:after="40"/>
              <w:jc w:val="right"/>
              <w:rPr>
                <w:noProof/>
                <w:sz w:val="22"/>
              </w:rPr>
            </w:pPr>
            <w:r w:rsidRPr="00D0022B">
              <w:rPr>
                <w:noProof/>
                <w:sz w:val="22"/>
              </w:rPr>
              <w:t>42</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54505D3B"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10</w:t>
            </w:r>
            <w:r>
              <w:rPr>
                <w:noProof/>
                <w:sz w:val="22"/>
              </w:rPr>
              <w:t> %</w:t>
            </w:r>
          </w:p>
        </w:tc>
      </w:tr>
      <w:tr w:rsidR="008B244E" w:rsidRPr="008B244E" w14:paraId="606A54BB"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7004A16" w14:textId="77777777" w:rsidR="008B244E" w:rsidRPr="008B244E" w:rsidRDefault="008B244E" w:rsidP="008B244E">
            <w:pPr>
              <w:spacing w:before="40" w:after="40"/>
              <w:jc w:val="center"/>
              <w:rPr>
                <w:b/>
                <w:noProof/>
                <w:sz w:val="22"/>
              </w:rPr>
            </w:pPr>
            <w:r>
              <w:rPr>
                <w:b/>
                <w:noProof/>
                <w:sz w:val="22"/>
              </w:rPr>
              <w:t xml:space="preserve">IT </w:t>
            </w:r>
            <w:r>
              <w:rPr>
                <w:noProof/>
                <w:sz w:val="22"/>
              </w:rPr>
              <w:t>(</w:t>
            </w:r>
            <w:r w:rsidRPr="00D0022B">
              <w:rPr>
                <w:noProof/>
                <w:sz w:val="22"/>
              </w:rPr>
              <w:t>1</w:t>
            </w:r>
            <w:r>
              <w:rPr>
                <w:noProof/>
                <w:sz w:val="22"/>
              </w:rPr>
              <w: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6DC61" w14:textId="77777777" w:rsidR="008B244E" w:rsidRPr="008B244E" w:rsidRDefault="008B244E" w:rsidP="008B244E">
            <w:pPr>
              <w:spacing w:before="40" w:after="40"/>
              <w:jc w:val="right"/>
              <w:rPr>
                <w:noProof/>
                <w:sz w:val="22"/>
              </w:rPr>
            </w:pPr>
            <w:r w:rsidRPr="00D0022B">
              <w:rPr>
                <w:noProof/>
                <w:sz w:val="22"/>
              </w:rPr>
              <w:t>67</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130F" w14:textId="77777777" w:rsidR="008B244E" w:rsidRPr="008B244E" w:rsidRDefault="008B244E" w:rsidP="008B244E">
            <w:pPr>
              <w:spacing w:before="40" w:after="40"/>
              <w:jc w:val="right"/>
              <w:rPr>
                <w:noProof/>
                <w:sz w:val="22"/>
              </w:rPr>
            </w:pPr>
            <w:r w:rsidRPr="00D0022B">
              <w:rPr>
                <w:noProof/>
                <w:sz w:val="22"/>
              </w:rPr>
              <w:t>99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0B88" w14:textId="77777777" w:rsidR="008B244E" w:rsidRPr="008B244E" w:rsidRDefault="008B244E" w:rsidP="008B244E">
            <w:pPr>
              <w:spacing w:before="40" w:after="40"/>
              <w:jc w:val="right"/>
              <w:rPr>
                <w:noProof/>
                <w:sz w:val="22"/>
              </w:rPr>
            </w:pPr>
            <w:r w:rsidRPr="00D0022B">
              <w:rPr>
                <w:noProof/>
                <w:sz w:val="22"/>
              </w:rPr>
              <w:t>87</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51B8209E" w14:textId="77777777" w:rsidR="008B244E" w:rsidRPr="008B244E" w:rsidRDefault="008B244E" w:rsidP="008B244E">
            <w:pPr>
              <w:spacing w:before="40" w:after="40"/>
              <w:jc w:val="right"/>
              <w:rPr>
                <w:noProof/>
                <w:sz w:val="22"/>
              </w:rPr>
            </w:pPr>
            <w:r w:rsidRPr="00D0022B">
              <w:rPr>
                <w:noProof/>
                <w:sz w:val="22"/>
              </w:rPr>
              <w:t>253</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1FC840CA"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57</w:t>
            </w:r>
            <w:r>
              <w:rPr>
                <w:noProof/>
                <w:sz w:val="22"/>
              </w:rPr>
              <w:t> %</w:t>
            </w:r>
          </w:p>
        </w:tc>
      </w:tr>
      <w:tr w:rsidR="008B244E" w:rsidRPr="008B244E" w14:paraId="46FA02D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A41717B" w14:textId="77777777" w:rsidR="008B244E" w:rsidRPr="008B244E" w:rsidRDefault="008B244E" w:rsidP="008B244E">
            <w:pPr>
              <w:spacing w:before="40" w:after="40"/>
              <w:jc w:val="center"/>
              <w:rPr>
                <w:b/>
                <w:noProof/>
                <w:sz w:val="22"/>
              </w:rPr>
            </w:pPr>
            <w:r>
              <w:rPr>
                <w:b/>
                <w:noProof/>
                <w:sz w:val="22"/>
              </w:rPr>
              <w:t>CY</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B7CEF" w14:textId="77777777" w:rsidR="008B244E" w:rsidRPr="008B244E" w:rsidRDefault="008B244E" w:rsidP="008B244E">
            <w:pPr>
              <w:spacing w:before="40" w:after="40"/>
              <w:jc w:val="right"/>
              <w:rPr>
                <w:noProof/>
                <w:sz w:val="22"/>
              </w:rPr>
            </w:pPr>
            <w:r w:rsidRPr="00D0022B">
              <w:rPr>
                <w:noProof/>
                <w:sz w:val="22"/>
              </w:rPr>
              <w:t>2</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4C354" w14:textId="77777777" w:rsidR="008B244E" w:rsidRPr="008B244E" w:rsidRDefault="008B244E" w:rsidP="008B244E">
            <w:pPr>
              <w:spacing w:before="40" w:after="40"/>
              <w:jc w:val="right"/>
              <w:rPr>
                <w:noProof/>
                <w:sz w:val="22"/>
              </w:rPr>
            </w:pPr>
            <w:r w:rsidRPr="00D0022B">
              <w:rPr>
                <w:noProof/>
                <w:sz w:val="22"/>
              </w:rPr>
              <w:t>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63392" w14:textId="77777777" w:rsidR="008B244E" w:rsidRPr="008B244E" w:rsidRDefault="008B244E" w:rsidP="008B244E">
            <w:pPr>
              <w:spacing w:before="40" w:after="40"/>
              <w:jc w:val="right"/>
              <w:rPr>
                <w:noProof/>
                <w:sz w:val="22"/>
              </w:rPr>
            </w:pPr>
            <w:r w:rsidRPr="00D0022B">
              <w:rPr>
                <w:noProof/>
                <w:sz w:val="22"/>
              </w:rPr>
              <w:t>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579561DF" w14:textId="77777777" w:rsidR="008B244E" w:rsidRPr="008B244E" w:rsidRDefault="008B244E" w:rsidP="008B244E">
            <w:pPr>
              <w:spacing w:before="40" w:after="40"/>
              <w:jc w:val="right"/>
              <w:rPr>
                <w:noProof/>
                <w:sz w:val="22"/>
              </w:rPr>
            </w:pPr>
            <w:r w:rsidRPr="00D0022B">
              <w:rPr>
                <w:noProof/>
                <w:sz w:val="22"/>
              </w:rPr>
              <w:t>9</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18D88F31"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02</w:t>
            </w:r>
            <w:r>
              <w:rPr>
                <w:noProof/>
                <w:sz w:val="22"/>
              </w:rPr>
              <w:t> %</w:t>
            </w:r>
          </w:p>
        </w:tc>
      </w:tr>
      <w:tr w:rsidR="008B244E" w:rsidRPr="008B244E" w14:paraId="1018160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04C1395" w14:textId="77777777" w:rsidR="008B244E" w:rsidRPr="008B244E" w:rsidRDefault="008B244E" w:rsidP="008B244E">
            <w:pPr>
              <w:spacing w:before="40" w:after="40"/>
              <w:jc w:val="center"/>
              <w:rPr>
                <w:b/>
                <w:noProof/>
                <w:sz w:val="22"/>
              </w:rPr>
            </w:pPr>
            <w:r>
              <w:rPr>
                <w:b/>
                <w:noProof/>
                <w:sz w:val="22"/>
              </w:rPr>
              <w:t>LV</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7D8F4"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AC75C" w14:textId="77777777" w:rsidR="008B244E" w:rsidRPr="008B244E" w:rsidRDefault="008B244E" w:rsidP="008B244E">
            <w:pPr>
              <w:spacing w:before="40" w:after="40"/>
              <w:jc w:val="right"/>
              <w:rPr>
                <w:noProof/>
                <w:sz w:val="22"/>
              </w:rPr>
            </w:pPr>
            <w:r w:rsidRPr="00D0022B">
              <w:rPr>
                <w:noProof/>
                <w:sz w:val="22"/>
              </w:rPr>
              <w:t>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ED78B"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474FDAB8" w14:textId="77777777" w:rsidR="008B244E" w:rsidRPr="008B244E" w:rsidRDefault="008B244E" w:rsidP="008B244E">
            <w:pPr>
              <w:spacing w:before="40" w:after="40"/>
              <w:jc w:val="right"/>
              <w:rPr>
                <w:noProof/>
                <w:sz w:val="22"/>
              </w:rPr>
            </w:pPr>
            <w:r w:rsidRPr="00D0022B">
              <w:rPr>
                <w:noProof/>
                <w:sz w:val="22"/>
              </w:rPr>
              <w:t>1</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5D869BE9"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2C0201F7"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7120953" w14:textId="77777777" w:rsidR="008B244E" w:rsidRPr="008B244E" w:rsidRDefault="008B244E" w:rsidP="008B244E">
            <w:pPr>
              <w:spacing w:before="40" w:after="40"/>
              <w:jc w:val="center"/>
              <w:rPr>
                <w:b/>
                <w:noProof/>
                <w:sz w:val="22"/>
              </w:rPr>
            </w:pPr>
            <w:r>
              <w:rPr>
                <w:b/>
                <w:noProof/>
                <w:sz w:val="22"/>
              </w:rPr>
              <w:t xml:space="preserve">LT </w:t>
            </w:r>
            <w:r>
              <w:rPr>
                <w:noProof/>
                <w:sz w:val="22"/>
              </w:rPr>
              <w:t>(</w:t>
            </w:r>
            <w:r w:rsidRPr="00D0022B">
              <w:rPr>
                <w:noProof/>
                <w:sz w:val="22"/>
              </w:rPr>
              <w:t>2</w:t>
            </w:r>
            <w:r>
              <w:rPr>
                <w:noProof/>
                <w:sz w:val="22"/>
              </w:rPr>
              <w:t>)</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9FC7584" w14:textId="77777777" w:rsidR="008B244E" w:rsidRPr="008B244E" w:rsidRDefault="008B244E" w:rsidP="008B244E">
            <w:pPr>
              <w:spacing w:before="40" w:after="40"/>
              <w:jc w:val="right"/>
              <w:rPr>
                <w:noProof/>
                <w:sz w:val="22"/>
              </w:rPr>
            </w:pPr>
            <w:r>
              <w:rPr>
                <w:noProof/>
                <w:sz w:val="22"/>
              </w:rPr>
              <w:t xml:space="preserve"> </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53523EB" w14:textId="77777777" w:rsidR="008B244E" w:rsidRPr="008B244E" w:rsidRDefault="008B244E" w:rsidP="008B244E">
            <w:pPr>
              <w:spacing w:before="40" w:after="40"/>
              <w:jc w:val="right"/>
              <w:rPr>
                <w:noProof/>
                <w:sz w:val="22"/>
              </w:rPr>
            </w:pPr>
            <w:r>
              <w:rPr>
                <w:noProof/>
                <w:sz w:val="22"/>
              </w:rPr>
              <w:t xml:space="preserve"> </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2AFB57B" w14:textId="77777777" w:rsidR="008B244E" w:rsidRPr="008B244E" w:rsidRDefault="008B244E" w:rsidP="008B244E">
            <w:pPr>
              <w:spacing w:before="40" w:after="40"/>
              <w:jc w:val="right"/>
              <w:rPr>
                <w:noProof/>
                <w:sz w:val="22"/>
              </w:rPr>
            </w:pPr>
            <w:r>
              <w:rPr>
                <w:noProof/>
                <w:sz w:val="22"/>
              </w:rPr>
              <w:t xml:space="preserve"> </w:t>
            </w:r>
          </w:p>
        </w:tc>
        <w:tc>
          <w:tcPr>
            <w:tcW w:w="1524" w:type="dxa"/>
            <w:tcBorders>
              <w:top w:val="single" w:sz="4" w:space="0" w:color="auto"/>
              <w:left w:val="single" w:sz="4" w:space="0" w:color="auto"/>
              <w:bottom w:val="single" w:sz="4" w:space="0" w:color="auto"/>
              <w:right w:val="double" w:sz="4" w:space="0" w:color="auto"/>
            </w:tcBorders>
            <w:shd w:val="clear" w:color="auto" w:fill="DBE5F1" w:themeFill="accent1" w:themeFillTint="33"/>
            <w:noWrap/>
            <w:vAlign w:val="bottom"/>
            <w:hideMark/>
          </w:tcPr>
          <w:p w14:paraId="49D1F19F" w14:textId="77777777" w:rsidR="008B244E" w:rsidRPr="008B244E" w:rsidRDefault="008B244E" w:rsidP="008B244E">
            <w:pPr>
              <w:spacing w:before="40" w:after="40"/>
              <w:jc w:val="right"/>
              <w:rPr>
                <w:noProof/>
                <w:sz w:val="22"/>
              </w:rPr>
            </w:pPr>
          </w:p>
        </w:tc>
        <w:tc>
          <w:tcPr>
            <w:tcW w:w="1736" w:type="dxa"/>
            <w:tcBorders>
              <w:top w:val="single" w:sz="4" w:space="0" w:color="auto"/>
              <w:left w:val="double" w:sz="4" w:space="0" w:color="auto"/>
              <w:bottom w:val="single" w:sz="4" w:space="0" w:color="auto"/>
            </w:tcBorders>
            <w:shd w:val="clear" w:color="auto" w:fill="DBE5F1" w:themeFill="accent1" w:themeFillTint="33"/>
            <w:noWrap/>
            <w:vAlign w:val="bottom"/>
            <w:hideMark/>
          </w:tcPr>
          <w:p w14:paraId="162F349C"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23B2BF74"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4122A88" w14:textId="77777777" w:rsidR="008B244E" w:rsidRPr="008B244E" w:rsidRDefault="008B244E" w:rsidP="008B244E">
            <w:pPr>
              <w:spacing w:before="40" w:after="40"/>
              <w:jc w:val="center"/>
              <w:rPr>
                <w:b/>
                <w:noProof/>
                <w:sz w:val="22"/>
              </w:rPr>
            </w:pPr>
            <w:r>
              <w:rPr>
                <w:b/>
                <w:noProof/>
                <w:sz w:val="22"/>
              </w:rPr>
              <w:t>LU</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6A063" w14:textId="77777777" w:rsidR="008B244E" w:rsidRPr="008B244E" w:rsidRDefault="008B244E" w:rsidP="008B244E">
            <w:pPr>
              <w:spacing w:before="40" w:after="40"/>
              <w:jc w:val="right"/>
              <w:rPr>
                <w:noProof/>
                <w:sz w:val="22"/>
              </w:rPr>
            </w:pPr>
            <w:r w:rsidRPr="00D0022B">
              <w:rPr>
                <w:noProof/>
                <w:sz w:val="22"/>
              </w:rPr>
              <w:t>6</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CEE8" w14:textId="77777777" w:rsidR="008B244E" w:rsidRPr="008B244E" w:rsidRDefault="008B244E" w:rsidP="008B244E">
            <w:pPr>
              <w:spacing w:before="40" w:after="40"/>
              <w:jc w:val="right"/>
              <w:rPr>
                <w:noProof/>
                <w:sz w:val="22"/>
              </w:rPr>
            </w:pPr>
            <w:r w:rsidRPr="00D0022B">
              <w:rPr>
                <w:noProof/>
                <w:sz w:val="22"/>
              </w:rPr>
              <w:t>3</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650F" w14:textId="77777777" w:rsidR="008B244E" w:rsidRPr="008B244E" w:rsidRDefault="008B244E" w:rsidP="008B244E">
            <w:pPr>
              <w:spacing w:before="40" w:after="40"/>
              <w:jc w:val="right"/>
              <w:rPr>
                <w:noProof/>
                <w:sz w:val="22"/>
              </w:rPr>
            </w:pPr>
            <w:r w:rsidRPr="00D0022B">
              <w:rPr>
                <w:noProof/>
                <w:sz w:val="22"/>
              </w:rPr>
              <w:t>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6992D4ED" w14:textId="77777777" w:rsidR="008B244E" w:rsidRPr="008B244E" w:rsidRDefault="008B244E" w:rsidP="008B244E">
            <w:pPr>
              <w:spacing w:before="40" w:after="40"/>
              <w:jc w:val="right"/>
              <w:rPr>
                <w:noProof/>
                <w:sz w:val="22"/>
              </w:rPr>
            </w:pPr>
            <w:r w:rsidRPr="00D0022B">
              <w:rPr>
                <w:noProof/>
                <w:sz w:val="22"/>
              </w:rPr>
              <w:t>10</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40FF7831"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02</w:t>
            </w:r>
            <w:r>
              <w:rPr>
                <w:noProof/>
                <w:sz w:val="22"/>
              </w:rPr>
              <w:t> %</w:t>
            </w:r>
          </w:p>
        </w:tc>
      </w:tr>
      <w:tr w:rsidR="008B244E" w:rsidRPr="008B244E" w14:paraId="29807665"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B677BD7" w14:textId="77777777" w:rsidR="008B244E" w:rsidRPr="008B244E" w:rsidRDefault="008B244E" w:rsidP="008B244E">
            <w:pPr>
              <w:spacing w:before="40" w:after="40"/>
              <w:jc w:val="center"/>
              <w:rPr>
                <w:b/>
                <w:noProof/>
                <w:sz w:val="22"/>
              </w:rPr>
            </w:pPr>
            <w:r>
              <w:rPr>
                <w:b/>
                <w:noProof/>
                <w:sz w:val="22"/>
              </w:rPr>
              <w:t>HU</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6B182" w14:textId="77777777" w:rsidR="008B244E" w:rsidRPr="008B244E" w:rsidRDefault="008B244E" w:rsidP="008B244E">
            <w:pPr>
              <w:spacing w:before="40" w:after="40"/>
              <w:jc w:val="right"/>
              <w:rPr>
                <w:noProof/>
                <w:sz w:val="22"/>
              </w:rPr>
            </w:pPr>
            <w:r w:rsidRPr="00D0022B">
              <w:rPr>
                <w:noProof/>
                <w:sz w:val="22"/>
              </w:rPr>
              <w:t>4</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4B03A" w14:textId="77777777" w:rsidR="008B244E" w:rsidRPr="008B244E" w:rsidRDefault="008B244E" w:rsidP="008B244E">
            <w:pPr>
              <w:spacing w:before="40" w:after="40"/>
              <w:jc w:val="right"/>
              <w:rPr>
                <w:noProof/>
                <w:sz w:val="22"/>
              </w:rPr>
            </w:pPr>
            <w:r w:rsidRPr="00D0022B">
              <w:rPr>
                <w:noProof/>
                <w:sz w:val="22"/>
              </w:rPr>
              <w:t>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97F68" w14:textId="77777777" w:rsidR="008B244E" w:rsidRPr="008B244E" w:rsidRDefault="008B244E" w:rsidP="008B244E">
            <w:pPr>
              <w:spacing w:before="40" w:after="40"/>
              <w:jc w:val="right"/>
              <w:rPr>
                <w:noProof/>
                <w:sz w:val="22"/>
              </w:rPr>
            </w:pPr>
            <w:r w:rsidRPr="00D0022B">
              <w:rPr>
                <w:noProof/>
                <w:sz w:val="22"/>
              </w:rPr>
              <w:t>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7119868E" w14:textId="77777777" w:rsidR="008B244E" w:rsidRPr="008B244E" w:rsidRDefault="008B244E" w:rsidP="008B244E">
            <w:pPr>
              <w:spacing w:before="40" w:after="40"/>
              <w:jc w:val="right"/>
              <w:rPr>
                <w:noProof/>
                <w:sz w:val="22"/>
              </w:rPr>
            </w:pPr>
            <w:r w:rsidRPr="00D0022B">
              <w:rPr>
                <w:noProof/>
                <w:sz w:val="22"/>
              </w:rPr>
              <w:t>14</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7B4BE440"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03</w:t>
            </w:r>
            <w:r>
              <w:rPr>
                <w:noProof/>
                <w:sz w:val="22"/>
              </w:rPr>
              <w:t> %</w:t>
            </w:r>
          </w:p>
        </w:tc>
      </w:tr>
      <w:tr w:rsidR="008B244E" w:rsidRPr="008B244E" w14:paraId="7AA7344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04AC002" w14:textId="77777777" w:rsidR="008B244E" w:rsidRPr="008B244E" w:rsidRDefault="008B244E" w:rsidP="008B244E">
            <w:pPr>
              <w:spacing w:before="40" w:after="40"/>
              <w:jc w:val="center"/>
              <w:rPr>
                <w:b/>
                <w:noProof/>
                <w:sz w:val="22"/>
              </w:rPr>
            </w:pPr>
            <w:r>
              <w:rPr>
                <w:b/>
                <w:noProof/>
                <w:sz w:val="22"/>
              </w:rPr>
              <w:t>MT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D2DD"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A1C5C" w14:textId="77777777" w:rsidR="008B244E" w:rsidRPr="008B244E" w:rsidRDefault="008B244E" w:rsidP="008B244E">
            <w:pPr>
              <w:spacing w:before="40" w:after="40"/>
              <w:jc w:val="right"/>
              <w:rPr>
                <w:noProof/>
                <w:sz w:val="22"/>
              </w:rPr>
            </w:pPr>
            <w:r w:rsidRPr="00D0022B">
              <w:rPr>
                <w:noProof/>
                <w:sz w:val="22"/>
              </w:rPr>
              <w:t>19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ED87B" w14:textId="77777777" w:rsidR="008B244E" w:rsidRPr="008B244E" w:rsidRDefault="008B244E" w:rsidP="008B244E">
            <w:pPr>
              <w:spacing w:before="40" w:after="40"/>
              <w:jc w:val="right"/>
              <w:rPr>
                <w:noProof/>
                <w:sz w:val="22"/>
              </w:rPr>
            </w:pPr>
            <w:r w:rsidRPr="00D0022B">
              <w:rPr>
                <w:noProof/>
                <w:sz w:val="22"/>
              </w:rPr>
              <w:t>7</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65F39F1A" w14:textId="77777777" w:rsidR="008B244E" w:rsidRPr="008B244E" w:rsidRDefault="008B244E" w:rsidP="008B244E">
            <w:pPr>
              <w:spacing w:before="40" w:after="40"/>
              <w:jc w:val="right"/>
              <w:rPr>
                <w:noProof/>
                <w:sz w:val="22"/>
              </w:rPr>
            </w:pPr>
            <w:r w:rsidRPr="00D0022B">
              <w:rPr>
                <w:noProof/>
                <w:sz w:val="22"/>
              </w:rPr>
              <w:t>26</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4E2BA008"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06</w:t>
            </w:r>
            <w:r>
              <w:rPr>
                <w:noProof/>
                <w:sz w:val="22"/>
              </w:rPr>
              <w:t> %</w:t>
            </w:r>
          </w:p>
        </w:tc>
      </w:tr>
      <w:tr w:rsidR="008B244E" w:rsidRPr="008B244E" w14:paraId="3FBBD13C"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B8EBFFE" w14:textId="77777777" w:rsidR="008B244E" w:rsidRPr="008B244E" w:rsidRDefault="008B244E" w:rsidP="008B244E">
            <w:pPr>
              <w:spacing w:before="40" w:after="40"/>
              <w:jc w:val="center"/>
              <w:rPr>
                <w:b/>
                <w:noProof/>
                <w:sz w:val="22"/>
              </w:rPr>
            </w:pPr>
            <w:r>
              <w:rPr>
                <w:b/>
                <w:noProof/>
                <w:sz w:val="22"/>
              </w:rPr>
              <w:t>NL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878DF" w14:textId="77777777" w:rsidR="008B244E" w:rsidRPr="008B244E" w:rsidRDefault="008B244E" w:rsidP="008B244E">
            <w:pPr>
              <w:spacing w:before="40" w:after="40"/>
              <w:jc w:val="right"/>
              <w:rPr>
                <w:noProof/>
                <w:sz w:val="22"/>
              </w:rPr>
            </w:pPr>
            <w:r w:rsidRPr="00D0022B">
              <w:rPr>
                <w:noProof/>
                <w:sz w:val="22"/>
              </w:rPr>
              <w:t>368</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D7C1" w14:textId="77777777" w:rsidR="008B244E" w:rsidRPr="008B244E" w:rsidRDefault="008B244E" w:rsidP="008B244E">
            <w:pPr>
              <w:spacing w:before="40" w:after="40"/>
              <w:jc w:val="right"/>
              <w:rPr>
                <w:noProof/>
                <w:sz w:val="22"/>
              </w:rPr>
            </w:pPr>
            <w:r w:rsidRPr="00D0022B">
              <w:rPr>
                <w:noProof/>
                <w:sz w:val="22"/>
              </w:rPr>
              <w:t>289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EF1A9" w14:textId="77777777" w:rsidR="008B244E" w:rsidRPr="008B244E" w:rsidRDefault="008B244E" w:rsidP="008B244E">
            <w:pPr>
              <w:spacing w:before="40" w:after="40"/>
              <w:jc w:val="right"/>
              <w:rPr>
                <w:noProof/>
                <w:sz w:val="22"/>
              </w:rPr>
            </w:pPr>
            <w:r w:rsidRPr="00D0022B">
              <w:rPr>
                <w:noProof/>
                <w:sz w:val="22"/>
              </w:rPr>
              <w:t>218</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19B9C5A0" w14:textId="77777777" w:rsidR="008B244E" w:rsidRPr="008B244E" w:rsidRDefault="008B244E" w:rsidP="008B244E">
            <w:pPr>
              <w:spacing w:before="40" w:after="40"/>
              <w:jc w:val="right"/>
              <w:rPr>
                <w:noProof/>
                <w:sz w:val="22"/>
              </w:rPr>
            </w:pPr>
            <w:r w:rsidRPr="00D0022B">
              <w:rPr>
                <w:noProof/>
                <w:sz w:val="22"/>
              </w:rPr>
              <w:t>875</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06DF4DE4" w14:textId="77777777" w:rsidR="008B244E" w:rsidRPr="008B244E" w:rsidRDefault="008B244E" w:rsidP="008B244E">
            <w:pPr>
              <w:spacing w:before="40" w:after="40"/>
              <w:jc w:val="right"/>
              <w:rPr>
                <w:noProof/>
                <w:sz w:val="22"/>
              </w:rPr>
            </w:pPr>
            <w:r w:rsidRPr="00D0022B">
              <w:rPr>
                <w:noProof/>
                <w:sz w:val="22"/>
              </w:rPr>
              <w:t>1</w:t>
            </w:r>
            <w:r>
              <w:rPr>
                <w:noProof/>
                <w:sz w:val="22"/>
              </w:rPr>
              <w:t>,</w:t>
            </w:r>
            <w:r w:rsidRPr="00D0022B">
              <w:rPr>
                <w:noProof/>
                <w:sz w:val="22"/>
              </w:rPr>
              <w:t>98</w:t>
            </w:r>
            <w:r>
              <w:rPr>
                <w:noProof/>
                <w:sz w:val="22"/>
              </w:rPr>
              <w:t> %</w:t>
            </w:r>
          </w:p>
        </w:tc>
      </w:tr>
      <w:tr w:rsidR="008B244E" w:rsidRPr="008B244E" w14:paraId="70D43208"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2356C77C" w14:textId="77777777" w:rsidR="008B244E" w:rsidRPr="008B244E" w:rsidRDefault="008B244E" w:rsidP="008B244E">
            <w:pPr>
              <w:spacing w:before="40" w:after="40"/>
              <w:jc w:val="center"/>
              <w:rPr>
                <w:b/>
                <w:noProof/>
                <w:sz w:val="22"/>
              </w:rPr>
            </w:pPr>
            <w:r>
              <w:rPr>
                <w:b/>
                <w:noProof/>
                <w:sz w:val="22"/>
              </w:rPr>
              <w:t>AT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ADF9" w14:textId="77777777" w:rsidR="008B244E" w:rsidRPr="008B244E" w:rsidRDefault="008B244E" w:rsidP="008B244E">
            <w:pPr>
              <w:spacing w:before="40" w:after="40"/>
              <w:jc w:val="right"/>
              <w:rPr>
                <w:noProof/>
                <w:sz w:val="22"/>
              </w:rPr>
            </w:pPr>
            <w:r w:rsidRPr="00D0022B">
              <w:rPr>
                <w:noProof/>
                <w:sz w:val="22"/>
              </w:rPr>
              <w:t>858</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FFB3" w14:textId="77777777" w:rsidR="008B244E" w:rsidRPr="008B244E" w:rsidRDefault="008B244E" w:rsidP="008B244E">
            <w:pPr>
              <w:spacing w:before="40" w:after="40"/>
              <w:jc w:val="right"/>
              <w:rPr>
                <w:noProof/>
                <w:sz w:val="22"/>
              </w:rPr>
            </w:pPr>
            <w:r w:rsidRPr="00D0022B">
              <w:rPr>
                <w:noProof/>
                <w:sz w:val="22"/>
              </w:rPr>
              <w:t>702</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B527E" w14:textId="77777777" w:rsidR="008B244E" w:rsidRPr="008B244E" w:rsidRDefault="008B244E" w:rsidP="008B244E">
            <w:pPr>
              <w:spacing w:before="40" w:after="40"/>
              <w:jc w:val="right"/>
              <w:rPr>
                <w:noProof/>
                <w:sz w:val="22"/>
              </w:rPr>
            </w:pPr>
            <w:r w:rsidRPr="00D0022B">
              <w:rPr>
                <w:noProof/>
                <w:sz w:val="22"/>
              </w:rPr>
              <w:t>371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0D0864CC" w14:textId="77777777" w:rsidR="008B244E" w:rsidRPr="008B244E" w:rsidRDefault="008B244E" w:rsidP="008B244E">
            <w:pPr>
              <w:spacing w:before="40" w:after="40"/>
              <w:jc w:val="right"/>
              <w:rPr>
                <w:noProof/>
                <w:sz w:val="22"/>
              </w:rPr>
            </w:pPr>
            <w:r w:rsidRPr="00D0022B">
              <w:rPr>
                <w:noProof/>
                <w:sz w:val="22"/>
              </w:rPr>
              <w:t>1</w:t>
            </w:r>
            <w:r>
              <w:rPr>
                <w:noProof/>
                <w:sz w:val="22"/>
              </w:rPr>
              <w:t> </w:t>
            </w:r>
            <w:r w:rsidRPr="00D0022B">
              <w:rPr>
                <w:noProof/>
                <w:sz w:val="22"/>
              </w:rPr>
              <w:t>931</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160FA25B" w14:textId="77777777" w:rsidR="008B244E" w:rsidRPr="008B244E" w:rsidRDefault="008B244E" w:rsidP="008B244E">
            <w:pPr>
              <w:spacing w:before="40" w:after="40"/>
              <w:jc w:val="right"/>
              <w:rPr>
                <w:noProof/>
                <w:sz w:val="22"/>
              </w:rPr>
            </w:pPr>
            <w:r w:rsidRPr="00D0022B">
              <w:rPr>
                <w:noProof/>
                <w:sz w:val="22"/>
              </w:rPr>
              <w:t>4</w:t>
            </w:r>
            <w:r>
              <w:rPr>
                <w:noProof/>
                <w:sz w:val="22"/>
              </w:rPr>
              <w:t>,</w:t>
            </w:r>
            <w:r w:rsidRPr="00D0022B">
              <w:rPr>
                <w:noProof/>
                <w:sz w:val="22"/>
              </w:rPr>
              <w:t>37</w:t>
            </w:r>
            <w:r>
              <w:rPr>
                <w:noProof/>
                <w:sz w:val="22"/>
              </w:rPr>
              <w:t> %</w:t>
            </w:r>
          </w:p>
        </w:tc>
      </w:tr>
      <w:tr w:rsidR="008B244E" w:rsidRPr="008B244E" w14:paraId="281EE1D0"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79046DC" w14:textId="77777777" w:rsidR="008B244E" w:rsidRPr="008B244E" w:rsidRDefault="008B244E" w:rsidP="008B244E">
            <w:pPr>
              <w:spacing w:before="40" w:after="40"/>
              <w:jc w:val="center"/>
              <w:rPr>
                <w:b/>
                <w:noProof/>
                <w:sz w:val="22"/>
              </w:rPr>
            </w:pPr>
            <w:r>
              <w:rPr>
                <w:b/>
                <w:noProof/>
                <w:sz w:val="22"/>
              </w:rPr>
              <w:t>PL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B1368" w14:textId="77777777" w:rsidR="008B244E" w:rsidRPr="008B244E" w:rsidRDefault="008B244E" w:rsidP="008B244E">
            <w:pPr>
              <w:spacing w:before="40" w:after="40"/>
              <w:jc w:val="right"/>
              <w:rPr>
                <w:noProof/>
                <w:sz w:val="22"/>
              </w:rPr>
            </w:pPr>
            <w:r w:rsidRPr="00D0022B">
              <w:rPr>
                <w:noProof/>
                <w:sz w:val="22"/>
              </w:rPr>
              <w:t>58</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43A12" w14:textId="77777777" w:rsidR="008B244E" w:rsidRPr="008B244E" w:rsidRDefault="008B244E" w:rsidP="008B244E">
            <w:pPr>
              <w:spacing w:before="40" w:after="40"/>
              <w:jc w:val="right"/>
              <w:rPr>
                <w:noProof/>
                <w:sz w:val="22"/>
              </w:rPr>
            </w:pPr>
            <w:r w:rsidRPr="00D0022B">
              <w:rPr>
                <w:noProof/>
                <w:sz w:val="22"/>
              </w:rPr>
              <w:t>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B4B5" w14:textId="77777777" w:rsidR="008B244E" w:rsidRPr="008B244E" w:rsidRDefault="008B244E" w:rsidP="008B244E">
            <w:pPr>
              <w:spacing w:before="40" w:after="40"/>
              <w:jc w:val="right"/>
              <w:rPr>
                <w:noProof/>
                <w:sz w:val="22"/>
              </w:rPr>
            </w:pPr>
            <w:r w:rsidRPr="00D0022B">
              <w:rPr>
                <w:noProof/>
                <w:sz w:val="22"/>
              </w:rPr>
              <w:t>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1A255A73" w14:textId="77777777" w:rsidR="008B244E" w:rsidRPr="008B244E" w:rsidRDefault="008B244E" w:rsidP="008B244E">
            <w:pPr>
              <w:spacing w:before="40" w:after="40"/>
              <w:jc w:val="right"/>
              <w:rPr>
                <w:noProof/>
                <w:sz w:val="22"/>
              </w:rPr>
            </w:pPr>
            <w:r w:rsidRPr="00D0022B">
              <w:rPr>
                <w:noProof/>
                <w:sz w:val="22"/>
              </w:rPr>
              <w:t>69</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260BA753"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16</w:t>
            </w:r>
            <w:r>
              <w:rPr>
                <w:noProof/>
                <w:sz w:val="22"/>
              </w:rPr>
              <w:t> %</w:t>
            </w:r>
          </w:p>
        </w:tc>
      </w:tr>
      <w:tr w:rsidR="008B244E" w:rsidRPr="008B244E" w14:paraId="4F67BBED"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3C9A70E" w14:textId="77777777" w:rsidR="008B244E" w:rsidRPr="008B244E" w:rsidRDefault="008B244E" w:rsidP="008B244E">
            <w:pPr>
              <w:spacing w:before="40" w:after="40"/>
              <w:jc w:val="center"/>
              <w:rPr>
                <w:b/>
                <w:noProof/>
                <w:sz w:val="22"/>
              </w:rPr>
            </w:pPr>
            <w:r>
              <w:rPr>
                <w:b/>
                <w:noProof/>
                <w:sz w:val="22"/>
              </w:rPr>
              <w:t>PT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8A4C" w14:textId="77777777" w:rsidR="008B244E" w:rsidRPr="008B244E" w:rsidRDefault="008B244E" w:rsidP="008B244E">
            <w:pPr>
              <w:spacing w:before="40" w:after="40"/>
              <w:jc w:val="right"/>
              <w:rPr>
                <w:noProof/>
                <w:sz w:val="22"/>
              </w:rPr>
            </w:pPr>
            <w:r w:rsidRPr="00D0022B">
              <w:rPr>
                <w:noProof/>
                <w:sz w:val="22"/>
              </w:rPr>
              <w:t>385</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840A7" w14:textId="77777777" w:rsidR="008B244E" w:rsidRPr="008B244E" w:rsidRDefault="008B244E" w:rsidP="008B244E">
            <w:pPr>
              <w:spacing w:before="40" w:after="40"/>
              <w:jc w:val="right"/>
              <w:rPr>
                <w:noProof/>
                <w:sz w:val="22"/>
              </w:rPr>
            </w:pPr>
            <w:r w:rsidRPr="00D0022B">
              <w:rPr>
                <w:noProof/>
                <w:sz w:val="22"/>
              </w:rPr>
              <w:t>396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259B" w14:textId="77777777" w:rsidR="008B244E" w:rsidRPr="008B244E" w:rsidRDefault="008B244E" w:rsidP="008B244E">
            <w:pPr>
              <w:spacing w:before="40" w:after="40"/>
              <w:jc w:val="right"/>
              <w:rPr>
                <w:noProof/>
                <w:sz w:val="22"/>
              </w:rPr>
            </w:pPr>
            <w:r w:rsidRPr="00D0022B">
              <w:rPr>
                <w:noProof/>
                <w:sz w:val="22"/>
              </w:rPr>
              <w:t>582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5A50641A" w14:textId="77777777" w:rsidR="008B244E" w:rsidRPr="008B244E" w:rsidRDefault="008B244E" w:rsidP="008B244E">
            <w:pPr>
              <w:spacing w:before="40" w:after="40"/>
              <w:jc w:val="right"/>
              <w:rPr>
                <w:noProof/>
                <w:sz w:val="22"/>
              </w:rPr>
            </w:pPr>
            <w:r w:rsidRPr="00D0022B">
              <w:rPr>
                <w:noProof/>
                <w:sz w:val="22"/>
              </w:rPr>
              <w:t>1</w:t>
            </w:r>
            <w:r>
              <w:rPr>
                <w:noProof/>
                <w:sz w:val="22"/>
              </w:rPr>
              <w:t> </w:t>
            </w:r>
            <w:r w:rsidRPr="00D0022B">
              <w:rPr>
                <w:noProof/>
                <w:sz w:val="22"/>
              </w:rPr>
              <w:t>363</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591D2D82" w14:textId="77777777" w:rsidR="008B244E" w:rsidRPr="008B244E" w:rsidRDefault="008B244E" w:rsidP="008B244E">
            <w:pPr>
              <w:spacing w:before="40" w:after="40"/>
              <w:jc w:val="right"/>
              <w:rPr>
                <w:noProof/>
                <w:sz w:val="22"/>
              </w:rPr>
            </w:pPr>
            <w:r w:rsidRPr="00D0022B">
              <w:rPr>
                <w:noProof/>
                <w:sz w:val="22"/>
              </w:rPr>
              <w:t>3</w:t>
            </w:r>
            <w:r>
              <w:rPr>
                <w:noProof/>
                <w:sz w:val="22"/>
              </w:rPr>
              <w:t>,</w:t>
            </w:r>
            <w:r w:rsidRPr="00D0022B">
              <w:rPr>
                <w:noProof/>
                <w:sz w:val="22"/>
              </w:rPr>
              <w:t>09</w:t>
            </w:r>
            <w:r>
              <w:rPr>
                <w:noProof/>
                <w:sz w:val="22"/>
              </w:rPr>
              <w:t> %</w:t>
            </w:r>
          </w:p>
        </w:tc>
      </w:tr>
      <w:tr w:rsidR="008B244E" w:rsidRPr="008B244E" w14:paraId="5BFCAAB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9A15BEC" w14:textId="77777777" w:rsidR="008B244E" w:rsidRPr="008B244E" w:rsidRDefault="008B244E" w:rsidP="008B244E">
            <w:pPr>
              <w:spacing w:before="40" w:after="40"/>
              <w:jc w:val="center"/>
              <w:rPr>
                <w:b/>
                <w:noProof/>
                <w:sz w:val="22"/>
              </w:rPr>
            </w:pPr>
            <w:r>
              <w:rPr>
                <w:b/>
                <w:noProof/>
                <w:sz w:val="22"/>
              </w:rPr>
              <w:t>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4AFF"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DF73"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DE4D7"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76A0F06E"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1734B47C"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E6F783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72E6576" w14:textId="77777777" w:rsidR="008B244E" w:rsidRPr="008B244E" w:rsidRDefault="008B244E" w:rsidP="008B244E">
            <w:pPr>
              <w:spacing w:before="40" w:after="40"/>
              <w:jc w:val="center"/>
              <w:rPr>
                <w:b/>
                <w:noProof/>
                <w:sz w:val="22"/>
              </w:rPr>
            </w:pPr>
            <w:r>
              <w:rPr>
                <w:b/>
                <w:noProof/>
                <w:sz w:val="22"/>
              </w:rPr>
              <w:t>SI</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702B6" w14:textId="77777777" w:rsidR="008B244E" w:rsidRPr="008B244E" w:rsidRDefault="008B244E" w:rsidP="008B244E">
            <w:pPr>
              <w:spacing w:before="40" w:after="40"/>
              <w:jc w:val="right"/>
              <w:rPr>
                <w:noProof/>
                <w:sz w:val="22"/>
              </w:rPr>
            </w:pPr>
            <w:r w:rsidRPr="00D0022B">
              <w:rPr>
                <w:noProof/>
                <w:sz w:val="22"/>
              </w:rPr>
              <w:t>16</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FC55A" w14:textId="77777777" w:rsidR="008B244E" w:rsidRPr="008B244E" w:rsidRDefault="008B244E" w:rsidP="008B244E">
            <w:pPr>
              <w:spacing w:before="40" w:after="40"/>
              <w:jc w:val="right"/>
              <w:rPr>
                <w:noProof/>
                <w:sz w:val="22"/>
              </w:rPr>
            </w:pPr>
            <w:r w:rsidRPr="00D0022B">
              <w:rPr>
                <w:noProof/>
                <w:sz w:val="22"/>
              </w:rPr>
              <w:t>16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2E13E" w14:textId="77777777" w:rsidR="008B244E" w:rsidRPr="008B244E" w:rsidRDefault="008B244E" w:rsidP="008B244E">
            <w:pPr>
              <w:spacing w:before="40" w:after="40"/>
              <w:jc w:val="right"/>
              <w:rPr>
                <w:noProof/>
                <w:sz w:val="22"/>
              </w:rPr>
            </w:pPr>
            <w:r w:rsidRPr="00D0022B">
              <w:rPr>
                <w:noProof/>
                <w:sz w:val="22"/>
              </w:rPr>
              <w:t>20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1477CF4F" w14:textId="77777777" w:rsidR="008B244E" w:rsidRPr="008B244E" w:rsidRDefault="008B244E" w:rsidP="008B244E">
            <w:pPr>
              <w:spacing w:before="40" w:after="40"/>
              <w:jc w:val="right"/>
              <w:rPr>
                <w:noProof/>
                <w:sz w:val="22"/>
              </w:rPr>
            </w:pPr>
            <w:r w:rsidRPr="00D0022B">
              <w:rPr>
                <w:noProof/>
                <w:sz w:val="22"/>
              </w:rPr>
              <w:t>52</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5358BDA0"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12</w:t>
            </w:r>
            <w:r>
              <w:rPr>
                <w:noProof/>
                <w:sz w:val="22"/>
              </w:rPr>
              <w:t> %</w:t>
            </w:r>
          </w:p>
        </w:tc>
      </w:tr>
      <w:tr w:rsidR="008B244E" w:rsidRPr="008B244E" w14:paraId="024A18AA"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564C98C" w14:textId="77777777" w:rsidR="008B244E" w:rsidRPr="008B244E" w:rsidRDefault="008B244E" w:rsidP="008B244E">
            <w:pPr>
              <w:spacing w:before="40" w:after="40"/>
              <w:jc w:val="center"/>
              <w:rPr>
                <w:b/>
                <w:noProof/>
                <w:sz w:val="22"/>
              </w:rPr>
            </w:pPr>
            <w:r>
              <w:rPr>
                <w:b/>
                <w:noProof/>
                <w:sz w:val="22"/>
              </w:rPr>
              <w:t>SK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4F6B2" w14:textId="77777777" w:rsidR="008B244E" w:rsidRPr="008B244E" w:rsidRDefault="008B244E" w:rsidP="008B244E">
            <w:pPr>
              <w:spacing w:before="40" w:after="40"/>
              <w:jc w:val="right"/>
              <w:rPr>
                <w:noProof/>
                <w:sz w:val="22"/>
              </w:rPr>
            </w:pPr>
            <w:r w:rsidRPr="00D0022B">
              <w:rPr>
                <w:noProof/>
                <w:sz w:val="22"/>
              </w:rPr>
              <w:t>11</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E7A6" w14:textId="77777777" w:rsidR="008B244E" w:rsidRPr="008B244E" w:rsidRDefault="008B244E" w:rsidP="008B244E">
            <w:pPr>
              <w:spacing w:before="40" w:after="40"/>
              <w:jc w:val="right"/>
              <w:rPr>
                <w:noProof/>
                <w:sz w:val="22"/>
              </w:rPr>
            </w:pPr>
            <w:r w:rsidRPr="00D0022B">
              <w:rPr>
                <w:noProof/>
                <w:sz w:val="22"/>
              </w:rPr>
              <w:t>12</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B51A" w14:textId="77777777" w:rsidR="008B244E" w:rsidRPr="008B244E" w:rsidRDefault="008B244E" w:rsidP="008B244E">
            <w:pPr>
              <w:spacing w:before="40" w:after="40"/>
              <w:jc w:val="right"/>
              <w:rPr>
                <w:noProof/>
                <w:sz w:val="22"/>
              </w:rPr>
            </w:pPr>
            <w:r w:rsidRPr="00D0022B">
              <w:rPr>
                <w:noProof/>
                <w:sz w:val="22"/>
              </w:rPr>
              <w:t>5</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700F9290" w14:textId="77777777" w:rsidR="008B244E" w:rsidRPr="008B244E" w:rsidRDefault="008B244E" w:rsidP="008B244E">
            <w:pPr>
              <w:spacing w:before="40" w:after="40"/>
              <w:jc w:val="right"/>
              <w:rPr>
                <w:noProof/>
                <w:sz w:val="22"/>
              </w:rPr>
            </w:pPr>
            <w:r w:rsidRPr="00D0022B">
              <w:rPr>
                <w:noProof/>
                <w:sz w:val="22"/>
              </w:rPr>
              <w:t>28</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2076A2A3"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06</w:t>
            </w:r>
            <w:r>
              <w:rPr>
                <w:noProof/>
                <w:sz w:val="22"/>
              </w:rPr>
              <w:t> %</w:t>
            </w:r>
          </w:p>
        </w:tc>
      </w:tr>
      <w:tr w:rsidR="008B244E" w:rsidRPr="008B244E" w14:paraId="4B3ED473"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FA0F63D" w14:textId="77777777" w:rsidR="008B244E" w:rsidRPr="008B244E" w:rsidRDefault="008B244E" w:rsidP="008B244E">
            <w:pPr>
              <w:spacing w:before="40" w:after="40"/>
              <w:jc w:val="center"/>
              <w:rPr>
                <w:b/>
                <w:noProof/>
                <w:sz w:val="22"/>
              </w:rPr>
            </w:pPr>
            <w:r>
              <w:rPr>
                <w:b/>
                <w:noProof/>
                <w:sz w:val="22"/>
              </w:rPr>
              <w:t>FI</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831E" w14:textId="77777777" w:rsidR="008B244E" w:rsidRPr="008B244E" w:rsidRDefault="008B244E" w:rsidP="008B244E">
            <w:pPr>
              <w:spacing w:before="40" w:after="40"/>
              <w:jc w:val="right"/>
              <w:rPr>
                <w:noProof/>
                <w:sz w:val="22"/>
              </w:rPr>
            </w:pPr>
            <w:r w:rsidRPr="00D0022B">
              <w:rPr>
                <w:noProof/>
                <w:sz w:val="22"/>
              </w:rPr>
              <w:t>7</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D12B" w14:textId="77777777" w:rsidR="008B244E" w:rsidRPr="008B244E" w:rsidRDefault="008B244E" w:rsidP="008B244E">
            <w:pPr>
              <w:spacing w:before="40" w:after="40"/>
              <w:jc w:val="right"/>
              <w:rPr>
                <w:noProof/>
                <w:sz w:val="22"/>
              </w:rPr>
            </w:pPr>
            <w:r w:rsidRPr="00D0022B">
              <w:rPr>
                <w:noProof/>
                <w:sz w:val="22"/>
              </w:rPr>
              <w:t>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A2C18"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037A8DE2" w14:textId="77777777" w:rsidR="008B244E" w:rsidRPr="008B244E" w:rsidRDefault="008B244E" w:rsidP="008B244E">
            <w:pPr>
              <w:spacing w:before="40" w:after="40"/>
              <w:jc w:val="right"/>
              <w:rPr>
                <w:noProof/>
                <w:sz w:val="22"/>
              </w:rPr>
            </w:pPr>
            <w:r w:rsidRPr="00D0022B">
              <w:rPr>
                <w:noProof/>
                <w:sz w:val="22"/>
              </w:rPr>
              <w:t>8</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0FA1BF91"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02</w:t>
            </w:r>
            <w:r>
              <w:rPr>
                <w:noProof/>
                <w:sz w:val="22"/>
              </w:rPr>
              <w:t> %</w:t>
            </w:r>
          </w:p>
        </w:tc>
      </w:tr>
      <w:tr w:rsidR="008B244E" w:rsidRPr="008B244E" w14:paraId="21D4173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4691126" w14:textId="77777777" w:rsidR="008B244E" w:rsidRPr="008B244E" w:rsidRDefault="008B244E" w:rsidP="008B244E">
            <w:pPr>
              <w:spacing w:before="40" w:after="40"/>
              <w:jc w:val="center"/>
              <w:rPr>
                <w:b/>
                <w:noProof/>
                <w:sz w:val="22"/>
              </w:rPr>
            </w:pPr>
            <w:r>
              <w:rPr>
                <w:b/>
                <w:noProof/>
                <w:sz w:val="22"/>
              </w:rPr>
              <w:t>SE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C2B0" w14:textId="77777777" w:rsidR="008B244E" w:rsidRPr="008B244E" w:rsidRDefault="008B244E" w:rsidP="008B244E">
            <w:pPr>
              <w:spacing w:before="40" w:after="40"/>
              <w:jc w:val="right"/>
              <w:rPr>
                <w:noProof/>
                <w:sz w:val="22"/>
              </w:rPr>
            </w:pPr>
            <w:r w:rsidRPr="00D0022B">
              <w:rPr>
                <w:noProof/>
                <w:sz w:val="22"/>
              </w:rPr>
              <w:t>134</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9249" w14:textId="77777777" w:rsidR="008B244E" w:rsidRPr="008B244E" w:rsidRDefault="008B244E" w:rsidP="008B244E">
            <w:pPr>
              <w:spacing w:before="40" w:after="40"/>
              <w:jc w:val="right"/>
              <w:rPr>
                <w:noProof/>
                <w:sz w:val="22"/>
              </w:rPr>
            </w:pPr>
            <w:r w:rsidRPr="00D0022B">
              <w:rPr>
                <w:noProof/>
                <w:sz w:val="22"/>
              </w:rPr>
              <w:t>70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C4C6" w14:textId="77777777" w:rsidR="008B244E" w:rsidRPr="008B244E" w:rsidRDefault="008B244E" w:rsidP="008B244E">
            <w:pPr>
              <w:spacing w:before="40" w:after="40"/>
              <w:jc w:val="right"/>
              <w:rPr>
                <w:noProof/>
                <w:sz w:val="22"/>
              </w:rPr>
            </w:pPr>
            <w:r w:rsidRPr="00D0022B">
              <w:rPr>
                <w:noProof/>
                <w:sz w:val="22"/>
              </w:rPr>
              <w:t>33</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2931B9FF" w14:textId="77777777" w:rsidR="008B244E" w:rsidRPr="008B244E" w:rsidRDefault="008B244E" w:rsidP="008B244E">
            <w:pPr>
              <w:spacing w:before="40" w:after="40"/>
              <w:jc w:val="right"/>
              <w:rPr>
                <w:noProof/>
                <w:sz w:val="22"/>
              </w:rPr>
            </w:pPr>
            <w:r w:rsidRPr="00D0022B">
              <w:rPr>
                <w:noProof/>
                <w:sz w:val="22"/>
              </w:rPr>
              <w:t>237</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73B92BD9"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54</w:t>
            </w:r>
            <w:r>
              <w:rPr>
                <w:noProof/>
                <w:sz w:val="22"/>
              </w:rPr>
              <w:t> %</w:t>
            </w:r>
          </w:p>
        </w:tc>
      </w:tr>
      <w:tr w:rsidR="008B244E" w:rsidRPr="008B244E" w14:paraId="697D674B"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08BB50E" w14:textId="77777777" w:rsidR="008B244E" w:rsidRPr="008B244E" w:rsidRDefault="008B244E" w:rsidP="008B244E">
            <w:pPr>
              <w:spacing w:before="40" w:after="40"/>
              <w:jc w:val="center"/>
              <w:rPr>
                <w:b/>
                <w:noProof/>
                <w:sz w:val="22"/>
              </w:rPr>
            </w:pPr>
            <w:r>
              <w:rPr>
                <w:b/>
                <w:noProof/>
                <w:sz w:val="22"/>
              </w:rPr>
              <w:t>UK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DC1A2" w14:textId="77777777" w:rsidR="008B244E" w:rsidRPr="008B244E" w:rsidRDefault="008B244E" w:rsidP="008B244E">
            <w:pPr>
              <w:spacing w:before="40" w:after="40"/>
              <w:jc w:val="right"/>
              <w:rPr>
                <w:noProof/>
                <w:sz w:val="22"/>
              </w:rPr>
            </w:pPr>
            <w:r w:rsidRPr="00D0022B">
              <w:rPr>
                <w:noProof/>
                <w:sz w:val="22"/>
              </w:rPr>
              <w:t>8</w:t>
            </w:r>
            <w:r>
              <w:rPr>
                <w:noProof/>
                <w:sz w:val="22"/>
              </w:rPr>
              <w:t> </w:t>
            </w:r>
            <w:r w:rsidRPr="00D0022B">
              <w:rPr>
                <w:noProof/>
                <w:sz w:val="22"/>
              </w:rPr>
              <w:t>351</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A651B" w14:textId="77777777" w:rsidR="008B244E" w:rsidRPr="008B244E" w:rsidRDefault="008B244E" w:rsidP="008B244E">
            <w:pPr>
              <w:spacing w:before="40" w:after="40"/>
              <w:jc w:val="right"/>
              <w:rPr>
                <w:noProof/>
                <w:sz w:val="22"/>
              </w:rPr>
            </w:pPr>
            <w:r w:rsidRPr="00D0022B">
              <w:rPr>
                <w:noProof/>
                <w:sz w:val="22"/>
              </w:rPr>
              <w:t>8</w:t>
            </w:r>
            <w:r>
              <w:rPr>
                <w:noProof/>
                <w:sz w:val="22"/>
              </w:rPr>
              <w:t> </w:t>
            </w:r>
            <w:r w:rsidRPr="00D0022B">
              <w:rPr>
                <w:noProof/>
                <w:sz w:val="22"/>
              </w:rPr>
              <w:t>177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57CF3" w14:textId="77777777" w:rsidR="008B244E" w:rsidRPr="008B244E" w:rsidRDefault="008B244E" w:rsidP="008B244E">
            <w:pPr>
              <w:spacing w:before="40" w:after="40"/>
              <w:jc w:val="right"/>
              <w:rPr>
                <w:noProof/>
                <w:sz w:val="22"/>
              </w:rPr>
            </w:pPr>
            <w:r w:rsidRPr="00D0022B">
              <w:rPr>
                <w:noProof/>
                <w:sz w:val="22"/>
              </w:rPr>
              <w:t>4</w:t>
            </w:r>
            <w:r>
              <w:rPr>
                <w:noProof/>
                <w:sz w:val="22"/>
              </w:rPr>
              <w:t> </w:t>
            </w:r>
            <w:r w:rsidRPr="00D0022B">
              <w:rPr>
                <w:noProof/>
                <w:sz w:val="22"/>
              </w:rPr>
              <w:t>222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64073C55" w14:textId="77777777" w:rsidR="008B244E" w:rsidRPr="008B244E" w:rsidRDefault="008B244E" w:rsidP="008B244E">
            <w:pPr>
              <w:spacing w:before="40" w:after="40"/>
              <w:jc w:val="right"/>
              <w:rPr>
                <w:noProof/>
                <w:sz w:val="22"/>
              </w:rPr>
            </w:pPr>
            <w:r w:rsidRPr="00D0022B">
              <w:rPr>
                <w:noProof/>
                <w:sz w:val="22"/>
              </w:rPr>
              <w:t>20</w:t>
            </w:r>
            <w:r>
              <w:rPr>
                <w:noProof/>
                <w:sz w:val="22"/>
              </w:rPr>
              <w:t> </w:t>
            </w:r>
            <w:r w:rsidRPr="00D0022B">
              <w:rPr>
                <w:noProof/>
                <w:sz w:val="22"/>
              </w:rPr>
              <w:t>750</w:t>
            </w:r>
          </w:p>
        </w:tc>
        <w:tc>
          <w:tcPr>
            <w:tcW w:w="1736" w:type="dxa"/>
            <w:tcBorders>
              <w:top w:val="single" w:sz="4" w:space="0" w:color="auto"/>
              <w:left w:val="double" w:sz="4" w:space="0" w:color="auto"/>
              <w:bottom w:val="single" w:sz="4" w:space="0" w:color="auto"/>
            </w:tcBorders>
            <w:shd w:val="clear" w:color="auto" w:fill="auto"/>
            <w:noWrap/>
            <w:vAlign w:val="bottom"/>
            <w:hideMark/>
          </w:tcPr>
          <w:p w14:paraId="04A282B7" w14:textId="77777777" w:rsidR="008B244E" w:rsidRPr="008B244E" w:rsidRDefault="008B244E" w:rsidP="008B244E">
            <w:pPr>
              <w:spacing w:before="40" w:after="40"/>
              <w:jc w:val="right"/>
              <w:rPr>
                <w:noProof/>
                <w:sz w:val="22"/>
              </w:rPr>
            </w:pPr>
            <w:r w:rsidRPr="00D0022B">
              <w:rPr>
                <w:noProof/>
                <w:sz w:val="22"/>
              </w:rPr>
              <w:t>47</w:t>
            </w:r>
            <w:r>
              <w:rPr>
                <w:noProof/>
                <w:sz w:val="22"/>
              </w:rPr>
              <w:t>,</w:t>
            </w:r>
            <w:r w:rsidRPr="00D0022B">
              <w:rPr>
                <w:noProof/>
                <w:sz w:val="22"/>
              </w:rPr>
              <w:t>01</w:t>
            </w:r>
            <w:r>
              <w:rPr>
                <w:noProof/>
                <w:sz w:val="22"/>
              </w:rPr>
              <w:t> %</w:t>
            </w:r>
          </w:p>
        </w:tc>
      </w:tr>
      <w:tr w:rsidR="008B244E" w:rsidRPr="008B244E" w14:paraId="186165D2" w14:textId="77777777" w:rsidTr="008B244E">
        <w:trPr>
          <w:trHeight w:val="300"/>
        </w:trPr>
        <w:tc>
          <w:tcPr>
            <w:tcW w:w="1550" w:type="dxa"/>
            <w:tcBorders>
              <w:top w:val="single" w:sz="4" w:space="0" w:color="auto"/>
              <w:bottom w:val="double" w:sz="4" w:space="0" w:color="auto"/>
              <w:right w:val="single" w:sz="4" w:space="0" w:color="auto"/>
            </w:tcBorders>
            <w:shd w:val="clear" w:color="auto" w:fill="DBE5F1" w:themeFill="accent1" w:themeFillTint="33"/>
            <w:noWrap/>
            <w:vAlign w:val="center"/>
            <w:hideMark/>
          </w:tcPr>
          <w:p w14:paraId="0AF086A9" w14:textId="77777777" w:rsidR="008B244E" w:rsidRPr="008B244E" w:rsidRDefault="008B244E" w:rsidP="008B244E">
            <w:pPr>
              <w:spacing w:before="60" w:after="60"/>
              <w:jc w:val="center"/>
              <w:rPr>
                <w:b/>
                <w:noProof/>
                <w:sz w:val="22"/>
              </w:rPr>
            </w:pPr>
            <w:r>
              <w:rPr>
                <w:b/>
                <w:noProof/>
                <w:sz w:val="22"/>
              </w:rPr>
              <w:t>Gesamt</w:t>
            </w:r>
          </w:p>
        </w:tc>
        <w:tc>
          <w:tcPr>
            <w:tcW w:w="1441"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center"/>
            <w:hideMark/>
          </w:tcPr>
          <w:p w14:paraId="486AAFC6" w14:textId="77777777" w:rsidR="008B244E" w:rsidRPr="008B244E" w:rsidRDefault="008B244E" w:rsidP="008B244E">
            <w:pPr>
              <w:spacing w:before="60" w:after="60"/>
              <w:jc w:val="right"/>
              <w:rPr>
                <w:b/>
                <w:noProof/>
                <w:sz w:val="22"/>
              </w:rPr>
            </w:pPr>
            <w:r w:rsidRPr="00D0022B">
              <w:rPr>
                <w:b/>
                <w:noProof/>
                <w:sz w:val="22"/>
              </w:rPr>
              <w:t>16</w:t>
            </w:r>
            <w:r>
              <w:rPr>
                <w:b/>
                <w:noProof/>
                <w:sz w:val="22"/>
              </w:rPr>
              <w:t> </w:t>
            </w:r>
            <w:r w:rsidRPr="00D0022B">
              <w:rPr>
                <w:b/>
                <w:noProof/>
                <w:sz w:val="22"/>
              </w:rPr>
              <w:t>839</w:t>
            </w:r>
          </w:p>
        </w:tc>
        <w:tc>
          <w:tcPr>
            <w:tcW w:w="1441"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center"/>
            <w:hideMark/>
          </w:tcPr>
          <w:p w14:paraId="3FE6297A" w14:textId="77777777" w:rsidR="008B244E" w:rsidRPr="008B244E" w:rsidRDefault="008B244E" w:rsidP="008B244E">
            <w:pPr>
              <w:spacing w:before="60" w:after="60"/>
              <w:jc w:val="right"/>
              <w:rPr>
                <w:b/>
                <w:noProof/>
                <w:sz w:val="22"/>
              </w:rPr>
            </w:pPr>
            <w:r w:rsidRPr="00D0022B">
              <w:rPr>
                <w:b/>
                <w:noProof/>
                <w:sz w:val="22"/>
              </w:rPr>
              <w:t>16</w:t>
            </w:r>
            <w:r>
              <w:rPr>
                <w:b/>
                <w:noProof/>
                <w:sz w:val="22"/>
              </w:rPr>
              <w:t> </w:t>
            </w:r>
            <w:r w:rsidRPr="00D0022B">
              <w:rPr>
                <w:b/>
                <w:noProof/>
                <w:sz w:val="22"/>
              </w:rPr>
              <w:t>559</w:t>
            </w:r>
          </w:p>
        </w:tc>
        <w:tc>
          <w:tcPr>
            <w:tcW w:w="1370"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center"/>
            <w:hideMark/>
          </w:tcPr>
          <w:p w14:paraId="7BD21265" w14:textId="77777777" w:rsidR="008B244E" w:rsidRPr="008B244E" w:rsidRDefault="008B244E" w:rsidP="008B244E">
            <w:pPr>
              <w:spacing w:before="60" w:after="60"/>
              <w:jc w:val="right"/>
              <w:rPr>
                <w:b/>
                <w:noProof/>
                <w:sz w:val="22"/>
              </w:rPr>
            </w:pPr>
            <w:r w:rsidRPr="00D0022B">
              <w:rPr>
                <w:b/>
                <w:noProof/>
                <w:sz w:val="22"/>
              </w:rPr>
              <w:t>10</w:t>
            </w:r>
            <w:r>
              <w:rPr>
                <w:b/>
                <w:noProof/>
                <w:sz w:val="22"/>
              </w:rPr>
              <w:t> </w:t>
            </w:r>
            <w:r w:rsidRPr="00D0022B">
              <w:rPr>
                <w:b/>
                <w:noProof/>
                <w:sz w:val="22"/>
              </w:rPr>
              <w:t>740</w:t>
            </w:r>
          </w:p>
        </w:tc>
        <w:tc>
          <w:tcPr>
            <w:tcW w:w="1524" w:type="dxa"/>
            <w:tcBorders>
              <w:top w:val="single" w:sz="4" w:space="0" w:color="auto"/>
              <w:left w:val="single" w:sz="4" w:space="0" w:color="auto"/>
              <w:bottom w:val="double" w:sz="4" w:space="0" w:color="auto"/>
              <w:right w:val="double" w:sz="4" w:space="0" w:color="auto"/>
            </w:tcBorders>
            <w:shd w:val="clear" w:color="auto" w:fill="DBE5F1" w:themeFill="accent1" w:themeFillTint="33"/>
            <w:noWrap/>
            <w:vAlign w:val="bottom"/>
            <w:hideMark/>
          </w:tcPr>
          <w:p w14:paraId="4518AE2B" w14:textId="77777777" w:rsidR="008B244E" w:rsidRPr="008B244E" w:rsidRDefault="008B244E" w:rsidP="008B244E">
            <w:pPr>
              <w:spacing w:before="60" w:after="60"/>
              <w:jc w:val="right"/>
              <w:rPr>
                <w:noProof/>
                <w:sz w:val="22"/>
              </w:rPr>
            </w:pPr>
            <w:r w:rsidRPr="00D0022B">
              <w:rPr>
                <w:noProof/>
                <w:sz w:val="22"/>
              </w:rPr>
              <w:t>44</w:t>
            </w:r>
            <w:r>
              <w:rPr>
                <w:noProof/>
                <w:sz w:val="22"/>
              </w:rPr>
              <w:t> </w:t>
            </w:r>
            <w:r w:rsidRPr="00D0022B">
              <w:rPr>
                <w:noProof/>
                <w:sz w:val="22"/>
              </w:rPr>
              <w:t>138</w:t>
            </w:r>
          </w:p>
        </w:tc>
        <w:tc>
          <w:tcPr>
            <w:tcW w:w="1736" w:type="dxa"/>
            <w:tcBorders>
              <w:top w:val="single" w:sz="4" w:space="0" w:color="auto"/>
              <w:left w:val="double" w:sz="4" w:space="0" w:color="auto"/>
              <w:bottom w:val="double" w:sz="4" w:space="0" w:color="auto"/>
            </w:tcBorders>
            <w:shd w:val="clear" w:color="auto" w:fill="DBE5F1" w:themeFill="accent1" w:themeFillTint="33"/>
            <w:noWrap/>
            <w:vAlign w:val="bottom"/>
            <w:hideMark/>
          </w:tcPr>
          <w:p w14:paraId="5EDE7CAA" w14:textId="77777777" w:rsidR="008B244E" w:rsidRPr="008B244E" w:rsidRDefault="008B244E" w:rsidP="008B244E">
            <w:pPr>
              <w:spacing w:before="60" w:after="60"/>
              <w:jc w:val="right"/>
              <w:rPr>
                <w:noProof/>
                <w:sz w:val="22"/>
              </w:rPr>
            </w:pPr>
            <w:r w:rsidRPr="00D0022B">
              <w:rPr>
                <w:noProof/>
                <w:sz w:val="22"/>
              </w:rPr>
              <w:t>100</w:t>
            </w:r>
            <w:r>
              <w:rPr>
                <w:noProof/>
                <w:sz w:val="22"/>
              </w:rPr>
              <w:t>,</w:t>
            </w:r>
            <w:r w:rsidRPr="00D0022B">
              <w:rPr>
                <w:noProof/>
                <w:sz w:val="22"/>
              </w:rPr>
              <w:t>00</w:t>
            </w:r>
            <w:r>
              <w:rPr>
                <w:noProof/>
                <w:sz w:val="22"/>
              </w:rPr>
              <w:t> %</w:t>
            </w:r>
          </w:p>
        </w:tc>
      </w:tr>
    </w:tbl>
    <w:p w14:paraId="6B8BD784" w14:textId="77777777" w:rsidR="008B244E" w:rsidRPr="008B244E" w:rsidRDefault="008B244E" w:rsidP="00C34E95">
      <w:pPr>
        <w:spacing w:before="120"/>
        <w:rPr>
          <w:noProof/>
          <w:sz w:val="22"/>
        </w:rPr>
      </w:pPr>
      <w:r>
        <w:rPr>
          <w:noProof/>
          <w:sz w:val="22"/>
        </w:rPr>
        <w:t>(</w:t>
      </w:r>
      <w:r w:rsidRPr="00D0022B">
        <w:rPr>
          <w:noProof/>
          <w:sz w:val="22"/>
        </w:rPr>
        <w:t>1</w:t>
      </w:r>
      <w:r>
        <w:rPr>
          <w:noProof/>
          <w:sz w:val="22"/>
        </w:rPr>
        <w:t xml:space="preserve">) </w:t>
      </w:r>
    </w:p>
    <w:tbl>
      <w:tblPr>
        <w:tblW w:w="9062" w:type="dxa"/>
        <w:tblInd w:w="1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0"/>
        <w:gridCol w:w="3021"/>
        <w:gridCol w:w="3021"/>
      </w:tblGrid>
      <w:tr w:rsidR="008B244E" w:rsidRPr="008B244E" w14:paraId="3DDE62D4" w14:textId="77777777" w:rsidTr="008B244E">
        <w:trPr>
          <w:trHeight w:val="227"/>
        </w:trPr>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D7E5ED" w14:textId="77777777" w:rsidR="008B244E" w:rsidRPr="008B244E" w:rsidRDefault="008B244E" w:rsidP="008B244E">
            <w:pPr>
              <w:jc w:val="center"/>
              <w:rPr>
                <w:b/>
                <w:noProof/>
                <w:sz w:val="22"/>
              </w:rPr>
            </w:pPr>
            <w:r w:rsidRPr="00D0022B">
              <w:rPr>
                <w:b/>
                <w:noProof/>
                <w:sz w:val="22"/>
              </w:rPr>
              <w:t>2018</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B9CA26A" w14:textId="77777777" w:rsidR="008B244E" w:rsidRPr="008B244E" w:rsidRDefault="008B244E" w:rsidP="008B244E">
            <w:pPr>
              <w:jc w:val="center"/>
              <w:rPr>
                <w:b/>
                <w:noProof/>
                <w:sz w:val="22"/>
              </w:rPr>
            </w:pPr>
            <w:r w:rsidRPr="00D0022B">
              <w:rPr>
                <w:b/>
                <w:noProof/>
                <w:sz w:val="22"/>
              </w:rPr>
              <w:t>2019</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0FBD4F" w14:textId="77777777" w:rsidR="008B244E" w:rsidRPr="008B244E" w:rsidRDefault="008B244E" w:rsidP="008B244E">
            <w:pPr>
              <w:jc w:val="center"/>
              <w:rPr>
                <w:b/>
                <w:noProof/>
                <w:sz w:val="22"/>
              </w:rPr>
            </w:pPr>
            <w:r w:rsidRPr="00D0022B">
              <w:rPr>
                <w:b/>
                <w:noProof/>
                <w:sz w:val="22"/>
              </w:rPr>
              <w:t>2020</w:t>
            </w:r>
          </w:p>
        </w:tc>
      </w:tr>
      <w:tr w:rsidR="008B244E" w:rsidRPr="008B244E" w14:paraId="43C7EEA0" w14:textId="77777777" w:rsidTr="008B244E">
        <w:trPr>
          <w:trHeight w:val="39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78244D9" w14:textId="77777777" w:rsidR="008B244E" w:rsidRPr="008B244E" w:rsidRDefault="008B244E" w:rsidP="008B244E">
            <w:pPr>
              <w:jc w:val="both"/>
              <w:rPr>
                <w:noProof/>
                <w:sz w:val="22"/>
              </w:rPr>
            </w:pPr>
            <w:r w:rsidRPr="00D0022B">
              <w:rPr>
                <w:noProof/>
                <w:sz w:val="22"/>
              </w:rPr>
              <w:t>64</w:t>
            </w:r>
            <w:r>
              <w:rPr>
                <w:noProof/>
                <w:sz w:val="22"/>
              </w:rPr>
              <w:t> endgültige Ausfuhrgenehmigungen</w:t>
            </w:r>
          </w:p>
          <w:p w14:paraId="7B97E689" w14:textId="77777777" w:rsidR="008B244E" w:rsidRPr="008B244E" w:rsidRDefault="008B244E" w:rsidP="008B244E">
            <w:pPr>
              <w:jc w:val="both"/>
              <w:rPr>
                <w:noProof/>
                <w:sz w:val="22"/>
              </w:rPr>
            </w:pPr>
            <w:r w:rsidRPr="00D0022B">
              <w:rPr>
                <w:noProof/>
                <w:sz w:val="22"/>
              </w:rPr>
              <w:t>3</w:t>
            </w:r>
            <w:r>
              <w:rPr>
                <w:noProof/>
                <w:sz w:val="22"/>
              </w:rPr>
              <w:t> vorübergehende Ausfuhrgenehmigungen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40E55" w14:textId="77777777" w:rsidR="008B244E" w:rsidRPr="008B244E" w:rsidRDefault="008B244E" w:rsidP="008B244E">
            <w:pPr>
              <w:jc w:val="both"/>
              <w:rPr>
                <w:noProof/>
                <w:sz w:val="22"/>
              </w:rPr>
            </w:pPr>
            <w:r w:rsidRPr="00D0022B">
              <w:rPr>
                <w:noProof/>
                <w:sz w:val="22"/>
              </w:rPr>
              <w:t>94</w:t>
            </w:r>
            <w:r>
              <w:rPr>
                <w:noProof/>
                <w:sz w:val="22"/>
              </w:rPr>
              <w:t> endgültige Ausfuhrgenehmigungen</w:t>
            </w:r>
          </w:p>
          <w:p w14:paraId="38569065" w14:textId="77777777" w:rsidR="008B244E" w:rsidRPr="008B244E" w:rsidRDefault="008B244E" w:rsidP="008B244E">
            <w:pPr>
              <w:jc w:val="both"/>
              <w:rPr>
                <w:noProof/>
                <w:sz w:val="22"/>
              </w:rPr>
            </w:pPr>
            <w:r w:rsidRPr="00D0022B">
              <w:rPr>
                <w:noProof/>
                <w:sz w:val="22"/>
              </w:rPr>
              <w:t>5</w:t>
            </w:r>
            <w:r>
              <w:rPr>
                <w:noProof/>
                <w:sz w:val="22"/>
              </w:rPr>
              <w:t> vorübergehende Ausfuhrgenehmigungen</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BEE5166" w14:textId="77777777" w:rsidR="008B244E" w:rsidRPr="008B244E" w:rsidRDefault="008B244E" w:rsidP="008B244E">
            <w:pPr>
              <w:jc w:val="both"/>
              <w:rPr>
                <w:noProof/>
                <w:sz w:val="22"/>
              </w:rPr>
            </w:pPr>
            <w:r w:rsidRPr="00D0022B">
              <w:rPr>
                <w:noProof/>
                <w:sz w:val="22"/>
              </w:rPr>
              <w:t>85</w:t>
            </w:r>
            <w:r>
              <w:rPr>
                <w:noProof/>
                <w:sz w:val="22"/>
              </w:rPr>
              <w:t> endgültige Ausfuhrgenehmigungen</w:t>
            </w:r>
          </w:p>
          <w:p w14:paraId="30B5A6AC" w14:textId="77777777" w:rsidR="008B244E" w:rsidRPr="008B244E" w:rsidRDefault="008B244E" w:rsidP="008B244E">
            <w:pPr>
              <w:jc w:val="both"/>
              <w:rPr>
                <w:noProof/>
                <w:sz w:val="22"/>
              </w:rPr>
            </w:pPr>
            <w:r w:rsidRPr="00D0022B">
              <w:rPr>
                <w:noProof/>
                <w:sz w:val="22"/>
              </w:rPr>
              <w:t>2</w:t>
            </w:r>
            <w:r>
              <w:rPr>
                <w:noProof/>
                <w:sz w:val="22"/>
              </w:rPr>
              <w:t> vorübergehende Ausfuhrgenehmigungen</w:t>
            </w:r>
          </w:p>
        </w:tc>
      </w:tr>
    </w:tbl>
    <w:p w14:paraId="681A374E" w14:textId="77777777" w:rsidR="008B244E" w:rsidRPr="008B244E" w:rsidRDefault="008B244E" w:rsidP="00C34E95">
      <w:pPr>
        <w:spacing w:before="120"/>
        <w:rPr>
          <w:noProof/>
          <w:sz w:val="22"/>
        </w:rPr>
      </w:pPr>
      <w:r>
        <w:rPr>
          <w:noProof/>
          <w:sz w:val="22"/>
        </w:rPr>
        <w:t>(</w:t>
      </w:r>
      <w:r w:rsidRPr="00D0022B">
        <w:rPr>
          <w:noProof/>
          <w:sz w:val="22"/>
        </w:rPr>
        <w:t>2</w:t>
      </w:r>
      <w:r>
        <w:rPr>
          <w:noProof/>
          <w:sz w:val="22"/>
        </w:rPr>
        <w:t>) Keine statistischen Angaben verfügbar.</w:t>
      </w:r>
    </w:p>
    <w:p w14:paraId="50C89A9B" w14:textId="77777777" w:rsidR="00A357B5" w:rsidRPr="00E6611A" w:rsidRDefault="008B244E" w:rsidP="00665FC8">
      <w:pPr>
        <w:pStyle w:val="Heading2"/>
        <w:rPr>
          <w:noProof/>
        </w:rPr>
      </w:pPr>
      <w:r>
        <w:rPr>
          <w:noProof/>
        </w:rPr>
        <w:br w:type="page"/>
      </w:r>
      <w:bookmarkStart w:id="24" w:name="_Toc111153431"/>
      <w:r>
        <w:rPr>
          <w:noProof/>
        </w:rPr>
        <w:t>Tabelle </w:t>
      </w:r>
      <w:r w:rsidRPr="00D0022B">
        <w:rPr>
          <w:noProof/>
        </w:rPr>
        <w:t>2</w:t>
      </w:r>
      <w:r>
        <w:rPr>
          <w:noProof/>
        </w:rPr>
        <w:t>. Im Umlauf befindliche spezifische offene Genehmigungen</w:t>
      </w:r>
      <w:bookmarkEnd w:id="24"/>
    </w:p>
    <w:tbl>
      <w:tblPr>
        <w:tblW w:w="9062" w:type="dxa"/>
        <w:tblInd w:w="1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50"/>
        <w:gridCol w:w="1441"/>
        <w:gridCol w:w="1441"/>
        <w:gridCol w:w="1370"/>
        <w:gridCol w:w="1524"/>
        <w:gridCol w:w="1736"/>
      </w:tblGrid>
      <w:tr w:rsidR="008B244E" w:rsidRPr="008B244E" w14:paraId="3CA10AE8" w14:textId="77777777" w:rsidTr="008B244E">
        <w:trPr>
          <w:trHeight w:val="590"/>
        </w:trPr>
        <w:tc>
          <w:tcPr>
            <w:tcW w:w="1550" w:type="dxa"/>
            <w:vMerge w:val="restart"/>
            <w:tcBorders>
              <w:top w:val="double" w:sz="4" w:space="0" w:color="auto"/>
              <w:right w:val="single" w:sz="4" w:space="0" w:color="auto"/>
            </w:tcBorders>
            <w:shd w:val="clear" w:color="auto" w:fill="DBE5F1" w:themeFill="accent1" w:themeFillTint="33"/>
            <w:noWrap/>
            <w:vAlign w:val="center"/>
          </w:tcPr>
          <w:p w14:paraId="3ADFFC08" w14:textId="77777777" w:rsidR="008B244E" w:rsidRPr="008B244E" w:rsidRDefault="008B244E" w:rsidP="008B244E">
            <w:pPr>
              <w:jc w:val="center"/>
              <w:rPr>
                <w:rFonts w:cstheme="minorHAnsi"/>
                <w:b/>
                <w:noProof/>
                <w:sz w:val="22"/>
              </w:rPr>
            </w:pPr>
            <w:r>
              <w:rPr>
                <w:b/>
                <w:noProof/>
                <w:sz w:val="22"/>
              </w:rPr>
              <w:t>Mitgliedstaat</w:t>
            </w:r>
          </w:p>
        </w:tc>
        <w:tc>
          <w:tcPr>
            <w:tcW w:w="4252" w:type="dxa"/>
            <w:gridSpan w:val="3"/>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3DD4A2F0" w14:textId="77777777" w:rsidR="008B244E" w:rsidRPr="008B244E" w:rsidRDefault="008B244E" w:rsidP="008B244E">
            <w:pPr>
              <w:jc w:val="center"/>
              <w:rPr>
                <w:rFonts w:cstheme="minorHAnsi"/>
                <w:b/>
                <w:noProof/>
                <w:sz w:val="22"/>
              </w:rPr>
            </w:pPr>
            <w:r>
              <w:rPr>
                <w:b/>
                <w:noProof/>
                <w:sz w:val="22"/>
              </w:rPr>
              <w:t>Jahr</w:t>
            </w:r>
          </w:p>
        </w:tc>
        <w:tc>
          <w:tcPr>
            <w:tcW w:w="1524" w:type="dxa"/>
            <w:vMerge w:val="restart"/>
            <w:tcBorders>
              <w:top w:val="double" w:sz="4" w:space="0" w:color="auto"/>
              <w:left w:val="single" w:sz="4" w:space="0" w:color="auto"/>
              <w:right w:val="double" w:sz="4" w:space="0" w:color="auto"/>
            </w:tcBorders>
            <w:shd w:val="clear" w:color="auto" w:fill="DBE5F1" w:themeFill="accent1" w:themeFillTint="33"/>
            <w:noWrap/>
            <w:vAlign w:val="center"/>
          </w:tcPr>
          <w:p w14:paraId="217B9779" w14:textId="77777777" w:rsidR="008B244E" w:rsidRPr="008B244E" w:rsidRDefault="008B244E" w:rsidP="008B244E">
            <w:pPr>
              <w:jc w:val="center"/>
              <w:rPr>
                <w:rFonts w:cstheme="minorHAnsi"/>
                <w:b/>
                <w:noProof/>
                <w:sz w:val="22"/>
              </w:rPr>
            </w:pPr>
            <w:r w:rsidRPr="00D0022B">
              <w:rPr>
                <w:b/>
                <w:noProof/>
                <w:sz w:val="22"/>
              </w:rPr>
              <w:t>2018</w:t>
            </w:r>
            <w:r>
              <w:rPr>
                <w:b/>
                <w:noProof/>
                <w:sz w:val="22"/>
              </w:rPr>
              <w:t>–</w:t>
            </w:r>
            <w:r w:rsidRPr="00D0022B">
              <w:rPr>
                <w:b/>
                <w:noProof/>
                <w:sz w:val="22"/>
              </w:rPr>
              <w:t>2020</w:t>
            </w:r>
          </w:p>
        </w:tc>
        <w:tc>
          <w:tcPr>
            <w:tcW w:w="1736" w:type="dxa"/>
            <w:vMerge w:val="restart"/>
            <w:tcBorders>
              <w:top w:val="double" w:sz="4" w:space="0" w:color="auto"/>
              <w:left w:val="double" w:sz="4" w:space="0" w:color="auto"/>
            </w:tcBorders>
            <w:shd w:val="clear" w:color="auto" w:fill="DBE5F1" w:themeFill="accent1" w:themeFillTint="33"/>
            <w:vAlign w:val="center"/>
          </w:tcPr>
          <w:p w14:paraId="1D6EBEF9" w14:textId="3D61496B" w:rsidR="008B244E" w:rsidRPr="008B244E" w:rsidRDefault="008B244E" w:rsidP="00525ACC">
            <w:pPr>
              <w:jc w:val="center"/>
              <w:rPr>
                <w:rFonts w:cstheme="minorHAnsi"/>
                <w:b/>
                <w:noProof/>
                <w:sz w:val="22"/>
              </w:rPr>
            </w:pPr>
            <w:r>
              <w:rPr>
                <w:b/>
                <w:noProof/>
                <w:sz w:val="22"/>
              </w:rPr>
              <w:t>Anteil an der Gesamtzahl in</w:t>
            </w:r>
            <w:r>
              <w:rPr>
                <w:noProof/>
              </w:rPr>
              <w:br/>
            </w:r>
            <w:r>
              <w:rPr>
                <w:b/>
                <w:noProof/>
                <w:sz w:val="22"/>
              </w:rPr>
              <w:t>%</w:t>
            </w:r>
          </w:p>
        </w:tc>
      </w:tr>
      <w:tr w:rsidR="008B244E" w:rsidRPr="008B244E" w14:paraId="51F38372" w14:textId="77777777" w:rsidTr="008B244E">
        <w:trPr>
          <w:trHeight w:val="590"/>
        </w:trPr>
        <w:tc>
          <w:tcPr>
            <w:tcW w:w="1550" w:type="dxa"/>
            <w:vMerge/>
            <w:tcBorders>
              <w:bottom w:val="single" w:sz="4" w:space="0" w:color="auto"/>
              <w:right w:val="single" w:sz="4" w:space="0" w:color="auto"/>
            </w:tcBorders>
            <w:shd w:val="clear" w:color="auto" w:fill="DBE5F1" w:themeFill="accent1" w:themeFillTint="33"/>
            <w:noWrap/>
            <w:vAlign w:val="center"/>
            <w:hideMark/>
          </w:tcPr>
          <w:p w14:paraId="092C45D2" w14:textId="77777777" w:rsidR="008B244E" w:rsidRPr="008B244E" w:rsidRDefault="008B244E" w:rsidP="008B244E">
            <w:pPr>
              <w:jc w:val="center"/>
              <w:rPr>
                <w:rFonts w:cstheme="minorHAnsi"/>
                <w:noProof/>
                <w:sz w:val="22"/>
              </w:rPr>
            </w:pP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7F2D1C" w14:textId="77777777" w:rsidR="008B244E" w:rsidRPr="008B244E" w:rsidRDefault="008B244E" w:rsidP="008B244E">
            <w:pPr>
              <w:jc w:val="center"/>
              <w:rPr>
                <w:rFonts w:cstheme="minorHAnsi"/>
                <w:b/>
                <w:noProof/>
                <w:sz w:val="22"/>
              </w:rPr>
            </w:pPr>
            <w:r w:rsidRPr="00D0022B">
              <w:rPr>
                <w:b/>
                <w:noProof/>
                <w:sz w:val="22"/>
              </w:rPr>
              <w:t>2018</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3F237E7" w14:textId="77777777" w:rsidR="008B244E" w:rsidRPr="008B244E" w:rsidRDefault="008B244E" w:rsidP="008B244E">
            <w:pPr>
              <w:jc w:val="center"/>
              <w:rPr>
                <w:rFonts w:cstheme="minorHAnsi"/>
                <w:b/>
                <w:noProof/>
                <w:sz w:val="22"/>
              </w:rPr>
            </w:pPr>
            <w:r w:rsidRPr="00D0022B">
              <w:rPr>
                <w:b/>
                <w:noProof/>
                <w:sz w:val="22"/>
              </w:rPr>
              <w:t>2019</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57839E" w14:textId="77777777" w:rsidR="008B244E" w:rsidRPr="008B244E" w:rsidRDefault="008B244E" w:rsidP="008B244E">
            <w:pPr>
              <w:jc w:val="center"/>
              <w:rPr>
                <w:rFonts w:cstheme="minorHAnsi"/>
                <w:b/>
                <w:noProof/>
                <w:sz w:val="22"/>
              </w:rPr>
            </w:pPr>
            <w:r w:rsidRPr="00D0022B">
              <w:rPr>
                <w:b/>
                <w:noProof/>
                <w:sz w:val="22"/>
              </w:rPr>
              <w:t>2020</w:t>
            </w:r>
          </w:p>
        </w:tc>
        <w:tc>
          <w:tcPr>
            <w:tcW w:w="1524" w:type="dxa"/>
            <w:vMerge/>
            <w:tcBorders>
              <w:left w:val="single" w:sz="4" w:space="0" w:color="auto"/>
              <w:bottom w:val="single" w:sz="4" w:space="0" w:color="auto"/>
              <w:right w:val="double" w:sz="4" w:space="0" w:color="auto"/>
            </w:tcBorders>
            <w:shd w:val="clear" w:color="auto" w:fill="auto"/>
            <w:noWrap/>
            <w:vAlign w:val="center"/>
            <w:hideMark/>
          </w:tcPr>
          <w:p w14:paraId="5E61280D" w14:textId="77777777" w:rsidR="008B244E" w:rsidRPr="008B244E" w:rsidRDefault="008B244E" w:rsidP="008B244E">
            <w:pPr>
              <w:jc w:val="center"/>
              <w:rPr>
                <w:rFonts w:cstheme="minorHAnsi"/>
                <w:b/>
                <w:noProof/>
                <w:sz w:val="22"/>
              </w:rPr>
            </w:pPr>
          </w:p>
        </w:tc>
        <w:tc>
          <w:tcPr>
            <w:tcW w:w="1736" w:type="dxa"/>
            <w:vMerge/>
            <w:tcBorders>
              <w:left w:val="double" w:sz="4" w:space="0" w:color="auto"/>
              <w:bottom w:val="single" w:sz="4" w:space="0" w:color="auto"/>
            </w:tcBorders>
            <w:shd w:val="clear" w:color="auto" w:fill="auto"/>
            <w:vAlign w:val="center"/>
            <w:hideMark/>
          </w:tcPr>
          <w:p w14:paraId="504A6AE4" w14:textId="77777777" w:rsidR="008B244E" w:rsidRPr="008B244E" w:rsidRDefault="008B244E" w:rsidP="008B244E">
            <w:pPr>
              <w:jc w:val="center"/>
              <w:rPr>
                <w:rFonts w:cstheme="minorHAnsi"/>
                <w:noProof/>
                <w:sz w:val="22"/>
              </w:rPr>
            </w:pPr>
          </w:p>
        </w:tc>
      </w:tr>
      <w:tr w:rsidR="008B244E" w:rsidRPr="008B244E" w14:paraId="5656F2BD"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606855C" w14:textId="77777777" w:rsidR="008B244E" w:rsidRPr="008B244E" w:rsidRDefault="008B244E" w:rsidP="008B244E">
            <w:pPr>
              <w:spacing w:before="40" w:after="40"/>
              <w:jc w:val="center"/>
              <w:rPr>
                <w:rFonts w:cstheme="minorHAnsi"/>
                <w:b/>
                <w:noProof/>
                <w:sz w:val="22"/>
              </w:rPr>
            </w:pPr>
            <w:r>
              <w:rPr>
                <w:b/>
                <w:noProof/>
                <w:sz w:val="22"/>
              </w:rPr>
              <w:t>BE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6BED6"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3FC39"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FE070"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CC1F856"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860D84E"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2DA217F0"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0AB24A9" w14:textId="77777777" w:rsidR="008B244E" w:rsidRPr="008B244E" w:rsidRDefault="008B244E" w:rsidP="008B244E">
            <w:pPr>
              <w:spacing w:before="40" w:after="40"/>
              <w:jc w:val="center"/>
              <w:rPr>
                <w:rFonts w:cstheme="minorHAnsi"/>
                <w:b/>
                <w:noProof/>
                <w:sz w:val="22"/>
              </w:rPr>
            </w:pPr>
            <w:r>
              <w:rPr>
                <w:b/>
                <w:noProof/>
                <w:sz w:val="22"/>
              </w:rPr>
              <w:t>BG</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A45BB"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1E4B6"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FE26C"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6CE2DF0"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3EC52ED3"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50288DE3"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E7D305F" w14:textId="77777777" w:rsidR="008B244E" w:rsidRPr="008B244E" w:rsidRDefault="008B244E" w:rsidP="008B244E">
            <w:pPr>
              <w:spacing w:before="40" w:after="40"/>
              <w:jc w:val="center"/>
              <w:rPr>
                <w:rFonts w:cstheme="minorHAnsi"/>
                <w:b/>
                <w:noProof/>
                <w:sz w:val="22"/>
              </w:rPr>
            </w:pPr>
            <w:r>
              <w:rPr>
                <w:b/>
                <w:noProof/>
                <w:sz w:val="22"/>
              </w:rPr>
              <w:t>CZ</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592B6"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A4707"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BB80"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E0CDCD1"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3E80040F"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85B01F0"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ED82085" w14:textId="77777777" w:rsidR="008B244E" w:rsidRPr="008B244E" w:rsidRDefault="008B244E" w:rsidP="008B244E">
            <w:pPr>
              <w:spacing w:before="40" w:after="40"/>
              <w:jc w:val="center"/>
              <w:rPr>
                <w:rFonts w:cstheme="minorHAnsi"/>
                <w:b/>
                <w:noProof/>
                <w:sz w:val="22"/>
              </w:rPr>
            </w:pPr>
            <w:r>
              <w:rPr>
                <w:b/>
                <w:noProof/>
                <w:sz w:val="22"/>
              </w:rPr>
              <w:t>DK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46D1B"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A4FAC"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F2910"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02731C3"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2AACF5B6"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35476B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6661E37" w14:textId="77777777" w:rsidR="008B244E" w:rsidRPr="008B244E" w:rsidRDefault="008B244E" w:rsidP="008B244E">
            <w:pPr>
              <w:spacing w:before="40" w:after="40"/>
              <w:jc w:val="center"/>
              <w:rPr>
                <w:rFonts w:cstheme="minorHAnsi"/>
                <w:b/>
                <w:noProof/>
                <w:sz w:val="22"/>
              </w:rPr>
            </w:pPr>
            <w:r>
              <w:rPr>
                <w:b/>
                <w:noProof/>
                <w:sz w:val="22"/>
              </w:rPr>
              <w:t>DE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20F80" w14:textId="77777777" w:rsidR="008B244E" w:rsidRPr="008B244E" w:rsidRDefault="008B244E" w:rsidP="008B244E">
            <w:pPr>
              <w:spacing w:before="40" w:after="40"/>
              <w:jc w:val="right"/>
              <w:rPr>
                <w:rFonts w:cstheme="minorHAnsi"/>
                <w:noProof/>
                <w:sz w:val="22"/>
              </w:rPr>
            </w:pPr>
            <w:r w:rsidRPr="00D0022B">
              <w:rPr>
                <w:noProof/>
                <w:sz w:val="22"/>
              </w:rPr>
              <w:t>555</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99471" w14:textId="77777777" w:rsidR="008B244E" w:rsidRPr="008B244E" w:rsidRDefault="008B244E" w:rsidP="008B244E">
            <w:pPr>
              <w:spacing w:before="40" w:after="40"/>
              <w:jc w:val="right"/>
              <w:rPr>
                <w:rFonts w:cstheme="minorHAnsi"/>
                <w:noProof/>
                <w:sz w:val="22"/>
              </w:rPr>
            </w:pPr>
            <w:r w:rsidRPr="00D0022B">
              <w:rPr>
                <w:noProof/>
                <w:sz w:val="22"/>
              </w:rPr>
              <w:t>965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07F1B" w14:textId="77777777" w:rsidR="008B244E" w:rsidRPr="008B244E" w:rsidRDefault="008B244E" w:rsidP="008B244E">
            <w:pPr>
              <w:spacing w:before="40" w:after="40"/>
              <w:jc w:val="right"/>
              <w:rPr>
                <w:rFonts w:cstheme="minorHAnsi"/>
                <w:noProof/>
                <w:sz w:val="22"/>
              </w:rPr>
            </w:pPr>
            <w:r w:rsidRPr="00D0022B">
              <w:rPr>
                <w:noProof/>
                <w:sz w:val="22"/>
              </w:rPr>
              <w:t>828</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C18F04C" w14:textId="77777777" w:rsidR="008B244E" w:rsidRPr="008B244E" w:rsidRDefault="008B244E" w:rsidP="008B244E">
            <w:pPr>
              <w:spacing w:before="40" w:after="40"/>
              <w:jc w:val="right"/>
              <w:rPr>
                <w:rFonts w:cstheme="minorHAnsi"/>
                <w:noProof/>
                <w:sz w:val="22"/>
              </w:rPr>
            </w:pPr>
            <w:r w:rsidRPr="00D0022B">
              <w:rPr>
                <w:noProof/>
                <w:sz w:val="22"/>
              </w:rPr>
              <w:t>2</w:t>
            </w:r>
            <w:r>
              <w:rPr>
                <w:noProof/>
                <w:sz w:val="22"/>
              </w:rPr>
              <w:t> </w:t>
            </w:r>
            <w:r w:rsidRPr="00D0022B">
              <w:rPr>
                <w:noProof/>
                <w:sz w:val="22"/>
              </w:rPr>
              <w:t>348</w:t>
            </w:r>
          </w:p>
        </w:tc>
        <w:tc>
          <w:tcPr>
            <w:tcW w:w="1736" w:type="dxa"/>
            <w:tcBorders>
              <w:top w:val="single" w:sz="4" w:space="0" w:color="auto"/>
              <w:left w:val="double" w:sz="4" w:space="0" w:color="auto"/>
              <w:bottom w:val="single" w:sz="4" w:space="0" w:color="auto"/>
            </w:tcBorders>
            <w:shd w:val="clear" w:color="auto" w:fill="auto"/>
            <w:noWrap/>
            <w:vAlign w:val="bottom"/>
          </w:tcPr>
          <w:p w14:paraId="73C76401" w14:textId="77777777" w:rsidR="008B244E" w:rsidRPr="008B244E" w:rsidRDefault="008B244E" w:rsidP="008B244E">
            <w:pPr>
              <w:spacing w:before="40" w:after="40"/>
              <w:jc w:val="right"/>
              <w:rPr>
                <w:rFonts w:cstheme="minorHAnsi"/>
                <w:noProof/>
                <w:sz w:val="22"/>
              </w:rPr>
            </w:pPr>
            <w:r w:rsidRPr="00D0022B">
              <w:rPr>
                <w:noProof/>
                <w:sz w:val="22"/>
              </w:rPr>
              <w:t>61</w:t>
            </w:r>
            <w:r>
              <w:rPr>
                <w:noProof/>
                <w:sz w:val="22"/>
              </w:rPr>
              <w:t>,</w:t>
            </w:r>
            <w:r w:rsidRPr="00D0022B">
              <w:rPr>
                <w:noProof/>
                <w:sz w:val="22"/>
              </w:rPr>
              <w:t>34</w:t>
            </w:r>
            <w:r>
              <w:rPr>
                <w:noProof/>
                <w:sz w:val="22"/>
              </w:rPr>
              <w:t> %</w:t>
            </w:r>
          </w:p>
        </w:tc>
      </w:tr>
      <w:tr w:rsidR="008B244E" w:rsidRPr="008B244E" w14:paraId="7F14672A"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A5C44F2" w14:textId="77777777" w:rsidR="008B244E" w:rsidRPr="008B244E" w:rsidRDefault="008B244E" w:rsidP="008B244E">
            <w:pPr>
              <w:spacing w:before="40" w:after="40"/>
              <w:jc w:val="center"/>
              <w:rPr>
                <w:rFonts w:cstheme="minorHAnsi"/>
                <w:b/>
                <w:noProof/>
                <w:sz w:val="22"/>
              </w:rPr>
            </w:pPr>
            <w:r>
              <w:rPr>
                <w:b/>
                <w:noProof/>
                <w:sz w:val="22"/>
              </w:rPr>
              <w:t>EE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DBD4C"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3EE17"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1CE41"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6FC29503"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6DB889B"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02E1A5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CC6B3B0" w14:textId="77777777" w:rsidR="008B244E" w:rsidRPr="008B244E" w:rsidRDefault="008B244E" w:rsidP="008B244E">
            <w:pPr>
              <w:spacing w:before="40" w:after="40"/>
              <w:jc w:val="center"/>
              <w:rPr>
                <w:rFonts w:cstheme="minorHAnsi"/>
                <w:b/>
                <w:noProof/>
                <w:sz w:val="22"/>
              </w:rPr>
            </w:pPr>
            <w:r>
              <w:rPr>
                <w:b/>
                <w:noProof/>
                <w:sz w:val="22"/>
              </w:rPr>
              <w:t>IE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84378"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15F4F"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23855"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6D17FE86"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4C8C5F3A"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5AC59C1"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3B59FD9" w14:textId="77777777" w:rsidR="008B244E" w:rsidRPr="008B244E" w:rsidRDefault="008B244E" w:rsidP="008B244E">
            <w:pPr>
              <w:spacing w:before="40" w:after="40"/>
              <w:jc w:val="center"/>
              <w:rPr>
                <w:rFonts w:cstheme="minorHAnsi"/>
                <w:b/>
                <w:noProof/>
                <w:sz w:val="22"/>
              </w:rPr>
            </w:pPr>
            <w:r>
              <w:rPr>
                <w:b/>
                <w:noProof/>
                <w:sz w:val="22"/>
              </w:rPr>
              <w:t>EL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227AB"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88AD0"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2102C"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9E3542F"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1214DA4"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FD6712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FFC1E65" w14:textId="77777777" w:rsidR="008B244E" w:rsidRPr="008B244E" w:rsidRDefault="008B244E" w:rsidP="008B244E">
            <w:pPr>
              <w:spacing w:before="40" w:after="40"/>
              <w:jc w:val="center"/>
              <w:rPr>
                <w:rFonts w:cstheme="minorHAnsi"/>
                <w:b/>
                <w:noProof/>
                <w:sz w:val="22"/>
              </w:rPr>
            </w:pPr>
            <w:r>
              <w:rPr>
                <w:b/>
                <w:noProof/>
                <w:sz w:val="22"/>
              </w:rPr>
              <w:t>ES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70E5E"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EE16D"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ACBB2"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5652EDF"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45C41E97"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2C8EE13D"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0C0C1E3" w14:textId="77777777" w:rsidR="008B244E" w:rsidRPr="008B244E" w:rsidRDefault="008B244E" w:rsidP="008B244E">
            <w:pPr>
              <w:spacing w:before="40" w:after="40"/>
              <w:jc w:val="center"/>
              <w:rPr>
                <w:rFonts w:cstheme="minorHAnsi"/>
                <w:b/>
                <w:noProof/>
                <w:sz w:val="22"/>
              </w:rPr>
            </w:pPr>
            <w:r>
              <w:rPr>
                <w:b/>
                <w:noProof/>
                <w:sz w:val="22"/>
              </w:rPr>
              <w:t>FR</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6DDAE293" w14:textId="77777777" w:rsidR="008B244E" w:rsidRPr="008B244E" w:rsidRDefault="008B244E" w:rsidP="008B244E">
            <w:pPr>
              <w:spacing w:before="40" w:after="40"/>
              <w:jc w:val="right"/>
              <w:rPr>
                <w:rFonts w:cstheme="minorHAnsi"/>
                <w:noProof/>
                <w:sz w:val="22"/>
              </w:rPr>
            </w:pPr>
            <w:r w:rsidRPr="00D0022B">
              <w:rPr>
                <w:noProof/>
                <w:sz w:val="22"/>
              </w:rPr>
              <w:t>4</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1331BB1" w14:textId="77777777" w:rsidR="008B244E" w:rsidRPr="008B244E" w:rsidRDefault="008B244E" w:rsidP="008B244E">
            <w:pPr>
              <w:spacing w:before="40" w:after="40"/>
              <w:jc w:val="right"/>
              <w:rPr>
                <w:rFonts w:cstheme="minorHAnsi"/>
                <w:noProof/>
                <w:sz w:val="22"/>
              </w:rPr>
            </w:pPr>
            <w:r w:rsidRPr="00D0022B">
              <w:rPr>
                <w:noProof/>
                <w:sz w:val="22"/>
              </w:rPr>
              <w:t>1</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0B9F333" w14:textId="77777777" w:rsidR="008B244E" w:rsidRPr="008B244E" w:rsidRDefault="008B244E" w:rsidP="008B244E">
            <w:pPr>
              <w:spacing w:before="40" w:after="40"/>
              <w:jc w:val="right"/>
              <w:rPr>
                <w:rFonts w:cstheme="minorHAnsi"/>
                <w:noProof/>
                <w:sz w:val="22"/>
              </w:rPr>
            </w:pPr>
            <w:r w:rsidRPr="00D0022B">
              <w:rPr>
                <w:noProof/>
                <w:sz w:val="22"/>
              </w:rPr>
              <w:t>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18B3B137" w14:textId="77777777" w:rsidR="008B244E" w:rsidRPr="008B244E" w:rsidRDefault="008B244E" w:rsidP="008B244E">
            <w:pPr>
              <w:spacing w:before="40" w:after="40"/>
              <w:jc w:val="right"/>
              <w:rPr>
                <w:rFonts w:cstheme="minorHAnsi"/>
                <w:noProof/>
                <w:sz w:val="22"/>
              </w:rPr>
            </w:pPr>
            <w:r w:rsidRPr="00D0022B">
              <w:rPr>
                <w:noProof/>
                <w:sz w:val="22"/>
              </w:rPr>
              <w:t>7</w:t>
            </w:r>
          </w:p>
        </w:tc>
        <w:tc>
          <w:tcPr>
            <w:tcW w:w="1736" w:type="dxa"/>
            <w:tcBorders>
              <w:top w:val="single" w:sz="4" w:space="0" w:color="auto"/>
              <w:left w:val="double" w:sz="4" w:space="0" w:color="auto"/>
              <w:bottom w:val="single" w:sz="4" w:space="0" w:color="auto"/>
            </w:tcBorders>
            <w:shd w:val="clear" w:color="auto" w:fill="auto"/>
            <w:noWrap/>
            <w:vAlign w:val="bottom"/>
          </w:tcPr>
          <w:p w14:paraId="40A2471C"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18</w:t>
            </w:r>
            <w:r>
              <w:rPr>
                <w:noProof/>
                <w:sz w:val="22"/>
              </w:rPr>
              <w:t> %</w:t>
            </w:r>
          </w:p>
        </w:tc>
      </w:tr>
      <w:tr w:rsidR="008B244E" w:rsidRPr="008B244E" w14:paraId="0ECDBEE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063BE13" w14:textId="77777777" w:rsidR="008B244E" w:rsidRPr="008B244E" w:rsidRDefault="008B244E" w:rsidP="008B244E">
            <w:pPr>
              <w:spacing w:before="40" w:after="40"/>
              <w:jc w:val="center"/>
              <w:rPr>
                <w:rFonts w:cstheme="minorHAnsi"/>
                <w:b/>
                <w:noProof/>
                <w:sz w:val="22"/>
              </w:rPr>
            </w:pPr>
            <w:r>
              <w:rPr>
                <w:b/>
                <w:noProof/>
                <w:sz w:val="22"/>
              </w:rPr>
              <w:t>HR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F9B5F"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85564"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0C947" w14:textId="77777777" w:rsidR="008B244E" w:rsidRPr="008B244E" w:rsidRDefault="008B244E" w:rsidP="008B244E">
            <w:pPr>
              <w:spacing w:before="40" w:after="40"/>
              <w:jc w:val="right"/>
              <w:rPr>
                <w:rFonts w:cstheme="minorHAnsi"/>
                <w:noProof/>
                <w:sz w:val="22"/>
              </w:rPr>
            </w:pPr>
            <w:r w:rsidRPr="00D0022B">
              <w:rPr>
                <w:noProof/>
                <w:sz w:val="22"/>
              </w:rPr>
              <w:t>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03E6A70D" w14:textId="77777777" w:rsidR="008B244E" w:rsidRPr="008B244E" w:rsidRDefault="008B244E" w:rsidP="008B244E">
            <w:pPr>
              <w:spacing w:before="40" w:after="40"/>
              <w:jc w:val="right"/>
              <w:rPr>
                <w:rFonts w:cstheme="minorHAnsi"/>
                <w:noProof/>
                <w:sz w:val="22"/>
              </w:rPr>
            </w:pPr>
            <w:r w:rsidRPr="00D0022B">
              <w:rPr>
                <w:noProof/>
                <w:sz w:val="22"/>
              </w:rPr>
              <w:t>1</w:t>
            </w:r>
          </w:p>
        </w:tc>
        <w:tc>
          <w:tcPr>
            <w:tcW w:w="1736" w:type="dxa"/>
            <w:tcBorders>
              <w:top w:val="single" w:sz="4" w:space="0" w:color="auto"/>
              <w:left w:val="double" w:sz="4" w:space="0" w:color="auto"/>
              <w:bottom w:val="single" w:sz="4" w:space="0" w:color="auto"/>
            </w:tcBorders>
            <w:shd w:val="clear" w:color="auto" w:fill="auto"/>
            <w:noWrap/>
            <w:vAlign w:val="bottom"/>
          </w:tcPr>
          <w:p w14:paraId="42A353AC"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03</w:t>
            </w:r>
            <w:r>
              <w:rPr>
                <w:noProof/>
                <w:sz w:val="22"/>
              </w:rPr>
              <w:t> %</w:t>
            </w:r>
          </w:p>
        </w:tc>
      </w:tr>
      <w:tr w:rsidR="008B244E" w:rsidRPr="008B244E" w14:paraId="2EFE3C92"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6229B50" w14:textId="77777777" w:rsidR="008B244E" w:rsidRPr="008B244E" w:rsidRDefault="008B244E" w:rsidP="008B244E">
            <w:pPr>
              <w:spacing w:before="40" w:after="40"/>
              <w:jc w:val="center"/>
              <w:rPr>
                <w:rFonts w:cstheme="minorHAnsi"/>
                <w:b/>
                <w:noProof/>
                <w:sz w:val="22"/>
              </w:rPr>
            </w:pPr>
            <w:r>
              <w:rPr>
                <w:b/>
                <w:noProof/>
                <w:sz w:val="22"/>
              </w:rPr>
              <w:t>IT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D0049"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0E184"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3521"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10EB2B54"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28E9DE34"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1715A98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A66720C" w14:textId="77777777" w:rsidR="008B244E" w:rsidRPr="008B244E" w:rsidRDefault="008B244E" w:rsidP="008B244E">
            <w:pPr>
              <w:spacing w:before="40" w:after="40"/>
              <w:jc w:val="center"/>
              <w:rPr>
                <w:rFonts w:cstheme="minorHAnsi"/>
                <w:b/>
                <w:noProof/>
                <w:sz w:val="22"/>
              </w:rPr>
            </w:pPr>
            <w:r>
              <w:rPr>
                <w:b/>
                <w:noProof/>
                <w:sz w:val="22"/>
              </w:rPr>
              <w:t>CY</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21B5C"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092EE"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18DB4"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045F2AD"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467BD135"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74A6A44A"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5169B7B" w14:textId="77777777" w:rsidR="008B244E" w:rsidRPr="008B244E" w:rsidRDefault="008B244E" w:rsidP="008B244E">
            <w:pPr>
              <w:spacing w:before="40" w:after="40"/>
              <w:jc w:val="center"/>
              <w:rPr>
                <w:rFonts w:cstheme="minorHAnsi"/>
                <w:b/>
                <w:noProof/>
                <w:sz w:val="22"/>
              </w:rPr>
            </w:pPr>
            <w:r>
              <w:rPr>
                <w:b/>
                <w:noProof/>
                <w:sz w:val="22"/>
              </w:rPr>
              <w:t>LV</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790EE"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FCCBC"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E0CB4"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0A7A4F61"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143E4A1"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E575757"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7F9A6BD" w14:textId="77777777" w:rsidR="008B244E" w:rsidRPr="008B244E" w:rsidRDefault="008B244E" w:rsidP="008B244E">
            <w:pPr>
              <w:spacing w:before="40" w:after="40"/>
              <w:jc w:val="center"/>
              <w:rPr>
                <w:rFonts w:cstheme="minorHAnsi"/>
                <w:b/>
                <w:noProof/>
                <w:sz w:val="22"/>
              </w:rPr>
            </w:pPr>
            <w:r>
              <w:rPr>
                <w:b/>
                <w:noProof/>
                <w:sz w:val="22"/>
              </w:rPr>
              <w:t xml:space="preserve">LT </w:t>
            </w:r>
            <w:r>
              <w:rPr>
                <w:noProof/>
                <w:sz w:val="22"/>
              </w:rPr>
              <w:t>(</w:t>
            </w:r>
            <w:r w:rsidRPr="00D0022B">
              <w:rPr>
                <w:noProof/>
                <w:sz w:val="22"/>
              </w:rPr>
              <w:t>1</w:t>
            </w:r>
            <w:r>
              <w:rPr>
                <w:noProof/>
                <w:sz w:val="22"/>
              </w:rPr>
              <w:t>)</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E843C" w14:textId="77777777" w:rsidR="008B244E" w:rsidRPr="008B244E" w:rsidRDefault="008B244E" w:rsidP="008B244E">
            <w:pPr>
              <w:spacing w:before="40" w:after="40"/>
              <w:jc w:val="right"/>
              <w:rPr>
                <w:rFonts w:cstheme="minorHAnsi"/>
                <w:noProof/>
                <w:sz w:val="22"/>
              </w:rPr>
            </w:pPr>
            <w:r>
              <w:rPr>
                <w:noProof/>
                <w:sz w:val="22"/>
              </w:rPr>
              <w:t xml:space="preserve"> </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A4015C" w14:textId="77777777" w:rsidR="008B244E" w:rsidRPr="008B244E" w:rsidRDefault="008B244E" w:rsidP="008B244E">
            <w:pPr>
              <w:spacing w:before="40" w:after="40"/>
              <w:jc w:val="right"/>
              <w:rPr>
                <w:rFonts w:cstheme="minorHAnsi"/>
                <w:noProof/>
                <w:sz w:val="22"/>
              </w:rPr>
            </w:pPr>
            <w:r>
              <w:rPr>
                <w:noProof/>
                <w:sz w:val="22"/>
              </w:rPr>
              <w:t xml:space="preserve"> </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5D50129" w14:textId="77777777" w:rsidR="008B244E" w:rsidRPr="008B244E" w:rsidRDefault="008B244E" w:rsidP="008B244E">
            <w:pPr>
              <w:spacing w:before="40" w:after="40"/>
              <w:jc w:val="right"/>
              <w:rPr>
                <w:rFonts w:cstheme="minorHAnsi"/>
                <w:noProof/>
                <w:sz w:val="22"/>
              </w:rPr>
            </w:pPr>
            <w:r>
              <w:rPr>
                <w:noProof/>
                <w:sz w:val="22"/>
              </w:rPr>
              <w:t xml:space="preserve"> </w:t>
            </w:r>
          </w:p>
        </w:tc>
        <w:tc>
          <w:tcPr>
            <w:tcW w:w="1524" w:type="dxa"/>
            <w:tcBorders>
              <w:top w:val="single" w:sz="4" w:space="0" w:color="auto"/>
              <w:left w:val="single" w:sz="4" w:space="0" w:color="auto"/>
              <w:bottom w:val="single" w:sz="4" w:space="0" w:color="auto"/>
              <w:right w:val="double" w:sz="4" w:space="0" w:color="auto"/>
            </w:tcBorders>
            <w:shd w:val="clear" w:color="auto" w:fill="DBE5F1" w:themeFill="accent1" w:themeFillTint="33"/>
            <w:noWrap/>
            <w:vAlign w:val="bottom"/>
          </w:tcPr>
          <w:p w14:paraId="479A5A76"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DBE5F1" w:themeFill="accent1" w:themeFillTint="33"/>
            <w:noWrap/>
            <w:vAlign w:val="bottom"/>
          </w:tcPr>
          <w:p w14:paraId="078D2F2C"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3702B65"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7BE92D4" w14:textId="77777777" w:rsidR="008B244E" w:rsidRPr="008B244E" w:rsidRDefault="008B244E" w:rsidP="008B244E">
            <w:pPr>
              <w:spacing w:before="40" w:after="40"/>
              <w:jc w:val="center"/>
              <w:rPr>
                <w:rFonts w:cstheme="minorHAnsi"/>
                <w:b/>
                <w:noProof/>
                <w:sz w:val="22"/>
              </w:rPr>
            </w:pPr>
            <w:r>
              <w:rPr>
                <w:b/>
                <w:noProof/>
                <w:sz w:val="22"/>
              </w:rPr>
              <w:t>LU</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389E9"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E80A4"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9FAFA"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9DE3C22"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3DB5D319"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227D76E8"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13D75D8" w14:textId="77777777" w:rsidR="008B244E" w:rsidRPr="008B244E" w:rsidRDefault="008B244E" w:rsidP="008B244E">
            <w:pPr>
              <w:spacing w:before="40" w:after="40"/>
              <w:jc w:val="center"/>
              <w:rPr>
                <w:rFonts w:cstheme="minorHAnsi"/>
                <w:b/>
                <w:noProof/>
                <w:sz w:val="22"/>
              </w:rPr>
            </w:pPr>
            <w:r>
              <w:rPr>
                <w:b/>
                <w:noProof/>
                <w:sz w:val="22"/>
              </w:rPr>
              <w:t>HU</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A321"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503A7"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9FAC5"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DE6124F"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5E594A1F"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58E8EF1"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2476E7C" w14:textId="77777777" w:rsidR="008B244E" w:rsidRPr="008B244E" w:rsidRDefault="008B244E" w:rsidP="008B244E">
            <w:pPr>
              <w:spacing w:before="40" w:after="40"/>
              <w:jc w:val="center"/>
              <w:rPr>
                <w:rFonts w:cstheme="minorHAnsi"/>
                <w:b/>
                <w:noProof/>
                <w:sz w:val="22"/>
              </w:rPr>
            </w:pPr>
            <w:r>
              <w:rPr>
                <w:b/>
                <w:noProof/>
                <w:sz w:val="22"/>
              </w:rPr>
              <w:t>MT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65A78"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99C1C"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6DB4D"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4A80000"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7C14D078"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696CB810"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90E9D6E" w14:textId="77777777" w:rsidR="008B244E" w:rsidRPr="008B244E" w:rsidRDefault="008B244E" w:rsidP="008B244E">
            <w:pPr>
              <w:spacing w:before="40" w:after="40"/>
              <w:jc w:val="center"/>
              <w:rPr>
                <w:rFonts w:cstheme="minorHAnsi"/>
                <w:b/>
                <w:noProof/>
                <w:sz w:val="22"/>
              </w:rPr>
            </w:pPr>
            <w:r>
              <w:rPr>
                <w:b/>
                <w:noProof/>
                <w:sz w:val="22"/>
              </w:rPr>
              <w:t>NL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2B54" w14:textId="77777777" w:rsidR="008B244E" w:rsidRPr="008B244E" w:rsidRDefault="008B244E" w:rsidP="008B244E">
            <w:pPr>
              <w:spacing w:before="40" w:after="40"/>
              <w:jc w:val="right"/>
              <w:rPr>
                <w:rFonts w:cstheme="minorHAnsi"/>
                <w:noProof/>
                <w:sz w:val="22"/>
              </w:rPr>
            </w:pPr>
            <w:r w:rsidRPr="00D0022B">
              <w:rPr>
                <w:noProof/>
                <w:sz w:val="22"/>
              </w:rPr>
              <w:t>336</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CE8FE" w14:textId="77777777" w:rsidR="008B244E" w:rsidRPr="008B244E" w:rsidRDefault="008B244E" w:rsidP="008B244E">
            <w:pPr>
              <w:spacing w:before="40" w:after="40"/>
              <w:jc w:val="right"/>
              <w:rPr>
                <w:rFonts w:cstheme="minorHAnsi"/>
                <w:noProof/>
                <w:sz w:val="22"/>
              </w:rPr>
            </w:pPr>
            <w:r w:rsidRPr="00D0022B">
              <w:rPr>
                <w:noProof/>
                <w:sz w:val="22"/>
              </w:rPr>
              <w:t>394</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329F2" w14:textId="77777777" w:rsidR="008B244E" w:rsidRPr="008B244E" w:rsidRDefault="008B244E" w:rsidP="008B244E">
            <w:pPr>
              <w:spacing w:before="40" w:after="40"/>
              <w:jc w:val="right"/>
              <w:rPr>
                <w:rFonts w:cstheme="minorHAnsi"/>
                <w:noProof/>
                <w:sz w:val="22"/>
              </w:rPr>
            </w:pPr>
            <w:r w:rsidRPr="00D0022B">
              <w:rPr>
                <w:noProof/>
                <w:sz w:val="22"/>
              </w:rPr>
              <w:t>394</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90D024E" w14:textId="77777777" w:rsidR="008B244E" w:rsidRPr="008B244E" w:rsidRDefault="008B244E" w:rsidP="008B244E">
            <w:pPr>
              <w:spacing w:before="40" w:after="40"/>
              <w:jc w:val="right"/>
              <w:rPr>
                <w:rFonts w:cstheme="minorHAnsi"/>
                <w:noProof/>
                <w:sz w:val="22"/>
              </w:rPr>
            </w:pPr>
            <w:r w:rsidRPr="00D0022B">
              <w:rPr>
                <w:noProof/>
                <w:sz w:val="22"/>
              </w:rPr>
              <w:t>1</w:t>
            </w:r>
            <w:r>
              <w:rPr>
                <w:noProof/>
                <w:sz w:val="22"/>
              </w:rPr>
              <w:t> </w:t>
            </w:r>
            <w:r w:rsidRPr="00D0022B">
              <w:rPr>
                <w:noProof/>
                <w:sz w:val="22"/>
              </w:rPr>
              <w:t>124</w:t>
            </w:r>
          </w:p>
        </w:tc>
        <w:tc>
          <w:tcPr>
            <w:tcW w:w="1736" w:type="dxa"/>
            <w:tcBorders>
              <w:top w:val="single" w:sz="4" w:space="0" w:color="auto"/>
              <w:left w:val="double" w:sz="4" w:space="0" w:color="auto"/>
              <w:bottom w:val="single" w:sz="4" w:space="0" w:color="auto"/>
            </w:tcBorders>
            <w:shd w:val="clear" w:color="auto" w:fill="auto"/>
            <w:noWrap/>
            <w:vAlign w:val="bottom"/>
          </w:tcPr>
          <w:p w14:paraId="731E388F" w14:textId="77777777" w:rsidR="008B244E" w:rsidRPr="008B244E" w:rsidRDefault="008B244E" w:rsidP="008B244E">
            <w:pPr>
              <w:spacing w:before="40" w:after="40"/>
              <w:jc w:val="right"/>
              <w:rPr>
                <w:rFonts w:cstheme="minorHAnsi"/>
                <w:noProof/>
                <w:sz w:val="22"/>
              </w:rPr>
            </w:pPr>
            <w:r w:rsidRPr="00D0022B">
              <w:rPr>
                <w:noProof/>
                <w:sz w:val="22"/>
              </w:rPr>
              <w:t>29</w:t>
            </w:r>
            <w:r>
              <w:rPr>
                <w:noProof/>
                <w:sz w:val="22"/>
              </w:rPr>
              <w:t>,</w:t>
            </w:r>
            <w:r w:rsidRPr="00D0022B">
              <w:rPr>
                <w:noProof/>
                <w:sz w:val="22"/>
              </w:rPr>
              <w:t>36</w:t>
            </w:r>
            <w:r>
              <w:rPr>
                <w:noProof/>
                <w:sz w:val="22"/>
              </w:rPr>
              <w:t> %</w:t>
            </w:r>
          </w:p>
        </w:tc>
      </w:tr>
      <w:tr w:rsidR="008B244E" w:rsidRPr="008B244E" w14:paraId="3F143A37"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ADE303B" w14:textId="77777777" w:rsidR="008B244E" w:rsidRPr="008B244E" w:rsidRDefault="008B244E" w:rsidP="008B244E">
            <w:pPr>
              <w:spacing w:before="40" w:after="40"/>
              <w:jc w:val="center"/>
              <w:rPr>
                <w:rFonts w:cstheme="minorHAnsi"/>
                <w:b/>
                <w:noProof/>
                <w:sz w:val="22"/>
              </w:rPr>
            </w:pPr>
            <w:r>
              <w:rPr>
                <w:b/>
                <w:noProof/>
                <w:sz w:val="22"/>
              </w:rPr>
              <w:t>AT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D08ED"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C1623"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9EC5F" w14:textId="77777777" w:rsidR="008B244E" w:rsidRPr="008B244E" w:rsidRDefault="008B244E" w:rsidP="008B244E">
            <w:pPr>
              <w:spacing w:before="40" w:after="40"/>
              <w:jc w:val="right"/>
              <w:rPr>
                <w:rFonts w:cstheme="minorHAnsi"/>
                <w:noProof/>
                <w:sz w:val="22"/>
              </w:rPr>
            </w:pPr>
            <w:r w:rsidRPr="00D0022B">
              <w:rPr>
                <w:noProof/>
                <w:sz w:val="22"/>
              </w:rPr>
              <w:t>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99DC011" w14:textId="77777777" w:rsidR="008B244E" w:rsidRPr="008B244E" w:rsidRDefault="008B244E" w:rsidP="008B244E">
            <w:pPr>
              <w:spacing w:before="40" w:after="40"/>
              <w:jc w:val="right"/>
              <w:rPr>
                <w:rFonts w:cstheme="minorHAnsi"/>
                <w:noProof/>
                <w:sz w:val="22"/>
              </w:rPr>
            </w:pPr>
            <w:r w:rsidRPr="00D0022B">
              <w:rPr>
                <w:noProof/>
                <w:sz w:val="22"/>
              </w:rPr>
              <w:t>1</w:t>
            </w:r>
          </w:p>
        </w:tc>
        <w:tc>
          <w:tcPr>
            <w:tcW w:w="1736" w:type="dxa"/>
            <w:tcBorders>
              <w:top w:val="single" w:sz="4" w:space="0" w:color="auto"/>
              <w:left w:val="double" w:sz="4" w:space="0" w:color="auto"/>
              <w:bottom w:val="single" w:sz="4" w:space="0" w:color="auto"/>
            </w:tcBorders>
            <w:shd w:val="clear" w:color="auto" w:fill="auto"/>
            <w:noWrap/>
            <w:vAlign w:val="bottom"/>
          </w:tcPr>
          <w:p w14:paraId="43DE37EC"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03</w:t>
            </w:r>
            <w:r>
              <w:rPr>
                <w:noProof/>
                <w:sz w:val="22"/>
              </w:rPr>
              <w:t> %</w:t>
            </w:r>
          </w:p>
        </w:tc>
      </w:tr>
      <w:tr w:rsidR="008B244E" w:rsidRPr="008B244E" w14:paraId="7EF2969E"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60A35E3" w14:textId="77777777" w:rsidR="008B244E" w:rsidRPr="008B244E" w:rsidRDefault="008B244E" w:rsidP="008B244E">
            <w:pPr>
              <w:spacing w:before="40" w:after="40"/>
              <w:jc w:val="center"/>
              <w:rPr>
                <w:rFonts w:cstheme="minorHAnsi"/>
                <w:b/>
                <w:noProof/>
                <w:sz w:val="22"/>
              </w:rPr>
            </w:pPr>
            <w:r>
              <w:rPr>
                <w:b/>
                <w:noProof/>
                <w:sz w:val="22"/>
              </w:rPr>
              <w:t>PL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1FA24" w14:textId="77777777" w:rsidR="008B244E" w:rsidRPr="008B244E" w:rsidRDefault="008B244E" w:rsidP="008B244E">
            <w:pPr>
              <w:spacing w:before="40" w:after="40"/>
              <w:jc w:val="right"/>
              <w:rPr>
                <w:rFonts w:cstheme="minorHAnsi"/>
                <w:noProof/>
                <w:sz w:val="22"/>
              </w:rPr>
            </w:pPr>
            <w:r w:rsidRPr="00D0022B">
              <w:rPr>
                <w:noProof/>
                <w:sz w:val="22"/>
              </w:rPr>
              <w:t>6</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60527" w14:textId="77777777" w:rsidR="008B244E" w:rsidRPr="008B244E" w:rsidRDefault="008B244E" w:rsidP="008B244E">
            <w:pPr>
              <w:spacing w:before="40" w:after="40"/>
              <w:jc w:val="right"/>
              <w:rPr>
                <w:rFonts w:cstheme="minorHAnsi"/>
                <w:noProof/>
                <w:sz w:val="22"/>
              </w:rPr>
            </w:pPr>
            <w:r w:rsidRPr="00D0022B">
              <w:rPr>
                <w:noProof/>
                <w:sz w:val="22"/>
              </w:rPr>
              <w:t>15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08D59" w14:textId="77777777" w:rsidR="008B244E" w:rsidRPr="008B244E" w:rsidRDefault="008B244E" w:rsidP="008B244E">
            <w:pPr>
              <w:spacing w:before="40" w:after="40"/>
              <w:jc w:val="right"/>
              <w:rPr>
                <w:rFonts w:cstheme="minorHAnsi"/>
                <w:noProof/>
                <w:sz w:val="22"/>
              </w:rPr>
            </w:pPr>
            <w:r w:rsidRPr="00D0022B">
              <w:rPr>
                <w:noProof/>
                <w:sz w:val="22"/>
              </w:rPr>
              <w:t>15</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3DB638E" w14:textId="77777777" w:rsidR="008B244E" w:rsidRPr="008B244E" w:rsidRDefault="008B244E" w:rsidP="008B244E">
            <w:pPr>
              <w:spacing w:before="40" w:after="40"/>
              <w:jc w:val="right"/>
              <w:rPr>
                <w:rFonts w:cstheme="minorHAnsi"/>
                <w:noProof/>
                <w:sz w:val="22"/>
              </w:rPr>
            </w:pPr>
            <w:r w:rsidRPr="00D0022B">
              <w:rPr>
                <w:noProof/>
                <w:sz w:val="22"/>
              </w:rPr>
              <w:t>36</w:t>
            </w:r>
          </w:p>
        </w:tc>
        <w:tc>
          <w:tcPr>
            <w:tcW w:w="1736" w:type="dxa"/>
            <w:tcBorders>
              <w:top w:val="single" w:sz="4" w:space="0" w:color="auto"/>
              <w:left w:val="double" w:sz="4" w:space="0" w:color="auto"/>
              <w:bottom w:val="single" w:sz="4" w:space="0" w:color="auto"/>
            </w:tcBorders>
            <w:shd w:val="clear" w:color="auto" w:fill="auto"/>
            <w:noWrap/>
            <w:vAlign w:val="bottom"/>
          </w:tcPr>
          <w:p w14:paraId="3286F85B"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94</w:t>
            </w:r>
            <w:r>
              <w:rPr>
                <w:noProof/>
                <w:sz w:val="22"/>
              </w:rPr>
              <w:t> %</w:t>
            </w:r>
          </w:p>
        </w:tc>
      </w:tr>
      <w:tr w:rsidR="008B244E" w:rsidRPr="008B244E" w14:paraId="6F982A6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B892A41" w14:textId="77777777" w:rsidR="008B244E" w:rsidRPr="008B244E" w:rsidRDefault="008B244E" w:rsidP="008B244E">
            <w:pPr>
              <w:spacing w:before="40" w:after="40"/>
              <w:jc w:val="center"/>
              <w:rPr>
                <w:rFonts w:cstheme="minorHAnsi"/>
                <w:b/>
                <w:noProof/>
                <w:sz w:val="22"/>
              </w:rPr>
            </w:pPr>
            <w:r>
              <w:rPr>
                <w:b/>
                <w:noProof/>
                <w:sz w:val="22"/>
              </w:rPr>
              <w:t>PT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C706"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DE8A1"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22BDA"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81908FD"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637A8DA0"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1F8D0C3"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B9FDE94" w14:textId="77777777" w:rsidR="008B244E" w:rsidRPr="008B244E" w:rsidRDefault="008B244E" w:rsidP="008B244E">
            <w:pPr>
              <w:spacing w:before="40" w:after="40"/>
              <w:jc w:val="center"/>
              <w:rPr>
                <w:rFonts w:cstheme="minorHAnsi"/>
                <w:b/>
                <w:noProof/>
                <w:sz w:val="22"/>
              </w:rPr>
            </w:pPr>
            <w:r>
              <w:rPr>
                <w:b/>
                <w:noProof/>
                <w:sz w:val="22"/>
              </w:rPr>
              <w:t>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AA4E9"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573FC"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F4F68"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05D61FDA"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0290A439"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33B03054"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16D8935" w14:textId="77777777" w:rsidR="008B244E" w:rsidRPr="008B244E" w:rsidRDefault="008B244E" w:rsidP="008B244E">
            <w:pPr>
              <w:spacing w:before="40" w:after="40"/>
              <w:jc w:val="center"/>
              <w:rPr>
                <w:rFonts w:cstheme="minorHAnsi"/>
                <w:b/>
                <w:noProof/>
                <w:sz w:val="22"/>
              </w:rPr>
            </w:pPr>
            <w:r>
              <w:rPr>
                <w:b/>
                <w:noProof/>
                <w:sz w:val="22"/>
              </w:rPr>
              <w:t>SI</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581DB"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364F4"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4DFE6" w14:textId="77777777" w:rsidR="008B244E" w:rsidRPr="008B244E" w:rsidRDefault="008B244E" w:rsidP="008B244E">
            <w:pPr>
              <w:spacing w:before="40" w:after="40"/>
              <w:jc w:val="right"/>
              <w:rPr>
                <w:rFonts w:cstheme="minorHAnsi"/>
                <w:noProof/>
                <w:sz w:val="22"/>
              </w:rPr>
            </w:pPr>
            <w:r w:rsidRPr="00D0022B">
              <w:rPr>
                <w:noProof/>
                <w:sz w:val="22"/>
              </w:rPr>
              <w:t>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E0E4CC0" w14:textId="77777777" w:rsidR="008B244E" w:rsidRPr="008B244E" w:rsidRDefault="008B244E" w:rsidP="008B244E">
            <w:pPr>
              <w:spacing w:before="40" w:after="40"/>
              <w:jc w:val="right"/>
              <w:rPr>
                <w:rFonts w:cstheme="minorHAnsi"/>
                <w:noProof/>
                <w:sz w:val="22"/>
              </w:rPr>
            </w:pPr>
            <w:r w:rsidRPr="00D0022B">
              <w:rPr>
                <w:noProof/>
                <w:sz w:val="22"/>
              </w:rPr>
              <w:t>1</w:t>
            </w:r>
          </w:p>
        </w:tc>
        <w:tc>
          <w:tcPr>
            <w:tcW w:w="1736" w:type="dxa"/>
            <w:tcBorders>
              <w:top w:val="single" w:sz="4" w:space="0" w:color="auto"/>
              <w:left w:val="double" w:sz="4" w:space="0" w:color="auto"/>
              <w:bottom w:val="single" w:sz="4" w:space="0" w:color="auto"/>
            </w:tcBorders>
            <w:shd w:val="clear" w:color="auto" w:fill="auto"/>
            <w:noWrap/>
            <w:vAlign w:val="bottom"/>
          </w:tcPr>
          <w:p w14:paraId="15A3458F"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03</w:t>
            </w:r>
            <w:r>
              <w:rPr>
                <w:noProof/>
                <w:sz w:val="22"/>
              </w:rPr>
              <w:t> %</w:t>
            </w:r>
          </w:p>
        </w:tc>
      </w:tr>
      <w:tr w:rsidR="008B244E" w:rsidRPr="008B244E" w14:paraId="6CBD097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93AD4E5" w14:textId="77777777" w:rsidR="008B244E" w:rsidRPr="008B244E" w:rsidRDefault="008B244E" w:rsidP="008B244E">
            <w:pPr>
              <w:spacing w:before="40" w:after="40"/>
              <w:jc w:val="center"/>
              <w:rPr>
                <w:rFonts w:cstheme="minorHAnsi"/>
                <w:b/>
                <w:noProof/>
                <w:sz w:val="22"/>
              </w:rPr>
            </w:pPr>
            <w:r>
              <w:rPr>
                <w:b/>
                <w:noProof/>
                <w:sz w:val="22"/>
              </w:rPr>
              <w:t>SK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60885"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19A0D"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C65B"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4695E89"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795C8090"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332D8F72"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2B2250A3" w14:textId="77777777" w:rsidR="008B244E" w:rsidRPr="008B244E" w:rsidRDefault="008B244E" w:rsidP="008B244E">
            <w:pPr>
              <w:spacing w:before="40" w:after="40"/>
              <w:jc w:val="center"/>
              <w:rPr>
                <w:rFonts w:cstheme="minorHAnsi"/>
                <w:b/>
                <w:noProof/>
                <w:sz w:val="22"/>
              </w:rPr>
            </w:pPr>
            <w:r>
              <w:rPr>
                <w:b/>
                <w:noProof/>
                <w:sz w:val="22"/>
              </w:rPr>
              <w:t>FI</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C4EA9" w14:textId="77777777" w:rsidR="008B244E" w:rsidRPr="008B244E" w:rsidRDefault="008B244E" w:rsidP="008B244E">
            <w:pPr>
              <w:spacing w:before="40" w:after="40"/>
              <w:jc w:val="right"/>
              <w:rPr>
                <w:rFonts w:cstheme="minorHAnsi"/>
                <w:noProof/>
                <w:sz w:val="22"/>
              </w:rPr>
            </w:pPr>
            <w:r>
              <w:rPr>
                <w:noProof/>
                <w:sz w:val="22"/>
              </w:rPr>
              <w: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2943E" w14:textId="77777777" w:rsidR="008B244E" w:rsidRPr="008B244E" w:rsidRDefault="008B244E" w:rsidP="008B244E">
            <w:pPr>
              <w:spacing w:before="40" w:after="40"/>
              <w:jc w:val="right"/>
              <w:rPr>
                <w:rFonts w:cstheme="minorHAnsi"/>
                <w:noProof/>
                <w:sz w:val="22"/>
              </w:rPr>
            </w:pPr>
            <w:r>
              <w:rPr>
                <w:noProof/>
                <w:sz w:val="22"/>
              </w:rPr>
              <w:t>-</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DE91C" w14:textId="77777777" w:rsidR="008B244E" w:rsidRPr="008B244E" w:rsidRDefault="008B244E" w:rsidP="008B244E">
            <w:pPr>
              <w:spacing w:before="40" w:after="40"/>
              <w:jc w:val="right"/>
              <w:rPr>
                <w:rFonts w:cstheme="minorHAnsi"/>
                <w:noProof/>
                <w:sz w:val="22"/>
              </w:rPr>
            </w:pPr>
            <w:r>
              <w:rPr>
                <w:noProof/>
                <w:sz w:val="22"/>
              </w:rPr>
              <w:t>-</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9C4C82A"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D3FC9CD"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CF15A0B"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5E4D750" w14:textId="77777777" w:rsidR="008B244E" w:rsidRPr="008B244E" w:rsidRDefault="008B244E" w:rsidP="008B244E">
            <w:pPr>
              <w:spacing w:before="40" w:after="40"/>
              <w:jc w:val="center"/>
              <w:rPr>
                <w:rFonts w:cstheme="minorHAnsi"/>
                <w:b/>
                <w:noProof/>
                <w:sz w:val="22"/>
              </w:rPr>
            </w:pPr>
            <w:r>
              <w:rPr>
                <w:b/>
                <w:noProof/>
                <w:sz w:val="22"/>
              </w:rPr>
              <w:t>SE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4FC2A"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ACAE0"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5B145"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301E58E4" w14:textId="77777777" w:rsidR="008B244E" w:rsidRPr="008B244E" w:rsidRDefault="008B244E" w:rsidP="008B244E">
            <w:pPr>
              <w:spacing w:before="40" w:after="40"/>
              <w:jc w:val="right"/>
              <w:rPr>
                <w:rFonts w:cstheme="minorHAnsi"/>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744FED8" w14:textId="77777777" w:rsidR="008B244E" w:rsidRPr="008B244E" w:rsidRDefault="008B244E" w:rsidP="008B244E">
            <w:pPr>
              <w:spacing w:before="40" w:after="40"/>
              <w:jc w:val="right"/>
              <w:rPr>
                <w:rFonts w:cstheme="minorHAnsi"/>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149CBBEC"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2182CF7" w14:textId="77777777" w:rsidR="008B244E" w:rsidRPr="008B244E" w:rsidRDefault="008B244E" w:rsidP="008B244E">
            <w:pPr>
              <w:spacing w:before="40" w:after="40"/>
              <w:jc w:val="center"/>
              <w:rPr>
                <w:rFonts w:cstheme="minorHAnsi"/>
                <w:b/>
                <w:noProof/>
                <w:sz w:val="22"/>
              </w:rPr>
            </w:pPr>
            <w:r>
              <w:rPr>
                <w:b/>
                <w:noProof/>
                <w:sz w:val="22"/>
              </w:rPr>
              <w:t>UK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1D8D2" w14:textId="77777777" w:rsidR="008B244E" w:rsidRPr="008B244E" w:rsidRDefault="008B244E" w:rsidP="008B244E">
            <w:pPr>
              <w:spacing w:before="40" w:after="40"/>
              <w:jc w:val="right"/>
              <w:rPr>
                <w:rFonts w:cstheme="minorHAnsi"/>
                <w:noProof/>
                <w:sz w:val="22"/>
              </w:rPr>
            </w:pPr>
            <w:r w:rsidRPr="00D0022B">
              <w:rPr>
                <w:noProof/>
                <w:sz w:val="22"/>
              </w:rPr>
              <w:t>146</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7C902" w14:textId="77777777" w:rsidR="008B244E" w:rsidRPr="008B244E" w:rsidRDefault="008B244E" w:rsidP="008B244E">
            <w:pPr>
              <w:spacing w:before="40" w:after="40"/>
              <w:jc w:val="right"/>
              <w:rPr>
                <w:rFonts w:cstheme="minorHAnsi"/>
                <w:noProof/>
                <w:sz w:val="22"/>
              </w:rPr>
            </w:pPr>
            <w:r w:rsidRPr="00D0022B">
              <w:rPr>
                <w:noProof/>
                <w:sz w:val="22"/>
              </w:rPr>
              <w:t>142</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70799" w14:textId="77777777" w:rsidR="008B244E" w:rsidRPr="008B244E" w:rsidRDefault="008B244E" w:rsidP="008B244E">
            <w:pPr>
              <w:spacing w:before="40" w:after="40"/>
              <w:jc w:val="right"/>
              <w:rPr>
                <w:rFonts w:cstheme="minorHAnsi"/>
                <w:noProof/>
                <w:sz w:val="22"/>
              </w:rPr>
            </w:pPr>
            <w:r w:rsidRPr="00D0022B">
              <w:rPr>
                <w:noProof/>
                <w:sz w:val="22"/>
              </w:rPr>
              <w:t>22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90B696C" w14:textId="77777777" w:rsidR="008B244E" w:rsidRPr="008B244E" w:rsidRDefault="008B244E" w:rsidP="008B244E">
            <w:pPr>
              <w:spacing w:before="40" w:after="40"/>
              <w:jc w:val="right"/>
              <w:rPr>
                <w:rFonts w:cstheme="minorHAnsi"/>
                <w:noProof/>
                <w:sz w:val="22"/>
              </w:rPr>
            </w:pPr>
            <w:r w:rsidRPr="00D0022B">
              <w:rPr>
                <w:noProof/>
                <w:sz w:val="22"/>
              </w:rPr>
              <w:t>310</w:t>
            </w:r>
          </w:p>
        </w:tc>
        <w:tc>
          <w:tcPr>
            <w:tcW w:w="1736" w:type="dxa"/>
            <w:tcBorders>
              <w:top w:val="single" w:sz="4" w:space="0" w:color="auto"/>
              <w:left w:val="double" w:sz="4" w:space="0" w:color="auto"/>
              <w:bottom w:val="single" w:sz="4" w:space="0" w:color="auto"/>
            </w:tcBorders>
            <w:shd w:val="clear" w:color="auto" w:fill="auto"/>
            <w:noWrap/>
            <w:vAlign w:val="bottom"/>
          </w:tcPr>
          <w:p w14:paraId="45D8435A" w14:textId="77777777" w:rsidR="008B244E" w:rsidRPr="008B244E" w:rsidRDefault="008B244E" w:rsidP="008B244E">
            <w:pPr>
              <w:spacing w:before="40" w:after="40"/>
              <w:jc w:val="right"/>
              <w:rPr>
                <w:rFonts w:cstheme="minorHAnsi"/>
                <w:noProof/>
                <w:sz w:val="22"/>
              </w:rPr>
            </w:pPr>
            <w:r w:rsidRPr="00D0022B">
              <w:rPr>
                <w:noProof/>
                <w:sz w:val="22"/>
              </w:rPr>
              <w:t>8</w:t>
            </w:r>
            <w:r>
              <w:rPr>
                <w:noProof/>
                <w:sz w:val="22"/>
              </w:rPr>
              <w:t>,</w:t>
            </w:r>
            <w:r w:rsidRPr="00D0022B">
              <w:rPr>
                <w:noProof/>
                <w:sz w:val="22"/>
              </w:rPr>
              <w:t>10</w:t>
            </w:r>
            <w:r>
              <w:rPr>
                <w:noProof/>
                <w:sz w:val="22"/>
              </w:rPr>
              <w:t> %</w:t>
            </w:r>
          </w:p>
        </w:tc>
      </w:tr>
      <w:tr w:rsidR="008B244E" w:rsidRPr="008B244E" w14:paraId="659961E1" w14:textId="77777777" w:rsidTr="008B244E">
        <w:trPr>
          <w:trHeight w:val="300"/>
        </w:trPr>
        <w:tc>
          <w:tcPr>
            <w:tcW w:w="1550" w:type="dxa"/>
            <w:tcBorders>
              <w:top w:val="single" w:sz="4" w:space="0" w:color="auto"/>
              <w:bottom w:val="double" w:sz="4" w:space="0" w:color="auto"/>
              <w:right w:val="single" w:sz="4" w:space="0" w:color="auto"/>
            </w:tcBorders>
            <w:shd w:val="clear" w:color="auto" w:fill="DBE5F1" w:themeFill="accent1" w:themeFillTint="33"/>
            <w:noWrap/>
            <w:vAlign w:val="center"/>
            <w:hideMark/>
          </w:tcPr>
          <w:p w14:paraId="5BE2199C" w14:textId="77777777" w:rsidR="008B244E" w:rsidRPr="008B244E" w:rsidRDefault="008B244E" w:rsidP="008B244E">
            <w:pPr>
              <w:spacing w:before="60" w:after="60"/>
              <w:jc w:val="center"/>
              <w:rPr>
                <w:rFonts w:cstheme="minorHAnsi"/>
                <w:b/>
                <w:noProof/>
                <w:sz w:val="22"/>
              </w:rPr>
            </w:pPr>
            <w:r>
              <w:rPr>
                <w:b/>
                <w:noProof/>
                <w:sz w:val="22"/>
              </w:rPr>
              <w:t>Gesamt</w:t>
            </w:r>
          </w:p>
        </w:tc>
        <w:tc>
          <w:tcPr>
            <w:tcW w:w="1441"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bottom"/>
          </w:tcPr>
          <w:p w14:paraId="0BFD5D73" w14:textId="77777777" w:rsidR="008B244E" w:rsidRPr="008B244E" w:rsidRDefault="008B244E" w:rsidP="008B244E">
            <w:pPr>
              <w:spacing w:before="60" w:after="60"/>
              <w:jc w:val="right"/>
              <w:rPr>
                <w:rFonts w:cstheme="minorHAnsi"/>
                <w:noProof/>
                <w:sz w:val="22"/>
              </w:rPr>
            </w:pPr>
            <w:r w:rsidRPr="00D0022B">
              <w:rPr>
                <w:noProof/>
                <w:sz w:val="22"/>
              </w:rPr>
              <w:t>1</w:t>
            </w:r>
            <w:r>
              <w:rPr>
                <w:noProof/>
                <w:sz w:val="22"/>
              </w:rPr>
              <w:t> </w:t>
            </w:r>
            <w:r w:rsidRPr="00D0022B">
              <w:rPr>
                <w:noProof/>
                <w:sz w:val="22"/>
              </w:rPr>
              <w:t>047</w:t>
            </w:r>
          </w:p>
        </w:tc>
        <w:tc>
          <w:tcPr>
            <w:tcW w:w="1441"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bottom"/>
          </w:tcPr>
          <w:p w14:paraId="11F6CE36" w14:textId="77777777" w:rsidR="008B244E" w:rsidRPr="008B244E" w:rsidRDefault="008B244E" w:rsidP="008B244E">
            <w:pPr>
              <w:spacing w:before="60" w:after="60"/>
              <w:jc w:val="right"/>
              <w:rPr>
                <w:rFonts w:cstheme="minorHAnsi"/>
                <w:noProof/>
                <w:sz w:val="22"/>
              </w:rPr>
            </w:pPr>
            <w:r w:rsidRPr="00D0022B">
              <w:rPr>
                <w:noProof/>
                <w:sz w:val="22"/>
              </w:rPr>
              <w:t>1</w:t>
            </w:r>
            <w:r>
              <w:rPr>
                <w:noProof/>
                <w:sz w:val="22"/>
              </w:rPr>
              <w:t> </w:t>
            </w:r>
            <w:r w:rsidRPr="00D0022B">
              <w:rPr>
                <w:noProof/>
                <w:sz w:val="22"/>
              </w:rPr>
              <w:t>517</w:t>
            </w:r>
          </w:p>
        </w:tc>
        <w:tc>
          <w:tcPr>
            <w:tcW w:w="1370"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bottom"/>
          </w:tcPr>
          <w:p w14:paraId="4451A165" w14:textId="77777777" w:rsidR="008B244E" w:rsidRPr="008B244E" w:rsidRDefault="008B244E" w:rsidP="008B244E">
            <w:pPr>
              <w:spacing w:before="60" w:after="60"/>
              <w:jc w:val="right"/>
              <w:rPr>
                <w:rFonts w:cstheme="minorHAnsi"/>
                <w:noProof/>
                <w:sz w:val="22"/>
              </w:rPr>
            </w:pPr>
            <w:r w:rsidRPr="00D0022B">
              <w:rPr>
                <w:noProof/>
                <w:sz w:val="22"/>
              </w:rPr>
              <w:t>1</w:t>
            </w:r>
            <w:r>
              <w:rPr>
                <w:noProof/>
                <w:sz w:val="22"/>
              </w:rPr>
              <w:t> </w:t>
            </w:r>
            <w:r w:rsidRPr="00D0022B">
              <w:rPr>
                <w:noProof/>
                <w:sz w:val="22"/>
              </w:rPr>
              <w:t>264</w:t>
            </w:r>
          </w:p>
        </w:tc>
        <w:tc>
          <w:tcPr>
            <w:tcW w:w="1524" w:type="dxa"/>
            <w:tcBorders>
              <w:top w:val="single" w:sz="4" w:space="0" w:color="auto"/>
              <w:left w:val="single" w:sz="4" w:space="0" w:color="auto"/>
              <w:bottom w:val="double" w:sz="4" w:space="0" w:color="auto"/>
              <w:right w:val="double" w:sz="4" w:space="0" w:color="auto"/>
            </w:tcBorders>
            <w:shd w:val="clear" w:color="auto" w:fill="DBE5F1" w:themeFill="accent1" w:themeFillTint="33"/>
            <w:noWrap/>
            <w:vAlign w:val="bottom"/>
          </w:tcPr>
          <w:p w14:paraId="0AA966E0" w14:textId="77777777" w:rsidR="008B244E" w:rsidRPr="008B244E" w:rsidRDefault="008B244E" w:rsidP="008B244E">
            <w:pPr>
              <w:spacing w:before="60" w:after="60"/>
              <w:jc w:val="right"/>
              <w:rPr>
                <w:rFonts w:cstheme="minorHAnsi"/>
                <w:noProof/>
                <w:sz w:val="22"/>
              </w:rPr>
            </w:pPr>
            <w:r w:rsidRPr="00D0022B">
              <w:rPr>
                <w:noProof/>
                <w:sz w:val="22"/>
              </w:rPr>
              <w:t>3</w:t>
            </w:r>
            <w:r>
              <w:rPr>
                <w:noProof/>
                <w:sz w:val="22"/>
              </w:rPr>
              <w:t> </w:t>
            </w:r>
            <w:r w:rsidRPr="00D0022B">
              <w:rPr>
                <w:noProof/>
                <w:sz w:val="22"/>
              </w:rPr>
              <w:t>828</w:t>
            </w:r>
          </w:p>
        </w:tc>
        <w:tc>
          <w:tcPr>
            <w:tcW w:w="1736" w:type="dxa"/>
            <w:tcBorders>
              <w:top w:val="single" w:sz="4" w:space="0" w:color="auto"/>
              <w:left w:val="double" w:sz="4" w:space="0" w:color="auto"/>
              <w:bottom w:val="double" w:sz="4" w:space="0" w:color="auto"/>
            </w:tcBorders>
            <w:shd w:val="clear" w:color="auto" w:fill="DBE5F1" w:themeFill="accent1" w:themeFillTint="33"/>
            <w:noWrap/>
            <w:vAlign w:val="bottom"/>
          </w:tcPr>
          <w:p w14:paraId="1FDC6848" w14:textId="77777777" w:rsidR="008B244E" w:rsidRPr="008B244E" w:rsidRDefault="008B244E" w:rsidP="008B244E">
            <w:pPr>
              <w:spacing w:before="60" w:after="60"/>
              <w:jc w:val="right"/>
              <w:rPr>
                <w:rFonts w:cstheme="minorHAnsi"/>
                <w:noProof/>
                <w:sz w:val="22"/>
              </w:rPr>
            </w:pPr>
            <w:r w:rsidRPr="00D0022B">
              <w:rPr>
                <w:noProof/>
                <w:sz w:val="22"/>
              </w:rPr>
              <w:t>100</w:t>
            </w:r>
            <w:r>
              <w:rPr>
                <w:noProof/>
                <w:sz w:val="22"/>
              </w:rPr>
              <w:t>,</w:t>
            </w:r>
            <w:r w:rsidRPr="00D0022B">
              <w:rPr>
                <w:noProof/>
                <w:sz w:val="22"/>
              </w:rPr>
              <w:t>00</w:t>
            </w:r>
            <w:r>
              <w:rPr>
                <w:noProof/>
                <w:sz w:val="22"/>
              </w:rPr>
              <w:t> %</w:t>
            </w:r>
          </w:p>
        </w:tc>
      </w:tr>
    </w:tbl>
    <w:p w14:paraId="484CD8C4" w14:textId="77777777" w:rsidR="008B244E" w:rsidRPr="008B244E" w:rsidRDefault="008B244E" w:rsidP="008B244E">
      <w:pPr>
        <w:rPr>
          <w:noProof/>
          <w:sz w:val="22"/>
        </w:rPr>
      </w:pPr>
    </w:p>
    <w:p w14:paraId="4724C3D9" w14:textId="77777777" w:rsidR="008B244E" w:rsidRPr="008B244E" w:rsidRDefault="008B244E" w:rsidP="008B244E">
      <w:pPr>
        <w:rPr>
          <w:noProof/>
          <w:sz w:val="22"/>
        </w:rPr>
      </w:pPr>
      <w:r>
        <w:rPr>
          <w:noProof/>
          <w:sz w:val="22"/>
        </w:rPr>
        <w:t>(</w:t>
      </w:r>
      <w:r w:rsidRPr="00D0022B">
        <w:rPr>
          <w:noProof/>
          <w:sz w:val="22"/>
        </w:rPr>
        <w:t>1</w:t>
      </w:r>
      <w:r>
        <w:rPr>
          <w:noProof/>
          <w:sz w:val="22"/>
        </w:rPr>
        <w:t>) Keine statistischen Angaben verfügbar.</w:t>
      </w:r>
    </w:p>
    <w:p w14:paraId="687A4434" w14:textId="77777777" w:rsidR="008B244E" w:rsidRDefault="008B244E" w:rsidP="008B244E">
      <w:pPr>
        <w:rPr>
          <w:noProof/>
        </w:rPr>
      </w:pPr>
    </w:p>
    <w:p w14:paraId="35978011" w14:textId="77777777" w:rsidR="008B244E" w:rsidRDefault="008B244E" w:rsidP="008B244E">
      <w:pPr>
        <w:rPr>
          <w:noProof/>
        </w:rPr>
      </w:pPr>
      <w:r>
        <w:rPr>
          <w:noProof/>
        </w:rPr>
        <w:br w:type="page"/>
      </w:r>
    </w:p>
    <w:p w14:paraId="1018EBB6" w14:textId="77777777" w:rsidR="00E6611A" w:rsidRPr="00665FC8" w:rsidRDefault="00A357B5" w:rsidP="00665FC8">
      <w:pPr>
        <w:pStyle w:val="Heading2"/>
        <w:rPr>
          <w:noProof/>
        </w:rPr>
      </w:pPr>
      <w:bookmarkStart w:id="25" w:name="_Toc111153432"/>
      <w:r>
        <w:rPr>
          <w:noProof/>
        </w:rPr>
        <w:t>Tabelle </w:t>
      </w:r>
      <w:r w:rsidRPr="00D0022B">
        <w:rPr>
          <w:noProof/>
        </w:rPr>
        <w:t>3</w:t>
      </w:r>
      <w:r>
        <w:rPr>
          <w:noProof/>
        </w:rPr>
        <w:t>. Im Umlauf befindliche allgemeine offene Genehmigungen</w:t>
      </w:r>
      <w:bookmarkEnd w:id="25"/>
    </w:p>
    <w:tbl>
      <w:tblPr>
        <w:tblW w:w="9062" w:type="dxa"/>
        <w:tblInd w:w="1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50"/>
        <w:gridCol w:w="1441"/>
        <w:gridCol w:w="1441"/>
        <w:gridCol w:w="1370"/>
        <w:gridCol w:w="1524"/>
        <w:gridCol w:w="1736"/>
      </w:tblGrid>
      <w:tr w:rsidR="008B244E" w:rsidRPr="008B244E" w14:paraId="6667B398" w14:textId="77777777" w:rsidTr="008B244E">
        <w:trPr>
          <w:trHeight w:val="590"/>
        </w:trPr>
        <w:tc>
          <w:tcPr>
            <w:tcW w:w="1550" w:type="dxa"/>
            <w:vMerge w:val="restart"/>
            <w:tcBorders>
              <w:top w:val="double" w:sz="4" w:space="0" w:color="auto"/>
              <w:right w:val="single" w:sz="4" w:space="0" w:color="auto"/>
            </w:tcBorders>
            <w:shd w:val="clear" w:color="auto" w:fill="DBE5F1" w:themeFill="accent1" w:themeFillTint="33"/>
            <w:noWrap/>
            <w:vAlign w:val="center"/>
          </w:tcPr>
          <w:p w14:paraId="27176F4C" w14:textId="77777777" w:rsidR="008B244E" w:rsidRPr="008B244E" w:rsidRDefault="008B244E" w:rsidP="008B244E">
            <w:pPr>
              <w:jc w:val="center"/>
              <w:rPr>
                <w:b/>
                <w:noProof/>
                <w:sz w:val="22"/>
              </w:rPr>
            </w:pPr>
            <w:r>
              <w:rPr>
                <w:b/>
                <w:noProof/>
                <w:sz w:val="22"/>
              </w:rPr>
              <w:t>Mitgliedstaat</w:t>
            </w:r>
          </w:p>
        </w:tc>
        <w:tc>
          <w:tcPr>
            <w:tcW w:w="4252" w:type="dxa"/>
            <w:gridSpan w:val="3"/>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491589B4" w14:textId="77777777" w:rsidR="008B244E" w:rsidRPr="008B244E" w:rsidRDefault="008B244E" w:rsidP="008B244E">
            <w:pPr>
              <w:jc w:val="center"/>
              <w:rPr>
                <w:b/>
                <w:noProof/>
                <w:sz w:val="22"/>
              </w:rPr>
            </w:pPr>
            <w:r>
              <w:rPr>
                <w:b/>
                <w:noProof/>
                <w:sz w:val="22"/>
              </w:rPr>
              <w:t>Jahr</w:t>
            </w:r>
          </w:p>
        </w:tc>
        <w:tc>
          <w:tcPr>
            <w:tcW w:w="1524" w:type="dxa"/>
            <w:vMerge w:val="restart"/>
            <w:tcBorders>
              <w:top w:val="double" w:sz="4" w:space="0" w:color="auto"/>
              <w:left w:val="single" w:sz="4" w:space="0" w:color="auto"/>
              <w:right w:val="double" w:sz="4" w:space="0" w:color="auto"/>
            </w:tcBorders>
            <w:shd w:val="clear" w:color="auto" w:fill="DBE5F1" w:themeFill="accent1" w:themeFillTint="33"/>
            <w:noWrap/>
            <w:vAlign w:val="center"/>
          </w:tcPr>
          <w:p w14:paraId="5A50A916" w14:textId="77777777" w:rsidR="008B244E" w:rsidRPr="008B244E" w:rsidRDefault="008B244E" w:rsidP="008B244E">
            <w:pPr>
              <w:jc w:val="center"/>
              <w:rPr>
                <w:b/>
                <w:noProof/>
                <w:sz w:val="22"/>
              </w:rPr>
            </w:pPr>
            <w:r w:rsidRPr="00D0022B">
              <w:rPr>
                <w:b/>
                <w:noProof/>
                <w:sz w:val="22"/>
              </w:rPr>
              <w:t>2018</w:t>
            </w:r>
            <w:r>
              <w:rPr>
                <w:b/>
                <w:noProof/>
                <w:sz w:val="22"/>
              </w:rPr>
              <w:t>–</w:t>
            </w:r>
            <w:r w:rsidRPr="00D0022B">
              <w:rPr>
                <w:b/>
                <w:noProof/>
                <w:sz w:val="22"/>
              </w:rPr>
              <w:t>2020</w:t>
            </w:r>
          </w:p>
        </w:tc>
        <w:tc>
          <w:tcPr>
            <w:tcW w:w="1736" w:type="dxa"/>
            <w:vMerge w:val="restart"/>
            <w:tcBorders>
              <w:top w:val="double" w:sz="4" w:space="0" w:color="auto"/>
              <w:left w:val="double" w:sz="4" w:space="0" w:color="auto"/>
            </w:tcBorders>
            <w:shd w:val="clear" w:color="auto" w:fill="DBE5F1" w:themeFill="accent1" w:themeFillTint="33"/>
            <w:vAlign w:val="center"/>
          </w:tcPr>
          <w:p w14:paraId="6373A401" w14:textId="48EB97D9" w:rsidR="008B244E" w:rsidRPr="008B244E" w:rsidRDefault="008B244E" w:rsidP="00525ACC">
            <w:pPr>
              <w:jc w:val="center"/>
              <w:rPr>
                <w:b/>
                <w:noProof/>
                <w:sz w:val="22"/>
              </w:rPr>
            </w:pPr>
            <w:r>
              <w:rPr>
                <w:b/>
                <w:noProof/>
                <w:sz w:val="22"/>
              </w:rPr>
              <w:t>Anteil an der Gesamtzahl in</w:t>
            </w:r>
            <w:r>
              <w:rPr>
                <w:noProof/>
              </w:rPr>
              <w:br/>
            </w:r>
            <w:r>
              <w:rPr>
                <w:b/>
                <w:noProof/>
                <w:sz w:val="22"/>
              </w:rPr>
              <w:t>%</w:t>
            </w:r>
          </w:p>
        </w:tc>
      </w:tr>
      <w:tr w:rsidR="008B244E" w:rsidRPr="008B244E" w14:paraId="7FD36873" w14:textId="77777777" w:rsidTr="008B244E">
        <w:trPr>
          <w:trHeight w:val="590"/>
        </w:trPr>
        <w:tc>
          <w:tcPr>
            <w:tcW w:w="1550" w:type="dxa"/>
            <w:vMerge/>
            <w:tcBorders>
              <w:bottom w:val="single" w:sz="4" w:space="0" w:color="auto"/>
              <w:right w:val="single" w:sz="4" w:space="0" w:color="auto"/>
            </w:tcBorders>
            <w:shd w:val="clear" w:color="auto" w:fill="DBE5F1" w:themeFill="accent1" w:themeFillTint="33"/>
            <w:noWrap/>
            <w:vAlign w:val="center"/>
            <w:hideMark/>
          </w:tcPr>
          <w:p w14:paraId="3361CA60" w14:textId="77777777" w:rsidR="008B244E" w:rsidRPr="008B244E" w:rsidRDefault="008B244E" w:rsidP="008B244E">
            <w:pPr>
              <w:jc w:val="center"/>
              <w:rPr>
                <w:noProof/>
                <w:sz w:val="22"/>
              </w:rPr>
            </w:pP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9D9DE4" w14:textId="77777777" w:rsidR="008B244E" w:rsidRPr="008B244E" w:rsidRDefault="008B244E" w:rsidP="008B244E">
            <w:pPr>
              <w:jc w:val="center"/>
              <w:rPr>
                <w:b/>
                <w:noProof/>
                <w:sz w:val="22"/>
              </w:rPr>
            </w:pPr>
            <w:r w:rsidRPr="00D0022B">
              <w:rPr>
                <w:b/>
                <w:noProof/>
                <w:sz w:val="22"/>
              </w:rPr>
              <w:t>2018</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EBF0593" w14:textId="77777777" w:rsidR="008B244E" w:rsidRPr="008B244E" w:rsidRDefault="008B244E" w:rsidP="008B244E">
            <w:pPr>
              <w:jc w:val="center"/>
              <w:rPr>
                <w:b/>
                <w:noProof/>
                <w:sz w:val="22"/>
              </w:rPr>
            </w:pPr>
            <w:r w:rsidRPr="00D0022B">
              <w:rPr>
                <w:b/>
                <w:noProof/>
                <w:sz w:val="22"/>
              </w:rPr>
              <w:t>2019</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45B8C3" w14:textId="77777777" w:rsidR="008B244E" w:rsidRPr="008B244E" w:rsidRDefault="008B244E" w:rsidP="008B244E">
            <w:pPr>
              <w:jc w:val="center"/>
              <w:rPr>
                <w:b/>
                <w:noProof/>
                <w:sz w:val="22"/>
              </w:rPr>
            </w:pPr>
            <w:r w:rsidRPr="00D0022B">
              <w:rPr>
                <w:b/>
                <w:noProof/>
                <w:sz w:val="22"/>
              </w:rPr>
              <w:t>2020</w:t>
            </w:r>
          </w:p>
        </w:tc>
        <w:tc>
          <w:tcPr>
            <w:tcW w:w="1524" w:type="dxa"/>
            <w:vMerge/>
            <w:tcBorders>
              <w:left w:val="single" w:sz="4" w:space="0" w:color="auto"/>
              <w:bottom w:val="single" w:sz="4" w:space="0" w:color="auto"/>
              <w:right w:val="double" w:sz="4" w:space="0" w:color="auto"/>
            </w:tcBorders>
            <w:shd w:val="clear" w:color="auto" w:fill="auto"/>
            <w:noWrap/>
            <w:vAlign w:val="center"/>
            <w:hideMark/>
          </w:tcPr>
          <w:p w14:paraId="2ACDDAF2" w14:textId="77777777" w:rsidR="008B244E" w:rsidRPr="008B244E" w:rsidRDefault="008B244E" w:rsidP="008B244E">
            <w:pPr>
              <w:jc w:val="center"/>
              <w:rPr>
                <w:b/>
                <w:noProof/>
                <w:sz w:val="22"/>
              </w:rPr>
            </w:pPr>
          </w:p>
        </w:tc>
        <w:tc>
          <w:tcPr>
            <w:tcW w:w="1736" w:type="dxa"/>
            <w:vMerge/>
            <w:tcBorders>
              <w:left w:val="double" w:sz="4" w:space="0" w:color="auto"/>
              <w:bottom w:val="single" w:sz="4" w:space="0" w:color="auto"/>
            </w:tcBorders>
            <w:shd w:val="clear" w:color="auto" w:fill="auto"/>
            <w:vAlign w:val="center"/>
            <w:hideMark/>
          </w:tcPr>
          <w:p w14:paraId="3655420B" w14:textId="77777777" w:rsidR="008B244E" w:rsidRPr="008B244E" w:rsidRDefault="008B244E" w:rsidP="008B244E">
            <w:pPr>
              <w:jc w:val="center"/>
              <w:rPr>
                <w:noProof/>
                <w:sz w:val="22"/>
              </w:rPr>
            </w:pPr>
          </w:p>
        </w:tc>
      </w:tr>
      <w:tr w:rsidR="008B244E" w:rsidRPr="008B244E" w14:paraId="61D9A57B"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C5AF66A" w14:textId="77777777" w:rsidR="008B244E" w:rsidRPr="008B244E" w:rsidRDefault="008B244E" w:rsidP="008B244E">
            <w:pPr>
              <w:spacing w:before="40" w:after="40"/>
              <w:jc w:val="center"/>
              <w:rPr>
                <w:b/>
                <w:noProof/>
                <w:sz w:val="22"/>
              </w:rPr>
            </w:pPr>
            <w:r>
              <w:rPr>
                <w:b/>
                <w:noProof/>
                <w:sz w:val="22"/>
              </w:rPr>
              <w:t>BE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3D69"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CDD8F"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C6688"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F462FFE"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42AC2A25"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3492BF87"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5AE49EE" w14:textId="77777777" w:rsidR="008B244E" w:rsidRPr="008B244E" w:rsidRDefault="008B244E" w:rsidP="008B244E">
            <w:pPr>
              <w:spacing w:before="40" w:after="40"/>
              <w:jc w:val="center"/>
              <w:rPr>
                <w:b/>
                <w:noProof/>
                <w:sz w:val="22"/>
              </w:rPr>
            </w:pPr>
            <w:r>
              <w:rPr>
                <w:b/>
                <w:noProof/>
                <w:sz w:val="22"/>
              </w:rPr>
              <w:t>BG</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71F08" w14:textId="77777777" w:rsidR="008B244E" w:rsidRPr="008B244E" w:rsidRDefault="008B244E" w:rsidP="008B244E">
            <w:pPr>
              <w:spacing w:before="40" w:after="40"/>
              <w:jc w:val="right"/>
              <w:rPr>
                <w:noProof/>
                <w:sz w:val="22"/>
              </w:rPr>
            </w:pPr>
            <w:r w:rsidRPr="00D0022B">
              <w:rPr>
                <w:noProof/>
                <w:sz w:val="22"/>
              </w:rPr>
              <w:t>4</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E3B37" w14:textId="77777777" w:rsidR="008B244E" w:rsidRPr="008B244E" w:rsidRDefault="008B244E" w:rsidP="008B244E">
            <w:pPr>
              <w:spacing w:before="40" w:after="40"/>
              <w:jc w:val="right"/>
              <w:rPr>
                <w:noProof/>
                <w:sz w:val="22"/>
              </w:rPr>
            </w:pPr>
            <w:r w:rsidRPr="00D0022B">
              <w:rPr>
                <w:noProof/>
                <w:sz w:val="22"/>
              </w:rPr>
              <w:t>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2877E"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6A54D6CB" w14:textId="77777777" w:rsidR="008B244E" w:rsidRPr="008B244E" w:rsidRDefault="008B244E" w:rsidP="008B244E">
            <w:pPr>
              <w:spacing w:before="40" w:after="40"/>
              <w:jc w:val="right"/>
              <w:rPr>
                <w:noProof/>
                <w:sz w:val="22"/>
              </w:rPr>
            </w:pPr>
            <w:r w:rsidRPr="00D0022B">
              <w:rPr>
                <w:noProof/>
                <w:sz w:val="22"/>
              </w:rPr>
              <w:t>5</w:t>
            </w:r>
          </w:p>
        </w:tc>
        <w:tc>
          <w:tcPr>
            <w:tcW w:w="1736" w:type="dxa"/>
            <w:tcBorders>
              <w:top w:val="single" w:sz="4" w:space="0" w:color="auto"/>
              <w:left w:val="double" w:sz="4" w:space="0" w:color="auto"/>
              <w:bottom w:val="single" w:sz="4" w:space="0" w:color="auto"/>
            </w:tcBorders>
            <w:shd w:val="clear" w:color="auto" w:fill="auto"/>
            <w:noWrap/>
            <w:vAlign w:val="bottom"/>
          </w:tcPr>
          <w:p w14:paraId="53C12AC6"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29</w:t>
            </w:r>
            <w:r>
              <w:rPr>
                <w:noProof/>
                <w:sz w:val="22"/>
              </w:rPr>
              <w:t> %</w:t>
            </w:r>
          </w:p>
        </w:tc>
      </w:tr>
      <w:tr w:rsidR="008B244E" w:rsidRPr="008B244E" w14:paraId="31C3ADE5"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CCA7076" w14:textId="77777777" w:rsidR="008B244E" w:rsidRPr="008B244E" w:rsidRDefault="008B244E" w:rsidP="008B244E">
            <w:pPr>
              <w:spacing w:before="40" w:after="40"/>
              <w:jc w:val="center"/>
              <w:rPr>
                <w:b/>
                <w:noProof/>
                <w:sz w:val="22"/>
              </w:rPr>
            </w:pPr>
            <w:r>
              <w:rPr>
                <w:b/>
                <w:noProof/>
                <w:sz w:val="22"/>
              </w:rPr>
              <w:t>CZ</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95793"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19439"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FFEE4"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3321C70"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6479DA97"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5D4314C7"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AF2F844" w14:textId="77777777" w:rsidR="008B244E" w:rsidRPr="008B244E" w:rsidRDefault="008B244E" w:rsidP="008B244E">
            <w:pPr>
              <w:spacing w:before="40" w:after="40"/>
              <w:jc w:val="center"/>
              <w:rPr>
                <w:b/>
                <w:noProof/>
                <w:sz w:val="22"/>
              </w:rPr>
            </w:pPr>
            <w:r>
              <w:rPr>
                <w:b/>
                <w:noProof/>
                <w:sz w:val="22"/>
              </w:rPr>
              <w:t>DK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2CE3" w14:textId="77777777" w:rsidR="008B244E" w:rsidRPr="008B244E" w:rsidRDefault="008B244E" w:rsidP="008B244E">
            <w:pPr>
              <w:spacing w:before="40" w:after="40"/>
              <w:jc w:val="right"/>
              <w:rPr>
                <w:noProof/>
                <w:sz w:val="22"/>
              </w:rPr>
            </w:pPr>
            <w:r w:rsidRPr="00D0022B">
              <w:rPr>
                <w:noProof/>
                <w:sz w:val="22"/>
              </w:rPr>
              <w:t>50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5AE53" w14:textId="77777777" w:rsidR="008B244E" w:rsidRPr="008B244E" w:rsidRDefault="008B244E" w:rsidP="008B244E">
            <w:pPr>
              <w:spacing w:before="40" w:after="40"/>
              <w:jc w:val="right"/>
              <w:rPr>
                <w:noProof/>
                <w:sz w:val="22"/>
              </w:rPr>
            </w:pPr>
            <w:r w:rsidRPr="00D0022B">
              <w:rPr>
                <w:noProof/>
                <w:sz w:val="22"/>
              </w:rPr>
              <w:t>50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D5FED" w14:textId="77777777" w:rsidR="008B244E" w:rsidRPr="008B244E" w:rsidRDefault="008B244E" w:rsidP="008B244E">
            <w:pPr>
              <w:spacing w:before="40" w:after="40"/>
              <w:jc w:val="right"/>
              <w:rPr>
                <w:noProof/>
                <w:sz w:val="22"/>
              </w:rPr>
            </w:pPr>
            <w:r w:rsidRPr="00D0022B">
              <w:rPr>
                <w:noProof/>
                <w:sz w:val="22"/>
              </w:rPr>
              <w:t>50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3BB5BC4C" w14:textId="77777777" w:rsidR="008B244E" w:rsidRPr="008B244E" w:rsidRDefault="008B244E" w:rsidP="008B244E">
            <w:pPr>
              <w:spacing w:before="40" w:after="40"/>
              <w:jc w:val="right"/>
              <w:rPr>
                <w:noProof/>
                <w:sz w:val="22"/>
              </w:rPr>
            </w:pPr>
            <w:r w:rsidRPr="00D0022B">
              <w:rPr>
                <w:noProof/>
                <w:sz w:val="22"/>
              </w:rPr>
              <w:t>150</w:t>
            </w:r>
          </w:p>
        </w:tc>
        <w:tc>
          <w:tcPr>
            <w:tcW w:w="1736" w:type="dxa"/>
            <w:tcBorders>
              <w:top w:val="single" w:sz="4" w:space="0" w:color="auto"/>
              <w:left w:val="double" w:sz="4" w:space="0" w:color="auto"/>
              <w:bottom w:val="single" w:sz="4" w:space="0" w:color="auto"/>
            </w:tcBorders>
            <w:shd w:val="clear" w:color="auto" w:fill="auto"/>
            <w:noWrap/>
            <w:vAlign w:val="bottom"/>
          </w:tcPr>
          <w:p w14:paraId="4605881A" w14:textId="77777777" w:rsidR="008B244E" w:rsidRPr="008B244E" w:rsidRDefault="008B244E" w:rsidP="008B244E">
            <w:pPr>
              <w:spacing w:before="40" w:after="40"/>
              <w:jc w:val="right"/>
              <w:rPr>
                <w:noProof/>
                <w:sz w:val="22"/>
              </w:rPr>
            </w:pPr>
            <w:r w:rsidRPr="00D0022B">
              <w:rPr>
                <w:noProof/>
                <w:sz w:val="22"/>
              </w:rPr>
              <w:t>8</w:t>
            </w:r>
            <w:r>
              <w:rPr>
                <w:noProof/>
                <w:sz w:val="22"/>
              </w:rPr>
              <w:t>,</w:t>
            </w:r>
            <w:r w:rsidRPr="00D0022B">
              <w:rPr>
                <w:noProof/>
                <w:sz w:val="22"/>
              </w:rPr>
              <w:t>69</w:t>
            </w:r>
            <w:r>
              <w:rPr>
                <w:noProof/>
                <w:sz w:val="22"/>
              </w:rPr>
              <w:t> %</w:t>
            </w:r>
          </w:p>
        </w:tc>
      </w:tr>
      <w:tr w:rsidR="008B244E" w:rsidRPr="008B244E" w14:paraId="33801454"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180ED22" w14:textId="77777777" w:rsidR="008B244E" w:rsidRPr="008B244E" w:rsidRDefault="008B244E" w:rsidP="008B244E">
            <w:pPr>
              <w:spacing w:before="40" w:after="40"/>
              <w:jc w:val="center"/>
              <w:rPr>
                <w:b/>
                <w:noProof/>
                <w:sz w:val="22"/>
              </w:rPr>
            </w:pPr>
            <w:r>
              <w:rPr>
                <w:b/>
                <w:noProof/>
                <w:sz w:val="22"/>
              </w:rPr>
              <w:t>DE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61F31" w14:textId="77777777" w:rsidR="008B244E" w:rsidRPr="008B244E" w:rsidRDefault="008B244E" w:rsidP="008B244E">
            <w:pPr>
              <w:spacing w:before="40" w:after="40"/>
              <w:jc w:val="right"/>
              <w:rPr>
                <w:noProof/>
                <w:sz w:val="22"/>
              </w:rPr>
            </w:pPr>
            <w:r w:rsidRPr="00D0022B">
              <w:rPr>
                <w:noProof/>
                <w:sz w:val="22"/>
              </w:rPr>
              <w:t>228</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7A618" w14:textId="77777777" w:rsidR="008B244E" w:rsidRPr="008B244E" w:rsidRDefault="008B244E" w:rsidP="008B244E">
            <w:pPr>
              <w:spacing w:before="40" w:after="40"/>
              <w:jc w:val="right"/>
              <w:rPr>
                <w:noProof/>
                <w:sz w:val="22"/>
              </w:rPr>
            </w:pPr>
            <w:r w:rsidRPr="00D0022B">
              <w:rPr>
                <w:noProof/>
                <w:sz w:val="22"/>
              </w:rPr>
              <w:t>286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BB3F8" w14:textId="77777777" w:rsidR="008B244E" w:rsidRPr="008B244E" w:rsidRDefault="008B244E" w:rsidP="008B244E">
            <w:pPr>
              <w:spacing w:before="40" w:after="40"/>
              <w:jc w:val="right"/>
              <w:rPr>
                <w:noProof/>
                <w:sz w:val="22"/>
              </w:rPr>
            </w:pPr>
            <w:r w:rsidRPr="00D0022B">
              <w:rPr>
                <w:noProof/>
                <w:sz w:val="22"/>
              </w:rPr>
              <w:t>281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3E41559" w14:textId="77777777" w:rsidR="008B244E" w:rsidRPr="008B244E" w:rsidRDefault="008B244E" w:rsidP="008B244E">
            <w:pPr>
              <w:spacing w:before="40" w:after="40"/>
              <w:jc w:val="right"/>
              <w:rPr>
                <w:noProof/>
                <w:sz w:val="22"/>
              </w:rPr>
            </w:pPr>
            <w:r w:rsidRPr="00D0022B">
              <w:rPr>
                <w:noProof/>
                <w:sz w:val="22"/>
              </w:rPr>
              <w:t>795</w:t>
            </w:r>
          </w:p>
        </w:tc>
        <w:tc>
          <w:tcPr>
            <w:tcW w:w="1736" w:type="dxa"/>
            <w:tcBorders>
              <w:top w:val="single" w:sz="4" w:space="0" w:color="auto"/>
              <w:left w:val="double" w:sz="4" w:space="0" w:color="auto"/>
              <w:bottom w:val="single" w:sz="4" w:space="0" w:color="auto"/>
            </w:tcBorders>
            <w:shd w:val="clear" w:color="auto" w:fill="auto"/>
            <w:noWrap/>
            <w:vAlign w:val="bottom"/>
          </w:tcPr>
          <w:p w14:paraId="2013D286" w14:textId="77777777" w:rsidR="008B244E" w:rsidRPr="008B244E" w:rsidRDefault="008B244E" w:rsidP="008B244E">
            <w:pPr>
              <w:spacing w:before="40" w:after="40"/>
              <w:jc w:val="right"/>
              <w:rPr>
                <w:noProof/>
                <w:sz w:val="22"/>
              </w:rPr>
            </w:pPr>
            <w:r w:rsidRPr="00D0022B">
              <w:rPr>
                <w:noProof/>
                <w:sz w:val="22"/>
              </w:rPr>
              <w:t>46</w:t>
            </w:r>
            <w:r>
              <w:rPr>
                <w:noProof/>
                <w:sz w:val="22"/>
              </w:rPr>
              <w:t>,</w:t>
            </w:r>
            <w:r w:rsidRPr="00D0022B">
              <w:rPr>
                <w:noProof/>
                <w:sz w:val="22"/>
              </w:rPr>
              <w:t>03</w:t>
            </w:r>
            <w:r>
              <w:rPr>
                <w:noProof/>
                <w:sz w:val="22"/>
              </w:rPr>
              <w:t> %</w:t>
            </w:r>
          </w:p>
        </w:tc>
      </w:tr>
      <w:tr w:rsidR="008B244E" w:rsidRPr="008B244E" w14:paraId="15D29976"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398B674" w14:textId="77777777" w:rsidR="008B244E" w:rsidRPr="008B244E" w:rsidRDefault="008B244E" w:rsidP="008B244E">
            <w:pPr>
              <w:spacing w:before="40" w:after="40"/>
              <w:jc w:val="center"/>
              <w:rPr>
                <w:b/>
                <w:noProof/>
                <w:sz w:val="22"/>
              </w:rPr>
            </w:pPr>
            <w:r>
              <w:rPr>
                <w:b/>
                <w:noProof/>
                <w:sz w:val="22"/>
              </w:rPr>
              <w:t>EE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551C"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9EC44"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99F0F"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B07B853"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023712A3"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3AF1ACE4"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B55F7B8" w14:textId="77777777" w:rsidR="008B244E" w:rsidRPr="008B244E" w:rsidRDefault="008B244E" w:rsidP="008B244E">
            <w:pPr>
              <w:spacing w:before="40" w:after="40"/>
              <w:jc w:val="center"/>
              <w:rPr>
                <w:b/>
                <w:noProof/>
                <w:sz w:val="22"/>
              </w:rPr>
            </w:pPr>
            <w:r>
              <w:rPr>
                <w:b/>
                <w:noProof/>
                <w:sz w:val="22"/>
              </w:rPr>
              <w:t>IE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D32FF"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A42B7"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E5DC4"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4B008A3"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048264A"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525C64B"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4826FA8" w14:textId="77777777" w:rsidR="008B244E" w:rsidRPr="008B244E" w:rsidRDefault="008B244E" w:rsidP="008B244E">
            <w:pPr>
              <w:spacing w:before="40" w:after="40"/>
              <w:jc w:val="center"/>
              <w:rPr>
                <w:b/>
                <w:noProof/>
                <w:sz w:val="22"/>
              </w:rPr>
            </w:pPr>
            <w:r>
              <w:rPr>
                <w:b/>
                <w:noProof/>
                <w:sz w:val="22"/>
              </w:rPr>
              <w:t>EL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26F26" w14:textId="77777777" w:rsidR="008B244E" w:rsidRPr="008B244E" w:rsidRDefault="008B244E" w:rsidP="008B244E">
            <w:pPr>
              <w:spacing w:before="40" w:after="40"/>
              <w:jc w:val="right"/>
              <w:rPr>
                <w:noProof/>
                <w:sz w:val="22"/>
              </w:rPr>
            </w:pPr>
            <w:r w:rsidRPr="00D0022B">
              <w:rPr>
                <w:noProof/>
                <w:sz w:val="22"/>
              </w:rPr>
              <w:t>2</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EECF5" w14:textId="77777777" w:rsidR="008B244E" w:rsidRPr="008B244E" w:rsidRDefault="008B244E" w:rsidP="008B244E">
            <w:pPr>
              <w:spacing w:before="40" w:after="40"/>
              <w:jc w:val="right"/>
              <w:rPr>
                <w:noProof/>
                <w:sz w:val="22"/>
              </w:rPr>
            </w:pPr>
            <w:r w:rsidRPr="00D0022B">
              <w:rPr>
                <w:noProof/>
                <w:sz w:val="22"/>
              </w:rPr>
              <w:t>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5390F" w14:textId="77777777" w:rsidR="008B244E" w:rsidRPr="008B244E" w:rsidRDefault="008B244E" w:rsidP="008B244E">
            <w:pPr>
              <w:spacing w:before="40" w:after="40"/>
              <w:jc w:val="right"/>
              <w:rPr>
                <w:noProof/>
                <w:sz w:val="22"/>
              </w:rPr>
            </w:pPr>
            <w:r w:rsidRPr="00D0022B">
              <w:rPr>
                <w:noProof/>
                <w:sz w:val="22"/>
              </w:rPr>
              <w:t>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2EAEE48" w14:textId="77777777" w:rsidR="008B244E" w:rsidRPr="008B244E" w:rsidRDefault="008B244E" w:rsidP="008B244E">
            <w:pPr>
              <w:spacing w:before="40" w:after="40"/>
              <w:jc w:val="right"/>
              <w:rPr>
                <w:noProof/>
                <w:sz w:val="22"/>
              </w:rPr>
            </w:pPr>
            <w:r w:rsidRPr="00D0022B">
              <w:rPr>
                <w:noProof/>
                <w:sz w:val="22"/>
              </w:rPr>
              <w:t>14</w:t>
            </w:r>
          </w:p>
        </w:tc>
        <w:tc>
          <w:tcPr>
            <w:tcW w:w="1736" w:type="dxa"/>
            <w:tcBorders>
              <w:top w:val="single" w:sz="4" w:space="0" w:color="auto"/>
              <w:left w:val="double" w:sz="4" w:space="0" w:color="auto"/>
              <w:bottom w:val="single" w:sz="4" w:space="0" w:color="auto"/>
            </w:tcBorders>
            <w:shd w:val="clear" w:color="auto" w:fill="auto"/>
            <w:noWrap/>
            <w:vAlign w:val="bottom"/>
          </w:tcPr>
          <w:p w14:paraId="49C42755"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81</w:t>
            </w:r>
            <w:r>
              <w:rPr>
                <w:noProof/>
                <w:sz w:val="22"/>
              </w:rPr>
              <w:t> %</w:t>
            </w:r>
          </w:p>
        </w:tc>
      </w:tr>
      <w:tr w:rsidR="008B244E" w:rsidRPr="008B244E" w14:paraId="26FF862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534D9A1" w14:textId="77777777" w:rsidR="008B244E" w:rsidRPr="008B244E" w:rsidRDefault="008B244E" w:rsidP="008B244E">
            <w:pPr>
              <w:spacing w:before="40" w:after="40"/>
              <w:jc w:val="center"/>
              <w:rPr>
                <w:b/>
                <w:noProof/>
                <w:sz w:val="22"/>
              </w:rPr>
            </w:pPr>
            <w:r>
              <w:rPr>
                <w:b/>
                <w:noProof/>
                <w:sz w:val="22"/>
              </w:rPr>
              <w:t>ES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DB9AD" w14:textId="77777777" w:rsidR="008B244E" w:rsidRPr="008B244E" w:rsidRDefault="008B244E" w:rsidP="008B244E">
            <w:pPr>
              <w:spacing w:before="40" w:after="40"/>
              <w:jc w:val="right"/>
              <w:rPr>
                <w:noProof/>
                <w:sz w:val="22"/>
              </w:rPr>
            </w:pPr>
            <w:r w:rsidRPr="00D0022B">
              <w:rPr>
                <w:noProof/>
                <w:sz w:val="22"/>
              </w:rPr>
              <w:t>233</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8E091" w14:textId="77777777" w:rsidR="008B244E" w:rsidRPr="008B244E" w:rsidRDefault="008B244E" w:rsidP="008B244E">
            <w:pPr>
              <w:spacing w:before="40" w:after="40"/>
              <w:jc w:val="right"/>
              <w:rPr>
                <w:noProof/>
                <w:sz w:val="22"/>
              </w:rPr>
            </w:pPr>
            <w:r w:rsidRPr="00D0022B">
              <w:rPr>
                <w:noProof/>
                <w:sz w:val="22"/>
              </w:rPr>
              <w:t>252</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CF6C" w14:textId="77777777" w:rsidR="008B244E" w:rsidRPr="008B244E" w:rsidRDefault="008B244E" w:rsidP="008B244E">
            <w:pPr>
              <w:spacing w:before="40" w:after="40"/>
              <w:jc w:val="right"/>
              <w:rPr>
                <w:noProof/>
                <w:sz w:val="22"/>
              </w:rPr>
            </w:pPr>
            <w:r w:rsidRPr="00D0022B">
              <w:rPr>
                <w:noProof/>
                <w:sz w:val="22"/>
              </w:rPr>
              <w:t>90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F015DA4" w14:textId="77777777" w:rsidR="008B244E" w:rsidRPr="008B244E" w:rsidRDefault="008B244E" w:rsidP="008B244E">
            <w:pPr>
              <w:spacing w:before="40" w:after="40"/>
              <w:jc w:val="right"/>
              <w:rPr>
                <w:noProof/>
                <w:sz w:val="22"/>
              </w:rPr>
            </w:pPr>
            <w:r w:rsidRPr="00D0022B">
              <w:rPr>
                <w:noProof/>
                <w:sz w:val="22"/>
              </w:rPr>
              <w:t>575</w:t>
            </w:r>
          </w:p>
        </w:tc>
        <w:tc>
          <w:tcPr>
            <w:tcW w:w="1736" w:type="dxa"/>
            <w:tcBorders>
              <w:top w:val="single" w:sz="4" w:space="0" w:color="auto"/>
              <w:left w:val="double" w:sz="4" w:space="0" w:color="auto"/>
              <w:bottom w:val="single" w:sz="4" w:space="0" w:color="auto"/>
            </w:tcBorders>
            <w:shd w:val="clear" w:color="auto" w:fill="auto"/>
            <w:noWrap/>
            <w:vAlign w:val="bottom"/>
          </w:tcPr>
          <w:p w14:paraId="727253A3" w14:textId="77777777" w:rsidR="008B244E" w:rsidRPr="008B244E" w:rsidRDefault="008B244E" w:rsidP="008B244E">
            <w:pPr>
              <w:spacing w:before="40" w:after="40"/>
              <w:jc w:val="right"/>
              <w:rPr>
                <w:noProof/>
                <w:sz w:val="22"/>
              </w:rPr>
            </w:pPr>
            <w:r w:rsidRPr="00D0022B">
              <w:rPr>
                <w:noProof/>
                <w:sz w:val="22"/>
              </w:rPr>
              <w:t>33</w:t>
            </w:r>
            <w:r>
              <w:rPr>
                <w:noProof/>
                <w:sz w:val="22"/>
              </w:rPr>
              <w:t>,</w:t>
            </w:r>
            <w:r w:rsidRPr="00D0022B">
              <w:rPr>
                <w:noProof/>
                <w:sz w:val="22"/>
              </w:rPr>
              <w:t>29</w:t>
            </w:r>
            <w:r>
              <w:rPr>
                <w:noProof/>
                <w:sz w:val="22"/>
              </w:rPr>
              <w:t> %</w:t>
            </w:r>
          </w:p>
        </w:tc>
      </w:tr>
      <w:tr w:rsidR="008B244E" w:rsidRPr="008B244E" w14:paraId="09A6C7F4"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3CB7731" w14:textId="77777777" w:rsidR="008B244E" w:rsidRPr="008B244E" w:rsidRDefault="008B244E" w:rsidP="008B244E">
            <w:pPr>
              <w:spacing w:before="40" w:after="40"/>
              <w:jc w:val="center"/>
              <w:rPr>
                <w:b/>
                <w:noProof/>
                <w:sz w:val="22"/>
              </w:rPr>
            </w:pPr>
            <w:r>
              <w:rPr>
                <w:b/>
                <w:noProof/>
                <w:sz w:val="22"/>
              </w:rPr>
              <w:t>FR</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FA85C88" w14:textId="77777777" w:rsidR="008B244E" w:rsidRPr="008B244E" w:rsidRDefault="008B244E" w:rsidP="008B244E">
            <w:pPr>
              <w:spacing w:before="40" w:after="40"/>
              <w:jc w:val="right"/>
              <w:rPr>
                <w:b/>
                <w:noProof/>
                <w:sz w:val="22"/>
              </w:rPr>
            </w:pPr>
            <w:r w:rsidRPr="00D0022B">
              <w:rPr>
                <w:b/>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8F29D0F"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E7FFF26"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F6C1F34"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71F61C40"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7EFC99A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E518320" w14:textId="77777777" w:rsidR="008B244E" w:rsidRPr="008B244E" w:rsidRDefault="008B244E" w:rsidP="008B244E">
            <w:pPr>
              <w:spacing w:before="40" w:after="40"/>
              <w:jc w:val="center"/>
              <w:rPr>
                <w:b/>
                <w:noProof/>
                <w:sz w:val="22"/>
              </w:rPr>
            </w:pPr>
            <w:r>
              <w:rPr>
                <w:b/>
                <w:noProof/>
                <w:sz w:val="22"/>
              </w:rPr>
              <w:t>HR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05842" w14:textId="77777777" w:rsidR="008B244E" w:rsidRPr="008B244E" w:rsidRDefault="008B244E" w:rsidP="008B244E">
            <w:pPr>
              <w:spacing w:before="40" w:after="40"/>
              <w:jc w:val="right"/>
              <w:rPr>
                <w:noProof/>
                <w:sz w:val="22"/>
              </w:rPr>
            </w:pPr>
            <w:r w:rsidRPr="00D0022B">
              <w:rPr>
                <w:noProof/>
                <w:sz w:val="22"/>
              </w:rPr>
              <w:t>3</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6E2ED"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C56D2"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0FBB7D06" w14:textId="77777777" w:rsidR="008B244E" w:rsidRPr="008B244E" w:rsidRDefault="008B244E" w:rsidP="008B244E">
            <w:pPr>
              <w:spacing w:before="40" w:after="40"/>
              <w:jc w:val="right"/>
              <w:rPr>
                <w:noProof/>
                <w:sz w:val="22"/>
              </w:rPr>
            </w:pPr>
            <w:r w:rsidRPr="00D0022B">
              <w:rPr>
                <w:noProof/>
                <w:sz w:val="22"/>
              </w:rPr>
              <w:t>3</w:t>
            </w:r>
          </w:p>
        </w:tc>
        <w:tc>
          <w:tcPr>
            <w:tcW w:w="1736" w:type="dxa"/>
            <w:tcBorders>
              <w:top w:val="single" w:sz="4" w:space="0" w:color="auto"/>
              <w:left w:val="double" w:sz="4" w:space="0" w:color="auto"/>
              <w:bottom w:val="single" w:sz="4" w:space="0" w:color="auto"/>
            </w:tcBorders>
            <w:shd w:val="clear" w:color="auto" w:fill="auto"/>
            <w:noWrap/>
            <w:vAlign w:val="bottom"/>
          </w:tcPr>
          <w:p w14:paraId="26B814A4"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17</w:t>
            </w:r>
            <w:r>
              <w:rPr>
                <w:noProof/>
                <w:sz w:val="22"/>
              </w:rPr>
              <w:t> %</w:t>
            </w:r>
          </w:p>
        </w:tc>
      </w:tr>
      <w:tr w:rsidR="008B244E" w:rsidRPr="008B244E" w14:paraId="2C58DEE7"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B9FF08A" w14:textId="77777777" w:rsidR="008B244E" w:rsidRPr="008B244E" w:rsidRDefault="008B244E" w:rsidP="008B244E">
            <w:pPr>
              <w:spacing w:before="40" w:after="40"/>
              <w:jc w:val="center"/>
              <w:rPr>
                <w:b/>
                <w:noProof/>
                <w:sz w:val="22"/>
              </w:rPr>
            </w:pPr>
            <w:r>
              <w:rPr>
                <w:b/>
                <w:noProof/>
                <w:sz w:val="22"/>
              </w:rPr>
              <w:t>IT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BB9A0"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CDA48"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EEDFA"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1DFC56EE"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749FAA65"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118C5580"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86C0148" w14:textId="77777777" w:rsidR="008B244E" w:rsidRPr="008B244E" w:rsidRDefault="008B244E" w:rsidP="008B244E">
            <w:pPr>
              <w:spacing w:before="40" w:after="40"/>
              <w:jc w:val="center"/>
              <w:rPr>
                <w:b/>
                <w:noProof/>
                <w:sz w:val="22"/>
              </w:rPr>
            </w:pPr>
            <w:r>
              <w:rPr>
                <w:b/>
                <w:noProof/>
                <w:sz w:val="22"/>
              </w:rPr>
              <w:t>CY</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A1E4C"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8F5BD"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85357"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311F7DD"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735EA928"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5FFFD88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FB8CD9D" w14:textId="77777777" w:rsidR="008B244E" w:rsidRPr="008B244E" w:rsidRDefault="008B244E" w:rsidP="008B244E">
            <w:pPr>
              <w:spacing w:before="40" w:after="40"/>
              <w:jc w:val="center"/>
              <w:rPr>
                <w:b/>
                <w:noProof/>
                <w:sz w:val="22"/>
              </w:rPr>
            </w:pPr>
            <w:r>
              <w:rPr>
                <w:b/>
                <w:noProof/>
                <w:sz w:val="22"/>
              </w:rPr>
              <w:t>LV</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4F020"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CF1A3"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ED759"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06186912"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71839534"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1439D57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522E84B" w14:textId="77777777" w:rsidR="008B244E" w:rsidRPr="008B244E" w:rsidRDefault="008B244E" w:rsidP="008B244E">
            <w:pPr>
              <w:spacing w:before="40" w:after="40"/>
              <w:jc w:val="center"/>
              <w:rPr>
                <w:b/>
                <w:noProof/>
                <w:sz w:val="22"/>
              </w:rPr>
            </w:pPr>
            <w:r>
              <w:rPr>
                <w:b/>
                <w:noProof/>
                <w:sz w:val="22"/>
              </w:rPr>
              <w:t xml:space="preserve">LT </w:t>
            </w:r>
            <w:r>
              <w:rPr>
                <w:noProof/>
                <w:sz w:val="22"/>
              </w:rPr>
              <w:t>(</w:t>
            </w:r>
            <w:r w:rsidRPr="00D0022B">
              <w:rPr>
                <w:noProof/>
                <w:sz w:val="22"/>
              </w:rPr>
              <w:t>1</w:t>
            </w:r>
            <w:r>
              <w:rPr>
                <w:noProof/>
                <w:sz w:val="22"/>
              </w:rPr>
              <w:t>)</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7366DFF"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26A714"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E48322"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DBE5F1" w:themeFill="accent1" w:themeFillTint="33"/>
            <w:noWrap/>
            <w:vAlign w:val="bottom"/>
          </w:tcPr>
          <w:p w14:paraId="58877329"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DBE5F1" w:themeFill="accent1" w:themeFillTint="33"/>
            <w:noWrap/>
            <w:vAlign w:val="bottom"/>
          </w:tcPr>
          <w:p w14:paraId="5F59D47E"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662F95D4"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9C015F3" w14:textId="77777777" w:rsidR="008B244E" w:rsidRPr="008B244E" w:rsidRDefault="008B244E" w:rsidP="008B244E">
            <w:pPr>
              <w:spacing w:before="40" w:after="40"/>
              <w:jc w:val="center"/>
              <w:rPr>
                <w:b/>
                <w:noProof/>
                <w:sz w:val="22"/>
              </w:rPr>
            </w:pPr>
            <w:r>
              <w:rPr>
                <w:b/>
                <w:noProof/>
                <w:sz w:val="22"/>
              </w:rPr>
              <w:t>LU</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6B038"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31CDF"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7909E"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DE3F609"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D627BAE"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326AECDB"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A93DB21" w14:textId="77777777" w:rsidR="008B244E" w:rsidRPr="008B244E" w:rsidRDefault="008B244E" w:rsidP="008B244E">
            <w:pPr>
              <w:spacing w:before="40" w:after="40"/>
              <w:jc w:val="center"/>
              <w:rPr>
                <w:b/>
                <w:noProof/>
                <w:sz w:val="22"/>
              </w:rPr>
            </w:pPr>
            <w:r>
              <w:rPr>
                <w:b/>
                <w:noProof/>
                <w:sz w:val="22"/>
              </w:rPr>
              <w:t>HU</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A5728" w14:textId="77777777" w:rsidR="008B244E" w:rsidRPr="008B244E" w:rsidRDefault="008B244E" w:rsidP="008B244E">
            <w:pPr>
              <w:spacing w:before="40" w:after="40"/>
              <w:jc w:val="right"/>
              <w:rPr>
                <w:noProof/>
                <w:sz w:val="22"/>
              </w:rPr>
            </w:pPr>
            <w:r w:rsidRPr="00D0022B">
              <w:rPr>
                <w:noProof/>
                <w:sz w:val="22"/>
              </w:rPr>
              <w:t>14</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E6F07" w14:textId="77777777" w:rsidR="008B244E" w:rsidRPr="008B244E" w:rsidRDefault="008B244E" w:rsidP="008B244E">
            <w:pPr>
              <w:spacing w:before="40" w:after="40"/>
              <w:jc w:val="right"/>
              <w:rPr>
                <w:noProof/>
                <w:sz w:val="22"/>
              </w:rPr>
            </w:pPr>
            <w:r w:rsidRPr="00D0022B">
              <w:rPr>
                <w:noProof/>
                <w:sz w:val="22"/>
              </w:rPr>
              <w:t>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61CAF"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2B747CE" w14:textId="77777777" w:rsidR="008B244E" w:rsidRPr="008B244E" w:rsidRDefault="008B244E" w:rsidP="008B244E">
            <w:pPr>
              <w:spacing w:before="40" w:after="40"/>
              <w:jc w:val="right"/>
              <w:rPr>
                <w:noProof/>
                <w:sz w:val="22"/>
              </w:rPr>
            </w:pPr>
            <w:r w:rsidRPr="00D0022B">
              <w:rPr>
                <w:noProof/>
                <w:sz w:val="22"/>
              </w:rPr>
              <w:t>15</w:t>
            </w:r>
          </w:p>
        </w:tc>
        <w:tc>
          <w:tcPr>
            <w:tcW w:w="1736" w:type="dxa"/>
            <w:tcBorders>
              <w:top w:val="single" w:sz="4" w:space="0" w:color="auto"/>
              <w:left w:val="double" w:sz="4" w:space="0" w:color="auto"/>
              <w:bottom w:val="single" w:sz="4" w:space="0" w:color="auto"/>
            </w:tcBorders>
            <w:shd w:val="clear" w:color="auto" w:fill="auto"/>
            <w:noWrap/>
            <w:vAlign w:val="bottom"/>
          </w:tcPr>
          <w:p w14:paraId="5C4A88B2"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87</w:t>
            </w:r>
            <w:r>
              <w:rPr>
                <w:noProof/>
                <w:sz w:val="22"/>
              </w:rPr>
              <w:t> %</w:t>
            </w:r>
          </w:p>
        </w:tc>
      </w:tr>
      <w:tr w:rsidR="008B244E" w:rsidRPr="008B244E" w14:paraId="7276B0AD"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B0D5F61" w14:textId="77777777" w:rsidR="008B244E" w:rsidRPr="008B244E" w:rsidRDefault="008B244E" w:rsidP="008B244E">
            <w:pPr>
              <w:spacing w:before="40" w:after="40"/>
              <w:jc w:val="center"/>
              <w:rPr>
                <w:b/>
                <w:noProof/>
                <w:sz w:val="22"/>
              </w:rPr>
            </w:pPr>
            <w:r>
              <w:rPr>
                <w:b/>
                <w:noProof/>
                <w:sz w:val="22"/>
              </w:rPr>
              <w:t>MT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0F390"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CC7A9"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46AE5"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3565BE7D"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B499F73"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A5717BA"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E64DC00" w14:textId="77777777" w:rsidR="008B244E" w:rsidRPr="008B244E" w:rsidRDefault="008B244E" w:rsidP="008B244E">
            <w:pPr>
              <w:spacing w:before="40" w:after="40"/>
              <w:jc w:val="center"/>
              <w:rPr>
                <w:b/>
                <w:noProof/>
                <w:sz w:val="22"/>
              </w:rPr>
            </w:pPr>
            <w:r>
              <w:rPr>
                <w:b/>
                <w:noProof/>
                <w:sz w:val="22"/>
              </w:rPr>
              <w:t>NL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8CF49"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4CA7D"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8BBE8"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3C3D8A5A"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FF1625C"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15D2766E"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A35E5CE" w14:textId="77777777" w:rsidR="008B244E" w:rsidRPr="008B244E" w:rsidRDefault="008B244E" w:rsidP="008B244E">
            <w:pPr>
              <w:spacing w:before="40" w:after="40"/>
              <w:jc w:val="center"/>
              <w:rPr>
                <w:b/>
                <w:noProof/>
                <w:sz w:val="22"/>
              </w:rPr>
            </w:pPr>
            <w:r>
              <w:rPr>
                <w:b/>
                <w:noProof/>
                <w:sz w:val="22"/>
              </w:rPr>
              <w:t>AT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DE243"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DD052"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DCB88"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785EFE7"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68516667"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27DE1DB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6161AD9" w14:textId="77777777" w:rsidR="008B244E" w:rsidRPr="008B244E" w:rsidRDefault="008B244E" w:rsidP="008B244E">
            <w:pPr>
              <w:spacing w:before="40" w:after="40"/>
              <w:jc w:val="center"/>
              <w:rPr>
                <w:b/>
                <w:noProof/>
                <w:sz w:val="22"/>
              </w:rPr>
            </w:pPr>
            <w:r>
              <w:rPr>
                <w:b/>
                <w:noProof/>
                <w:sz w:val="22"/>
              </w:rPr>
              <w:t>PL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0DC35" w14:textId="77777777" w:rsidR="008B244E" w:rsidRPr="008B244E" w:rsidRDefault="008B244E" w:rsidP="008B244E">
            <w:pPr>
              <w:spacing w:before="40" w:after="40"/>
              <w:jc w:val="right"/>
              <w:rPr>
                <w:noProof/>
                <w:sz w:val="22"/>
              </w:rPr>
            </w:pPr>
            <w:r w:rsidRPr="00D0022B">
              <w:rPr>
                <w:noProof/>
                <w:sz w:val="22"/>
              </w:rPr>
              <w:t>12</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CD43D" w14:textId="77777777" w:rsidR="008B244E" w:rsidRPr="008B244E" w:rsidRDefault="008B244E" w:rsidP="008B244E">
            <w:pPr>
              <w:spacing w:before="40" w:after="40"/>
              <w:jc w:val="right"/>
              <w:rPr>
                <w:noProof/>
                <w:sz w:val="22"/>
              </w:rPr>
            </w:pPr>
            <w:r w:rsidRPr="00D0022B">
              <w:rPr>
                <w:noProof/>
                <w:sz w:val="22"/>
              </w:rPr>
              <w:t>11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71316" w14:textId="77777777" w:rsidR="008B244E" w:rsidRPr="008B244E" w:rsidRDefault="008B244E" w:rsidP="008B244E">
            <w:pPr>
              <w:spacing w:before="40" w:after="40"/>
              <w:jc w:val="right"/>
              <w:rPr>
                <w:noProof/>
                <w:sz w:val="22"/>
              </w:rPr>
            </w:pPr>
            <w:r w:rsidRPr="00D0022B">
              <w:rPr>
                <w:noProof/>
                <w:sz w:val="22"/>
              </w:rPr>
              <w:t>8</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033EE43" w14:textId="77777777" w:rsidR="008B244E" w:rsidRPr="008B244E" w:rsidRDefault="008B244E" w:rsidP="008B244E">
            <w:pPr>
              <w:spacing w:before="40" w:after="40"/>
              <w:jc w:val="right"/>
              <w:rPr>
                <w:noProof/>
                <w:sz w:val="22"/>
              </w:rPr>
            </w:pPr>
            <w:r w:rsidRPr="00D0022B">
              <w:rPr>
                <w:noProof/>
                <w:sz w:val="22"/>
              </w:rPr>
              <w:t>31</w:t>
            </w:r>
          </w:p>
        </w:tc>
        <w:tc>
          <w:tcPr>
            <w:tcW w:w="1736" w:type="dxa"/>
            <w:tcBorders>
              <w:top w:val="single" w:sz="4" w:space="0" w:color="auto"/>
              <w:left w:val="double" w:sz="4" w:space="0" w:color="auto"/>
              <w:bottom w:val="single" w:sz="4" w:space="0" w:color="auto"/>
            </w:tcBorders>
            <w:shd w:val="clear" w:color="auto" w:fill="auto"/>
            <w:noWrap/>
            <w:vAlign w:val="bottom"/>
          </w:tcPr>
          <w:p w14:paraId="23484DD1" w14:textId="77777777" w:rsidR="008B244E" w:rsidRPr="008B244E" w:rsidRDefault="008B244E" w:rsidP="008B244E">
            <w:pPr>
              <w:spacing w:before="40" w:after="40"/>
              <w:jc w:val="right"/>
              <w:rPr>
                <w:noProof/>
                <w:sz w:val="22"/>
              </w:rPr>
            </w:pPr>
            <w:r w:rsidRPr="00D0022B">
              <w:rPr>
                <w:noProof/>
                <w:sz w:val="22"/>
              </w:rPr>
              <w:t>1</w:t>
            </w:r>
            <w:r>
              <w:rPr>
                <w:noProof/>
                <w:sz w:val="22"/>
              </w:rPr>
              <w:t>,</w:t>
            </w:r>
            <w:r w:rsidRPr="00D0022B">
              <w:rPr>
                <w:noProof/>
                <w:sz w:val="22"/>
              </w:rPr>
              <w:t>80</w:t>
            </w:r>
            <w:r>
              <w:rPr>
                <w:noProof/>
                <w:sz w:val="22"/>
              </w:rPr>
              <w:t> %</w:t>
            </w:r>
          </w:p>
        </w:tc>
      </w:tr>
      <w:tr w:rsidR="008B244E" w:rsidRPr="008B244E" w14:paraId="5109787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F271109" w14:textId="77777777" w:rsidR="008B244E" w:rsidRPr="008B244E" w:rsidRDefault="008B244E" w:rsidP="008B244E">
            <w:pPr>
              <w:spacing w:before="40" w:after="40"/>
              <w:jc w:val="center"/>
              <w:rPr>
                <w:b/>
                <w:noProof/>
                <w:sz w:val="22"/>
              </w:rPr>
            </w:pPr>
            <w:r>
              <w:rPr>
                <w:b/>
                <w:noProof/>
                <w:sz w:val="22"/>
              </w:rPr>
              <w:t>PT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53D0A"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3A05E"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C1A06"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14AF5D55"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269C30D1"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CC2CC3A"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35F9CC9" w14:textId="77777777" w:rsidR="008B244E" w:rsidRPr="008B244E" w:rsidRDefault="008B244E" w:rsidP="008B244E">
            <w:pPr>
              <w:spacing w:before="40" w:after="40"/>
              <w:jc w:val="center"/>
              <w:rPr>
                <w:b/>
                <w:noProof/>
                <w:sz w:val="22"/>
              </w:rPr>
            </w:pPr>
            <w:r>
              <w:rPr>
                <w:b/>
                <w:noProof/>
                <w:sz w:val="22"/>
              </w:rPr>
              <w:t>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EBB43"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2D713"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1D6A9"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3D44D475"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49755C9"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54020072"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28217622" w14:textId="77777777" w:rsidR="008B244E" w:rsidRPr="008B244E" w:rsidRDefault="008B244E" w:rsidP="008B244E">
            <w:pPr>
              <w:spacing w:before="40" w:after="40"/>
              <w:jc w:val="center"/>
              <w:rPr>
                <w:b/>
                <w:noProof/>
                <w:sz w:val="22"/>
              </w:rPr>
            </w:pPr>
            <w:r>
              <w:rPr>
                <w:b/>
                <w:noProof/>
                <w:sz w:val="22"/>
              </w:rPr>
              <w:t>SI</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DBE82" w14:textId="77777777" w:rsidR="008B244E" w:rsidRPr="008B244E" w:rsidRDefault="008B244E" w:rsidP="008B244E">
            <w:pPr>
              <w:spacing w:before="40" w:after="40"/>
              <w:jc w:val="right"/>
              <w:rPr>
                <w:noProof/>
                <w:sz w:val="22"/>
              </w:rPr>
            </w:pPr>
            <w:r w:rsidRPr="00D0022B">
              <w:rPr>
                <w:noProof/>
                <w:sz w:val="22"/>
              </w:rPr>
              <w:t>38</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257FE" w14:textId="77777777" w:rsidR="008B244E" w:rsidRPr="008B244E" w:rsidRDefault="008B244E" w:rsidP="008B244E">
            <w:pPr>
              <w:spacing w:before="40" w:after="40"/>
              <w:jc w:val="right"/>
              <w:rPr>
                <w:noProof/>
                <w:sz w:val="22"/>
              </w:rPr>
            </w:pPr>
            <w:r w:rsidRPr="00D0022B">
              <w:rPr>
                <w:noProof/>
                <w:sz w:val="22"/>
              </w:rPr>
              <w:t>38</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69227" w14:textId="77777777" w:rsidR="008B244E" w:rsidRPr="008B244E" w:rsidRDefault="008B244E" w:rsidP="008B244E">
            <w:pPr>
              <w:spacing w:before="40" w:after="40"/>
              <w:jc w:val="right"/>
              <w:rPr>
                <w:noProof/>
                <w:sz w:val="22"/>
              </w:rPr>
            </w:pPr>
            <w:r w:rsidRPr="00D0022B">
              <w:rPr>
                <w:noProof/>
                <w:sz w:val="22"/>
              </w:rPr>
              <w:t>37</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3C91A4B4" w14:textId="77777777" w:rsidR="008B244E" w:rsidRPr="008B244E" w:rsidRDefault="008B244E" w:rsidP="008B244E">
            <w:pPr>
              <w:spacing w:before="40" w:after="40"/>
              <w:jc w:val="right"/>
              <w:rPr>
                <w:noProof/>
                <w:sz w:val="22"/>
              </w:rPr>
            </w:pPr>
            <w:r w:rsidRPr="00D0022B">
              <w:rPr>
                <w:noProof/>
                <w:sz w:val="22"/>
              </w:rPr>
              <w:t>113</w:t>
            </w:r>
          </w:p>
        </w:tc>
        <w:tc>
          <w:tcPr>
            <w:tcW w:w="1736" w:type="dxa"/>
            <w:tcBorders>
              <w:top w:val="single" w:sz="4" w:space="0" w:color="auto"/>
              <w:left w:val="double" w:sz="4" w:space="0" w:color="auto"/>
              <w:bottom w:val="single" w:sz="4" w:space="0" w:color="auto"/>
            </w:tcBorders>
            <w:shd w:val="clear" w:color="auto" w:fill="auto"/>
            <w:noWrap/>
            <w:vAlign w:val="bottom"/>
          </w:tcPr>
          <w:p w14:paraId="3A68729F" w14:textId="77777777" w:rsidR="008B244E" w:rsidRPr="008B244E" w:rsidRDefault="008B244E" w:rsidP="008B244E">
            <w:pPr>
              <w:spacing w:before="40" w:after="40"/>
              <w:jc w:val="right"/>
              <w:rPr>
                <w:noProof/>
                <w:sz w:val="22"/>
              </w:rPr>
            </w:pPr>
            <w:r w:rsidRPr="00D0022B">
              <w:rPr>
                <w:noProof/>
                <w:sz w:val="22"/>
              </w:rPr>
              <w:t>6</w:t>
            </w:r>
            <w:r>
              <w:rPr>
                <w:noProof/>
                <w:sz w:val="22"/>
              </w:rPr>
              <w:t>,</w:t>
            </w:r>
            <w:r w:rsidRPr="00D0022B">
              <w:rPr>
                <w:noProof/>
                <w:sz w:val="22"/>
              </w:rPr>
              <w:t>54</w:t>
            </w:r>
            <w:r>
              <w:rPr>
                <w:noProof/>
                <w:sz w:val="22"/>
              </w:rPr>
              <w:t> %</w:t>
            </w:r>
          </w:p>
        </w:tc>
      </w:tr>
      <w:tr w:rsidR="008B244E" w:rsidRPr="008B244E" w14:paraId="4078E9CD"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BD80894" w14:textId="77777777" w:rsidR="008B244E" w:rsidRPr="008B244E" w:rsidRDefault="008B244E" w:rsidP="008B244E">
            <w:pPr>
              <w:spacing w:before="40" w:after="40"/>
              <w:jc w:val="center"/>
              <w:rPr>
                <w:b/>
                <w:noProof/>
                <w:sz w:val="22"/>
              </w:rPr>
            </w:pPr>
            <w:r>
              <w:rPr>
                <w:b/>
                <w:noProof/>
                <w:sz w:val="22"/>
              </w:rPr>
              <w:t>SK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DF692"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932F4"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49468"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6DDE247B"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7E2A868E"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5540082C"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9AE2CD2" w14:textId="77777777" w:rsidR="008B244E" w:rsidRPr="008B244E" w:rsidRDefault="008B244E" w:rsidP="008B244E">
            <w:pPr>
              <w:spacing w:before="40" w:after="40"/>
              <w:jc w:val="center"/>
              <w:rPr>
                <w:b/>
                <w:noProof/>
                <w:sz w:val="22"/>
              </w:rPr>
            </w:pPr>
            <w:r>
              <w:rPr>
                <w:b/>
                <w:noProof/>
                <w:sz w:val="22"/>
              </w:rPr>
              <w:t>FI</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A5BD7"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22226"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4B384"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E67B321"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4B4FF392"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52A36FA1"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4865B8D" w14:textId="77777777" w:rsidR="008B244E" w:rsidRPr="008B244E" w:rsidRDefault="008B244E" w:rsidP="008B244E">
            <w:pPr>
              <w:spacing w:before="40" w:after="40"/>
              <w:jc w:val="center"/>
              <w:rPr>
                <w:b/>
                <w:noProof/>
                <w:sz w:val="22"/>
              </w:rPr>
            </w:pPr>
            <w:r>
              <w:rPr>
                <w:b/>
                <w:noProof/>
                <w:sz w:val="22"/>
              </w:rPr>
              <w:t>SE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2E25B" w14:textId="77777777" w:rsidR="008B244E" w:rsidRPr="008B244E" w:rsidRDefault="008B244E" w:rsidP="008B244E">
            <w:pPr>
              <w:spacing w:before="40" w:after="40"/>
              <w:jc w:val="right"/>
              <w:rPr>
                <w:noProof/>
                <w:sz w:val="22"/>
              </w:rPr>
            </w:pPr>
            <w:r w:rsidRPr="00D0022B">
              <w:rPr>
                <w:noProof/>
                <w:sz w:val="22"/>
              </w:rPr>
              <w:t>9</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25E07" w14:textId="77777777" w:rsidR="008B244E" w:rsidRPr="008B244E" w:rsidRDefault="008B244E" w:rsidP="008B244E">
            <w:pPr>
              <w:spacing w:before="40" w:after="40"/>
              <w:jc w:val="right"/>
              <w:rPr>
                <w:noProof/>
                <w:sz w:val="22"/>
              </w:rPr>
            </w:pPr>
            <w:r w:rsidRPr="00D0022B">
              <w:rPr>
                <w:noProof/>
                <w:sz w:val="22"/>
              </w:rPr>
              <w:t>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E0962" w14:textId="77777777" w:rsidR="008B244E" w:rsidRPr="008B244E" w:rsidRDefault="008B244E" w:rsidP="008B244E">
            <w:pPr>
              <w:spacing w:before="40" w:after="40"/>
              <w:jc w:val="right"/>
              <w:rPr>
                <w:noProof/>
                <w:sz w:val="22"/>
              </w:rPr>
            </w:pPr>
            <w:r w:rsidRPr="00D0022B">
              <w:rPr>
                <w:noProof/>
                <w:sz w:val="22"/>
              </w:rPr>
              <w:t>8</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47AEDF2" w14:textId="77777777" w:rsidR="008B244E" w:rsidRPr="008B244E" w:rsidRDefault="008B244E" w:rsidP="008B244E">
            <w:pPr>
              <w:spacing w:before="40" w:after="40"/>
              <w:jc w:val="right"/>
              <w:rPr>
                <w:noProof/>
                <w:sz w:val="22"/>
              </w:rPr>
            </w:pPr>
            <w:r w:rsidRPr="00D0022B">
              <w:rPr>
                <w:noProof/>
                <w:sz w:val="22"/>
              </w:rPr>
              <w:t>26</w:t>
            </w:r>
          </w:p>
        </w:tc>
        <w:tc>
          <w:tcPr>
            <w:tcW w:w="1736" w:type="dxa"/>
            <w:tcBorders>
              <w:top w:val="single" w:sz="4" w:space="0" w:color="auto"/>
              <w:left w:val="double" w:sz="4" w:space="0" w:color="auto"/>
              <w:bottom w:val="single" w:sz="4" w:space="0" w:color="auto"/>
            </w:tcBorders>
            <w:shd w:val="clear" w:color="auto" w:fill="auto"/>
            <w:noWrap/>
            <w:vAlign w:val="bottom"/>
          </w:tcPr>
          <w:p w14:paraId="2B075061" w14:textId="77777777" w:rsidR="008B244E" w:rsidRPr="008B244E" w:rsidRDefault="008B244E" w:rsidP="008B244E">
            <w:pPr>
              <w:spacing w:before="40" w:after="40"/>
              <w:jc w:val="right"/>
              <w:rPr>
                <w:noProof/>
                <w:sz w:val="22"/>
              </w:rPr>
            </w:pPr>
            <w:r w:rsidRPr="00D0022B">
              <w:rPr>
                <w:noProof/>
                <w:sz w:val="22"/>
              </w:rPr>
              <w:t>1</w:t>
            </w:r>
            <w:r>
              <w:rPr>
                <w:noProof/>
                <w:sz w:val="22"/>
              </w:rPr>
              <w:t>,</w:t>
            </w:r>
            <w:r w:rsidRPr="00D0022B">
              <w:rPr>
                <w:noProof/>
                <w:sz w:val="22"/>
              </w:rPr>
              <w:t>51</w:t>
            </w:r>
            <w:r>
              <w:rPr>
                <w:noProof/>
                <w:sz w:val="22"/>
              </w:rPr>
              <w:t> %</w:t>
            </w:r>
          </w:p>
        </w:tc>
      </w:tr>
      <w:tr w:rsidR="008B244E" w:rsidRPr="008B244E" w14:paraId="530AB795"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2FE5DE2" w14:textId="77777777" w:rsidR="008B244E" w:rsidRPr="008B244E" w:rsidRDefault="008B244E" w:rsidP="008B244E">
            <w:pPr>
              <w:spacing w:before="40" w:after="40"/>
              <w:jc w:val="center"/>
              <w:rPr>
                <w:b/>
                <w:noProof/>
                <w:sz w:val="22"/>
              </w:rPr>
            </w:pPr>
            <w:r>
              <w:rPr>
                <w:b/>
                <w:noProof/>
                <w:sz w:val="22"/>
              </w:rPr>
              <w:t>UK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4A49B" w14:textId="77777777" w:rsidR="008B244E" w:rsidRPr="008B244E" w:rsidRDefault="008B244E" w:rsidP="008B244E">
            <w:pPr>
              <w:spacing w:before="40" w:after="40"/>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BB1AA" w14:textId="77777777" w:rsidR="008B244E" w:rsidRPr="008B244E" w:rsidRDefault="008B244E" w:rsidP="008B244E">
            <w:pPr>
              <w:spacing w:before="40" w:after="40"/>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B9B0D" w14:textId="77777777" w:rsidR="008B244E" w:rsidRPr="008B244E" w:rsidRDefault="008B244E" w:rsidP="008B244E">
            <w:pPr>
              <w:spacing w:before="40" w:after="40"/>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306828D3" w14:textId="77777777" w:rsidR="008B244E" w:rsidRPr="008B244E" w:rsidRDefault="008B244E" w:rsidP="008B244E">
            <w:pPr>
              <w:spacing w:before="40" w:after="40"/>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26F2FE18" w14:textId="77777777" w:rsidR="008B244E" w:rsidRPr="008B244E" w:rsidRDefault="008B244E" w:rsidP="008B244E">
            <w:pPr>
              <w:spacing w:before="40" w:after="40"/>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34067DEB" w14:textId="77777777" w:rsidTr="008B244E">
        <w:trPr>
          <w:trHeight w:val="300"/>
        </w:trPr>
        <w:tc>
          <w:tcPr>
            <w:tcW w:w="1550" w:type="dxa"/>
            <w:tcBorders>
              <w:top w:val="single" w:sz="4" w:space="0" w:color="auto"/>
              <w:bottom w:val="double" w:sz="4" w:space="0" w:color="auto"/>
              <w:right w:val="single" w:sz="4" w:space="0" w:color="auto"/>
            </w:tcBorders>
            <w:shd w:val="clear" w:color="auto" w:fill="DBE5F1" w:themeFill="accent1" w:themeFillTint="33"/>
            <w:noWrap/>
            <w:vAlign w:val="center"/>
            <w:hideMark/>
          </w:tcPr>
          <w:p w14:paraId="5D31B94D" w14:textId="77777777" w:rsidR="008B244E" w:rsidRPr="008B244E" w:rsidRDefault="008B244E" w:rsidP="008B244E">
            <w:pPr>
              <w:spacing w:before="60" w:after="60"/>
              <w:jc w:val="center"/>
              <w:rPr>
                <w:b/>
                <w:noProof/>
                <w:sz w:val="22"/>
              </w:rPr>
            </w:pPr>
            <w:r>
              <w:rPr>
                <w:b/>
                <w:noProof/>
                <w:sz w:val="22"/>
              </w:rPr>
              <w:t>Gesamt</w:t>
            </w:r>
          </w:p>
        </w:tc>
        <w:tc>
          <w:tcPr>
            <w:tcW w:w="1441"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bottom"/>
          </w:tcPr>
          <w:p w14:paraId="579EA792" w14:textId="77777777" w:rsidR="008B244E" w:rsidRPr="008B244E" w:rsidRDefault="008B244E" w:rsidP="008B244E">
            <w:pPr>
              <w:spacing w:before="60" w:after="60"/>
              <w:jc w:val="right"/>
              <w:rPr>
                <w:b/>
                <w:noProof/>
                <w:sz w:val="22"/>
              </w:rPr>
            </w:pPr>
            <w:r w:rsidRPr="00D0022B">
              <w:rPr>
                <w:b/>
                <w:noProof/>
                <w:sz w:val="22"/>
              </w:rPr>
              <w:t>593</w:t>
            </w:r>
          </w:p>
        </w:tc>
        <w:tc>
          <w:tcPr>
            <w:tcW w:w="1441"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bottom"/>
          </w:tcPr>
          <w:p w14:paraId="7C8F7BC1" w14:textId="77777777" w:rsidR="008B244E" w:rsidRPr="008B244E" w:rsidRDefault="008B244E" w:rsidP="008B244E">
            <w:pPr>
              <w:spacing w:before="60" w:after="60"/>
              <w:jc w:val="right"/>
              <w:rPr>
                <w:b/>
                <w:noProof/>
                <w:sz w:val="22"/>
              </w:rPr>
            </w:pPr>
            <w:r w:rsidRPr="00D0022B">
              <w:rPr>
                <w:b/>
                <w:noProof/>
                <w:sz w:val="22"/>
              </w:rPr>
              <w:t>658</w:t>
            </w:r>
          </w:p>
        </w:tc>
        <w:tc>
          <w:tcPr>
            <w:tcW w:w="1370"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bottom"/>
          </w:tcPr>
          <w:p w14:paraId="278B94A6" w14:textId="77777777" w:rsidR="008B244E" w:rsidRPr="008B244E" w:rsidRDefault="008B244E" w:rsidP="008B244E">
            <w:pPr>
              <w:spacing w:before="60" w:after="60"/>
              <w:jc w:val="right"/>
              <w:rPr>
                <w:b/>
                <w:noProof/>
                <w:sz w:val="22"/>
              </w:rPr>
            </w:pPr>
            <w:r w:rsidRPr="00D0022B">
              <w:rPr>
                <w:b/>
                <w:noProof/>
                <w:sz w:val="22"/>
              </w:rPr>
              <w:t>476</w:t>
            </w:r>
          </w:p>
        </w:tc>
        <w:tc>
          <w:tcPr>
            <w:tcW w:w="1524" w:type="dxa"/>
            <w:tcBorders>
              <w:top w:val="single" w:sz="4" w:space="0" w:color="auto"/>
              <w:left w:val="single" w:sz="4" w:space="0" w:color="auto"/>
              <w:bottom w:val="double" w:sz="4" w:space="0" w:color="auto"/>
              <w:right w:val="double" w:sz="4" w:space="0" w:color="auto"/>
            </w:tcBorders>
            <w:shd w:val="clear" w:color="auto" w:fill="DBE5F1" w:themeFill="accent1" w:themeFillTint="33"/>
            <w:noWrap/>
            <w:vAlign w:val="bottom"/>
          </w:tcPr>
          <w:p w14:paraId="30D26FC2" w14:textId="77777777" w:rsidR="008B244E" w:rsidRPr="008B244E" w:rsidRDefault="008B244E" w:rsidP="008B244E">
            <w:pPr>
              <w:spacing w:before="60" w:after="60"/>
              <w:jc w:val="right"/>
              <w:rPr>
                <w:b/>
                <w:noProof/>
                <w:sz w:val="22"/>
              </w:rPr>
            </w:pPr>
            <w:r w:rsidRPr="00D0022B">
              <w:rPr>
                <w:b/>
                <w:noProof/>
                <w:sz w:val="22"/>
              </w:rPr>
              <w:t>1</w:t>
            </w:r>
            <w:r>
              <w:rPr>
                <w:b/>
                <w:noProof/>
                <w:sz w:val="22"/>
              </w:rPr>
              <w:t> </w:t>
            </w:r>
            <w:r w:rsidRPr="00D0022B">
              <w:rPr>
                <w:b/>
                <w:noProof/>
                <w:sz w:val="22"/>
              </w:rPr>
              <w:t>727</w:t>
            </w:r>
          </w:p>
        </w:tc>
        <w:tc>
          <w:tcPr>
            <w:tcW w:w="1736" w:type="dxa"/>
            <w:tcBorders>
              <w:top w:val="single" w:sz="4" w:space="0" w:color="auto"/>
              <w:left w:val="double" w:sz="4" w:space="0" w:color="auto"/>
              <w:bottom w:val="double" w:sz="4" w:space="0" w:color="auto"/>
            </w:tcBorders>
            <w:shd w:val="clear" w:color="auto" w:fill="DBE5F1" w:themeFill="accent1" w:themeFillTint="33"/>
            <w:noWrap/>
            <w:vAlign w:val="bottom"/>
          </w:tcPr>
          <w:p w14:paraId="14163BF2" w14:textId="77777777" w:rsidR="008B244E" w:rsidRPr="008B244E" w:rsidRDefault="008B244E" w:rsidP="008B244E">
            <w:pPr>
              <w:spacing w:before="60" w:after="60"/>
              <w:jc w:val="right"/>
              <w:rPr>
                <w:b/>
                <w:noProof/>
                <w:sz w:val="22"/>
              </w:rPr>
            </w:pPr>
            <w:r w:rsidRPr="00D0022B">
              <w:rPr>
                <w:b/>
                <w:noProof/>
                <w:sz w:val="22"/>
              </w:rPr>
              <w:t>100</w:t>
            </w:r>
            <w:r>
              <w:rPr>
                <w:b/>
                <w:noProof/>
                <w:sz w:val="22"/>
              </w:rPr>
              <w:t>,</w:t>
            </w:r>
            <w:r w:rsidRPr="00D0022B">
              <w:rPr>
                <w:b/>
                <w:noProof/>
                <w:sz w:val="22"/>
              </w:rPr>
              <w:t>00</w:t>
            </w:r>
            <w:r>
              <w:rPr>
                <w:b/>
                <w:noProof/>
                <w:sz w:val="22"/>
              </w:rPr>
              <w:t> %</w:t>
            </w:r>
          </w:p>
        </w:tc>
      </w:tr>
    </w:tbl>
    <w:p w14:paraId="78197363" w14:textId="77777777" w:rsidR="008B244E" w:rsidRPr="008B244E" w:rsidRDefault="008B244E" w:rsidP="008B244E">
      <w:pPr>
        <w:rPr>
          <w:noProof/>
          <w:sz w:val="22"/>
        </w:rPr>
      </w:pPr>
    </w:p>
    <w:p w14:paraId="036CA710" w14:textId="77777777" w:rsidR="008B244E" w:rsidRPr="008B244E" w:rsidRDefault="008B244E" w:rsidP="008B244E">
      <w:pPr>
        <w:rPr>
          <w:noProof/>
          <w:sz w:val="22"/>
        </w:rPr>
      </w:pPr>
      <w:r>
        <w:rPr>
          <w:noProof/>
          <w:sz w:val="22"/>
        </w:rPr>
        <w:t>(</w:t>
      </w:r>
      <w:r w:rsidRPr="00D0022B">
        <w:rPr>
          <w:noProof/>
          <w:sz w:val="22"/>
        </w:rPr>
        <w:t>1</w:t>
      </w:r>
      <w:r>
        <w:rPr>
          <w:noProof/>
          <w:sz w:val="22"/>
        </w:rPr>
        <w:t>) Keine statistischen Angaben verfügbar.</w:t>
      </w:r>
    </w:p>
    <w:p w14:paraId="7A51BB4B" w14:textId="77777777" w:rsidR="008B244E" w:rsidRPr="000A656F" w:rsidRDefault="008B244E" w:rsidP="00A357B5">
      <w:pPr>
        <w:jc w:val="both"/>
        <w:rPr>
          <w:noProof/>
        </w:rPr>
      </w:pPr>
    </w:p>
    <w:p w14:paraId="2C8B2C13" w14:textId="77777777" w:rsidR="00217D37" w:rsidRDefault="00217D37">
      <w:pPr>
        <w:rPr>
          <w:noProof/>
        </w:rPr>
      </w:pPr>
      <w:r>
        <w:rPr>
          <w:noProof/>
        </w:rPr>
        <w:br w:type="page"/>
      </w:r>
    </w:p>
    <w:p w14:paraId="7226AA3E" w14:textId="77777777" w:rsidR="008B244E" w:rsidRPr="00847869" w:rsidRDefault="00A357B5" w:rsidP="00665FC8">
      <w:pPr>
        <w:pStyle w:val="Heading2"/>
        <w:rPr>
          <w:noProof/>
        </w:rPr>
      </w:pPr>
      <w:bookmarkStart w:id="26" w:name="_Toc111153433"/>
      <w:r>
        <w:rPr>
          <w:noProof/>
        </w:rPr>
        <w:t>Tabelle </w:t>
      </w:r>
      <w:r w:rsidRPr="00D0022B">
        <w:rPr>
          <w:noProof/>
        </w:rPr>
        <w:t>4</w:t>
      </w:r>
      <w:r>
        <w:rPr>
          <w:noProof/>
        </w:rPr>
        <w:t>. Abgelehnte Anträge auf normale Genehmigungen</w:t>
      </w:r>
      <w:bookmarkEnd w:id="26"/>
    </w:p>
    <w:tbl>
      <w:tblPr>
        <w:tblW w:w="9062" w:type="dxa"/>
        <w:tblInd w:w="1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50"/>
        <w:gridCol w:w="1441"/>
        <w:gridCol w:w="1441"/>
        <w:gridCol w:w="1370"/>
        <w:gridCol w:w="1524"/>
        <w:gridCol w:w="1736"/>
      </w:tblGrid>
      <w:tr w:rsidR="008B244E" w:rsidRPr="008B244E" w14:paraId="05443500" w14:textId="77777777" w:rsidTr="008B244E">
        <w:trPr>
          <w:trHeight w:val="590"/>
        </w:trPr>
        <w:tc>
          <w:tcPr>
            <w:tcW w:w="1550" w:type="dxa"/>
            <w:vMerge w:val="restart"/>
            <w:tcBorders>
              <w:top w:val="double" w:sz="4" w:space="0" w:color="auto"/>
              <w:right w:val="single" w:sz="4" w:space="0" w:color="auto"/>
            </w:tcBorders>
            <w:shd w:val="clear" w:color="auto" w:fill="DBE5F1" w:themeFill="accent1" w:themeFillTint="33"/>
            <w:noWrap/>
            <w:vAlign w:val="center"/>
          </w:tcPr>
          <w:p w14:paraId="505E0874" w14:textId="77777777" w:rsidR="008B244E" w:rsidRPr="008B244E" w:rsidRDefault="008B244E" w:rsidP="008B244E">
            <w:pPr>
              <w:jc w:val="center"/>
              <w:rPr>
                <w:b/>
                <w:noProof/>
                <w:sz w:val="22"/>
              </w:rPr>
            </w:pPr>
            <w:r>
              <w:rPr>
                <w:b/>
                <w:noProof/>
                <w:sz w:val="22"/>
              </w:rPr>
              <w:t>Mitgliedstaat</w:t>
            </w:r>
          </w:p>
        </w:tc>
        <w:tc>
          <w:tcPr>
            <w:tcW w:w="4252" w:type="dxa"/>
            <w:gridSpan w:val="3"/>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427734C4" w14:textId="77777777" w:rsidR="008B244E" w:rsidRPr="008B244E" w:rsidRDefault="008B244E" w:rsidP="008B244E">
            <w:pPr>
              <w:jc w:val="center"/>
              <w:rPr>
                <w:b/>
                <w:noProof/>
                <w:sz w:val="22"/>
              </w:rPr>
            </w:pPr>
            <w:r>
              <w:rPr>
                <w:b/>
                <w:noProof/>
                <w:sz w:val="22"/>
              </w:rPr>
              <w:t>Jahr</w:t>
            </w:r>
          </w:p>
        </w:tc>
        <w:tc>
          <w:tcPr>
            <w:tcW w:w="1524" w:type="dxa"/>
            <w:vMerge w:val="restart"/>
            <w:tcBorders>
              <w:top w:val="double" w:sz="4" w:space="0" w:color="auto"/>
              <w:left w:val="single" w:sz="4" w:space="0" w:color="auto"/>
              <w:right w:val="double" w:sz="4" w:space="0" w:color="auto"/>
            </w:tcBorders>
            <w:shd w:val="clear" w:color="auto" w:fill="DBE5F1" w:themeFill="accent1" w:themeFillTint="33"/>
            <w:noWrap/>
            <w:vAlign w:val="center"/>
          </w:tcPr>
          <w:p w14:paraId="723008E2" w14:textId="77777777" w:rsidR="008B244E" w:rsidRPr="008B244E" w:rsidRDefault="008B244E" w:rsidP="008B244E">
            <w:pPr>
              <w:jc w:val="center"/>
              <w:rPr>
                <w:b/>
                <w:noProof/>
                <w:sz w:val="22"/>
              </w:rPr>
            </w:pPr>
            <w:r w:rsidRPr="00D0022B">
              <w:rPr>
                <w:b/>
                <w:noProof/>
                <w:sz w:val="22"/>
              </w:rPr>
              <w:t>2018</w:t>
            </w:r>
            <w:r>
              <w:rPr>
                <w:b/>
                <w:noProof/>
                <w:sz w:val="22"/>
              </w:rPr>
              <w:t>–</w:t>
            </w:r>
            <w:r w:rsidRPr="00D0022B">
              <w:rPr>
                <w:b/>
                <w:noProof/>
                <w:sz w:val="22"/>
              </w:rPr>
              <w:t>2020</w:t>
            </w:r>
          </w:p>
        </w:tc>
        <w:tc>
          <w:tcPr>
            <w:tcW w:w="1736" w:type="dxa"/>
            <w:vMerge w:val="restart"/>
            <w:tcBorders>
              <w:top w:val="double" w:sz="4" w:space="0" w:color="auto"/>
              <w:left w:val="double" w:sz="4" w:space="0" w:color="auto"/>
            </w:tcBorders>
            <w:shd w:val="clear" w:color="auto" w:fill="DBE5F1" w:themeFill="accent1" w:themeFillTint="33"/>
            <w:vAlign w:val="center"/>
          </w:tcPr>
          <w:p w14:paraId="37D1C375" w14:textId="2B8176D5" w:rsidR="008B244E" w:rsidRPr="008B244E" w:rsidRDefault="008B244E" w:rsidP="00525ACC">
            <w:pPr>
              <w:jc w:val="center"/>
              <w:rPr>
                <w:b/>
                <w:noProof/>
                <w:sz w:val="22"/>
              </w:rPr>
            </w:pPr>
            <w:r>
              <w:rPr>
                <w:b/>
                <w:noProof/>
                <w:sz w:val="22"/>
              </w:rPr>
              <w:t>Anteil an der Gesamtzahl in</w:t>
            </w:r>
            <w:r>
              <w:rPr>
                <w:noProof/>
              </w:rPr>
              <w:br/>
            </w:r>
            <w:r>
              <w:rPr>
                <w:b/>
                <w:noProof/>
                <w:sz w:val="22"/>
              </w:rPr>
              <w:t>%</w:t>
            </w:r>
          </w:p>
        </w:tc>
      </w:tr>
      <w:tr w:rsidR="008B244E" w:rsidRPr="008B244E" w14:paraId="18ADDC16" w14:textId="77777777" w:rsidTr="008B244E">
        <w:trPr>
          <w:trHeight w:val="590"/>
        </w:trPr>
        <w:tc>
          <w:tcPr>
            <w:tcW w:w="1550" w:type="dxa"/>
            <w:vMerge/>
            <w:tcBorders>
              <w:bottom w:val="single" w:sz="4" w:space="0" w:color="auto"/>
              <w:right w:val="single" w:sz="4" w:space="0" w:color="auto"/>
            </w:tcBorders>
            <w:shd w:val="clear" w:color="auto" w:fill="DBE5F1" w:themeFill="accent1" w:themeFillTint="33"/>
            <w:noWrap/>
            <w:vAlign w:val="center"/>
            <w:hideMark/>
          </w:tcPr>
          <w:p w14:paraId="24B1FE25" w14:textId="77777777" w:rsidR="008B244E" w:rsidRPr="008B244E" w:rsidRDefault="008B244E" w:rsidP="008B244E">
            <w:pPr>
              <w:jc w:val="center"/>
              <w:rPr>
                <w:noProof/>
                <w:sz w:val="22"/>
              </w:rPr>
            </w:pP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6F8D4F" w14:textId="77777777" w:rsidR="008B244E" w:rsidRPr="008B244E" w:rsidRDefault="008B244E" w:rsidP="008B244E">
            <w:pPr>
              <w:jc w:val="center"/>
              <w:rPr>
                <w:b/>
                <w:noProof/>
                <w:sz w:val="22"/>
              </w:rPr>
            </w:pPr>
            <w:r w:rsidRPr="00D0022B">
              <w:rPr>
                <w:b/>
                <w:noProof/>
                <w:sz w:val="22"/>
              </w:rPr>
              <w:t>2018</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18CEE8F" w14:textId="77777777" w:rsidR="008B244E" w:rsidRPr="008B244E" w:rsidRDefault="008B244E" w:rsidP="008B244E">
            <w:pPr>
              <w:jc w:val="center"/>
              <w:rPr>
                <w:b/>
                <w:noProof/>
                <w:sz w:val="22"/>
              </w:rPr>
            </w:pPr>
            <w:r w:rsidRPr="00D0022B">
              <w:rPr>
                <w:b/>
                <w:noProof/>
                <w:sz w:val="22"/>
              </w:rPr>
              <w:t>2019</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A8BC23" w14:textId="77777777" w:rsidR="008B244E" w:rsidRPr="008B244E" w:rsidRDefault="008B244E" w:rsidP="008B244E">
            <w:pPr>
              <w:jc w:val="center"/>
              <w:rPr>
                <w:b/>
                <w:noProof/>
                <w:sz w:val="22"/>
              </w:rPr>
            </w:pPr>
            <w:r w:rsidRPr="00D0022B">
              <w:rPr>
                <w:b/>
                <w:noProof/>
                <w:sz w:val="22"/>
              </w:rPr>
              <w:t>2020</w:t>
            </w:r>
          </w:p>
        </w:tc>
        <w:tc>
          <w:tcPr>
            <w:tcW w:w="1524" w:type="dxa"/>
            <w:vMerge/>
            <w:tcBorders>
              <w:left w:val="single" w:sz="4" w:space="0" w:color="auto"/>
              <w:bottom w:val="single" w:sz="4" w:space="0" w:color="auto"/>
              <w:right w:val="double" w:sz="4" w:space="0" w:color="auto"/>
            </w:tcBorders>
            <w:shd w:val="clear" w:color="auto" w:fill="auto"/>
            <w:noWrap/>
            <w:vAlign w:val="center"/>
            <w:hideMark/>
          </w:tcPr>
          <w:p w14:paraId="424682E6" w14:textId="77777777" w:rsidR="008B244E" w:rsidRPr="008B244E" w:rsidRDefault="008B244E" w:rsidP="008B244E">
            <w:pPr>
              <w:jc w:val="center"/>
              <w:rPr>
                <w:b/>
                <w:noProof/>
                <w:sz w:val="22"/>
              </w:rPr>
            </w:pPr>
          </w:p>
        </w:tc>
        <w:tc>
          <w:tcPr>
            <w:tcW w:w="1736" w:type="dxa"/>
            <w:vMerge/>
            <w:tcBorders>
              <w:left w:val="double" w:sz="4" w:space="0" w:color="auto"/>
              <w:bottom w:val="single" w:sz="4" w:space="0" w:color="auto"/>
            </w:tcBorders>
            <w:shd w:val="clear" w:color="auto" w:fill="auto"/>
            <w:vAlign w:val="center"/>
            <w:hideMark/>
          </w:tcPr>
          <w:p w14:paraId="261898E2" w14:textId="77777777" w:rsidR="008B244E" w:rsidRPr="008B244E" w:rsidRDefault="008B244E" w:rsidP="008B244E">
            <w:pPr>
              <w:jc w:val="center"/>
              <w:rPr>
                <w:noProof/>
                <w:sz w:val="22"/>
              </w:rPr>
            </w:pPr>
          </w:p>
        </w:tc>
      </w:tr>
      <w:tr w:rsidR="008B244E" w:rsidRPr="008B244E" w14:paraId="6B891A6C"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0E1047E" w14:textId="77777777" w:rsidR="008B244E" w:rsidRPr="008B244E" w:rsidRDefault="008B244E" w:rsidP="008B244E">
            <w:pPr>
              <w:spacing w:before="60" w:after="60"/>
              <w:jc w:val="center"/>
              <w:rPr>
                <w:b/>
                <w:noProof/>
                <w:sz w:val="22"/>
              </w:rPr>
            </w:pPr>
            <w:r>
              <w:rPr>
                <w:b/>
                <w:noProof/>
                <w:sz w:val="22"/>
              </w:rPr>
              <w:t>BE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64112"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B2D93" w14:textId="77777777" w:rsidR="008B244E" w:rsidRPr="008B244E" w:rsidRDefault="008B244E" w:rsidP="008B244E">
            <w:pPr>
              <w:jc w:val="right"/>
              <w:rPr>
                <w:noProof/>
                <w:sz w:val="22"/>
              </w:rPr>
            </w:pPr>
            <w:r w:rsidRPr="00D0022B">
              <w:rPr>
                <w:noProof/>
                <w:sz w:val="22"/>
              </w:rPr>
              <w:t>2</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038AA"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78AD0E9" w14:textId="77777777" w:rsidR="008B244E" w:rsidRPr="008B244E" w:rsidRDefault="008B244E" w:rsidP="008B244E">
            <w:pPr>
              <w:jc w:val="right"/>
              <w:rPr>
                <w:noProof/>
                <w:sz w:val="22"/>
              </w:rPr>
            </w:pPr>
            <w:r w:rsidRPr="00D0022B">
              <w:rPr>
                <w:noProof/>
                <w:sz w:val="22"/>
              </w:rPr>
              <w:t>2</w:t>
            </w:r>
          </w:p>
        </w:tc>
        <w:tc>
          <w:tcPr>
            <w:tcW w:w="1736" w:type="dxa"/>
            <w:tcBorders>
              <w:top w:val="single" w:sz="4" w:space="0" w:color="auto"/>
              <w:left w:val="double" w:sz="4" w:space="0" w:color="auto"/>
              <w:bottom w:val="single" w:sz="4" w:space="0" w:color="auto"/>
            </w:tcBorders>
            <w:shd w:val="clear" w:color="auto" w:fill="auto"/>
            <w:noWrap/>
            <w:vAlign w:val="bottom"/>
          </w:tcPr>
          <w:p w14:paraId="337D5DED"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46</w:t>
            </w:r>
            <w:r>
              <w:rPr>
                <w:noProof/>
                <w:sz w:val="22"/>
              </w:rPr>
              <w:t> %</w:t>
            </w:r>
          </w:p>
        </w:tc>
      </w:tr>
      <w:tr w:rsidR="008B244E" w:rsidRPr="008B244E" w14:paraId="3860E3D8"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5C78C76" w14:textId="77777777" w:rsidR="008B244E" w:rsidRPr="008B244E" w:rsidRDefault="008B244E" w:rsidP="008B244E">
            <w:pPr>
              <w:spacing w:before="60" w:after="60"/>
              <w:jc w:val="center"/>
              <w:rPr>
                <w:b/>
                <w:noProof/>
                <w:sz w:val="22"/>
              </w:rPr>
            </w:pPr>
            <w:r>
              <w:rPr>
                <w:b/>
                <w:noProof/>
                <w:sz w:val="22"/>
              </w:rPr>
              <w:t>BG</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43BA5"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10C4C"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193E8"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3A3EC05"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52A25342"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7233A98C"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8119947" w14:textId="77777777" w:rsidR="008B244E" w:rsidRPr="008B244E" w:rsidRDefault="008B244E" w:rsidP="008B244E">
            <w:pPr>
              <w:spacing w:before="60" w:after="60"/>
              <w:jc w:val="center"/>
              <w:rPr>
                <w:b/>
                <w:noProof/>
                <w:sz w:val="22"/>
              </w:rPr>
            </w:pPr>
            <w:r>
              <w:rPr>
                <w:b/>
                <w:noProof/>
                <w:sz w:val="22"/>
              </w:rPr>
              <w:t>CZ</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2164" w14:textId="77777777" w:rsidR="008B244E" w:rsidRPr="008B244E" w:rsidRDefault="008B244E" w:rsidP="008B244E">
            <w:pPr>
              <w:jc w:val="right"/>
              <w:rPr>
                <w:noProof/>
                <w:sz w:val="22"/>
              </w:rPr>
            </w:pPr>
            <w:r w:rsidRPr="00D0022B">
              <w:rPr>
                <w:noProof/>
                <w:sz w:val="22"/>
              </w:rPr>
              <w:t>2</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7E90B" w14:textId="77777777" w:rsidR="008B244E" w:rsidRPr="008B244E" w:rsidRDefault="008B244E" w:rsidP="008B244E">
            <w:pPr>
              <w:jc w:val="right"/>
              <w:rPr>
                <w:noProof/>
                <w:sz w:val="22"/>
              </w:rPr>
            </w:pPr>
            <w:r w:rsidRPr="00D0022B">
              <w:rPr>
                <w:noProof/>
                <w:sz w:val="22"/>
              </w:rPr>
              <w:t>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44487"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0F5E0B6" w14:textId="77777777" w:rsidR="008B244E" w:rsidRPr="008B244E" w:rsidRDefault="008B244E" w:rsidP="008B244E">
            <w:pPr>
              <w:jc w:val="right"/>
              <w:rPr>
                <w:noProof/>
                <w:sz w:val="22"/>
              </w:rPr>
            </w:pPr>
            <w:r w:rsidRPr="00D0022B">
              <w:rPr>
                <w:noProof/>
                <w:sz w:val="22"/>
              </w:rPr>
              <w:t>3</w:t>
            </w:r>
          </w:p>
        </w:tc>
        <w:tc>
          <w:tcPr>
            <w:tcW w:w="1736" w:type="dxa"/>
            <w:tcBorders>
              <w:top w:val="single" w:sz="4" w:space="0" w:color="auto"/>
              <w:left w:val="double" w:sz="4" w:space="0" w:color="auto"/>
              <w:bottom w:val="single" w:sz="4" w:space="0" w:color="auto"/>
            </w:tcBorders>
            <w:shd w:val="clear" w:color="auto" w:fill="auto"/>
            <w:noWrap/>
            <w:vAlign w:val="bottom"/>
          </w:tcPr>
          <w:p w14:paraId="13BA6EA7"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69</w:t>
            </w:r>
            <w:r>
              <w:rPr>
                <w:noProof/>
                <w:sz w:val="22"/>
              </w:rPr>
              <w:t> %</w:t>
            </w:r>
          </w:p>
        </w:tc>
      </w:tr>
      <w:tr w:rsidR="008B244E" w:rsidRPr="008B244E" w14:paraId="6E722005"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2FC587E" w14:textId="77777777" w:rsidR="008B244E" w:rsidRPr="008B244E" w:rsidRDefault="008B244E" w:rsidP="008B244E">
            <w:pPr>
              <w:spacing w:before="60" w:after="60"/>
              <w:jc w:val="center"/>
              <w:rPr>
                <w:b/>
                <w:noProof/>
                <w:sz w:val="22"/>
              </w:rPr>
            </w:pPr>
            <w:r>
              <w:rPr>
                <w:b/>
                <w:noProof/>
                <w:sz w:val="22"/>
              </w:rPr>
              <w:t>DK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C4B2"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5C239"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8CB37"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E28D3E6"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0F55ED02"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40C05A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2B4345CC" w14:textId="77777777" w:rsidR="008B244E" w:rsidRPr="008B244E" w:rsidRDefault="008B244E" w:rsidP="008B244E">
            <w:pPr>
              <w:spacing w:before="60" w:after="60"/>
              <w:jc w:val="center"/>
              <w:rPr>
                <w:b/>
                <w:noProof/>
                <w:sz w:val="22"/>
              </w:rPr>
            </w:pPr>
            <w:r>
              <w:rPr>
                <w:b/>
                <w:noProof/>
                <w:sz w:val="22"/>
              </w:rPr>
              <w:t>DE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95ED4"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7BBF1"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1C69F"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C7D92D5"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7876E3BF"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1BA4B854"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C41CDD4" w14:textId="77777777" w:rsidR="008B244E" w:rsidRPr="008B244E" w:rsidRDefault="008B244E" w:rsidP="008B244E">
            <w:pPr>
              <w:spacing w:before="60" w:after="60"/>
              <w:jc w:val="center"/>
              <w:rPr>
                <w:b/>
                <w:noProof/>
                <w:sz w:val="22"/>
              </w:rPr>
            </w:pPr>
            <w:r>
              <w:rPr>
                <w:b/>
                <w:noProof/>
                <w:sz w:val="22"/>
              </w:rPr>
              <w:t>EE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22903"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C409E"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7AFC9"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B1F8950"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3E38CFE"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37D31702"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9403001" w14:textId="77777777" w:rsidR="008B244E" w:rsidRPr="008B244E" w:rsidRDefault="008B244E" w:rsidP="008B244E">
            <w:pPr>
              <w:spacing w:before="60" w:after="60"/>
              <w:jc w:val="center"/>
              <w:rPr>
                <w:b/>
                <w:noProof/>
                <w:sz w:val="22"/>
              </w:rPr>
            </w:pPr>
            <w:r>
              <w:rPr>
                <w:b/>
                <w:noProof/>
                <w:sz w:val="22"/>
              </w:rPr>
              <w:t>IE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E66C3"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91CDB"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4EB7A"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19A9311"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5208D4A8"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3506673F"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82689BC" w14:textId="77777777" w:rsidR="008B244E" w:rsidRPr="008B244E" w:rsidRDefault="008B244E" w:rsidP="008B244E">
            <w:pPr>
              <w:spacing w:before="60" w:after="60"/>
              <w:jc w:val="center"/>
              <w:rPr>
                <w:b/>
                <w:noProof/>
                <w:sz w:val="22"/>
              </w:rPr>
            </w:pPr>
            <w:r>
              <w:rPr>
                <w:b/>
                <w:noProof/>
                <w:sz w:val="22"/>
              </w:rPr>
              <w:t>EL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EBB40"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26ACE"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8318A"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B01204C"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5540E10C"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C7A27D8"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1B3A637" w14:textId="77777777" w:rsidR="008B244E" w:rsidRPr="008B244E" w:rsidRDefault="008B244E" w:rsidP="008B244E">
            <w:pPr>
              <w:spacing w:before="60" w:after="60"/>
              <w:jc w:val="center"/>
              <w:rPr>
                <w:b/>
                <w:noProof/>
                <w:sz w:val="22"/>
              </w:rPr>
            </w:pPr>
            <w:r>
              <w:rPr>
                <w:b/>
                <w:noProof/>
                <w:sz w:val="22"/>
              </w:rPr>
              <w:t>ES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C6D02" w14:textId="77777777" w:rsidR="008B244E" w:rsidRPr="008B244E" w:rsidRDefault="008B244E" w:rsidP="008B244E">
            <w:pPr>
              <w:jc w:val="right"/>
              <w:rPr>
                <w:noProof/>
                <w:sz w:val="22"/>
              </w:rPr>
            </w:pPr>
            <w:r w:rsidRPr="00D0022B">
              <w:rPr>
                <w:noProof/>
                <w:sz w:val="22"/>
              </w:rPr>
              <w:t>82</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EEE8C" w14:textId="77777777" w:rsidR="008B244E" w:rsidRPr="008B244E" w:rsidRDefault="008B244E" w:rsidP="008B244E">
            <w:pPr>
              <w:jc w:val="right"/>
              <w:rPr>
                <w:noProof/>
                <w:sz w:val="22"/>
              </w:rPr>
            </w:pPr>
            <w:r w:rsidRPr="00D0022B">
              <w:rPr>
                <w:noProof/>
                <w:sz w:val="22"/>
              </w:rPr>
              <w:t>72</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23E69" w14:textId="77777777" w:rsidR="008B244E" w:rsidRPr="008B244E" w:rsidRDefault="008B244E" w:rsidP="008B244E">
            <w:pPr>
              <w:jc w:val="right"/>
              <w:rPr>
                <w:noProof/>
                <w:sz w:val="22"/>
              </w:rPr>
            </w:pPr>
            <w:r w:rsidRPr="00D0022B">
              <w:rPr>
                <w:noProof/>
                <w:sz w:val="22"/>
              </w:rPr>
              <w:t>116</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A611BE9" w14:textId="77777777" w:rsidR="008B244E" w:rsidRPr="008B244E" w:rsidRDefault="008B244E" w:rsidP="008B244E">
            <w:pPr>
              <w:jc w:val="right"/>
              <w:rPr>
                <w:noProof/>
                <w:sz w:val="22"/>
              </w:rPr>
            </w:pPr>
            <w:r w:rsidRPr="00D0022B">
              <w:rPr>
                <w:noProof/>
                <w:sz w:val="22"/>
              </w:rPr>
              <w:t>270</w:t>
            </w:r>
          </w:p>
        </w:tc>
        <w:tc>
          <w:tcPr>
            <w:tcW w:w="1736" w:type="dxa"/>
            <w:tcBorders>
              <w:top w:val="single" w:sz="4" w:space="0" w:color="auto"/>
              <w:left w:val="double" w:sz="4" w:space="0" w:color="auto"/>
              <w:bottom w:val="single" w:sz="4" w:space="0" w:color="auto"/>
            </w:tcBorders>
            <w:shd w:val="clear" w:color="auto" w:fill="auto"/>
            <w:noWrap/>
            <w:vAlign w:val="bottom"/>
          </w:tcPr>
          <w:p w14:paraId="0A78845A" w14:textId="77777777" w:rsidR="008B244E" w:rsidRPr="008B244E" w:rsidRDefault="008B244E" w:rsidP="008B244E">
            <w:pPr>
              <w:jc w:val="right"/>
              <w:rPr>
                <w:noProof/>
                <w:sz w:val="22"/>
              </w:rPr>
            </w:pPr>
            <w:r w:rsidRPr="00D0022B">
              <w:rPr>
                <w:noProof/>
                <w:sz w:val="22"/>
              </w:rPr>
              <w:t>61</w:t>
            </w:r>
            <w:r>
              <w:rPr>
                <w:noProof/>
                <w:sz w:val="22"/>
              </w:rPr>
              <w:t>,</w:t>
            </w:r>
            <w:r w:rsidRPr="00D0022B">
              <w:rPr>
                <w:noProof/>
                <w:sz w:val="22"/>
              </w:rPr>
              <w:t>93</w:t>
            </w:r>
            <w:r>
              <w:rPr>
                <w:noProof/>
                <w:sz w:val="22"/>
              </w:rPr>
              <w:t> %</w:t>
            </w:r>
          </w:p>
        </w:tc>
      </w:tr>
      <w:tr w:rsidR="008B244E" w:rsidRPr="008B244E" w14:paraId="0F8FCEC2"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5575753" w14:textId="77777777" w:rsidR="008B244E" w:rsidRPr="008B244E" w:rsidRDefault="008B244E" w:rsidP="008B244E">
            <w:pPr>
              <w:spacing w:before="60" w:after="60"/>
              <w:jc w:val="center"/>
              <w:rPr>
                <w:b/>
                <w:noProof/>
                <w:sz w:val="22"/>
              </w:rPr>
            </w:pPr>
            <w:r>
              <w:rPr>
                <w:b/>
                <w:noProof/>
                <w:sz w:val="22"/>
              </w:rPr>
              <w:t>FR</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2BDB411" w14:textId="77777777" w:rsidR="008B244E" w:rsidRPr="008B244E" w:rsidRDefault="008B244E" w:rsidP="008B244E">
            <w:pPr>
              <w:jc w:val="right"/>
              <w:rPr>
                <w:b/>
                <w:noProof/>
                <w:sz w:val="22"/>
              </w:rPr>
            </w:pPr>
            <w:r w:rsidRPr="00D0022B">
              <w:rPr>
                <w:b/>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2B1AA65"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34E2C3B4"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A7AA728"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4E6B9068"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6C01D2CE"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AFBAE50" w14:textId="77777777" w:rsidR="008B244E" w:rsidRPr="008B244E" w:rsidRDefault="008B244E" w:rsidP="008B244E">
            <w:pPr>
              <w:spacing w:before="60" w:after="60"/>
              <w:jc w:val="center"/>
              <w:rPr>
                <w:b/>
                <w:noProof/>
                <w:sz w:val="22"/>
              </w:rPr>
            </w:pPr>
            <w:r>
              <w:rPr>
                <w:b/>
                <w:noProof/>
                <w:sz w:val="22"/>
              </w:rPr>
              <w:t>HR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AF1A1"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47AA9"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2A90C"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13EBEA62"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5C8B6DD8"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233C22A"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D0112C9" w14:textId="77777777" w:rsidR="008B244E" w:rsidRPr="008B244E" w:rsidRDefault="008B244E" w:rsidP="008B244E">
            <w:pPr>
              <w:spacing w:before="60" w:after="60"/>
              <w:jc w:val="center"/>
              <w:rPr>
                <w:b/>
                <w:noProof/>
                <w:sz w:val="22"/>
              </w:rPr>
            </w:pPr>
            <w:r>
              <w:rPr>
                <w:b/>
                <w:noProof/>
                <w:sz w:val="22"/>
              </w:rPr>
              <w:t>IT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A7CDD"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50DF0"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4A05B"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320899AD"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0EFC5ACA"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D6D0F39"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16AC8360" w14:textId="77777777" w:rsidR="008B244E" w:rsidRPr="008B244E" w:rsidRDefault="008B244E" w:rsidP="008B244E">
            <w:pPr>
              <w:spacing w:before="60" w:after="60"/>
              <w:jc w:val="center"/>
              <w:rPr>
                <w:b/>
                <w:noProof/>
                <w:sz w:val="22"/>
              </w:rPr>
            </w:pPr>
            <w:r>
              <w:rPr>
                <w:b/>
                <w:noProof/>
                <w:sz w:val="22"/>
              </w:rPr>
              <w:t>CY</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8C39B"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4F7F5"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6C83"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08E4B6C2"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4943E9CC"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F7993B8"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BEDEEEC" w14:textId="77777777" w:rsidR="008B244E" w:rsidRPr="008B244E" w:rsidRDefault="008B244E" w:rsidP="008B244E">
            <w:pPr>
              <w:spacing w:before="60" w:after="60"/>
              <w:jc w:val="center"/>
              <w:rPr>
                <w:b/>
                <w:noProof/>
                <w:sz w:val="22"/>
              </w:rPr>
            </w:pPr>
            <w:r>
              <w:rPr>
                <w:b/>
                <w:noProof/>
                <w:sz w:val="22"/>
              </w:rPr>
              <w:t>LV</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3BF2F"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A33D6"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35056"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374DEAE7"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43397CE7"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90E3351"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4624BF9A" w14:textId="77777777" w:rsidR="008B244E" w:rsidRPr="008B244E" w:rsidRDefault="008B244E" w:rsidP="008B244E">
            <w:pPr>
              <w:spacing w:before="60" w:after="60"/>
              <w:jc w:val="center"/>
              <w:rPr>
                <w:b/>
                <w:noProof/>
                <w:sz w:val="22"/>
              </w:rPr>
            </w:pPr>
            <w:r>
              <w:rPr>
                <w:b/>
                <w:noProof/>
                <w:sz w:val="22"/>
              </w:rPr>
              <w:t xml:space="preserve">LT </w:t>
            </w:r>
            <w:r>
              <w:rPr>
                <w:noProof/>
                <w:sz w:val="22"/>
              </w:rPr>
              <w:t>(</w:t>
            </w:r>
            <w:r w:rsidRPr="00D0022B">
              <w:rPr>
                <w:noProof/>
                <w:sz w:val="22"/>
              </w:rPr>
              <w:t>1</w:t>
            </w:r>
            <w:r>
              <w:rPr>
                <w:noProof/>
                <w:sz w:val="22"/>
              </w:rPr>
              <w:t>)</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AD754E9" w14:textId="77777777" w:rsidR="008B244E" w:rsidRPr="008B244E" w:rsidRDefault="008B244E" w:rsidP="008B244E">
            <w:pPr>
              <w:jc w:val="right"/>
              <w:rPr>
                <w:noProof/>
                <w:sz w:val="22"/>
              </w:rPr>
            </w:pPr>
            <w:r>
              <w:rPr>
                <w:noProof/>
                <w:sz w:val="22"/>
              </w:rPr>
              <w:t xml:space="preserve"> </w:t>
            </w:r>
          </w:p>
        </w:tc>
        <w:tc>
          <w:tcPr>
            <w:tcW w:w="1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1E11995" w14:textId="77777777" w:rsidR="008B244E" w:rsidRPr="008B244E" w:rsidRDefault="008B244E" w:rsidP="008B244E">
            <w:pPr>
              <w:jc w:val="right"/>
              <w:rPr>
                <w:noProof/>
                <w:sz w:val="22"/>
              </w:rPr>
            </w:pPr>
            <w:r>
              <w:rPr>
                <w:noProof/>
                <w:sz w:val="22"/>
              </w:rPr>
              <w:t xml:space="preserve"> </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9F1FAE" w14:textId="77777777" w:rsidR="008B244E" w:rsidRPr="008B244E" w:rsidRDefault="008B244E" w:rsidP="008B244E">
            <w:pPr>
              <w:jc w:val="right"/>
              <w:rPr>
                <w:noProof/>
                <w:sz w:val="22"/>
              </w:rPr>
            </w:pPr>
            <w:r>
              <w:rPr>
                <w:noProof/>
                <w:sz w:val="22"/>
              </w:rPr>
              <w:t xml:space="preserve"> </w:t>
            </w:r>
          </w:p>
        </w:tc>
        <w:tc>
          <w:tcPr>
            <w:tcW w:w="1524" w:type="dxa"/>
            <w:tcBorders>
              <w:top w:val="single" w:sz="4" w:space="0" w:color="auto"/>
              <w:left w:val="single" w:sz="4" w:space="0" w:color="auto"/>
              <w:bottom w:val="single" w:sz="4" w:space="0" w:color="auto"/>
              <w:right w:val="double" w:sz="4" w:space="0" w:color="auto"/>
            </w:tcBorders>
            <w:shd w:val="clear" w:color="auto" w:fill="DBE5F1" w:themeFill="accent1" w:themeFillTint="33"/>
            <w:noWrap/>
            <w:vAlign w:val="bottom"/>
          </w:tcPr>
          <w:p w14:paraId="7A8F12AD"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DBE5F1" w:themeFill="accent1" w:themeFillTint="33"/>
            <w:noWrap/>
            <w:vAlign w:val="bottom"/>
          </w:tcPr>
          <w:p w14:paraId="5DCC7E17"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1C61988B"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0D360AE" w14:textId="77777777" w:rsidR="008B244E" w:rsidRPr="008B244E" w:rsidRDefault="008B244E" w:rsidP="008B244E">
            <w:pPr>
              <w:spacing w:before="60" w:after="60"/>
              <w:jc w:val="center"/>
              <w:rPr>
                <w:b/>
                <w:noProof/>
                <w:sz w:val="22"/>
              </w:rPr>
            </w:pPr>
            <w:r>
              <w:rPr>
                <w:b/>
                <w:noProof/>
                <w:sz w:val="22"/>
              </w:rPr>
              <w:t>LU</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093CE"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32034"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72C14"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702D628"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32DE7CAC"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5E769983"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725DFF7" w14:textId="77777777" w:rsidR="008B244E" w:rsidRPr="008B244E" w:rsidRDefault="008B244E" w:rsidP="008B244E">
            <w:pPr>
              <w:spacing w:before="60" w:after="60"/>
              <w:jc w:val="center"/>
              <w:rPr>
                <w:b/>
                <w:noProof/>
                <w:sz w:val="22"/>
              </w:rPr>
            </w:pPr>
            <w:r>
              <w:rPr>
                <w:b/>
                <w:noProof/>
                <w:sz w:val="22"/>
              </w:rPr>
              <w:t>HU</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DEDE8" w14:textId="77777777" w:rsidR="008B244E" w:rsidRPr="008B244E" w:rsidRDefault="008B244E" w:rsidP="008B244E">
            <w:pPr>
              <w:jc w:val="right"/>
              <w:rPr>
                <w:noProof/>
                <w:sz w:val="22"/>
              </w:rPr>
            </w:pPr>
            <w:r w:rsidRPr="00D0022B">
              <w:rPr>
                <w:noProof/>
                <w:sz w:val="22"/>
              </w:rPr>
              <w:t>50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CBBB1" w14:textId="77777777" w:rsidR="008B244E" w:rsidRPr="008B244E" w:rsidRDefault="008B244E" w:rsidP="008B244E">
            <w:pPr>
              <w:jc w:val="right"/>
              <w:rPr>
                <w:noProof/>
                <w:sz w:val="22"/>
              </w:rPr>
            </w:pPr>
            <w:r w:rsidRPr="00D0022B">
              <w:rPr>
                <w:noProof/>
                <w:sz w:val="22"/>
              </w:rPr>
              <w:t>41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94A0C" w14:textId="77777777" w:rsidR="008B244E" w:rsidRPr="008B244E" w:rsidRDefault="008B244E" w:rsidP="008B244E">
            <w:pPr>
              <w:jc w:val="right"/>
              <w:rPr>
                <w:noProof/>
                <w:sz w:val="22"/>
              </w:rPr>
            </w:pPr>
            <w:r w:rsidRPr="00D0022B">
              <w:rPr>
                <w:noProof/>
                <w:sz w:val="22"/>
              </w:rPr>
              <w:t>42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684A728B" w14:textId="77777777" w:rsidR="008B244E" w:rsidRPr="008B244E" w:rsidRDefault="008B244E" w:rsidP="008B244E">
            <w:pPr>
              <w:jc w:val="right"/>
              <w:rPr>
                <w:noProof/>
                <w:sz w:val="22"/>
              </w:rPr>
            </w:pPr>
            <w:r w:rsidRPr="00D0022B">
              <w:rPr>
                <w:noProof/>
                <w:sz w:val="22"/>
              </w:rPr>
              <w:t>133</w:t>
            </w:r>
          </w:p>
        </w:tc>
        <w:tc>
          <w:tcPr>
            <w:tcW w:w="1736" w:type="dxa"/>
            <w:tcBorders>
              <w:top w:val="single" w:sz="4" w:space="0" w:color="auto"/>
              <w:left w:val="double" w:sz="4" w:space="0" w:color="auto"/>
              <w:bottom w:val="single" w:sz="4" w:space="0" w:color="auto"/>
            </w:tcBorders>
            <w:shd w:val="clear" w:color="auto" w:fill="auto"/>
            <w:noWrap/>
            <w:vAlign w:val="bottom"/>
          </w:tcPr>
          <w:p w14:paraId="0B192394" w14:textId="77777777" w:rsidR="008B244E" w:rsidRPr="008B244E" w:rsidRDefault="008B244E" w:rsidP="008B244E">
            <w:pPr>
              <w:jc w:val="right"/>
              <w:rPr>
                <w:noProof/>
                <w:sz w:val="22"/>
              </w:rPr>
            </w:pPr>
            <w:r w:rsidRPr="00D0022B">
              <w:rPr>
                <w:noProof/>
                <w:sz w:val="22"/>
              </w:rPr>
              <w:t>30</w:t>
            </w:r>
            <w:r>
              <w:rPr>
                <w:noProof/>
                <w:sz w:val="22"/>
              </w:rPr>
              <w:t>,</w:t>
            </w:r>
            <w:r w:rsidRPr="00D0022B">
              <w:rPr>
                <w:noProof/>
                <w:sz w:val="22"/>
              </w:rPr>
              <w:t>50</w:t>
            </w:r>
            <w:r>
              <w:rPr>
                <w:noProof/>
                <w:sz w:val="22"/>
              </w:rPr>
              <w:t> %</w:t>
            </w:r>
          </w:p>
        </w:tc>
      </w:tr>
      <w:tr w:rsidR="008B244E" w:rsidRPr="008B244E" w14:paraId="3BB04856"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6EC3200" w14:textId="77777777" w:rsidR="008B244E" w:rsidRPr="008B244E" w:rsidRDefault="008B244E" w:rsidP="008B244E">
            <w:pPr>
              <w:spacing w:before="60" w:after="60"/>
              <w:jc w:val="center"/>
              <w:rPr>
                <w:b/>
                <w:noProof/>
                <w:sz w:val="22"/>
              </w:rPr>
            </w:pPr>
            <w:r>
              <w:rPr>
                <w:b/>
                <w:noProof/>
                <w:sz w:val="22"/>
              </w:rPr>
              <w:t>MT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6E3B2" w14:textId="77777777" w:rsidR="008B244E" w:rsidRPr="008B244E" w:rsidRDefault="008B244E" w:rsidP="008B244E">
            <w:pPr>
              <w:jc w:val="right"/>
              <w:rPr>
                <w:noProof/>
                <w:sz w:val="22"/>
              </w:rPr>
            </w:pPr>
            <w:r w:rsidRPr="00D0022B">
              <w:rPr>
                <w:noProof/>
                <w:sz w:val="22"/>
              </w:rPr>
              <w:t>2</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9F841"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5D896" w14:textId="77777777" w:rsidR="008B244E" w:rsidRPr="008B244E" w:rsidRDefault="008B244E" w:rsidP="008B244E">
            <w:pPr>
              <w:jc w:val="right"/>
              <w:rPr>
                <w:noProof/>
                <w:sz w:val="22"/>
              </w:rPr>
            </w:pPr>
            <w:r w:rsidRPr="00D0022B">
              <w:rPr>
                <w:noProof/>
                <w:sz w:val="22"/>
              </w:rPr>
              <w:t>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6FE2DFCF" w14:textId="77777777" w:rsidR="008B244E" w:rsidRPr="008B244E" w:rsidRDefault="008B244E" w:rsidP="008B244E">
            <w:pPr>
              <w:jc w:val="right"/>
              <w:rPr>
                <w:noProof/>
                <w:sz w:val="22"/>
              </w:rPr>
            </w:pPr>
            <w:r w:rsidRPr="00D0022B">
              <w:rPr>
                <w:noProof/>
                <w:sz w:val="22"/>
              </w:rPr>
              <w:t>4</w:t>
            </w:r>
          </w:p>
        </w:tc>
        <w:tc>
          <w:tcPr>
            <w:tcW w:w="1736" w:type="dxa"/>
            <w:tcBorders>
              <w:top w:val="single" w:sz="4" w:space="0" w:color="auto"/>
              <w:left w:val="double" w:sz="4" w:space="0" w:color="auto"/>
              <w:bottom w:val="single" w:sz="4" w:space="0" w:color="auto"/>
            </w:tcBorders>
            <w:shd w:val="clear" w:color="auto" w:fill="auto"/>
            <w:noWrap/>
            <w:vAlign w:val="bottom"/>
          </w:tcPr>
          <w:p w14:paraId="6DB108EC"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92</w:t>
            </w:r>
            <w:r>
              <w:rPr>
                <w:noProof/>
                <w:sz w:val="22"/>
              </w:rPr>
              <w:t> %</w:t>
            </w:r>
          </w:p>
        </w:tc>
      </w:tr>
      <w:tr w:rsidR="008B244E" w:rsidRPr="008B244E" w14:paraId="68D9C0C4"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4D3D5CB" w14:textId="77777777" w:rsidR="008B244E" w:rsidRPr="008B244E" w:rsidRDefault="008B244E" w:rsidP="008B244E">
            <w:pPr>
              <w:spacing w:before="60" w:after="60"/>
              <w:jc w:val="center"/>
              <w:rPr>
                <w:b/>
                <w:noProof/>
                <w:sz w:val="22"/>
              </w:rPr>
            </w:pPr>
            <w:r>
              <w:rPr>
                <w:b/>
                <w:noProof/>
                <w:sz w:val="22"/>
              </w:rPr>
              <w:t>NL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DC2AE"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89D0"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DF376" w14:textId="77777777" w:rsidR="008B244E" w:rsidRPr="008B244E" w:rsidRDefault="008B244E" w:rsidP="008B244E">
            <w:pPr>
              <w:jc w:val="right"/>
              <w:rPr>
                <w:noProof/>
                <w:sz w:val="22"/>
              </w:rPr>
            </w:pPr>
            <w:r w:rsidRPr="00D0022B">
              <w:rPr>
                <w:noProof/>
                <w:sz w:val="22"/>
              </w:rPr>
              <w:t>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C01DC4A" w14:textId="77777777" w:rsidR="008B244E" w:rsidRPr="008B244E" w:rsidRDefault="008B244E" w:rsidP="008B244E">
            <w:pPr>
              <w:jc w:val="right"/>
              <w:rPr>
                <w:noProof/>
                <w:sz w:val="22"/>
              </w:rPr>
            </w:pPr>
            <w:r w:rsidRPr="00D0022B">
              <w:rPr>
                <w:noProof/>
                <w:sz w:val="22"/>
              </w:rPr>
              <w:t>1</w:t>
            </w:r>
          </w:p>
        </w:tc>
        <w:tc>
          <w:tcPr>
            <w:tcW w:w="1736" w:type="dxa"/>
            <w:tcBorders>
              <w:top w:val="single" w:sz="4" w:space="0" w:color="auto"/>
              <w:left w:val="double" w:sz="4" w:space="0" w:color="auto"/>
              <w:bottom w:val="single" w:sz="4" w:space="0" w:color="auto"/>
            </w:tcBorders>
            <w:shd w:val="clear" w:color="auto" w:fill="auto"/>
            <w:noWrap/>
            <w:vAlign w:val="bottom"/>
          </w:tcPr>
          <w:p w14:paraId="6E6D0EB2"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23</w:t>
            </w:r>
            <w:r>
              <w:rPr>
                <w:noProof/>
                <w:sz w:val="22"/>
              </w:rPr>
              <w:t> %</w:t>
            </w:r>
          </w:p>
        </w:tc>
      </w:tr>
      <w:tr w:rsidR="008B244E" w:rsidRPr="008B244E" w14:paraId="694D81EC"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4C51405" w14:textId="77777777" w:rsidR="008B244E" w:rsidRPr="008B244E" w:rsidRDefault="008B244E" w:rsidP="008B244E">
            <w:pPr>
              <w:spacing w:before="60" w:after="60"/>
              <w:jc w:val="center"/>
              <w:rPr>
                <w:b/>
                <w:noProof/>
                <w:sz w:val="22"/>
              </w:rPr>
            </w:pPr>
            <w:r>
              <w:rPr>
                <w:b/>
                <w:noProof/>
                <w:sz w:val="22"/>
              </w:rPr>
              <w:t>AT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DBE1D" w14:textId="77777777" w:rsidR="008B244E" w:rsidRPr="008B244E" w:rsidRDefault="008B244E" w:rsidP="008B244E">
            <w:pPr>
              <w:jc w:val="right"/>
              <w:rPr>
                <w:noProof/>
                <w:sz w:val="22"/>
              </w:rPr>
            </w:pPr>
            <w:r w:rsidRPr="00D0022B">
              <w:rPr>
                <w:noProof/>
                <w:sz w:val="22"/>
              </w:rPr>
              <w:t>1</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31E27" w14:textId="77777777" w:rsidR="008B244E" w:rsidRPr="008B244E" w:rsidRDefault="008B244E" w:rsidP="008B244E">
            <w:pPr>
              <w:jc w:val="right"/>
              <w:rPr>
                <w:noProof/>
                <w:sz w:val="22"/>
              </w:rPr>
            </w:pPr>
            <w:r w:rsidRPr="00D0022B">
              <w:rPr>
                <w:noProof/>
                <w:sz w:val="22"/>
              </w:rPr>
              <w:t>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879D0" w14:textId="77777777" w:rsidR="008B244E" w:rsidRPr="008B244E" w:rsidRDefault="008B244E" w:rsidP="008B244E">
            <w:pPr>
              <w:jc w:val="right"/>
              <w:rPr>
                <w:noProof/>
                <w:sz w:val="22"/>
              </w:rPr>
            </w:pPr>
            <w:r w:rsidRPr="00D0022B">
              <w:rPr>
                <w:noProof/>
                <w:sz w:val="22"/>
              </w:rPr>
              <w:t>3</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665EA84" w14:textId="77777777" w:rsidR="008B244E" w:rsidRPr="008B244E" w:rsidRDefault="008B244E" w:rsidP="008B244E">
            <w:pPr>
              <w:jc w:val="right"/>
              <w:rPr>
                <w:noProof/>
                <w:sz w:val="22"/>
              </w:rPr>
            </w:pPr>
            <w:r w:rsidRPr="00D0022B">
              <w:rPr>
                <w:noProof/>
                <w:sz w:val="22"/>
              </w:rPr>
              <w:t>5</w:t>
            </w:r>
          </w:p>
        </w:tc>
        <w:tc>
          <w:tcPr>
            <w:tcW w:w="1736" w:type="dxa"/>
            <w:tcBorders>
              <w:top w:val="single" w:sz="4" w:space="0" w:color="auto"/>
              <w:left w:val="double" w:sz="4" w:space="0" w:color="auto"/>
              <w:bottom w:val="single" w:sz="4" w:space="0" w:color="auto"/>
            </w:tcBorders>
            <w:shd w:val="clear" w:color="auto" w:fill="auto"/>
            <w:noWrap/>
            <w:vAlign w:val="bottom"/>
          </w:tcPr>
          <w:p w14:paraId="4EE2AE82" w14:textId="77777777" w:rsidR="008B244E" w:rsidRPr="008B244E" w:rsidRDefault="008B244E" w:rsidP="008B244E">
            <w:pPr>
              <w:jc w:val="right"/>
              <w:rPr>
                <w:noProof/>
                <w:sz w:val="22"/>
              </w:rPr>
            </w:pPr>
            <w:r w:rsidRPr="00D0022B">
              <w:rPr>
                <w:noProof/>
                <w:sz w:val="22"/>
              </w:rPr>
              <w:t>1</w:t>
            </w:r>
            <w:r>
              <w:rPr>
                <w:noProof/>
                <w:sz w:val="22"/>
              </w:rPr>
              <w:t>,</w:t>
            </w:r>
            <w:r w:rsidRPr="00D0022B">
              <w:rPr>
                <w:noProof/>
                <w:sz w:val="22"/>
              </w:rPr>
              <w:t>15</w:t>
            </w:r>
            <w:r>
              <w:rPr>
                <w:noProof/>
                <w:sz w:val="22"/>
              </w:rPr>
              <w:t> %</w:t>
            </w:r>
          </w:p>
        </w:tc>
      </w:tr>
      <w:tr w:rsidR="008B244E" w:rsidRPr="008B244E" w14:paraId="673E6C2E"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D7E2CA0" w14:textId="77777777" w:rsidR="008B244E" w:rsidRPr="008B244E" w:rsidRDefault="008B244E" w:rsidP="008B244E">
            <w:pPr>
              <w:spacing w:before="60" w:after="60"/>
              <w:jc w:val="center"/>
              <w:rPr>
                <w:b/>
                <w:noProof/>
                <w:sz w:val="22"/>
              </w:rPr>
            </w:pPr>
            <w:r>
              <w:rPr>
                <w:b/>
                <w:noProof/>
                <w:sz w:val="22"/>
              </w:rPr>
              <w:t>PL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2D38F" w14:textId="77777777" w:rsidR="008B244E" w:rsidRPr="008B244E" w:rsidRDefault="008B244E" w:rsidP="008B244E">
            <w:pPr>
              <w:jc w:val="right"/>
              <w:rPr>
                <w:b/>
                <w:noProof/>
                <w:sz w:val="22"/>
              </w:rPr>
            </w:pPr>
            <w:r w:rsidRPr="00D0022B">
              <w:rPr>
                <w:b/>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B0232" w14:textId="77777777" w:rsidR="008B244E" w:rsidRPr="008B244E" w:rsidRDefault="008B244E" w:rsidP="008B244E">
            <w:pPr>
              <w:jc w:val="right"/>
              <w:rPr>
                <w:b/>
                <w:noProof/>
                <w:sz w:val="22"/>
              </w:rPr>
            </w:pPr>
            <w:r w:rsidRPr="00D0022B">
              <w:rPr>
                <w:b/>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00B90" w14:textId="77777777" w:rsidR="008B244E" w:rsidRPr="008B244E" w:rsidRDefault="008B244E" w:rsidP="008B244E">
            <w:pPr>
              <w:jc w:val="right"/>
              <w:rPr>
                <w:b/>
                <w:noProof/>
                <w:sz w:val="22"/>
              </w:rPr>
            </w:pPr>
            <w:r w:rsidRPr="00D0022B">
              <w:rPr>
                <w:b/>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2184D29"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1954DA11"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229B9B8"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0C90EC7" w14:textId="77777777" w:rsidR="008B244E" w:rsidRPr="008B244E" w:rsidRDefault="008B244E" w:rsidP="008B244E">
            <w:pPr>
              <w:spacing w:before="60" w:after="60"/>
              <w:jc w:val="center"/>
              <w:rPr>
                <w:b/>
                <w:noProof/>
                <w:sz w:val="22"/>
              </w:rPr>
            </w:pPr>
            <w:r>
              <w:rPr>
                <w:b/>
                <w:noProof/>
                <w:sz w:val="22"/>
              </w:rPr>
              <w:t>PT</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8E1FB"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20D10"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BDF1A"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4EFABC70"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041C0648"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05D53D3E"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5C69F36" w14:textId="77777777" w:rsidR="008B244E" w:rsidRPr="008B244E" w:rsidRDefault="008B244E" w:rsidP="008B244E">
            <w:pPr>
              <w:spacing w:before="60" w:after="60"/>
              <w:jc w:val="center"/>
              <w:rPr>
                <w:b/>
                <w:noProof/>
                <w:sz w:val="22"/>
              </w:rPr>
            </w:pPr>
            <w:r>
              <w:rPr>
                <w:b/>
                <w:noProof/>
                <w:sz w:val="22"/>
              </w:rPr>
              <w:t>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6AC84"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0BE3"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5C554"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2D2FF465"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23BF881B"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59FCD7DD"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09B274C" w14:textId="77777777" w:rsidR="008B244E" w:rsidRPr="008B244E" w:rsidRDefault="008B244E" w:rsidP="008B244E">
            <w:pPr>
              <w:spacing w:before="60" w:after="60"/>
              <w:jc w:val="center"/>
              <w:rPr>
                <w:b/>
                <w:noProof/>
                <w:sz w:val="22"/>
              </w:rPr>
            </w:pPr>
            <w:r>
              <w:rPr>
                <w:b/>
                <w:noProof/>
                <w:sz w:val="22"/>
              </w:rPr>
              <w:t>SI</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F7C28"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AD371" w14:textId="77777777" w:rsidR="008B244E" w:rsidRPr="008B244E" w:rsidRDefault="008B244E" w:rsidP="008B244E">
            <w:pPr>
              <w:jc w:val="right"/>
              <w:rPr>
                <w:noProof/>
                <w:sz w:val="22"/>
              </w:rPr>
            </w:pPr>
            <w:r w:rsidRPr="00D0022B">
              <w:rPr>
                <w:noProof/>
                <w:sz w:val="22"/>
              </w:rPr>
              <w:t>1</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E3F6A" w14:textId="77777777" w:rsidR="008B244E" w:rsidRPr="008B244E" w:rsidRDefault="008B244E" w:rsidP="008B244E">
            <w:pPr>
              <w:jc w:val="right"/>
              <w:rPr>
                <w:noProof/>
                <w:sz w:val="22"/>
              </w:rPr>
            </w:pPr>
            <w:r w:rsidRPr="00D0022B">
              <w:rPr>
                <w:noProof/>
                <w:sz w:val="22"/>
              </w:rPr>
              <w:t>1</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6633832C" w14:textId="77777777" w:rsidR="008B244E" w:rsidRPr="008B244E" w:rsidRDefault="008B244E" w:rsidP="008B244E">
            <w:pPr>
              <w:jc w:val="right"/>
              <w:rPr>
                <w:noProof/>
                <w:sz w:val="22"/>
              </w:rPr>
            </w:pPr>
            <w:r w:rsidRPr="00D0022B">
              <w:rPr>
                <w:noProof/>
                <w:sz w:val="22"/>
              </w:rPr>
              <w:t>2</w:t>
            </w:r>
          </w:p>
        </w:tc>
        <w:tc>
          <w:tcPr>
            <w:tcW w:w="1736" w:type="dxa"/>
            <w:tcBorders>
              <w:top w:val="single" w:sz="4" w:space="0" w:color="auto"/>
              <w:left w:val="double" w:sz="4" w:space="0" w:color="auto"/>
              <w:bottom w:val="single" w:sz="4" w:space="0" w:color="auto"/>
            </w:tcBorders>
            <w:shd w:val="clear" w:color="auto" w:fill="auto"/>
            <w:noWrap/>
            <w:vAlign w:val="bottom"/>
          </w:tcPr>
          <w:p w14:paraId="613C1BA1"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46</w:t>
            </w:r>
            <w:r>
              <w:rPr>
                <w:noProof/>
                <w:sz w:val="22"/>
              </w:rPr>
              <w:t> %</w:t>
            </w:r>
          </w:p>
        </w:tc>
      </w:tr>
      <w:tr w:rsidR="008B244E" w:rsidRPr="008B244E" w14:paraId="2BF51245"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3F21419" w14:textId="77777777" w:rsidR="008B244E" w:rsidRPr="008B244E" w:rsidRDefault="008B244E" w:rsidP="008B244E">
            <w:pPr>
              <w:spacing w:before="60" w:after="60"/>
              <w:jc w:val="center"/>
              <w:rPr>
                <w:b/>
                <w:noProof/>
                <w:sz w:val="22"/>
              </w:rPr>
            </w:pPr>
            <w:r>
              <w:rPr>
                <w:b/>
                <w:noProof/>
                <w:sz w:val="22"/>
              </w:rPr>
              <w:t>SK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9E29F"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79193"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8ADDD"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8D2BBB2"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27776F49"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24ABD8DB"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3CAB73B" w14:textId="77777777" w:rsidR="008B244E" w:rsidRPr="008B244E" w:rsidRDefault="008B244E" w:rsidP="008B244E">
            <w:pPr>
              <w:spacing w:before="60" w:after="60"/>
              <w:jc w:val="center"/>
              <w:rPr>
                <w:b/>
                <w:noProof/>
                <w:sz w:val="22"/>
              </w:rPr>
            </w:pPr>
            <w:r>
              <w:rPr>
                <w:b/>
                <w:noProof/>
                <w:sz w:val="22"/>
              </w:rPr>
              <w:t>FI</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4E4A"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C5076"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7A811"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74876EE9"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0AB6DF94"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69CB338C"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6FAB03DA" w14:textId="77777777" w:rsidR="008B244E" w:rsidRPr="008B244E" w:rsidRDefault="008B244E" w:rsidP="008B244E">
            <w:pPr>
              <w:spacing w:before="60" w:after="60"/>
              <w:jc w:val="center"/>
              <w:rPr>
                <w:b/>
                <w:noProof/>
                <w:sz w:val="22"/>
              </w:rPr>
            </w:pPr>
            <w:r>
              <w:rPr>
                <w:b/>
                <w:noProof/>
                <w:sz w:val="22"/>
              </w:rPr>
              <w:t>SE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FA82D" w14:textId="77777777" w:rsidR="008B244E" w:rsidRPr="008B244E" w:rsidRDefault="008B244E" w:rsidP="008B244E">
            <w:pPr>
              <w:jc w:val="right"/>
              <w:rPr>
                <w:noProof/>
                <w:sz w:val="22"/>
              </w:rPr>
            </w:pPr>
            <w:r w:rsidRPr="00D0022B">
              <w:rPr>
                <w:noProof/>
                <w:sz w:val="22"/>
              </w:rPr>
              <w:t>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8210" w14:textId="77777777" w:rsidR="008B244E" w:rsidRPr="008B244E" w:rsidRDefault="008B244E" w:rsidP="008B244E">
            <w:pPr>
              <w:jc w:val="right"/>
              <w:rPr>
                <w:noProof/>
                <w:sz w:val="22"/>
              </w:rPr>
            </w:pPr>
            <w:r w:rsidRPr="00D0022B">
              <w:rPr>
                <w:noProof/>
                <w:sz w:val="22"/>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19719" w14:textId="77777777" w:rsidR="008B244E" w:rsidRPr="008B244E" w:rsidRDefault="008B244E" w:rsidP="008B244E">
            <w:pPr>
              <w:jc w:val="right"/>
              <w:rPr>
                <w:noProof/>
                <w:sz w:val="22"/>
              </w:rPr>
            </w:pPr>
            <w:r w:rsidRPr="00D0022B">
              <w:rPr>
                <w:noProof/>
                <w:sz w:val="22"/>
              </w:rPr>
              <w:t>0</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DCE7A83" w14:textId="77777777" w:rsidR="008B244E" w:rsidRPr="008B244E" w:rsidRDefault="008B244E" w:rsidP="008B244E">
            <w:pPr>
              <w:jc w:val="right"/>
              <w:rPr>
                <w:noProof/>
                <w:sz w:val="22"/>
              </w:rPr>
            </w:pPr>
            <w:r w:rsidRPr="00D0022B">
              <w:rPr>
                <w:noProof/>
                <w:sz w:val="22"/>
              </w:rPr>
              <w:t>0</w:t>
            </w:r>
          </w:p>
        </w:tc>
        <w:tc>
          <w:tcPr>
            <w:tcW w:w="1736" w:type="dxa"/>
            <w:tcBorders>
              <w:top w:val="single" w:sz="4" w:space="0" w:color="auto"/>
              <w:left w:val="double" w:sz="4" w:space="0" w:color="auto"/>
              <w:bottom w:val="single" w:sz="4" w:space="0" w:color="auto"/>
            </w:tcBorders>
            <w:shd w:val="clear" w:color="auto" w:fill="auto"/>
            <w:noWrap/>
            <w:vAlign w:val="bottom"/>
          </w:tcPr>
          <w:p w14:paraId="553EEB06" w14:textId="77777777" w:rsidR="008B244E" w:rsidRPr="008B244E" w:rsidRDefault="008B244E" w:rsidP="008B244E">
            <w:pPr>
              <w:jc w:val="right"/>
              <w:rPr>
                <w:noProof/>
                <w:sz w:val="22"/>
              </w:rPr>
            </w:pPr>
            <w:r w:rsidRPr="00D0022B">
              <w:rPr>
                <w:noProof/>
                <w:sz w:val="22"/>
              </w:rPr>
              <w:t>0</w:t>
            </w:r>
            <w:r>
              <w:rPr>
                <w:noProof/>
                <w:sz w:val="22"/>
              </w:rPr>
              <w:t>,</w:t>
            </w:r>
            <w:r w:rsidRPr="00D0022B">
              <w:rPr>
                <w:noProof/>
                <w:sz w:val="22"/>
              </w:rPr>
              <w:t>00</w:t>
            </w:r>
            <w:r>
              <w:rPr>
                <w:noProof/>
                <w:sz w:val="22"/>
              </w:rPr>
              <w:t> %</w:t>
            </w:r>
          </w:p>
        </w:tc>
      </w:tr>
      <w:tr w:rsidR="008B244E" w:rsidRPr="008B244E" w14:paraId="4AB9C2A3" w14:textId="77777777" w:rsidTr="008B244E">
        <w:trPr>
          <w:trHeight w:val="300"/>
        </w:trPr>
        <w:tc>
          <w:tcPr>
            <w:tcW w:w="15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3385710E" w14:textId="77777777" w:rsidR="008B244E" w:rsidRPr="008B244E" w:rsidRDefault="008B244E" w:rsidP="008B244E">
            <w:pPr>
              <w:spacing w:before="60" w:after="60"/>
              <w:jc w:val="center"/>
              <w:rPr>
                <w:b/>
                <w:noProof/>
                <w:sz w:val="22"/>
              </w:rPr>
            </w:pPr>
            <w:r>
              <w:rPr>
                <w:b/>
                <w:noProof/>
                <w:sz w:val="22"/>
              </w:rPr>
              <w:t>UK</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EEED8" w14:textId="77777777" w:rsidR="008B244E" w:rsidRPr="008B244E" w:rsidRDefault="008B244E" w:rsidP="008B244E">
            <w:pPr>
              <w:jc w:val="right"/>
              <w:rPr>
                <w:noProof/>
                <w:sz w:val="22"/>
              </w:rPr>
            </w:pPr>
            <w:r w:rsidRPr="00D0022B">
              <w:rPr>
                <w:noProof/>
                <w:sz w:val="22"/>
              </w:rPr>
              <w:t>7</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D9641" w14:textId="77777777" w:rsidR="008B244E" w:rsidRPr="008B244E" w:rsidRDefault="008B244E" w:rsidP="008B244E">
            <w:pPr>
              <w:jc w:val="right"/>
              <w:rPr>
                <w:noProof/>
                <w:sz w:val="22"/>
              </w:rPr>
            </w:pPr>
            <w:r w:rsidRPr="00D0022B">
              <w:rPr>
                <w:noProof/>
                <w:sz w:val="22"/>
              </w:rPr>
              <w:t>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A27E3" w14:textId="77777777" w:rsidR="008B244E" w:rsidRPr="008B244E" w:rsidRDefault="008B244E" w:rsidP="008B244E">
            <w:pPr>
              <w:jc w:val="right"/>
              <w:rPr>
                <w:noProof/>
                <w:sz w:val="22"/>
              </w:rPr>
            </w:pPr>
            <w:r w:rsidRPr="00D0022B">
              <w:rPr>
                <w:noProof/>
                <w:sz w:val="22"/>
              </w:rPr>
              <w:t>2</w:t>
            </w:r>
          </w:p>
        </w:tc>
        <w:tc>
          <w:tcPr>
            <w:tcW w:w="1524" w:type="dxa"/>
            <w:tcBorders>
              <w:top w:val="single" w:sz="4" w:space="0" w:color="auto"/>
              <w:left w:val="single" w:sz="4" w:space="0" w:color="auto"/>
              <w:bottom w:val="single" w:sz="4" w:space="0" w:color="auto"/>
              <w:right w:val="double" w:sz="4" w:space="0" w:color="auto"/>
            </w:tcBorders>
            <w:shd w:val="clear" w:color="auto" w:fill="auto"/>
            <w:noWrap/>
            <w:vAlign w:val="bottom"/>
          </w:tcPr>
          <w:p w14:paraId="5108F513" w14:textId="77777777" w:rsidR="008B244E" w:rsidRPr="008B244E" w:rsidRDefault="008B244E" w:rsidP="008B244E">
            <w:pPr>
              <w:jc w:val="right"/>
              <w:rPr>
                <w:noProof/>
                <w:sz w:val="22"/>
              </w:rPr>
            </w:pPr>
            <w:r w:rsidRPr="00D0022B">
              <w:rPr>
                <w:noProof/>
                <w:sz w:val="22"/>
              </w:rPr>
              <w:t>16</w:t>
            </w:r>
          </w:p>
        </w:tc>
        <w:tc>
          <w:tcPr>
            <w:tcW w:w="1736" w:type="dxa"/>
            <w:tcBorders>
              <w:top w:val="single" w:sz="4" w:space="0" w:color="auto"/>
              <w:left w:val="double" w:sz="4" w:space="0" w:color="auto"/>
              <w:bottom w:val="single" w:sz="4" w:space="0" w:color="auto"/>
            </w:tcBorders>
            <w:shd w:val="clear" w:color="auto" w:fill="auto"/>
            <w:noWrap/>
            <w:vAlign w:val="bottom"/>
          </w:tcPr>
          <w:p w14:paraId="5FAEA9ED" w14:textId="77777777" w:rsidR="008B244E" w:rsidRPr="008B244E" w:rsidRDefault="008B244E" w:rsidP="008B244E">
            <w:pPr>
              <w:jc w:val="right"/>
              <w:rPr>
                <w:noProof/>
                <w:sz w:val="22"/>
              </w:rPr>
            </w:pPr>
            <w:r w:rsidRPr="00D0022B">
              <w:rPr>
                <w:noProof/>
                <w:sz w:val="22"/>
              </w:rPr>
              <w:t>3</w:t>
            </w:r>
            <w:r>
              <w:rPr>
                <w:noProof/>
                <w:sz w:val="22"/>
              </w:rPr>
              <w:t>,</w:t>
            </w:r>
            <w:r w:rsidRPr="00D0022B">
              <w:rPr>
                <w:noProof/>
                <w:sz w:val="22"/>
              </w:rPr>
              <w:t>67</w:t>
            </w:r>
            <w:r>
              <w:rPr>
                <w:noProof/>
                <w:sz w:val="22"/>
              </w:rPr>
              <w:t> %</w:t>
            </w:r>
          </w:p>
        </w:tc>
      </w:tr>
      <w:tr w:rsidR="008B244E" w:rsidRPr="008B244E" w14:paraId="0A168768" w14:textId="77777777" w:rsidTr="008B244E">
        <w:trPr>
          <w:trHeight w:val="300"/>
        </w:trPr>
        <w:tc>
          <w:tcPr>
            <w:tcW w:w="1550" w:type="dxa"/>
            <w:tcBorders>
              <w:top w:val="single" w:sz="4" w:space="0" w:color="auto"/>
              <w:bottom w:val="double" w:sz="4" w:space="0" w:color="auto"/>
              <w:right w:val="single" w:sz="4" w:space="0" w:color="auto"/>
            </w:tcBorders>
            <w:shd w:val="clear" w:color="auto" w:fill="DBE5F1" w:themeFill="accent1" w:themeFillTint="33"/>
            <w:noWrap/>
            <w:vAlign w:val="center"/>
            <w:hideMark/>
          </w:tcPr>
          <w:p w14:paraId="536CC360" w14:textId="77777777" w:rsidR="008B244E" w:rsidRPr="008B244E" w:rsidRDefault="008B244E" w:rsidP="008B244E">
            <w:pPr>
              <w:spacing w:before="60" w:after="60"/>
              <w:jc w:val="center"/>
              <w:rPr>
                <w:b/>
                <w:noProof/>
                <w:sz w:val="22"/>
              </w:rPr>
            </w:pPr>
            <w:r>
              <w:rPr>
                <w:b/>
                <w:noProof/>
                <w:sz w:val="22"/>
              </w:rPr>
              <w:t>Gesamt</w:t>
            </w:r>
          </w:p>
        </w:tc>
        <w:tc>
          <w:tcPr>
            <w:tcW w:w="1441"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center"/>
          </w:tcPr>
          <w:p w14:paraId="0E9023C1" w14:textId="77777777" w:rsidR="008B244E" w:rsidRPr="008B244E" w:rsidRDefault="008B244E" w:rsidP="008B244E">
            <w:pPr>
              <w:spacing w:before="60" w:after="60"/>
              <w:jc w:val="right"/>
              <w:rPr>
                <w:b/>
                <w:noProof/>
                <w:sz w:val="22"/>
              </w:rPr>
            </w:pPr>
            <w:r w:rsidRPr="00D0022B">
              <w:rPr>
                <w:b/>
                <w:noProof/>
                <w:sz w:val="22"/>
              </w:rPr>
              <w:t>144</w:t>
            </w:r>
          </w:p>
        </w:tc>
        <w:tc>
          <w:tcPr>
            <w:tcW w:w="1441"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center"/>
          </w:tcPr>
          <w:p w14:paraId="4AB8497A" w14:textId="77777777" w:rsidR="008B244E" w:rsidRPr="008B244E" w:rsidRDefault="008B244E" w:rsidP="008B244E">
            <w:pPr>
              <w:spacing w:before="60" w:after="60"/>
              <w:jc w:val="right"/>
              <w:rPr>
                <w:b/>
                <w:noProof/>
                <w:sz w:val="22"/>
              </w:rPr>
            </w:pPr>
            <w:r w:rsidRPr="00D0022B">
              <w:rPr>
                <w:b/>
                <w:noProof/>
                <w:sz w:val="22"/>
              </w:rPr>
              <w:t>125</w:t>
            </w:r>
          </w:p>
        </w:tc>
        <w:tc>
          <w:tcPr>
            <w:tcW w:w="1370" w:type="dxa"/>
            <w:tcBorders>
              <w:top w:val="single" w:sz="4" w:space="0" w:color="auto"/>
              <w:left w:val="single" w:sz="4" w:space="0" w:color="auto"/>
              <w:bottom w:val="double" w:sz="4" w:space="0" w:color="auto"/>
              <w:right w:val="single" w:sz="4" w:space="0" w:color="auto"/>
            </w:tcBorders>
            <w:shd w:val="clear" w:color="auto" w:fill="DBE5F1" w:themeFill="accent1" w:themeFillTint="33"/>
            <w:noWrap/>
            <w:vAlign w:val="center"/>
          </w:tcPr>
          <w:p w14:paraId="1AE7A729" w14:textId="77777777" w:rsidR="008B244E" w:rsidRPr="008B244E" w:rsidRDefault="008B244E" w:rsidP="008B244E">
            <w:pPr>
              <w:spacing w:before="60" w:after="60"/>
              <w:jc w:val="right"/>
              <w:rPr>
                <w:b/>
                <w:noProof/>
                <w:sz w:val="22"/>
              </w:rPr>
            </w:pPr>
            <w:r w:rsidRPr="00D0022B">
              <w:rPr>
                <w:b/>
                <w:noProof/>
                <w:sz w:val="22"/>
              </w:rPr>
              <w:t>167</w:t>
            </w:r>
          </w:p>
        </w:tc>
        <w:tc>
          <w:tcPr>
            <w:tcW w:w="1524" w:type="dxa"/>
            <w:tcBorders>
              <w:top w:val="single" w:sz="4" w:space="0" w:color="auto"/>
              <w:left w:val="single" w:sz="4" w:space="0" w:color="auto"/>
              <w:bottom w:val="double" w:sz="4" w:space="0" w:color="auto"/>
              <w:right w:val="double" w:sz="4" w:space="0" w:color="auto"/>
            </w:tcBorders>
            <w:shd w:val="clear" w:color="auto" w:fill="DBE5F1" w:themeFill="accent1" w:themeFillTint="33"/>
            <w:noWrap/>
            <w:vAlign w:val="bottom"/>
          </w:tcPr>
          <w:p w14:paraId="4404A191" w14:textId="77777777" w:rsidR="008B244E" w:rsidRPr="008B244E" w:rsidRDefault="008B244E" w:rsidP="008B244E">
            <w:pPr>
              <w:spacing w:before="60" w:after="60"/>
              <w:jc w:val="right"/>
              <w:rPr>
                <w:noProof/>
                <w:sz w:val="22"/>
              </w:rPr>
            </w:pPr>
            <w:r w:rsidRPr="00D0022B">
              <w:rPr>
                <w:noProof/>
                <w:sz w:val="22"/>
              </w:rPr>
              <w:t>436</w:t>
            </w:r>
          </w:p>
        </w:tc>
        <w:tc>
          <w:tcPr>
            <w:tcW w:w="1736" w:type="dxa"/>
            <w:tcBorders>
              <w:top w:val="single" w:sz="4" w:space="0" w:color="auto"/>
              <w:left w:val="double" w:sz="4" w:space="0" w:color="auto"/>
              <w:bottom w:val="double" w:sz="4" w:space="0" w:color="auto"/>
            </w:tcBorders>
            <w:shd w:val="clear" w:color="auto" w:fill="DBE5F1" w:themeFill="accent1" w:themeFillTint="33"/>
            <w:noWrap/>
            <w:vAlign w:val="bottom"/>
          </w:tcPr>
          <w:p w14:paraId="00B71112" w14:textId="77777777" w:rsidR="008B244E" w:rsidRPr="008B244E" w:rsidRDefault="008B244E" w:rsidP="008B244E">
            <w:pPr>
              <w:spacing w:before="60" w:after="60"/>
              <w:jc w:val="right"/>
              <w:rPr>
                <w:noProof/>
                <w:sz w:val="22"/>
              </w:rPr>
            </w:pPr>
            <w:r w:rsidRPr="00D0022B">
              <w:rPr>
                <w:noProof/>
                <w:sz w:val="22"/>
              </w:rPr>
              <w:t>100</w:t>
            </w:r>
            <w:r>
              <w:rPr>
                <w:noProof/>
                <w:sz w:val="22"/>
              </w:rPr>
              <w:t>,</w:t>
            </w:r>
            <w:r w:rsidRPr="00D0022B">
              <w:rPr>
                <w:noProof/>
                <w:sz w:val="22"/>
              </w:rPr>
              <w:t>00</w:t>
            </w:r>
            <w:r>
              <w:rPr>
                <w:noProof/>
                <w:sz w:val="22"/>
              </w:rPr>
              <w:t> %</w:t>
            </w:r>
          </w:p>
        </w:tc>
      </w:tr>
    </w:tbl>
    <w:p w14:paraId="1D55462D" w14:textId="77777777" w:rsidR="008B244E" w:rsidRPr="008B244E" w:rsidRDefault="008B244E" w:rsidP="008B244E">
      <w:pPr>
        <w:rPr>
          <w:noProof/>
          <w:sz w:val="22"/>
        </w:rPr>
      </w:pPr>
    </w:p>
    <w:p w14:paraId="6B71DD76" w14:textId="77777777" w:rsidR="008B244E" w:rsidRPr="008B244E" w:rsidRDefault="008B244E" w:rsidP="008B244E">
      <w:pPr>
        <w:rPr>
          <w:noProof/>
          <w:sz w:val="22"/>
        </w:rPr>
      </w:pPr>
      <w:r>
        <w:rPr>
          <w:noProof/>
          <w:sz w:val="22"/>
        </w:rPr>
        <w:t>(</w:t>
      </w:r>
      <w:r w:rsidRPr="00D0022B">
        <w:rPr>
          <w:noProof/>
          <w:sz w:val="22"/>
        </w:rPr>
        <w:t>1</w:t>
      </w:r>
      <w:r>
        <w:rPr>
          <w:noProof/>
          <w:sz w:val="22"/>
        </w:rPr>
        <w:t>) Keine statistischen Angaben verfügbar.</w:t>
      </w:r>
    </w:p>
    <w:p w14:paraId="0A49E767" w14:textId="77777777" w:rsidR="00217D37" w:rsidRDefault="00217D37" w:rsidP="000E6A09">
      <w:pPr>
        <w:pBdr>
          <w:top w:val="double" w:sz="4" w:space="1" w:color="auto"/>
          <w:left w:val="double" w:sz="4" w:space="4" w:color="auto"/>
          <w:bottom w:val="double" w:sz="4" w:space="1" w:color="auto"/>
          <w:right w:val="double" w:sz="4" w:space="4" w:color="auto"/>
        </w:pBdr>
        <w:rPr>
          <w:noProof/>
        </w:rPr>
      </w:pPr>
      <w:r>
        <w:rPr>
          <w:noProof/>
        </w:rPr>
        <w:br w:type="page"/>
      </w:r>
    </w:p>
    <w:p w14:paraId="503F0919" w14:textId="77777777" w:rsidR="008B244E" w:rsidRPr="00217D37" w:rsidRDefault="008B244E" w:rsidP="00665FC8">
      <w:pPr>
        <w:pStyle w:val="Heading2"/>
        <w:rPr>
          <w:noProof/>
        </w:rPr>
      </w:pPr>
      <w:bookmarkStart w:id="27" w:name="_Toc111153434"/>
      <w:r>
        <w:rPr>
          <w:noProof/>
        </w:rPr>
        <w:t>Tabelle </w:t>
      </w:r>
      <w:r w:rsidRPr="00D0022B">
        <w:rPr>
          <w:noProof/>
        </w:rPr>
        <w:t>5</w:t>
      </w:r>
      <w:r>
        <w:rPr>
          <w:noProof/>
        </w:rPr>
        <w:t>. Fälle von Verstoß/Nichteinhaltung</w:t>
      </w:r>
      <w:bookmarkEnd w:id="27"/>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80"/>
        <w:gridCol w:w="3081"/>
        <w:gridCol w:w="3081"/>
      </w:tblGrid>
      <w:tr w:rsidR="000E6A09" w:rsidRPr="000E6A09" w14:paraId="014FF20B" w14:textId="77777777" w:rsidTr="00414D13">
        <w:trPr>
          <w:trHeight w:val="454"/>
        </w:trPr>
        <w:tc>
          <w:tcPr>
            <w:tcW w:w="3080" w:type="dxa"/>
            <w:shd w:val="clear" w:color="auto" w:fill="DBE5F1" w:themeFill="accent1" w:themeFillTint="33"/>
            <w:vAlign w:val="center"/>
          </w:tcPr>
          <w:p w14:paraId="1D4CE424" w14:textId="77777777" w:rsidR="000E6A09" w:rsidRPr="000E6A09" w:rsidRDefault="000E6A09" w:rsidP="00414D13">
            <w:pPr>
              <w:jc w:val="center"/>
              <w:rPr>
                <w:noProof/>
              </w:rPr>
            </w:pPr>
            <w:r>
              <w:rPr>
                <w:noProof/>
                <w:sz w:val="22"/>
              </w:rPr>
              <w:t>Jahr</w:t>
            </w:r>
          </w:p>
        </w:tc>
        <w:tc>
          <w:tcPr>
            <w:tcW w:w="3081" w:type="dxa"/>
            <w:shd w:val="clear" w:color="auto" w:fill="DBE5F1" w:themeFill="accent1" w:themeFillTint="33"/>
            <w:vAlign w:val="center"/>
          </w:tcPr>
          <w:p w14:paraId="29D90DAD" w14:textId="77777777" w:rsidR="000E6A09" w:rsidRPr="000E6A09" w:rsidRDefault="000E6A09" w:rsidP="00414D13">
            <w:pPr>
              <w:jc w:val="center"/>
              <w:rPr>
                <w:noProof/>
              </w:rPr>
            </w:pPr>
            <w:r>
              <w:rPr>
                <w:noProof/>
                <w:sz w:val="22"/>
              </w:rPr>
              <w:t>Zahl der MS mit Beschlagnahmen</w:t>
            </w:r>
          </w:p>
        </w:tc>
        <w:tc>
          <w:tcPr>
            <w:tcW w:w="3081" w:type="dxa"/>
            <w:shd w:val="clear" w:color="auto" w:fill="DBE5F1" w:themeFill="accent1" w:themeFillTint="33"/>
            <w:vAlign w:val="center"/>
          </w:tcPr>
          <w:p w14:paraId="06EE5C19" w14:textId="77777777" w:rsidR="000E6A09" w:rsidRPr="000E6A09" w:rsidRDefault="000E6A09" w:rsidP="00414D13">
            <w:pPr>
              <w:jc w:val="center"/>
              <w:rPr>
                <w:noProof/>
              </w:rPr>
            </w:pPr>
            <w:r>
              <w:rPr>
                <w:noProof/>
              </w:rPr>
              <w:t>Gesamtzahl der Fälle von Verstoß</w:t>
            </w:r>
          </w:p>
        </w:tc>
      </w:tr>
      <w:tr w:rsidR="000E6A09" w14:paraId="138CD257" w14:textId="77777777" w:rsidTr="00F66EBB">
        <w:trPr>
          <w:trHeight w:val="454"/>
        </w:trPr>
        <w:tc>
          <w:tcPr>
            <w:tcW w:w="3080" w:type="dxa"/>
            <w:shd w:val="clear" w:color="auto" w:fill="auto"/>
            <w:vAlign w:val="center"/>
          </w:tcPr>
          <w:p w14:paraId="730543FE" w14:textId="77777777" w:rsidR="000E6A09" w:rsidRDefault="000E6A09" w:rsidP="00414D13">
            <w:pPr>
              <w:rPr>
                <w:noProof/>
              </w:rPr>
            </w:pPr>
            <w:r w:rsidRPr="00D0022B">
              <w:rPr>
                <w:noProof/>
                <w:sz w:val="22"/>
              </w:rPr>
              <w:t>2018</w:t>
            </w:r>
            <w:r>
              <w:rPr>
                <w:noProof/>
                <w:sz w:val="22"/>
              </w:rPr>
              <w:t xml:space="preserve"> (</w:t>
            </w:r>
            <w:r w:rsidRPr="00D0022B">
              <w:rPr>
                <w:noProof/>
                <w:sz w:val="22"/>
              </w:rPr>
              <w:t>1</w:t>
            </w:r>
            <w:r>
              <w:rPr>
                <w:noProof/>
                <w:sz w:val="22"/>
              </w:rPr>
              <w:t>)</w:t>
            </w:r>
          </w:p>
        </w:tc>
        <w:tc>
          <w:tcPr>
            <w:tcW w:w="3081" w:type="dxa"/>
            <w:vAlign w:val="center"/>
          </w:tcPr>
          <w:p w14:paraId="2C0E69BA" w14:textId="77777777" w:rsidR="000E6A09" w:rsidRPr="008B244E" w:rsidRDefault="000E6A09" w:rsidP="00414D13">
            <w:pPr>
              <w:jc w:val="right"/>
              <w:rPr>
                <w:noProof/>
                <w:sz w:val="22"/>
              </w:rPr>
            </w:pPr>
            <w:r w:rsidRPr="00D0022B">
              <w:rPr>
                <w:noProof/>
                <w:sz w:val="22"/>
              </w:rPr>
              <w:t>12</w:t>
            </w:r>
          </w:p>
        </w:tc>
        <w:tc>
          <w:tcPr>
            <w:tcW w:w="3081" w:type="dxa"/>
            <w:vAlign w:val="center"/>
          </w:tcPr>
          <w:p w14:paraId="3FFACCBA" w14:textId="77777777" w:rsidR="000E6A09" w:rsidRPr="008B244E" w:rsidRDefault="000E6A09" w:rsidP="00414D13">
            <w:pPr>
              <w:jc w:val="right"/>
              <w:rPr>
                <w:noProof/>
                <w:sz w:val="22"/>
              </w:rPr>
            </w:pPr>
            <w:r w:rsidRPr="00D0022B">
              <w:rPr>
                <w:noProof/>
                <w:sz w:val="22"/>
              </w:rPr>
              <w:t>117</w:t>
            </w:r>
          </w:p>
        </w:tc>
      </w:tr>
      <w:tr w:rsidR="000E6A09" w14:paraId="6A094A4A" w14:textId="77777777" w:rsidTr="00F66EBB">
        <w:trPr>
          <w:trHeight w:val="454"/>
        </w:trPr>
        <w:tc>
          <w:tcPr>
            <w:tcW w:w="3080" w:type="dxa"/>
            <w:shd w:val="clear" w:color="auto" w:fill="auto"/>
            <w:vAlign w:val="center"/>
          </w:tcPr>
          <w:p w14:paraId="1C6E141F" w14:textId="77777777" w:rsidR="000E6A09" w:rsidRDefault="000E6A09" w:rsidP="00414D13">
            <w:pPr>
              <w:rPr>
                <w:noProof/>
              </w:rPr>
            </w:pPr>
            <w:r w:rsidRPr="00D0022B">
              <w:rPr>
                <w:noProof/>
                <w:sz w:val="22"/>
              </w:rPr>
              <w:t>2019</w:t>
            </w:r>
            <w:r>
              <w:rPr>
                <w:noProof/>
                <w:sz w:val="22"/>
              </w:rPr>
              <w:t xml:space="preserve"> (</w:t>
            </w:r>
            <w:r w:rsidRPr="00D0022B">
              <w:rPr>
                <w:noProof/>
                <w:sz w:val="22"/>
              </w:rPr>
              <w:t>2</w:t>
            </w:r>
            <w:r>
              <w:rPr>
                <w:noProof/>
                <w:sz w:val="22"/>
              </w:rPr>
              <w:t>)</w:t>
            </w:r>
          </w:p>
        </w:tc>
        <w:tc>
          <w:tcPr>
            <w:tcW w:w="3081" w:type="dxa"/>
            <w:vAlign w:val="center"/>
          </w:tcPr>
          <w:p w14:paraId="4606ABCC" w14:textId="77777777" w:rsidR="000E6A09" w:rsidRPr="008B244E" w:rsidRDefault="000E6A09" w:rsidP="00414D13">
            <w:pPr>
              <w:jc w:val="right"/>
              <w:rPr>
                <w:noProof/>
                <w:sz w:val="22"/>
              </w:rPr>
            </w:pPr>
            <w:r w:rsidRPr="00D0022B">
              <w:rPr>
                <w:noProof/>
                <w:sz w:val="22"/>
              </w:rPr>
              <w:t>12</w:t>
            </w:r>
          </w:p>
        </w:tc>
        <w:tc>
          <w:tcPr>
            <w:tcW w:w="3081" w:type="dxa"/>
            <w:vAlign w:val="center"/>
          </w:tcPr>
          <w:p w14:paraId="08F99657" w14:textId="77777777" w:rsidR="000E6A09" w:rsidRPr="008B244E" w:rsidRDefault="000E6A09" w:rsidP="00414D13">
            <w:pPr>
              <w:jc w:val="right"/>
              <w:rPr>
                <w:noProof/>
                <w:sz w:val="22"/>
              </w:rPr>
            </w:pPr>
            <w:r w:rsidRPr="00D0022B">
              <w:rPr>
                <w:noProof/>
                <w:sz w:val="22"/>
              </w:rPr>
              <w:t>84</w:t>
            </w:r>
          </w:p>
        </w:tc>
      </w:tr>
      <w:tr w:rsidR="000E6A09" w14:paraId="0F4DD137" w14:textId="77777777" w:rsidTr="00F66EBB">
        <w:trPr>
          <w:trHeight w:val="454"/>
        </w:trPr>
        <w:tc>
          <w:tcPr>
            <w:tcW w:w="3080" w:type="dxa"/>
            <w:shd w:val="clear" w:color="auto" w:fill="auto"/>
            <w:vAlign w:val="center"/>
          </w:tcPr>
          <w:p w14:paraId="0173EC0D" w14:textId="77777777" w:rsidR="000E6A09" w:rsidRPr="00217D37" w:rsidRDefault="000E6A09" w:rsidP="00414D13">
            <w:pPr>
              <w:rPr>
                <w:noProof/>
                <w:sz w:val="22"/>
              </w:rPr>
            </w:pPr>
            <w:r w:rsidRPr="00D0022B">
              <w:rPr>
                <w:noProof/>
                <w:sz w:val="22"/>
              </w:rPr>
              <w:t>2020</w:t>
            </w:r>
            <w:r>
              <w:rPr>
                <w:noProof/>
                <w:sz w:val="22"/>
              </w:rPr>
              <w:t xml:space="preserve"> (</w:t>
            </w:r>
            <w:r w:rsidRPr="00D0022B">
              <w:rPr>
                <w:noProof/>
                <w:sz w:val="22"/>
              </w:rPr>
              <w:t>2</w:t>
            </w:r>
            <w:r>
              <w:rPr>
                <w:noProof/>
                <w:sz w:val="22"/>
              </w:rPr>
              <w:t>)</w:t>
            </w:r>
          </w:p>
        </w:tc>
        <w:tc>
          <w:tcPr>
            <w:tcW w:w="3081" w:type="dxa"/>
            <w:vAlign w:val="center"/>
          </w:tcPr>
          <w:p w14:paraId="5733692A" w14:textId="77777777" w:rsidR="000E6A09" w:rsidRPr="008B244E" w:rsidRDefault="000E6A09" w:rsidP="00414D13">
            <w:pPr>
              <w:jc w:val="right"/>
              <w:rPr>
                <w:noProof/>
                <w:sz w:val="22"/>
              </w:rPr>
            </w:pPr>
            <w:r w:rsidRPr="00D0022B">
              <w:rPr>
                <w:noProof/>
                <w:sz w:val="22"/>
              </w:rPr>
              <w:t>8</w:t>
            </w:r>
          </w:p>
        </w:tc>
        <w:tc>
          <w:tcPr>
            <w:tcW w:w="3081" w:type="dxa"/>
            <w:vAlign w:val="center"/>
          </w:tcPr>
          <w:p w14:paraId="6A56642C" w14:textId="77777777" w:rsidR="000E6A09" w:rsidRPr="008B244E" w:rsidRDefault="000E6A09" w:rsidP="00414D13">
            <w:pPr>
              <w:jc w:val="right"/>
              <w:rPr>
                <w:noProof/>
                <w:sz w:val="22"/>
              </w:rPr>
            </w:pPr>
            <w:r w:rsidRPr="00D0022B">
              <w:rPr>
                <w:noProof/>
                <w:sz w:val="22"/>
              </w:rPr>
              <w:t>52</w:t>
            </w:r>
          </w:p>
        </w:tc>
      </w:tr>
      <w:tr w:rsidR="000E6A09" w14:paraId="44CA950C" w14:textId="77777777" w:rsidTr="00414D13">
        <w:trPr>
          <w:trHeight w:val="454"/>
        </w:trPr>
        <w:tc>
          <w:tcPr>
            <w:tcW w:w="3080" w:type="dxa"/>
            <w:shd w:val="clear" w:color="auto" w:fill="DBE5F1" w:themeFill="accent1" w:themeFillTint="33"/>
            <w:vAlign w:val="center"/>
          </w:tcPr>
          <w:p w14:paraId="375FEDAB" w14:textId="77777777" w:rsidR="000E6A09" w:rsidRPr="00217D37" w:rsidRDefault="000E6A09" w:rsidP="00414D13">
            <w:pPr>
              <w:rPr>
                <w:noProof/>
                <w:sz w:val="22"/>
              </w:rPr>
            </w:pPr>
            <w:r>
              <w:rPr>
                <w:b/>
                <w:noProof/>
                <w:sz w:val="22"/>
              </w:rPr>
              <w:t>Gesamt</w:t>
            </w:r>
          </w:p>
        </w:tc>
        <w:tc>
          <w:tcPr>
            <w:tcW w:w="3081" w:type="dxa"/>
            <w:shd w:val="clear" w:color="auto" w:fill="DBE5F1" w:themeFill="accent1" w:themeFillTint="33"/>
            <w:vAlign w:val="center"/>
          </w:tcPr>
          <w:p w14:paraId="762D85EB" w14:textId="77777777" w:rsidR="000E6A09" w:rsidRPr="001B65F0" w:rsidRDefault="000E6A09" w:rsidP="00414D13">
            <w:pPr>
              <w:jc w:val="right"/>
              <w:rPr>
                <w:b/>
                <w:noProof/>
                <w:sz w:val="22"/>
              </w:rPr>
            </w:pPr>
          </w:p>
        </w:tc>
        <w:tc>
          <w:tcPr>
            <w:tcW w:w="3081" w:type="dxa"/>
            <w:shd w:val="clear" w:color="auto" w:fill="DBE5F1" w:themeFill="accent1" w:themeFillTint="33"/>
            <w:vAlign w:val="center"/>
          </w:tcPr>
          <w:p w14:paraId="4B778F8B" w14:textId="77777777" w:rsidR="000E6A09" w:rsidRPr="001B65F0" w:rsidRDefault="000E6A09" w:rsidP="00414D13">
            <w:pPr>
              <w:jc w:val="right"/>
              <w:rPr>
                <w:b/>
                <w:noProof/>
                <w:sz w:val="22"/>
              </w:rPr>
            </w:pPr>
            <w:r w:rsidRPr="00D0022B">
              <w:rPr>
                <w:b/>
                <w:noProof/>
                <w:sz w:val="22"/>
              </w:rPr>
              <w:t>253</w:t>
            </w:r>
          </w:p>
        </w:tc>
      </w:tr>
    </w:tbl>
    <w:p w14:paraId="2AC4C720" w14:textId="77777777" w:rsidR="000E6A09" w:rsidRDefault="000E6A09" w:rsidP="0096606D">
      <w:pPr>
        <w:rPr>
          <w:noProof/>
          <w:color w:val="000000" w:themeColor="text1"/>
          <w:sz w:val="22"/>
        </w:rPr>
      </w:pPr>
    </w:p>
    <w:p w14:paraId="5A17E154" w14:textId="750FB10F" w:rsidR="0096606D" w:rsidRDefault="0096606D" w:rsidP="0096606D">
      <w:pPr>
        <w:rPr>
          <w:rFonts w:eastAsiaTheme="minorHAnsi"/>
          <w:noProof/>
          <w:color w:val="000000" w:themeColor="text1"/>
          <w:sz w:val="22"/>
        </w:rPr>
      </w:pPr>
      <w:r>
        <w:rPr>
          <w:noProof/>
          <w:color w:val="000000" w:themeColor="text1"/>
          <w:sz w:val="22"/>
        </w:rPr>
        <w:t>(</w:t>
      </w:r>
      <w:r w:rsidRPr="00D0022B">
        <w:rPr>
          <w:noProof/>
          <w:color w:val="000000" w:themeColor="text1"/>
          <w:sz w:val="22"/>
        </w:rPr>
        <w:t>1</w:t>
      </w:r>
      <w:r>
        <w:rPr>
          <w:noProof/>
          <w:color w:val="000000" w:themeColor="text1"/>
          <w:sz w:val="22"/>
        </w:rPr>
        <w:t xml:space="preserve">) </w:t>
      </w:r>
      <w:r w:rsidRPr="00D0022B">
        <w:rPr>
          <w:noProof/>
          <w:color w:val="000000" w:themeColor="text1"/>
          <w:sz w:val="22"/>
        </w:rPr>
        <w:t>1</w:t>
      </w:r>
      <w:r>
        <w:rPr>
          <w:noProof/>
          <w:color w:val="000000" w:themeColor="text1"/>
          <w:sz w:val="22"/>
        </w:rPr>
        <w:t> Mitgliedstaat hat keine Informationen übermittelt.</w:t>
      </w:r>
    </w:p>
    <w:p w14:paraId="612C3106" w14:textId="6C6EA395" w:rsidR="008B244E" w:rsidRPr="0096606D" w:rsidRDefault="001B65F0" w:rsidP="0096606D">
      <w:pPr>
        <w:rPr>
          <w:rFonts w:eastAsiaTheme="minorHAnsi"/>
          <w:noProof/>
          <w:color w:val="000000" w:themeColor="text1"/>
          <w:sz w:val="22"/>
        </w:rPr>
      </w:pPr>
      <w:r>
        <w:rPr>
          <w:noProof/>
          <w:color w:val="000000" w:themeColor="text1"/>
          <w:sz w:val="22"/>
        </w:rPr>
        <w:t>(</w:t>
      </w:r>
      <w:r w:rsidRPr="00D0022B">
        <w:rPr>
          <w:noProof/>
          <w:color w:val="000000" w:themeColor="text1"/>
          <w:sz w:val="22"/>
        </w:rPr>
        <w:t>2</w:t>
      </w:r>
      <w:r>
        <w:rPr>
          <w:noProof/>
          <w:color w:val="000000" w:themeColor="text1"/>
          <w:sz w:val="22"/>
        </w:rPr>
        <w:t xml:space="preserve">) </w:t>
      </w:r>
      <w:r w:rsidRPr="00D0022B">
        <w:rPr>
          <w:noProof/>
          <w:color w:val="000000" w:themeColor="text1"/>
          <w:sz w:val="22"/>
        </w:rPr>
        <w:t>2</w:t>
      </w:r>
      <w:r>
        <w:rPr>
          <w:noProof/>
          <w:color w:val="000000" w:themeColor="text1"/>
          <w:sz w:val="22"/>
        </w:rPr>
        <w:t> Mitgliedstaaten haben keine Informationen übermittelt.</w:t>
      </w:r>
    </w:p>
    <w:p w14:paraId="7761A764" w14:textId="77777777" w:rsidR="001B0DD0" w:rsidRPr="000A656F" w:rsidRDefault="001B0DD0" w:rsidP="00A357B5">
      <w:pPr>
        <w:jc w:val="both"/>
        <w:rPr>
          <w:noProof/>
        </w:rPr>
      </w:pPr>
    </w:p>
    <w:sectPr w:rsidR="001B0DD0" w:rsidRPr="000A656F" w:rsidSect="00F6049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6CF5A" w14:textId="77777777" w:rsidR="00525ACC" w:rsidRDefault="00525ACC" w:rsidP="00EF74AD">
      <w:r>
        <w:separator/>
      </w:r>
    </w:p>
  </w:endnote>
  <w:endnote w:type="continuationSeparator" w:id="0">
    <w:p w14:paraId="03EBD1C5" w14:textId="77777777" w:rsidR="00525ACC" w:rsidRDefault="00525ACC" w:rsidP="00EF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568A" w14:textId="77777777" w:rsidR="002E0CCA" w:rsidRPr="002E0CCA" w:rsidRDefault="002E0CCA" w:rsidP="002E0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4057" w14:textId="7CE1FAA4" w:rsidR="00525ACC" w:rsidRPr="002E0CCA" w:rsidRDefault="002E0CCA" w:rsidP="002E0CCA">
    <w:pPr>
      <w:pStyle w:val="FooterCoverPage"/>
      <w:rPr>
        <w:rFonts w:ascii="Arial" w:hAnsi="Arial" w:cs="Arial"/>
        <w:b/>
        <w:sz w:val="48"/>
      </w:rPr>
    </w:pPr>
    <w:r w:rsidRPr="002E0CCA">
      <w:rPr>
        <w:rFonts w:ascii="Arial" w:hAnsi="Arial" w:cs="Arial"/>
        <w:b/>
        <w:sz w:val="48"/>
      </w:rPr>
      <w:t>DE</w:t>
    </w:r>
    <w:r w:rsidRPr="002E0CCA">
      <w:rPr>
        <w:rFonts w:ascii="Arial" w:hAnsi="Arial" w:cs="Arial"/>
        <w:b/>
        <w:sz w:val="48"/>
      </w:rPr>
      <w:tab/>
    </w:r>
    <w:r w:rsidRPr="002E0CCA">
      <w:rPr>
        <w:rFonts w:ascii="Arial" w:hAnsi="Arial" w:cs="Arial"/>
        <w:b/>
        <w:sz w:val="48"/>
      </w:rPr>
      <w:tab/>
    </w:r>
    <w:r w:rsidRPr="002E0CCA">
      <w:tab/>
    </w:r>
    <w:r w:rsidRPr="002E0CCA">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F691" w14:textId="77777777" w:rsidR="002E0CCA" w:rsidRPr="002E0CCA" w:rsidRDefault="002E0CCA" w:rsidP="002E0CC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96DA" w14:textId="77777777" w:rsidR="00525ACC" w:rsidRDefault="00525A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842220"/>
      <w:docPartObj>
        <w:docPartGallery w:val="Page Numbers (Bottom of Page)"/>
        <w:docPartUnique/>
      </w:docPartObj>
    </w:sdtPr>
    <w:sdtEndPr/>
    <w:sdtContent>
      <w:p w14:paraId="22B2D753" w14:textId="394B7D5B" w:rsidR="00525ACC" w:rsidRDefault="00525ACC">
        <w:pPr>
          <w:pStyle w:val="Footer"/>
          <w:jc w:val="center"/>
        </w:pPr>
        <w:r>
          <w:fldChar w:fldCharType="begin"/>
        </w:r>
        <w:r>
          <w:instrText xml:space="preserve"> PAGE   \* MERGEFORMAT </w:instrText>
        </w:r>
        <w:r>
          <w:fldChar w:fldCharType="separate"/>
        </w:r>
        <w:r w:rsidR="002E0CCA">
          <w:rPr>
            <w:noProof/>
          </w:rPr>
          <w:t>1</w:t>
        </w:r>
        <w:r>
          <w:fldChar w:fldCharType="end"/>
        </w:r>
      </w:p>
    </w:sdtContent>
  </w:sdt>
  <w:p w14:paraId="41FB3EDA" w14:textId="77777777" w:rsidR="00525ACC" w:rsidRDefault="00525A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BD3F" w14:textId="77777777" w:rsidR="00525ACC" w:rsidRDefault="00525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CC57" w14:textId="77777777" w:rsidR="00525ACC" w:rsidRDefault="00525ACC" w:rsidP="00EF74AD">
      <w:r>
        <w:separator/>
      </w:r>
    </w:p>
  </w:footnote>
  <w:footnote w:type="continuationSeparator" w:id="0">
    <w:p w14:paraId="0A00B185" w14:textId="77777777" w:rsidR="00525ACC" w:rsidRDefault="00525ACC" w:rsidP="00EF74AD">
      <w:r>
        <w:continuationSeparator/>
      </w:r>
    </w:p>
  </w:footnote>
  <w:footnote w:id="1">
    <w:p w14:paraId="468F0662" w14:textId="77777777" w:rsidR="00525ACC" w:rsidRDefault="00525ACC" w:rsidP="00EF74AD">
      <w:pPr>
        <w:pStyle w:val="FootnoteText"/>
        <w:jc w:val="both"/>
      </w:pPr>
      <w:r>
        <w:rPr>
          <w:rStyle w:val="FootnoteReference"/>
        </w:rPr>
        <w:footnoteRef/>
      </w:r>
      <w:r>
        <w:t xml:space="preserve"> Gemäß Artikel </w:t>
      </w:r>
      <w:r w:rsidRPr="00D0022B">
        <w:t>10</w:t>
      </w:r>
      <w:r>
        <w:t xml:space="preserve"> der Verordnung (EG) Nr. </w:t>
      </w:r>
      <w:r w:rsidRPr="00D0022B">
        <w:t>116</w:t>
      </w:r>
      <w:r>
        <w:t>/</w:t>
      </w:r>
      <w:r w:rsidRPr="00D0022B">
        <w:t>2009</w:t>
      </w:r>
      <w:r>
        <w:t xml:space="preserve"> legt die Kommission dem Europäischen Parlament, dem Rat und dem Europäischen Wirtschafts- und Sozialausschuss regelmäßig einen Bericht über die Durchführung dieser Verordnung vor.</w:t>
      </w:r>
    </w:p>
  </w:footnote>
  <w:footnote w:id="2">
    <w:p w14:paraId="2FAD6FB8" w14:textId="033F4760" w:rsidR="00525ACC" w:rsidRPr="005375AC" w:rsidRDefault="00525ACC" w:rsidP="005375AC">
      <w:pPr>
        <w:pStyle w:val="FootnoteText"/>
        <w:jc w:val="both"/>
      </w:pPr>
      <w:r>
        <w:rPr>
          <w:rStyle w:val="FootnoteReference"/>
        </w:rPr>
        <w:footnoteRef/>
      </w:r>
      <w:r>
        <w:t xml:space="preserve"> Der Bericht erstreckt sich auf den Zeitraum bis </w:t>
      </w:r>
      <w:r w:rsidRPr="00D0022B">
        <w:t>31</w:t>
      </w:r>
      <w:r>
        <w:t xml:space="preserve">. Dezember </w:t>
      </w:r>
      <w:r w:rsidRPr="00D0022B">
        <w:t>2020</w:t>
      </w:r>
      <w:r>
        <w:t xml:space="preserve"> und enthält daher auch statistische Daten aus dem Vereinigten Königreich. Seit dem </w:t>
      </w:r>
      <w:r w:rsidRPr="00D0022B">
        <w:t>1</w:t>
      </w:r>
      <w:r>
        <w:t xml:space="preserve">. Januar </w:t>
      </w:r>
      <w:r w:rsidRPr="00D0022B">
        <w:t>2021</w:t>
      </w:r>
      <w:r>
        <w:t xml:space="preserve"> ist das EU-Recht im Vereinigten Königreich nicht mehr anwendbar, außer in Bezug auf Nordirland. Daher werden Berichte, die zukünftige Zeiträume abdecken, nur Statistiken der </w:t>
      </w:r>
      <w:r w:rsidRPr="00D0022B">
        <w:t>27</w:t>
      </w:r>
      <w:r>
        <w:t> EU-Mitgliedstaaten und des Vereinigten Königreichs in Bezug auf Nordirland enthalten.</w:t>
      </w:r>
    </w:p>
  </w:footnote>
  <w:footnote w:id="3">
    <w:p w14:paraId="77F4B112" w14:textId="77777777" w:rsidR="00525ACC" w:rsidRPr="00D2684C" w:rsidRDefault="00525ACC" w:rsidP="00D2684C">
      <w:pPr>
        <w:pStyle w:val="FootnoteText"/>
        <w:jc w:val="both"/>
      </w:pPr>
      <w:r>
        <w:rPr>
          <w:rStyle w:val="FootnoteReference"/>
        </w:rPr>
        <w:footnoteRef/>
      </w:r>
      <w:r>
        <w:t xml:space="preserve"> Verordnung (EG) Nr. </w:t>
      </w:r>
      <w:r w:rsidRPr="00D0022B">
        <w:t>116</w:t>
      </w:r>
      <w:r>
        <w:t>/</w:t>
      </w:r>
      <w:r w:rsidRPr="00D0022B">
        <w:t>2009</w:t>
      </w:r>
      <w:r>
        <w:t xml:space="preserve"> des Rates vom </w:t>
      </w:r>
      <w:r w:rsidRPr="00D0022B">
        <w:t>18</w:t>
      </w:r>
      <w:r>
        <w:t xml:space="preserve">. Dezember </w:t>
      </w:r>
      <w:r w:rsidRPr="00D0022B">
        <w:t>2008</w:t>
      </w:r>
      <w:r>
        <w:t xml:space="preserve"> über die Ausfuhr von Kulturgütern (ABl. L </w:t>
      </w:r>
      <w:r w:rsidRPr="00D0022B">
        <w:t>39</w:t>
      </w:r>
      <w:r>
        <w:t xml:space="preserve"> vom </w:t>
      </w:r>
      <w:r w:rsidRPr="00D0022B">
        <w:t>10</w:t>
      </w:r>
      <w:r>
        <w:t>.</w:t>
      </w:r>
      <w:r w:rsidRPr="00D0022B">
        <w:t>2</w:t>
      </w:r>
      <w:r>
        <w:t>.</w:t>
      </w:r>
      <w:r w:rsidRPr="00D0022B">
        <w:t>2009</w:t>
      </w:r>
      <w:r>
        <w:t>, S. </w:t>
      </w:r>
      <w:r w:rsidRPr="00D0022B">
        <w:t>1</w:t>
      </w:r>
      <w:r>
        <w:t>).</w:t>
      </w:r>
    </w:p>
  </w:footnote>
  <w:footnote w:id="4">
    <w:p w14:paraId="0139E6B8" w14:textId="77777777" w:rsidR="00525ACC" w:rsidRPr="00F463AF" w:rsidRDefault="00525ACC">
      <w:pPr>
        <w:pStyle w:val="FootnoteText"/>
      </w:pPr>
      <w:r>
        <w:rPr>
          <w:rStyle w:val="FootnoteReference"/>
        </w:rPr>
        <w:footnoteRef/>
      </w:r>
      <w:r>
        <w:t xml:space="preserve"> Artikel </w:t>
      </w:r>
      <w:r w:rsidRPr="00D0022B">
        <w:t>2</w:t>
      </w:r>
      <w:r>
        <w:t xml:space="preserve"> Absatz </w:t>
      </w:r>
      <w:r w:rsidRPr="00D0022B">
        <w:t>2</w:t>
      </w:r>
      <w:r>
        <w:t>.</w:t>
      </w:r>
    </w:p>
  </w:footnote>
  <w:footnote w:id="5">
    <w:p w14:paraId="2554D8F8" w14:textId="77777777" w:rsidR="00525ACC" w:rsidRPr="00D2684C" w:rsidRDefault="00525ACC" w:rsidP="00D2684C">
      <w:pPr>
        <w:pStyle w:val="FootnoteText"/>
        <w:jc w:val="both"/>
      </w:pPr>
      <w:r>
        <w:rPr>
          <w:rStyle w:val="FootnoteReference"/>
        </w:rPr>
        <w:footnoteRef/>
      </w:r>
      <w:r>
        <w:t xml:space="preserve"> Durchführungsverordnung (EU) Nr. </w:t>
      </w:r>
      <w:r w:rsidRPr="00D0022B">
        <w:t>1081</w:t>
      </w:r>
      <w:r>
        <w:t>/</w:t>
      </w:r>
      <w:r w:rsidRPr="00D0022B">
        <w:t>2012</w:t>
      </w:r>
      <w:r>
        <w:t xml:space="preserve"> der Kommission vom </w:t>
      </w:r>
      <w:r w:rsidRPr="00D0022B">
        <w:t>9</w:t>
      </w:r>
      <w:r>
        <w:t xml:space="preserve">. November </w:t>
      </w:r>
      <w:r w:rsidRPr="00D0022B">
        <w:t>2012</w:t>
      </w:r>
      <w:r>
        <w:t xml:space="preserve"> zu der Verordnung (EG) Nr. </w:t>
      </w:r>
      <w:r w:rsidRPr="00D0022B">
        <w:t>116</w:t>
      </w:r>
      <w:r>
        <w:t>/</w:t>
      </w:r>
      <w:r w:rsidRPr="00D0022B">
        <w:t>2009</w:t>
      </w:r>
      <w:r>
        <w:t xml:space="preserve"> des Rates über die Ausfuhr von Kulturgütern (ABl. L </w:t>
      </w:r>
      <w:r w:rsidRPr="00D0022B">
        <w:t>324</w:t>
      </w:r>
      <w:r>
        <w:t xml:space="preserve"> vom </w:t>
      </w:r>
      <w:r w:rsidRPr="00D0022B">
        <w:t>22</w:t>
      </w:r>
      <w:r>
        <w:t>.</w:t>
      </w:r>
      <w:r w:rsidRPr="00D0022B">
        <w:t>11</w:t>
      </w:r>
      <w:r>
        <w:t>.</w:t>
      </w:r>
      <w:r w:rsidRPr="00D0022B">
        <w:t>2012</w:t>
      </w:r>
      <w:r>
        <w:t>, S. </w:t>
      </w:r>
      <w:r w:rsidRPr="00D0022B">
        <w:t>1</w:t>
      </w:r>
      <w:r>
        <w:t>).</w:t>
      </w:r>
    </w:p>
  </w:footnote>
  <w:footnote w:id="6">
    <w:p w14:paraId="43145772" w14:textId="68909F6C" w:rsidR="00525ACC" w:rsidRPr="00D2684C" w:rsidRDefault="00525ACC" w:rsidP="00D2684C">
      <w:pPr>
        <w:pStyle w:val="FootnoteText"/>
        <w:jc w:val="both"/>
      </w:pPr>
      <w:r>
        <w:rPr>
          <w:rStyle w:val="FootnoteReference"/>
        </w:rPr>
        <w:footnoteRef/>
      </w:r>
      <w:r>
        <w:t xml:space="preserve"> Diese Verzeichnisse wurden zuletzt im ABl. C </w:t>
      </w:r>
      <w:r w:rsidRPr="00D0022B">
        <w:t>71</w:t>
      </w:r>
      <w:r>
        <w:t xml:space="preserve"> vom </w:t>
      </w:r>
      <w:r w:rsidRPr="00D0022B">
        <w:t>24</w:t>
      </w:r>
      <w:r>
        <w:t>.</w:t>
      </w:r>
      <w:r w:rsidRPr="00D0022B">
        <w:t>2</w:t>
      </w:r>
      <w:r>
        <w:t>.</w:t>
      </w:r>
      <w:r w:rsidRPr="00D0022B">
        <w:t>2018</w:t>
      </w:r>
      <w:r>
        <w:t>, S. </w:t>
      </w:r>
      <w:r w:rsidRPr="00D0022B">
        <w:t>5</w:t>
      </w:r>
      <w:r>
        <w:t>, und im ABl. C </w:t>
      </w:r>
      <w:r w:rsidRPr="00D0022B">
        <w:t>184</w:t>
      </w:r>
      <w:r>
        <w:t xml:space="preserve"> vom </w:t>
      </w:r>
      <w:r w:rsidRPr="00D0022B">
        <w:t>12</w:t>
      </w:r>
      <w:r>
        <w:t>.</w:t>
      </w:r>
      <w:r w:rsidRPr="00D0022B">
        <w:t>5</w:t>
      </w:r>
      <w:r>
        <w:t>.</w:t>
      </w:r>
      <w:r w:rsidRPr="00D0022B">
        <w:t>2021</w:t>
      </w:r>
      <w:r>
        <w:t>, S. </w:t>
      </w:r>
      <w:r w:rsidRPr="00D0022B">
        <w:t>13</w:t>
      </w:r>
      <w:r>
        <w:t>, veröffentlicht</w:t>
      </w:r>
    </w:p>
  </w:footnote>
  <w:footnote w:id="7">
    <w:p w14:paraId="7E6B7BFA" w14:textId="77777777" w:rsidR="00525ACC" w:rsidRPr="001C754E" w:rsidRDefault="00525ACC" w:rsidP="006D7480">
      <w:pPr>
        <w:pStyle w:val="FootnoteText"/>
        <w:jc w:val="both"/>
      </w:pPr>
      <w:r>
        <w:rPr>
          <w:rStyle w:val="FootnoteReference"/>
        </w:rPr>
        <w:footnoteRef/>
      </w:r>
      <w:r>
        <w:t xml:space="preserve"> Richtlinie </w:t>
      </w:r>
      <w:r w:rsidRPr="00D0022B">
        <w:t>2014</w:t>
      </w:r>
      <w:r>
        <w:t>/</w:t>
      </w:r>
      <w:r w:rsidRPr="00D0022B">
        <w:t>60</w:t>
      </w:r>
      <w:r>
        <w:t xml:space="preserve">/EU des Europäischen Parlaments und des Rates vom </w:t>
      </w:r>
      <w:r w:rsidRPr="00D0022B">
        <w:t>15</w:t>
      </w:r>
      <w:r>
        <w:t xml:space="preserve">. Mai </w:t>
      </w:r>
      <w:r w:rsidRPr="00D0022B">
        <w:t>2014</w:t>
      </w:r>
      <w:r>
        <w:t xml:space="preserve"> über die Rückgabe von unrechtmäßig aus dem Hoheitsgebiet eines Mitgliedstaats verbrachten Kulturgütern und zur Änderung der Verordnung (EU) Nr. </w:t>
      </w:r>
      <w:r w:rsidRPr="00D0022B">
        <w:t>1024</w:t>
      </w:r>
      <w:r>
        <w:t>/</w:t>
      </w:r>
      <w:r w:rsidRPr="00D0022B">
        <w:t>2012</w:t>
      </w:r>
      <w:r>
        <w:t xml:space="preserve"> (Neufassung) (ABl. L </w:t>
      </w:r>
      <w:r w:rsidRPr="00D0022B">
        <w:t>159</w:t>
      </w:r>
      <w:r>
        <w:t xml:space="preserve"> vom </w:t>
      </w:r>
      <w:r w:rsidRPr="00D0022B">
        <w:t>28</w:t>
      </w:r>
      <w:r>
        <w:t>.</w:t>
      </w:r>
      <w:r w:rsidRPr="00D0022B">
        <w:t>5</w:t>
      </w:r>
      <w:r>
        <w:t>.</w:t>
      </w:r>
      <w:r w:rsidRPr="00D0022B">
        <w:t>2014</w:t>
      </w:r>
      <w:r>
        <w:t>, S. </w:t>
      </w:r>
      <w:r w:rsidRPr="00D0022B">
        <w:t>1</w:t>
      </w:r>
      <w:r>
        <w:t>).</w:t>
      </w:r>
    </w:p>
  </w:footnote>
  <w:footnote w:id="8">
    <w:p w14:paraId="7C8019F5" w14:textId="77777777" w:rsidR="00525ACC" w:rsidRPr="001C754E" w:rsidRDefault="00525ACC" w:rsidP="001C754E">
      <w:pPr>
        <w:pStyle w:val="FootnoteText"/>
        <w:jc w:val="both"/>
      </w:pPr>
      <w:r>
        <w:rPr>
          <w:rStyle w:val="FootnoteReference"/>
        </w:rPr>
        <w:footnoteRef/>
      </w:r>
      <w:r>
        <w:t xml:space="preserve"> Verordnung (EU) </w:t>
      </w:r>
      <w:r w:rsidRPr="00D0022B">
        <w:t>2019</w:t>
      </w:r>
      <w:r>
        <w:t>/</w:t>
      </w:r>
      <w:r w:rsidRPr="00D0022B">
        <w:t>880</w:t>
      </w:r>
      <w:r>
        <w:t xml:space="preserve"> des Europäischen Parlaments und des Rates vom </w:t>
      </w:r>
      <w:r w:rsidRPr="00D0022B">
        <w:t>17</w:t>
      </w:r>
      <w:r>
        <w:t xml:space="preserve">. April </w:t>
      </w:r>
      <w:r w:rsidRPr="00D0022B">
        <w:t>2019</w:t>
      </w:r>
      <w:r>
        <w:t xml:space="preserve"> über das Verbringen und die Einfuhr von Kulturgütern (ABl. L </w:t>
      </w:r>
      <w:r w:rsidRPr="00D0022B">
        <w:t>151</w:t>
      </w:r>
      <w:r>
        <w:t xml:space="preserve"> vom </w:t>
      </w:r>
      <w:r w:rsidRPr="00D0022B">
        <w:t>7</w:t>
      </w:r>
      <w:r>
        <w:t>.</w:t>
      </w:r>
      <w:r w:rsidRPr="00D0022B">
        <w:t>6</w:t>
      </w:r>
      <w:r>
        <w:t>.</w:t>
      </w:r>
      <w:r w:rsidRPr="00D0022B">
        <w:t>2019</w:t>
      </w:r>
      <w:r>
        <w:t>, S. </w:t>
      </w:r>
      <w:r w:rsidRPr="00D0022B">
        <w:t>1</w:t>
      </w:r>
      <w:r>
        <w:t>).</w:t>
      </w:r>
    </w:p>
  </w:footnote>
  <w:footnote w:id="9">
    <w:p w14:paraId="5970BAD2" w14:textId="77777777" w:rsidR="00525ACC" w:rsidRPr="003A44DD" w:rsidRDefault="00525ACC">
      <w:pPr>
        <w:pStyle w:val="FootnoteText"/>
      </w:pPr>
      <w:r>
        <w:rPr>
          <w:rStyle w:val="FootnoteReference"/>
        </w:rPr>
        <w:footnoteRef/>
      </w:r>
      <w:r>
        <w:t xml:space="preserve"> Paris, </w:t>
      </w:r>
      <w:r w:rsidRPr="00D0022B">
        <w:t>14</w:t>
      </w:r>
      <w:r>
        <w:t xml:space="preserve">. November </w:t>
      </w:r>
      <w:r w:rsidRPr="00D0022B">
        <w:t>1970</w:t>
      </w:r>
      <w:r>
        <w:t>.</w:t>
      </w:r>
    </w:p>
  </w:footnote>
  <w:footnote w:id="10">
    <w:p w14:paraId="54BBFD01" w14:textId="77777777" w:rsidR="00525ACC" w:rsidRPr="00CF5520" w:rsidRDefault="00525ACC" w:rsidP="00CF5520">
      <w:pPr>
        <w:pStyle w:val="FootnoteText"/>
        <w:jc w:val="both"/>
      </w:pPr>
      <w:r>
        <w:rPr>
          <w:rStyle w:val="FootnoteReference"/>
        </w:rPr>
        <w:footnoteRef/>
      </w:r>
      <w:r>
        <w:t xml:space="preserve"> Durchführungsverordnung (EU) </w:t>
      </w:r>
      <w:r w:rsidRPr="00D0022B">
        <w:t>2021</w:t>
      </w:r>
      <w:r>
        <w:t>/</w:t>
      </w:r>
      <w:r w:rsidRPr="00D0022B">
        <w:t>1079</w:t>
      </w:r>
      <w:r>
        <w:t xml:space="preserve"> der Kommission vom </w:t>
      </w:r>
      <w:r w:rsidRPr="00D0022B">
        <w:t>24</w:t>
      </w:r>
      <w:r>
        <w:t xml:space="preserve">. Juni </w:t>
      </w:r>
      <w:r w:rsidRPr="00D0022B">
        <w:t>2021</w:t>
      </w:r>
      <w:r>
        <w:t xml:space="preserve"> mit Einzelheiten zur Umsetzung von Bestimmungen der Verordnung (EU) </w:t>
      </w:r>
      <w:r w:rsidRPr="00D0022B">
        <w:t>2019</w:t>
      </w:r>
      <w:r>
        <w:t>/</w:t>
      </w:r>
      <w:r w:rsidRPr="00D0022B">
        <w:t>880</w:t>
      </w:r>
      <w:r>
        <w:t xml:space="preserve"> des Europäischen Parlaments und des Rates über das Verbringen und die Einfuhr von Kulturgütern (ABl. L </w:t>
      </w:r>
      <w:r w:rsidRPr="00D0022B">
        <w:t>234</w:t>
      </w:r>
      <w:r>
        <w:t xml:space="preserve"> vom </w:t>
      </w:r>
      <w:r w:rsidRPr="00D0022B">
        <w:t>2</w:t>
      </w:r>
      <w:r>
        <w:t>.</w:t>
      </w:r>
      <w:r w:rsidRPr="00D0022B">
        <w:t>7</w:t>
      </w:r>
      <w:r>
        <w:t>.</w:t>
      </w:r>
      <w:r w:rsidRPr="00D0022B">
        <w:t>2021</w:t>
      </w:r>
      <w:r>
        <w:t>, S. </w:t>
      </w:r>
      <w:r w:rsidRPr="00D0022B">
        <w:t>67</w:t>
      </w:r>
      <w:r>
        <w:t>).</w:t>
      </w:r>
    </w:p>
  </w:footnote>
  <w:footnote w:id="11">
    <w:p w14:paraId="4AE5ECB9" w14:textId="77777777" w:rsidR="00525ACC" w:rsidRPr="001C754E" w:rsidRDefault="00525ACC" w:rsidP="001C754E">
      <w:pPr>
        <w:pStyle w:val="FootnoteText"/>
        <w:jc w:val="both"/>
      </w:pPr>
      <w:r>
        <w:rPr>
          <w:rStyle w:val="FootnoteReference"/>
        </w:rPr>
        <w:footnoteRef/>
      </w:r>
      <w:r>
        <w:t xml:space="preserve"> Verordnung (EG) Nr. </w:t>
      </w:r>
      <w:r w:rsidRPr="00D0022B">
        <w:t>1210</w:t>
      </w:r>
      <w:r>
        <w:t>/</w:t>
      </w:r>
      <w:r w:rsidRPr="00D0022B">
        <w:t>2003</w:t>
      </w:r>
      <w:r>
        <w:t xml:space="preserve"> des Rates vom </w:t>
      </w:r>
      <w:r w:rsidRPr="00D0022B">
        <w:t>7</w:t>
      </w:r>
      <w:r>
        <w:t xml:space="preserve">. Juli </w:t>
      </w:r>
      <w:r w:rsidRPr="00D0022B">
        <w:t>2003</w:t>
      </w:r>
      <w:r>
        <w:t xml:space="preserve"> über bestimmte spezifische Beschränkungen in den wirtschaftlichen und finanziellen Beziehungen zu Irak und zur Aufhebung der Verordnung (EG) Nr. </w:t>
      </w:r>
      <w:r w:rsidRPr="00D0022B">
        <w:t>2465</w:t>
      </w:r>
      <w:r>
        <w:t>/</w:t>
      </w:r>
      <w:r w:rsidRPr="00D0022B">
        <w:t>1996</w:t>
      </w:r>
      <w:r>
        <w:t xml:space="preserve"> (ABl. L </w:t>
      </w:r>
      <w:r w:rsidRPr="00D0022B">
        <w:t>169</w:t>
      </w:r>
      <w:r>
        <w:t xml:space="preserve"> vom </w:t>
      </w:r>
      <w:r w:rsidRPr="00D0022B">
        <w:t>8</w:t>
      </w:r>
      <w:r>
        <w:t>.</w:t>
      </w:r>
      <w:r w:rsidRPr="00D0022B">
        <w:t>7</w:t>
      </w:r>
      <w:r>
        <w:t>.</w:t>
      </w:r>
      <w:r w:rsidRPr="00D0022B">
        <w:t>2003</w:t>
      </w:r>
      <w:r>
        <w:t>, S. </w:t>
      </w:r>
      <w:r w:rsidRPr="00D0022B">
        <w:t>6</w:t>
      </w:r>
      <w:r>
        <w:t xml:space="preserve">). </w:t>
      </w:r>
    </w:p>
  </w:footnote>
  <w:footnote w:id="12">
    <w:p w14:paraId="71B75B7B" w14:textId="77777777" w:rsidR="00525ACC" w:rsidRPr="001C754E" w:rsidRDefault="00525ACC" w:rsidP="001C754E">
      <w:pPr>
        <w:pStyle w:val="FootnoteText"/>
        <w:jc w:val="both"/>
      </w:pPr>
      <w:r>
        <w:rPr>
          <w:rStyle w:val="FootnoteReference"/>
        </w:rPr>
        <w:footnoteRef/>
      </w:r>
      <w:r>
        <w:t xml:space="preserve"> Verordnung (EU) Nr. </w:t>
      </w:r>
      <w:r w:rsidRPr="00D0022B">
        <w:t>36</w:t>
      </w:r>
      <w:r>
        <w:t>/</w:t>
      </w:r>
      <w:r w:rsidRPr="00D0022B">
        <w:t>2012</w:t>
      </w:r>
      <w:r>
        <w:t xml:space="preserve"> des Rates vom </w:t>
      </w:r>
      <w:r w:rsidRPr="00D0022B">
        <w:t>18</w:t>
      </w:r>
      <w:r>
        <w:t xml:space="preserve">. Januar </w:t>
      </w:r>
      <w:r w:rsidRPr="00D0022B">
        <w:t>2012</w:t>
      </w:r>
      <w:r>
        <w:t xml:space="preserve"> über restriktive Maßnahmen angesichts der Lage in Syrien und zur Aufhebung der Verordnung (EU) Nr. </w:t>
      </w:r>
      <w:r w:rsidRPr="00D0022B">
        <w:t>442</w:t>
      </w:r>
      <w:r>
        <w:t>/</w:t>
      </w:r>
      <w:r w:rsidRPr="00D0022B">
        <w:t>2011</w:t>
      </w:r>
      <w:r>
        <w:t xml:space="preserve"> (ABl. L </w:t>
      </w:r>
      <w:r w:rsidRPr="00D0022B">
        <w:t>16</w:t>
      </w:r>
      <w:r>
        <w:t xml:space="preserve"> vom </w:t>
      </w:r>
      <w:r w:rsidRPr="00D0022B">
        <w:t>19</w:t>
      </w:r>
      <w:r>
        <w:t>.</w:t>
      </w:r>
      <w:r w:rsidRPr="00D0022B">
        <w:t>1</w:t>
      </w:r>
      <w:r>
        <w:t>.</w:t>
      </w:r>
      <w:r w:rsidRPr="00D0022B">
        <w:t>2012</w:t>
      </w:r>
      <w:r>
        <w:t>, S. </w:t>
      </w:r>
      <w:r w:rsidRPr="00D0022B">
        <w:t>1</w:t>
      </w:r>
      <w:r>
        <w:t xml:space="preserve">). </w:t>
      </w:r>
    </w:p>
  </w:footnote>
  <w:footnote w:id="13">
    <w:p w14:paraId="223D7B91" w14:textId="77777777" w:rsidR="00525ACC" w:rsidRPr="00900B11" w:rsidRDefault="00525ACC">
      <w:pPr>
        <w:pStyle w:val="FootnoteText"/>
      </w:pPr>
      <w:r>
        <w:rPr>
          <w:rStyle w:val="FootnoteReference"/>
        </w:rPr>
        <w:footnoteRef/>
      </w:r>
      <w:r>
        <w:t xml:space="preserve"> Artikel </w:t>
      </w:r>
      <w:r w:rsidRPr="00D0022B">
        <w:t>36</w:t>
      </w:r>
      <w:r>
        <w:t xml:space="preserve"> AEUV.</w:t>
      </w:r>
    </w:p>
  </w:footnote>
  <w:footnote w:id="14">
    <w:p w14:paraId="2BBA2326" w14:textId="57311233" w:rsidR="00525ACC" w:rsidRPr="00FD0158" w:rsidRDefault="00525ACC" w:rsidP="00FD0158">
      <w:pPr>
        <w:pStyle w:val="FootnoteText"/>
        <w:jc w:val="both"/>
      </w:pPr>
      <w:r>
        <w:rPr>
          <w:rStyle w:val="FootnoteReference"/>
        </w:rPr>
        <w:footnoteRef/>
      </w:r>
      <w:r>
        <w:t xml:space="preserve"> Entsprechende Fälle sind nie vor den Gerichtshof der Europäischen Union gelangt, sodass es keine spezifische Bestimmung der Begriffe „rechtmäßig“ und „endgültig“ gibt.</w:t>
      </w:r>
    </w:p>
  </w:footnote>
  <w:footnote w:id="15">
    <w:p w14:paraId="1EE3287F" w14:textId="3EAC9DC4" w:rsidR="00525ACC" w:rsidRPr="00F9009D" w:rsidRDefault="00525ACC" w:rsidP="00F9009D">
      <w:pPr>
        <w:pStyle w:val="FootnoteText"/>
        <w:jc w:val="both"/>
      </w:pPr>
      <w:r>
        <w:rPr>
          <w:rStyle w:val="FootnoteReference"/>
        </w:rPr>
        <w:footnoteRef/>
      </w:r>
      <w:r>
        <w:t xml:space="preserve"> Hingegen gelangte ein solcher Fall jüngst vor den britischen Supreme Court. Das Gericht hatte darüber zu befinden, ob ein Gemälde „rechtmäßig“ aus einem anderen Mitgliedstaat (Italien) in das Vereinigte Königreich versandt worden war, und ob der Arts Council England (ACE) daher befugt war, dem Kläger eine Genehmigung für die Verbringung des Gemäldes aus der Europäischen Union gemäß Artikel </w:t>
      </w:r>
      <w:r w:rsidRPr="00D0022B">
        <w:t>2</w:t>
      </w:r>
      <w:r>
        <w:t xml:space="preserve"> Absatz </w:t>
      </w:r>
      <w:r w:rsidRPr="00D0022B">
        <w:t>2</w:t>
      </w:r>
      <w:r>
        <w:t xml:space="preserve"> Buchstabe b der Verordnung zu erteilen. Der ACE hatte </w:t>
      </w:r>
      <w:r w:rsidRPr="00D0022B">
        <w:t>2015</w:t>
      </w:r>
      <w:r>
        <w:t xml:space="preserve"> die Erteilung einer Genehmigung für die Ausfuhr des Gemäldes aus der EU verweigert.</w:t>
      </w:r>
    </w:p>
    <w:p w14:paraId="0B9552C0" w14:textId="77777777" w:rsidR="00525ACC" w:rsidRPr="00F9009D" w:rsidRDefault="00525ACC" w:rsidP="00F9009D">
      <w:pPr>
        <w:pStyle w:val="FootnoteText"/>
      </w:pPr>
      <w:r>
        <w:t xml:space="preserve">Der Fall wurde erstmals </w:t>
      </w:r>
      <w:r w:rsidRPr="00D0022B">
        <w:t>2018</w:t>
      </w:r>
      <w:r>
        <w:t xml:space="preserve"> vor Justice Carr DBE verhandelt, die die Entscheidung des ACE bestätigte und folgendes feststellte: </w:t>
      </w:r>
    </w:p>
    <w:p w14:paraId="7A945594" w14:textId="445B2306" w:rsidR="00525ACC" w:rsidRPr="00F9009D" w:rsidRDefault="00525ACC" w:rsidP="00F9009D">
      <w:pPr>
        <w:pStyle w:val="FootnoteText"/>
        <w:jc w:val="both"/>
      </w:pPr>
      <w:r>
        <w:t>i) Der Begriff „rechtmäßig“ sei unter Bezugnahme auf das Recht des Versandmitgliedstaats, hier Italien (unter [</w:t>
      </w:r>
      <w:r w:rsidRPr="00D0022B">
        <w:t>64</w:t>
      </w:r>
      <w:r>
        <w:t>]), im Lichte des Wortlauts, der Struktur und des Zwecks der EU-Koordinierungsvorschriften (unter [</w:t>
      </w:r>
      <w:r w:rsidRPr="00D0022B">
        <w:t>57</w:t>
      </w:r>
      <w:r>
        <w:t>]–[</w:t>
      </w:r>
      <w:r w:rsidRPr="00D0022B">
        <w:t>63</w:t>
      </w:r>
      <w:r>
        <w:t xml:space="preserve">]) auszulegen. </w:t>
      </w:r>
    </w:p>
    <w:p w14:paraId="27A41A0F" w14:textId="0E1D2846" w:rsidR="00525ACC" w:rsidRPr="00F9009D" w:rsidRDefault="00525ACC" w:rsidP="00F9009D">
      <w:pPr>
        <w:pStyle w:val="FootnoteText"/>
        <w:jc w:val="both"/>
      </w:pPr>
      <w:r>
        <w:t>ii) Diese Anforderung des italienischen Rechts verstoße nicht gegen das EU-Recht zum freien Warenverkehr, das den Mitgliedstaaten einen erheblichen Ermessensspielraum zum Schutz ihres nationalen Kulturguts einräumt ([</w:t>
      </w:r>
      <w:r w:rsidRPr="00D0022B">
        <w:t>87</w:t>
      </w:r>
      <w:r>
        <w:t>]–[</w:t>
      </w:r>
      <w:r w:rsidRPr="00D0022B">
        <w:t>94</w:t>
      </w:r>
      <w:r>
        <w:t>]).</w:t>
      </w:r>
    </w:p>
    <w:p w14:paraId="5D887EB3" w14:textId="77777777" w:rsidR="00525ACC" w:rsidRPr="00F9009D" w:rsidRDefault="002E0CCA" w:rsidP="00F9009D">
      <w:pPr>
        <w:pStyle w:val="FootnoteText"/>
      </w:pPr>
      <w:hyperlink r:id="rId1" w:history="1">
        <w:r w:rsidR="00525ACC">
          <w:rPr>
            <w:rStyle w:val="Hyperlink"/>
          </w:rPr>
          <w:t>http://www.bailii.org/ew/cases/EWHC/Admin/</w:t>
        </w:r>
        <w:r w:rsidR="00525ACC" w:rsidRPr="00D0022B">
          <w:rPr>
            <w:rStyle w:val="Hyperlink"/>
          </w:rPr>
          <w:t>2018</w:t>
        </w:r>
        <w:r w:rsidR="00525ACC">
          <w:rPr>
            <w:rStyle w:val="Hyperlink"/>
          </w:rPr>
          <w:t>/</w:t>
        </w:r>
        <w:r w:rsidR="00525ACC" w:rsidRPr="00D0022B">
          <w:rPr>
            <w:rStyle w:val="Hyperlink"/>
          </w:rPr>
          <w:t>1822</w:t>
        </w:r>
        <w:r w:rsidR="00525ACC">
          <w:rPr>
            <w:rStyle w:val="Hyperlink"/>
          </w:rPr>
          <w:t>.html</w:t>
        </w:r>
      </w:hyperlink>
      <w:r w:rsidR="00525ACC">
        <w:t xml:space="preserve"> </w:t>
      </w:r>
    </w:p>
    <w:p w14:paraId="58717D48" w14:textId="77777777" w:rsidR="00525ACC" w:rsidRPr="00F9009D" w:rsidRDefault="00525ACC" w:rsidP="00F9009D">
      <w:pPr>
        <w:pStyle w:val="FootnoteText"/>
      </w:pPr>
      <w:r>
        <w:t xml:space="preserve">Die zugelassene Berufung wurde vom Court of Appeal </w:t>
      </w:r>
      <w:r w:rsidRPr="00D0022B">
        <w:t>2020</w:t>
      </w:r>
      <w:r>
        <w:t xml:space="preserve"> zurückgewiesen: </w:t>
      </w:r>
      <w:hyperlink r:id="rId2" w:history="1">
        <w:r>
          <w:rPr>
            <w:rStyle w:val="Hyperlink"/>
          </w:rPr>
          <w:t>https://www.blackstonechambers.com/documents/</w:t>
        </w:r>
        <w:r w:rsidRPr="00D0022B">
          <w:rPr>
            <w:rStyle w:val="Hyperlink"/>
          </w:rPr>
          <w:t>883</w:t>
        </w:r>
        <w:r>
          <w:rPr>
            <w:rStyle w:val="Hyperlink"/>
          </w:rPr>
          <w:t>/R_Simonis_v_Arts_Council_England.docx</w:t>
        </w:r>
      </w:hyperlink>
    </w:p>
    <w:p w14:paraId="14E00E59" w14:textId="77777777" w:rsidR="00525ACC" w:rsidRPr="00F9009D" w:rsidRDefault="00525ACC" w:rsidP="00F9009D">
      <w:pPr>
        <w:pStyle w:val="FootnoteText"/>
      </w:pPr>
      <w:r>
        <w:t xml:space="preserve">Der anschließende Gang zum Supreme Court brachte ebenfalls keinen Erfolg: </w:t>
      </w:r>
      <w:hyperlink r:id="rId3" w:history="1">
        <w:r>
          <w:rPr>
            <w:rStyle w:val="Hyperlink"/>
          </w:rPr>
          <w:t>http://www.supremecourt.uk/docs/permission-to-appeal-</w:t>
        </w:r>
        <w:r w:rsidRPr="00D0022B">
          <w:rPr>
            <w:rStyle w:val="Hyperlink"/>
          </w:rPr>
          <w:t>2021</w:t>
        </w:r>
        <w:r>
          <w:rPr>
            <w:rStyle w:val="Hyperlink"/>
          </w:rPr>
          <w:t>-</w:t>
        </w:r>
        <w:r w:rsidRPr="00D0022B">
          <w:rPr>
            <w:rStyle w:val="Hyperlink"/>
          </w:rPr>
          <w:t>01</w:t>
        </w:r>
        <w:r>
          <w:rPr>
            <w:rStyle w:val="Hyperlink"/>
          </w:rPr>
          <w:t>-</w:t>
        </w:r>
        <w:r w:rsidRPr="00D0022B">
          <w:rPr>
            <w:rStyle w:val="Hyperlink"/>
          </w:rPr>
          <w:t>2021</w:t>
        </w:r>
        <w:r>
          <w:rPr>
            <w:rStyle w:val="Hyperlink"/>
          </w:rPr>
          <w:t>-</w:t>
        </w:r>
        <w:r w:rsidRPr="00D0022B">
          <w:rPr>
            <w:rStyle w:val="Hyperlink"/>
          </w:rPr>
          <w:t>02</w:t>
        </w:r>
        <w:r>
          <w:rPr>
            <w:rStyle w:val="Hyperlink"/>
          </w:rPr>
          <w:t>.pdf</w:t>
        </w:r>
      </w:hyperlink>
      <w:r>
        <w:t xml:space="preserve"> (</w:t>
      </w:r>
      <w:r>
        <w:rPr>
          <w:i/>
        </w:rPr>
        <w:t>siehe</w:t>
      </w:r>
      <w:r>
        <w:t xml:space="preserve"> Seite </w:t>
      </w:r>
      <w:r w:rsidRPr="00D0022B">
        <w:t>3</w:t>
      </w:r>
      <w:r>
        <w:t>).</w:t>
      </w:r>
    </w:p>
  </w:footnote>
  <w:footnote w:id="16">
    <w:p w14:paraId="729321FA" w14:textId="77777777" w:rsidR="00525ACC" w:rsidRPr="00FD0158" w:rsidRDefault="00525ACC" w:rsidP="00FD0158">
      <w:pPr>
        <w:pStyle w:val="FootnoteText"/>
        <w:jc w:val="both"/>
      </w:pPr>
      <w:r>
        <w:rPr>
          <w:rStyle w:val="FootnoteReference"/>
        </w:rPr>
        <w:footnoteRef/>
      </w:r>
      <w:r>
        <w:t xml:space="preserve"> Der hauptsächliche praktische Unterschied besteht darin, dass für Gemälde (Kategorie </w:t>
      </w:r>
      <w:r w:rsidRPr="00D0022B">
        <w:t>3</w:t>
      </w:r>
      <w:r>
        <w:t xml:space="preserve">) eine Wertgrenze von </w:t>
      </w:r>
      <w:r w:rsidRPr="00D0022B">
        <w:t>150</w:t>
      </w:r>
      <w:r>
        <w:t> </w:t>
      </w:r>
      <w:r w:rsidRPr="00D0022B">
        <w:t>000</w:t>
      </w:r>
      <w:r>
        <w:t> EUR gilt, während für Bestandteile von Denkmälern (Kategorie </w:t>
      </w:r>
      <w:r w:rsidRPr="00D0022B">
        <w:t>2</w:t>
      </w:r>
      <w:r>
        <w:t xml:space="preserve">) unabhängig von ihrem Marktwert eine Ausfuhrgenehmigung erforderlich ist. Allerdings ist anzumerken, dass insbesondere die Frage der Einstufung liturgischer Ikonen durch die Klarstellungen der neuen Verordnung (EU) </w:t>
      </w:r>
      <w:r w:rsidRPr="00D0022B">
        <w:t>2019</w:t>
      </w:r>
      <w:r>
        <w:t>/</w:t>
      </w:r>
      <w:r w:rsidRPr="00D0022B">
        <w:t>880</w:t>
      </w:r>
      <w:r>
        <w:t xml:space="preserve"> zur Einfuhr von Kulturgütern beantwortet wird (liturgische Ikonen und Statuen sind Bestandteile religiöser Denkmäler).</w:t>
      </w:r>
    </w:p>
  </w:footnote>
  <w:footnote w:id="17">
    <w:p w14:paraId="118B7620" w14:textId="77777777" w:rsidR="00525ACC" w:rsidRPr="001C6DF0" w:rsidRDefault="00525ACC">
      <w:pPr>
        <w:pStyle w:val="FootnoteText"/>
      </w:pPr>
      <w:r>
        <w:rPr>
          <w:rStyle w:val="FootnoteReference"/>
        </w:rPr>
        <w:footnoteRef/>
      </w:r>
      <w:r>
        <w:t xml:space="preserve"> Definition von „Kulturgut“ in Artikel </w:t>
      </w:r>
      <w:r w:rsidRPr="00D0022B">
        <w:t>1</w:t>
      </w:r>
      <w:r>
        <w:t xml:space="preserve"> des UNESCO-Übereinkommens von </w:t>
      </w:r>
      <w:r w:rsidRPr="00D0022B">
        <w:t>1970</w:t>
      </w:r>
      <w:r>
        <w:t>.</w:t>
      </w:r>
    </w:p>
  </w:footnote>
  <w:footnote w:id="18">
    <w:p w14:paraId="2E3F584F" w14:textId="77777777" w:rsidR="00525ACC" w:rsidRPr="0087111E" w:rsidRDefault="00525ACC" w:rsidP="002748F7">
      <w:pPr>
        <w:pStyle w:val="FootnoteText"/>
        <w:jc w:val="both"/>
      </w:pPr>
      <w:r>
        <w:rPr>
          <w:rStyle w:val="FootnoteReference"/>
        </w:rPr>
        <w:footnoteRef/>
      </w:r>
      <w:r>
        <w:t xml:space="preserve"> Der Vordruck umfasst drei Blätter: Blatt </w:t>
      </w:r>
      <w:r w:rsidRPr="00D0022B">
        <w:t>1</w:t>
      </w:r>
      <w:r>
        <w:t xml:space="preserve"> ist das Antragsformular, Blatt </w:t>
      </w:r>
      <w:r w:rsidRPr="00D0022B">
        <w:t>2</w:t>
      </w:r>
      <w:r>
        <w:t xml:space="preserve"> ist für den Inhaber der Genehmigung bestimmt, und Blatt </w:t>
      </w:r>
      <w:r w:rsidRPr="00D0022B">
        <w:t>3</w:t>
      </w:r>
      <w:r>
        <w:t xml:space="preserve"> muss an die ausstellende Behörde zurückgeschickt werden, sobald das Kulturgut die Union verlassen hat. </w:t>
      </w:r>
    </w:p>
    <w:p w14:paraId="4F2B8865" w14:textId="77777777" w:rsidR="00525ACC" w:rsidRPr="0087111E" w:rsidRDefault="00525ACC">
      <w:pPr>
        <w:pStyle w:val="FootnoteText"/>
      </w:pPr>
    </w:p>
  </w:footnote>
  <w:footnote w:id="19">
    <w:p w14:paraId="541C5F49" w14:textId="77777777" w:rsidR="00525ACC" w:rsidRPr="00D4567A" w:rsidRDefault="00525ACC" w:rsidP="00EE48C5">
      <w:pPr>
        <w:pStyle w:val="FootnoteText"/>
        <w:jc w:val="both"/>
      </w:pPr>
      <w:r>
        <w:rPr>
          <w:rStyle w:val="FootnoteReference"/>
        </w:rPr>
        <w:footnoteRef/>
      </w:r>
      <w:r>
        <w:t xml:space="preserve"> Tatsächlich können in zwei Mitgliedstaaten nationale Einfuhrgenehmigungen oder Zertifikate auf Antrag erteilt werden (für vorübergehende Einfuhren), sodass Einführer von Kulturgütern davon befreit wären, eine EU-Ausfuhrgenehmigung bei den Zollbehörden zu beantragen und vorzulegen, wenn die betreffenden Waren in das Herkunftsdrittland zurückgebracht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A7BE" w14:textId="77777777" w:rsidR="002E0CCA" w:rsidRPr="002E0CCA" w:rsidRDefault="002E0CCA" w:rsidP="002E0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ED97" w14:textId="77777777" w:rsidR="002E0CCA" w:rsidRPr="002E0CCA" w:rsidRDefault="002E0CCA" w:rsidP="002E0CC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BB77" w14:textId="77777777" w:rsidR="002E0CCA" w:rsidRPr="002E0CCA" w:rsidRDefault="002E0CCA" w:rsidP="002E0CC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255D" w14:textId="77777777" w:rsidR="00525ACC" w:rsidRDefault="00525A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AD3F" w14:textId="77777777" w:rsidR="00525ACC" w:rsidRDefault="00525A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D3F5" w14:textId="77777777" w:rsidR="00525ACC" w:rsidRDefault="00525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50B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4F3835"/>
    <w:multiLevelType w:val="hybridMultilevel"/>
    <w:tmpl w:val="15E8C568"/>
    <w:lvl w:ilvl="0" w:tplc="C5387912">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6B0D4D"/>
    <w:multiLevelType w:val="hybridMultilevel"/>
    <w:tmpl w:val="E458B5AA"/>
    <w:lvl w:ilvl="0" w:tplc="C61E0542">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 w15:restartNumberingAfterBreak="0">
    <w:nsid w:val="597A5C3C"/>
    <w:multiLevelType w:val="hybridMultilevel"/>
    <w:tmpl w:val="35B8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86232"/>
    <w:multiLevelType w:val="hybridMultilevel"/>
    <w:tmpl w:val="30BCE31E"/>
    <w:lvl w:ilvl="0" w:tplc="06B6B020">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CC0B20-7453-4200-B863-A215DFCA0D13"/>
    <w:docVar w:name="LW_COVERPAGE_TYPE" w:val="1"/>
    <w:docVar w:name="LW_CROSSREFERENCE" w:val="&lt;UNUSED&gt;"/>
    <w:docVar w:name="LW_DocType" w:val="NORMAL"/>
    <w:docVar w:name="LW_EMISSION" w:val="26.8.2022"/>
    <w:docVar w:name="LW_EMISSION_ISODATE" w:val="2022-08-26"/>
    <w:docVar w:name="LW_EMISSION_LOCATION" w:val="BRX"/>
    <w:docVar w:name="LW_EMISSION_PREFIX" w:val="Brüssel, den "/>
    <w:docVar w:name="LW_EMISSION_SUFFIX" w:val=" "/>
    <w:docVar w:name="LW_ID_DOCTYPE_NONLW" w:val="CP-007"/>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2)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Durchführung der Verordnung (EG) Nr. 116/2009 des Rates vom 18. Dezember 2008 über die Ausfuhr von Kulturgütern_x000d__x000d__x000b__x000d__x000d__x000d__x000b__x000d__x000d__x000d_1. Januar 2018 bis 31. Dezember 2020"/>
    <w:docVar w:name="LW_TYPE.DOC.CP" w:val="BERICHT DER KOMMISSION AN DAS EUROPÄISCHE PARLAMENT, DEN RAT UND DEN EUROPÄISCHEN WIRTSCHAFTS- UND SOZIALAUSSCHUSS"/>
    <w:docVar w:name="LwApiVersions" w:val="LW4CoDe 1.23.2.0; LW 8.0, Build 20211117"/>
  </w:docVars>
  <w:rsids>
    <w:rsidRoot w:val="009777A0"/>
    <w:rsid w:val="00000E30"/>
    <w:rsid w:val="00001A01"/>
    <w:rsid w:val="00002AB4"/>
    <w:rsid w:val="0000366B"/>
    <w:rsid w:val="00004341"/>
    <w:rsid w:val="0000499C"/>
    <w:rsid w:val="00005267"/>
    <w:rsid w:val="00005535"/>
    <w:rsid w:val="000077A7"/>
    <w:rsid w:val="000118F1"/>
    <w:rsid w:val="000124AF"/>
    <w:rsid w:val="00015D87"/>
    <w:rsid w:val="000160F3"/>
    <w:rsid w:val="00016201"/>
    <w:rsid w:val="00020C7A"/>
    <w:rsid w:val="0002188C"/>
    <w:rsid w:val="00022F12"/>
    <w:rsid w:val="00024413"/>
    <w:rsid w:val="0002463A"/>
    <w:rsid w:val="00024F71"/>
    <w:rsid w:val="000255ED"/>
    <w:rsid w:val="0002595C"/>
    <w:rsid w:val="00026B98"/>
    <w:rsid w:val="00027329"/>
    <w:rsid w:val="00035185"/>
    <w:rsid w:val="0003544D"/>
    <w:rsid w:val="00036130"/>
    <w:rsid w:val="0003774D"/>
    <w:rsid w:val="000407FE"/>
    <w:rsid w:val="000473FF"/>
    <w:rsid w:val="00052667"/>
    <w:rsid w:val="0005417F"/>
    <w:rsid w:val="00055265"/>
    <w:rsid w:val="00055282"/>
    <w:rsid w:val="000556A6"/>
    <w:rsid w:val="00055EA4"/>
    <w:rsid w:val="000577B7"/>
    <w:rsid w:val="00057D18"/>
    <w:rsid w:val="00064EC3"/>
    <w:rsid w:val="00065A9C"/>
    <w:rsid w:val="00066557"/>
    <w:rsid w:val="00071C26"/>
    <w:rsid w:val="00071FE0"/>
    <w:rsid w:val="00072385"/>
    <w:rsid w:val="00072C64"/>
    <w:rsid w:val="000745BB"/>
    <w:rsid w:val="00075138"/>
    <w:rsid w:val="00076641"/>
    <w:rsid w:val="00076B8C"/>
    <w:rsid w:val="0007755E"/>
    <w:rsid w:val="00081320"/>
    <w:rsid w:val="000820EB"/>
    <w:rsid w:val="00082FB2"/>
    <w:rsid w:val="0008350E"/>
    <w:rsid w:val="000847C8"/>
    <w:rsid w:val="0008789E"/>
    <w:rsid w:val="000902A4"/>
    <w:rsid w:val="00092182"/>
    <w:rsid w:val="000951BC"/>
    <w:rsid w:val="00096D7A"/>
    <w:rsid w:val="000A01F2"/>
    <w:rsid w:val="000A2349"/>
    <w:rsid w:val="000A248D"/>
    <w:rsid w:val="000A5716"/>
    <w:rsid w:val="000A5BDA"/>
    <w:rsid w:val="000A6484"/>
    <w:rsid w:val="000A656F"/>
    <w:rsid w:val="000A661A"/>
    <w:rsid w:val="000B1281"/>
    <w:rsid w:val="000B1E48"/>
    <w:rsid w:val="000B1E7B"/>
    <w:rsid w:val="000B2396"/>
    <w:rsid w:val="000B2C7B"/>
    <w:rsid w:val="000B3C3A"/>
    <w:rsid w:val="000B7732"/>
    <w:rsid w:val="000C0C06"/>
    <w:rsid w:val="000C11B8"/>
    <w:rsid w:val="000C249E"/>
    <w:rsid w:val="000C69DA"/>
    <w:rsid w:val="000C6BA1"/>
    <w:rsid w:val="000C73F6"/>
    <w:rsid w:val="000D4CEF"/>
    <w:rsid w:val="000D62B1"/>
    <w:rsid w:val="000D71A3"/>
    <w:rsid w:val="000E1598"/>
    <w:rsid w:val="000E3DF7"/>
    <w:rsid w:val="000E5831"/>
    <w:rsid w:val="000E6A09"/>
    <w:rsid w:val="000F1018"/>
    <w:rsid w:val="000F3562"/>
    <w:rsid w:val="000F7128"/>
    <w:rsid w:val="00101633"/>
    <w:rsid w:val="00102277"/>
    <w:rsid w:val="00102581"/>
    <w:rsid w:val="00103529"/>
    <w:rsid w:val="00103646"/>
    <w:rsid w:val="00106525"/>
    <w:rsid w:val="0010716E"/>
    <w:rsid w:val="001105CF"/>
    <w:rsid w:val="00111DA8"/>
    <w:rsid w:val="001143C6"/>
    <w:rsid w:val="00114874"/>
    <w:rsid w:val="00115D18"/>
    <w:rsid w:val="001164FD"/>
    <w:rsid w:val="00120511"/>
    <w:rsid w:val="001205C6"/>
    <w:rsid w:val="00120A19"/>
    <w:rsid w:val="00120D4E"/>
    <w:rsid w:val="00121717"/>
    <w:rsid w:val="001234EB"/>
    <w:rsid w:val="001243C7"/>
    <w:rsid w:val="00124E40"/>
    <w:rsid w:val="00125D70"/>
    <w:rsid w:val="00130750"/>
    <w:rsid w:val="00130A15"/>
    <w:rsid w:val="00133A33"/>
    <w:rsid w:val="00134409"/>
    <w:rsid w:val="001345EF"/>
    <w:rsid w:val="00136DE7"/>
    <w:rsid w:val="001454E4"/>
    <w:rsid w:val="0014667F"/>
    <w:rsid w:val="00150716"/>
    <w:rsid w:val="00150EB0"/>
    <w:rsid w:val="00156742"/>
    <w:rsid w:val="0016329B"/>
    <w:rsid w:val="00165960"/>
    <w:rsid w:val="0016772A"/>
    <w:rsid w:val="001704DD"/>
    <w:rsid w:val="00171B84"/>
    <w:rsid w:val="001742C5"/>
    <w:rsid w:val="001747B9"/>
    <w:rsid w:val="00175B40"/>
    <w:rsid w:val="00176366"/>
    <w:rsid w:val="00182ABB"/>
    <w:rsid w:val="00184DBB"/>
    <w:rsid w:val="00190A4C"/>
    <w:rsid w:val="00190B60"/>
    <w:rsid w:val="001A139F"/>
    <w:rsid w:val="001A6419"/>
    <w:rsid w:val="001A64D6"/>
    <w:rsid w:val="001A731F"/>
    <w:rsid w:val="001B00C0"/>
    <w:rsid w:val="001B0DD0"/>
    <w:rsid w:val="001B1585"/>
    <w:rsid w:val="001B228F"/>
    <w:rsid w:val="001B4E65"/>
    <w:rsid w:val="001B505F"/>
    <w:rsid w:val="001B65F0"/>
    <w:rsid w:val="001B6AD9"/>
    <w:rsid w:val="001B7CA6"/>
    <w:rsid w:val="001C0102"/>
    <w:rsid w:val="001C041D"/>
    <w:rsid w:val="001C2E3B"/>
    <w:rsid w:val="001C448E"/>
    <w:rsid w:val="001C6DF0"/>
    <w:rsid w:val="001C723B"/>
    <w:rsid w:val="001C740C"/>
    <w:rsid w:val="001C754E"/>
    <w:rsid w:val="001D286D"/>
    <w:rsid w:val="001D7C09"/>
    <w:rsid w:val="001E02A7"/>
    <w:rsid w:val="001E02D2"/>
    <w:rsid w:val="001E1ABF"/>
    <w:rsid w:val="001E5023"/>
    <w:rsid w:val="001E75F0"/>
    <w:rsid w:val="001F02E2"/>
    <w:rsid w:val="001F0D23"/>
    <w:rsid w:val="001F11A3"/>
    <w:rsid w:val="001F675E"/>
    <w:rsid w:val="002001B0"/>
    <w:rsid w:val="00200873"/>
    <w:rsid w:val="002034A9"/>
    <w:rsid w:val="002047AB"/>
    <w:rsid w:val="00205188"/>
    <w:rsid w:val="00206BEC"/>
    <w:rsid w:val="00206C9D"/>
    <w:rsid w:val="00206D0E"/>
    <w:rsid w:val="002105B2"/>
    <w:rsid w:val="002119A2"/>
    <w:rsid w:val="00214AE9"/>
    <w:rsid w:val="0021574E"/>
    <w:rsid w:val="00215CCF"/>
    <w:rsid w:val="00217D37"/>
    <w:rsid w:val="00226BD8"/>
    <w:rsid w:val="00226D9E"/>
    <w:rsid w:val="002273D9"/>
    <w:rsid w:val="00230707"/>
    <w:rsid w:val="00232438"/>
    <w:rsid w:val="00235866"/>
    <w:rsid w:val="002362DD"/>
    <w:rsid w:val="002378EE"/>
    <w:rsid w:val="002408FF"/>
    <w:rsid w:val="002421B5"/>
    <w:rsid w:val="00244753"/>
    <w:rsid w:val="00250790"/>
    <w:rsid w:val="002510A8"/>
    <w:rsid w:val="00251554"/>
    <w:rsid w:val="00251D5C"/>
    <w:rsid w:val="00252BEC"/>
    <w:rsid w:val="00254D8F"/>
    <w:rsid w:val="00260820"/>
    <w:rsid w:val="00261EA0"/>
    <w:rsid w:val="002628FA"/>
    <w:rsid w:val="0026557F"/>
    <w:rsid w:val="00266713"/>
    <w:rsid w:val="00271F74"/>
    <w:rsid w:val="002748F7"/>
    <w:rsid w:val="002752F7"/>
    <w:rsid w:val="00282E78"/>
    <w:rsid w:val="00283419"/>
    <w:rsid w:val="002926D8"/>
    <w:rsid w:val="00292E2E"/>
    <w:rsid w:val="00295114"/>
    <w:rsid w:val="00297B45"/>
    <w:rsid w:val="002A2BCE"/>
    <w:rsid w:val="002A333A"/>
    <w:rsid w:val="002A5CA4"/>
    <w:rsid w:val="002A7CA4"/>
    <w:rsid w:val="002B16FF"/>
    <w:rsid w:val="002B1B1A"/>
    <w:rsid w:val="002B4DDD"/>
    <w:rsid w:val="002B5B63"/>
    <w:rsid w:val="002B6763"/>
    <w:rsid w:val="002C04C9"/>
    <w:rsid w:val="002C4EC7"/>
    <w:rsid w:val="002D1C53"/>
    <w:rsid w:val="002D4F5B"/>
    <w:rsid w:val="002D5848"/>
    <w:rsid w:val="002E0CCA"/>
    <w:rsid w:val="002E19FD"/>
    <w:rsid w:val="002E71F4"/>
    <w:rsid w:val="002F003B"/>
    <w:rsid w:val="002F55C9"/>
    <w:rsid w:val="0030146A"/>
    <w:rsid w:val="003041E9"/>
    <w:rsid w:val="00305040"/>
    <w:rsid w:val="003065B1"/>
    <w:rsid w:val="00306910"/>
    <w:rsid w:val="003137EA"/>
    <w:rsid w:val="00314897"/>
    <w:rsid w:val="003177AC"/>
    <w:rsid w:val="00321000"/>
    <w:rsid w:val="003234AB"/>
    <w:rsid w:val="00323F78"/>
    <w:rsid w:val="00325BDD"/>
    <w:rsid w:val="00325CA0"/>
    <w:rsid w:val="00325E30"/>
    <w:rsid w:val="003318F4"/>
    <w:rsid w:val="00334EF3"/>
    <w:rsid w:val="00335331"/>
    <w:rsid w:val="00344099"/>
    <w:rsid w:val="00344675"/>
    <w:rsid w:val="00344F9D"/>
    <w:rsid w:val="00350C6D"/>
    <w:rsid w:val="00352288"/>
    <w:rsid w:val="00352FC7"/>
    <w:rsid w:val="003539DD"/>
    <w:rsid w:val="0035483D"/>
    <w:rsid w:val="0035533E"/>
    <w:rsid w:val="00357167"/>
    <w:rsid w:val="00357A78"/>
    <w:rsid w:val="00357BF2"/>
    <w:rsid w:val="00361BF3"/>
    <w:rsid w:val="00362812"/>
    <w:rsid w:val="003734CE"/>
    <w:rsid w:val="00375489"/>
    <w:rsid w:val="00376CE4"/>
    <w:rsid w:val="00380627"/>
    <w:rsid w:val="003809B9"/>
    <w:rsid w:val="0038394A"/>
    <w:rsid w:val="003841DF"/>
    <w:rsid w:val="00385016"/>
    <w:rsid w:val="00386C19"/>
    <w:rsid w:val="00387E07"/>
    <w:rsid w:val="00390D01"/>
    <w:rsid w:val="00391FE6"/>
    <w:rsid w:val="00392C7C"/>
    <w:rsid w:val="00393B59"/>
    <w:rsid w:val="00394CC8"/>
    <w:rsid w:val="00394E76"/>
    <w:rsid w:val="003953BF"/>
    <w:rsid w:val="003A05B8"/>
    <w:rsid w:val="003A2A1D"/>
    <w:rsid w:val="003A44DD"/>
    <w:rsid w:val="003A7937"/>
    <w:rsid w:val="003A7D97"/>
    <w:rsid w:val="003B04D8"/>
    <w:rsid w:val="003B114A"/>
    <w:rsid w:val="003B1C1B"/>
    <w:rsid w:val="003B35B5"/>
    <w:rsid w:val="003B5E66"/>
    <w:rsid w:val="003B620A"/>
    <w:rsid w:val="003B6B8A"/>
    <w:rsid w:val="003B7C42"/>
    <w:rsid w:val="003C090B"/>
    <w:rsid w:val="003C2CD5"/>
    <w:rsid w:val="003C4AF0"/>
    <w:rsid w:val="003C6868"/>
    <w:rsid w:val="003C77FD"/>
    <w:rsid w:val="003C79D2"/>
    <w:rsid w:val="003C7ADC"/>
    <w:rsid w:val="003D11B1"/>
    <w:rsid w:val="003D1802"/>
    <w:rsid w:val="003D1C9D"/>
    <w:rsid w:val="003D23F8"/>
    <w:rsid w:val="003D511C"/>
    <w:rsid w:val="003D6423"/>
    <w:rsid w:val="003D6EE9"/>
    <w:rsid w:val="003E0989"/>
    <w:rsid w:val="003E0B09"/>
    <w:rsid w:val="003E24B8"/>
    <w:rsid w:val="003E52DC"/>
    <w:rsid w:val="003E5C34"/>
    <w:rsid w:val="003E6128"/>
    <w:rsid w:val="003E6C7A"/>
    <w:rsid w:val="003E7859"/>
    <w:rsid w:val="003F0F29"/>
    <w:rsid w:val="003F1505"/>
    <w:rsid w:val="003F15FE"/>
    <w:rsid w:val="003F3F8D"/>
    <w:rsid w:val="003F50DF"/>
    <w:rsid w:val="003F7B89"/>
    <w:rsid w:val="00402440"/>
    <w:rsid w:val="004028CA"/>
    <w:rsid w:val="00402B11"/>
    <w:rsid w:val="00402BC5"/>
    <w:rsid w:val="00403A5C"/>
    <w:rsid w:val="00404C20"/>
    <w:rsid w:val="0040526B"/>
    <w:rsid w:val="004063B6"/>
    <w:rsid w:val="0041104E"/>
    <w:rsid w:val="004129B5"/>
    <w:rsid w:val="00414031"/>
    <w:rsid w:val="00414D13"/>
    <w:rsid w:val="00415F17"/>
    <w:rsid w:val="00416DE9"/>
    <w:rsid w:val="00417F14"/>
    <w:rsid w:val="00420206"/>
    <w:rsid w:val="00424182"/>
    <w:rsid w:val="00424DC9"/>
    <w:rsid w:val="00430E33"/>
    <w:rsid w:val="00431961"/>
    <w:rsid w:val="00432DC8"/>
    <w:rsid w:val="00435BB4"/>
    <w:rsid w:val="004372E5"/>
    <w:rsid w:val="00437CA0"/>
    <w:rsid w:val="00440697"/>
    <w:rsid w:val="004413D8"/>
    <w:rsid w:val="00441EED"/>
    <w:rsid w:val="004420D8"/>
    <w:rsid w:val="00442A13"/>
    <w:rsid w:val="00442D34"/>
    <w:rsid w:val="00445EA6"/>
    <w:rsid w:val="004467B1"/>
    <w:rsid w:val="00452783"/>
    <w:rsid w:val="00454F7B"/>
    <w:rsid w:val="00457A71"/>
    <w:rsid w:val="004636C8"/>
    <w:rsid w:val="00466D80"/>
    <w:rsid w:val="0046781D"/>
    <w:rsid w:val="00471939"/>
    <w:rsid w:val="0047193F"/>
    <w:rsid w:val="00472EC2"/>
    <w:rsid w:val="0047354B"/>
    <w:rsid w:val="004735A0"/>
    <w:rsid w:val="00473A6A"/>
    <w:rsid w:val="004745E0"/>
    <w:rsid w:val="0047478E"/>
    <w:rsid w:val="00476DBB"/>
    <w:rsid w:val="004772FF"/>
    <w:rsid w:val="00481100"/>
    <w:rsid w:val="0048262E"/>
    <w:rsid w:val="00487452"/>
    <w:rsid w:val="00490132"/>
    <w:rsid w:val="004910BE"/>
    <w:rsid w:val="00492DD0"/>
    <w:rsid w:val="00494912"/>
    <w:rsid w:val="00494F80"/>
    <w:rsid w:val="00495126"/>
    <w:rsid w:val="00495FE1"/>
    <w:rsid w:val="004A1277"/>
    <w:rsid w:val="004A1D34"/>
    <w:rsid w:val="004A2280"/>
    <w:rsid w:val="004A4991"/>
    <w:rsid w:val="004A6F57"/>
    <w:rsid w:val="004B0424"/>
    <w:rsid w:val="004B480E"/>
    <w:rsid w:val="004B6247"/>
    <w:rsid w:val="004B666B"/>
    <w:rsid w:val="004C0681"/>
    <w:rsid w:val="004C4DA8"/>
    <w:rsid w:val="004C597F"/>
    <w:rsid w:val="004C5B43"/>
    <w:rsid w:val="004C64B1"/>
    <w:rsid w:val="004C64D9"/>
    <w:rsid w:val="004C6C69"/>
    <w:rsid w:val="004D1AC4"/>
    <w:rsid w:val="004D2758"/>
    <w:rsid w:val="004D3752"/>
    <w:rsid w:val="004D42DA"/>
    <w:rsid w:val="004E0F32"/>
    <w:rsid w:val="004E1872"/>
    <w:rsid w:val="004E2538"/>
    <w:rsid w:val="004E4878"/>
    <w:rsid w:val="004E689B"/>
    <w:rsid w:val="004F0492"/>
    <w:rsid w:val="004F05FD"/>
    <w:rsid w:val="004F1F17"/>
    <w:rsid w:val="004F2AD4"/>
    <w:rsid w:val="004F3D8E"/>
    <w:rsid w:val="004F70D0"/>
    <w:rsid w:val="004F7641"/>
    <w:rsid w:val="005033D0"/>
    <w:rsid w:val="005042EB"/>
    <w:rsid w:val="0050791F"/>
    <w:rsid w:val="00507950"/>
    <w:rsid w:val="00510A87"/>
    <w:rsid w:val="00511A2C"/>
    <w:rsid w:val="0051260C"/>
    <w:rsid w:val="00513379"/>
    <w:rsid w:val="00514DB8"/>
    <w:rsid w:val="005154A1"/>
    <w:rsid w:val="005172E2"/>
    <w:rsid w:val="00520CDF"/>
    <w:rsid w:val="00520F98"/>
    <w:rsid w:val="005217E7"/>
    <w:rsid w:val="00521BC7"/>
    <w:rsid w:val="00521D47"/>
    <w:rsid w:val="00523ED8"/>
    <w:rsid w:val="00525ACC"/>
    <w:rsid w:val="0052637A"/>
    <w:rsid w:val="0053036F"/>
    <w:rsid w:val="005305FD"/>
    <w:rsid w:val="005326D3"/>
    <w:rsid w:val="00536072"/>
    <w:rsid w:val="00536FD2"/>
    <w:rsid w:val="005375AC"/>
    <w:rsid w:val="0054058D"/>
    <w:rsid w:val="00541C5B"/>
    <w:rsid w:val="0054326F"/>
    <w:rsid w:val="00543326"/>
    <w:rsid w:val="005438A2"/>
    <w:rsid w:val="005460E7"/>
    <w:rsid w:val="005460E8"/>
    <w:rsid w:val="0054702E"/>
    <w:rsid w:val="005473E4"/>
    <w:rsid w:val="00552E08"/>
    <w:rsid w:val="005535C7"/>
    <w:rsid w:val="00553AD3"/>
    <w:rsid w:val="00554A14"/>
    <w:rsid w:val="005576AF"/>
    <w:rsid w:val="00560D2C"/>
    <w:rsid w:val="00560E5F"/>
    <w:rsid w:val="00564BB1"/>
    <w:rsid w:val="005665BE"/>
    <w:rsid w:val="00571AF7"/>
    <w:rsid w:val="00571DBA"/>
    <w:rsid w:val="00572263"/>
    <w:rsid w:val="00577920"/>
    <w:rsid w:val="00580D40"/>
    <w:rsid w:val="005812C2"/>
    <w:rsid w:val="00582933"/>
    <w:rsid w:val="00583653"/>
    <w:rsid w:val="005852EF"/>
    <w:rsid w:val="00586A99"/>
    <w:rsid w:val="00587DA5"/>
    <w:rsid w:val="00596BE5"/>
    <w:rsid w:val="00596C0C"/>
    <w:rsid w:val="00597D7E"/>
    <w:rsid w:val="005A0875"/>
    <w:rsid w:val="005A1D6B"/>
    <w:rsid w:val="005A26E7"/>
    <w:rsid w:val="005A2B35"/>
    <w:rsid w:val="005A4B03"/>
    <w:rsid w:val="005A4DF0"/>
    <w:rsid w:val="005A5EF0"/>
    <w:rsid w:val="005A631D"/>
    <w:rsid w:val="005A6737"/>
    <w:rsid w:val="005A76A2"/>
    <w:rsid w:val="005A7DD3"/>
    <w:rsid w:val="005B1C2E"/>
    <w:rsid w:val="005B252C"/>
    <w:rsid w:val="005B27FE"/>
    <w:rsid w:val="005B37CD"/>
    <w:rsid w:val="005B483F"/>
    <w:rsid w:val="005B4CBA"/>
    <w:rsid w:val="005B597E"/>
    <w:rsid w:val="005B6E3B"/>
    <w:rsid w:val="005C1DDF"/>
    <w:rsid w:val="005C3865"/>
    <w:rsid w:val="005C444B"/>
    <w:rsid w:val="005C56E4"/>
    <w:rsid w:val="005D1C88"/>
    <w:rsid w:val="005D20A8"/>
    <w:rsid w:val="005D2DFA"/>
    <w:rsid w:val="005D40E0"/>
    <w:rsid w:val="005D4119"/>
    <w:rsid w:val="005D6400"/>
    <w:rsid w:val="005E2B66"/>
    <w:rsid w:val="005E6625"/>
    <w:rsid w:val="005F08A4"/>
    <w:rsid w:val="005F0A9C"/>
    <w:rsid w:val="005F0E9D"/>
    <w:rsid w:val="00606FC7"/>
    <w:rsid w:val="0060770E"/>
    <w:rsid w:val="00607EFB"/>
    <w:rsid w:val="00611E50"/>
    <w:rsid w:val="00612016"/>
    <w:rsid w:val="00612FAD"/>
    <w:rsid w:val="0061370E"/>
    <w:rsid w:val="006235F3"/>
    <w:rsid w:val="0062375E"/>
    <w:rsid w:val="006240EC"/>
    <w:rsid w:val="00624EC0"/>
    <w:rsid w:val="0062547C"/>
    <w:rsid w:val="00630B97"/>
    <w:rsid w:val="00636B4C"/>
    <w:rsid w:val="006371C0"/>
    <w:rsid w:val="006377A9"/>
    <w:rsid w:val="00643784"/>
    <w:rsid w:val="00643AB1"/>
    <w:rsid w:val="006442F6"/>
    <w:rsid w:val="00646799"/>
    <w:rsid w:val="00646924"/>
    <w:rsid w:val="00647C15"/>
    <w:rsid w:val="00650C7C"/>
    <w:rsid w:val="00655201"/>
    <w:rsid w:val="0065624E"/>
    <w:rsid w:val="006565E6"/>
    <w:rsid w:val="006568D6"/>
    <w:rsid w:val="00656B87"/>
    <w:rsid w:val="00657A99"/>
    <w:rsid w:val="00660010"/>
    <w:rsid w:val="00665774"/>
    <w:rsid w:val="00665FC8"/>
    <w:rsid w:val="00666271"/>
    <w:rsid w:val="00667767"/>
    <w:rsid w:val="006741E9"/>
    <w:rsid w:val="00676816"/>
    <w:rsid w:val="0068070A"/>
    <w:rsid w:val="006818DE"/>
    <w:rsid w:val="0068190D"/>
    <w:rsid w:val="0068475E"/>
    <w:rsid w:val="00684909"/>
    <w:rsid w:val="00684A33"/>
    <w:rsid w:val="0069276A"/>
    <w:rsid w:val="00693D0C"/>
    <w:rsid w:val="00695A3A"/>
    <w:rsid w:val="00695D4A"/>
    <w:rsid w:val="00696171"/>
    <w:rsid w:val="00696B27"/>
    <w:rsid w:val="006A0EF0"/>
    <w:rsid w:val="006A1802"/>
    <w:rsid w:val="006A19F7"/>
    <w:rsid w:val="006A4CA9"/>
    <w:rsid w:val="006B498C"/>
    <w:rsid w:val="006B4BC8"/>
    <w:rsid w:val="006B750C"/>
    <w:rsid w:val="006B7CAA"/>
    <w:rsid w:val="006C0F7E"/>
    <w:rsid w:val="006C41DD"/>
    <w:rsid w:val="006C4D99"/>
    <w:rsid w:val="006C6A52"/>
    <w:rsid w:val="006D2020"/>
    <w:rsid w:val="006D30B1"/>
    <w:rsid w:val="006D3F18"/>
    <w:rsid w:val="006D4E00"/>
    <w:rsid w:val="006D7480"/>
    <w:rsid w:val="006E0B83"/>
    <w:rsid w:val="006E19B5"/>
    <w:rsid w:val="006E1B36"/>
    <w:rsid w:val="006E378C"/>
    <w:rsid w:val="006E3DFC"/>
    <w:rsid w:val="006E5087"/>
    <w:rsid w:val="006F4186"/>
    <w:rsid w:val="006F57B5"/>
    <w:rsid w:val="006F5933"/>
    <w:rsid w:val="00701964"/>
    <w:rsid w:val="00703534"/>
    <w:rsid w:val="00703FB7"/>
    <w:rsid w:val="00705715"/>
    <w:rsid w:val="00707627"/>
    <w:rsid w:val="00711C5B"/>
    <w:rsid w:val="00712CFA"/>
    <w:rsid w:val="0071436B"/>
    <w:rsid w:val="00714C10"/>
    <w:rsid w:val="00721CB7"/>
    <w:rsid w:val="007231AF"/>
    <w:rsid w:val="007237B2"/>
    <w:rsid w:val="0072492D"/>
    <w:rsid w:val="00725E9E"/>
    <w:rsid w:val="007276AB"/>
    <w:rsid w:val="00730273"/>
    <w:rsid w:val="00732AD1"/>
    <w:rsid w:val="00735FBB"/>
    <w:rsid w:val="00743B5B"/>
    <w:rsid w:val="0074541B"/>
    <w:rsid w:val="00745B07"/>
    <w:rsid w:val="00746634"/>
    <w:rsid w:val="007548C0"/>
    <w:rsid w:val="00754D6B"/>
    <w:rsid w:val="0075512A"/>
    <w:rsid w:val="007574A7"/>
    <w:rsid w:val="00760003"/>
    <w:rsid w:val="0076041C"/>
    <w:rsid w:val="007631EA"/>
    <w:rsid w:val="00764500"/>
    <w:rsid w:val="00765416"/>
    <w:rsid w:val="0076609B"/>
    <w:rsid w:val="00771072"/>
    <w:rsid w:val="00773CBA"/>
    <w:rsid w:val="0077703A"/>
    <w:rsid w:val="007811A5"/>
    <w:rsid w:val="0078560F"/>
    <w:rsid w:val="00786417"/>
    <w:rsid w:val="00792936"/>
    <w:rsid w:val="00792FAE"/>
    <w:rsid w:val="007A0406"/>
    <w:rsid w:val="007A207A"/>
    <w:rsid w:val="007A272E"/>
    <w:rsid w:val="007A2DB5"/>
    <w:rsid w:val="007A4B5A"/>
    <w:rsid w:val="007A4C8E"/>
    <w:rsid w:val="007A55D7"/>
    <w:rsid w:val="007A6EDF"/>
    <w:rsid w:val="007B0689"/>
    <w:rsid w:val="007B0CC1"/>
    <w:rsid w:val="007B209D"/>
    <w:rsid w:val="007B20D5"/>
    <w:rsid w:val="007B22C1"/>
    <w:rsid w:val="007B342F"/>
    <w:rsid w:val="007B4E9C"/>
    <w:rsid w:val="007B7180"/>
    <w:rsid w:val="007B7E32"/>
    <w:rsid w:val="007C0516"/>
    <w:rsid w:val="007C12A9"/>
    <w:rsid w:val="007C1C50"/>
    <w:rsid w:val="007C65B3"/>
    <w:rsid w:val="007D0D92"/>
    <w:rsid w:val="007D3A41"/>
    <w:rsid w:val="007D3F56"/>
    <w:rsid w:val="007D43B3"/>
    <w:rsid w:val="007D5CD1"/>
    <w:rsid w:val="007E2767"/>
    <w:rsid w:val="007E3454"/>
    <w:rsid w:val="007E7BD5"/>
    <w:rsid w:val="007E7C46"/>
    <w:rsid w:val="007F00D2"/>
    <w:rsid w:val="007F01D1"/>
    <w:rsid w:val="007F2B8D"/>
    <w:rsid w:val="007F316F"/>
    <w:rsid w:val="007F4408"/>
    <w:rsid w:val="007F7DDA"/>
    <w:rsid w:val="00800838"/>
    <w:rsid w:val="00802BB5"/>
    <w:rsid w:val="00807D4F"/>
    <w:rsid w:val="00810E7C"/>
    <w:rsid w:val="00810F8C"/>
    <w:rsid w:val="00812185"/>
    <w:rsid w:val="008140E0"/>
    <w:rsid w:val="008167D0"/>
    <w:rsid w:val="008172DE"/>
    <w:rsid w:val="00820B58"/>
    <w:rsid w:val="008224F3"/>
    <w:rsid w:val="00823E2B"/>
    <w:rsid w:val="00824FE7"/>
    <w:rsid w:val="00832CDD"/>
    <w:rsid w:val="00835191"/>
    <w:rsid w:val="00835C9C"/>
    <w:rsid w:val="00836851"/>
    <w:rsid w:val="00841F94"/>
    <w:rsid w:val="00842992"/>
    <w:rsid w:val="00846569"/>
    <w:rsid w:val="00847775"/>
    <w:rsid w:val="00847869"/>
    <w:rsid w:val="00847FEC"/>
    <w:rsid w:val="00850A60"/>
    <w:rsid w:val="00852C79"/>
    <w:rsid w:val="008531A6"/>
    <w:rsid w:val="00853652"/>
    <w:rsid w:val="00853906"/>
    <w:rsid w:val="00853D58"/>
    <w:rsid w:val="00854929"/>
    <w:rsid w:val="0085638B"/>
    <w:rsid w:val="00857304"/>
    <w:rsid w:val="00861768"/>
    <w:rsid w:val="00863FE8"/>
    <w:rsid w:val="00864E12"/>
    <w:rsid w:val="00870665"/>
    <w:rsid w:val="0087095C"/>
    <w:rsid w:val="0087111E"/>
    <w:rsid w:val="00872C32"/>
    <w:rsid w:val="00874D69"/>
    <w:rsid w:val="008754D4"/>
    <w:rsid w:val="00886816"/>
    <w:rsid w:val="00886B1C"/>
    <w:rsid w:val="00886BBE"/>
    <w:rsid w:val="00887B9F"/>
    <w:rsid w:val="00890493"/>
    <w:rsid w:val="00892206"/>
    <w:rsid w:val="00894B1C"/>
    <w:rsid w:val="008951DA"/>
    <w:rsid w:val="0089705A"/>
    <w:rsid w:val="00897E28"/>
    <w:rsid w:val="008A1AD1"/>
    <w:rsid w:val="008A2E2F"/>
    <w:rsid w:val="008A5BBD"/>
    <w:rsid w:val="008B1F67"/>
    <w:rsid w:val="008B244E"/>
    <w:rsid w:val="008B2A2B"/>
    <w:rsid w:val="008B5182"/>
    <w:rsid w:val="008B525E"/>
    <w:rsid w:val="008B7489"/>
    <w:rsid w:val="008C14A4"/>
    <w:rsid w:val="008C2973"/>
    <w:rsid w:val="008C2FB1"/>
    <w:rsid w:val="008C4273"/>
    <w:rsid w:val="008D419C"/>
    <w:rsid w:val="008D7EE9"/>
    <w:rsid w:val="008E0AFC"/>
    <w:rsid w:val="008E2DDE"/>
    <w:rsid w:val="008E5E86"/>
    <w:rsid w:val="008E6106"/>
    <w:rsid w:val="008E6CAD"/>
    <w:rsid w:val="008F1C2C"/>
    <w:rsid w:val="008F367D"/>
    <w:rsid w:val="008F5258"/>
    <w:rsid w:val="008F75E5"/>
    <w:rsid w:val="00900B11"/>
    <w:rsid w:val="00901240"/>
    <w:rsid w:val="00901989"/>
    <w:rsid w:val="0090283F"/>
    <w:rsid w:val="0090295A"/>
    <w:rsid w:val="00905175"/>
    <w:rsid w:val="0090778F"/>
    <w:rsid w:val="009103BC"/>
    <w:rsid w:val="009128B3"/>
    <w:rsid w:val="00912C13"/>
    <w:rsid w:val="00912D62"/>
    <w:rsid w:val="00917414"/>
    <w:rsid w:val="009208FD"/>
    <w:rsid w:val="00921B44"/>
    <w:rsid w:val="00922C94"/>
    <w:rsid w:val="009252B6"/>
    <w:rsid w:val="00925657"/>
    <w:rsid w:val="00930B88"/>
    <w:rsid w:val="00932BB6"/>
    <w:rsid w:val="00935B2B"/>
    <w:rsid w:val="00936DCD"/>
    <w:rsid w:val="00936F35"/>
    <w:rsid w:val="00944ED1"/>
    <w:rsid w:val="00945FDE"/>
    <w:rsid w:val="00947D48"/>
    <w:rsid w:val="00955DCD"/>
    <w:rsid w:val="0095621F"/>
    <w:rsid w:val="00956459"/>
    <w:rsid w:val="00957C2F"/>
    <w:rsid w:val="00960E39"/>
    <w:rsid w:val="0096223A"/>
    <w:rsid w:val="0096249C"/>
    <w:rsid w:val="0096524E"/>
    <w:rsid w:val="0096606D"/>
    <w:rsid w:val="0096739C"/>
    <w:rsid w:val="009678ED"/>
    <w:rsid w:val="00967B76"/>
    <w:rsid w:val="0097431C"/>
    <w:rsid w:val="009777A0"/>
    <w:rsid w:val="00977F2D"/>
    <w:rsid w:val="0098248D"/>
    <w:rsid w:val="009826B9"/>
    <w:rsid w:val="00985138"/>
    <w:rsid w:val="00986FDF"/>
    <w:rsid w:val="009915B6"/>
    <w:rsid w:val="00991A03"/>
    <w:rsid w:val="00992ABD"/>
    <w:rsid w:val="0099618A"/>
    <w:rsid w:val="0099717A"/>
    <w:rsid w:val="00997F86"/>
    <w:rsid w:val="009A19C6"/>
    <w:rsid w:val="009A2FC6"/>
    <w:rsid w:val="009A7DB7"/>
    <w:rsid w:val="009B6C17"/>
    <w:rsid w:val="009B7C9D"/>
    <w:rsid w:val="009C354D"/>
    <w:rsid w:val="009C4815"/>
    <w:rsid w:val="009C49B1"/>
    <w:rsid w:val="009C5017"/>
    <w:rsid w:val="009D2102"/>
    <w:rsid w:val="009D50DD"/>
    <w:rsid w:val="009D557D"/>
    <w:rsid w:val="009D7EF5"/>
    <w:rsid w:val="009E2277"/>
    <w:rsid w:val="009E475A"/>
    <w:rsid w:val="009E5667"/>
    <w:rsid w:val="009E78E1"/>
    <w:rsid w:val="009F61F4"/>
    <w:rsid w:val="009F7A9C"/>
    <w:rsid w:val="00A0151E"/>
    <w:rsid w:val="00A01DD4"/>
    <w:rsid w:val="00A03EA1"/>
    <w:rsid w:val="00A041F5"/>
    <w:rsid w:val="00A13173"/>
    <w:rsid w:val="00A1453E"/>
    <w:rsid w:val="00A150F1"/>
    <w:rsid w:val="00A20115"/>
    <w:rsid w:val="00A21B1F"/>
    <w:rsid w:val="00A23465"/>
    <w:rsid w:val="00A25361"/>
    <w:rsid w:val="00A2738E"/>
    <w:rsid w:val="00A274C1"/>
    <w:rsid w:val="00A34F5F"/>
    <w:rsid w:val="00A357B5"/>
    <w:rsid w:val="00A35B61"/>
    <w:rsid w:val="00A36FF2"/>
    <w:rsid w:val="00A42C0A"/>
    <w:rsid w:val="00A441A1"/>
    <w:rsid w:val="00A44800"/>
    <w:rsid w:val="00A46C4D"/>
    <w:rsid w:val="00A47D6F"/>
    <w:rsid w:val="00A50D09"/>
    <w:rsid w:val="00A52C51"/>
    <w:rsid w:val="00A5396D"/>
    <w:rsid w:val="00A5419C"/>
    <w:rsid w:val="00A55136"/>
    <w:rsid w:val="00A55A64"/>
    <w:rsid w:val="00A55DB6"/>
    <w:rsid w:val="00A566A3"/>
    <w:rsid w:val="00A57BB1"/>
    <w:rsid w:val="00A60624"/>
    <w:rsid w:val="00A62905"/>
    <w:rsid w:val="00A65988"/>
    <w:rsid w:val="00A65A0D"/>
    <w:rsid w:val="00A67C56"/>
    <w:rsid w:val="00A71393"/>
    <w:rsid w:val="00A717F3"/>
    <w:rsid w:val="00A72064"/>
    <w:rsid w:val="00A7739D"/>
    <w:rsid w:val="00A775D8"/>
    <w:rsid w:val="00A77FFC"/>
    <w:rsid w:val="00A80303"/>
    <w:rsid w:val="00A80486"/>
    <w:rsid w:val="00A85267"/>
    <w:rsid w:val="00A85A78"/>
    <w:rsid w:val="00A9150B"/>
    <w:rsid w:val="00A9172F"/>
    <w:rsid w:val="00A94445"/>
    <w:rsid w:val="00A94871"/>
    <w:rsid w:val="00A96860"/>
    <w:rsid w:val="00A96EA9"/>
    <w:rsid w:val="00A972C9"/>
    <w:rsid w:val="00AA12CB"/>
    <w:rsid w:val="00AA1A2A"/>
    <w:rsid w:val="00AA1B35"/>
    <w:rsid w:val="00AA3217"/>
    <w:rsid w:val="00AA34C4"/>
    <w:rsid w:val="00AA55C4"/>
    <w:rsid w:val="00AA5E20"/>
    <w:rsid w:val="00AA7CEE"/>
    <w:rsid w:val="00AB05C6"/>
    <w:rsid w:val="00AB0B3C"/>
    <w:rsid w:val="00AB1A1A"/>
    <w:rsid w:val="00AB1A9B"/>
    <w:rsid w:val="00AB410A"/>
    <w:rsid w:val="00AC5EEE"/>
    <w:rsid w:val="00AC6AE1"/>
    <w:rsid w:val="00AD14DC"/>
    <w:rsid w:val="00AD3129"/>
    <w:rsid w:val="00AD4A46"/>
    <w:rsid w:val="00AE03BE"/>
    <w:rsid w:val="00AE3B7E"/>
    <w:rsid w:val="00AE46E7"/>
    <w:rsid w:val="00AE76FF"/>
    <w:rsid w:val="00AF06BB"/>
    <w:rsid w:val="00B01195"/>
    <w:rsid w:val="00B0243F"/>
    <w:rsid w:val="00B026A3"/>
    <w:rsid w:val="00B04A05"/>
    <w:rsid w:val="00B059EA"/>
    <w:rsid w:val="00B06D87"/>
    <w:rsid w:val="00B10352"/>
    <w:rsid w:val="00B1163C"/>
    <w:rsid w:val="00B11E75"/>
    <w:rsid w:val="00B13544"/>
    <w:rsid w:val="00B153CA"/>
    <w:rsid w:val="00B15814"/>
    <w:rsid w:val="00B16920"/>
    <w:rsid w:val="00B1749C"/>
    <w:rsid w:val="00B20E5C"/>
    <w:rsid w:val="00B21142"/>
    <w:rsid w:val="00B2206F"/>
    <w:rsid w:val="00B221E2"/>
    <w:rsid w:val="00B23EFE"/>
    <w:rsid w:val="00B3351C"/>
    <w:rsid w:val="00B34AC5"/>
    <w:rsid w:val="00B41A45"/>
    <w:rsid w:val="00B4272E"/>
    <w:rsid w:val="00B42858"/>
    <w:rsid w:val="00B44920"/>
    <w:rsid w:val="00B4592A"/>
    <w:rsid w:val="00B47690"/>
    <w:rsid w:val="00B508E5"/>
    <w:rsid w:val="00B513F1"/>
    <w:rsid w:val="00B51D4C"/>
    <w:rsid w:val="00B5225A"/>
    <w:rsid w:val="00B526CE"/>
    <w:rsid w:val="00B53FB0"/>
    <w:rsid w:val="00B62009"/>
    <w:rsid w:val="00B65FE0"/>
    <w:rsid w:val="00B6609D"/>
    <w:rsid w:val="00B667BD"/>
    <w:rsid w:val="00B67608"/>
    <w:rsid w:val="00B7381E"/>
    <w:rsid w:val="00B7420A"/>
    <w:rsid w:val="00B76868"/>
    <w:rsid w:val="00B768F7"/>
    <w:rsid w:val="00B80435"/>
    <w:rsid w:val="00B82DC4"/>
    <w:rsid w:val="00B8311C"/>
    <w:rsid w:val="00B83BF0"/>
    <w:rsid w:val="00B84CBF"/>
    <w:rsid w:val="00B904FB"/>
    <w:rsid w:val="00B90DE9"/>
    <w:rsid w:val="00B911D5"/>
    <w:rsid w:val="00B95ED1"/>
    <w:rsid w:val="00B96B7E"/>
    <w:rsid w:val="00B97FB8"/>
    <w:rsid w:val="00BA07E0"/>
    <w:rsid w:val="00BA72B5"/>
    <w:rsid w:val="00BA7756"/>
    <w:rsid w:val="00BA7851"/>
    <w:rsid w:val="00BB21D3"/>
    <w:rsid w:val="00BB5A7A"/>
    <w:rsid w:val="00BB68AA"/>
    <w:rsid w:val="00BB74DB"/>
    <w:rsid w:val="00BC2104"/>
    <w:rsid w:val="00BC7B01"/>
    <w:rsid w:val="00BC7BCC"/>
    <w:rsid w:val="00BD243D"/>
    <w:rsid w:val="00BD34E8"/>
    <w:rsid w:val="00BD532F"/>
    <w:rsid w:val="00BE2FA4"/>
    <w:rsid w:val="00BE5D4C"/>
    <w:rsid w:val="00BE69C0"/>
    <w:rsid w:val="00BF0546"/>
    <w:rsid w:val="00BF3EE1"/>
    <w:rsid w:val="00BF593A"/>
    <w:rsid w:val="00BF75BE"/>
    <w:rsid w:val="00C02201"/>
    <w:rsid w:val="00C0273F"/>
    <w:rsid w:val="00C044B0"/>
    <w:rsid w:val="00C05975"/>
    <w:rsid w:val="00C05D94"/>
    <w:rsid w:val="00C07DB1"/>
    <w:rsid w:val="00C21BC9"/>
    <w:rsid w:val="00C223EA"/>
    <w:rsid w:val="00C25D1E"/>
    <w:rsid w:val="00C25DE1"/>
    <w:rsid w:val="00C2641F"/>
    <w:rsid w:val="00C2680F"/>
    <w:rsid w:val="00C26B19"/>
    <w:rsid w:val="00C26C36"/>
    <w:rsid w:val="00C3162C"/>
    <w:rsid w:val="00C3451E"/>
    <w:rsid w:val="00C34E95"/>
    <w:rsid w:val="00C34EB7"/>
    <w:rsid w:val="00C36A39"/>
    <w:rsid w:val="00C3799C"/>
    <w:rsid w:val="00C4078B"/>
    <w:rsid w:val="00C43A07"/>
    <w:rsid w:val="00C44F32"/>
    <w:rsid w:val="00C46AA6"/>
    <w:rsid w:val="00C470A5"/>
    <w:rsid w:val="00C5149A"/>
    <w:rsid w:val="00C52A32"/>
    <w:rsid w:val="00C536ED"/>
    <w:rsid w:val="00C539CD"/>
    <w:rsid w:val="00C54FDA"/>
    <w:rsid w:val="00C55ED6"/>
    <w:rsid w:val="00C57109"/>
    <w:rsid w:val="00C623BA"/>
    <w:rsid w:val="00C648DA"/>
    <w:rsid w:val="00C64B95"/>
    <w:rsid w:val="00C64EDB"/>
    <w:rsid w:val="00C67486"/>
    <w:rsid w:val="00C701C7"/>
    <w:rsid w:val="00C70DF8"/>
    <w:rsid w:val="00C71485"/>
    <w:rsid w:val="00C7388E"/>
    <w:rsid w:val="00C7699F"/>
    <w:rsid w:val="00C76DFB"/>
    <w:rsid w:val="00C7745F"/>
    <w:rsid w:val="00C779F0"/>
    <w:rsid w:val="00C81B6A"/>
    <w:rsid w:val="00C81D26"/>
    <w:rsid w:val="00C81E09"/>
    <w:rsid w:val="00C82826"/>
    <w:rsid w:val="00C832A3"/>
    <w:rsid w:val="00C84544"/>
    <w:rsid w:val="00C8782D"/>
    <w:rsid w:val="00C9454A"/>
    <w:rsid w:val="00C94CF5"/>
    <w:rsid w:val="00CA39C0"/>
    <w:rsid w:val="00CA53A3"/>
    <w:rsid w:val="00CA5676"/>
    <w:rsid w:val="00CA5917"/>
    <w:rsid w:val="00CA6214"/>
    <w:rsid w:val="00CB1B5A"/>
    <w:rsid w:val="00CB336A"/>
    <w:rsid w:val="00CB6ADD"/>
    <w:rsid w:val="00CB6E23"/>
    <w:rsid w:val="00CB7657"/>
    <w:rsid w:val="00CC2181"/>
    <w:rsid w:val="00CC3055"/>
    <w:rsid w:val="00CC5B3D"/>
    <w:rsid w:val="00CC77F6"/>
    <w:rsid w:val="00CD186F"/>
    <w:rsid w:val="00CE3D77"/>
    <w:rsid w:val="00CE52B5"/>
    <w:rsid w:val="00CE78EE"/>
    <w:rsid w:val="00CF0871"/>
    <w:rsid w:val="00CF0F5A"/>
    <w:rsid w:val="00CF2294"/>
    <w:rsid w:val="00CF31A0"/>
    <w:rsid w:val="00CF365C"/>
    <w:rsid w:val="00CF4163"/>
    <w:rsid w:val="00CF4E3B"/>
    <w:rsid w:val="00CF5520"/>
    <w:rsid w:val="00CF7614"/>
    <w:rsid w:val="00D0014D"/>
    <w:rsid w:val="00D0022B"/>
    <w:rsid w:val="00D0381B"/>
    <w:rsid w:val="00D05402"/>
    <w:rsid w:val="00D073A7"/>
    <w:rsid w:val="00D134E6"/>
    <w:rsid w:val="00D15034"/>
    <w:rsid w:val="00D20D06"/>
    <w:rsid w:val="00D221EF"/>
    <w:rsid w:val="00D223A3"/>
    <w:rsid w:val="00D22653"/>
    <w:rsid w:val="00D2684C"/>
    <w:rsid w:val="00D27261"/>
    <w:rsid w:val="00D27452"/>
    <w:rsid w:val="00D317DC"/>
    <w:rsid w:val="00D320AD"/>
    <w:rsid w:val="00D32750"/>
    <w:rsid w:val="00D33BF9"/>
    <w:rsid w:val="00D34A97"/>
    <w:rsid w:val="00D416E8"/>
    <w:rsid w:val="00D4265F"/>
    <w:rsid w:val="00D4567A"/>
    <w:rsid w:val="00D464B6"/>
    <w:rsid w:val="00D501F9"/>
    <w:rsid w:val="00D5498E"/>
    <w:rsid w:val="00D54D7E"/>
    <w:rsid w:val="00D56F8D"/>
    <w:rsid w:val="00D60EC0"/>
    <w:rsid w:val="00D60FB4"/>
    <w:rsid w:val="00D61502"/>
    <w:rsid w:val="00D62BFF"/>
    <w:rsid w:val="00D67D52"/>
    <w:rsid w:val="00D722DF"/>
    <w:rsid w:val="00D72F04"/>
    <w:rsid w:val="00D74C27"/>
    <w:rsid w:val="00D751AD"/>
    <w:rsid w:val="00D80BA1"/>
    <w:rsid w:val="00D80E78"/>
    <w:rsid w:val="00D82B5E"/>
    <w:rsid w:val="00D84C79"/>
    <w:rsid w:val="00D85668"/>
    <w:rsid w:val="00D85D55"/>
    <w:rsid w:val="00D871E4"/>
    <w:rsid w:val="00D91209"/>
    <w:rsid w:val="00D91FE2"/>
    <w:rsid w:val="00D92263"/>
    <w:rsid w:val="00D94475"/>
    <w:rsid w:val="00D94B51"/>
    <w:rsid w:val="00DA04A2"/>
    <w:rsid w:val="00DA0E5F"/>
    <w:rsid w:val="00DA177E"/>
    <w:rsid w:val="00DB3F51"/>
    <w:rsid w:val="00DB5577"/>
    <w:rsid w:val="00DB5CF1"/>
    <w:rsid w:val="00DB67AE"/>
    <w:rsid w:val="00DB6D79"/>
    <w:rsid w:val="00DC0600"/>
    <w:rsid w:val="00DC10F1"/>
    <w:rsid w:val="00DC3DFB"/>
    <w:rsid w:val="00DC4156"/>
    <w:rsid w:val="00DD07F9"/>
    <w:rsid w:val="00DD1998"/>
    <w:rsid w:val="00DD2788"/>
    <w:rsid w:val="00DD3866"/>
    <w:rsid w:val="00DD391C"/>
    <w:rsid w:val="00DD39E3"/>
    <w:rsid w:val="00DD3ADD"/>
    <w:rsid w:val="00DD4CA0"/>
    <w:rsid w:val="00DD51FC"/>
    <w:rsid w:val="00DD64C2"/>
    <w:rsid w:val="00DE118A"/>
    <w:rsid w:val="00DE42D1"/>
    <w:rsid w:val="00DE4E54"/>
    <w:rsid w:val="00DE5692"/>
    <w:rsid w:val="00DE6F0A"/>
    <w:rsid w:val="00DE6FC1"/>
    <w:rsid w:val="00DF2D61"/>
    <w:rsid w:val="00DF46B2"/>
    <w:rsid w:val="00DF521D"/>
    <w:rsid w:val="00DF66BD"/>
    <w:rsid w:val="00DF7F25"/>
    <w:rsid w:val="00E00674"/>
    <w:rsid w:val="00E01B73"/>
    <w:rsid w:val="00E035EE"/>
    <w:rsid w:val="00E04F2E"/>
    <w:rsid w:val="00E05738"/>
    <w:rsid w:val="00E07DD8"/>
    <w:rsid w:val="00E07F3F"/>
    <w:rsid w:val="00E111A0"/>
    <w:rsid w:val="00E1329D"/>
    <w:rsid w:val="00E17174"/>
    <w:rsid w:val="00E24556"/>
    <w:rsid w:val="00E245AD"/>
    <w:rsid w:val="00E24656"/>
    <w:rsid w:val="00E27975"/>
    <w:rsid w:val="00E308DE"/>
    <w:rsid w:val="00E31D3F"/>
    <w:rsid w:val="00E3338E"/>
    <w:rsid w:val="00E33F84"/>
    <w:rsid w:val="00E3620A"/>
    <w:rsid w:val="00E363C6"/>
    <w:rsid w:val="00E376A6"/>
    <w:rsid w:val="00E37BF6"/>
    <w:rsid w:val="00E42A55"/>
    <w:rsid w:val="00E43378"/>
    <w:rsid w:val="00E45117"/>
    <w:rsid w:val="00E46C3C"/>
    <w:rsid w:val="00E5188B"/>
    <w:rsid w:val="00E53750"/>
    <w:rsid w:val="00E54529"/>
    <w:rsid w:val="00E54B48"/>
    <w:rsid w:val="00E54D3F"/>
    <w:rsid w:val="00E55D99"/>
    <w:rsid w:val="00E5700F"/>
    <w:rsid w:val="00E60645"/>
    <w:rsid w:val="00E620E4"/>
    <w:rsid w:val="00E622E7"/>
    <w:rsid w:val="00E63908"/>
    <w:rsid w:val="00E6611A"/>
    <w:rsid w:val="00E6638E"/>
    <w:rsid w:val="00E66985"/>
    <w:rsid w:val="00E66A15"/>
    <w:rsid w:val="00E66C39"/>
    <w:rsid w:val="00E70832"/>
    <w:rsid w:val="00E76310"/>
    <w:rsid w:val="00E81363"/>
    <w:rsid w:val="00E816D5"/>
    <w:rsid w:val="00E8214B"/>
    <w:rsid w:val="00E82CB1"/>
    <w:rsid w:val="00E86A74"/>
    <w:rsid w:val="00E908F0"/>
    <w:rsid w:val="00E90F12"/>
    <w:rsid w:val="00E9367E"/>
    <w:rsid w:val="00E95152"/>
    <w:rsid w:val="00E95379"/>
    <w:rsid w:val="00EA12A3"/>
    <w:rsid w:val="00EA30DE"/>
    <w:rsid w:val="00EA339B"/>
    <w:rsid w:val="00EA369A"/>
    <w:rsid w:val="00EA3DAC"/>
    <w:rsid w:val="00EA4ADA"/>
    <w:rsid w:val="00EA617A"/>
    <w:rsid w:val="00EA77FE"/>
    <w:rsid w:val="00EB029D"/>
    <w:rsid w:val="00EB0D57"/>
    <w:rsid w:val="00EB0EE6"/>
    <w:rsid w:val="00EB399E"/>
    <w:rsid w:val="00EB5546"/>
    <w:rsid w:val="00EB6538"/>
    <w:rsid w:val="00EB691E"/>
    <w:rsid w:val="00EC058E"/>
    <w:rsid w:val="00EC22CA"/>
    <w:rsid w:val="00EC4594"/>
    <w:rsid w:val="00EC6500"/>
    <w:rsid w:val="00EC6DBC"/>
    <w:rsid w:val="00EC7D72"/>
    <w:rsid w:val="00ED22D5"/>
    <w:rsid w:val="00ED240D"/>
    <w:rsid w:val="00ED25BB"/>
    <w:rsid w:val="00ED2EED"/>
    <w:rsid w:val="00ED3619"/>
    <w:rsid w:val="00ED73C4"/>
    <w:rsid w:val="00EE0689"/>
    <w:rsid w:val="00EE2D2C"/>
    <w:rsid w:val="00EE34DA"/>
    <w:rsid w:val="00EE48C5"/>
    <w:rsid w:val="00EE4AC7"/>
    <w:rsid w:val="00EE519D"/>
    <w:rsid w:val="00EE5CBE"/>
    <w:rsid w:val="00EF1D4D"/>
    <w:rsid w:val="00EF4307"/>
    <w:rsid w:val="00EF52F4"/>
    <w:rsid w:val="00EF54C1"/>
    <w:rsid w:val="00EF7279"/>
    <w:rsid w:val="00EF74AD"/>
    <w:rsid w:val="00F00596"/>
    <w:rsid w:val="00F007A4"/>
    <w:rsid w:val="00F0132B"/>
    <w:rsid w:val="00F017A1"/>
    <w:rsid w:val="00F03C23"/>
    <w:rsid w:val="00F0434B"/>
    <w:rsid w:val="00F05151"/>
    <w:rsid w:val="00F07AC2"/>
    <w:rsid w:val="00F1022C"/>
    <w:rsid w:val="00F11D45"/>
    <w:rsid w:val="00F11FF6"/>
    <w:rsid w:val="00F1270E"/>
    <w:rsid w:val="00F140AE"/>
    <w:rsid w:val="00F1432A"/>
    <w:rsid w:val="00F14F39"/>
    <w:rsid w:val="00F2455E"/>
    <w:rsid w:val="00F24C93"/>
    <w:rsid w:val="00F26934"/>
    <w:rsid w:val="00F31D8D"/>
    <w:rsid w:val="00F320CE"/>
    <w:rsid w:val="00F32350"/>
    <w:rsid w:val="00F346AC"/>
    <w:rsid w:val="00F35101"/>
    <w:rsid w:val="00F356E0"/>
    <w:rsid w:val="00F35BBE"/>
    <w:rsid w:val="00F370EA"/>
    <w:rsid w:val="00F37894"/>
    <w:rsid w:val="00F40660"/>
    <w:rsid w:val="00F40CF7"/>
    <w:rsid w:val="00F44C57"/>
    <w:rsid w:val="00F44D31"/>
    <w:rsid w:val="00F4614F"/>
    <w:rsid w:val="00F463AF"/>
    <w:rsid w:val="00F464B1"/>
    <w:rsid w:val="00F4695B"/>
    <w:rsid w:val="00F475A6"/>
    <w:rsid w:val="00F50459"/>
    <w:rsid w:val="00F50867"/>
    <w:rsid w:val="00F519F4"/>
    <w:rsid w:val="00F52DE4"/>
    <w:rsid w:val="00F532E8"/>
    <w:rsid w:val="00F54908"/>
    <w:rsid w:val="00F55E5E"/>
    <w:rsid w:val="00F60491"/>
    <w:rsid w:val="00F61C4E"/>
    <w:rsid w:val="00F65AE5"/>
    <w:rsid w:val="00F66EBB"/>
    <w:rsid w:val="00F67BDB"/>
    <w:rsid w:val="00F71422"/>
    <w:rsid w:val="00F75129"/>
    <w:rsid w:val="00F77A85"/>
    <w:rsid w:val="00F80C44"/>
    <w:rsid w:val="00F82C3A"/>
    <w:rsid w:val="00F83B98"/>
    <w:rsid w:val="00F8603D"/>
    <w:rsid w:val="00F9009D"/>
    <w:rsid w:val="00F91A06"/>
    <w:rsid w:val="00F92C80"/>
    <w:rsid w:val="00F93F16"/>
    <w:rsid w:val="00F94D2C"/>
    <w:rsid w:val="00FA0652"/>
    <w:rsid w:val="00FA0C38"/>
    <w:rsid w:val="00FA1FA7"/>
    <w:rsid w:val="00FB044E"/>
    <w:rsid w:val="00FB0CAE"/>
    <w:rsid w:val="00FB3BCD"/>
    <w:rsid w:val="00FB4995"/>
    <w:rsid w:val="00FB4B61"/>
    <w:rsid w:val="00FB4D30"/>
    <w:rsid w:val="00FB7456"/>
    <w:rsid w:val="00FC0C2B"/>
    <w:rsid w:val="00FC180F"/>
    <w:rsid w:val="00FC26B8"/>
    <w:rsid w:val="00FC2FD5"/>
    <w:rsid w:val="00FC36B5"/>
    <w:rsid w:val="00FC6DC2"/>
    <w:rsid w:val="00FD0077"/>
    <w:rsid w:val="00FD0158"/>
    <w:rsid w:val="00FD2718"/>
    <w:rsid w:val="00FD2FE7"/>
    <w:rsid w:val="00FD3962"/>
    <w:rsid w:val="00FD493B"/>
    <w:rsid w:val="00FD55D8"/>
    <w:rsid w:val="00FE0F3E"/>
    <w:rsid w:val="00FE1AE5"/>
    <w:rsid w:val="00FE4FCA"/>
    <w:rsid w:val="00FE6275"/>
    <w:rsid w:val="00FF475C"/>
    <w:rsid w:val="00FF49E8"/>
    <w:rsid w:val="00FF5229"/>
    <w:rsid w:val="00FF5814"/>
    <w:rsid w:val="00FF5F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1FC09E"/>
  <w15:chartTrackingRefBased/>
  <w15:docId w15:val="{A5D330EE-5A29-44C1-888F-7B907140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F93F16"/>
    <w:pPr>
      <w:keepNext/>
      <w:keepLines/>
      <w:numPr>
        <w:numId w:val="5"/>
      </w:numPr>
      <w:spacing w:before="240" w:after="120"/>
      <w:ind w:left="357" w:hanging="357"/>
      <w:outlineLvl w:val="0"/>
    </w:pPr>
    <w:rPr>
      <w:rFonts w:eastAsiaTheme="majorEastAsia" w:cstheme="majorBidi"/>
      <w:smallCaps/>
      <w:sz w:val="28"/>
    </w:rPr>
  </w:style>
  <w:style w:type="paragraph" w:styleId="Heading2">
    <w:name w:val="heading 2"/>
    <w:basedOn w:val="Normal"/>
    <w:next w:val="Normal"/>
    <w:link w:val="Heading2Char"/>
    <w:unhideWhenUsed/>
    <w:qFormat/>
    <w:rsid w:val="00F60491"/>
    <w:pPr>
      <w:keepNext/>
      <w:keepLines/>
      <w:spacing w:before="120" w:after="160"/>
      <w:outlineLvl w:val="1"/>
    </w:pPr>
    <w:rPr>
      <w:rFonts w:eastAsiaTheme="majorEastAsia" w:cstheme="majorBidi"/>
      <w:i/>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F74AD"/>
    <w:rPr>
      <w:sz w:val="20"/>
    </w:rPr>
  </w:style>
  <w:style w:type="character" w:customStyle="1" w:styleId="FootnoteTextChar">
    <w:name w:val="Footnote Text Char"/>
    <w:basedOn w:val="DefaultParagraphFont"/>
    <w:link w:val="FootnoteText"/>
    <w:rsid w:val="00EF74AD"/>
  </w:style>
  <w:style w:type="character" w:styleId="FootnoteReference">
    <w:name w:val="footnote reference"/>
    <w:rsid w:val="00EF74AD"/>
    <w:rPr>
      <w:vertAlign w:val="superscript"/>
    </w:rPr>
  </w:style>
  <w:style w:type="paragraph" w:styleId="ListParagraph">
    <w:name w:val="List Paragraph"/>
    <w:basedOn w:val="Normal"/>
    <w:uiPriority w:val="34"/>
    <w:qFormat/>
    <w:rsid w:val="00D2684C"/>
    <w:pPr>
      <w:ind w:left="720"/>
      <w:contextualSpacing/>
    </w:pPr>
  </w:style>
  <w:style w:type="paragraph" w:customStyle="1" w:styleId="Default">
    <w:name w:val="Default"/>
    <w:rsid w:val="001C754E"/>
    <w:pPr>
      <w:autoSpaceDE w:val="0"/>
      <w:autoSpaceDN w:val="0"/>
      <w:adjustRightInd w:val="0"/>
    </w:pPr>
    <w:rPr>
      <w:sz w:val="24"/>
    </w:rPr>
  </w:style>
  <w:style w:type="paragraph" w:styleId="Header">
    <w:name w:val="header"/>
    <w:basedOn w:val="Normal"/>
    <w:link w:val="HeaderChar"/>
    <w:unhideWhenUsed/>
    <w:rsid w:val="001B0DD0"/>
    <w:pPr>
      <w:tabs>
        <w:tab w:val="center" w:pos="4680"/>
        <w:tab w:val="right" w:pos="9360"/>
      </w:tabs>
    </w:pPr>
  </w:style>
  <w:style w:type="character" w:customStyle="1" w:styleId="HeaderChar">
    <w:name w:val="Header Char"/>
    <w:basedOn w:val="DefaultParagraphFont"/>
    <w:link w:val="Header"/>
    <w:rsid w:val="001B0DD0"/>
    <w:rPr>
      <w:sz w:val="24"/>
    </w:rPr>
  </w:style>
  <w:style w:type="paragraph" w:styleId="Footer">
    <w:name w:val="footer"/>
    <w:basedOn w:val="Normal"/>
    <w:link w:val="FooterChar"/>
    <w:uiPriority w:val="99"/>
    <w:unhideWhenUsed/>
    <w:rsid w:val="001B0DD0"/>
    <w:pPr>
      <w:tabs>
        <w:tab w:val="center" w:pos="4680"/>
        <w:tab w:val="right" w:pos="9360"/>
      </w:tabs>
    </w:pPr>
  </w:style>
  <w:style w:type="character" w:customStyle="1" w:styleId="FooterChar">
    <w:name w:val="Footer Char"/>
    <w:basedOn w:val="DefaultParagraphFont"/>
    <w:link w:val="Footer"/>
    <w:uiPriority w:val="99"/>
    <w:rsid w:val="001B0DD0"/>
    <w:rPr>
      <w:sz w:val="24"/>
    </w:rPr>
  </w:style>
  <w:style w:type="paragraph" w:styleId="BalloonText">
    <w:name w:val="Balloon Text"/>
    <w:basedOn w:val="Normal"/>
    <w:link w:val="BalloonTextChar"/>
    <w:semiHidden/>
    <w:unhideWhenUsed/>
    <w:rsid w:val="006741E9"/>
    <w:rPr>
      <w:rFonts w:ascii="Segoe UI" w:hAnsi="Segoe UI" w:cs="Segoe UI"/>
      <w:sz w:val="18"/>
    </w:rPr>
  </w:style>
  <w:style w:type="character" w:customStyle="1" w:styleId="BalloonTextChar">
    <w:name w:val="Balloon Text Char"/>
    <w:basedOn w:val="DefaultParagraphFont"/>
    <w:link w:val="BalloonText"/>
    <w:semiHidden/>
    <w:rsid w:val="006741E9"/>
    <w:rPr>
      <w:rFonts w:ascii="Segoe UI" w:hAnsi="Segoe UI" w:cs="Segoe UI"/>
      <w:sz w:val="18"/>
    </w:rPr>
  </w:style>
  <w:style w:type="paragraph" w:styleId="ListBullet">
    <w:name w:val="List Bullet"/>
    <w:basedOn w:val="Normal"/>
    <w:semiHidden/>
    <w:unhideWhenUsed/>
    <w:rsid w:val="00F9009D"/>
    <w:pPr>
      <w:numPr>
        <w:numId w:val="2"/>
      </w:numPr>
      <w:contextualSpacing/>
    </w:pPr>
  </w:style>
  <w:style w:type="character" w:styleId="Hyperlink">
    <w:name w:val="Hyperlink"/>
    <w:basedOn w:val="DefaultParagraphFont"/>
    <w:uiPriority w:val="99"/>
    <w:unhideWhenUsed/>
    <w:rsid w:val="00F9009D"/>
    <w:rPr>
      <w:color w:val="0000FF" w:themeColor="hyperlink"/>
      <w:u w:val="single"/>
    </w:rPr>
  </w:style>
  <w:style w:type="character" w:customStyle="1" w:styleId="Marker">
    <w:name w:val="Marker"/>
    <w:basedOn w:val="DefaultParagraphFont"/>
    <w:rsid w:val="007D0D92"/>
    <w:rPr>
      <w:color w:val="0000FF"/>
      <w:shd w:val="clear" w:color="auto" w:fill="auto"/>
    </w:rPr>
  </w:style>
  <w:style w:type="paragraph" w:customStyle="1" w:styleId="Pagedecouverture">
    <w:name w:val="Page de couverture"/>
    <w:basedOn w:val="Normal"/>
    <w:next w:val="Normal"/>
    <w:rsid w:val="007D0D92"/>
    <w:pPr>
      <w:jc w:val="both"/>
    </w:pPr>
    <w:rPr>
      <w:rFonts w:eastAsiaTheme="minorHAnsi"/>
    </w:rPr>
  </w:style>
  <w:style w:type="paragraph" w:customStyle="1" w:styleId="FooterCoverPage">
    <w:name w:val="Footer Cover Page"/>
    <w:basedOn w:val="Normal"/>
    <w:link w:val="FooterCoverPageChar"/>
    <w:rsid w:val="007D0D92"/>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7D0D92"/>
    <w:rPr>
      <w:sz w:val="24"/>
    </w:rPr>
  </w:style>
  <w:style w:type="paragraph" w:customStyle="1" w:styleId="FooterSensitivity">
    <w:name w:val="Footer Sensitivity"/>
    <w:basedOn w:val="Normal"/>
    <w:link w:val="FooterSensitivityChar"/>
    <w:rsid w:val="007D0D92"/>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7D0D92"/>
    <w:rPr>
      <w:b/>
      <w:sz w:val="32"/>
    </w:rPr>
  </w:style>
  <w:style w:type="paragraph" w:customStyle="1" w:styleId="HeaderCoverPage">
    <w:name w:val="Header Cover Page"/>
    <w:basedOn w:val="Normal"/>
    <w:link w:val="HeaderCoverPageChar"/>
    <w:rsid w:val="007D0D92"/>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7D0D92"/>
    <w:rPr>
      <w:sz w:val="24"/>
    </w:rPr>
  </w:style>
  <w:style w:type="paragraph" w:customStyle="1" w:styleId="HeaderSensitivity">
    <w:name w:val="Header Sensitivity"/>
    <w:basedOn w:val="Normal"/>
    <w:link w:val="HeaderSensitivityChar"/>
    <w:rsid w:val="007D0D92"/>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7D0D92"/>
    <w:rPr>
      <w:b/>
      <w:sz w:val="32"/>
    </w:rPr>
  </w:style>
  <w:style w:type="paragraph" w:customStyle="1" w:styleId="HeaderSensitivityRight">
    <w:name w:val="Header Sensitivity Right"/>
    <w:basedOn w:val="Normal"/>
    <w:link w:val="HeaderSensitivityRightChar"/>
    <w:rsid w:val="007D0D92"/>
    <w:pPr>
      <w:spacing w:after="120"/>
      <w:jc w:val="right"/>
    </w:pPr>
    <w:rPr>
      <w:sz w:val="28"/>
    </w:rPr>
  </w:style>
  <w:style w:type="character" w:customStyle="1" w:styleId="HeaderSensitivityRightChar">
    <w:name w:val="Header Sensitivity Right Char"/>
    <w:basedOn w:val="DefaultParagraphFont"/>
    <w:link w:val="HeaderSensitivityRight"/>
    <w:rsid w:val="007D0D92"/>
    <w:rPr>
      <w:sz w:val="28"/>
    </w:rPr>
  </w:style>
  <w:style w:type="character" w:customStyle="1" w:styleId="Heading1Char">
    <w:name w:val="Heading 1 Char"/>
    <w:basedOn w:val="DefaultParagraphFont"/>
    <w:link w:val="Heading1"/>
    <w:rsid w:val="00F93F16"/>
    <w:rPr>
      <w:rFonts w:eastAsiaTheme="majorEastAsia" w:cstheme="majorBidi"/>
      <w:smallCaps/>
      <w:sz w:val="28"/>
    </w:rPr>
  </w:style>
  <w:style w:type="character" w:customStyle="1" w:styleId="Heading2Char">
    <w:name w:val="Heading 2 Char"/>
    <w:basedOn w:val="DefaultParagraphFont"/>
    <w:link w:val="Heading2"/>
    <w:rsid w:val="00F60491"/>
    <w:rPr>
      <w:rFonts w:eastAsiaTheme="majorEastAsia" w:cstheme="majorBidi"/>
      <w:i/>
      <w:sz w:val="26"/>
    </w:rPr>
  </w:style>
  <w:style w:type="table" w:styleId="TableGrid">
    <w:name w:val="Table Grid"/>
    <w:basedOn w:val="TableNormal"/>
    <w:rsid w:val="000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597E"/>
    <w:pPr>
      <w:numPr>
        <w:numId w:val="0"/>
      </w:numPr>
      <w:spacing w:after="0" w:line="259" w:lineRule="auto"/>
      <w:outlineLvl w:val="9"/>
    </w:pPr>
    <w:rPr>
      <w:rFonts w:asciiTheme="majorHAnsi" w:hAnsiTheme="majorHAnsi"/>
      <w:smallCaps w:val="0"/>
      <w:color w:val="365F91" w:themeColor="accent1" w:themeShade="BF"/>
      <w:sz w:val="32"/>
    </w:rPr>
  </w:style>
  <w:style w:type="paragraph" w:styleId="TOC1">
    <w:name w:val="toc 1"/>
    <w:basedOn w:val="Normal"/>
    <w:next w:val="Normal"/>
    <w:autoRedefine/>
    <w:uiPriority w:val="39"/>
    <w:unhideWhenUsed/>
    <w:rsid w:val="005B597E"/>
    <w:pPr>
      <w:spacing w:after="100"/>
    </w:pPr>
  </w:style>
  <w:style w:type="paragraph" w:styleId="TOC2">
    <w:name w:val="toc 2"/>
    <w:basedOn w:val="Normal"/>
    <w:next w:val="Normal"/>
    <w:autoRedefine/>
    <w:uiPriority w:val="39"/>
    <w:unhideWhenUsed/>
    <w:rsid w:val="005B597E"/>
    <w:pPr>
      <w:spacing w:after="100"/>
      <w:ind w:left="240"/>
    </w:pPr>
  </w:style>
  <w:style w:type="character" w:styleId="CommentReference">
    <w:name w:val="annotation reference"/>
    <w:basedOn w:val="DefaultParagraphFont"/>
    <w:semiHidden/>
    <w:unhideWhenUsed/>
    <w:rsid w:val="00D073A7"/>
    <w:rPr>
      <w:sz w:val="16"/>
    </w:rPr>
  </w:style>
  <w:style w:type="paragraph" w:styleId="CommentText">
    <w:name w:val="annotation text"/>
    <w:basedOn w:val="Normal"/>
    <w:link w:val="CommentTextChar"/>
    <w:semiHidden/>
    <w:unhideWhenUsed/>
    <w:rsid w:val="00D073A7"/>
    <w:rPr>
      <w:sz w:val="20"/>
    </w:rPr>
  </w:style>
  <w:style w:type="character" w:customStyle="1" w:styleId="CommentTextChar">
    <w:name w:val="Comment Text Char"/>
    <w:basedOn w:val="DefaultParagraphFont"/>
    <w:link w:val="CommentText"/>
    <w:semiHidden/>
    <w:rsid w:val="00D073A7"/>
  </w:style>
  <w:style w:type="paragraph" w:styleId="CommentSubject">
    <w:name w:val="annotation subject"/>
    <w:basedOn w:val="CommentText"/>
    <w:next w:val="CommentText"/>
    <w:link w:val="CommentSubjectChar"/>
    <w:semiHidden/>
    <w:unhideWhenUsed/>
    <w:rsid w:val="00D073A7"/>
    <w:rPr>
      <w:b/>
    </w:rPr>
  </w:style>
  <w:style w:type="character" w:customStyle="1" w:styleId="CommentSubjectChar">
    <w:name w:val="Comment Subject Char"/>
    <w:basedOn w:val="CommentTextChar"/>
    <w:link w:val="CommentSubject"/>
    <w:semiHidden/>
    <w:rsid w:val="00D073A7"/>
    <w:rPr>
      <w:b/>
    </w:rPr>
  </w:style>
  <w:style w:type="paragraph" w:styleId="Revision">
    <w:name w:val="Revision"/>
    <w:hidden/>
    <w:uiPriority w:val="99"/>
    <w:semiHidden/>
    <w:rsid w:val="002273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1602">
      <w:bodyDiv w:val="1"/>
      <w:marLeft w:val="0"/>
      <w:marRight w:val="0"/>
      <w:marTop w:val="0"/>
      <w:marBottom w:val="0"/>
      <w:divBdr>
        <w:top w:val="none" w:sz="0" w:space="0" w:color="auto"/>
        <w:left w:val="none" w:sz="0" w:space="0" w:color="auto"/>
        <w:bottom w:val="none" w:sz="0" w:space="0" w:color="auto"/>
        <w:right w:val="none" w:sz="0" w:space="0" w:color="auto"/>
      </w:divBdr>
    </w:div>
    <w:div w:id="15716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supremecourt.uk/docs/permission-to-appeal-2021-01-2021-02.pdf" TargetMode="External"/><Relationship Id="rId2" Type="http://schemas.openxmlformats.org/officeDocument/2006/relationships/hyperlink" Target="https://www.blackstonechambers.com/documents/883/R_Simonis_v_Arts_Council_England.docx" TargetMode="External"/><Relationship Id="rId1" Type="http://schemas.openxmlformats.org/officeDocument/2006/relationships/hyperlink" Target="http://www.bailii.org/ew/cases/EWHC/Admin/2018/1822.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et1.cec.eu.int\taxud\A\TAXUD-A5\CULTURAL%20GOODS\R%20E%20P%20O%20R%20T%20%20impl%20Reg%20116-2009\REPORT%202021%20(2018-2020)\05.%20Recap%20replies%20MS\STATISTICAL%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net1.cec.eu.int\taxud\A\TAXUD-A5\CULTURAL%20GOODS\R%20E%20P%20O%20R%20T%20%20impl%20Reg%20116-2009\REPORT%202021%20(2018-2020)\05.%20Recap%20replies%20MS\STATISTICAL%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taxud\A\TAXUD-A5\CULTURAL%20GOODS\R%20E%20P%20O%20R%20T%20%20impl%20Reg%20116-2009\REPORT%202021%20(2018-2020)\05.%20Recap%20replies%20MS\STATISTICAL%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2D8-4CE8-9FC2-A01BCC3E792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2D8-4CE8-9FC2-A01BCC3E792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2D8-4CE8-9FC2-A01BCC3E792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2D8-4CE8-9FC2-A01BCC3E792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2D8-4CE8-9FC2-A01BCC3E792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2D8-4CE8-9FC2-A01BCC3E7921}"/>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2D8-4CE8-9FC2-A01BCC3E7921}"/>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2D8-4CE8-9FC2-A01BCC3E7921}"/>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02D8-4CE8-9FC2-A01BCC3E7921}"/>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02D8-4CE8-9FC2-A01BCC3E792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02D8-4CE8-9FC2-A01BCC3E7921}"/>
                </c:ext>
              </c:extLst>
            </c:dLbl>
            <c:dLbl>
              <c:idx val="1"/>
              <c:layout>
                <c:manualLayout>
                  <c:x val="-0.13997274794986039"/>
                  <c:y val="-2.66491150885051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D8-4CE8-9FC2-A01BCC3E7921}"/>
                </c:ext>
              </c:extLst>
            </c:dLbl>
            <c:dLbl>
              <c:idx val="2"/>
              <c:layout>
                <c:manualLayout>
                  <c:x val="2.4556680644067064E-3"/>
                  <c:y val="-4.554550424187632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BD7F01D7-B453-4316-A463-94FCB364CE27}" type="CATEGORYNAME">
                      <a:rPr lang="en-US"/>
                      <a:pPr>
                        <a:defRPr>
                          <a:solidFill>
                            <a:schemeClr val="tx1"/>
                          </a:solidFill>
                        </a:defRPr>
                      </a:pPr>
                      <a:t>[CATEGORY NAME]</a:t>
                    </a:fld>
                    <a:r>
                      <a:rPr lang="en-US" baseline="0"/>
                      <a:t>; </a:t>
                    </a:r>
                    <a:fld id="{4DC40B86-5B73-462A-B331-AC4573CF9866}" type="VALUE">
                      <a:rPr lang="en-US" baseline="0"/>
                      <a:pPr>
                        <a:defRPr>
                          <a:solidFill>
                            <a:schemeClr val="tx1"/>
                          </a:solidFill>
                        </a:defRPr>
                      </a:pPr>
                      <a:t>[VALUE]</a:t>
                    </a:fld>
                    <a:r>
                      <a:rPr lang="en-US" baseline="0"/>
                      <a:t>; 2 %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2D8-4CE8-9FC2-A01BCC3E7921}"/>
                </c:ext>
              </c:extLst>
            </c:dLbl>
            <c:dLbl>
              <c:idx val="3"/>
              <c:layout>
                <c:manualLayout>
                  <c:x val="7.8581197629856214E-2"/>
                  <c:y val="-3.402515690211620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24141C84-038C-43EE-9CF4-44C7F03C62A1}" type="CATEGORYNAME">
                      <a:rPr lang="en-US"/>
                      <a:pPr>
                        <a:defRPr>
                          <a:solidFill>
                            <a:schemeClr val="tx1"/>
                          </a:solidFill>
                        </a:defRPr>
                      </a:pPr>
                      <a:t>[CATEGORY NAME]</a:t>
                    </a:fld>
                    <a:r>
                      <a:rPr lang="en-US" baseline="0"/>
                      <a:t>; </a:t>
                    </a:r>
                    <a:fld id="{BF228B5D-2E77-4AF8-9786-B8ED9C952F5A}" type="VALUE">
                      <a:rPr lang="en-US" baseline="0"/>
                      <a:pPr>
                        <a:defRPr>
                          <a:solidFill>
                            <a:schemeClr val="tx1"/>
                          </a:solidFill>
                        </a:defRPr>
                      </a:pPr>
                      <a:t>[VALUE]</a:t>
                    </a:fld>
                    <a:r>
                      <a:rPr lang="en-US" baseline="0"/>
                      <a:t>; 2 %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2D8-4CE8-9FC2-A01BCC3E7921}"/>
                </c:ext>
              </c:extLst>
            </c:dLbl>
            <c:dLbl>
              <c:idx val="4"/>
              <c:layout>
                <c:manualLayout>
                  <c:x val="8.3492516320969268E-2"/>
                  <c:y val="-3.257114066372852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45BB7CC0-4381-4F7D-90BE-3609A57E843C}" type="CATEGORYNAME">
                      <a:rPr lang="en-US"/>
                      <a:pPr>
                        <a:defRPr>
                          <a:solidFill>
                            <a:schemeClr val="tx1"/>
                          </a:solidFill>
                        </a:defRPr>
                      </a:pPr>
                      <a:t>[CATEGORY NAME]</a:t>
                    </a:fld>
                    <a:r>
                      <a:rPr lang="en-US" baseline="0"/>
                      <a:t>; </a:t>
                    </a:r>
                    <a:fld id="{4CFD7DB2-B92F-4E55-8EE0-56D61F858BB8}" type="VALUE">
                      <a:rPr lang="en-US" baseline="0"/>
                      <a:pPr>
                        <a:defRPr>
                          <a:solidFill>
                            <a:schemeClr val="tx1"/>
                          </a:solidFill>
                        </a:defRPr>
                      </a:pPr>
                      <a:t>[VALUE]</a:t>
                    </a:fld>
                    <a:r>
                      <a:rPr lang="en-US" baseline="0"/>
                      <a:t>; 8 %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2D8-4CE8-9FC2-A01BCC3E7921}"/>
                </c:ext>
              </c:extLst>
            </c:dLbl>
            <c:dLbl>
              <c:idx val="5"/>
              <c:layout>
                <c:manualLayout>
                  <c:x val="-1.6803961088495682E-16"/>
                  <c:y val="-7.887025219978344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B735B7A5-4776-4BB5-8B78-F4199966E15F}" type="CATEGORYNAME">
                      <a:rPr lang="en-US"/>
                      <a:pPr>
                        <a:defRPr>
                          <a:solidFill>
                            <a:schemeClr val="tx1"/>
                          </a:solidFill>
                        </a:defRPr>
                      </a:pPr>
                      <a:t>[CATEGORY NAME]</a:t>
                    </a:fld>
                    <a:r>
                      <a:rPr lang="en-US" baseline="0"/>
                      <a:t>; </a:t>
                    </a:r>
                    <a:fld id="{5DB30CCE-8D97-42EB-A7D8-D5B1137A0D2E}" type="VALUE">
                      <a:rPr lang="en-US" baseline="0"/>
                      <a:pPr>
                        <a:defRPr>
                          <a:solidFill>
                            <a:schemeClr val="tx1"/>
                          </a:solidFill>
                        </a:defRPr>
                      </a:pPr>
                      <a:t>[VALUE]</a:t>
                    </a:fld>
                    <a:r>
                      <a:rPr lang="en-US" baseline="0"/>
                      <a:t>; 13 %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2D8-4CE8-9FC2-A01BCC3E7921}"/>
                </c:ext>
              </c:extLst>
            </c:dLbl>
            <c:dLbl>
              <c:idx val="6"/>
              <c:layout>
                <c:manualLayout>
                  <c:x val="5.4024569384156645E-2"/>
                  <c:y val="8.8830383628350461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05B39CA0-0B1F-40AA-BD68-679B9079C2CA}" type="CATEGORYNAME">
                      <a:rPr lang="en-US"/>
                      <a:pPr>
                        <a:defRPr>
                          <a:solidFill>
                            <a:schemeClr val="tx1"/>
                          </a:solidFill>
                        </a:defRPr>
                      </a:pPr>
                      <a:t>[CATEGORY NAME]</a:t>
                    </a:fld>
                    <a:r>
                      <a:rPr lang="en-US" baseline="0"/>
                      <a:t>; </a:t>
                    </a:r>
                    <a:fld id="{E7220977-9A7B-422D-9E08-D3CE58220BF9}" type="VALUE">
                      <a:rPr lang="en-US" baseline="0"/>
                      <a:pPr>
                        <a:defRPr>
                          <a:solidFill>
                            <a:schemeClr val="tx1"/>
                          </a:solidFill>
                        </a:defRPr>
                      </a:pPr>
                      <a:t>[VALUE]</a:t>
                    </a:fld>
                    <a:r>
                      <a:rPr lang="en-US" baseline="0"/>
                      <a:t>; 18 %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2D8-4CE8-9FC2-A01BCC3E7921}"/>
                </c:ext>
              </c:extLst>
            </c:dLbl>
            <c:dLbl>
              <c:idx val="7"/>
              <c:layout>
                <c:manualLayout>
                  <c:x val="8.1036854076234968E-2"/>
                  <c:y val="3.849316623895175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64D1DB17-5AE5-41FE-BFC9-53970F3EDC7B}" type="CATEGORYNAME">
                      <a:rPr lang="en-US"/>
                      <a:pPr>
                        <a:defRPr>
                          <a:solidFill>
                            <a:schemeClr val="tx1"/>
                          </a:solidFill>
                        </a:defRPr>
                      </a:pPr>
                      <a:t>[CATEGORY NAME]</a:t>
                    </a:fld>
                    <a:r>
                      <a:rPr lang="en-US" baseline="0"/>
                      <a:t>; </a:t>
                    </a:r>
                    <a:fld id="{E519D613-E295-47B6-977A-7D8C99743EF9}" type="VALUE">
                      <a:rPr lang="en-US" baseline="0"/>
                      <a:pPr>
                        <a:defRPr>
                          <a:solidFill>
                            <a:schemeClr val="tx1"/>
                          </a:solidFill>
                        </a:defRPr>
                      </a:pPr>
                      <a:t>[VALUE]</a:t>
                    </a:fld>
                    <a:r>
                      <a:rPr lang="en-US" baseline="0"/>
                      <a:t>; 5 %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02D8-4CE8-9FC2-A01BCC3E7921}"/>
                </c:ext>
              </c:extLst>
            </c:dLbl>
            <c:dLbl>
              <c:idx val="8"/>
              <c:layout>
                <c:manualLayout>
                  <c:x val="-5.6480231628891042E-2"/>
                  <c:y val="4.441519181417533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9221A1C1-7138-4AE7-8EB8-C1E602520425}" type="CATEGORYNAME">
                      <a:rPr lang="en-US"/>
                      <a:pPr>
                        <a:defRPr>
                          <a:solidFill>
                            <a:schemeClr val="tx1"/>
                          </a:solidFill>
                        </a:defRPr>
                      </a:pPr>
                      <a:t>[CATEGORY NAME]</a:t>
                    </a:fld>
                    <a:r>
                      <a:rPr lang="en-US" baseline="0"/>
                      <a:t>; </a:t>
                    </a:r>
                    <a:fld id="{7F2656D1-5861-4D31-A26C-4C3EDC60A40C}" type="VALUE">
                      <a:rPr lang="en-US" baseline="0"/>
                      <a:pPr>
                        <a:defRPr>
                          <a:solidFill>
                            <a:schemeClr val="tx1"/>
                          </a:solidFill>
                        </a:defRPr>
                      </a:pPr>
                      <a:t>[VALUE]</a:t>
                    </a:fld>
                    <a:r>
                      <a:rPr lang="en-US" baseline="0"/>
                      <a:t>; 3 %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02D8-4CE8-9FC2-A01BCC3E7921}"/>
                </c:ext>
              </c:extLst>
            </c:dLbl>
            <c:dLbl>
              <c:idx val="9"/>
              <c:layout>
                <c:manualLayout>
                  <c:x val="0"/>
                  <c:y val="-0.1018518518518518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6845E184-F8ED-4C33-8999-5C0BCC1BAE4D}" type="CATEGORYNAME">
                      <a:rPr lang="en-US"/>
                      <a:pPr>
                        <a:defRPr>
                          <a:solidFill>
                            <a:schemeClr val="tx1"/>
                          </a:solidFill>
                        </a:defRPr>
                      </a:pPr>
                      <a:t>[CATEGORY NAME]</a:t>
                    </a:fld>
                    <a:r>
                      <a:rPr lang="en-US" baseline="0"/>
                      <a:t>; 20 750; 47 %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02D8-4CE8-9FC2-A01BCC3E792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'Standard export licences'!$K$24:$K$33</c:f>
              <c:strCache>
                <c:ptCount val="10"/>
                <c:pt idx="1">
                  <c:v>Others Member States</c:v>
                </c:pt>
                <c:pt idx="2">
                  <c:v>NL</c:v>
                </c:pt>
                <c:pt idx="3">
                  <c:v>BE</c:v>
                </c:pt>
                <c:pt idx="4">
                  <c:v>DE</c:v>
                </c:pt>
                <c:pt idx="5">
                  <c:v>ES</c:v>
                </c:pt>
                <c:pt idx="6">
                  <c:v>FR</c:v>
                </c:pt>
                <c:pt idx="7">
                  <c:v>AT</c:v>
                </c:pt>
                <c:pt idx="8">
                  <c:v>PT</c:v>
                </c:pt>
                <c:pt idx="9">
                  <c:v>UK</c:v>
                </c:pt>
              </c:strCache>
            </c:strRef>
          </c:cat>
          <c:val>
            <c:numRef>
              <c:f>'Standard export licences'!$L$24:$L$33</c:f>
              <c:numCache>
                <c:formatCode>General</c:formatCode>
                <c:ptCount val="10"/>
                <c:pt idx="1">
                  <c:v>1048</c:v>
                </c:pt>
                <c:pt idx="2">
                  <c:v>875</c:v>
                </c:pt>
                <c:pt idx="3">
                  <c:v>873</c:v>
                </c:pt>
                <c:pt idx="4">
                  <c:v>3686</c:v>
                </c:pt>
                <c:pt idx="5">
                  <c:v>5717</c:v>
                </c:pt>
                <c:pt idx="6">
                  <c:v>7895</c:v>
                </c:pt>
                <c:pt idx="7">
                  <c:v>1931</c:v>
                </c:pt>
                <c:pt idx="8">
                  <c:v>1363</c:v>
                </c:pt>
                <c:pt idx="9">
                  <c:v>20750</c:v>
                </c:pt>
              </c:numCache>
            </c:numRef>
          </c:val>
          <c:extLst>
            <c:ext xmlns:c16="http://schemas.microsoft.com/office/drawing/2014/chart" uri="{C3380CC4-5D6E-409C-BE32-E72D297353CC}">
              <c16:uniqueId val="{00000014-02D8-4CE8-9FC2-A01BCC3E7921}"/>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02D8-4CE8-9FC2-A01BCC3E792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02D8-4CE8-9FC2-A01BCC3E792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02D8-4CE8-9FC2-A01BCC3E792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02D8-4CE8-9FC2-A01BCC3E792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02D8-4CE8-9FC2-A01BCC3E792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02D8-4CE8-9FC2-A01BCC3E7921}"/>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2-02D8-4CE8-9FC2-A01BCC3E7921}"/>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4-02D8-4CE8-9FC2-A01BCC3E7921}"/>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6-02D8-4CE8-9FC2-A01BCC3E7921}"/>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8-02D8-4CE8-9FC2-A01BCC3E792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6-02D8-4CE8-9FC2-A01BCC3E792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8-02D8-4CE8-9FC2-A01BCC3E792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A-02D8-4CE8-9FC2-A01BCC3E792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C-02D8-4CE8-9FC2-A01BCC3E792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E-02D8-4CE8-9FC2-A01BCC3E792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0-02D8-4CE8-9FC2-A01BCC3E7921}"/>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2-02D8-4CE8-9FC2-A01BCC3E7921}"/>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4-02D8-4CE8-9FC2-A01BCC3E7921}"/>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6-02D8-4CE8-9FC2-A01BCC3E7921}"/>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8-02D8-4CE8-9FC2-A01BCC3E7921}"/>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'Standard export licences'!$K$24:$K$33</c:f>
              <c:strCache>
                <c:ptCount val="10"/>
                <c:pt idx="1">
                  <c:v>Others Member States</c:v>
                </c:pt>
                <c:pt idx="2">
                  <c:v>NL</c:v>
                </c:pt>
                <c:pt idx="3">
                  <c:v>BE</c:v>
                </c:pt>
                <c:pt idx="4">
                  <c:v>DE</c:v>
                </c:pt>
                <c:pt idx="5">
                  <c:v>ES</c:v>
                </c:pt>
                <c:pt idx="6">
                  <c:v>FR</c:v>
                </c:pt>
                <c:pt idx="7">
                  <c:v>AT</c:v>
                </c:pt>
                <c:pt idx="8">
                  <c:v>PT</c:v>
                </c:pt>
                <c:pt idx="9">
                  <c:v>UK</c:v>
                </c:pt>
              </c:strCache>
            </c:strRef>
          </c:cat>
          <c:val>
            <c:numRef>
              <c:f>'Standard export licences'!$M$24:$M$33</c:f>
              <c:numCache>
                <c:formatCode>0.00%</c:formatCode>
                <c:ptCount val="10"/>
                <c:pt idx="1">
                  <c:v>2.3743712900448591E-2</c:v>
                </c:pt>
                <c:pt idx="2">
                  <c:v>1.9824187774706601E-2</c:v>
                </c:pt>
                <c:pt idx="3">
                  <c:v>1.9778875345507273E-2</c:v>
                </c:pt>
                <c:pt idx="4">
                  <c:v>8.3510807014364044E-2</c:v>
                </c:pt>
                <c:pt idx="5">
                  <c:v>0.12952557886628302</c:v>
                </c:pt>
                <c:pt idx="6">
                  <c:v>0.17887081426435272</c:v>
                </c:pt>
                <c:pt idx="7">
                  <c:v>4.3749150391952513E-2</c:v>
                </c:pt>
                <c:pt idx="8">
                  <c:v>3.0880420499342968E-2</c:v>
                </c:pt>
                <c:pt idx="9">
                  <c:v>0.47011645294304227</c:v>
                </c:pt>
              </c:numCache>
            </c:numRef>
          </c:val>
          <c:extLst>
            <c:ext xmlns:c16="http://schemas.microsoft.com/office/drawing/2014/chart" uri="{C3380CC4-5D6E-409C-BE32-E72D297353CC}">
              <c16:uniqueId val="{00000029-02D8-4CE8-9FC2-A01BCC3E792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0"/>
      <c:depthPercent val="10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692668538819947E-2"/>
          <c:y val="0.14443118047560513"/>
          <c:w val="0.82661466292236008"/>
          <c:h val="0.79989661810011159"/>
        </c:manualLayout>
      </c:layout>
      <c:pie3DChart>
        <c:varyColors val="1"/>
        <c:ser>
          <c:idx val="0"/>
          <c:order val="0"/>
          <c:explosion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5C8-43F5-A1FE-A00AD57993A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5C8-43F5-A1FE-A00AD57993A6}"/>
              </c:ext>
            </c:extLst>
          </c:dPt>
          <c:dPt>
            <c:idx val="2"/>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5C8-43F5-A1FE-A00AD57993A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5C8-43F5-A1FE-A00AD57993A6}"/>
              </c:ext>
            </c:extLst>
          </c:dPt>
          <c:dPt>
            <c:idx val="4"/>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5C8-43F5-A1FE-A00AD57993A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5C8-43F5-A1FE-A00AD57993A6}"/>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5C8-43F5-A1FE-A00AD57993A6}"/>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E5C8-43F5-A1FE-A00AD57993A6}"/>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E5C8-43F5-A1FE-A00AD57993A6}"/>
              </c:ext>
            </c:extLst>
          </c:dPt>
          <c:dPt>
            <c:idx val="9"/>
            <c:bubble3D val="0"/>
            <c:spPr>
              <a:solidFill>
                <a:srgbClr val="FF993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E5C8-43F5-A1FE-A00AD57993A6}"/>
              </c:ext>
            </c:extLst>
          </c:dPt>
          <c:dLbls>
            <c:dLbl>
              <c:idx val="0"/>
              <c:layout>
                <c:manualLayout>
                  <c:x val="0.18474467551575421"/>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9E6D8317-2C20-4B2E-A94C-405B16D4A550}" type="CATEGORYNAME">
                      <a:rPr lang="en-US"/>
                      <a:pPr>
                        <a:defRPr>
                          <a:solidFill>
                            <a:schemeClr val="tx1"/>
                          </a:solidFill>
                        </a:defRPr>
                      </a:pPr>
                      <a:t>[CATEGORY NAME]</a:t>
                    </a:fld>
                    <a:r>
                      <a:rPr lang="en-US" baseline="0"/>
                      <a:t>; </a:t>
                    </a:r>
                    <a:fld id="{C91B8A8B-CDFF-4CD1-964A-38B14D990E4C}" type="VALUE">
                      <a:rPr lang="en-US" baseline="0"/>
                      <a:pPr>
                        <a:defRPr>
                          <a:solidFill>
                            <a:schemeClr val="tx1"/>
                          </a:solidFill>
                        </a:defRPr>
                      </a:pPr>
                      <a:t>[VALUE]</a:t>
                    </a:fld>
                    <a:r>
                      <a:rPr lang="en-US" baseline="0"/>
                      <a:t>; 0 %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C8-43F5-A1FE-A00AD57993A6}"/>
                </c:ext>
              </c:extLst>
            </c:dLbl>
            <c:dLbl>
              <c:idx val="1"/>
              <c:layout>
                <c:manualLayout>
                  <c:x val="9.6449599458702812E-3"/>
                  <c:y val="0.1520600620247520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49F625D3-58AE-4202-B677-A09EE7BDBECC}" type="CATEGORYNAME">
                      <a:rPr lang="en-US"/>
                      <a:pPr>
                        <a:defRPr>
                          <a:solidFill>
                            <a:schemeClr val="tx1"/>
                          </a:solidFill>
                        </a:defRPr>
                      </a:pPr>
                      <a:t>[CATEGORY NAME]</a:t>
                    </a:fld>
                    <a:r>
                      <a:rPr lang="en-US" baseline="0"/>
                      <a:t>; </a:t>
                    </a:r>
                    <a:fld id="{EE7C3A8D-6E67-4562-BDA7-24A781101C17}" type="VALUE">
                      <a:rPr lang="en-US" baseline="0"/>
                      <a:pPr>
                        <a:defRPr>
                          <a:solidFill>
                            <a:schemeClr val="tx1"/>
                          </a:solidFill>
                        </a:defRPr>
                      </a:pPr>
                      <a:t>[VALUE]</a:t>
                    </a:fld>
                    <a:r>
                      <a:rPr lang="en-US" baseline="0"/>
                      <a:t>; 61 %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5C8-43F5-A1FE-A00AD57993A6}"/>
                </c:ext>
              </c:extLst>
            </c:dLbl>
            <c:dLbl>
              <c:idx val="2"/>
              <c:layout>
                <c:manualLayout>
                  <c:x val="-1.6988845144356956E-2"/>
                  <c:y val="-0.1327544473607465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6597BDAE-3377-4784-AC8F-B16169F46087}" type="CATEGORYNAME">
                      <a:rPr lang="en-US"/>
                      <a:pPr>
                        <a:defRPr>
                          <a:solidFill>
                            <a:schemeClr val="tx1"/>
                          </a:solidFill>
                        </a:defRPr>
                      </a:pPr>
                      <a:t>[CATEGORY NAME]</a:t>
                    </a:fld>
                    <a:r>
                      <a:rPr lang="en-US" baseline="0"/>
                      <a:t>; </a:t>
                    </a:r>
                    <a:fld id="{E6A460A5-BDFF-4F82-8993-BE5EE2D06C38}" type="VALUE">
                      <a:rPr lang="en-US" baseline="0"/>
                      <a:pPr>
                        <a:defRPr>
                          <a:solidFill>
                            <a:schemeClr val="tx1"/>
                          </a:solidFill>
                        </a:defRPr>
                      </a:pPr>
                      <a:t>[VALUE]</a:t>
                    </a:fld>
                    <a:r>
                      <a:rPr lang="en-US" baseline="0"/>
                      <a:t>; 30 %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C8-43F5-A1FE-A00AD57993A6}"/>
                </c:ext>
              </c:extLst>
            </c:dLbl>
            <c:dLbl>
              <c:idx val="3"/>
              <c:layout>
                <c:manualLayout>
                  <c:x val="-4.0863298337707785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4CE8F372-4F54-4125-B55C-60EFAB670039}" type="CATEGORYNAME">
                      <a:rPr lang="en-US"/>
                      <a:pPr>
                        <a:defRPr>
                          <a:solidFill>
                            <a:schemeClr val="tx1"/>
                          </a:solidFill>
                        </a:defRPr>
                      </a:pPr>
                      <a:t>[CATEGORY NAME]</a:t>
                    </a:fld>
                    <a:r>
                      <a:rPr lang="en-US" baseline="0"/>
                      <a:t>; </a:t>
                    </a:r>
                    <a:fld id="{4664A357-B048-4A43-BCFA-4E02C202BF56}" type="VALUE">
                      <a:rPr lang="en-US" baseline="0"/>
                      <a:pPr>
                        <a:defRPr>
                          <a:solidFill>
                            <a:schemeClr val="tx1"/>
                          </a:solidFill>
                        </a:defRPr>
                      </a:pPr>
                      <a:t>[VALUE]</a:t>
                    </a:fld>
                    <a:r>
                      <a:rPr lang="en-US" baseline="0"/>
                      <a:t>; 1 %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5C8-43F5-A1FE-A00AD57993A6}"/>
                </c:ext>
              </c:extLst>
            </c:dLbl>
            <c:dLbl>
              <c:idx val="4"/>
              <c:layout>
                <c:manualLayout>
                  <c:x val="4.6103736871490497E-2"/>
                  <c:y val="-2.04828413195358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E5475634-306C-4CBB-8CF6-72F6100597EA}" type="CATEGORYNAME">
                      <a:rPr lang="en-US"/>
                      <a:pPr>
                        <a:defRPr>
                          <a:solidFill>
                            <a:schemeClr val="tx1"/>
                          </a:solidFill>
                        </a:defRPr>
                      </a:pPr>
                      <a:t>[CATEGORY NAME]</a:t>
                    </a:fld>
                    <a:r>
                      <a:rPr lang="en-US" baseline="0"/>
                      <a:t>; </a:t>
                    </a:r>
                    <a:fld id="{A5AC0926-AB95-4C61-87EB-49EF44B025AA}" type="VALUE">
                      <a:rPr lang="en-US" baseline="0"/>
                      <a:pPr>
                        <a:defRPr>
                          <a:solidFill>
                            <a:schemeClr val="tx1"/>
                          </a:solidFill>
                        </a:defRPr>
                      </a:pPr>
                      <a:t>[VALUE]</a:t>
                    </a:fld>
                    <a:r>
                      <a:rPr lang="en-US" baseline="0"/>
                      <a:t>; 8 %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5C8-43F5-A1FE-A00AD57993A6}"/>
                </c:ext>
              </c:extLst>
            </c:dLbl>
            <c:dLbl>
              <c:idx val="5"/>
              <c:layout>
                <c:manualLayout>
                  <c:x val="2.4556622447343929E-2"/>
                  <c:y val="-6.218126853984535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5C8-43F5-A1FE-A00AD57993A6}"/>
                </c:ext>
              </c:extLst>
            </c:dLbl>
            <c:dLbl>
              <c:idx val="6"/>
              <c:layout>
                <c:manualLayout>
                  <c:x val="5.4024569384156645E-2"/>
                  <c:y val="8.88303836283504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5C8-43F5-A1FE-A00AD57993A6}"/>
                </c:ext>
              </c:extLst>
            </c:dLbl>
            <c:dLbl>
              <c:idx val="7"/>
              <c:layout>
                <c:manualLayout>
                  <c:x val="8.1036854076234968E-2"/>
                  <c:y val="3.849316623895175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5C8-43F5-A1FE-A00AD57993A6}"/>
                </c:ext>
              </c:extLst>
            </c:dLbl>
            <c:dLbl>
              <c:idx val="8"/>
              <c:layout>
                <c:manualLayout>
                  <c:x val="-5.6480231628891042E-2"/>
                  <c:y val="4.44151918141753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5C8-43F5-A1FE-A00AD57993A6}"/>
                </c:ext>
              </c:extLst>
            </c:dLbl>
            <c:dLbl>
              <c:idx val="9"/>
              <c:layout>
                <c:manualLayout>
                  <c:x val="0"/>
                  <c:y val="-0.101851851851851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5C8-43F5-A1FE-A00AD57993A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'Specific open licences I'!$I$42:$I$47</c:f>
              <c:strCache>
                <c:ptCount val="5"/>
                <c:pt idx="0">
                  <c:v>Other Member States</c:v>
                </c:pt>
                <c:pt idx="1">
                  <c:v>DE</c:v>
                </c:pt>
                <c:pt idx="2">
                  <c:v>NL</c:v>
                </c:pt>
                <c:pt idx="3">
                  <c:v>PL</c:v>
                </c:pt>
                <c:pt idx="4">
                  <c:v>UK</c:v>
                </c:pt>
              </c:strCache>
            </c:strRef>
          </c:cat>
          <c:val>
            <c:numRef>
              <c:f>'Specific open licences I'!$J$42:$J$47</c:f>
              <c:numCache>
                <c:formatCode>General</c:formatCode>
                <c:ptCount val="6"/>
                <c:pt idx="0">
                  <c:v>10</c:v>
                </c:pt>
                <c:pt idx="1">
                  <c:v>2348</c:v>
                </c:pt>
                <c:pt idx="2">
                  <c:v>1124</c:v>
                </c:pt>
                <c:pt idx="3">
                  <c:v>36</c:v>
                </c:pt>
                <c:pt idx="4">
                  <c:v>310</c:v>
                </c:pt>
              </c:numCache>
            </c:numRef>
          </c:val>
          <c:extLst>
            <c:ext xmlns:c16="http://schemas.microsoft.com/office/drawing/2014/chart" uri="{C3380CC4-5D6E-409C-BE32-E72D297353CC}">
              <c16:uniqueId val="{00000014-E5C8-43F5-A1FE-A00AD57993A6}"/>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E5C8-43F5-A1FE-A00AD57993A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E5C8-43F5-A1FE-A00AD57993A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E5C8-43F5-A1FE-A00AD57993A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E5C8-43F5-A1FE-A00AD57993A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E5C8-43F5-A1FE-A00AD57993A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E5C8-43F5-A1FE-A00AD57993A6}"/>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2-E5C8-43F5-A1FE-A00AD57993A6}"/>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4-E5C8-43F5-A1FE-A00AD57993A6}"/>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6-E5C8-43F5-A1FE-A00AD57993A6}"/>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8-E5C8-43F5-A1FE-A00AD57993A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6-E5C8-43F5-A1FE-A00AD57993A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8-E5C8-43F5-A1FE-A00AD57993A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A-E5C8-43F5-A1FE-A00AD57993A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C-E5C8-43F5-A1FE-A00AD57993A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E-E5C8-43F5-A1FE-A00AD57993A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0-E5C8-43F5-A1FE-A00AD57993A6}"/>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2-E5C8-43F5-A1FE-A00AD57993A6}"/>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4-E5C8-43F5-A1FE-A00AD57993A6}"/>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6-E5C8-43F5-A1FE-A00AD57993A6}"/>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8-E5C8-43F5-A1FE-A00AD57993A6}"/>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'Specific open licences I'!$I$42:$I$47</c:f>
              <c:strCache>
                <c:ptCount val="5"/>
                <c:pt idx="0">
                  <c:v>Other Member States</c:v>
                </c:pt>
                <c:pt idx="1">
                  <c:v>DE</c:v>
                </c:pt>
                <c:pt idx="2">
                  <c:v>NL</c:v>
                </c:pt>
                <c:pt idx="3">
                  <c:v>PL</c:v>
                </c:pt>
                <c:pt idx="4">
                  <c:v>UK</c:v>
                </c:pt>
              </c:strCache>
            </c:strRef>
          </c:cat>
          <c:val>
            <c:numRef>
              <c:f>'Specific open licences I'!$K$42:$K$47</c:f>
              <c:numCache>
                <c:formatCode>0.00%</c:formatCode>
                <c:ptCount val="6"/>
                <c:pt idx="0">
                  <c:v>2.6123301985370951E-3</c:v>
                </c:pt>
                <c:pt idx="1">
                  <c:v>0.61337513061650994</c:v>
                </c:pt>
                <c:pt idx="2">
                  <c:v>0.2936259143155695</c:v>
                </c:pt>
                <c:pt idx="3">
                  <c:v>9.4043887147335428E-3</c:v>
                </c:pt>
                <c:pt idx="4">
                  <c:v>8.0982236154649945E-2</c:v>
                </c:pt>
              </c:numCache>
            </c:numRef>
          </c:val>
          <c:extLst>
            <c:ext xmlns:c16="http://schemas.microsoft.com/office/drawing/2014/chart" uri="{C3380CC4-5D6E-409C-BE32-E72D297353CC}">
              <c16:uniqueId val="{00000029-E5C8-43F5-A1FE-A00AD57993A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51781389918164"/>
          <c:y val="0.17559335404704407"/>
          <c:w val="0.82620040887651525"/>
          <c:h val="0.80182201382211959"/>
        </c:manualLayout>
      </c:layout>
      <c:pie3DChart>
        <c:varyColors val="1"/>
        <c:ser>
          <c:idx val="0"/>
          <c:order val="0"/>
          <c:explosion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899-423C-A46B-F47F4D58B1B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899-423C-A46B-F47F4D58B1B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899-423C-A46B-F47F4D58B1B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899-423C-A46B-F47F4D58B1B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899-423C-A46B-F47F4D58B1B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899-423C-A46B-F47F4D58B1B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1899-423C-A46B-F47F4D58B1B4}"/>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1899-423C-A46B-F47F4D58B1B4}"/>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1899-423C-A46B-F47F4D58B1B4}"/>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1899-423C-A46B-F47F4D58B1B4}"/>
              </c:ext>
            </c:extLst>
          </c:dPt>
          <c:dLbls>
            <c:dLbl>
              <c:idx val="0"/>
              <c:layout>
                <c:manualLayout>
                  <c:x val="0.11780033839774441"/>
                  <c:y val="-3.4235516031712143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14E0B40B-4E38-43BA-BE10-8E2F13B4F641}" type="CATEGORYNAME">
                      <a:rPr lang="en-US"/>
                      <a:pPr>
                        <a:defRPr>
                          <a:solidFill>
                            <a:schemeClr val="tx1"/>
                          </a:solidFill>
                        </a:defRPr>
                      </a:pPr>
                      <a:t>[CATEGORY NAME]</a:t>
                    </a:fld>
                    <a:r>
                      <a:rPr lang="en-US" baseline="0"/>
                      <a:t>; </a:t>
                    </a:r>
                    <a:fld id="{170BA258-2702-4AB6-868C-40F625EE0AF2}" type="VALUE">
                      <a:rPr lang="en-US" baseline="0"/>
                      <a:pPr>
                        <a:defRPr>
                          <a:solidFill>
                            <a:schemeClr val="tx1"/>
                          </a:solidFill>
                        </a:defRPr>
                      </a:pPr>
                      <a:t>[VALUE]</a:t>
                    </a:fld>
                    <a:r>
                      <a:rPr lang="en-US" baseline="0"/>
                      <a:t>; 2 %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99-423C-A46B-F47F4D58B1B4}"/>
                </c:ext>
              </c:extLst>
            </c:dLbl>
            <c:dLbl>
              <c:idx val="1"/>
              <c:layout>
                <c:manualLayout>
                  <c:x val="0.11716250614000211"/>
                  <c:y val="3.0135044477481798E-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D0B19627-7ADF-4C64-B720-FF8A7D82981E}" type="CATEGORYNAME">
                      <a:rPr lang="en-US"/>
                      <a:pPr>
                        <a:defRPr>
                          <a:solidFill>
                            <a:schemeClr val="tx1"/>
                          </a:solidFill>
                        </a:defRPr>
                      </a:pPr>
                      <a:t>[CATEGORY NAME]</a:t>
                    </a:fld>
                    <a:r>
                      <a:rPr lang="en-US" baseline="0"/>
                      <a:t>; </a:t>
                    </a:r>
                    <a:fld id="{18AB7767-F7BC-4D89-AF28-1F8AF6115F2F}" type="VALUE">
                      <a:rPr lang="en-US" baseline="0"/>
                      <a:pPr>
                        <a:defRPr>
                          <a:solidFill>
                            <a:schemeClr val="tx1"/>
                          </a:solidFill>
                        </a:defRPr>
                      </a:pPr>
                      <a:t>[VALUE]</a:t>
                    </a:fld>
                    <a:r>
                      <a:rPr lang="en-US" baseline="0"/>
                      <a:t>; 9 %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99-423C-A46B-F47F4D58B1B4}"/>
                </c:ext>
              </c:extLst>
            </c:dLbl>
            <c:dLbl>
              <c:idx val="2"/>
              <c:layout>
                <c:manualLayout>
                  <c:x val="3.7772258978491291E-2"/>
                  <c:y val="5.724360145059876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27AC75AD-7F6B-4E2E-B95B-312B073DDA32}" type="CATEGORYNAME">
                      <a:rPr lang="en-US"/>
                      <a:pPr>
                        <a:defRPr>
                          <a:solidFill>
                            <a:schemeClr val="tx1"/>
                          </a:solidFill>
                        </a:defRPr>
                      </a:pPr>
                      <a:t>[CATEGORY NAME]</a:t>
                    </a:fld>
                    <a:r>
                      <a:rPr lang="en-US" baseline="0"/>
                      <a:t>; </a:t>
                    </a:r>
                    <a:fld id="{94C8D19D-2F0B-4CC8-B532-2CB778A83DFE}" type="VALUE">
                      <a:rPr lang="en-US" baseline="0"/>
                      <a:pPr>
                        <a:defRPr>
                          <a:solidFill>
                            <a:schemeClr val="tx1"/>
                          </a:solidFill>
                        </a:defRPr>
                      </a:pPr>
                      <a:t>[VALUE]</a:t>
                    </a:fld>
                    <a:r>
                      <a:rPr lang="en-US" baseline="0"/>
                      <a:t>; 46 %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899-423C-A46B-F47F4D58B1B4}"/>
                </c:ext>
              </c:extLst>
            </c:dLbl>
            <c:dLbl>
              <c:idx val="3"/>
              <c:layout>
                <c:manualLayout>
                  <c:x val="1.0155262722017097E-2"/>
                  <c:y val="-0.1169579169819197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56A8346D-8017-47C2-9105-A7EFD1622FDA}" type="CATEGORYNAME">
                      <a:rPr lang="en-US"/>
                      <a:pPr>
                        <a:defRPr>
                          <a:solidFill>
                            <a:schemeClr val="tx1"/>
                          </a:solidFill>
                        </a:defRPr>
                      </a:pPr>
                      <a:t>[CATEGORY NAME]</a:t>
                    </a:fld>
                    <a:r>
                      <a:rPr lang="en-US" baseline="0"/>
                      <a:t>; </a:t>
                    </a:r>
                    <a:fld id="{E2E04582-95D9-414D-9E85-2D8C8FAD0836}" type="VALUE">
                      <a:rPr lang="en-US" baseline="0"/>
                      <a:pPr>
                        <a:defRPr>
                          <a:solidFill>
                            <a:schemeClr val="tx1"/>
                          </a:solidFill>
                        </a:defRPr>
                      </a:pPr>
                      <a:t>[VALUE]</a:t>
                    </a:fld>
                    <a:r>
                      <a:rPr lang="en-US" baseline="0"/>
                      <a:t>; 33 %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899-423C-A46B-F47F4D58B1B4}"/>
                </c:ext>
              </c:extLst>
            </c:dLbl>
            <c:dLbl>
              <c:idx val="4"/>
              <c:layout>
                <c:manualLayout>
                  <c:x val="-2.9079194190418083E-2"/>
                  <c:y val="-2.42920504056980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E96B98C2-1C02-479D-AC1D-19A9DAB4640E}" type="CATEGORYNAME">
                      <a:rPr lang="en-US"/>
                      <a:pPr>
                        <a:defRPr>
                          <a:solidFill>
                            <a:schemeClr val="tx1"/>
                          </a:solidFill>
                        </a:defRPr>
                      </a:pPr>
                      <a:t>[CATEGORY NAME]</a:t>
                    </a:fld>
                    <a:r>
                      <a:rPr lang="en-US" baseline="0"/>
                      <a:t>; </a:t>
                    </a:r>
                    <a:fld id="{1D17E339-E2B2-4F0C-ACA7-B65510ABFE00}" type="VALUE">
                      <a:rPr lang="en-US" baseline="0"/>
                      <a:pPr>
                        <a:defRPr>
                          <a:solidFill>
                            <a:schemeClr val="tx1"/>
                          </a:solidFill>
                        </a:defRPr>
                      </a:pPr>
                      <a:t>[VALUE]</a:t>
                    </a:fld>
                    <a:r>
                      <a:rPr lang="en-US" baseline="0"/>
                      <a:t>; 2 %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899-423C-A46B-F47F4D58B1B4}"/>
                </c:ext>
              </c:extLst>
            </c:dLbl>
            <c:dLbl>
              <c:idx val="5"/>
              <c:layout>
                <c:manualLayout>
                  <c:x val="-2.4243006438800827E-2"/>
                  <c:y val="-5.210756287906784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305E372F-5FF0-4DEE-A262-2D6600299C4C}" type="CATEGORYNAME">
                      <a:rPr lang="en-US"/>
                      <a:pPr>
                        <a:defRPr>
                          <a:solidFill>
                            <a:schemeClr val="tx1"/>
                          </a:solidFill>
                        </a:defRPr>
                      </a:pPr>
                      <a:t>[CATEGORY NAME]</a:t>
                    </a:fld>
                    <a:r>
                      <a:rPr lang="en-US" baseline="0"/>
                      <a:t>; </a:t>
                    </a:r>
                    <a:fld id="{2E39BAE3-E8D4-49C2-A397-B8FBE43F2CD4}" type="VALUE">
                      <a:rPr lang="en-US" baseline="0"/>
                      <a:pPr>
                        <a:defRPr>
                          <a:solidFill>
                            <a:schemeClr val="tx1"/>
                          </a:solidFill>
                        </a:defRPr>
                      </a:pPr>
                      <a:t>[VALUE]</a:t>
                    </a:fld>
                    <a:r>
                      <a:rPr lang="en-US" baseline="0"/>
                      <a:t>; 7 %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899-423C-A46B-F47F4D58B1B4}"/>
                </c:ext>
              </c:extLst>
            </c:dLbl>
            <c:dLbl>
              <c:idx val="6"/>
              <c:layout>
                <c:manualLayout>
                  <c:x val="1.2201488437037116E-2"/>
                  <c:y val="-4.443458366133157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C72E0181-8248-47C3-9BCB-861EF30D32E5}" type="CATEGORYNAME">
                      <a:rPr lang="en-US"/>
                      <a:pPr>
                        <a:defRPr>
                          <a:solidFill>
                            <a:schemeClr val="tx1"/>
                          </a:solidFill>
                        </a:defRPr>
                      </a:pPr>
                      <a:t>[CATEGORY NAME]</a:t>
                    </a:fld>
                    <a:r>
                      <a:rPr lang="en-US" baseline="0"/>
                      <a:t>; </a:t>
                    </a:r>
                    <a:fld id="{C35E7DB2-2B6A-4F78-8648-D460847A6C00}" type="VALUE">
                      <a:rPr lang="en-US" baseline="0"/>
                      <a:pPr>
                        <a:defRPr>
                          <a:solidFill>
                            <a:schemeClr val="tx1"/>
                          </a:solidFill>
                        </a:defRPr>
                      </a:pPr>
                      <a:t>[VALUE]</a:t>
                    </a:fld>
                    <a:r>
                      <a:rPr lang="en-US" baseline="0"/>
                      <a:t>; 1 %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899-423C-A46B-F47F4D58B1B4}"/>
                </c:ext>
              </c:extLst>
            </c:dLbl>
            <c:dLbl>
              <c:idx val="7"/>
              <c:layout>
                <c:manualLayout>
                  <c:x val="8.1036854076234968E-2"/>
                  <c:y val="3.849316623895175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899-423C-A46B-F47F4D58B1B4}"/>
                </c:ext>
              </c:extLst>
            </c:dLbl>
            <c:dLbl>
              <c:idx val="8"/>
              <c:layout>
                <c:manualLayout>
                  <c:x val="-5.6480231628891042E-2"/>
                  <c:y val="4.44151918141753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1899-423C-A46B-F47F4D58B1B4}"/>
                </c:ext>
              </c:extLst>
            </c:dLbl>
            <c:dLbl>
              <c:idx val="9"/>
              <c:layout>
                <c:manualLayout>
                  <c:x val="0"/>
                  <c:y val="-0.101851851851851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1899-423C-A46B-F47F4D58B1B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'General open licences'!$R$25:$R$31</c:f>
              <c:strCache>
                <c:ptCount val="7"/>
                <c:pt idx="0">
                  <c:v>Other Member States</c:v>
                </c:pt>
                <c:pt idx="1">
                  <c:v>DK</c:v>
                </c:pt>
                <c:pt idx="2">
                  <c:v>DE</c:v>
                </c:pt>
                <c:pt idx="3">
                  <c:v>ES</c:v>
                </c:pt>
                <c:pt idx="4">
                  <c:v>PL</c:v>
                </c:pt>
                <c:pt idx="5">
                  <c:v>SI</c:v>
                </c:pt>
                <c:pt idx="6">
                  <c:v>SE</c:v>
                </c:pt>
              </c:strCache>
            </c:strRef>
          </c:cat>
          <c:val>
            <c:numRef>
              <c:f>'General open licences'!$S$25:$S$31</c:f>
              <c:numCache>
                <c:formatCode>General</c:formatCode>
                <c:ptCount val="7"/>
                <c:pt idx="0">
                  <c:v>37</c:v>
                </c:pt>
                <c:pt idx="1">
                  <c:v>150</c:v>
                </c:pt>
                <c:pt idx="2">
                  <c:v>795</c:v>
                </c:pt>
                <c:pt idx="3">
                  <c:v>575</c:v>
                </c:pt>
                <c:pt idx="4">
                  <c:v>31</c:v>
                </c:pt>
                <c:pt idx="5">
                  <c:v>113</c:v>
                </c:pt>
                <c:pt idx="6">
                  <c:v>26</c:v>
                </c:pt>
              </c:numCache>
            </c:numRef>
          </c:val>
          <c:extLst>
            <c:ext xmlns:c16="http://schemas.microsoft.com/office/drawing/2014/chart" uri="{C3380CC4-5D6E-409C-BE32-E72D297353CC}">
              <c16:uniqueId val="{00000014-1899-423C-A46B-F47F4D58B1B4}"/>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1899-423C-A46B-F47F4D58B1B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899-423C-A46B-F47F4D58B1B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1899-423C-A46B-F47F4D58B1B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1899-423C-A46B-F47F4D58B1B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1899-423C-A46B-F47F4D58B1B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1899-423C-A46B-F47F4D58B1B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2-1899-423C-A46B-F47F4D58B1B4}"/>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4-1899-423C-A46B-F47F4D58B1B4}"/>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6-1899-423C-A46B-F47F4D58B1B4}"/>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8-1899-423C-A46B-F47F4D58B1B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6-1899-423C-A46B-F47F4D58B1B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8-1899-423C-A46B-F47F4D58B1B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A-1899-423C-A46B-F47F4D58B1B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C-1899-423C-A46B-F47F4D58B1B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1E-1899-423C-A46B-F47F4D58B1B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0-1899-423C-A46B-F47F4D58B1B4}"/>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2-1899-423C-A46B-F47F4D58B1B4}"/>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4-1899-423C-A46B-F47F4D58B1B4}"/>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6-1899-423C-A46B-F47F4D58B1B4}"/>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28-1899-423C-A46B-F47F4D58B1B4}"/>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'General open licences'!$R$25:$R$31</c:f>
              <c:strCache>
                <c:ptCount val="7"/>
                <c:pt idx="0">
                  <c:v>Other Member States</c:v>
                </c:pt>
                <c:pt idx="1">
                  <c:v>DK</c:v>
                </c:pt>
                <c:pt idx="2">
                  <c:v>DE</c:v>
                </c:pt>
                <c:pt idx="3">
                  <c:v>ES</c:v>
                </c:pt>
                <c:pt idx="4">
                  <c:v>PL</c:v>
                </c:pt>
                <c:pt idx="5">
                  <c:v>SI</c:v>
                </c:pt>
                <c:pt idx="6">
                  <c:v>SE</c:v>
                </c:pt>
              </c:strCache>
            </c:strRef>
          </c:cat>
          <c:val>
            <c:numRef>
              <c:f>'General open licences'!$T$25:$T$31</c:f>
              <c:numCache>
                <c:formatCode>0.00%</c:formatCode>
                <c:ptCount val="7"/>
                <c:pt idx="0">
                  <c:v>2.1424435437174288E-2</c:v>
                </c:pt>
                <c:pt idx="1">
                  <c:v>8.6855819339895779E-2</c:v>
                </c:pt>
                <c:pt idx="2">
                  <c:v>0.4603358425014476</c:v>
                </c:pt>
                <c:pt idx="3">
                  <c:v>0.33294730746960044</c:v>
                </c:pt>
                <c:pt idx="4">
                  <c:v>1.7950202663578461E-2</c:v>
                </c:pt>
                <c:pt idx="5">
                  <c:v>6.5431383902721477E-2</c:v>
                </c:pt>
                <c:pt idx="6">
                  <c:v>1.5055008685581933E-2</c:v>
                </c:pt>
              </c:numCache>
            </c:numRef>
          </c:val>
          <c:extLst>
            <c:ext xmlns:c16="http://schemas.microsoft.com/office/drawing/2014/chart" uri="{C3380CC4-5D6E-409C-BE32-E72D297353CC}">
              <c16:uniqueId val="{00000029-1899-423C-A46B-F47F4D58B1B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54AD-488C-4A71-B49D-85A9803E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6157</Words>
  <Characters>37994</Characters>
  <Application>Microsoft Office Word</Application>
  <DocSecurity>0</DocSecurity>
  <Lines>1407</Lines>
  <Paragraphs>1051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dcterms:created xsi:type="dcterms:W3CDTF">2022-08-11T21:34:00Z</dcterms:created>
  <dcterms:modified xsi:type="dcterms:W3CDTF">2022-08-24T09:36:00Z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8.0.1, Build 20220429</vt:lpwstr>
  </property>
  <property fmtid="{D5CDD505-2E9C-101B-9397-08002B2CF9AE}" pid="8" name="Created using">
    <vt:lpwstr>LW 8.0, Build 20220128</vt:lpwstr>
  </property>
  <property fmtid="{D5CDD505-2E9C-101B-9397-08002B2CF9AE}" pid="9" name="MSIP_Label_6bd9ddd1-4d20-43f6-abfa-fc3c07406f94_Enabled">
    <vt:lpwstr>true</vt:lpwstr>
  </property>
  <property fmtid="{D5CDD505-2E9C-101B-9397-08002B2CF9AE}" pid="10" name="MSIP_Label_6bd9ddd1-4d20-43f6-abfa-fc3c07406f94_SetDate">
    <vt:lpwstr>2022-04-12T09:06:51Z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08cc2a19-b236-468b-a8c9-491f54dd07dc</vt:lpwstr>
  </property>
  <property fmtid="{D5CDD505-2E9C-101B-9397-08002B2CF9AE}" pid="15" name="MSIP_Label_6bd9ddd1-4d20-43f6-abfa-fc3c07406f94_ContentBits">
    <vt:lpwstr>0</vt:lpwstr>
  </property>
</Properties>
</file>