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BFAD1" w14:textId="00B994C6" w:rsidR="00EF54CF" w:rsidRDefault="002B4F44" w:rsidP="002B4F44">
      <w:pPr>
        <w:pStyle w:val="Pagedecouverture"/>
        <w:rPr>
          <w:noProof/>
        </w:rPr>
      </w:pPr>
      <w:r>
        <w:rPr>
          <w:noProof/>
        </w:rPr>
        <w:pict w14:anchorId="086A9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3C0F0CFD-9816-49E9-BF92-C5B91FFE1F6A" style="width:455.25pt;height:369.75pt">
            <v:imagedata r:id="rId8" o:title=""/>
          </v:shape>
        </w:pict>
      </w:r>
    </w:p>
    <w:p w14:paraId="460BFAD2" w14:textId="77777777" w:rsidR="00EF54CF" w:rsidRDefault="00EF54CF" w:rsidP="00EF54CF">
      <w:pPr>
        <w:rPr>
          <w:noProof/>
        </w:rPr>
        <w:sectPr w:rsidR="00EF54CF" w:rsidSect="002B4F44">
          <w:footerReference w:type="default" r:id="rId9"/>
          <w:pgSz w:w="11907" w:h="16839"/>
          <w:pgMar w:top="1134" w:right="1417" w:bottom="1134" w:left="1417" w:header="709" w:footer="709" w:gutter="0"/>
          <w:pgNumType w:start="0"/>
          <w:cols w:space="720"/>
          <w:docGrid w:linePitch="360"/>
        </w:sectPr>
      </w:pPr>
    </w:p>
    <w:p w14:paraId="460BFAD3" w14:textId="77777777" w:rsidR="00EF54CF" w:rsidRDefault="00EF54CF" w:rsidP="00BB6B30">
      <w:pPr>
        <w:pStyle w:val="Exposdesmotifstitre"/>
        <w:rPr>
          <w:noProof/>
        </w:rPr>
      </w:pPr>
      <w:bookmarkStart w:id="0" w:name="_GoBack"/>
      <w:bookmarkEnd w:id="0"/>
      <w:r w:rsidRPr="006F770D">
        <w:rPr>
          <w:noProof/>
        </w:rPr>
        <w:lastRenderedPageBreak/>
        <w:t>EXPLANATORY MEMORANDUM</w:t>
      </w:r>
    </w:p>
    <w:p w14:paraId="460BFAD4" w14:textId="6987732B" w:rsidR="00EF54CF" w:rsidRPr="00E34F04" w:rsidRDefault="00871315" w:rsidP="00871315">
      <w:pPr>
        <w:pStyle w:val="ManualHeading1"/>
        <w:rPr>
          <w:noProof/>
        </w:rPr>
      </w:pPr>
      <w:r w:rsidRPr="00871315">
        <w:t>1.</w:t>
      </w:r>
      <w:r w:rsidRPr="00871315">
        <w:tab/>
      </w:r>
      <w:r w:rsidR="00EF54CF" w:rsidRPr="00E34F04">
        <w:rPr>
          <w:noProof/>
        </w:rPr>
        <w:t>Subject matter of the proposal</w:t>
      </w:r>
    </w:p>
    <w:p w14:paraId="016B6118" w14:textId="77777777" w:rsidR="005D2E23" w:rsidRPr="00275FD2" w:rsidRDefault="005D2E23" w:rsidP="005D2E23">
      <w:pPr>
        <w:rPr>
          <w:rFonts w:eastAsia="Arial Unicode MS"/>
          <w:noProof/>
          <w:color w:val="000000" w:themeColor="text1"/>
        </w:rPr>
      </w:pPr>
      <w:r w:rsidRPr="00275FD2">
        <w:rPr>
          <w:rFonts w:eastAsia="Arial Unicode MS"/>
          <w:noProof/>
          <w:color w:val="000000" w:themeColor="text1"/>
        </w:rPr>
        <w:t xml:space="preserve">This proposal concerns the decision establishing the position to be taken on the Union's behalf in the </w:t>
      </w:r>
      <w:r w:rsidRPr="00512F7A">
        <w:rPr>
          <w:noProof/>
        </w:rPr>
        <w:t>EU-CTC Joint Committee  (“the Joint Committee</w:t>
      </w:r>
      <w:r>
        <w:rPr>
          <w:noProof/>
        </w:rPr>
        <w:t>)</w:t>
      </w:r>
      <w:r w:rsidRPr="003F1F50">
        <w:rPr>
          <w:noProof/>
        </w:rPr>
        <w:t xml:space="preserve"> established by the Convention of 20 May 1987 on a Common transit procedure</w:t>
      </w:r>
      <w:r w:rsidRPr="007E2C55">
        <w:rPr>
          <w:rStyle w:val="FootnoteReference"/>
          <w:noProof/>
        </w:rPr>
        <w:footnoteReference w:id="1"/>
      </w:r>
      <w:r w:rsidRPr="00512F7A">
        <w:rPr>
          <w:noProof/>
        </w:rPr>
        <w:t>”</w:t>
      </w:r>
      <w:r w:rsidRPr="00275FD2">
        <w:rPr>
          <w:rFonts w:eastAsia="Arial Unicode MS"/>
          <w:noProof/>
          <w:color w:val="000000" w:themeColor="text1"/>
        </w:rPr>
        <w:t>(“the Convention”)</w:t>
      </w:r>
      <w:r w:rsidRPr="00512F7A">
        <w:rPr>
          <w:noProof/>
        </w:rPr>
        <w:t xml:space="preserve"> </w:t>
      </w:r>
      <w:r w:rsidRPr="00275FD2">
        <w:rPr>
          <w:rFonts w:eastAsia="Arial Unicode MS"/>
          <w:noProof/>
          <w:color w:val="000000" w:themeColor="text1"/>
        </w:rPr>
        <w:t>in connection with the envisaged adoption of a Decision amending some Annexes in Appendix III to th</w:t>
      </w:r>
      <w:r>
        <w:rPr>
          <w:rFonts w:eastAsia="Arial Unicode MS"/>
          <w:noProof/>
          <w:color w:val="000000" w:themeColor="text1"/>
        </w:rPr>
        <w:t>at</w:t>
      </w:r>
      <w:r w:rsidRPr="00275FD2">
        <w:rPr>
          <w:rFonts w:eastAsia="Arial Unicode MS"/>
          <w:noProof/>
          <w:color w:val="000000" w:themeColor="text1"/>
        </w:rPr>
        <w:t xml:space="preserve"> Convention. </w:t>
      </w:r>
    </w:p>
    <w:p w14:paraId="460BFAD6" w14:textId="622611D8" w:rsidR="00EF54CF" w:rsidRPr="009D661D" w:rsidRDefault="00871315" w:rsidP="00871315">
      <w:pPr>
        <w:pStyle w:val="ManualHeading1"/>
        <w:rPr>
          <w:noProof/>
        </w:rPr>
      </w:pPr>
      <w:r w:rsidRPr="00871315">
        <w:t>2.</w:t>
      </w:r>
      <w:r w:rsidRPr="00871315">
        <w:tab/>
      </w:r>
      <w:r w:rsidR="00EF54CF" w:rsidRPr="009D661D">
        <w:rPr>
          <w:noProof/>
        </w:rPr>
        <w:t>Context of the proposal</w:t>
      </w:r>
    </w:p>
    <w:p w14:paraId="460BFAD7" w14:textId="3E872869" w:rsidR="00EF54CF" w:rsidRPr="009D661D" w:rsidRDefault="00871315" w:rsidP="00871315">
      <w:pPr>
        <w:pStyle w:val="ManualHeading2"/>
        <w:rPr>
          <w:noProof/>
          <w:color w:val="000000" w:themeColor="text1"/>
        </w:rPr>
      </w:pPr>
      <w:r w:rsidRPr="00871315">
        <w:t>2.1.</w:t>
      </w:r>
      <w:r w:rsidRPr="00871315">
        <w:tab/>
      </w:r>
      <w:r w:rsidR="00EF54CF" w:rsidRPr="009D661D">
        <w:rPr>
          <w:noProof/>
          <w:color w:val="000000" w:themeColor="text1"/>
        </w:rPr>
        <w:t xml:space="preserve">The </w:t>
      </w:r>
      <w:r w:rsidR="00275FD2" w:rsidRPr="00512F7A">
        <w:rPr>
          <w:noProof/>
        </w:rPr>
        <w:t>Convention on a common transit procedure</w:t>
      </w:r>
    </w:p>
    <w:p w14:paraId="460BFAD8" w14:textId="4DD28701" w:rsidR="000F3D48" w:rsidRDefault="00EF54CF" w:rsidP="00736AA9">
      <w:pPr>
        <w:rPr>
          <w:rFonts w:eastAsia="Arial Unicode MS"/>
          <w:noProof/>
          <w:color w:val="000000" w:themeColor="text1"/>
        </w:rPr>
      </w:pPr>
      <w:r w:rsidRPr="009D661D">
        <w:rPr>
          <w:rFonts w:eastAsia="Arial Unicode MS"/>
          <w:noProof/>
          <w:color w:val="000000" w:themeColor="text1"/>
        </w:rPr>
        <w:t xml:space="preserve">The </w:t>
      </w:r>
      <w:r w:rsidR="00275FD2" w:rsidRPr="00512F7A">
        <w:rPr>
          <w:noProof/>
        </w:rPr>
        <w:t>Convention</w:t>
      </w:r>
      <w:r w:rsidR="009D661D">
        <w:rPr>
          <w:rFonts w:eastAsia="Arial Unicode MS"/>
          <w:noProof/>
          <w:color w:val="000000" w:themeColor="text1"/>
        </w:rPr>
        <w:t xml:space="preserve"> aims </w:t>
      </w:r>
      <w:r w:rsidR="00275FD2" w:rsidRPr="00512F7A">
        <w:rPr>
          <w:noProof/>
        </w:rPr>
        <w:t xml:space="preserve">to facilitate the movement of goods between the European </w:t>
      </w:r>
      <w:r w:rsidR="00D65628" w:rsidRPr="00512F7A">
        <w:rPr>
          <w:noProof/>
        </w:rPr>
        <w:t>Union</w:t>
      </w:r>
      <w:r w:rsidR="00275FD2" w:rsidRPr="00512F7A">
        <w:rPr>
          <w:noProof/>
        </w:rPr>
        <w:t xml:space="preserve"> and other countries </w:t>
      </w:r>
      <w:r w:rsidR="00B601A8">
        <w:rPr>
          <w:noProof/>
        </w:rPr>
        <w:t>that</w:t>
      </w:r>
      <w:r w:rsidR="00B601A8" w:rsidRPr="00512F7A">
        <w:rPr>
          <w:noProof/>
        </w:rPr>
        <w:t xml:space="preserve"> </w:t>
      </w:r>
      <w:r w:rsidR="00275FD2" w:rsidRPr="00512F7A">
        <w:rPr>
          <w:noProof/>
        </w:rPr>
        <w:t>are Contracting Parties to the Convention</w:t>
      </w:r>
      <w:r w:rsidRPr="009D661D">
        <w:rPr>
          <w:rFonts w:eastAsia="Arial Unicode MS"/>
          <w:noProof/>
          <w:color w:val="000000" w:themeColor="text1"/>
        </w:rPr>
        <w:t xml:space="preserve">. </w:t>
      </w:r>
      <w:r w:rsidR="00275FD2" w:rsidRPr="009D661D">
        <w:rPr>
          <w:rFonts w:eastAsia="Arial Unicode MS"/>
          <w:noProof/>
          <w:color w:val="000000" w:themeColor="text1"/>
        </w:rPr>
        <w:t>It was concluded on 20</w:t>
      </w:r>
      <w:r w:rsidR="00B601A8">
        <w:rPr>
          <w:rFonts w:eastAsia="Arial Unicode MS"/>
          <w:noProof/>
          <w:color w:val="000000" w:themeColor="text1"/>
        </w:rPr>
        <w:t> </w:t>
      </w:r>
      <w:r w:rsidR="00275FD2" w:rsidRPr="009D661D">
        <w:rPr>
          <w:rFonts w:eastAsia="Arial Unicode MS"/>
          <w:noProof/>
          <w:color w:val="000000" w:themeColor="text1"/>
        </w:rPr>
        <w:t>May</w:t>
      </w:r>
      <w:r w:rsidR="00B601A8">
        <w:rPr>
          <w:rFonts w:eastAsia="Arial Unicode MS"/>
          <w:noProof/>
          <w:color w:val="000000" w:themeColor="text1"/>
        </w:rPr>
        <w:t> </w:t>
      </w:r>
      <w:r w:rsidR="00275FD2" w:rsidRPr="009D661D">
        <w:rPr>
          <w:rFonts w:eastAsia="Arial Unicode MS"/>
          <w:noProof/>
          <w:color w:val="000000" w:themeColor="text1"/>
        </w:rPr>
        <w:t>1987 between</w:t>
      </w:r>
      <w:r w:rsidR="005D2E23">
        <w:rPr>
          <w:rFonts w:eastAsia="Arial Unicode MS"/>
          <w:noProof/>
          <w:color w:val="000000" w:themeColor="text1"/>
        </w:rPr>
        <w:t xml:space="preserve"> originally</w:t>
      </w:r>
      <w:r w:rsidR="00275FD2" w:rsidRPr="009D661D">
        <w:rPr>
          <w:rFonts w:eastAsia="Arial Unicode MS"/>
          <w:noProof/>
          <w:color w:val="000000" w:themeColor="text1"/>
        </w:rPr>
        <w:t xml:space="preserve"> the European Community and the EFTA </w:t>
      </w:r>
      <w:r w:rsidR="00E201C7">
        <w:rPr>
          <w:rFonts w:eastAsia="Arial Unicode MS"/>
          <w:noProof/>
          <w:color w:val="000000" w:themeColor="text1"/>
        </w:rPr>
        <w:t>C</w:t>
      </w:r>
      <w:r w:rsidR="00275FD2" w:rsidRPr="009D661D">
        <w:rPr>
          <w:rFonts w:eastAsia="Arial Unicode MS"/>
          <w:noProof/>
          <w:color w:val="000000" w:themeColor="text1"/>
        </w:rPr>
        <w:t>ountries and entered into force on 1</w:t>
      </w:r>
      <w:r w:rsidR="00B601A8">
        <w:rPr>
          <w:rFonts w:eastAsia="Arial Unicode MS"/>
          <w:noProof/>
          <w:color w:val="000000" w:themeColor="text1"/>
        </w:rPr>
        <w:t> </w:t>
      </w:r>
      <w:r w:rsidR="00275FD2" w:rsidRPr="009D661D">
        <w:rPr>
          <w:rFonts w:eastAsia="Arial Unicode MS"/>
          <w:noProof/>
          <w:color w:val="000000" w:themeColor="text1"/>
        </w:rPr>
        <w:t>January</w:t>
      </w:r>
      <w:r w:rsidR="009F599E">
        <w:rPr>
          <w:rFonts w:eastAsia="Arial Unicode MS"/>
          <w:noProof/>
          <w:color w:val="000000" w:themeColor="text1"/>
        </w:rPr>
        <w:t> 1988</w:t>
      </w:r>
      <w:r w:rsidR="00275FD2" w:rsidRPr="009D661D">
        <w:rPr>
          <w:rFonts w:eastAsia="Arial Unicode MS"/>
          <w:noProof/>
          <w:color w:val="000000" w:themeColor="text1"/>
        </w:rPr>
        <w:t xml:space="preserve">. </w:t>
      </w:r>
    </w:p>
    <w:p w14:paraId="460BFAD9" w14:textId="63284CE6" w:rsidR="000F3D48" w:rsidRDefault="000F3D48" w:rsidP="000F3D48">
      <w:pPr>
        <w:rPr>
          <w:rFonts w:eastAsia="Arial Unicode MS"/>
          <w:noProof/>
        </w:rPr>
      </w:pPr>
      <w:r>
        <w:rPr>
          <w:rFonts w:eastAsia="Arial Unicode MS"/>
          <w:noProof/>
        </w:rPr>
        <w:t>The Convention establish</w:t>
      </w:r>
      <w:r w:rsidR="008E20FC">
        <w:rPr>
          <w:rFonts w:eastAsia="Arial Unicode MS"/>
          <w:noProof/>
        </w:rPr>
        <w:t>es</w:t>
      </w:r>
      <w:r>
        <w:rPr>
          <w:rFonts w:eastAsia="Arial Unicode MS"/>
          <w:noProof/>
        </w:rPr>
        <w:t xml:space="preserve"> measures facilitating the movement of goods between the European Union, the Republic of Iceland, the Republic of North Macedonia, the Kingdom of Norway, the Swiss Confederation, the Republic of </w:t>
      </w:r>
      <w:r w:rsidR="004F5D74">
        <w:rPr>
          <w:rFonts w:eastAsia="Arial Unicode MS"/>
          <w:noProof/>
        </w:rPr>
        <w:t>Türkiye</w:t>
      </w:r>
      <w:r>
        <w:rPr>
          <w:rFonts w:eastAsia="Arial Unicode MS"/>
          <w:noProof/>
        </w:rPr>
        <w:t xml:space="preserve">, the Republic of Serbia and the United Kingdom of Great Britain and Northern Ireland. </w:t>
      </w:r>
    </w:p>
    <w:p w14:paraId="460BFADA" w14:textId="5945F013" w:rsidR="000F3D48" w:rsidRPr="00B00620" w:rsidRDefault="000F3D48" w:rsidP="000F3D48">
      <w:pPr>
        <w:rPr>
          <w:rFonts w:eastAsia="Arial Unicode MS"/>
          <w:noProof/>
        </w:rPr>
      </w:pPr>
      <w:r w:rsidRPr="00512F7A">
        <w:rPr>
          <w:noProof/>
        </w:rPr>
        <w:t xml:space="preserve">The European Union is a Contracting Party to the Convention. </w:t>
      </w:r>
    </w:p>
    <w:p w14:paraId="460BFADB" w14:textId="46C2A40B" w:rsidR="000F3D48" w:rsidRPr="00B00620" w:rsidRDefault="00D65628" w:rsidP="000F3D48">
      <w:pPr>
        <w:rPr>
          <w:rFonts w:eastAsia="Arial Unicode MS"/>
          <w:noProof/>
        </w:rPr>
      </w:pPr>
      <w:r w:rsidRPr="00512F7A">
        <w:rPr>
          <w:noProof/>
        </w:rPr>
        <w:t>Countries</w:t>
      </w:r>
      <w:r w:rsidR="00B601A8">
        <w:rPr>
          <w:noProof/>
        </w:rPr>
        <w:t xml:space="preserve"> that</w:t>
      </w:r>
      <w:r w:rsidRPr="00512F7A">
        <w:rPr>
          <w:noProof/>
        </w:rPr>
        <w:t xml:space="preserve"> are Contracting Parties </w:t>
      </w:r>
      <w:r w:rsidR="008E20FC">
        <w:rPr>
          <w:noProof/>
        </w:rPr>
        <w:t>t</w:t>
      </w:r>
      <w:r w:rsidRPr="00512F7A">
        <w:rPr>
          <w:noProof/>
        </w:rPr>
        <w:t xml:space="preserve">o the Convention but not members of the </w:t>
      </w:r>
      <w:r w:rsidR="008116BA" w:rsidRPr="00512F7A">
        <w:rPr>
          <w:noProof/>
        </w:rPr>
        <w:t>Union</w:t>
      </w:r>
      <w:r w:rsidR="000F3D48" w:rsidRPr="00512F7A">
        <w:rPr>
          <w:noProof/>
        </w:rPr>
        <w:t xml:space="preserve"> are</w:t>
      </w:r>
      <w:r w:rsidR="005D2E23">
        <w:rPr>
          <w:noProof/>
        </w:rPr>
        <w:t xml:space="preserve"> referred to in the Convention as </w:t>
      </w:r>
      <w:r w:rsidR="000F3D48" w:rsidRPr="00512F7A">
        <w:rPr>
          <w:noProof/>
        </w:rPr>
        <w:t>common transit countries (</w:t>
      </w:r>
      <w:r w:rsidR="00B601A8">
        <w:rPr>
          <w:noProof/>
        </w:rPr>
        <w:t>‘</w:t>
      </w:r>
      <w:r w:rsidR="000F3D48" w:rsidRPr="00512F7A">
        <w:rPr>
          <w:noProof/>
        </w:rPr>
        <w:t>CTC</w:t>
      </w:r>
      <w:r w:rsidR="00B601A8">
        <w:rPr>
          <w:noProof/>
        </w:rPr>
        <w:t>’</w:t>
      </w:r>
      <w:r w:rsidR="000F3D48" w:rsidRPr="00512F7A">
        <w:rPr>
          <w:noProof/>
        </w:rPr>
        <w:t xml:space="preserve">). </w:t>
      </w:r>
    </w:p>
    <w:p w14:paraId="460BFADC" w14:textId="26845A41" w:rsidR="00EF54CF" w:rsidRPr="009D661D" w:rsidRDefault="00871315" w:rsidP="00871315">
      <w:pPr>
        <w:pStyle w:val="ManualHeading2"/>
        <w:rPr>
          <w:noProof/>
          <w:color w:val="000000" w:themeColor="text1"/>
        </w:rPr>
      </w:pPr>
      <w:r w:rsidRPr="00871315">
        <w:t>2.2.</w:t>
      </w:r>
      <w:r w:rsidRPr="00871315">
        <w:tab/>
      </w:r>
      <w:r w:rsidR="00EF54CF" w:rsidRPr="009D661D">
        <w:rPr>
          <w:noProof/>
          <w:color w:val="000000" w:themeColor="text1"/>
        </w:rPr>
        <w:t xml:space="preserve">The </w:t>
      </w:r>
      <w:r w:rsidR="009D661D" w:rsidRPr="00512F7A">
        <w:rPr>
          <w:noProof/>
        </w:rPr>
        <w:t>EU-CTC Joint Committee</w:t>
      </w:r>
    </w:p>
    <w:p w14:paraId="460BFADD" w14:textId="77777777" w:rsidR="00EF54CF" w:rsidRDefault="009D661D" w:rsidP="00736AA9">
      <w:pPr>
        <w:rPr>
          <w:rFonts w:eastAsia="Arial Unicode MS"/>
          <w:noProof/>
        </w:rPr>
      </w:pPr>
      <w:r>
        <w:rPr>
          <w:rFonts w:eastAsia="Arial Unicode MS"/>
          <w:noProof/>
        </w:rPr>
        <w:t xml:space="preserve">The task of the EU-CTC Joint Committee is to administer the Convention and to ensure its proper implementation. The Committee, by means of decisions, adopts amendments to the Appendices to the Convention. </w:t>
      </w:r>
    </w:p>
    <w:p w14:paraId="460BFADE" w14:textId="15478BD2" w:rsidR="002F7A26" w:rsidRPr="00B00620" w:rsidRDefault="00FF051C" w:rsidP="002F7A26">
      <w:pPr>
        <w:rPr>
          <w:rFonts w:eastAsia="Arial Unicode MS"/>
          <w:noProof/>
        </w:rPr>
      </w:pPr>
      <w:r w:rsidRPr="00512F7A">
        <w:rPr>
          <w:noProof/>
        </w:rPr>
        <w:t>The Joint Committee</w:t>
      </w:r>
      <w:r w:rsidR="002F7A26" w:rsidRPr="00512F7A">
        <w:rPr>
          <w:noProof/>
        </w:rPr>
        <w:t>’</w:t>
      </w:r>
      <w:r w:rsidR="00734C0B">
        <w:rPr>
          <w:noProof/>
        </w:rPr>
        <w:t>s</w:t>
      </w:r>
      <w:r w:rsidR="002F7A26" w:rsidRPr="00512F7A">
        <w:rPr>
          <w:noProof/>
        </w:rPr>
        <w:t xml:space="preserve"> decisions are adopted by mutual agreement of </w:t>
      </w:r>
      <w:r w:rsidR="00A06863">
        <w:rPr>
          <w:noProof/>
        </w:rPr>
        <w:t xml:space="preserve">the </w:t>
      </w:r>
      <w:r w:rsidR="002F7A26" w:rsidRPr="00512F7A">
        <w:rPr>
          <w:noProof/>
        </w:rPr>
        <w:t xml:space="preserve">Contracting Parties. </w:t>
      </w:r>
    </w:p>
    <w:p w14:paraId="460BFADF" w14:textId="43FEF185" w:rsidR="00EF54CF" w:rsidRPr="00E34F04" w:rsidRDefault="00871315" w:rsidP="00871315">
      <w:pPr>
        <w:pStyle w:val="ManualHeading2"/>
        <w:rPr>
          <w:noProof/>
        </w:rPr>
      </w:pPr>
      <w:r w:rsidRPr="00871315">
        <w:t>2.3.</w:t>
      </w:r>
      <w:r w:rsidRPr="00871315">
        <w:tab/>
      </w:r>
      <w:r w:rsidR="00EF54CF" w:rsidRPr="00E34F04">
        <w:rPr>
          <w:noProof/>
        </w:rPr>
        <w:t xml:space="preserve">The </w:t>
      </w:r>
      <w:r w:rsidR="005D2E23">
        <w:rPr>
          <w:noProof/>
        </w:rPr>
        <w:t xml:space="preserve">envisaged </w:t>
      </w:r>
      <w:r w:rsidR="00E41BC0">
        <w:rPr>
          <w:noProof/>
        </w:rPr>
        <w:t>Decision</w:t>
      </w:r>
      <w:r w:rsidR="00EF54CF" w:rsidRPr="00E34F04">
        <w:rPr>
          <w:noProof/>
        </w:rPr>
        <w:t xml:space="preserve"> of </w:t>
      </w:r>
      <w:r w:rsidR="00EF54CF" w:rsidRPr="00E41BC0">
        <w:rPr>
          <w:noProof/>
          <w:color w:val="000000" w:themeColor="text1"/>
        </w:rPr>
        <w:t>the</w:t>
      </w:r>
      <w:r w:rsidR="00EF54CF" w:rsidRPr="00512F7A">
        <w:rPr>
          <w:noProof/>
        </w:rPr>
        <w:t xml:space="preserve"> </w:t>
      </w:r>
      <w:r w:rsidR="00E41BC0" w:rsidRPr="00512F7A">
        <w:rPr>
          <w:noProof/>
        </w:rPr>
        <w:t>EU-CTC Committee</w:t>
      </w:r>
    </w:p>
    <w:p w14:paraId="460BFAE0" w14:textId="5402897E" w:rsidR="00EF54CF" w:rsidRPr="00E34F04" w:rsidRDefault="008E20FC" w:rsidP="00736AA9">
      <w:pPr>
        <w:rPr>
          <w:rFonts w:eastAsia="Arial Unicode MS"/>
          <w:noProof/>
        </w:rPr>
      </w:pPr>
      <w:r>
        <w:rPr>
          <w:rFonts w:eastAsia="Arial Unicode MS"/>
          <w:noProof/>
        </w:rPr>
        <w:t xml:space="preserve">At </w:t>
      </w:r>
      <w:r w:rsidR="007F69A8">
        <w:rPr>
          <w:rFonts w:eastAsia="Arial Unicode MS"/>
          <w:noProof/>
        </w:rPr>
        <w:t xml:space="preserve">an </w:t>
      </w:r>
      <w:r>
        <w:rPr>
          <w:rFonts w:eastAsia="Arial Unicode MS"/>
          <w:noProof/>
        </w:rPr>
        <w:t>up</w:t>
      </w:r>
      <w:r w:rsidR="007F69A8">
        <w:rPr>
          <w:rFonts w:eastAsia="Arial Unicode MS"/>
          <w:noProof/>
        </w:rPr>
        <w:t>coming</w:t>
      </w:r>
      <w:r w:rsidR="00B91134">
        <w:rPr>
          <w:rFonts w:eastAsia="Arial Unicode MS"/>
          <w:noProof/>
        </w:rPr>
        <w:t xml:space="preserve"> session</w:t>
      </w:r>
      <w:r w:rsidR="007F69A8">
        <w:rPr>
          <w:rFonts w:eastAsia="Arial Unicode MS"/>
          <w:noProof/>
        </w:rPr>
        <w:t xml:space="preserve"> or by means of a written procedure</w:t>
      </w:r>
      <w:r w:rsidR="00B91134">
        <w:rPr>
          <w:rFonts w:eastAsia="Arial Unicode MS"/>
          <w:noProof/>
        </w:rPr>
        <w:t>, the EU-CTC</w:t>
      </w:r>
      <w:r w:rsidR="007F69A8">
        <w:rPr>
          <w:rFonts w:eastAsia="Arial Unicode MS"/>
          <w:noProof/>
        </w:rPr>
        <w:t xml:space="preserve"> Joint Committee</w:t>
      </w:r>
      <w:r w:rsidR="00B91134">
        <w:rPr>
          <w:rFonts w:eastAsia="Arial Unicode MS"/>
          <w:noProof/>
        </w:rPr>
        <w:t xml:space="preserve"> is to adopt draft </w:t>
      </w:r>
      <w:r w:rsidR="00B601A8">
        <w:rPr>
          <w:rFonts w:eastAsia="Arial Unicode MS"/>
          <w:noProof/>
        </w:rPr>
        <w:t>d</w:t>
      </w:r>
      <w:r w:rsidR="00B91134">
        <w:rPr>
          <w:rFonts w:eastAsia="Arial Unicode MS"/>
          <w:noProof/>
        </w:rPr>
        <w:t>ecision No 3/2022 of the EU</w:t>
      </w:r>
      <w:r w:rsidR="00D65628">
        <w:rPr>
          <w:rFonts w:eastAsia="Arial Unicode MS"/>
          <w:noProof/>
        </w:rPr>
        <w:t>-</w:t>
      </w:r>
      <w:r w:rsidR="00B91134">
        <w:rPr>
          <w:rFonts w:eastAsia="Arial Unicode MS"/>
          <w:noProof/>
        </w:rPr>
        <w:t>CTC</w:t>
      </w:r>
      <w:r w:rsidR="00D65628">
        <w:rPr>
          <w:rFonts w:eastAsia="Arial Unicode MS"/>
          <w:noProof/>
        </w:rPr>
        <w:t xml:space="preserve"> </w:t>
      </w:r>
      <w:r w:rsidR="00B91134">
        <w:rPr>
          <w:rFonts w:eastAsia="Arial Unicode MS"/>
          <w:noProof/>
        </w:rPr>
        <w:t xml:space="preserve">Joint Committee on common transit. </w:t>
      </w:r>
    </w:p>
    <w:p w14:paraId="460BFAE1" w14:textId="1BAB2AB8" w:rsidR="00EF54CF" w:rsidRDefault="00EF54CF" w:rsidP="00736AA9">
      <w:pPr>
        <w:rPr>
          <w:rFonts w:eastAsia="Arial Unicode MS"/>
          <w:noProof/>
        </w:rPr>
      </w:pPr>
      <w:r w:rsidRPr="00E34F04">
        <w:rPr>
          <w:rFonts w:eastAsia="Arial Unicode MS"/>
          <w:noProof/>
        </w:rPr>
        <w:t xml:space="preserve">The purpose of </w:t>
      </w:r>
      <w:r w:rsidR="00B91134">
        <w:rPr>
          <w:rFonts w:eastAsia="Arial Unicode MS"/>
          <w:noProof/>
        </w:rPr>
        <w:t xml:space="preserve">the draft </w:t>
      </w:r>
      <w:r w:rsidR="00B601A8">
        <w:rPr>
          <w:rFonts w:eastAsia="Arial Unicode MS"/>
          <w:noProof/>
        </w:rPr>
        <w:t>d</w:t>
      </w:r>
      <w:r w:rsidR="00B91134">
        <w:rPr>
          <w:rFonts w:eastAsia="Arial Unicode MS"/>
          <w:noProof/>
        </w:rPr>
        <w:t>ecision is to take into account the accession of Ukraine to the Convention</w:t>
      </w:r>
      <w:r w:rsidR="008E20FC" w:rsidRPr="008E20FC">
        <w:rPr>
          <w:rFonts w:eastAsia="Arial Unicode MS"/>
          <w:noProof/>
        </w:rPr>
        <w:t xml:space="preserve"> </w:t>
      </w:r>
      <w:r w:rsidR="008E20FC">
        <w:rPr>
          <w:rFonts w:eastAsia="Arial Unicode MS"/>
          <w:noProof/>
        </w:rPr>
        <w:t>on a Common Transit procedure</w:t>
      </w:r>
      <w:r w:rsidR="008116BA">
        <w:rPr>
          <w:rFonts w:eastAsia="Arial Unicode MS"/>
          <w:noProof/>
        </w:rPr>
        <w:t>.</w:t>
      </w:r>
      <w:r w:rsidR="00B91134">
        <w:rPr>
          <w:rFonts w:eastAsia="Arial Unicode MS"/>
          <w:noProof/>
        </w:rPr>
        <w:t xml:space="preserve"> </w:t>
      </w:r>
      <w:r w:rsidR="008116BA">
        <w:rPr>
          <w:rFonts w:eastAsia="Arial Unicode MS"/>
          <w:noProof/>
        </w:rPr>
        <w:t xml:space="preserve">It </w:t>
      </w:r>
      <w:r w:rsidR="00B91134">
        <w:rPr>
          <w:rFonts w:eastAsia="Arial Unicode MS"/>
          <w:noProof/>
        </w:rPr>
        <w:t>involve</w:t>
      </w:r>
      <w:r w:rsidR="00B601A8">
        <w:rPr>
          <w:rFonts w:eastAsia="Arial Unicode MS"/>
          <w:noProof/>
        </w:rPr>
        <w:t>s</w:t>
      </w:r>
      <w:r w:rsidR="00B91134">
        <w:rPr>
          <w:rFonts w:eastAsia="Arial Unicode MS"/>
          <w:noProof/>
        </w:rPr>
        <w:t xml:space="preserve"> the introduction of new linguistic references concerning this country</w:t>
      </w:r>
      <w:r w:rsidR="008E20FC">
        <w:rPr>
          <w:rFonts w:eastAsia="Arial Unicode MS"/>
          <w:noProof/>
        </w:rPr>
        <w:t>, and adding the name of Ukraine to the list of countries contained in the respective guarantee documents</w:t>
      </w:r>
      <w:r w:rsidR="008116BA">
        <w:rPr>
          <w:rFonts w:eastAsia="Arial Unicode MS"/>
          <w:noProof/>
        </w:rPr>
        <w:t xml:space="preserve">. This is necessary for </w:t>
      </w:r>
      <w:r w:rsidR="00B91134">
        <w:rPr>
          <w:rFonts w:eastAsia="Arial Unicode MS"/>
          <w:noProof/>
        </w:rPr>
        <w:t xml:space="preserve">the implementation of the common transit procedure between the Contracting Parties. </w:t>
      </w:r>
    </w:p>
    <w:p w14:paraId="460BFAE3" w14:textId="1F3171FA" w:rsidR="00B91134" w:rsidRPr="006A503A" w:rsidRDefault="00B91134" w:rsidP="00B91134">
      <w:pPr>
        <w:pStyle w:val="Text1"/>
        <w:ind w:left="0"/>
        <w:rPr>
          <w:noProof/>
        </w:rPr>
      </w:pPr>
      <w:r>
        <w:rPr>
          <w:noProof/>
        </w:rPr>
        <w:t xml:space="preserve">The Joint Committee Decision amending the Convention </w:t>
      </w:r>
      <w:r w:rsidR="00734C0B">
        <w:rPr>
          <w:noProof/>
        </w:rPr>
        <w:t xml:space="preserve">will </w:t>
      </w:r>
      <w:r>
        <w:rPr>
          <w:noProof/>
        </w:rPr>
        <w:t xml:space="preserve">become binding on the Contracting Parties in accordance with Article </w:t>
      </w:r>
      <w:r w:rsidR="006A503A">
        <w:rPr>
          <w:noProof/>
        </w:rPr>
        <w:t>2(1)</w:t>
      </w:r>
      <w:r>
        <w:rPr>
          <w:noProof/>
        </w:rPr>
        <w:t xml:space="preserve"> of that Decision, which provides that </w:t>
      </w:r>
      <w:r w:rsidR="00DD0B92">
        <w:rPr>
          <w:noProof/>
        </w:rPr>
        <w:t>‘</w:t>
      </w:r>
      <w:r>
        <w:rPr>
          <w:noProof/>
        </w:rPr>
        <w:t xml:space="preserve">This Decision shall enter into </w:t>
      </w:r>
      <w:r w:rsidR="006A503A" w:rsidRPr="004057D5">
        <w:rPr>
          <w:iCs/>
          <w:noProof/>
        </w:rPr>
        <w:t>force on the date on which Ukraine becomes contracting party to the Convention</w:t>
      </w:r>
      <w:r w:rsidR="00DD0B92" w:rsidRPr="006A503A">
        <w:rPr>
          <w:noProof/>
        </w:rPr>
        <w:t>’</w:t>
      </w:r>
      <w:r w:rsidRPr="006A503A">
        <w:rPr>
          <w:noProof/>
        </w:rPr>
        <w:t xml:space="preserve">. </w:t>
      </w:r>
    </w:p>
    <w:p w14:paraId="460BFAE4" w14:textId="49B4CFEB" w:rsidR="00B91134" w:rsidRDefault="00B91134" w:rsidP="00B91134">
      <w:pPr>
        <w:pStyle w:val="Text1"/>
        <w:ind w:left="0"/>
        <w:rPr>
          <w:noProof/>
        </w:rPr>
      </w:pPr>
      <w:r>
        <w:rPr>
          <w:noProof/>
        </w:rPr>
        <w:t xml:space="preserve">In accordance with Article 15(3) of the Convention, this type of </w:t>
      </w:r>
      <w:r w:rsidR="009F599E">
        <w:rPr>
          <w:noProof/>
        </w:rPr>
        <w:t>d</w:t>
      </w:r>
      <w:r>
        <w:rPr>
          <w:noProof/>
        </w:rPr>
        <w:t xml:space="preserve">ecision </w:t>
      </w:r>
      <w:r w:rsidR="00734C0B">
        <w:rPr>
          <w:noProof/>
        </w:rPr>
        <w:t>is</w:t>
      </w:r>
      <w:r>
        <w:rPr>
          <w:noProof/>
        </w:rPr>
        <w:t xml:space="preserve"> put into effect by the Contracting Parties in accordance with their own legislation.</w:t>
      </w:r>
    </w:p>
    <w:p w14:paraId="460BFAE5" w14:textId="380F74C1" w:rsidR="00EF54CF" w:rsidRPr="00E34F04" w:rsidRDefault="00871315" w:rsidP="00871315">
      <w:pPr>
        <w:pStyle w:val="ManualHeading1"/>
        <w:rPr>
          <w:noProof/>
        </w:rPr>
      </w:pPr>
      <w:r w:rsidRPr="00871315">
        <w:t>3.</w:t>
      </w:r>
      <w:r w:rsidRPr="00871315">
        <w:tab/>
      </w:r>
      <w:r w:rsidR="00EF54CF" w:rsidRPr="00E34F04">
        <w:rPr>
          <w:noProof/>
        </w:rPr>
        <w:t>Position to be taken on the Union</w:t>
      </w:r>
      <w:r w:rsidR="00DD0B92">
        <w:rPr>
          <w:noProof/>
        </w:rPr>
        <w:t>’</w:t>
      </w:r>
      <w:r w:rsidR="00EF54CF" w:rsidRPr="00E34F04">
        <w:rPr>
          <w:noProof/>
        </w:rPr>
        <w:t>s behalf</w:t>
      </w:r>
    </w:p>
    <w:p w14:paraId="460BFAE6" w14:textId="45459D56" w:rsidR="00135EF6" w:rsidRPr="00512F7A" w:rsidRDefault="005D2E23" w:rsidP="00A42F3B">
      <w:pPr>
        <w:rPr>
          <w:noProof/>
        </w:rPr>
      </w:pPr>
      <w:r>
        <w:rPr>
          <w:noProof/>
        </w:rPr>
        <w:t>The proposed position</w:t>
      </w:r>
      <w:r w:rsidR="00135EF6" w:rsidRPr="00512F7A">
        <w:rPr>
          <w:noProof/>
        </w:rPr>
        <w:t xml:space="preserve"> concerns the amendment of some </w:t>
      </w:r>
      <w:r w:rsidR="00734C0B">
        <w:rPr>
          <w:noProof/>
        </w:rPr>
        <w:t>a</w:t>
      </w:r>
      <w:r w:rsidR="00135EF6" w:rsidRPr="00512F7A">
        <w:rPr>
          <w:noProof/>
        </w:rPr>
        <w:t>nnexes in Appendix III to the Convention,</w:t>
      </w:r>
      <w:r>
        <w:rPr>
          <w:noProof/>
        </w:rPr>
        <w:t xml:space="preserve"> in order to adapt the guarantee documents and to insert certain technical terms in the Ukrainian language </w:t>
      </w:r>
      <w:r w:rsidR="008E20FC">
        <w:rPr>
          <w:noProof/>
        </w:rPr>
        <w:t>for</w:t>
      </w:r>
      <w:r>
        <w:rPr>
          <w:noProof/>
        </w:rPr>
        <w:t xml:space="preserve"> </w:t>
      </w:r>
      <w:r w:rsidR="00135EF6" w:rsidRPr="00512F7A">
        <w:rPr>
          <w:noProof/>
        </w:rPr>
        <w:t xml:space="preserve">the accession of Ukraine to the Convention. The scope of these amendments is of </w:t>
      </w:r>
      <w:r w:rsidR="00DD0B92">
        <w:rPr>
          <w:noProof/>
        </w:rPr>
        <w:t xml:space="preserve">a </w:t>
      </w:r>
      <w:r w:rsidR="00135EF6" w:rsidRPr="00512F7A">
        <w:rPr>
          <w:noProof/>
        </w:rPr>
        <w:t xml:space="preserve">technical nature. </w:t>
      </w:r>
    </w:p>
    <w:p w14:paraId="460BFAE7" w14:textId="6BB86DF2" w:rsidR="00135EF6" w:rsidRPr="00512F7A" w:rsidRDefault="00135EF6" w:rsidP="00135EF6">
      <w:pPr>
        <w:pStyle w:val="Text1"/>
        <w:ind w:left="0"/>
        <w:rPr>
          <w:noProof/>
        </w:rPr>
      </w:pPr>
      <w:r w:rsidRPr="00512F7A">
        <w:rPr>
          <w:noProof/>
        </w:rPr>
        <w:t xml:space="preserve">The aim is to ensure that the EU-CTC Joint Committee adopts all the technical changes in the Convention in order to implement the common transit procedure between Ukraine and other </w:t>
      </w:r>
      <w:r w:rsidR="00734C0B">
        <w:rPr>
          <w:noProof/>
        </w:rPr>
        <w:t>C</w:t>
      </w:r>
      <w:r w:rsidRPr="00512F7A">
        <w:rPr>
          <w:noProof/>
        </w:rPr>
        <w:t xml:space="preserve">ontracting </w:t>
      </w:r>
      <w:r w:rsidR="00734C0B">
        <w:rPr>
          <w:noProof/>
        </w:rPr>
        <w:t>P</w:t>
      </w:r>
      <w:r w:rsidRPr="00512F7A">
        <w:rPr>
          <w:noProof/>
        </w:rPr>
        <w:t xml:space="preserve">arties. </w:t>
      </w:r>
    </w:p>
    <w:p w14:paraId="460BFAE8" w14:textId="3A61481F" w:rsidR="00135EF6" w:rsidRDefault="00DD0B92" w:rsidP="00135EF6">
      <w:pPr>
        <w:pStyle w:val="Text1"/>
        <w:ind w:left="0"/>
        <w:rPr>
          <w:noProof/>
        </w:rPr>
      </w:pPr>
      <w:r>
        <w:rPr>
          <w:noProof/>
        </w:rPr>
        <w:t>This</w:t>
      </w:r>
      <w:r w:rsidRPr="00512F7A">
        <w:rPr>
          <w:noProof/>
        </w:rPr>
        <w:t xml:space="preserve"> </w:t>
      </w:r>
      <w:r w:rsidR="00135EF6">
        <w:rPr>
          <w:noProof/>
        </w:rPr>
        <w:t xml:space="preserve">should result in substantial and tangible benefits for traders and for customs administrations by simplifying transit formalities and facilitating the movement of goods, which is in line with Commission support to Ukraine. </w:t>
      </w:r>
    </w:p>
    <w:p w14:paraId="460BFAE9" w14:textId="14B901DC" w:rsidR="00135EF6" w:rsidRDefault="00135EF6" w:rsidP="00135EF6">
      <w:pPr>
        <w:pStyle w:val="Text1"/>
        <w:ind w:left="0"/>
        <w:rPr>
          <w:noProof/>
        </w:rPr>
      </w:pPr>
      <w:r>
        <w:rPr>
          <w:noProof/>
        </w:rPr>
        <w:t xml:space="preserve">The proposed </w:t>
      </w:r>
      <w:r w:rsidR="00734C0B">
        <w:rPr>
          <w:noProof/>
        </w:rPr>
        <w:t>d</w:t>
      </w:r>
      <w:r w:rsidR="005D2E23">
        <w:rPr>
          <w:noProof/>
        </w:rPr>
        <w:t>ecision is</w:t>
      </w:r>
      <w:r>
        <w:rPr>
          <w:noProof/>
        </w:rPr>
        <w:t xml:space="preserve"> consistent with European Union policies in the fields of trade and transport. </w:t>
      </w:r>
    </w:p>
    <w:p w14:paraId="460BFAEA" w14:textId="614BE7FB" w:rsidR="00EF54CF" w:rsidRPr="00E34F04" w:rsidRDefault="00871315" w:rsidP="00871315">
      <w:pPr>
        <w:pStyle w:val="ManualHeading1"/>
        <w:rPr>
          <w:noProof/>
        </w:rPr>
      </w:pPr>
      <w:r w:rsidRPr="00871315">
        <w:t>4.</w:t>
      </w:r>
      <w:r w:rsidRPr="00871315">
        <w:tab/>
      </w:r>
      <w:r w:rsidR="00EF54CF" w:rsidRPr="00E34F04">
        <w:rPr>
          <w:noProof/>
        </w:rPr>
        <w:t>Legal basis</w:t>
      </w:r>
    </w:p>
    <w:p w14:paraId="460BFAEB" w14:textId="13027B96" w:rsidR="00EF54CF" w:rsidRPr="00E34F04" w:rsidRDefault="00871315" w:rsidP="00871315">
      <w:pPr>
        <w:pStyle w:val="ManualHeading2"/>
        <w:rPr>
          <w:noProof/>
        </w:rPr>
      </w:pPr>
      <w:r w:rsidRPr="00871315">
        <w:t>4.1.</w:t>
      </w:r>
      <w:r w:rsidRPr="00871315">
        <w:tab/>
      </w:r>
      <w:r w:rsidR="00EF54CF" w:rsidRPr="00E34F04">
        <w:rPr>
          <w:noProof/>
        </w:rPr>
        <w:t>Procedural legal basis</w:t>
      </w:r>
    </w:p>
    <w:p w14:paraId="460BFAEC" w14:textId="46A3BFD0" w:rsidR="00EF54CF" w:rsidRPr="00E34F04" w:rsidRDefault="00871315" w:rsidP="00871315">
      <w:pPr>
        <w:pStyle w:val="ManualHeading3"/>
        <w:rPr>
          <w:noProof/>
        </w:rPr>
      </w:pPr>
      <w:r w:rsidRPr="00871315">
        <w:t>4.1.1.</w:t>
      </w:r>
      <w:r w:rsidRPr="00871315">
        <w:tab/>
      </w:r>
      <w:r w:rsidR="00EF54CF" w:rsidRPr="00E34F04">
        <w:rPr>
          <w:noProof/>
        </w:rPr>
        <w:t>Principles</w:t>
      </w:r>
    </w:p>
    <w:p w14:paraId="460BFAED" w14:textId="09DE7713" w:rsidR="00B56E3A" w:rsidRPr="001C6688" w:rsidRDefault="00B56E3A" w:rsidP="00B56E3A">
      <w:pPr>
        <w:rPr>
          <w:noProof/>
          <w:lang w:val="en-US" w:eastAsia="en-GB"/>
        </w:rPr>
      </w:pPr>
      <w:r w:rsidRPr="00A64002">
        <w:rPr>
          <w:noProof/>
          <w:lang w:val="en-US" w:eastAsia="en-GB"/>
        </w:rPr>
        <w:t xml:space="preserve">Article 218(9) of the Treaty on the Functioning of the European Union (TFEU) provides for </w:t>
      </w:r>
      <w:r>
        <w:rPr>
          <w:noProof/>
          <w:lang w:val="en-US" w:eastAsia="en-GB"/>
        </w:rPr>
        <w:t xml:space="preserve">decisions establishing </w:t>
      </w:r>
      <w:r w:rsidR="00DD0B92">
        <w:rPr>
          <w:noProof/>
          <w:lang w:val="en-US" w:eastAsia="en-GB"/>
        </w:rPr>
        <w:t>‘</w:t>
      </w:r>
      <w:r w:rsidRPr="00A64002">
        <w:rPr>
          <w:noProof/>
          <w:lang w:val="en-US" w:eastAsia="en-GB"/>
        </w:rPr>
        <w:t>the positions to be adopted on the Union</w:t>
      </w:r>
      <w:r w:rsidR="00DD0B92">
        <w:rPr>
          <w:noProof/>
          <w:lang w:val="en-US" w:eastAsia="en-GB"/>
        </w:rPr>
        <w:t>’</w:t>
      </w:r>
      <w:r w:rsidRPr="00A64002">
        <w:rPr>
          <w:noProof/>
          <w:lang w:val="en-US" w:eastAsia="en-GB"/>
        </w:rPr>
        <w:t>s behalf in a body set up by an agreement, when that body is called upon to adopt acts having legal effects, with the exception of acts supplementing or amending the institutional framework of the agreement</w:t>
      </w:r>
      <w:r w:rsidR="00DD0B92">
        <w:rPr>
          <w:noProof/>
          <w:lang w:val="en-US" w:eastAsia="en-GB"/>
        </w:rPr>
        <w:t>’</w:t>
      </w:r>
      <w:r w:rsidRPr="00A64002">
        <w:rPr>
          <w:noProof/>
          <w:lang w:val="en-US" w:eastAsia="en-GB"/>
        </w:rPr>
        <w:t>.</w:t>
      </w:r>
    </w:p>
    <w:p w14:paraId="460BFAEE" w14:textId="77777777" w:rsidR="00B56E3A" w:rsidRDefault="00B56E3A" w:rsidP="00B56E3A">
      <w:pPr>
        <w:rPr>
          <w:b/>
          <w:noProof/>
        </w:rPr>
      </w:pPr>
      <w:r w:rsidRPr="009A6486">
        <w:rPr>
          <w:noProof/>
        </w:rPr>
        <w:t xml:space="preserve">Article 15(3)(a) of the Convention </w:t>
      </w:r>
      <w:r w:rsidRPr="00A64002">
        <w:rPr>
          <w:noProof/>
        </w:rPr>
        <w:t>stipulates that the EU</w:t>
      </w:r>
      <w:r>
        <w:rPr>
          <w:noProof/>
        </w:rPr>
        <w:t xml:space="preserve">-CTC </w:t>
      </w:r>
      <w:r w:rsidRPr="00A64002">
        <w:rPr>
          <w:noProof/>
        </w:rPr>
        <w:t xml:space="preserve">Joint Committee adopts by decision amendments to the Appendices </w:t>
      </w:r>
      <w:r>
        <w:rPr>
          <w:noProof/>
        </w:rPr>
        <w:t>to</w:t>
      </w:r>
      <w:r w:rsidRPr="00A64002">
        <w:rPr>
          <w:noProof/>
        </w:rPr>
        <w:t xml:space="preserve"> the Convention.</w:t>
      </w:r>
      <w:r>
        <w:rPr>
          <w:noProof/>
        </w:rPr>
        <w:t xml:space="preserve"> </w:t>
      </w:r>
    </w:p>
    <w:p w14:paraId="460BFAEF" w14:textId="79979107" w:rsidR="00EF54CF" w:rsidRPr="00E34F04" w:rsidRDefault="00871315" w:rsidP="00871315">
      <w:pPr>
        <w:pStyle w:val="ManualHeading3"/>
        <w:rPr>
          <w:noProof/>
        </w:rPr>
      </w:pPr>
      <w:r w:rsidRPr="00871315">
        <w:t>4.1.2.</w:t>
      </w:r>
      <w:r w:rsidRPr="00871315">
        <w:tab/>
      </w:r>
      <w:r w:rsidR="00EF54CF" w:rsidRPr="00E34F04">
        <w:rPr>
          <w:noProof/>
        </w:rPr>
        <w:t>Application to the present case</w:t>
      </w:r>
    </w:p>
    <w:p w14:paraId="460BFAF0" w14:textId="77777777" w:rsidR="00B56E3A" w:rsidRDefault="00B56E3A" w:rsidP="00B56E3A">
      <w:pPr>
        <w:rPr>
          <w:noProof/>
        </w:rPr>
      </w:pPr>
      <w:r>
        <w:rPr>
          <w:noProof/>
        </w:rPr>
        <w:t>The Joint Committee is a body set up by Article 14 of the Convention.</w:t>
      </w:r>
    </w:p>
    <w:p w14:paraId="460BFAF1" w14:textId="77777777" w:rsidR="00B56E3A" w:rsidRDefault="00B56E3A" w:rsidP="00B56E3A">
      <w:pPr>
        <w:rPr>
          <w:noProof/>
        </w:rPr>
      </w:pPr>
      <w:r>
        <w:rPr>
          <w:noProof/>
        </w:rPr>
        <w:t>The Decision which the Joint Committee is called upon to adopt constitutes an act having legal effect. That Decision will be binding under international law in accordance with Article 20 of the Convention.</w:t>
      </w:r>
    </w:p>
    <w:p w14:paraId="460BFAF2" w14:textId="77777777" w:rsidR="00B56E3A" w:rsidRDefault="00B56E3A" w:rsidP="00B56E3A">
      <w:pPr>
        <w:rPr>
          <w:noProof/>
        </w:rPr>
      </w:pPr>
      <w:r>
        <w:rPr>
          <w:noProof/>
        </w:rPr>
        <w:t>The Decision does not supplement or amend the institutional framework of the Convention.</w:t>
      </w:r>
    </w:p>
    <w:p w14:paraId="460BFAF3" w14:textId="7836B135" w:rsidR="00B56E3A" w:rsidRDefault="00B56E3A" w:rsidP="00B56E3A">
      <w:pPr>
        <w:rPr>
          <w:noProof/>
        </w:rPr>
      </w:pPr>
      <w:r>
        <w:rPr>
          <w:noProof/>
        </w:rPr>
        <w:t xml:space="preserve">The procedural legal basis for the proposed </w:t>
      </w:r>
      <w:r w:rsidR="00032595">
        <w:rPr>
          <w:noProof/>
        </w:rPr>
        <w:t>d</w:t>
      </w:r>
      <w:r>
        <w:rPr>
          <w:noProof/>
        </w:rPr>
        <w:t>ecision, therefore, is Article 218(9) TFEU.</w:t>
      </w:r>
    </w:p>
    <w:p w14:paraId="460BFAF4" w14:textId="39187043" w:rsidR="00EF54CF" w:rsidRPr="00E34F04" w:rsidRDefault="00871315" w:rsidP="00871315">
      <w:pPr>
        <w:pStyle w:val="ManualHeading2"/>
        <w:rPr>
          <w:noProof/>
        </w:rPr>
      </w:pPr>
      <w:r w:rsidRPr="00871315">
        <w:t>4.2.</w:t>
      </w:r>
      <w:r w:rsidRPr="00871315">
        <w:tab/>
      </w:r>
      <w:r w:rsidR="00EF54CF" w:rsidRPr="00E34F04">
        <w:rPr>
          <w:noProof/>
        </w:rPr>
        <w:t>Substantive legal basis</w:t>
      </w:r>
    </w:p>
    <w:p w14:paraId="460BFAF5" w14:textId="2ED83FE8" w:rsidR="00EF54CF" w:rsidRPr="00E34F04" w:rsidRDefault="00871315" w:rsidP="00871315">
      <w:pPr>
        <w:pStyle w:val="ManualHeading3"/>
        <w:rPr>
          <w:noProof/>
        </w:rPr>
      </w:pPr>
      <w:r w:rsidRPr="00871315">
        <w:t>4.2.1.</w:t>
      </w:r>
      <w:r w:rsidRPr="00871315">
        <w:tab/>
      </w:r>
      <w:r w:rsidR="00EF54CF" w:rsidRPr="00E34F04">
        <w:rPr>
          <w:noProof/>
        </w:rPr>
        <w:t>Principles</w:t>
      </w:r>
    </w:p>
    <w:p w14:paraId="460BFAF6" w14:textId="4E47C8E5" w:rsidR="00B56E3A" w:rsidRDefault="0022359C" w:rsidP="0022359C">
      <w:pPr>
        <w:rPr>
          <w:noProof/>
        </w:rPr>
      </w:pPr>
      <w:r w:rsidRPr="00E34F04">
        <w:rPr>
          <w:noProof/>
        </w:rPr>
        <w:t>The substantive legal basis for a decision under Article 218(9) TFEU depends primarily on the objective and content of the envisaged act in respect of which a position is taken on the Union</w:t>
      </w:r>
      <w:r w:rsidR="00DD0B92">
        <w:rPr>
          <w:noProof/>
        </w:rPr>
        <w:t>’</w:t>
      </w:r>
      <w:r w:rsidRPr="00E34F04">
        <w:rPr>
          <w:noProof/>
        </w:rPr>
        <w:t xml:space="preserve">s behalf. </w:t>
      </w:r>
    </w:p>
    <w:p w14:paraId="460BFAF7" w14:textId="61EDB199" w:rsidR="0022359C" w:rsidRPr="00E34F04" w:rsidRDefault="00B56E3A" w:rsidP="0022359C">
      <w:pPr>
        <w:rPr>
          <w:noProof/>
        </w:rPr>
      </w:pPr>
      <w:r>
        <w:rPr>
          <w:noProof/>
        </w:rPr>
        <w:t xml:space="preserve">The substantive legal basis of the proposed </w:t>
      </w:r>
      <w:r w:rsidR="00032595">
        <w:rPr>
          <w:noProof/>
        </w:rPr>
        <w:t>d</w:t>
      </w:r>
      <w:r>
        <w:rPr>
          <w:noProof/>
        </w:rPr>
        <w:t xml:space="preserve">ecision is Article 207 TFUE. </w:t>
      </w:r>
    </w:p>
    <w:p w14:paraId="460BFAF8" w14:textId="51B52EFB" w:rsidR="00EF54CF" w:rsidRPr="00E34F04" w:rsidRDefault="00871315" w:rsidP="00871315">
      <w:pPr>
        <w:pStyle w:val="ManualHeading3"/>
        <w:rPr>
          <w:noProof/>
        </w:rPr>
      </w:pPr>
      <w:r w:rsidRPr="00871315">
        <w:t>4.2.2.</w:t>
      </w:r>
      <w:r w:rsidRPr="00871315">
        <w:tab/>
      </w:r>
      <w:r w:rsidR="00EF54CF" w:rsidRPr="00E34F04">
        <w:rPr>
          <w:noProof/>
        </w:rPr>
        <w:t>Application to the present case</w:t>
      </w:r>
    </w:p>
    <w:p w14:paraId="460BFAF9" w14:textId="77777777" w:rsidR="0022359C" w:rsidRPr="00512F7A" w:rsidRDefault="0022359C" w:rsidP="0022359C">
      <w:pPr>
        <w:rPr>
          <w:noProof/>
        </w:rPr>
      </w:pPr>
      <w:r w:rsidRPr="00E34F04">
        <w:rPr>
          <w:noProof/>
        </w:rPr>
        <w:t xml:space="preserve">The main objective and content of the envisaged act </w:t>
      </w:r>
      <w:r w:rsidRPr="00522C36">
        <w:rPr>
          <w:noProof/>
        </w:rPr>
        <w:t xml:space="preserve">relate to </w:t>
      </w:r>
      <w:r w:rsidRPr="00512F7A">
        <w:rPr>
          <w:noProof/>
        </w:rPr>
        <w:t xml:space="preserve">common commercial policy. </w:t>
      </w:r>
    </w:p>
    <w:p w14:paraId="460BFAFA" w14:textId="6F722FBC" w:rsidR="0022359C" w:rsidRPr="00E34F04" w:rsidRDefault="0022359C" w:rsidP="0022359C">
      <w:pPr>
        <w:rPr>
          <w:i/>
          <w:noProof/>
        </w:rPr>
      </w:pPr>
      <w:r w:rsidRPr="00E34F04">
        <w:rPr>
          <w:noProof/>
        </w:rPr>
        <w:t xml:space="preserve">Therefore, the substantive legal basis of the proposed </w:t>
      </w:r>
      <w:r w:rsidRPr="00522C36">
        <w:rPr>
          <w:noProof/>
        </w:rPr>
        <w:t xml:space="preserve">decision is </w:t>
      </w:r>
      <w:r w:rsidR="00DD0B92">
        <w:rPr>
          <w:noProof/>
        </w:rPr>
        <w:t xml:space="preserve">Article </w:t>
      </w:r>
      <w:r w:rsidRPr="00512F7A">
        <w:rPr>
          <w:noProof/>
        </w:rPr>
        <w:t xml:space="preserve">207 TFUE. </w:t>
      </w:r>
    </w:p>
    <w:p w14:paraId="460BFAFB" w14:textId="710E6E95" w:rsidR="00EF54CF" w:rsidRPr="00E34F04" w:rsidRDefault="00871315" w:rsidP="00871315">
      <w:pPr>
        <w:pStyle w:val="ManualHeading2"/>
        <w:rPr>
          <w:noProof/>
        </w:rPr>
      </w:pPr>
      <w:r w:rsidRPr="00871315">
        <w:t>4.3.</w:t>
      </w:r>
      <w:r w:rsidRPr="00871315">
        <w:tab/>
      </w:r>
      <w:r w:rsidR="00EF54CF" w:rsidRPr="00E34F04">
        <w:rPr>
          <w:noProof/>
        </w:rPr>
        <w:t>Conclusion</w:t>
      </w:r>
    </w:p>
    <w:p w14:paraId="460BFAFC" w14:textId="77777777" w:rsidR="0022359C" w:rsidRPr="00E34F04" w:rsidRDefault="0022359C" w:rsidP="0022359C">
      <w:pPr>
        <w:rPr>
          <w:noProof/>
        </w:rPr>
      </w:pPr>
      <w:r w:rsidRPr="00E34F04">
        <w:rPr>
          <w:noProof/>
        </w:rPr>
        <w:t>The legal basis of the proposed decision should</w:t>
      </w:r>
      <w:r w:rsidRPr="00522C36">
        <w:rPr>
          <w:noProof/>
        </w:rPr>
        <w:t xml:space="preserve"> be </w:t>
      </w:r>
      <w:r w:rsidRPr="00512F7A">
        <w:rPr>
          <w:noProof/>
        </w:rPr>
        <w:t>Article 207 TFUE,</w:t>
      </w:r>
      <w:r w:rsidRPr="00522C36">
        <w:rPr>
          <w:noProof/>
        </w:rPr>
        <w:t xml:space="preserve"> </w:t>
      </w:r>
      <w:r w:rsidRPr="00E34F04">
        <w:rPr>
          <w:noProof/>
        </w:rPr>
        <w:t>in conjunction with Article 218(9) TFEU.</w:t>
      </w:r>
    </w:p>
    <w:p w14:paraId="460BFAFD" w14:textId="77777777" w:rsidR="00EF54CF" w:rsidRPr="00FD40BA" w:rsidRDefault="00EF54CF" w:rsidP="00FD40BA">
      <w:pPr>
        <w:rPr>
          <w:noProof/>
        </w:rPr>
        <w:sectPr w:rsidR="00EF54CF" w:rsidRPr="00FD40BA" w:rsidSect="002B4F44">
          <w:footerReference w:type="default" r:id="rId10"/>
          <w:footerReference w:type="first" r:id="rId11"/>
          <w:pgSz w:w="11907" w:h="16839"/>
          <w:pgMar w:top="1134" w:right="1417" w:bottom="1134" w:left="1417" w:header="709" w:footer="709" w:gutter="0"/>
          <w:cols w:space="708"/>
          <w:docGrid w:linePitch="360"/>
        </w:sectPr>
      </w:pPr>
    </w:p>
    <w:p w14:paraId="7AE6A57A" w14:textId="3CF79812" w:rsidR="00AA77F8" w:rsidRDefault="00AA77F8" w:rsidP="00AA77F8">
      <w:pPr>
        <w:pStyle w:val="Rfrenceinterinstitutionnelle"/>
        <w:rPr>
          <w:noProof/>
        </w:rPr>
      </w:pPr>
      <w:r w:rsidRPr="00AA77F8">
        <w:t>2022/0254 (NLE)</w:t>
      </w:r>
    </w:p>
    <w:p w14:paraId="460BFAFE" w14:textId="4E10F07C" w:rsidR="00EF54CF" w:rsidRPr="00E34F04" w:rsidRDefault="006743C4" w:rsidP="006743C4">
      <w:pPr>
        <w:pStyle w:val="Statut"/>
        <w:rPr>
          <w:noProof/>
        </w:rPr>
      </w:pPr>
      <w:r w:rsidRPr="006743C4">
        <w:rPr>
          <w:noProof/>
        </w:rPr>
        <w:t>Proposal for a</w:t>
      </w:r>
    </w:p>
    <w:p w14:paraId="460BFAFF" w14:textId="10AFE8D0" w:rsidR="00EF54CF" w:rsidRPr="00E34F04" w:rsidRDefault="006743C4" w:rsidP="006743C4">
      <w:pPr>
        <w:pStyle w:val="Typedudocument"/>
        <w:rPr>
          <w:noProof/>
        </w:rPr>
      </w:pPr>
      <w:r w:rsidRPr="006743C4">
        <w:rPr>
          <w:noProof/>
        </w:rPr>
        <w:t>COUNCIL DECISION</w:t>
      </w:r>
    </w:p>
    <w:p w14:paraId="460BFB00" w14:textId="0D132118" w:rsidR="00EF54CF" w:rsidRPr="00E34F04" w:rsidRDefault="006743C4" w:rsidP="006743C4">
      <w:pPr>
        <w:pStyle w:val="Titreobjet"/>
        <w:rPr>
          <w:noProof/>
        </w:rPr>
      </w:pPr>
      <w:r w:rsidRPr="006743C4">
        <w:rPr>
          <w:noProof/>
        </w:rPr>
        <w:t>on the position to be taken on behalf of the European Union in the EU-CTC Joint Committee established by the Convention of 20 May 1987 on common transit procedure as regards amendments to that Convention</w:t>
      </w:r>
    </w:p>
    <w:p w14:paraId="460BFB01" w14:textId="77777777" w:rsidR="00EF54CF" w:rsidRPr="00AD2A67" w:rsidRDefault="00EF54CF" w:rsidP="00BE7CB9">
      <w:pPr>
        <w:pStyle w:val="Institutionquiagit"/>
        <w:rPr>
          <w:noProof/>
        </w:rPr>
      </w:pPr>
      <w:r w:rsidRPr="00AD2A67">
        <w:rPr>
          <w:noProof/>
        </w:rPr>
        <w:t>THE COUNCIL OF THE EUROPEAN UNION,</w:t>
      </w:r>
    </w:p>
    <w:p w14:paraId="460BFB02" w14:textId="77777777" w:rsidR="00EF54CF" w:rsidRPr="00E34F04" w:rsidRDefault="00EF54CF" w:rsidP="00BE7CB9">
      <w:pPr>
        <w:rPr>
          <w:noProof/>
        </w:rPr>
      </w:pPr>
      <w:r w:rsidRPr="00E34F04">
        <w:rPr>
          <w:noProof/>
        </w:rPr>
        <w:t>Having regard to the Treaty on the Functioning of the European Union, and in particular Article</w:t>
      </w:r>
      <w:r w:rsidR="00802CFC">
        <w:rPr>
          <w:noProof/>
        </w:rPr>
        <w:t xml:space="preserve"> 207</w:t>
      </w:r>
      <w:r w:rsidRPr="00E34F04">
        <w:rPr>
          <w:noProof/>
        </w:rPr>
        <w:t>, in conjunction with Article 218(9) thereof,</w:t>
      </w:r>
    </w:p>
    <w:p w14:paraId="460BFB03" w14:textId="77777777" w:rsidR="00EF54CF" w:rsidRPr="00E34F04" w:rsidRDefault="00EF54CF" w:rsidP="00BE7CB9">
      <w:pPr>
        <w:rPr>
          <w:noProof/>
        </w:rPr>
      </w:pPr>
      <w:r w:rsidRPr="00E34F04">
        <w:rPr>
          <w:noProof/>
        </w:rPr>
        <w:t>Having regard to the proposal from the European Commission,</w:t>
      </w:r>
    </w:p>
    <w:p w14:paraId="460BFB04" w14:textId="77777777" w:rsidR="00EF54CF" w:rsidRPr="00E34F04" w:rsidRDefault="00EF54CF" w:rsidP="00BE7CB9">
      <w:pPr>
        <w:rPr>
          <w:noProof/>
        </w:rPr>
      </w:pPr>
      <w:r w:rsidRPr="00E34F04">
        <w:rPr>
          <w:noProof/>
        </w:rPr>
        <w:t>Whereas:</w:t>
      </w:r>
    </w:p>
    <w:p w14:paraId="79D94644" w14:textId="2BDA4ED1" w:rsidR="005D2E23" w:rsidRDefault="00871315" w:rsidP="00871315">
      <w:pPr>
        <w:pStyle w:val="ManualConsidrant"/>
        <w:rPr>
          <w:noProof/>
        </w:rPr>
      </w:pPr>
      <w:r w:rsidRPr="00871315">
        <w:t>(1)</w:t>
      </w:r>
      <w:r w:rsidRPr="00871315">
        <w:tab/>
      </w:r>
      <w:r w:rsidR="005D2E23" w:rsidRPr="00B45EE3">
        <w:rPr>
          <w:noProof/>
        </w:rPr>
        <w:t xml:space="preserve">The Convention </w:t>
      </w:r>
      <w:r w:rsidR="005D2E23">
        <w:rPr>
          <w:noProof/>
        </w:rPr>
        <w:t xml:space="preserve">of 20 May 1987 </w:t>
      </w:r>
      <w:r w:rsidR="005D2E23" w:rsidRPr="00B45EE3">
        <w:rPr>
          <w:noProof/>
        </w:rPr>
        <w:t>on a common transit procedure</w:t>
      </w:r>
      <w:r w:rsidR="005D2E23">
        <w:rPr>
          <w:rStyle w:val="FootnoteReference"/>
          <w:noProof/>
        </w:rPr>
        <w:footnoteReference w:id="2"/>
      </w:r>
      <w:r w:rsidR="005D2E23" w:rsidRPr="00B45EE3">
        <w:rPr>
          <w:noProof/>
        </w:rPr>
        <w:t xml:space="preserve"> ("the Convention") was concluded between the European Economic Community, the Republic of Austria, the Republic of Finland, the Republic of Iceland, the Kingdom of Norway, the Kingdom of Sweden and the Swiss Confederation and entered into force on 1 January 1988.</w:t>
      </w:r>
    </w:p>
    <w:p w14:paraId="1F69A640" w14:textId="1F416C09" w:rsidR="005D2E23" w:rsidRDefault="00871315" w:rsidP="00871315">
      <w:pPr>
        <w:pStyle w:val="ManualConsidrant"/>
        <w:rPr>
          <w:noProof/>
        </w:rPr>
      </w:pPr>
      <w:r w:rsidRPr="00871315">
        <w:t>(2)</w:t>
      </w:r>
      <w:r w:rsidRPr="00871315">
        <w:tab/>
      </w:r>
      <w:r w:rsidR="005D2E23" w:rsidRPr="004C5D5F">
        <w:rPr>
          <w:noProof/>
        </w:rPr>
        <w:t>Pursuant to Article 15(3)(a) of the Convention, the EU-</w:t>
      </w:r>
      <w:r w:rsidR="005D2E23">
        <w:rPr>
          <w:noProof/>
        </w:rPr>
        <w:t>CTC</w:t>
      </w:r>
      <w:r w:rsidR="005D2E23" w:rsidRPr="004C5D5F">
        <w:rPr>
          <w:noProof/>
        </w:rPr>
        <w:t xml:space="preserve"> Joint Committee on common transit set up by that Convention ("the Joint Committee") may adopt by decision</w:t>
      </w:r>
      <w:r w:rsidR="005D2E23">
        <w:rPr>
          <w:noProof/>
        </w:rPr>
        <w:t>s</w:t>
      </w:r>
      <w:r w:rsidR="005D2E23" w:rsidRPr="004C5D5F">
        <w:rPr>
          <w:noProof/>
        </w:rPr>
        <w:t xml:space="preserve"> amendments to the Appendices to the Convention.</w:t>
      </w:r>
    </w:p>
    <w:p w14:paraId="331BAF5B" w14:textId="61B60742" w:rsidR="005D2E23" w:rsidRDefault="00871315" w:rsidP="00871315">
      <w:pPr>
        <w:pStyle w:val="ManualConsidrant"/>
        <w:rPr>
          <w:noProof/>
        </w:rPr>
      </w:pPr>
      <w:r w:rsidRPr="00871315">
        <w:t>(3)</w:t>
      </w:r>
      <w:r w:rsidRPr="00871315">
        <w:tab/>
      </w:r>
      <w:r w:rsidR="005D2E23">
        <w:rPr>
          <w:noProof/>
        </w:rPr>
        <w:t xml:space="preserve">Ukraine expressed its wish to accede to the Convention and will be invited to do so. </w:t>
      </w:r>
    </w:p>
    <w:p w14:paraId="48230230" w14:textId="5004C2E7" w:rsidR="005D2E23" w:rsidRDefault="00871315" w:rsidP="00871315">
      <w:pPr>
        <w:pStyle w:val="ManualConsidrant"/>
        <w:rPr>
          <w:noProof/>
        </w:rPr>
      </w:pPr>
      <w:r w:rsidRPr="00871315">
        <w:t>(4)</w:t>
      </w:r>
      <w:r w:rsidRPr="00871315">
        <w:tab/>
      </w:r>
      <w:r w:rsidR="005D2E23">
        <w:rPr>
          <w:noProof/>
        </w:rPr>
        <w:t>The accession of Ukraine will require the respective adaptation of the guarantee documents and the insertion of certain technical terms in the Ukrainian language.</w:t>
      </w:r>
    </w:p>
    <w:p w14:paraId="0217B3E6" w14:textId="21658DFC" w:rsidR="005D2E23" w:rsidRDefault="00871315" w:rsidP="00871315">
      <w:pPr>
        <w:pStyle w:val="ManualConsidrant"/>
        <w:rPr>
          <w:noProof/>
        </w:rPr>
      </w:pPr>
      <w:r w:rsidRPr="00871315">
        <w:t>(5)</w:t>
      </w:r>
      <w:r w:rsidRPr="00871315">
        <w:tab/>
      </w:r>
      <w:r w:rsidR="005D2E23" w:rsidRPr="0053447F">
        <w:rPr>
          <w:noProof/>
        </w:rPr>
        <w:t>It is appropriate to establish the position to be taken on the Union’s behalf in the Joint Committee, as the decision to amend the Convention will be binding on the Union.</w:t>
      </w:r>
    </w:p>
    <w:p w14:paraId="625D2477" w14:textId="3C303B73" w:rsidR="005D2E23" w:rsidRPr="004C5D5F" w:rsidRDefault="00871315" w:rsidP="00871315">
      <w:pPr>
        <w:pStyle w:val="ManualConsidrant"/>
        <w:rPr>
          <w:noProof/>
        </w:rPr>
      </w:pPr>
      <w:r w:rsidRPr="00871315">
        <w:t>(6)</w:t>
      </w:r>
      <w:r w:rsidRPr="00871315">
        <w:tab/>
      </w:r>
      <w:r w:rsidR="005D2E23" w:rsidRPr="004C5D5F">
        <w:rPr>
          <w:noProof/>
        </w:rPr>
        <w:t>All Member States of the Union expressed their positive opinion as regards the proposed amendments in the EU-</w:t>
      </w:r>
      <w:r w:rsidR="005D2E23">
        <w:rPr>
          <w:noProof/>
        </w:rPr>
        <w:t>CTC</w:t>
      </w:r>
      <w:r w:rsidR="005D2E23" w:rsidRPr="004C5D5F">
        <w:rPr>
          <w:noProof/>
        </w:rPr>
        <w:t xml:space="preserve"> W</w:t>
      </w:r>
      <w:r w:rsidR="005D2E23">
        <w:rPr>
          <w:noProof/>
        </w:rPr>
        <w:t>orking Group on common transi</w:t>
      </w:r>
      <w:r w:rsidR="005D2E23" w:rsidRPr="007F69A8">
        <w:rPr>
          <w:noProof/>
        </w:rPr>
        <w:t>t.</w:t>
      </w:r>
    </w:p>
    <w:p w14:paraId="2A4CE5FD" w14:textId="449250BD" w:rsidR="005D2E23" w:rsidRDefault="00871315" w:rsidP="00871315">
      <w:pPr>
        <w:pStyle w:val="ManualConsidrant"/>
        <w:rPr>
          <w:noProof/>
        </w:rPr>
      </w:pPr>
      <w:r w:rsidRPr="00871315">
        <w:t>(7)</w:t>
      </w:r>
      <w:r w:rsidRPr="00871315">
        <w:tab/>
      </w:r>
      <w:r w:rsidR="005D2E23">
        <w:rPr>
          <w:noProof/>
        </w:rPr>
        <w:t>As the Joint Committee Decision will amend the Convention, it is appropriate to publish it in the Official Journal of the European Union after its adoption.</w:t>
      </w:r>
    </w:p>
    <w:p w14:paraId="631FF5F2" w14:textId="77777777" w:rsidR="005D2E23" w:rsidRPr="00E34F04" w:rsidRDefault="005D2E23" w:rsidP="005D2E23">
      <w:pPr>
        <w:pStyle w:val="Formuledadoption"/>
        <w:rPr>
          <w:noProof/>
        </w:rPr>
      </w:pPr>
      <w:r w:rsidRPr="00E34F04">
        <w:rPr>
          <w:noProof/>
        </w:rPr>
        <w:t>HAS ADOPTED THIS DECISION:</w:t>
      </w:r>
    </w:p>
    <w:p w14:paraId="5C2B395A" w14:textId="77777777" w:rsidR="005D2E23" w:rsidRPr="00FD40BA" w:rsidRDefault="005D2E23" w:rsidP="005D2E23">
      <w:pPr>
        <w:pStyle w:val="Titrearticle"/>
        <w:rPr>
          <w:noProof/>
        </w:rPr>
      </w:pPr>
      <w:r w:rsidRPr="00FD40BA">
        <w:rPr>
          <w:noProof/>
        </w:rPr>
        <w:t>Article 1</w:t>
      </w:r>
    </w:p>
    <w:p w14:paraId="014415E1" w14:textId="0716D67B" w:rsidR="005D2E23" w:rsidRDefault="005D2E23" w:rsidP="005D2E23">
      <w:pPr>
        <w:rPr>
          <w:noProof/>
        </w:rPr>
      </w:pPr>
      <w:r>
        <w:rPr>
          <w:noProof/>
        </w:rPr>
        <w:t>The position to</w:t>
      </w:r>
      <w:r w:rsidR="00F559B7">
        <w:rPr>
          <w:noProof/>
        </w:rPr>
        <w:t xml:space="preserve"> be taken on the Union’s behalf, </w:t>
      </w:r>
      <w:r>
        <w:rPr>
          <w:noProof/>
        </w:rPr>
        <w:t xml:space="preserve">at </w:t>
      </w:r>
      <w:r w:rsidR="008E20FC">
        <w:rPr>
          <w:noProof/>
        </w:rPr>
        <w:t xml:space="preserve">an upcoming </w:t>
      </w:r>
      <w:r w:rsidR="00F559B7">
        <w:rPr>
          <w:noProof/>
        </w:rPr>
        <w:t xml:space="preserve">session or by means of </w:t>
      </w:r>
      <w:r w:rsidR="008E20FC">
        <w:rPr>
          <w:noProof/>
        </w:rPr>
        <w:t xml:space="preserve">the </w:t>
      </w:r>
      <w:r w:rsidR="00F559B7">
        <w:rPr>
          <w:noProof/>
        </w:rPr>
        <w:t xml:space="preserve">written procedure, in </w:t>
      </w:r>
      <w:r>
        <w:rPr>
          <w:noProof/>
        </w:rPr>
        <w:t>the EU-CTC Joint Committee set up by the Convention of 20 May 1987 on a common transit procedure concerning amendments to the Appendices to that Convention shall be based on the draft Decision of that Joint Committee attached to this Decision.</w:t>
      </w:r>
    </w:p>
    <w:p w14:paraId="2C080699" w14:textId="77777777" w:rsidR="005D2E23" w:rsidRPr="00B917E3" w:rsidRDefault="005D2E23" w:rsidP="005D2E23">
      <w:pPr>
        <w:rPr>
          <w:noProof/>
        </w:rPr>
      </w:pPr>
      <w:r>
        <w:rPr>
          <w:noProof/>
        </w:rPr>
        <w:t>Minor changes to the draft Decision may be agreed to by the representative of the Union in the Joint Committee, without further Decision of the Council.</w:t>
      </w:r>
    </w:p>
    <w:p w14:paraId="4AF1D55A" w14:textId="77777777" w:rsidR="005D2E23" w:rsidRPr="00E56A5B" w:rsidRDefault="005D2E23" w:rsidP="005D2E23">
      <w:pPr>
        <w:pStyle w:val="Titrearticle"/>
        <w:keepNext w:val="0"/>
        <w:rPr>
          <w:noProof/>
        </w:rPr>
      </w:pPr>
      <w:r w:rsidRPr="00FD40BA">
        <w:rPr>
          <w:noProof/>
        </w:rPr>
        <w:t xml:space="preserve">Article </w:t>
      </w:r>
      <w:r w:rsidRPr="00E56A5B">
        <w:rPr>
          <w:noProof/>
        </w:rPr>
        <w:t>2</w:t>
      </w:r>
    </w:p>
    <w:p w14:paraId="3A92C4C3" w14:textId="77777777" w:rsidR="005D2E23" w:rsidRDefault="005D2E23" w:rsidP="005D2E23">
      <w:pPr>
        <w:rPr>
          <w:noProof/>
        </w:rPr>
      </w:pPr>
      <w:r>
        <w:rPr>
          <w:noProof/>
        </w:rPr>
        <w:t xml:space="preserve">After its adoption, the Decision of the Joint Committee shall be published in the </w:t>
      </w:r>
      <w:r w:rsidRPr="00F559B7">
        <w:rPr>
          <w:i/>
          <w:noProof/>
        </w:rPr>
        <w:t>Official Journal of the European Union</w:t>
      </w:r>
      <w:r>
        <w:rPr>
          <w:noProof/>
        </w:rPr>
        <w:t>.</w:t>
      </w:r>
    </w:p>
    <w:p w14:paraId="2B932D94" w14:textId="77777777" w:rsidR="005D2E23" w:rsidRDefault="005D2E23" w:rsidP="005D2E23">
      <w:pPr>
        <w:rPr>
          <w:noProof/>
        </w:rPr>
      </w:pPr>
    </w:p>
    <w:p w14:paraId="48485E35" w14:textId="77777777" w:rsidR="005D2E23" w:rsidRPr="00B917E3" w:rsidRDefault="005D2E23" w:rsidP="005D2E23">
      <w:pPr>
        <w:jc w:val="center"/>
        <w:rPr>
          <w:i/>
          <w:noProof/>
        </w:rPr>
      </w:pPr>
      <w:r w:rsidRPr="00B917E3">
        <w:rPr>
          <w:i/>
          <w:noProof/>
        </w:rPr>
        <w:t>Article 3</w:t>
      </w:r>
    </w:p>
    <w:p w14:paraId="1B52F01F" w14:textId="77777777" w:rsidR="005D2E23" w:rsidRDefault="005D2E23" w:rsidP="005D2E23">
      <w:pPr>
        <w:keepLines/>
        <w:rPr>
          <w:noProof/>
        </w:rPr>
      </w:pPr>
      <w:r w:rsidRPr="00FD40BA">
        <w:rPr>
          <w:noProof/>
        </w:rPr>
        <w:t xml:space="preserve">This Decision </w:t>
      </w:r>
      <w:r>
        <w:rPr>
          <w:noProof/>
        </w:rPr>
        <w:t>is addressed to the Commission.</w:t>
      </w:r>
    </w:p>
    <w:p w14:paraId="460BFB15" w14:textId="77777777" w:rsidR="002318D3" w:rsidRPr="00FD40BA" w:rsidRDefault="002318D3" w:rsidP="002318D3">
      <w:pPr>
        <w:keepLines/>
        <w:rPr>
          <w:noProof/>
        </w:rPr>
      </w:pPr>
    </w:p>
    <w:p w14:paraId="460BFB16" w14:textId="525AF784" w:rsidR="00EF54CF" w:rsidRDefault="00027C1E" w:rsidP="00430BB2">
      <w:pPr>
        <w:pStyle w:val="Fait"/>
        <w:rPr>
          <w:noProof/>
        </w:rPr>
      </w:pPr>
      <w:r w:rsidRPr="00027C1E">
        <w:t>Done at Brussels,</w:t>
      </w:r>
    </w:p>
    <w:p w14:paraId="460BFB17" w14:textId="77777777" w:rsidR="00EF54CF" w:rsidRDefault="00EF54CF" w:rsidP="00430BB2">
      <w:pPr>
        <w:pStyle w:val="Institutionquisigne"/>
        <w:rPr>
          <w:noProof/>
        </w:rPr>
      </w:pPr>
      <w:r w:rsidRPr="00EF54CF">
        <w:rPr>
          <w:noProof/>
        </w:rPr>
        <w:tab/>
        <w:t>For the Council</w:t>
      </w:r>
    </w:p>
    <w:p w14:paraId="460BFB18" w14:textId="77777777" w:rsidR="00EF54CF" w:rsidRPr="00EF54CF" w:rsidRDefault="00EF54CF" w:rsidP="00EF54CF">
      <w:pPr>
        <w:pStyle w:val="Personnequisigne"/>
        <w:rPr>
          <w:noProof/>
        </w:rPr>
      </w:pPr>
      <w:r w:rsidRPr="00EF54CF">
        <w:rPr>
          <w:noProof/>
        </w:rPr>
        <w:tab/>
        <w:t>The President</w:t>
      </w:r>
    </w:p>
    <w:sectPr w:rsidR="00EF54CF" w:rsidRPr="00EF54CF" w:rsidSect="002B4F4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1BAB0" w14:textId="77777777" w:rsidR="009A50C1" w:rsidRDefault="009A50C1" w:rsidP="00EF54CF">
      <w:pPr>
        <w:spacing w:before="0" w:after="0"/>
      </w:pPr>
      <w:r>
        <w:separator/>
      </w:r>
    </w:p>
  </w:endnote>
  <w:endnote w:type="continuationSeparator" w:id="0">
    <w:p w14:paraId="50BA663D" w14:textId="77777777" w:rsidR="009A50C1" w:rsidRDefault="009A50C1" w:rsidP="00EF54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BFB21" w14:textId="5148E288" w:rsidR="00EF54CF" w:rsidRPr="002B4F44" w:rsidRDefault="002B4F44" w:rsidP="002B4F44">
    <w:pPr>
      <w:pStyle w:val="Footer"/>
      <w:rPr>
        <w:rFonts w:ascii="Arial" w:hAnsi="Arial" w:cs="Arial"/>
        <w:b/>
        <w:sz w:val="48"/>
      </w:rPr>
    </w:pPr>
    <w:r w:rsidRPr="002B4F44">
      <w:rPr>
        <w:rFonts w:ascii="Arial" w:hAnsi="Arial" w:cs="Arial"/>
        <w:b/>
        <w:sz w:val="48"/>
      </w:rPr>
      <w:t>EN</w:t>
    </w:r>
    <w:r w:rsidRPr="002B4F44">
      <w:rPr>
        <w:rFonts w:ascii="Arial" w:hAnsi="Arial" w:cs="Arial"/>
        <w:b/>
        <w:sz w:val="48"/>
      </w:rPr>
      <w:tab/>
    </w:r>
    <w:r w:rsidRPr="002B4F44">
      <w:rPr>
        <w:rFonts w:ascii="Arial" w:hAnsi="Arial" w:cs="Arial"/>
        <w:b/>
        <w:sz w:val="48"/>
      </w:rPr>
      <w:tab/>
    </w:r>
    <w:r w:rsidRPr="002B4F44">
      <w:tab/>
    </w:r>
    <w:r w:rsidRPr="002B4F44">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46375" w14:textId="43C1749F" w:rsidR="002B4F44" w:rsidRPr="002B4F44" w:rsidRDefault="002B4F44" w:rsidP="002B4F44">
    <w:pPr>
      <w:pStyle w:val="Footer"/>
      <w:rPr>
        <w:rFonts w:ascii="Arial" w:hAnsi="Arial" w:cs="Arial"/>
        <w:b/>
        <w:sz w:val="48"/>
      </w:rPr>
    </w:pPr>
    <w:r w:rsidRPr="002B4F44">
      <w:rPr>
        <w:rFonts w:ascii="Arial" w:hAnsi="Arial" w:cs="Arial"/>
        <w:b/>
        <w:sz w:val="48"/>
      </w:rPr>
      <w:t>EN</w:t>
    </w:r>
    <w:r w:rsidRPr="002B4F44">
      <w:rPr>
        <w:rFonts w:ascii="Arial" w:hAnsi="Arial" w:cs="Arial"/>
        <w:b/>
        <w:sz w:val="48"/>
      </w:rPr>
      <w:tab/>
    </w:r>
    <w:r>
      <w:fldChar w:fldCharType="begin"/>
    </w:r>
    <w:r>
      <w:instrText xml:space="preserve"> PAGE  \* MERGEFORMAT </w:instrText>
    </w:r>
    <w:r>
      <w:fldChar w:fldCharType="separate"/>
    </w:r>
    <w:r w:rsidR="00430BB2">
      <w:rPr>
        <w:noProof/>
      </w:rPr>
      <w:t>5</w:t>
    </w:r>
    <w:r>
      <w:fldChar w:fldCharType="end"/>
    </w:r>
    <w:r>
      <w:tab/>
    </w:r>
    <w:r w:rsidRPr="002B4F44">
      <w:tab/>
    </w:r>
    <w:r w:rsidRPr="002B4F4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B7E43" w14:textId="77777777" w:rsidR="002B4F44" w:rsidRPr="002B4F44" w:rsidRDefault="002B4F44" w:rsidP="002B4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E6F94" w14:textId="77777777" w:rsidR="009A50C1" w:rsidRDefault="009A50C1" w:rsidP="00EF54CF">
      <w:pPr>
        <w:spacing w:before="0" w:after="0"/>
      </w:pPr>
      <w:r>
        <w:separator/>
      </w:r>
    </w:p>
  </w:footnote>
  <w:footnote w:type="continuationSeparator" w:id="0">
    <w:p w14:paraId="72C6511E" w14:textId="77777777" w:rsidR="009A50C1" w:rsidRDefault="009A50C1" w:rsidP="00EF54CF">
      <w:pPr>
        <w:spacing w:before="0" w:after="0"/>
      </w:pPr>
      <w:r>
        <w:continuationSeparator/>
      </w:r>
    </w:p>
  </w:footnote>
  <w:footnote w:id="1">
    <w:p w14:paraId="0F7894E3" w14:textId="77777777" w:rsidR="005D2E23" w:rsidRPr="00C45363" w:rsidRDefault="005D2E23" w:rsidP="005D2E23">
      <w:pPr>
        <w:pStyle w:val="FootnoteText"/>
        <w:rPr>
          <w:lang w:val="nl-NL"/>
        </w:rPr>
      </w:pPr>
      <w:r w:rsidRPr="00D821D0">
        <w:rPr>
          <w:rStyle w:val="FootnoteReference"/>
        </w:rPr>
        <w:footnoteRef/>
      </w:r>
      <w:r w:rsidRPr="00C45363">
        <w:rPr>
          <w:lang w:val="nl-NL"/>
        </w:rPr>
        <w:tab/>
        <w:t>OJ L 226 13.8.1987, p. 2.</w:t>
      </w:r>
    </w:p>
  </w:footnote>
  <w:footnote w:id="2">
    <w:p w14:paraId="57D29912" w14:textId="419AC7FE" w:rsidR="005D2E23" w:rsidRPr="00D9155A" w:rsidRDefault="005D2E23" w:rsidP="005D2E23">
      <w:pPr>
        <w:pStyle w:val="FootnoteText"/>
        <w:rPr>
          <w:lang w:val="fr-BE"/>
        </w:rPr>
      </w:pPr>
      <w:r w:rsidRPr="007E2C55">
        <w:rPr>
          <w:rStyle w:val="FootnoteReference"/>
        </w:rPr>
        <w:footnoteRef/>
      </w:r>
      <w:r w:rsidR="007E2C55">
        <w:tab/>
      </w:r>
      <w:r>
        <w:t>OJ L 226, 13.8.1987, p.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2FC9C5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EA08C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4EC065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71A6E9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760DA6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CBE73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E008A7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958B7F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22"/>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2"/>
  </w:num>
  <w:num w:numId="29">
    <w:abstractNumId w:val="21"/>
  </w:num>
  <w:num w:numId="30">
    <w:abstractNumId w:val="11"/>
  </w:num>
  <w:num w:numId="31">
    <w:abstractNumId w:val="13"/>
  </w:num>
  <w:num w:numId="32">
    <w:abstractNumId w:val="14"/>
  </w:num>
  <w:num w:numId="33">
    <w:abstractNumId w:val="9"/>
  </w:num>
  <w:num w:numId="34">
    <w:abstractNumId w:val="20"/>
  </w:num>
  <w:num w:numId="35">
    <w:abstractNumId w:val="8"/>
  </w:num>
  <w:num w:numId="36">
    <w:abstractNumId w:val="15"/>
  </w:num>
  <w:num w:numId="37">
    <w:abstractNumId w:val="17"/>
  </w:num>
  <w:num w:numId="38">
    <w:abstractNumId w:val="18"/>
  </w:num>
  <w:num w:numId="39">
    <w:abstractNumId w:val="10"/>
  </w:num>
  <w:num w:numId="40">
    <w:abstractNumId w:val="16"/>
  </w:num>
  <w:num w:numId="4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8-23 13:28:13"/>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3C0F0CFD-9816-49E9-BF92-C5B91FFE1F6A"/>
    <w:docVar w:name="LW_COVERPAGE_TYPE" w:val="1"/>
    <w:docVar w:name="LW_CROSSREFERENCE" w:val="&lt;UNUSED&gt;"/>
    <w:docVar w:name="LW_DocType" w:val="COM"/>
    <w:docVar w:name="LW_EMISSION" w:val="31.8.2022"/>
    <w:docVar w:name="LW_EMISSION_ISODATE" w:val="2022-08-31"/>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254"/>
    <w:docVar w:name="LW_REF.II.NEW.CP_YEAR" w:val="2022"/>
    <w:docVar w:name="LW_REF.INST.NEW" w:val="COM"/>
    <w:docVar w:name="LW_REF.INST.NEW_ADOPTED" w:val="final"/>
    <w:docVar w:name="LW_REF.INST.NEW_TEXT" w:val="(2022) 4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in the EU-CTC Joint Committee established by the Convention of 20 May 1987 on common transit procedure as regards amendments to that Convention"/>
    <w:docVar w:name="LW_TYPE.DOC.CP" w:val="COUNCIL DECISION"/>
    <w:docVar w:name="LwApiVersions" w:val="LW4CoDe 1.23.2.0; LW 8.0, Build 20211117"/>
  </w:docVars>
  <w:rsids>
    <w:rsidRoot w:val="00EF54CF"/>
    <w:rsid w:val="00027C1E"/>
    <w:rsid w:val="00032595"/>
    <w:rsid w:val="0003653D"/>
    <w:rsid w:val="00083CF0"/>
    <w:rsid w:val="000B7A7D"/>
    <w:rsid w:val="000F3D48"/>
    <w:rsid w:val="00113FD4"/>
    <w:rsid w:val="00135EF6"/>
    <w:rsid w:val="0013622A"/>
    <w:rsid w:val="00152894"/>
    <w:rsid w:val="0022359C"/>
    <w:rsid w:val="002318D3"/>
    <w:rsid w:val="002355F7"/>
    <w:rsid w:val="002516EA"/>
    <w:rsid w:val="00275FD2"/>
    <w:rsid w:val="002B4F44"/>
    <w:rsid w:val="002F66E8"/>
    <w:rsid w:val="002F7A26"/>
    <w:rsid w:val="003114F4"/>
    <w:rsid w:val="00350C02"/>
    <w:rsid w:val="00381498"/>
    <w:rsid w:val="00396ACD"/>
    <w:rsid w:val="003E4F5B"/>
    <w:rsid w:val="004057D5"/>
    <w:rsid w:val="00426B41"/>
    <w:rsid w:val="00430BB2"/>
    <w:rsid w:val="00437AA5"/>
    <w:rsid w:val="004654BE"/>
    <w:rsid w:val="00492396"/>
    <w:rsid w:val="004E19F9"/>
    <w:rsid w:val="004F5D74"/>
    <w:rsid w:val="0050794B"/>
    <w:rsid w:val="00512F7A"/>
    <w:rsid w:val="00517205"/>
    <w:rsid w:val="0053413A"/>
    <w:rsid w:val="00542487"/>
    <w:rsid w:val="005556C2"/>
    <w:rsid w:val="00582810"/>
    <w:rsid w:val="00595540"/>
    <w:rsid w:val="005B5FA6"/>
    <w:rsid w:val="005C718D"/>
    <w:rsid w:val="005D2E23"/>
    <w:rsid w:val="005D7948"/>
    <w:rsid w:val="005F1468"/>
    <w:rsid w:val="005F397C"/>
    <w:rsid w:val="00623381"/>
    <w:rsid w:val="00635B53"/>
    <w:rsid w:val="006654AB"/>
    <w:rsid w:val="006743C4"/>
    <w:rsid w:val="006A503A"/>
    <w:rsid w:val="006C4CD3"/>
    <w:rsid w:val="006F7EFE"/>
    <w:rsid w:val="0072372B"/>
    <w:rsid w:val="00734C0B"/>
    <w:rsid w:val="00747447"/>
    <w:rsid w:val="00760D11"/>
    <w:rsid w:val="00777206"/>
    <w:rsid w:val="007A1A54"/>
    <w:rsid w:val="007D0861"/>
    <w:rsid w:val="007E010B"/>
    <w:rsid w:val="007E2C55"/>
    <w:rsid w:val="007F69A8"/>
    <w:rsid w:val="00802CFC"/>
    <w:rsid w:val="00802FC2"/>
    <w:rsid w:val="008116BA"/>
    <w:rsid w:val="0081550F"/>
    <w:rsid w:val="00822272"/>
    <w:rsid w:val="00871315"/>
    <w:rsid w:val="0088655F"/>
    <w:rsid w:val="008C528B"/>
    <w:rsid w:val="008E20FC"/>
    <w:rsid w:val="008E2694"/>
    <w:rsid w:val="008F729D"/>
    <w:rsid w:val="00940731"/>
    <w:rsid w:val="009957C5"/>
    <w:rsid w:val="009A4E3A"/>
    <w:rsid w:val="009A50C1"/>
    <w:rsid w:val="009B5957"/>
    <w:rsid w:val="009D661D"/>
    <w:rsid w:val="009D7B63"/>
    <w:rsid w:val="009F599E"/>
    <w:rsid w:val="00A06863"/>
    <w:rsid w:val="00A330F6"/>
    <w:rsid w:val="00A42F3B"/>
    <w:rsid w:val="00A565C7"/>
    <w:rsid w:val="00AA77F8"/>
    <w:rsid w:val="00AC59BD"/>
    <w:rsid w:val="00B00C91"/>
    <w:rsid w:val="00B32E0C"/>
    <w:rsid w:val="00B50DED"/>
    <w:rsid w:val="00B56E3A"/>
    <w:rsid w:val="00B601A8"/>
    <w:rsid w:val="00B71DA8"/>
    <w:rsid w:val="00B91134"/>
    <w:rsid w:val="00BC09E6"/>
    <w:rsid w:val="00BE3AA1"/>
    <w:rsid w:val="00C05D12"/>
    <w:rsid w:val="00C3731F"/>
    <w:rsid w:val="00C42717"/>
    <w:rsid w:val="00C71008"/>
    <w:rsid w:val="00CE579B"/>
    <w:rsid w:val="00CF6F42"/>
    <w:rsid w:val="00CF7198"/>
    <w:rsid w:val="00D00B26"/>
    <w:rsid w:val="00D65628"/>
    <w:rsid w:val="00DA0D9A"/>
    <w:rsid w:val="00DB4B20"/>
    <w:rsid w:val="00DC5DE8"/>
    <w:rsid w:val="00DD0B92"/>
    <w:rsid w:val="00DD3C0E"/>
    <w:rsid w:val="00E07235"/>
    <w:rsid w:val="00E201C7"/>
    <w:rsid w:val="00E33C9F"/>
    <w:rsid w:val="00E34F5C"/>
    <w:rsid w:val="00E34FC5"/>
    <w:rsid w:val="00E41BC0"/>
    <w:rsid w:val="00E979AB"/>
    <w:rsid w:val="00EA1B23"/>
    <w:rsid w:val="00EC39BC"/>
    <w:rsid w:val="00EE140B"/>
    <w:rsid w:val="00EF54CF"/>
    <w:rsid w:val="00F27957"/>
    <w:rsid w:val="00F36069"/>
    <w:rsid w:val="00F559B7"/>
    <w:rsid w:val="00F5787F"/>
    <w:rsid w:val="00F61831"/>
    <w:rsid w:val="00FC2396"/>
    <w:rsid w:val="00FD6D80"/>
    <w:rsid w:val="00FF051C"/>
    <w:rsid w:val="00FF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0BFAD1"/>
  <w15:docId w15:val="{DC6C98A0-B2EE-40A5-9593-C64D6125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FD6D80"/>
    <w:pPr>
      <w:numPr>
        <w:numId w:val="1"/>
      </w:numPr>
      <w:contextualSpacing/>
    </w:pPr>
  </w:style>
  <w:style w:type="paragraph" w:styleId="ListBullet2">
    <w:name w:val="List Bullet 2"/>
    <w:basedOn w:val="Normal"/>
    <w:uiPriority w:val="99"/>
    <w:semiHidden/>
    <w:unhideWhenUsed/>
    <w:rsid w:val="00FD6D80"/>
    <w:pPr>
      <w:numPr>
        <w:numId w:val="2"/>
      </w:numPr>
      <w:contextualSpacing/>
    </w:pPr>
  </w:style>
  <w:style w:type="paragraph" w:styleId="ListBullet3">
    <w:name w:val="List Bullet 3"/>
    <w:basedOn w:val="Normal"/>
    <w:uiPriority w:val="99"/>
    <w:semiHidden/>
    <w:unhideWhenUsed/>
    <w:rsid w:val="00FD6D80"/>
    <w:pPr>
      <w:numPr>
        <w:numId w:val="3"/>
      </w:numPr>
      <w:contextualSpacing/>
    </w:pPr>
  </w:style>
  <w:style w:type="paragraph" w:styleId="ListBullet4">
    <w:name w:val="List Bullet 4"/>
    <w:basedOn w:val="Normal"/>
    <w:uiPriority w:val="99"/>
    <w:semiHidden/>
    <w:unhideWhenUsed/>
    <w:rsid w:val="00FD6D80"/>
    <w:pPr>
      <w:numPr>
        <w:numId w:val="4"/>
      </w:numPr>
      <w:contextualSpacing/>
    </w:pPr>
  </w:style>
  <w:style w:type="character" w:styleId="CommentReference">
    <w:name w:val="annotation reference"/>
    <w:basedOn w:val="DefaultParagraphFont"/>
    <w:uiPriority w:val="99"/>
    <w:semiHidden/>
    <w:unhideWhenUsed/>
    <w:rsid w:val="00802CFC"/>
    <w:rPr>
      <w:sz w:val="16"/>
      <w:szCs w:val="16"/>
    </w:rPr>
  </w:style>
  <w:style w:type="paragraph" w:styleId="CommentText">
    <w:name w:val="annotation text"/>
    <w:basedOn w:val="Normal"/>
    <w:link w:val="CommentTextChar"/>
    <w:unhideWhenUsed/>
    <w:rsid w:val="00802CFC"/>
    <w:rPr>
      <w:sz w:val="20"/>
      <w:szCs w:val="20"/>
    </w:rPr>
  </w:style>
  <w:style w:type="character" w:customStyle="1" w:styleId="CommentTextChar">
    <w:name w:val="Comment Text Char"/>
    <w:basedOn w:val="DefaultParagraphFont"/>
    <w:link w:val="CommentText"/>
    <w:rsid w:val="00802CFC"/>
    <w:rPr>
      <w:rFonts w:ascii="Times New Roman" w:hAnsi="Times New Roman" w:cs="Times New Roman"/>
      <w:sz w:val="20"/>
      <w:szCs w:val="20"/>
      <w:lang w:val="en-GB"/>
    </w:rPr>
  </w:style>
  <w:style w:type="paragraph" w:styleId="BalloonText">
    <w:name w:val="Balloon Text"/>
    <w:basedOn w:val="Normal"/>
    <w:link w:val="BalloonTextChar"/>
    <w:uiPriority w:val="99"/>
    <w:semiHidden/>
    <w:unhideWhenUsed/>
    <w:rsid w:val="00802CF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FC"/>
    <w:rPr>
      <w:rFonts w:ascii="Segoe UI" w:hAnsi="Segoe UI" w:cs="Segoe UI"/>
      <w:sz w:val="18"/>
      <w:szCs w:val="18"/>
      <w:lang w:val="en-GB"/>
    </w:rPr>
  </w:style>
  <w:style w:type="paragraph" w:styleId="Caption">
    <w:name w:val="caption"/>
    <w:basedOn w:val="Normal"/>
    <w:next w:val="Normal"/>
    <w:uiPriority w:val="35"/>
    <w:semiHidden/>
    <w:unhideWhenUsed/>
    <w:qFormat/>
    <w:rsid w:val="00BE3AA1"/>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E3AA1"/>
    <w:pPr>
      <w:spacing w:after="0"/>
    </w:pPr>
  </w:style>
  <w:style w:type="paragraph" w:styleId="ListNumber">
    <w:name w:val="List Number"/>
    <w:basedOn w:val="Normal"/>
    <w:uiPriority w:val="99"/>
    <w:semiHidden/>
    <w:unhideWhenUsed/>
    <w:rsid w:val="00BE3AA1"/>
    <w:pPr>
      <w:numPr>
        <w:numId w:val="7"/>
      </w:numPr>
      <w:contextualSpacing/>
    </w:pPr>
  </w:style>
  <w:style w:type="paragraph" w:styleId="ListNumber2">
    <w:name w:val="List Number 2"/>
    <w:basedOn w:val="Normal"/>
    <w:uiPriority w:val="99"/>
    <w:semiHidden/>
    <w:unhideWhenUsed/>
    <w:rsid w:val="00BE3AA1"/>
    <w:pPr>
      <w:numPr>
        <w:numId w:val="8"/>
      </w:numPr>
      <w:contextualSpacing/>
    </w:pPr>
  </w:style>
  <w:style w:type="paragraph" w:styleId="ListNumber3">
    <w:name w:val="List Number 3"/>
    <w:basedOn w:val="Normal"/>
    <w:uiPriority w:val="99"/>
    <w:semiHidden/>
    <w:unhideWhenUsed/>
    <w:rsid w:val="00BE3AA1"/>
    <w:pPr>
      <w:numPr>
        <w:numId w:val="9"/>
      </w:numPr>
      <w:contextualSpacing/>
    </w:pPr>
  </w:style>
  <w:style w:type="paragraph" w:styleId="ListNumber4">
    <w:name w:val="List Number 4"/>
    <w:basedOn w:val="Normal"/>
    <w:uiPriority w:val="99"/>
    <w:semiHidden/>
    <w:unhideWhenUsed/>
    <w:rsid w:val="00BE3AA1"/>
    <w:pPr>
      <w:numPr>
        <w:numId w:val="10"/>
      </w:numPr>
      <w:contextualSpacing/>
    </w:pPr>
  </w:style>
  <w:style w:type="paragraph" w:styleId="CommentSubject">
    <w:name w:val="annotation subject"/>
    <w:basedOn w:val="CommentText"/>
    <w:next w:val="CommentText"/>
    <w:link w:val="CommentSubjectChar"/>
    <w:uiPriority w:val="99"/>
    <w:semiHidden/>
    <w:unhideWhenUsed/>
    <w:rsid w:val="00A42F3B"/>
    <w:rPr>
      <w:b/>
      <w:bCs/>
    </w:rPr>
  </w:style>
  <w:style w:type="character" w:customStyle="1" w:styleId="CommentSubjectChar">
    <w:name w:val="Comment Subject Char"/>
    <w:basedOn w:val="CommentTextChar"/>
    <w:link w:val="CommentSubject"/>
    <w:uiPriority w:val="99"/>
    <w:semiHidden/>
    <w:rsid w:val="00A42F3B"/>
    <w:rPr>
      <w:rFonts w:ascii="Times New Roman" w:hAnsi="Times New Roman" w:cs="Times New Roman"/>
      <w:b/>
      <w:bCs/>
      <w:sz w:val="20"/>
      <w:szCs w:val="20"/>
      <w:lang w:val="en-GB"/>
    </w:rPr>
  </w:style>
  <w:style w:type="character" w:styleId="Hyperlink">
    <w:name w:val="Hyperlink"/>
    <w:basedOn w:val="DefaultParagraphFont"/>
    <w:uiPriority w:val="99"/>
    <w:unhideWhenUsed/>
    <w:rsid w:val="00A42F3B"/>
    <w:rPr>
      <w:color w:val="0000FF" w:themeColor="hyperlink"/>
      <w:u w:val="single"/>
    </w:rPr>
  </w:style>
  <w:style w:type="paragraph" w:styleId="ListParagraph">
    <w:name w:val="List Paragraph"/>
    <w:basedOn w:val="Normal"/>
    <w:uiPriority w:val="34"/>
    <w:qFormat/>
    <w:rsid w:val="002F66E8"/>
    <w:pPr>
      <w:spacing w:before="0" w:after="200" w:line="276" w:lineRule="auto"/>
      <w:ind w:left="720"/>
      <w:contextualSpacing/>
      <w:jc w:val="left"/>
    </w:pPr>
    <w:rPr>
      <w:rFonts w:asciiTheme="minorHAnsi" w:hAnsiTheme="minorHAnsi" w:cstheme="minorBidi"/>
      <w:sz w:val="22"/>
    </w:rPr>
  </w:style>
  <w:style w:type="paragraph" w:styleId="Revision">
    <w:name w:val="Revision"/>
    <w:hidden/>
    <w:uiPriority w:val="99"/>
    <w:semiHidden/>
    <w:rsid w:val="00A06863"/>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2B4F44"/>
    <w:pPr>
      <w:tabs>
        <w:tab w:val="center" w:pos="4535"/>
        <w:tab w:val="right" w:pos="9071"/>
      </w:tabs>
      <w:spacing w:before="0"/>
    </w:pPr>
  </w:style>
  <w:style w:type="character" w:customStyle="1" w:styleId="HeaderChar">
    <w:name w:val="Header Char"/>
    <w:basedOn w:val="DefaultParagraphFont"/>
    <w:link w:val="Header"/>
    <w:uiPriority w:val="99"/>
    <w:rsid w:val="002B4F44"/>
    <w:rPr>
      <w:rFonts w:ascii="Times New Roman" w:hAnsi="Times New Roman" w:cs="Times New Roman"/>
      <w:sz w:val="24"/>
      <w:lang w:val="en-GB"/>
    </w:rPr>
  </w:style>
  <w:style w:type="paragraph" w:styleId="Footer">
    <w:name w:val="footer"/>
    <w:basedOn w:val="Normal"/>
    <w:link w:val="FooterChar"/>
    <w:uiPriority w:val="99"/>
    <w:unhideWhenUsed/>
    <w:rsid w:val="002B4F4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B4F44"/>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2B4F44"/>
    <w:pPr>
      <w:tabs>
        <w:tab w:val="center" w:pos="7285"/>
        <w:tab w:val="right" w:pos="14003"/>
      </w:tabs>
      <w:spacing w:before="0"/>
    </w:pPr>
  </w:style>
  <w:style w:type="paragraph" w:customStyle="1" w:styleId="FooterLandscape">
    <w:name w:val="FooterLandscape"/>
    <w:basedOn w:val="Normal"/>
    <w:rsid w:val="002B4F4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2B4F4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B4F44"/>
    <w:pPr>
      <w:spacing w:before="0"/>
      <w:jc w:val="right"/>
    </w:pPr>
    <w:rPr>
      <w:sz w:val="28"/>
    </w:rPr>
  </w:style>
  <w:style w:type="paragraph" w:customStyle="1" w:styleId="FooterSensitivity">
    <w:name w:val="Footer Sensitivity"/>
    <w:basedOn w:val="Normal"/>
    <w:rsid w:val="002B4F4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7"/>
      </w:numPr>
    </w:pPr>
  </w:style>
  <w:style w:type="paragraph" w:customStyle="1" w:styleId="Tiret1">
    <w:name w:val="Tiret 1"/>
    <w:basedOn w:val="Point1"/>
    <w:rsid w:val="00517205"/>
    <w:pPr>
      <w:numPr>
        <w:numId w:val="28"/>
      </w:numPr>
    </w:pPr>
  </w:style>
  <w:style w:type="paragraph" w:customStyle="1" w:styleId="Tiret2">
    <w:name w:val="Tiret 2"/>
    <w:basedOn w:val="Point2"/>
    <w:rsid w:val="00517205"/>
    <w:pPr>
      <w:numPr>
        <w:numId w:val="29"/>
      </w:numPr>
    </w:pPr>
  </w:style>
  <w:style w:type="paragraph" w:customStyle="1" w:styleId="Tiret3">
    <w:name w:val="Tiret 3"/>
    <w:basedOn w:val="Point3"/>
    <w:rsid w:val="00517205"/>
    <w:pPr>
      <w:numPr>
        <w:numId w:val="30"/>
      </w:numPr>
    </w:pPr>
  </w:style>
  <w:style w:type="paragraph" w:customStyle="1" w:styleId="Tiret4">
    <w:name w:val="Tiret 4"/>
    <w:basedOn w:val="Point4"/>
    <w:rsid w:val="00517205"/>
    <w:pPr>
      <w:numPr>
        <w:numId w:val="31"/>
      </w:numPr>
    </w:pPr>
  </w:style>
  <w:style w:type="paragraph" w:customStyle="1" w:styleId="Tiret5">
    <w:name w:val="Tiret 5"/>
    <w:basedOn w:val="Point5"/>
    <w:rsid w:val="00517205"/>
    <w:pPr>
      <w:numPr>
        <w:numId w:val="32"/>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3"/>
      </w:numPr>
    </w:pPr>
  </w:style>
  <w:style w:type="paragraph" w:customStyle="1" w:styleId="NumPar2">
    <w:name w:val="NumPar 2"/>
    <w:basedOn w:val="Normal"/>
    <w:next w:val="Text1"/>
    <w:rsid w:val="00517205"/>
    <w:pPr>
      <w:numPr>
        <w:ilvl w:val="1"/>
        <w:numId w:val="33"/>
      </w:numPr>
    </w:pPr>
  </w:style>
  <w:style w:type="paragraph" w:customStyle="1" w:styleId="NumPar3">
    <w:name w:val="NumPar 3"/>
    <w:basedOn w:val="Normal"/>
    <w:next w:val="Text1"/>
    <w:rsid w:val="00517205"/>
    <w:pPr>
      <w:numPr>
        <w:ilvl w:val="2"/>
        <w:numId w:val="33"/>
      </w:numPr>
    </w:pPr>
  </w:style>
  <w:style w:type="paragraph" w:customStyle="1" w:styleId="NumPar4">
    <w:name w:val="NumPar 4"/>
    <w:basedOn w:val="Normal"/>
    <w:next w:val="Text1"/>
    <w:rsid w:val="00517205"/>
    <w:pPr>
      <w:numPr>
        <w:ilvl w:val="3"/>
        <w:numId w:val="33"/>
      </w:numPr>
    </w:pPr>
  </w:style>
  <w:style w:type="paragraph" w:customStyle="1" w:styleId="NumPar5">
    <w:name w:val="NumPar 5"/>
    <w:basedOn w:val="Normal"/>
    <w:next w:val="Text2"/>
    <w:rsid w:val="00517205"/>
    <w:pPr>
      <w:numPr>
        <w:ilvl w:val="4"/>
        <w:numId w:val="33"/>
      </w:numPr>
    </w:pPr>
  </w:style>
  <w:style w:type="paragraph" w:customStyle="1" w:styleId="NumPar6">
    <w:name w:val="NumPar 6"/>
    <w:basedOn w:val="Normal"/>
    <w:next w:val="Text2"/>
    <w:rsid w:val="00517205"/>
    <w:pPr>
      <w:numPr>
        <w:ilvl w:val="5"/>
        <w:numId w:val="33"/>
      </w:numPr>
    </w:pPr>
  </w:style>
  <w:style w:type="paragraph" w:customStyle="1" w:styleId="NumPar7">
    <w:name w:val="NumPar 7"/>
    <w:basedOn w:val="Normal"/>
    <w:next w:val="Text2"/>
    <w:rsid w:val="00517205"/>
    <w:pPr>
      <w:numPr>
        <w:ilvl w:val="6"/>
        <w:numId w:val="33"/>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72372B"/>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5"/>
      </w:numPr>
    </w:pPr>
  </w:style>
  <w:style w:type="paragraph" w:customStyle="1" w:styleId="Point1number">
    <w:name w:val="Point 1 (number)"/>
    <w:basedOn w:val="Normal"/>
    <w:rsid w:val="00517205"/>
    <w:pPr>
      <w:numPr>
        <w:ilvl w:val="2"/>
        <w:numId w:val="35"/>
      </w:numPr>
    </w:pPr>
  </w:style>
  <w:style w:type="paragraph" w:customStyle="1" w:styleId="Point2number">
    <w:name w:val="Point 2 (number)"/>
    <w:basedOn w:val="Normal"/>
    <w:rsid w:val="00517205"/>
    <w:pPr>
      <w:numPr>
        <w:ilvl w:val="4"/>
        <w:numId w:val="35"/>
      </w:numPr>
    </w:pPr>
  </w:style>
  <w:style w:type="paragraph" w:customStyle="1" w:styleId="Point3number">
    <w:name w:val="Point 3 (number)"/>
    <w:basedOn w:val="Normal"/>
    <w:rsid w:val="00517205"/>
    <w:pPr>
      <w:numPr>
        <w:ilvl w:val="6"/>
        <w:numId w:val="35"/>
      </w:numPr>
    </w:pPr>
  </w:style>
  <w:style w:type="paragraph" w:customStyle="1" w:styleId="Point0letter">
    <w:name w:val="Point 0 (letter)"/>
    <w:basedOn w:val="Normal"/>
    <w:rsid w:val="00517205"/>
    <w:pPr>
      <w:numPr>
        <w:ilvl w:val="1"/>
        <w:numId w:val="35"/>
      </w:numPr>
    </w:pPr>
  </w:style>
  <w:style w:type="paragraph" w:customStyle="1" w:styleId="Point1letter">
    <w:name w:val="Point 1 (letter)"/>
    <w:basedOn w:val="Normal"/>
    <w:rsid w:val="00517205"/>
    <w:pPr>
      <w:numPr>
        <w:ilvl w:val="3"/>
        <w:numId w:val="35"/>
      </w:numPr>
    </w:pPr>
  </w:style>
  <w:style w:type="paragraph" w:customStyle="1" w:styleId="Point2letter">
    <w:name w:val="Point 2 (letter)"/>
    <w:basedOn w:val="Normal"/>
    <w:rsid w:val="00517205"/>
    <w:pPr>
      <w:numPr>
        <w:ilvl w:val="5"/>
        <w:numId w:val="35"/>
      </w:numPr>
    </w:pPr>
  </w:style>
  <w:style w:type="paragraph" w:customStyle="1" w:styleId="Point3letter">
    <w:name w:val="Point 3 (letter)"/>
    <w:basedOn w:val="Normal"/>
    <w:rsid w:val="00517205"/>
    <w:pPr>
      <w:numPr>
        <w:ilvl w:val="7"/>
        <w:numId w:val="35"/>
      </w:numPr>
    </w:pPr>
  </w:style>
  <w:style w:type="paragraph" w:customStyle="1" w:styleId="Point4letter">
    <w:name w:val="Point 4 (letter)"/>
    <w:basedOn w:val="Normal"/>
    <w:rsid w:val="00517205"/>
    <w:pPr>
      <w:numPr>
        <w:ilvl w:val="8"/>
        <w:numId w:val="35"/>
      </w:numPr>
    </w:pPr>
  </w:style>
  <w:style w:type="paragraph" w:customStyle="1" w:styleId="Bullet0">
    <w:name w:val="Bullet 0"/>
    <w:basedOn w:val="Normal"/>
    <w:rsid w:val="00517205"/>
    <w:pPr>
      <w:numPr>
        <w:numId w:val="36"/>
      </w:numPr>
    </w:pPr>
  </w:style>
  <w:style w:type="paragraph" w:customStyle="1" w:styleId="Bullet1">
    <w:name w:val="Bullet 1"/>
    <w:basedOn w:val="Normal"/>
    <w:rsid w:val="00517205"/>
    <w:pPr>
      <w:numPr>
        <w:numId w:val="37"/>
      </w:numPr>
    </w:pPr>
  </w:style>
  <w:style w:type="paragraph" w:customStyle="1" w:styleId="Bullet2">
    <w:name w:val="Bullet 2"/>
    <w:basedOn w:val="Normal"/>
    <w:rsid w:val="00517205"/>
    <w:pPr>
      <w:numPr>
        <w:numId w:val="38"/>
      </w:numPr>
    </w:pPr>
  </w:style>
  <w:style w:type="paragraph" w:customStyle="1" w:styleId="Bullet3">
    <w:name w:val="Bullet 3"/>
    <w:basedOn w:val="Normal"/>
    <w:rsid w:val="00517205"/>
    <w:pPr>
      <w:numPr>
        <w:numId w:val="39"/>
      </w:numPr>
    </w:pPr>
  </w:style>
  <w:style w:type="paragraph" w:customStyle="1" w:styleId="Bullet4">
    <w:name w:val="Bullet 4"/>
    <w:basedOn w:val="Normal"/>
    <w:rsid w:val="00517205"/>
    <w:pPr>
      <w:numPr>
        <w:numId w:val="40"/>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1"/>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76F54-C4C4-41A0-9C0D-DA8D2C97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6</Pages>
  <Words>1273</Words>
  <Characters>6675</Characters>
  <Application>Microsoft Office Word</Application>
  <DocSecurity>0</DocSecurity>
  <Lines>130</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39</cp:revision>
  <dcterms:created xsi:type="dcterms:W3CDTF">2022-08-08T14:21:00Z</dcterms:created>
  <dcterms:modified xsi:type="dcterms:W3CDTF">2022-08-23T11:28:00Z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8.0.1, Build 20220429</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2022-07-14T13:56:06Z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8e39d586-6381-413e-a046-abe9caf95aae</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