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8E01F" w14:textId="41E754EF" w:rsidR="00AA30CE" w:rsidRPr="007E441B" w:rsidRDefault="0057613D" w:rsidP="0057613D">
      <w:pPr>
        <w:pStyle w:val="Pagedecouverture"/>
        <w:rPr>
          <w:noProof/>
        </w:rPr>
      </w:pPr>
      <w:bookmarkStart w:id="0" w:name="LW_BM_COVERPAGE"/>
      <w:r>
        <w:rPr>
          <w:noProof/>
        </w:rPr>
        <w:pict w14:anchorId="5B301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9CCE321B-B0B6-46E5-BF8F-2577272CB1DC" style="width:455.25pt;height:324pt">
            <v:imagedata r:id="rId12" o:title=""/>
          </v:shape>
        </w:pict>
      </w:r>
    </w:p>
    <w:bookmarkEnd w:id="0"/>
    <w:p w14:paraId="342AD4D6" w14:textId="77777777" w:rsidR="00AA30CE" w:rsidRPr="007E441B" w:rsidRDefault="00AA30CE" w:rsidP="00AA30CE">
      <w:pPr>
        <w:spacing w:line="240" w:lineRule="auto"/>
        <w:rPr>
          <w:noProof/>
        </w:rPr>
        <w:sectPr w:rsidR="00AA30CE" w:rsidRPr="007E441B" w:rsidSect="0057613D">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14:paraId="6A33EBD5" w14:textId="77777777" w:rsidR="003F7D0E" w:rsidRPr="007E441B" w:rsidRDefault="003F7D0E" w:rsidP="00AA30CE">
      <w:pPr>
        <w:pStyle w:val="Heading1"/>
        <w:spacing w:line="240" w:lineRule="auto"/>
        <w:rPr>
          <w:noProof/>
        </w:rPr>
      </w:pPr>
      <w:bookmarkStart w:id="1" w:name="_GoBack"/>
      <w:bookmarkEnd w:id="1"/>
      <w:r w:rsidRPr="007E441B">
        <w:rPr>
          <w:noProof/>
        </w:rPr>
        <w:lastRenderedPageBreak/>
        <w:t xml:space="preserve">ÚVOD </w:t>
      </w:r>
    </w:p>
    <w:p w14:paraId="64EB3F44" w14:textId="77777777" w:rsidR="006E7B47" w:rsidRPr="007E441B" w:rsidRDefault="006E7B47" w:rsidP="00AA30CE">
      <w:pPr>
        <w:spacing w:before="120" w:line="240" w:lineRule="auto"/>
        <w:jc w:val="both"/>
        <w:rPr>
          <w:rFonts w:ascii="Times New Roman" w:hAnsi="Times New Roman" w:cs="Times New Roman"/>
          <w:noProof/>
          <w:sz w:val="24"/>
          <w:szCs w:val="24"/>
        </w:rPr>
      </w:pPr>
    </w:p>
    <w:p w14:paraId="2FE6FB55" w14:textId="28DFFAFF" w:rsidR="009A6B2F" w:rsidRPr="007E441B" w:rsidRDefault="009A6B2F" w:rsidP="00CF76DC">
      <w:pPr>
        <w:spacing w:before="120" w:line="240" w:lineRule="auto"/>
        <w:jc w:val="both"/>
        <w:rPr>
          <w:rFonts w:ascii="Times New Roman" w:hAnsi="Times New Roman" w:cs="Times New Roman"/>
          <w:noProof/>
          <w:sz w:val="24"/>
          <w:szCs w:val="24"/>
        </w:rPr>
      </w:pPr>
      <w:r w:rsidRPr="007E441B">
        <w:rPr>
          <w:rFonts w:ascii="Times New Roman" w:hAnsi="Times New Roman"/>
          <w:noProof/>
          <w:sz w:val="24"/>
        </w:rPr>
        <w:t>Táto správa je druhou výročnou správou Európskej komisie</w:t>
      </w:r>
      <w:r w:rsidR="007E441B" w:rsidRPr="007E441B">
        <w:rPr>
          <w:rFonts w:ascii="Times New Roman" w:hAnsi="Times New Roman"/>
          <w:noProof/>
          <w:sz w:val="24"/>
        </w:rPr>
        <w:t xml:space="preserve"> o </w:t>
      </w:r>
      <w:r w:rsidRPr="007E441B">
        <w:rPr>
          <w:rFonts w:ascii="Times New Roman" w:hAnsi="Times New Roman"/>
          <w:noProof/>
          <w:sz w:val="24"/>
        </w:rPr>
        <w:t>uplatňovaní nariadenia EÚ</w:t>
      </w:r>
      <w:r w:rsidR="007E441B" w:rsidRPr="007E441B">
        <w:rPr>
          <w:rFonts w:ascii="Times New Roman" w:hAnsi="Times New Roman"/>
          <w:noProof/>
          <w:sz w:val="24"/>
        </w:rPr>
        <w:t xml:space="preserve"> o </w:t>
      </w:r>
      <w:r w:rsidRPr="007E441B">
        <w:rPr>
          <w:rFonts w:ascii="Times New Roman" w:hAnsi="Times New Roman"/>
          <w:noProof/>
          <w:sz w:val="24"/>
        </w:rPr>
        <w:t>preverovaní priamych zahraničných investícií (ďalej len „nariadenie</w:t>
      </w:r>
      <w:r w:rsidR="007E441B" w:rsidRPr="007E441B">
        <w:rPr>
          <w:rFonts w:ascii="Times New Roman" w:hAnsi="Times New Roman"/>
          <w:noProof/>
          <w:sz w:val="24"/>
        </w:rPr>
        <w:t xml:space="preserve"> o </w:t>
      </w:r>
      <w:r w:rsidRPr="007E441B">
        <w:rPr>
          <w:rFonts w:ascii="Times New Roman" w:hAnsi="Times New Roman"/>
          <w:noProof/>
          <w:sz w:val="24"/>
        </w:rPr>
        <w:t xml:space="preserve">preverovaní PZI“ alebo „nariadenie“). </w:t>
      </w:r>
    </w:p>
    <w:p w14:paraId="4B44A75F" w14:textId="0FED099B" w:rsidR="000433C5" w:rsidRPr="007E441B" w:rsidRDefault="007F5131" w:rsidP="00CF76DC">
      <w:pPr>
        <w:spacing w:before="120" w:line="240" w:lineRule="auto"/>
        <w:jc w:val="both"/>
        <w:rPr>
          <w:rFonts w:ascii="Times New Roman" w:hAnsi="Times New Roman" w:cs="Times New Roman"/>
          <w:noProof/>
          <w:sz w:val="24"/>
          <w:szCs w:val="24"/>
        </w:rPr>
      </w:pPr>
      <w:r w:rsidRPr="007E441B">
        <w:rPr>
          <w:rFonts w:ascii="Times New Roman" w:hAnsi="Times New Roman"/>
          <w:noProof/>
          <w:sz w:val="24"/>
        </w:rPr>
        <w:t>Správa sa týka roku 2021</w:t>
      </w:r>
      <w:r w:rsidRPr="007E441B">
        <w:rPr>
          <w:rStyle w:val="FootnoteReference"/>
          <w:rFonts w:ascii="Times New Roman" w:hAnsi="Times New Roman" w:cs="Times New Roman"/>
          <w:noProof/>
          <w:sz w:val="24"/>
          <w:szCs w:val="24"/>
        </w:rPr>
        <w:footnoteReference w:id="2"/>
      </w:r>
      <w:r w:rsidR="007E441B" w:rsidRPr="007E441B">
        <w:rPr>
          <w:rFonts w:ascii="Times New Roman" w:hAnsi="Times New Roman"/>
          <w:noProof/>
          <w:sz w:val="24"/>
        </w:rPr>
        <w:t xml:space="preserve"> a </w:t>
      </w:r>
      <w:r w:rsidRPr="007E441B">
        <w:rPr>
          <w:rFonts w:ascii="Times New Roman" w:hAnsi="Times New Roman"/>
          <w:noProof/>
          <w:sz w:val="24"/>
        </w:rPr>
        <w:t>transparentne sa</w:t>
      </w:r>
      <w:r w:rsidR="007E441B" w:rsidRPr="007E441B">
        <w:rPr>
          <w:rFonts w:ascii="Times New Roman" w:hAnsi="Times New Roman"/>
          <w:noProof/>
          <w:sz w:val="24"/>
        </w:rPr>
        <w:t xml:space="preserve"> v </w:t>
      </w:r>
      <w:r w:rsidRPr="007E441B">
        <w:rPr>
          <w:rFonts w:ascii="Times New Roman" w:hAnsi="Times New Roman"/>
          <w:noProof/>
          <w:sz w:val="24"/>
        </w:rPr>
        <w:t>nej ozrejmuje fungovanie preverovania PZI</w:t>
      </w:r>
      <w:r w:rsidR="007E441B" w:rsidRPr="007E441B">
        <w:rPr>
          <w:rFonts w:ascii="Times New Roman" w:hAnsi="Times New Roman"/>
          <w:noProof/>
          <w:sz w:val="24"/>
        </w:rPr>
        <w:t xml:space="preserve"> v </w:t>
      </w:r>
      <w:r w:rsidRPr="007E441B">
        <w:rPr>
          <w:rFonts w:ascii="Times New Roman" w:hAnsi="Times New Roman"/>
          <w:noProof/>
          <w:sz w:val="24"/>
        </w:rPr>
        <w:t>EÚ</w:t>
      </w:r>
      <w:r w:rsidR="007E441B" w:rsidRPr="007E441B">
        <w:rPr>
          <w:rFonts w:ascii="Times New Roman" w:hAnsi="Times New Roman"/>
          <w:noProof/>
          <w:sz w:val="24"/>
        </w:rPr>
        <w:t xml:space="preserve"> a </w:t>
      </w:r>
      <w:r w:rsidRPr="007E441B">
        <w:rPr>
          <w:rFonts w:ascii="Times New Roman" w:hAnsi="Times New Roman"/>
          <w:noProof/>
          <w:sz w:val="24"/>
        </w:rPr>
        <w:t>vývoj prebiehajúci</w:t>
      </w:r>
      <w:r w:rsidR="007E441B" w:rsidRPr="007E441B">
        <w:rPr>
          <w:rFonts w:ascii="Times New Roman" w:hAnsi="Times New Roman"/>
          <w:noProof/>
          <w:sz w:val="24"/>
        </w:rPr>
        <w:t xml:space="preserve"> v </w:t>
      </w:r>
      <w:r w:rsidRPr="007E441B">
        <w:rPr>
          <w:rFonts w:ascii="Times New Roman" w:hAnsi="Times New Roman"/>
          <w:noProof/>
          <w:sz w:val="24"/>
        </w:rPr>
        <w:t>oblasti vnútroštátnych mechanizmov preverovania. Prispieva</w:t>
      </w:r>
      <w:r w:rsidR="007E441B" w:rsidRPr="007E441B">
        <w:rPr>
          <w:rFonts w:ascii="Times New Roman" w:hAnsi="Times New Roman"/>
          <w:noProof/>
          <w:sz w:val="24"/>
        </w:rPr>
        <w:t xml:space="preserve"> k </w:t>
      </w:r>
      <w:r w:rsidRPr="007E441B">
        <w:rPr>
          <w:rFonts w:ascii="Times New Roman" w:hAnsi="Times New Roman"/>
          <w:noProof/>
          <w:sz w:val="24"/>
        </w:rPr>
        <w:t>zodpovednosti Únie</w:t>
      </w:r>
      <w:r w:rsidR="007E441B" w:rsidRPr="007E441B">
        <w:rPr>
          <w:rFonts w:ascii="Times New Roman" w:hAnsi="Times New Roman"/>
          <w:noProof/>
          <w:sz w:val="24"/>
        </w:rPr>
        <w:t xml:space="preserve"> v </w:t>
      </w:r>
      <w:r w:rsidRPr="007E441B">
        <w:rPr>
          <w:rFonts w:ascii="Times New Roman" w:hAnsi="Times New Roman"/>
          <w:noProof/>
          <w:sz w:val="24"/>
        </w:rPr>
        <w:t>oblasti,</w:t>
      </w:r>
      <w:r w:rsidR="007E441B" w:rsidRPr="007E441B">
        <w:rPr>
          <w:rFonts w:ascii="Times New Roman" w:hAnsi="Times New Roman"/>
          <w:noProof/>
          <w:sz w:val="24"/>
        </w:rPr>
        <w:t xml:space="preserve"> v </w:t>
      </w:r>
      <w:r w:rsidRPr="007E441B">
        <w:rPr>
          <w:rFonts w:ascii="Times New Roman" w:hAnsi="Times New Roman"/>
          <w:noProof/>
          <w:sz w:val="24"/>
        </w:rPr>
        <w:t>ktorej je transparentnosť – pokiaľ ide</w:t>
      </w:r>
      <w:r w:rsidR="007E441B" w:rsidRPr="007E441B">
        <w:rPr>
          <w:rFonts w:ascii="Times New Roman" w:hAnsi="Times New Roman"/>
          <w:noProof/>
          <w:sz w:val="24"/>
        </w:rPr>
        <w:t xml:space="preserve"> o </w:t>
      </w:r>
      <w:r w:rsidRPr="007E441B">
        <w:rPr>
          <w:rFonts w:ascii="Times New Roman" w:hAnsi="Times New Roman"/>
          <w:noProof/>
          <w:sz w:val="24"/>
        </w:rPr>
        <w:t>jednotlivé transakcie – nemožná</w:t>
      </w:r>
      <w:r w:rsidR="007E441B" w:rsidRPr="007E441B">
        <w:rPr>
          <w:rFonts w:ascii="Times New Roman" w:hAnsi="Times New Roman"/>
          <w:noProof/>
          <w:sz w:val="24"/>
        </w:rPr>
        <w:t xml:space="preserve"> a </w:t>
      </w:r>
      <w:r w:rsidRPr="007E441B">
        <w:rPr>
          <w:rFonts w:ascii="Times New Roman" w:hAnsi="Times New Roman"/>
          <w:noProof/>
          <w:sz w:val="24"/>
        </w:rPr>
        <w:t xml:space="preserve">nevhodná vzhľadom na dotknuté bezpečnostné záujmy. </w:t>
      </w:r>
    </w:p>
    <w:p w14:paraId="23D5C9E5" w14:textId="23039D35" w:rsidR="007F5131" w:rsidRPr="007E441B" w:rsidRDefault="00CF2411" w:rsidP="00CF76DC">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Správ vychádza</w:t>
      </w:r>
      <w:r w:rsidR="007E441B" w:rsidRPr="007E441B">
        <w:rPr>
          <w:rFonts w:ascii="Times New Roman" w:hAnsi="Times New Roman"/>
          <w:noProof/>
          <w:sz w:val="24"/>
        </w:rPr>
        <w:t xml:space="preserve"> z </w:t>
      </w:r>
      <w:r w:rsidRPr="007E441B">
        <w:rPr>
          <w:rFonts w:ascii="Times New Roman" w:hAnsi="Times New Roman"/>
          <w:noProof/>
          <w:sz w:val="24"/>
        </w:rPr>
        <w:t>informácií, ktoré poskytlo 27 členských štátov, ako aj</w:t>
      </w:r>
      <w:r w:rsidR="007E441B" w:rsidRPr="007E441B">
        <w:rPr>
          <w:rFonts w:ascii="Times New Roman" w:hAnsi="Times New Roman"/>
          <w:noProof/>
          <w:sz w:val="24"/>
        </w:rPr>
        <w:t xml:space="preserve"> z </w:t>
      </w:r>
      <w:r w:rsidRPr="007E441B">
        <w:rPr>
          <w:rFonts w:ascii="Times New Roman" w:hAnsi="Times New Roman"/>
          <w:noProof/>
          <w:sz w:val="24"/>
        </w:rPr>
        <w:t>iných zdrojov, pričom pozostáva zo štyroch kapitol:</w:t>
      </w:r>
    </w:p>
    <w:p w14:paraId="5BAF1C9F" w14:textId="02722E5A" w:rsidR="00E43CE4" w:rsidRPr="007E441B"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1. kapitola sa týka trendov</w:t>
      </w:r>
      <w:r w:rsidR="007E441B" w:rsidRPr="007E441B">
        <w:rPr>
          <w:rFonts w:ascii="Times New Roman" w:hAnsi="Times New Roman"/>
          <w:noProof/>
          <w:sz w:val="24"/>
        </w:rPr>
        <w:t xml:space="preserve"> a </w:t>
      </w:r>
      <w:r w:rsidRPr="007E441B">
        <w:rPr>
          <w:rFonts w:ascii="Times New Roman" w:hAnsi="Times New Roman"/>
          <w:noProof/>
          <w:sz w:val="24"/>
        </w:rPr>
        <w:t>údajov</w:t>
      </w:r>
      <w:r w:rsidR="007E441B" w:rsidRPr="007E441B">
        <w:rPr>
          <w:rFonts w:ascii="Times New Roman" w:hAnsi="Times New Roman"/>
          <w:noProof/>
          <w:sz w:val="24"/>
        </w:rPr>
        <w:t xml:space="preserve"> v </w:t>
      </w:r>
      <w:r w:rsidRPr="007E441B">
        <w:rPr>
          <w:rFonts w:ascii="Times New Roman" w:hAnsi="Times New Roman"/>
          <w:noProof/>
          <w:sz w:val="24"/>
        </w:rPr>
        <w:t xml:space="preserve">oblasti PZI do EÚ, </w:t>
      </w:r>
    </w:p>
    <w:p w14:paraId="67E9F612" w14:textId="5471249F" w:rsidR="00D87306" w:rsidRPr="007E441B"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2. kapitola sa venuje legislatívnemu vývoju</w:t>
      </w:r>
      <w:r w:rsidR="007E441B" w:rsidRPr="007E441B">
        <w:rPr>
          <w:rFonts w:ascii="Times New Roman" w:hAnsi="Times New Roman"/>
          <w:noProof/>
          <w:sz w:val="24"/>
        </w:rPr>
        <w:t xml:space="preserve"> v </w:t>
      </w:r>
      <w:r w:rsidRPr="007E441B">
        <w:rPr>
          <w:rFonts w:ascii="Times New Roman" w:hAnsi="Times New Roman"/>
          <w:noProof/>
          <w:sz w:val="24"/>
        </w:rPr>
        <w:t xml:space="preserve">členských štátoch, </w:t>
      </w:r>
    </w:p>
    <w:p w14:paraId="1592097A" w14:textId="5BE1AB93" w:rsidR="00D87306" w:rsidRPr="007E441B"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3. kapitola sa zaoberá preverovacími činnosťami členských štátov</w:t>
      </w:r>
      <w:r w:rsidR="007E441B" w:rsidRPr="007E441B">
        <w:rPr>
          <w:rFonts w:ascii="Times New Roman" w:hAnsi="Times New Roman"/>
          <w:noProof/>
          <w:sz w:val="24"/>
        </w:rPr>
        <w:t xml:space="preserve"> v </w:t>
      </w:r>
      <w:r w:rsidRPr="007E441B">
        <w:rPr>
          <w:rFonts w:ascii="Times New Roman" w:hAnsi="Times New Roman"/>
          <w:noProof/>
          <w:sz w:val="24"/>
        </w:rPr>
        <w:t>súvislosti</w:t>
      </w:r>
      <w:r w:rsidR="007E441B" w:rsidRPr="007E441B">
        <w:rPr>
          <w:rFonts w:ascii="Times New Roman" w:hAnsi="Times New Roman"/>
          <w:noProof/>
          <w:sz w:val="24"/>
        </w:rPr>
        <w:t xml:space="preserve"> s </w:t>
      </w:r>
      <w:r w:rsidRPr="007E441B">
        <w:rPr>
          <w:rFonts w:ascii="Times New Roman" w:hAnsi="Times New Roman"/>
          <w:noProof/>
          <w:sz w:val="24"/>
        </w:rPr>
        <w:t xml:space="preserve">PZI, </w:t>
      </w:r>
    </w:p>
    <w:p w14:paraId="1E82473E" w14:textId="763946A1" w:rsidR="009A6B2F" w:rsidRPr="007E441B"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4. kapitola je zameraná na spoluprácu</w:t>
      </w:r>
      <w:r w:rsidR="007E441B" w:rsidRPr="007E441B">
        <w:rPr>
          <w:rFonts w:ascii="Times New Roman" w:hAnsi="Times New Roman"/>
          <w:noProof/>
          <w:sz w:val="24"/>
        </w:rPr>
        <w:t xml:space="preserve"> v </w:t>
      </w:r>
      <w:r w:rsidRPr="007E441B">
        <w:rPr>
          <w:rFonts w:ascii="Times New Roman" w:hAnsi="Times New Roman"/>
          <w:noProof/>
          <w:sz w:val="24"/>
        </w:rPr>
        <w:t>rámci EÚ pri preverovaní PZI.</w:t>
      </w:r>
    </w:p>
    <w:p w14:paraId="06F3D8AA" w14:textId="41848509" w:rsidR="00C826C9" w:rsidRPr="007E441B" w:rsidRDefault="000433C5" w:rsidP="00CF76DC">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Táto výročná správa sa prijíma súčasne</w:t>
      </w:r>
      <w:r w:rsidR="007E441B" w:rsidRPr="007E441B">
        <w:rPr>
          <w:rFonts w:ascii="Times New Roman" w:hAnsi="Times New Roman"/>
          <w:noProof/>
          <w:sz w:val="24"/>
        </w:rPr>
        <w:t xml:space="preserve"> s </w:t>
      </w:r>
      <w:r w:rsidRPr="007E441B">
        <w:rPr>
          <w:rFonts w:ascii="Times New Roman" w:hAnsi="Times New Roman"/>
          <w:noProof/>
          <w:sz w:val="24"/>
        </w:rPr>
        <w:t>výročnou správou</w:t>
      </w:r>
      <w:r w:rsidR="007E441B" w:rsidRPr="007E441B">
        <w:rPr>
          <w:rFonts w:ascii="Times New Roman" w:hAnsi="Times New Roman"/>
          <w:noProof/>
          <w:sz w:val="24"/>
        </w:rPr>
        <w:t xml:space="preserve"> o </w:t>
      </w:r>
      <w:r w:rsidRPr="007E441B">
        <w:rPr>
          <w:rFonts w:ascii="Times New Roman" w:hAnsi="Times New Roman"/>
          <w:noProof/>
          <w:sz w:val="24"/>
        </w:rPr>
        <w:t>kontrolách vývozu položiek</w:t>
      </w:r>
      <w:r w:rsidR="007E441B" w:rsidRPr="007E441B">
        <w:rPr>
          <w:rFonts w:ascii="Times New Roman" w:hAnsi="Times New Roman"/>
          <w:noProof/>
          <w:sz w:val="24"/>
        </w:rPr>
        <w:t xml:space="preserve"> s </w:t>
      </w:r>
      <w:r w:rsidRPr="007E441B">
        <w:rPr>
          <w:rFonts w:ascii="Times New Roman" w:hAnsi="Times New Roman"/>
          <w:noProof/>
          <w:sz w:val="24"/>
        </w:rPr>
        <w:t>dvojakým použitím. Preverovanie PZI aj kontroly vývozu sú dôležitými nástrojmi pre strategické kontroly obchodu</w:t>
      </w:r>
      <w:r w:rsidR="007E441B" w:rsidRPr="007E441B">
        <w:rPr>
          <w:rFonts w:ascii="Times New Roman" w:hAnsi="Times New Roman"/>
          <w:noProof/>
          <w:sz w:val="24"/>
        </w:rPr>
        <w:t xml:space="preserve"> a </w:t>
      </w:r>
      <w:r w:rsidRPr="007E441B">
        <w:rPr>
          <w:rFonts w:ascii="Times New Roman" w:hAnsi="Times New Roman"/>
          <w:noProof/>
          <w:sz w:val="24"/>
        </w:rPr>
        <w:t>investícií</w:t>
      </w:r>
      <w:r w:rsidR="007E441B" w:rsidRPr="007E441B">
        <w:rPr>
          <w:rFonts w:ascii="Times New Roman" w:hAnsi="Times New Roman"/>
          <w:noProof/>
          <w:sz w:val="24"/>
        </w:rPr>
        <w:t xml:space="preserve"> s </w:t>
      </w:r>
      <w:r w:rsidRPr="007E441B">
        <w:rPr>
          <w:rFonts w:ascii="Times New Roman" w:hAnsi="Times New Roman"/>
          <w:noProof/>
          <w:sz w:val="24"/>
        </w:rPr>
        <w:t>cieľom zaistiť bezpečnosť</w:t>
      </w:r>
      <w:r w:rsidR="007E441B" w:rsidRPr="007E441B">
        <w:rPr>
          <w:rFonts w:ascii="Times New Roman" w:hAnsi="Times New Roman"/>
          <w:noProof/>
          <w:sz w:val="24"/>
        </w:rPr>
        <w:t xml:space="preserve"> v </w:t>
      </w:r>
      <w:r w:rsidRPr="007E441B">
        <w:rPr>
          <w:rFonts w:ascii="Times New Roman" w:hAnsi="Times New Roman"/>
          <w:noProof/>
          <w:sz w:val="24"/>
        </w:rPr>
        <w:t xml:space="preserve">Európskej únii. </w:t>
      </w:r>
    </w:p>
    <w:p w14:paraId="53CB9BA4" w14:textId="77777777" w:rsidR="00C826C9" w:rsidRPr="007E441B" w:rsidRDefault="00C826C9" w:rsidP="00095D48">
      <w:pPr>
        <w:spacing w:line="240" w:lineRule="auto"/>
        <w:rPr>
          <w:rFonts w:ascii="Times New Roman" w:hAnsi="Times New Roman" w:cs="Times New Roman"/>
          <w:noProof/>
          <w:sz w:val="24"/>
          <w:szCs w:val="24"/>
        </w:rPr>
      </w:pPr>
      <w:r w:rsidRPr="007E441B">
        <w:rPr>
          <w:noProof/>
        </w:rPr>
        <w:br w:type="page"/>
      </w:r>
    </w:p>
    <w:p w14:paraId="451ED106" w14:textId="6D4707F7" w:rsidR="00D35B78" w:rsidRPr="007E441B" w:rsidRDefault="00D35B78" w:rsidP="00CF76DC">
      <w:pPr>
        <w:pStyle w:val="Heading1"/>
        <w:spacing w:line="240" w:lineRule="auto"/>
        <w:jc w:val="both"/>
        <w:rPr>
          <w:rFonts w:cs="Times New Roman"/>
          <w:noProof/>
          <w:szCs w:val="24"/>
        </w:rPr>
      </w:pPr>
      <w:r w:rsidRPr="007E441B">
        <w:rPr>
          <w:noProof/>
        </w:rPr>
        <w:t>1. KAPITOLA – PRIAME ZAHRANIČNÉ INVESTÍCIE DO EURÓPSKEJ ÚNIE – TRENDY</w:t>
      </w:r>
      <w:r w:rsidR="007E441B" w:rsidRPr="007E441B">
        <w:rPr>
          <w:noProof/>
        </w:rPr>
        <w:t xml:space="preserve"> A </w:t>
      </w:r>
      <w:r w:rsidRPr="007E441B">
        <w:rPr>
          <w:noProof/>
        </w:rPr>
        <w:t>ÚDAJE</w:t>
      </w:r>
    </w:p>
    <w:p w14:paraId="4A45A2FA" w14:textId="5F7A493C" w:rsidR="004641DD" w:rsidRPr="007E441B" w:rsidRDefault="004641DD" w:rsidP="00095D48">
      <w:pPr>
        <w:spacing w:before="240" w:line="240" w:lineRule="auto"/>
        <w:jc w:val="both"/>
        <w:rPr>
          <w:rFonts w:ascii="Times New Roman" w:hAnsi="Times New Roman" w:cs="Times New Roman"/>
          <w:noProof/>
          <w:sz w:val="24"/>
          <w:szCs w:val="24"/>
          <w:highlight w:val="yellow"/>
        </w:rPr>
      </w:pPr>
      <w:r w:rsidRPr="007E441B">
        <w:rPr>
          <w:rFonts w:ascii="Times New Roman" w:hAnsi="Times New Roman"/>
          <w:noProof/>
          <w:sz w:val="24"/>
        </w:rPr>
        <w:t>V roku 2021 sa globálne priame zahraničné investície zotavili zo spomalenia spôsobeného pandémiou COVID-19</w:t>
      </w:r>
      <w:r w:rsidR="007E441B" w:rsidRPr="007E441B">
        <w:rPr>
          <w:rFonts w:ascii="Times New Roman" w:hAnsi="Times New Roman"/>
          <w:noProof/>
          <w:sz w:val="24"/>
        </w:rPr>
        <w:t xml:space="preserve"> v </w:t>
      </w:r>
      <w:r w:rsidRPr="007E441B">
        <w:rPr>
          <w:rFonts w:ascii="Times New Roman" w:hAnsi="Times New Roman"/>
          <w:noProof/>
          <w:sz w:val="24"/>
        </w:rPr>
        <w:t>roku 2020. Celosvetový prichádzajúce PZI dosiahli</w:t>
      </w:r>
      <w:r w:rsidR="007E441B" w:rsidRPr="007E441B">
        <w:rPr>
          <w:rFonts w:ascii="Times New Roman" w:hAnsi="Times New Roman"/>
          <w:noProof/>
          <w:sz w:val="24"/>
        </w:rPr>
        <w:t xml:space="preserve"> v </w:t>
      </w:r>
      <w:r w:rsidRPr="007E441B">
        <w:rPr>
          <w:rFonts w:ascii="Times New Roman" w:hAnsi="Times New Roman"/>
          <w:noProof/>
          <w:sz w:val="24"/>
        </w:rPr>
        <w:t>roku 2021 výšku 1,5 bilióna EUR (</w:t>
      </w:r>
      <w:r w:rsidRPr="007E441B">
        <w:rPr>
          <w:rFonts w:ascii="Times New Roman" w:hAnsi="Times New Roman"/>
          <w:b/>
          <w:noProof/>
          <w:sz w:val="24"/>
        </w:rPr>
        <w:t>obrázok 1</w:t>
      </w:r>
      <w:r w:rsidRPr="007E441B">
        <w:rPr>
          <w:rFonts w:ascii="Times New Roman" w:hAnsi="Times New Roman"/>
          <w:noProof/>
          <w:sz w:val="24"/>
        </w:rPr>
        <w:t>), čo predstavuje zvýšenie</w:t>
      </w:r>
      <w:r w:rsidR="007E441B" w:rsidRPr="007E441B">
        <w:rPr>
          <w:rFonts w:ascii="Times New Roman" w:hAnsi="Times New Roman"/>
          <w:noProof/>
          <w:sz w:val="24"/>
        </w:rPr>
        <w:t xml:space="preserve"> o </w:t>
      </w:r>
      <w:r w:rsidRPr="007E441B">
        <w:rPr>
          <w:rFonts w:ascii="Times New Roman" w:hAnsi="Times New Roman"/>
          <w:noProof/>
          <w:sz w:val="24"/>
        </w:rPr>
        <w:t>+ 52 %</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rokom 2020</w:t>
      </w:r>
      <w:r w:rsidR="007E441B" w:rsidRPr="007E441B">
        <w:rPr>
          <w:rFonts w:ascii="Times New Roman" w:hAnsi="Times New Roman"/>
          <w:noProof/>
          <w:sz w:val="24"/>
        </w:rPr>
        <w:t xml:space="preserve"> a </w:t>
      </w:r>
      <w:r w:rsidRPr="007E441B">
        <w:rPr>
          <w:rFonts w:ascii="Times New Roman" w:hAnsi="Times New Roman"/>
          <w:noProof/>
          <w:sz w:val="24"/>
        </w:rPr>
        <w:t>zvýšenie</w:t>
      </w:r>
      <w:r w:rsidR="007E441B" w:rsidRPr="007E441B">
        <w:rPr>
          <w:rFonts w:ascii="Times New Roman" w:hAnsi="Times New Roman"/>
          <w:noProof/>
          <w:sz w:val="24"/>
        </w:rPr>
        <w:t xml:space="preserve"> o </w:t>
      </w:r>
      <w:r w:rsidRPr="007E441B">
        <w:rPr>
          <w:rFonts w:ascii="Times New Roman" w:hAnsi="Times New Roman"/>
          <w:noProof/>
          <w:sz w:val="24"/>
        </w:rPr>
        <w:t>11 %</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úrovňami pred pandémiou COVID-19</w:t>
      </w:r>
      <w:r w:rsidR="007E441B" w:rsidRPr="007E441B">
        <w:rPr>
          <w:rFonts w:ascii="Times New Roman" w:hAnsi="Times New Roman"/>
          <w:noProof/>
          <w:sz w:val="24"/>
        </w:rPr>
        <w:t xml:space="preserve"> v </w:t>
      </w:r>
      <w:r w:rsidRPr="007E441B">
        <w:rPr>
          <w:rFonts w:ascii="Times New Roman" w:hAnsi="Times New Roman"/>
          <w:noProof/>
          <w:sz w:val="24"/>
        </w:rPr>
        <w:t>roku 2019.</w:t>
      </w:r>
    </w:p>
    <w:p w14:paraId="6C8A3BD1" w14:textId="20D66357" w:rsidR="004641DD" w:rsidRPr="007E441B" w:rsidRDefault="004641DD" w:rsidP="00095D48">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Európska únia prispela ku globálnej obnove</w:t>
      </w:r>
      <w:r w:rsidR="007E441B" w:rsidRPr="007E441B">
        <w:rPr>
          <w:rFonts w:ascii="Times New Roman" w:hAnsi="Times New Roman"/>
          <w:noProof/>
          <w:sz w:val="24"/>
        </w:rPr>
        <w:t xml:space="preserve"> v </w:t>
      </w:r>
      <w:r w:rsidRPr="007E441B">
        <w:rPr>
          <w:rFonts w:ascii="Times New Roman" w:hAnsi="Times New Roman"/>
          <w:noProof/>
          <w:sz w:val="24"/>
        </w:rPr>
        <w:t>roku 2021 prichádzajúcimi PZI vo výške 117 miliárd EUR, čo predstavuje 8 % svetovej úrovne (v roku 2019 to bolo 27 %), čo je 31 % pokles</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úrovňami</w:t>
      </w:r>
      <w:r w:rsidR="007E441B" w:rsidRPr="007E441B">
        <w:rPr>
          <w:rFonts w:ascii="Times New Roman" w:hAnsi="Times New Roman"/>
          <w:noProof/>
          <w:sz w:val="24"/>
        </w:rPr>
        <w:t xml:space="preserve"> z </w:t>
      </w:r>
      <w:r w:rsidRPr="007E441B">
        <w:rPr>
          <w:rFonts w:ascii="Times New Roman" w:hAnsi="Times New Roman"/>
          <w:noProof/>
          <w:sz w:val="24"/>
        </w:rPr>
        <w:t>roku 2020</w:t>
      </w:r>
      <w:r w:rsidR="007E441B" w:rsidRPr="007E441B">
        <w:rPr>
          <w:rFonts w:ascii="Times New Roman" w:hAnsi="Times New Roman"/>
          <w:noProof/>
          <w:sz w:val="24"/>
        </w:rPr>
        <w:t xml:space="preserve"> a </w:t>
      </w:r>
      <w:r w:rsidRPr="007E441B">
        <w:rPr>
          <w:rFonts w:ascii="Times New Roman" w:hAnsi="Times New Roman"/>
          <w:noProof/>
          <w:sz w:val="24"/>
        </w:rPr>
        <w:t>pokles</w:t>
      </w:r>
      <w:r w:rsidR="007E441B" w:rsidRPr="007E441B">
        <w:rPr>
          <w:rFonts w:ascii="Times New Roman" w:hAnsi="Times New Roman"/>
          <w:noProof/>
          <w:sz w:val="24"/>
        </w:rPr>
        <w:t xml:space="preserve"> o </w:t>
      </w:r>
      <w:r w:rsidRPr="007E441B">
        <w:rPr>
          <w:rFonts w:ascii="Times New Roman" w:hAnsi="Times New Roman"/>
          <w:noProof/>
          <w:sz w:val="24"/>
        </w:rPr>
        <w:t>–68 %</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rokom 2019. Výsledok EÚ je spôsobený poklesom prichádzajúcich priamych zahraničných investícií do Írska, Nemecka</w:t>
      </w:r>
      <w:r w:rsidR="007E441B" w:rsidRPr="007E441B">
        <w:rPr>
          <w:rFonts w:ascii="Times New Roman" w:hAnsi="Times New Roman"/>
          <w:noProof/>
          <w:sz w:val="24"/>
        </w:rPr>
        <w:t xml:space="preserve"> a </w:t>
      </w:r>
      <w:r w:rsidRPr="007E441B">
        <w:rPr>
          <w:rFonts w:ascii="Times New Roman" w:hAnsi="Times New Roman"/>
          <w:noProof/>
          <w:sz w:val="24"/>
        </w:rPr>
        <w:t>Luxemburska</w:t>
      </w:r>
      <w:r w:rsidR="007E441B" w:rsidRPr="007E441B">
        <w:rPr>
          <w:rFonts w:ascii="Times New Roman" w:hAnsi="Times New Roman"/>
          <w:noProof/>
          <w:sz w:val="24"/>
        </w:rPr>
        <w:t xml:space="preserve"> a </w:t>
      </w:r>
      <w:r w:rsidRPr="007E441B">
        <w:rPr>
          <w:rFonts w:ascii="Times New Roman" w:hAnsi="Times New Roman"/>
          <w:noProof/>
          <w:sz w:val="24"/>
        </w:rPr>
        <w:t>poklesom investícií</w:t>
      </w:r>
      <w:r w:rsidR="007E441B" w:rsidRPr="007E441B">
        <w:rPr>
          <w:rFonts w:ascii="Times New Roman" w:hAnsi="Times New Roman"/>
          <w:noProof/>
          <w:sz w:val="24"/>
        </w:rPr>
        <w:t xml:space="preserve"> v </w:t>
      </w:r>
      <w:r w:rsidRPr="007E441B">
        <w:rPr>
          <w:rFonts w:ascii="Times New Roman" w:hAnsi="Times New Roman"/>
          <w:noProof/>
          <w:sz w:val="24"/>
        </w:rPr>
        <w:t>Holandsku</w:t>
      </w:r>
      <w:r w:rsidRPr="007E441B">
        <w:rPr>
          <w:rStyle w:val="FootnoteReference"/>
          <w:rFonts w:ascii="Times New Roman" w:hAnsi="Times New Roman" w:cs="Times New Roman"/>
          <w:noProof/>
          <w:sz w:val="24"/>
          <w:szCs w:val="24"/>
        </w:rPr>
        <w:footnoteReference w:id="3"/>
      </w:r>
      <w:r w:rsidRPr="007E441B">
        <w:rPr>
          <w:rFonts w:ascii="Times New Roman" w:hAnsi="Times New Roman"/>
          <w:noProof/>
          <w:sz w:val="24"/>
        </w:rPr>
        <w:t>.</w:t>
      </w:r>
    </w:p>
    <w:p w14:paraId="0E25A974" w14:textId="202F33F1" w:rsidR="004641DD" w:rsidRPr="007E441B" w:rsidRDefault="004641DD" w:rsidP="00095D48">
      <w:pPr>
        <w:pStyle w:val="Caption"/>
        <w:keepNext/>
        <w:jc w:val="center"/>
        <w:rPr>
          <w:rFonts w:ascii="Times New Roman" w:hAnsi="Times New Roman" w:cs="Times New Roman"/>
          <w:noProof/>
          <w:color w:val="auto"/>
          <w:sz w:val="24"/>
          <w:szCs w:val="24"/>
        </w:rPr>
      </w:pPr>
      <w:bookmarkStart w:id="2" w:name="_Ref98166927"/>
      <w:r w:rsidRPr="007E441B">
        <w:rPr>
          <w:rFonts w:ascii="Times New Roman" w:hAnsi="Times New Roman"/>
          <w:noProof/>
          <w:color w:val="auto"/>
          <w:sz w:val="24"/>
        </w:rPr>
        <w:t xml:space="preserve">Obrázok </w:t>
      </w:r>
      <w:r w:rsidRPr="007E441B">
        <w:rPr>
          <w:noProof/>
        </w:rPr>
        <w:fldChar w:fldCharType="begin"/>
      </w:r>
      <w:r w:rsidRPr="007E441B">
        <w:rPr>
          <w:rFonts w:ascii="Times New Roman" w:hAnsi="Times New Roman" w:cs="Times New Roman"/>
          <w:noProof/>
          <w:color w:val="auto"/>
          <w:sz w:val="24"/>
        </w:rPr>
        <w:instrText xml:space="preserve"> SEQ Figure \* ARABIC </w:instrText>
      </w:r>
      <w:r w:rsidRPr="007E441B">
        <w:rPr>
          <w:noProof/>
        </w:rPr>
        <w:fldChar w:fldCharType="separate"/>
      </w:r>
      <w:r w:rsidRPr="007E441B">
        <w:rPr>
          <w:rFonts w:ascii="Times New Roman" w:hAnsi="Times New Roman" w:cs="Times New Roman"/>
          <w:noProof/>
          <w:color w:val="auto"/>
          <w:sz w:val="24"/>
        </w:rPr>
        <w:t>1</w:t>
      </w:r>
      <w:r w:rsidRPr="007E441B">
        <w:rPr>
          <w:noProof/>
        </w:rPr>
        <w:fldChar w:fldCharType="end"/>
      </w:r>
      <w:bookmarkEnd w:id="2"/>
      <w:r w:rsidRPr="007E441B">
        <w:rPr>
          <w:rFonts w:ascii="Times New Roman" w:hAnsi="Times New Roman"/>
          <w:noProof/>
          <w:color w:val="auto"/>
          <w:sz w:val="24"/>
        </w:rPr>
        <w:t>: Svetové</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 xml:space="preserve">EÚ toky prichádzajúcich PZI </w:t>
      </w:r>
    </w:p>
    <w:p w14:paraId="55E2899A" w14:textId="51AAA19B" w:rsidR="004641DD" w:rsidRPr="007E441B" w:rsidRDefault="009A677B" w:rsidP="00095D48">
      <w:pPr>
        <w:spacing w:after="0" w:line="240" w:lineRule="auto"/>
        <w:jc w:val="center"/>
        <w:rPr>
          <w:rFonts w:ascii="Times New Roman" w:hAnsi="Times New Roman" w:cs="Times New Roman"/>
          <w:noProof/>
          <w:sz w:val="24"/>
          <w:szCs w:val="24"/>
        </w:rPr>
      </w:pPr>
      <w:r w:rsidRPr="009A677B">
        <w:rPr>
          <w:noProof/>
          <w:lang w:val="en-GB" w:eastAsia="en-GB"/>
        </w:rPr>
        <w:drawing>
          <wp:inline distT="0" distB="0" distL="0" distR="0" wp14:anchorId="76219F3F" wp14:editId="347A44B5">
            <wp:extent cx="4577715" cy="3782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7715" cy="3782060"/>
                    </a:xfrm>
                    <a:prstGeom prst="rect">
                      <a:avLst/>
                    </a:prstGeom>
                    <a:noFill/>
                    <a:ln>
                      <a:noFill/>
                    </a:ln>
                  </pic:spPr>
                </pic:pic>
              </a:graphicData>
            </a:graphic>
          </wp:inline>
        </w:drawing>
      </w:r>
    </w:p>
    <w:p w14:paraId="6EC5B734" w14:textId="77777777" w:rsidR="004641DD" w:rsidRPr="007E441B" w:rsidRDefault="004641DD" w:rsidP="00095D48">
      <w:pPr>
        <w:pStyle w:val="Caption"/>
        <w:jc w:val="both"/>
        <w:rPr>
          <w:rFonts w:ascii="Times New Roman" w:hAnsi="Times New Roman" w:cs="Times New Roman"/>
          <w:i w:val="0"/>
          <w:noProof/>
          <w:color w:val="auto"/>
          <w:sz w:val="16"/>
          <w:szCs w:val="16"/>
        </w:rPr>
      </w:pPr>
      <w:r w:rsidRPr="007E441B">
        <w:rPr>
          <w:rFonts w:ascii="Times New Roman" w:hAnsi="Times New Roman"/>
          <w:i w:val="0"/>
          <w:noProof/>
          <w:color w:val="auto"/>
          <w:sz w:val="16"/>
        </w:rPr>
        <w:t xml:space="preserve">Zdroj: </w:t>
      </w:r>
      <w:hyperlink r:id="rId20" w:history="1">
        <w:r w:rsidRPr="007E441B">
          <w:rPr>
            <w:rStyle w:val="Hyperlink"/>
            <w:rFonts w:ascii="Times New Roman" w:hAnsi="Times New Roman"/>
            <w:i w:val="0"/>
            <w:noProof/>
            <w:sz w:val="16"/>
          </w:rPr>
          <w:t>údaje OECD</w:t>
        </w:r>
      </w:hyperlink>
      <w:r w:rsidRPr="007E441B">
        <w:rPr>
          <w:rFonts w:ascii="Times New Roman" w:hAnsi="Times New Roman"/>
          <w:i w:val="0"/>
          <w:noProof/>
          <w:color w:val="auto"/>
          <w:sz w:val="16"/>
        </w:rPr>
        <w:t>, extrahované 29. apríla 2022. Údaje sa týkajú prichádzajúcich PZI.</w:t>
      </w:r>
    </w:p>
    <w:p w14:paraId="32123310" w14:textId="7DA19DDA" w:rsidR="00BF1910" w:rsidRPr="007E441B" w:rsidRDefault="004641DD" w:rsidP="00095D48">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V roku 2021 viedli silné akciové trhy</w:t>
      </w:r>
      <w:r w:rsidR="007E441B" w:rsidRPr="007E441B">
        <w:rPr>
          <w:rFonts w:ascii="Times New Roman" w:hAnsi="Times New Roman"/>
          <w:noProof/>
          <w:sz w:val="24"/>
        </w:rPr>
        <w:t xml:space="preserve"> a </w:t>
      </w:r>
      <w:r w:rsidRPr="007E441B">
        <w:rPr>
          <w:rFonts w:ascii="Times New Roman" w:hAnsi="Times New Roman"/>
          <w:noProof/>
          <w:sz w:val="24"/>
        </w:rPr>
        <w:t>obnova podnikateľskej dôvery</w:t>
      </w:r>
      <w:r w:rsidR="007E441B" w:rsidRPr="007E441B">
        <w:rPr>
          <w:rFonts w:ascii="Times New Roman" w:hAnsi="Times New Roman"/>
          <w:noProof/>
          <w:sz w:val="24"/>
        </w:rPr>
        <w:t xml:space="preserve"> k </w:t>
      </w:r>
      <w:r w:rsidRPr="007E441B">
        <w:rPr>
          <w:rFonts w:ascii="Times New Roman" w:hAnsi="Times New Roman"/>
          <w:noProof/>
          <w:sz w:val="24"/>
        </w:rPr>
        <w:t>zvýšeniu počtu fúzií</w:t>
      </w:r>
      <w:r w:rsidR="007E441B" w:rsidRPr="007E441B">
        <w:rPr>
          <w:rFonts w:ascii="Times New Roman" w:hAnsi="Times New Roman"/>
          <w:noProof/>
          <w:sz w:val="24"/>
        </w:rPr>
        <w:t xml:space="preserve"> a </w:t>
      </w:r>
      <w:r w:rsidRPr="007E441B">
        <w:rPr>
          <w:rFonts w:ascii="Times New Roman" w:hAnsi="Times New Roman"/>
          <w:noProof/>
          <w:sz w:val="24"/>
        </w:rPr>
        <w:t>akvizícií</w:t>
      </w:r>
      <w:r w:rsidR="007E441B" w:rsidRPr="007E441B">
        <w:rPr>
          <w:rFonts w:ascii="Times New Roman" w:hAnsi="Times New Roman"/>
          <w:noProof/>
          <w:sz w:val="24"/>
        </w:rPr>
        <w:t xml:space="preserve"> a </w:t>
      </w:r>
      <w:r w:rsidRPr="007E441B">
        <w:rPr>
          <w:rFonts w:ascii="Times New Roman" w:hAnsi="Times New Roman"/>
          <w:noProof/>
          <w:sz w:val="24"/>
        </w:rPr>
        <w:t>transakcií na zelenej lúke na celom svete, avšak ešte nie</w:t>
      </w:r>
      <w:r w:rsidR="007E441B" w:rsidRPr="007E441B">
        <w:rPr>
          <w:rFonts w:ascii="Times New Roman" w:hAnsi="Times New Roman"/>
          <w:noProof/>
          <w:sz w:val="24"/>
        </w:rPr>
        <w:t xml:space="preserve"> v </w:t>
      </w:r>
      <w:r w:rsidRPr="007E441B">
        <w:rPr>
          <w:rFonts w:ascii="Times New Roman" w:hAnsi="Times New Roman"/>
          <w:noProof/>
          <w:sz w:val="24"/>
        </w:rPr>
        <w:t>EÚ27</w:t>
      </w:r>
      <w:r w:rsidRPr="007E441B">
        <w:rPr>
          <w:rStyle w:val="FootnoteReference"/>
          <w:rFonts w:ascii="Times New Roman" w:hAnsi="Times New Roman" w:cs="Times New Roman"/>
          <w:noProof/>
          <w:sz w:val="24"/>
          <w:szCs w:val="24"/>
        </w:rPr>
        <w:footnoteReference w:id="4"/>
      </w:r>
      <w:r w:rsidRPr="007E441B">
        <w:rPr>
          <w:rFonts w:ascii="Times New Roman" w:hAnsi="Times New Roman"/>
          <w:noProof/>
          <w:sz w:val="24"/>
        </w:rPr>
        <w:t xml:space="preserve"> (</w:t>
      </w:r>
      <w:r w:rsidRPr="007E441B">
        <w:rPr>
          <w:rFonts w:ascii="Times New Roman" w:hAnsi="Times New Roman"/>
          <w:b/>
          <w:noProof/>
          <w:sz w:val="24"/>
        </w:rPr>
        <w:t>obrázok 1</w:t>
      </w:r>
      <w:r w:rsidRPr="007E441B">
        <w:rPr>
          <w:rFonts w:ascii="Times New Roman" w:hAnsi="Times New Roman"/>
          <w:noProof/>
          <w:sz w:val="24"/>
        </w:rPr>
        <w:t>),</w:t>
      </w:r>
      <w:r w:rsidR="007E441B" w:rsidRPr="007E441B">
        <w:rPr>
          <w:rFonts w:ascii="Times New Roman" w:hAnsi="Times New Roman"/>
          <w:noProof/>
          <w:sz w:val="24"/>
        </w:rPr>
        <w:t xml:space="preserve"> a </w:t>
      </w:r>
      <w:r w:rsidRPr="007E441B">
        <w:rPr>
          <w:rFonts w:ascii="Times New Roman" w:hAnsi="Times New Roman"/>
          <w:noProof/>
          <w:sz w:val="24"/>
        </w:rPr>
        <w:t>to napriek poklesu súhrnného prílevu PZI.</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rokom 2020 sa počet akvizícií</w:t>
      </w:r>
      <w:r w:rsidR="007E441B" w:rsidRPr="007E441B">
        <w:rPr>
          <w:rFonts w:ascii="Times New Roman" w:hAnsi="Times New Roman"/>
          <w:noProof/>
          <w:sz w:val="24"/>
        </w:rPr>
        <w:t xml:space="preserve"> v </w:t>
      </w:r>
      <w:r w:rsidRPr="007E441B">
        <w:rPr>
          <w:rFonts w:ascii="Times New Roman" w:hAnsi="Times New Roman"/>
          <w:noProof/>
          <w:sz w:val="24"/>
        </w:rPr>
        <w:t>EÚ zvýšil</w:t>
      </w:r>
      <w:r w:rsidR="007E441B" w:rsidRPr="007E441B">
        <w:rPr>
          <w:rFonts w:ascii="Times New Roman" w:hAnsi="Times New Roman"/>
          <w:noProof/>
          <w:sz w:val="24"/>
        </w:rPr>
        <w:t xml:space="preserve"> o </w:t>
      </w:r>
      <w:r w:rsidRPr="007E441B">
        <w:rPr>
          <w:rFonts w:ascii="Times New Roman" w:hAnsi="Times New Roman"/>
          <w:noProof/>
          <w:sz w:val="24"/>
        </w:rPr>
        <w:t>32 %</w:t>
      </w:r>
      <w:r w:rsidR="007E441B" w:rsidRPr="007E441B">
        <w:rPr>
          <w:rFonts w:ascii="Times New Roman" w:hAnsi="Times New Roman"/>
          <w:noProof/>
          <w:sz w:val="24"/>
        </w:rPr>
        <w:t xml:space="preserve"> a </w:t>
      </w:r>
      <w:r w:rsidRPr="007E441B">
        <w:rPr>
          <w:rFonts w:ascii="Times New Roman" w:hAnsi="Times New Roman"/>
          <w:noProof/>
          <w:sz w:val="24"/>
        </w:rPr>
        <w:t>investícií na zelenej lúke</w:t>
      </w:r>
      <w:r w:rsidR="007E441B" w:rsidRPr="007E441B">
        <w:rPr>
          <w:rFonts w:ascii="Times New Roman" w:hAnsi="Times New Roman"/>
          <w:noProof/>
          <w:sz w:val="24"/>
        </w:rPr>
        <w:t xml:space="preserve"> o </w:t>
      </w:r>
      <w:r w:rsidRPr="007E441B">
        <w:rPr>
          <w:rFonts w:ascii="Times New Roman" w:hAnsi="Times New Roman"/>
          <w:noProof/>
          <w:sz w:val="24"/>
        </w:rPr>
        <w:t>+ 12 %</w:t>
      </w:r>
      <w:r w:rsidRPr="007E441B">
        <w:rPr>
          <w:rStyle w:val="FootnoteReference"/>
          <w:rFonts w:ascii="Times New Roman" w:hAnsi="Times New Roman" w:cs="Times New Roman"/>
          <w:noProof/>
          <w:sz w:val="24"/>
          <w:szCs w:val="24"/>
        </w:rPr>
        <w:footnoteReference w:id="5"/>
      </w:r>
      <w:r w:rsidRPr="007E441B">
        <w:rPr>
          <w:rFonts w:ascii="Times New Roman" w:hAnsi="Times New Roman"/>
          <w:noProof/>
          <w:sz w:val="24"/>
        </w:rPr>
        <w:t>.</w:t>
      </w:r>
    </w:p>
    <w:p w14:paraId="7F3DB950" w14:textId="5AC594A9" w:rsidR="004641DD" w:rsidRPr="007E441B" w:rsidRDefault="00E77956" w:rsidP="00095D48">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Akvizície však zostali</w:t>
      </w:r>
      <w:r w:rsidR="007E441B" w:rsidRPr="007E441B">
        <w:rPr>
          <w:rFonts w:ascii="Times New Roman" w:hAnsi="Times New Roman"/>
          <w:noProof/>
          <w:sz w:val="24"/>
        </w:rPr>
        <w:t xml:space="preserve"> o </w:t>
      </w:r>
      <w:r w:rsidRPr="007E441B">
        <w:rPr>
          <w:rFonts w:ascii="Times New Roman" w:hAnsi="Times New Roman"/>
          <w:noProof/>
          <w:sz w:val="24"/>
        </w:rPr>
        <w:t>9 % pod úrovňou dosiahnutou</w:t>
      </w:r>
      <w:r w:rsidR="007E441B" w:rsidRPr="007E441B">
        <w:rPr>
          <w:rFonts w:ascii="Times New Roman" w:hAnsi="Times New Roman"/>
          <w:noProof/>
          <w:sz w:val="24"/>
        </w:rPr>
        <w:t xml:space="preserve"> v </w:t>
      </w:r>
      <w:r w:rsidRPr="007E441B">
        <w:rPr>
          <w:rFonts w:ascii="Times New Roman" w:hAnsi="Times New Roman"/>
          <w:noProof/>
          <w:sz w:val="24"/>
        </w:rPr>
        <w:t>roku 2019.</w:t>
      </w:r>
      <w:r w:rsidR="007E441B" w:rsidRPr="007E441B">
        <w:rPr>
          <w:rFonts w:ascii="Times New Roman" w:hAnsi="Times New Roman"/>
          <w:noProof/>
          <w:sz w:val="24"/>
        </w:rPr>
        <w:t xml:space="preserve"> V </w:t>
      </w:r>
      <w:r w:rsidRPr="007E441B">
        <w:rPr>
          <w:rFonts w:ascii="Times New Roman" w:hAnsi="Times New Roman"/>
          <w:noProof/>
          <w:sz w:val="24"/>
        </w:rPr>
        <w:t>prípade investícií na zelenej lúke rozdiel oproti roku pred pandémiou dosiahol –39 %.</w:t>
      </w:r>
    </w:p>
    <w:p w14:paraId="68C2C51F" w14:textId="77777777" w:rsidR="007E441B" w:rsidRPr="007E441B" w:rsidRDefault="004641DD" w:rsidP="00095D48">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Rastúci trend kumulovaných tokov zahraničných transakcií</w:t>
      </w:r>
      <w:r w:rsidR="007E441B" w:rsidRPr="007E441B">
        <w:rPr>
          <w:rFonts w:ascii="Times New Roman" w:hAnsi="Times New Roman"/>
          <w:noProof/>
          <w:sz w:val="24"/>
        </w:rPr>
        <w:t xml:space="preserve"> v </w:t>
      </w:r>
      <w:r w:rsidRPr="007E441B">
        <w:rPr>
          <w:rFonts w:ascii="Times New Roman" w:hAnsi="Times New Roman"/>
          <w:noProof/>
          <w:sz w:val="24"/>
        </w:rPr>
        <w:t>EÚ27 potvrdzuje otvorenosť krajín EÚ zahraničným investíciám,</w:t>
      </w:r>
      <w:r w:rsidR="007E441B" w:rsidRPr="007E441B">
        <w:rPr>
          <w:rFonts w:ascii="Times New Roman" w:hAnsi="Times New Roman"/>
          <w:noProof/>
          <w:sz w:val="24"/>
        </w:rPr>
        <w:t xml:space="preserve"> a </w:t>
      </w:r>
      <w:r w:rsidRPr="007E441B">
        <w:rPr>
          <w:rFonts w:ascii="Times New Roman" w:hAnsi="Times New Roman"/>
          <w:noProof/>
          <w:sz w:val="24"/>
        </w:rPr>
        <w:t>to aj napriek spomaleniu spôsobenému pandémiou COVID-19 (</w:t>
      </w:r>
      <w:r w:rsidRPr="007E441B">
        <w:rPr>
          <w:rFonts w:ascii="Times New Roman" w:hAnsi="Times New Roman"/>
          <w:b/>
          <w:noProof/>
          <w:sz w:val="24"/>
        </w:rPr>
        <w:t>Obrázok 2</w:t>
      </w:r>
      <w:r w:rsidRPr="007E441B">
        <w:rPr>
          <w:rFonts w:ascii="Times New Roman" w:hAnsi="Times New Roman"/>
          <w:noProof/>
          <w:sz w:val="24"/>
        </w:rPr>
        <w:t>),</w:t>
      </w:r>
      <w:r w:rsidR="007E441B" w:rsidRPr="007E441B">
        <w:rPr>
          <w:rFonts w:ascii="Times New Roman" w:hAnsi="Times New Roman"/>
          <w:noProof/>
          <w:sz w:val="24"/>
        </w:rPr>
        <w:t xml:space="preserve"> s </w:t>
      </w:r>
      <w:r w:rsidRPr="007E441B">
        <w:rPr>
          <w:rFonts w:ascii="Times New Roman" w:hAnsi="Times New Roman"/>
          <w:noProof/>
          <w:sz w:val="24"/>
        </w:rPr>
        <w:t xml:space="preserve">priemerným nárastom viac ako 2 100 </w:t>
      </w:r>
      <w:bookmarkStart w:id="3" w:name="_Ref98169941"/>
      <w:r w:rsidRPr="007E441B">
        <w:rPr>
          <w:rFonts w:ascii="Times New Roman" w:hAnsi="Times New Roman"/>
          <w:noProof/>
          <w:sz w:val="24"/>
        </w:rPr>
        <w:t>akvizícií</w:t>
      </w:r>
      <w:r w:rsidR="007E441B" w:rsidRPr="007E441B">
        <w:rPr>
          <w:rFonts w:ascii="Times New Roman" w:hAnsi="Times New Roman"/>
          <w:noProof/>
          <w:sz w:val="24"/>
        </w:rPr>
        <w:t xml:space="preserve"> a </w:t>
      </w:r>
      <w:r w:rsidRPr="007E441B">
        <w:rPr>
          <w:rFonts w:ascii="Times New Roman" w:hAnsi="Times New Roman"/>
          <w:noProof/>
          <w:sz w:val="24"/>
        </w:rPr>
        <w:t>3 200 investícií na zelenej lúke ročne za posledných päť rokov.</w:t>
      </w:r>
    </w:p>
    <w:p w14:paraId="12ABCFB6" w14:textId="77777777" w:rsidR="007E441B" w:rsidRPr="007E441B" w:rsidRDefault="004641DD" w:rsidP="00095D48">
      <w:pPr>
        <w:spacing w:before="240" w:line="240" w:lineRule="auto"/>
        <w:jc w:val="center"/>
        <w:rPr>
          <w:rFonts w:ascii="Times New Roman" w:hAnsi="Times New Roman" w:cs="Times New Roman"/>
          <w:i/>
          <w:noProof/>
          <w:sz w:val="24"/>
          <w:szCs w:val="24"/>
        </w:rPr>
      </w:pPr>
      <w:r w:rsidRPr="007E441B">
        <w:rPr>
          <w:rFonts w:ascii="Times New Roman" w:hAnsi="Times New Roman"/>
          <w:i/>
          <w:noProof/>
          <w:sz w:val="24"/>
        </w:rPr>
        <w:t xml:space="preserve">Obrázok </w:t>
      </w:r>
      <w:r w:rsidRPr="007E441B">
        <w:rPr>
          <w:noProof/>
        </w:rPr>
        <w:fldChar w:fldCharType="begin"/>
      </w:r>
      <w:r w:rsidRPr="007E441B">
        <w:rPr>
          <w:rFonts w:ascii="Times New Roman" w:hAnsi="Times New Roman" w:cs="Times New Roman"/>
          <w:i/>
          <w:noProof/>
          <w:sz w:val="24"/>
        </w:rPr>
        <w:instrText xml:space="preserve"> SEQ Figure \* ARABIC </w:instrText>
      </w:r>
      <w:r w:rsidRPr="007E441B">
        <w:rPr>
          <w:noProof/>
        </w:rPr>
        <w:fldChar w:fldCharType="separate"/>
      </w:r>
      <w:r w:rsidRPr="007E441B">
        <w:rPr>
          <w:rFonts w:ascii="Times New Roman" w:hAnsi="Times New Roman" w:cs="Times New Roman"/>
          <w:i/>
          <w:noProof/>
          <w:sz w:val="24"/>
        </w:rPr>
        <w:t>2</w:t>
      </w:r>
      <w:r w:rsidRPr="007E441B">
        <w:rPr>
          <w:noProof/>
        </w:rPr>
        <w:fldChar w:fldCharType="end"/>
      </w:r>
      <w:r w:rsidRPr="007E441B">
        <w:rPr>
          <w:rFonts w:ascii="Times New Roman" w:hAnsi="Times New Roman"/>
          <w:i/>
          <w:noProof/>
          <w:sz w:val="24"/>
        </w:rPr>
        <w:t>: Ročný kumulatívny počet transakcií do EÚ27</w:t>
      </w:r>
      <w:r w:rsidR="007E441B" w:rsidRPr="007E441B">
        <w:rPr>
          <w:rFonts w:ascii="Times New Roman" w:hAnsi="Times New Roman"/>
          <w:i/>
          <w:noProof/>
          <w:sz w:val="24"/>
        </w:rPr>
        <w:t xml:space="preserve"> v </w:t>
      </w:r>
      <w:r w:rsidRPr="007E441B">
        <w:rPr>
          <w:rFonts w:ascii="Times New Roman" w:hAnsi="Times New Roman"/>
          <w:i/>
          <w:noProof/>
          <w:sz w:val="24"/>
        </w:rPr>
        <w:t>rokoch 2015 – 2021</w:t>
      </w:r>
    </w:p>
    <w:p w14:paraId="113DCE3B" w14:textId="33FAF11B" w:rsidR="004641DD" w:rsidRPr="007E441B" w:rsidRDefault="009A677B" w:rsidP="00095D48">
      <w:pPr>
        <w:spacing w:before="240" w:line="240" w:lineRule="auto"/>
        <w:jc w:val="center"/>
        <w:rPr>
          <w:rFonts w:ascii="Times New Roman" w:hAnsi="Times New Roman" w:cs="Times New Roman"/>
          <w:noProof/>
          <w:sz w:val="24"/>
          <w:szCs w:val="24"/>
        </w:rPr>
      </w:pPr>
      <w:r w:rsidRPr="009A677B">
        <w:rPr>
          <w:noProof/>
          <w:lang w:val="en-GB" w:eastAsia="en-GB"/>
        </w:rPr>
        <w:drawing>
          <wp:inline distT="0" distB="0" distL="0" distR="0" wp14:anchorId="4716BEF2" wp14:editId="00BB7EC5">
            <wp:extent cx="4690745" cy="31407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0745" cy="3140710"/>
                    </a:xfrm>
                    <a:prstGeom prst="rect">
                      <a:avLst/>
                    </a:prstGeom>
                    <a:noFill/>
                    <a:ln>
                      <a:noFill/>
                    </a:ln>
                  </pic:spPr>
                </pic:pic>
              </a:graphicData>
            </a:graphic>
          </wp:inline>
        </w:drawing>
      </w:r>
    </w:p>
    <w:p w14:paraId="0B1D6628" w14:textId="39BEAE7C" w:rsidR="004641DD" w:rsidRPr="007E441B" w:rsidRDefault="004641DD" w:rsidP="004F4237">
      <w:pPr>
        <w:spacing w:before="240" w:line="240" w:lineRule="auto"/>
        <w:rPr>
          <w:rFonts w:ascii="Times New Roman" w:hAnsi="Times New Roman" w:cs="Times New Roman"/>
          <w:noProof/>
          <w:sz w:val="16"/>
          <w:szCs w:val="16"/>
        </w:rPr>
      </w:pPr>
      <w:r w:rsidRPr="007E441B">
        <w:rPr>
          <w:rFonts w:ascii="Times New Roman" w:hAnsi="Times New Roman"/>
          <w:noProof/>
          <w:sz w:val="16"/>
        </w:rPr>
        <w:t>Zdroj: Výpočty JRC na základe údajov Bureau van Dijk extrahovaných 22. februára 2022. Údaje za rok 2015 zodpovedajú tokom PZI</w:t>
      </w:r>
      <w:r w:rsidR="007E441B" w:rsidRPr="007E441B">
        <w:rPr>
          <w:rFonts w:ascii="Times New Roman" w:hAnsi="Times New Roman"/>
          <w:noProof/>
          <w:sz w:val="16"/>
        </w:rPr>
        <w:t xml:space="preserve"> v </w:t>
      </w:r>
      <w:r w:rsidRPr="007E441B">
        <w:rPr>
          <w:rFonts w:ascii="Times New Roman" w:hAnsi="Times New Roman"/>
          <w:noProof/>
          <w:sz w:val="16"/>
        </w:rPr>
        <w:t>roku 2015, zatiaľ čo údaje za nasledujúce roky zodpovedajú kumulovanému súčtu ročných tokov.</w:t>
      </w:r>
      <w:r w:rsidR="007E441B" w:rsidRPr="007E441B">
        <w:rPr>
          <w:rFonts w:ascii="Times New Roman" w:hAnsi="Times New Roman"/>
          <w:noProof/>
          <w:sz w:val="16"/>
        </w:rPr>
        <w:t xml:space="preserve"> </w:t>
      </w:r>
    </w:p>
    <w:p w14:paraId="01E4D345" w14:textId="6313E403" w:rsidR="00BF1910" w:rsidRPr="007E441B" w:rsidRDefault="004641DD" w:rsidP="00095D48">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Z medziročných údajov podľa zahraničnej jurisdikcie vyplýva zvýšenie počtu dohôd</w:t>
      </w:r>
      <w:r w:rsidR="007E441B" w:rsidRPr="007E441B">
        <w:rPr>
          <w:rFonts w:ascii="Times New Roman" w:hAnsi="Times New Roman"/>
          <w:noProof/>
          <w:sz w:val="24"/>
        </w:rPr>
        <w:t xml:space="preserve"> a </w:t>
      </w:r>
      <w:r w:rsidRPr="007E441B">
        <w:rPr>
          <w:rFonts w:ascii="Times New Roman" w:hAnsi="Times New Roman"/>
          <w:noProof/>
          <w:sz w:val="24"/>
        </w:rPr>
        <w:t>projektov vo väčšine krajín pôvodu</w:t>
      </w:r>
      <w:r w:rsidR="007E441B" w:rsidRPr="007E441B">
        <w:rPr>
          <w:rFonts w:ascii="Times New Roman" w:hAnsi="Times New Roman"/>
          <w:noProof/>
          <w:sz w:val="24"/>
        </w:rPr>
        <w:t xml:space="preserve"> v </w:t>
      </w:r>
      <w:r w:rsidRPr="007E441B">
        <w:rPr>
          <w:rFonts w:ascii="Times New Roman" w:hAnsi="Times New Roman"/>
          <w:noProof/>
          <w:sz w:val="24"/>
        </w:rPr>
        <w:t>roku 2021 (</w:t>
      </w:r>
      <w:r w:rsidRPr="007E441B">
        <w:rPr>
          <w:rFonts w:ascii="Times New Roman" w:hAnsi="Times New Roman"/>
          <w:b/>
          <w:noProof/>
          <w:sz w:val="24"/>
        </w:rPr>
        <w:t>obrázok 3</w:t>
      </w:r>
      <w:r w:rsidRPr="007E441B">
        <w:rPr>
          <w:rFonts w:ascii="Times New Roman" w:hAnsi="Times New Roman"/>
          <w:noProof/>
          <w:sz w:val="24"/>
        </w:rPr>
        <w:t>). USA boli</w:t>
      </w:r>
      <w:r w:rsidR="007E441B" w:rsidRPr="007E441B">
        <w:rPr>
          <w:rFonts w:ascii="Times New Roman" w:hAnsi="Times New Roman"/>
          <w:noProof/>
          <w:sz w:val="24"/>
        </w:rPr>
        <w:t xml:space="preserve"> v </w:t>
      </w:r>
      <w:r w:rsidRPr="007E441B">
        <w:rPr>
          <w:rFonts w:ascii="Times New Roman" w:hAnsi="Times New Roman"/>
          <w:noProof/>
          <w:sz w:val="24"/>
        </w:rPr>
        <w:t>roku 2021 najväčším zahraničným investorom</w:t>
      </w:r>
      <w:r w:rsidR="007E441B" w:rsidRPr="007E441B">
        <w:rPr>
          <w:rFonts w:ascii="Times New Roman" w:hAnsi="Times New Roman"/>
          <w:noProof/>
          <w:sz w:val="24"/>
        </w:rPr>
        <w:t xml:space="preserve"> a </w:t>
      </w:r>
      <w:r w:rsidRPr="007E441B">
        <w:rPr>
          <w:rFonts w:ascii="Times New Roman" w:hAnsi="Times New Roman"/>
          <w:noProof/>
          <w:sz w:val="24"/>
        </w:rPr>
        <w:t>pripadalo na ne 32,3 % všetkých akvizícií</w:t>
      </w:r>
      <w:r w:rsidR="007E441B" w:rsidRPr="007E441B">
        <w:rPr>
          <w:rFonts w:ascii="Times New Roman" w:hAnsi="Times New Roman"/>
          <w:noProof/>
          <w:sz w:val="24"/>
        </w:rPr>
        <w:t xml:space="preserve"> a </w:t>
      </w:r>
      <w:r w:rsidRPr="007E441B">
        <w:rPr>
          <w:rFonts w:ascii="Times New Roman" w:hAnsi="Times New Roman"/>
          <w:noProof/>
          <w:sz w:val="24"/>
        </w:rPr>
        <w:t>39,4 % investícií na zelenej lúke, po ktorých nasledovalo Spojené kráľovstvo</w:t>
      </w:r>
      <w:r w:rsidR="007E441B" w:rsidRPr="007E441B">
        <w:rPr>
          <w:rFonts w:ascii="Times New Roman" w:hAnsi="Times New Roman"/>
          <w:noProof/>
          <w:sz w:val="24"/>
        </w:rPr>
        <w:t xml:space="preserve"> s </w:t>
      </w:r>
      <w:r w:rsidRPr="007E441B">
        <w:rPr>
          <w:rFonts w:ascii="Times New Roman" w:hAnsi="Times New Roman"/>
          <w:noProof/>
          <w:sz w:val="24"/>
        </w:rPr>
        <w:t>25,6 % (akvizície)</w:t>
      </w:r>
      <w:r w:rsidR="007E441B" w:rsidRPr="007E441B">
        <w:rPr>
          <w:rFonts w:ascii="Times New Roman" w:hAnsi="Times New Roman"/>
          <w:noProof/>
          <w:sz w:val="24"/>
        </w:rPr>
        <w:t xml:space="preserve"> a </w:t>
      </w:r>
      <w:r w:rsidRPr="007E441B">
        <w:rPr>
          <w:rFonts w:ascii="Times New Roman" w:hAnsi="Times New Roman"/>
          <w:noProof/>
          <w:sz w:val="24"/>
        </w:rPr>
        <w:t>20,9 % (investície na zelenej lúke). Významnými výnimkami sú Čína</w:t>
      </w:r>
      <w:r w:rsidR="007E441B" w:rsidRPr="007E441B">
        <w:rPr>
          <w:rFonts w:ascii="Times New Roman" w:hAnsi="Times New Roman"/>
          <w:noProof/>
          <w:sz w:val="24"/>
        </w:rPr>
        <w:t xml:space="preserve"> a </w:t>
      </w:r>
      <w:r w:rsidRPr="007E441B">
        <w:rPr>
          <w:rFonts w:ascii="Times New Roman" w:hAnsi="Times New Roman"/>
          <w:noProof/>
          <w:sz w:val="24"/>
        </w:rPr>
        <w:t>Japonsko, ktoré zostávajú pod svojou úrovňou</w:t>
      </w:r>
      <w:r w:rsidR="007E441B" w:rsidRPr="007E441B">
        <w:rPr>
          <w:rFonts w:ascii="Times New Roman" w:hAnsi="Times New Roman"/>
          <w:noProof/>
          <w:sz w:val="24"/>
        </w:rPr>
        <w:t xml:space="preserve"> z </w:t>
      </w:r>
      <w:r w:rsidRPr="007E441B">
        <w:rPr>
          <w:rFonts w:ascii="Times New Roman" w:hAnsi="Times New Roman"/>
          <w:noProof/>
          <w:sz w:val="24"/>
        </w:rPr>
        <w:t>roku 2020. Konkrétne Čína, ktorá dosiahla 2,3 % všetkých zahraničných akvizícií</w:t>
      </w:r>
      <w:r w:rsidR="007E441B" w:rsidRPr="007E441B">
        <w:rPr>
          <w:rFonts w:ascii="Times New Roman" w:hAnsi="Times New Roman"/>
          <w:noProof/>
          <w:sz w:val="24"/>
        </w:rPr>
        <w:t xml:space="preserve"> v </w:t>
      </w:r>
      <w:r w:rsidRPr="007E441B">
        <w:rPr>
          <w:rFonts w:ascii="Times New Roman" w:hAnsi="Times New Roman"/>
          <w:noProof/>
          <w:sz w:val="24"/>
        </w:rPr>
        <w:t>roku 2021 (pokles</w:t>
      </w:r>
      <w:r w:rsidR="007E441B" w:rsidRPr="007E441B">
        <w:rPr>
          <w:rFonts w:ascii="Times New Roman" w:hAnsi="Times New Roman"/>
          <w:noProof/>
          <w:sz w:val="24"/>
        </w:rPr>
        <w:t xml:space="preserve"> z </w:t>
      </w:r>
      <w:r w:rsidRPr="007E441B">
        <w:rPr>
          <w:rFonts w:ascii="Times New Roman" w:hAnsi="Times New Roman"/>
          <w:noProof/>
          <w:sz w:val="24"/>
        </w:rPr>
        <w:t>3,4 %</w:t>
      </w:r>
      <w:r w:rsidR="007E441B" w:rsidRPr="007E441B">
        <w:rPr>
          <w:rFonts w:ascii="Times New Roman" w:hAnsi="Times New Roman"/>
          <w:noProof/>
          <w:sz w:val="24"/>
        </w:rPr>
        <w:t xml:space="preserve"> v </w:t>
      </w:r>
      <w:r w:rsidRPr="007E441B">
        <w:rPr>
          <w:rFonts w:ascii="Times New Roman" w:hAnsi="Times New Roman"/>
          <w:noProof/>
          <w:sz w:val="24"/>
        </w:rPr>
        <w:t>roku 2020)</w:t>
      </w:r>
      <w:r w:rsidR="007E441B" w:rsidRPr="007E441B">
        <w:rPr>
          <w:rFonts w:ascii="Times New Roman" w:hAnsi="Times New Roman"/>
          <w:noProof/>
          <w:sz w:val="24"/>
        </w:rPr>
        <w:t xml:space="preserve"> a </w:t>
      </w:r>
      <w:r w:rsidRPr="007E441B">
        <w:rPr>
          <w:rFonts w:ascii="Times New Roman" w:hAnsi="Times New Roman"/>
          <w:noProof/>
          <w:sz w:val="24"/>
        </w:rPr>
        <w:t>6 % investícií na zelenej lúke (pokles zo 7,1 %</w:t>
      </w:r>
      <w:r w:rsidR="007E441B" w:rsidRPr="007E441B">
        <w:rPr>
          <w:rFonts w:ascii="Times New Roman" w:hAnsi="Times New Roman"/>
          <w:noProof/>
          <w:sz w:val="24"/>
        </w:rPr>
        <w:t xml:space="preserve"> v </w:t>
      </w:r>
      <w:r w:rsidRPr="007E441B">
        <w:rPr>
          <w:rFonts w:ascii="Times New Roman" w:hAnsi="Times New Roman"/>
          <w:noProof/>
          <w:sz w:val="24"/>
        </w:rPr>
        <w:t>roku 2020), nedokázala zvýšiť počet obchodov,</w:t>
      </w:r>
      <w:r w:rsidR="007E441B" w:rsidRPr="007E441B">
        <w:rPr>
          <w:rFonts w:ascii="Times New Roman" w:hAnsi="Times New Roman"/>
          <w:noProof/>
          <w:sz w:val="24"/>
        </w:rPr>
        <w:t xml:space="preserve"> a </w:t>
      </w:r>
      <w:r w:rsidRPr="007E441B">
        <w:rPr>
          <w:rFonts w:ascii="Times New Roman" w:hAnsi="Times New Roman"/>
          <w:noProof/>
          <w:sz w:val="24"/>
        </w:rPr>
        <w:t>to aj napriek tomu, že niektoré rozsiahle investície</w:t>
      </w:r>
      <w:r w:rsidR="007E441B" w:rsidRPr="007E441B">
        <w:rPr>
          <w:rFonts w:ascii="Times New Roman" w:hAnsi="Times New Roman"/>
          <w:noProof/>
          <w:sz w:val="24"/>
        </w:rPr>
        <w:t xml:space="preserve"> v </w:t>
      </w:r>
      <w:r w:rsidRPr="007E441B">
        <w:rPr>
          <w:rFonts w:ascii="Times New Roman" w:hAnsi="Times New Roman"/>
          <w:noProof/>
          <w:sz w:val="24"/>
        </w:rPr>
        <w:t>oblasti fúzií</w:t>
      </w:r>
      <w:r w:rsidR="007E441B" w:rsidRPr="007E441B">
        <w:rPr>
          <w:rFonts w:ascii="Times New Roman" w:hAnsi="Times New Roman"/>
          <w:noProof/>
          <w:sz w:val="24"/>
        </w:rPr>
        <w:t xml:space="preserve"> a </w:t>
      </w:r>
      <w:r w:rsidRPr="007E441B">
        <w:rPr>
          <w:rFonts w:ascii="Times New Roman" w:hAnsi="Times New Roman"/>
          <w:noProof/>
          <w:sz w:val="24"/>
        </w:rPr>
        <w:t>akvizícií</w:t>
      </w:r>
      <w:r w:rsidR="007E441B" w:rsidRPr="007E441B">
        <w:rPr>
          <w:rFonts w:ascii="Times New Roman" w:hAnsi="Times New Roman"/>
          <w:noProof/>
          <w:sz w:val="24"/>
        </w:rPr>
        <w:t xml:space="preserve"> a </w:t>
      </w:r>
      <w:r w:rsidRPr="007E441B">
        <w:rPr>
          <w:rFonts w:ascii="Times New Roman" w:hAnsi="Times New Roman"/>
          <w:noProof/>
          <w:sz w:val="24"/>
        </w:rPr>
        <w:t>investícií na zelenej lúke zvýšili</w:t>
      </w:r>
      <w:r w:rsidR="007E441B" w:rsidRPr="007E441B">
        <w:rPr>
          <w:rFonts w:ascii="Times New Roman" w:hAnsi="Times New Roman"/>
          <w:noProof/>
          <w:sz w:val="24"/>
        </w:rPr>
        <w:t xml:space="preserve"> v </w:t>
      </w:r>
      <w:r w:rsidRPr="007E441B">
        <w:rPr>
          <w:rFonts w:ascii="Times New Roman" w:hAnsi="Times New Roman"/>
          <w:noProof/>
          <w:sz w:val="24"/>
        </w:rPr>
        <w:t>roku 2021 hodnotu čínskych investícií na 9 miliárd EUR (zo 6,5 miliardy EUR</w:t>
      </w:r>
      <w:r w:rsidR="007E441B" w:rsidRPr="007E441B">
        <w:rPr>
          <w:rFonts w:ascii="Times New Roman" w:hAnsi="Times New Roman"/>
          <w:noProof/>
          <w:sz w:val="24"/>
        </w:rPr>
        <w:t xml:space="preserve"> v </w:t>
      </w:r>
      <w:r w:rsidRPr="007E441B">
        <w:rPr>
          <w:rFonts w:ascii="Times New Roman" w:hAnsi="Times New Roman"/>
          <w:noProof/>
          <w:sz w:val="24"/>
        </w:rPr>
        <w:t>roku 2020).</w:t>
      </w:r>
    </w:p>
    <w:p w14:paraId="42899D29" w14:textId="77777777" w:rsidR="00CF76DC" w:rsidRPr="007E441B" w:rsidRDefault="00CF76DC">
      <w:pPr>
        <w:rPr>
          <w:rFonts w:ascii="Times New Roman" w:hAnsi="Times New Roman" w:cs="Times New Roman"/>
          <w:noProof/>
          <w:sz w:val="24"/>
          <w:szCs w:val="24"/>
        </w:rPr>
      </w:pPr>
      <w:r w:rsidRPr="007E441B">
        <w:rPr>
          <w:noProof/>
        </w:rPr>
        <w:br w:type="page"/>
      </w:r>
    </w:p>
    <w:p w14:paraId="345F1659" w14:textId="32D57F4B" w:rsidR="004641DD" w:rsidRPr="007E441B" w:rsidRDefault="004641DD" w:rsidP="00CF76DC">
      <w:pPr>
        <w:spacing w:before="240" w:line="240" w:lineRule="auto"/>
        <w:jc w:val="both"/>
        <w:rPr>
          <w:rFonts w:ascii="Times New Roman" w:hAnsi="Times New Roman" w:cs="Times New Roman"/>
          <w:noProof/>
          <w:sz w:val="24"/>
          <w:szCs w:val="24"/>
        </w:rPr>
      </w:pPr>
      <w:r w:rsidRPr="007E441B">
        <w:rPr>
          <w:rFonts w:ascii="Times New Roman" w:hAnsi="Times New Roman"/>
          <w:noProof/>
          <w:sz w:val="24"/>
        </w:rPr>
        <w:t>Prísne čínske kontroly kapitálu</w:t>
      </w:r>
      <w:r w:rsidR="007E441B" w:rsidRPr="007E441B">
        <w:rPr>
          <w:rFonts w:ascii="Times New Roman" w:hAnsi="Times New Roman"/>
          <w:noProof/>
          <w:sz w:val="24"/>
        </w:rPr>
        <w:t xml:space="preserve"> a </w:t>
      </w:r>
      <w:r w:rsidRPr="007E441B">
        <w:rPr>
          <w:rFonts w:ascii="Times New Roman" w:hAnsi="Times New Roman"/>
          <w:noProof/>
          <w:sz w:val="24"/>
        </w:rPr>
        <w:t>koncentrácia investičných činností</w:t>
      </w:r>
      <w:r w:rsidR="007E441B" w:rsidRPr="007E441B">
        <w:rPr>
          <w:rFonts w:ascii="Times New Roman" w:hAnsi="Times New Roman"/>
          <w:noProof/>
          <w:sz w:val="24"/>
        </w:rPr>
        <w:t xml:space="preserve"> v </w:t>
      </w:r>
      <w:r w:rsidRPr="007E441B">
        <w:rPr>
          <w:rFonts w:ascii="Times New Roman" w:hAnsi="Times New Roman"/>
          <w:noProof/>
          <w:sz w:val="24"/>
        </w:rPr>
        <w:t>hlavných priemyselných odvetviach negatívne ovplyvnili počet dohôd uzatvorených čínskymi subjektmi</w:t>
      </w:r>
      <w:r w:rsidR="007E441B" w:rsidRPr="007E441B">
        <w:rPr>
          <w:rFonts w:ascii="Times New Roman" w:hAnsi="Times New Roman"/>
          <w:noProof/>
          <w:sz w:val="24"/>
        </w:rPr>
        <w:t xml:space="preserve"> v </w:t>
      </w:r>
      <w:r w:rsidRPr="007E441B">
        <w:rPr>
          <w:rFonts w:ascii="Times New Roman" w:hAnsi="Times New Roman"/>
          <w:noProof/>
          <w:sz w:val="24"/>
        </w:rPr>
        <w:t>roku 2021</w:t>
      </w:r>
      <w:r w:rsidRPr="007E441B">
        <w:rPr>
          <w:noProof/>
          <w:vertAlign w:val="superscript"/>
        </w:rPr>
        <w:footnoteReference w:id="6"/>
      </w:r>
      <w:r w:rsidRPr="007E441B">
        <w:rPr>
          <w:rFonts w:ascii="Times New Roman" w:hAnsi="Times New Roman"/>
          <w:noProof/>
          <w:sz w:val="24"/>
        </w:rPr>
        <w:t>. Zatiaľ čo</w:t>
      </w:r>
      <w:r w:rsidR="007E441B" w:rsidRPr="007E441B">
        <w:rPr>
          <w:rFonts w:ascii="Times New Roman" w:hAnsi="Times New Roman"/>
          <w:noProof/>
          <w:sz w:val="24"/>
        </w:rPr>
        <w:t xml:space="preserve"> v </w:t>
      </w:r>
      <w:r w:rsidRPr="007E441B">
        <w:rPr>
          <w:rFonts w:ascii="Times New Roman" w:hAnsi="Times New Roman"/>
          <w:noProof/>
          <w:sz w:val="24"/>
        </w:rPr>
        <w:t>roku 2021 väčšina jurisdikcií dosiahla úroveň nadobudnutia kapitálových podielov pred pandémiou COVID-19, pričom niektoré</w:t>
      </w:r>
      <w:r w:rsidR="007E441B" w:rsidRPr="007E441B">
        <w:rPr>
          <w:rFonts w:ascii="Times New Roman" w:hAnsi="Times New Roman"/>
          <w:noProof/>
          <w:sz w:val="24"/>
        </w:rPr>
        <w:t xml:space="preserve"> z </w:t>
      </w:r>
      <w:r w:rsidRPr="007E441B">
        <w:rPr>
          <w:rFonts w:ascii="Times New Roman" w:hAnsi="Times New Roman"/>
          <w:noProof/>
          <w:sz w:val="24"/>
        </w:rPr>
        <w:t>nich sa dokonca zlepšili na úrovni</w:t>
      </w:r>
      <w:r w:rsidR="007E441B" w:rsidRPr="007E441B">
        <w:rPr>
          <w:rFonts w:ascii="Times New Roman" w:hAnsi="Times New Roman"/>
          <w:noProof/>
          <w:sz w:val="24"/>
        </w:rPr>
        <w:t xml:space="preserve"> z </w:t>
      </w:r>
      <w:r w:rsidRPr="007E441B">
        <w:rPr>
          <w:rFonts w:ascii="Times New Roman" w:hAnsi="Times New Roman"/>
          <w:noProof/>
          <w:sz w:val="24"/>
        </w:rPr>
        <w:t>roku 2019</w:t>
      </w:r>
      <w:r w:rsidRPr="007E441B">
        <w:rPr>
          <w:rStyle w:val="FootnoteReference"/>
          <w:rFonts w:ascii="Times New Roman" w:hAnsi="Times New Roman" w:cs="Times New Roman"/>
          <w:noProof/>
          <w:sz w:val="24"/>
          <w:szCs w:val="24"/>
        </w:rPr>
        <w:footnoteReference w:id="7"/>
      </w:r>
      <w:r w:rsidRPr="007E441B">
        <w:rPr>
          <w:rFonts w:ascii="Times New Roman" w:hAnsi="Times New Roman"/>
          <w:noProof/>
          <w:sz w:val="24"/>
        </w:rPr>
        <w:t>, investičné projekty na zelenej lúke zostali</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úrovňami</w:t>
      </w:r>
      <w:r w:rsidR="007E441B" w:rsidRPr="007E441B">
        <w:rPr>
          <w:rFonts w:ascii="Times New Roman" w:hAnsi="Times New Roman"/>
          <w:noProof/>
          <w:sz w:val="24"/>
        </w:rPr>
        <w:t xml:space="preserve"> z </w:t>
      </w:r>
      <w:r w:rsidRPr="007E441B">
        <w:rPr>
          <w:rFonts w:ascii="Times New Roman" w:hAnsi="Times New Roman"/>
          <w:noProof/>
          <w:sz w:val="24"/>
        </w:rPr>
        <w:t>roku 2019 nižšie. Jedinou výnimkou sú „daňové raje“</w:t>
      </w:r>
      <w:r w:rsidRPr="007E441B">
        <w:rPr>
          <w:rStyle w:val="FootnoteReference"/>
          <w:rFonts w:ascii="Times New Roman" w:hAnsi="Times New Roman" w:cs="Times New Roman"/>
          <w:noProof/>
          <w:sz w:val="24"/>
          <w:szCs w:val="24"/>
        </w:rPr>
        <w:footnoteReference w:id="8"/>
      </w:r>
      <w:r w:rsidRPr="007E441B">
        <w:rPr>
          <w:rFonts w:ascii="Times New Roman" w:hAnsi="Times New Roman"/>
          <w:noProof/>
          <w:sz w:val="24"/>
        </w:rPr>
        <w:t xml:space="preserve"> (s celkovými 133 projektmi</w:t>
      </w:r>
      <w:r w:rsidR="007E441B" w:rsidRPr="007E441B">
        <w:rPr>
          <w:rFonts w:ascii="Times New Roman" w:hAnsi="Times New Roman"/>
          <w:noProof/>
          <w:sz w:val="24"/>
        </w:rPr>
        <w:t xml:space="preserve"> v </w:t>
      </w:r>
      <w:r w:rsidRPr="007E441B">
        <w:rPr>
          <w:rFonts w:ascii="Times New Roman" w:hAnsi="Times New Roman"/>
          <w:noProof/>
          <w:sz w:val="24"/>
        </w:rPr>
        <w:t>roku 2021, čo je nárast</w:t>
      </w:r>
      <w:r w:rsidR="007E441B" w:rsidRPr="007E441B">
        <w:rPr>
          <w:rFonts w:ascii="Times New Roman" w:hAnsi="Times New Roman"/>
          <w:noProof/>
          <w:sz w:val="24"/>
        </w:rPr>
        <w:t xml:space="preserve"> v </w:t>
      </w:r>
      <w:r w:rsidRPr="007E441B">
        <w:rPr>
          <w:rFonts w:ascii="Times New Roman" w:hAnsi="Times New Roman"/>
          <w:noProof/>
          <w:sz w:val="24"/>
        </w:rPr>
        <w:t>porovnaní so 106</w:t>
      </w:r>
      <w:r w:rsidR="007E441B" w:rsidRPr="007E441B">
        <w:rPr>
          <w:rFonts w:ascii="Times New Roman" w:hAnsi="Times New Roman"/>
          <w:noProof/>
          <w:sz w:val="24"/>
        </w:rPr>
        <w:t xml:space="preserve"> v </w:t>
      </w:r>
      <w:r w:rsidRPr="007E441B">
        <w:rPr>
          <w:rFonts w:ascii="Times New Roman" w:hAnsi="Times New Roman"/>
          <w:noProof/>
          <w:sz w:val="24"/>
        </w:rPr>
        <w:t>roku 2019)</w:t>
      </w:r>
      <w:r w:rsidR="007E441B" w:rsidRPr="007E441B">
        <w:rPr>
          <w:rFonts w:ascii="Times New Roman" w:hAnsi="Times New Roman"/>
          <w:noProof/>
          <w:sz w:val="24"/>
        </w:rPr>
        <w:t xml:space="preserve"> a </w:t>
      </w:r>
      <w:r w:rsidRPr="007E441B">
        <w:rPr>
          <w:rFonts w:ascii="Times New Roman" w:hAnsi="Times New Roman"/>
          <w:noProof/>
          <w:sz w:val="24"/>
        </w:rPr>
        <w:t>Rusko</w:t>
      </w:r>
      <w:r w:rsidRPr="007E441B">
        <w:rPr>
          <w:rStyle w:val="FootnoteReference"/>
          <w:rFonts w:ascii="Times New Roman" w:hAnsi="Times New Roman" w:cs="Times New Roman"/>
          <w:noProof/>
          <w:sz w:val="24"/>
          <w:szCs w:val="24"/>
        </w:rPr>
        <w:footnoteReference w:id="9"/>
      </w:r>
      <w:r w:rsidRPr="007E441B">
        <w:rPr>
          <w:rFonts w:ascii="Times New Roman" w:hAnsi="Times New Roman"/>
          <w:noProof/>
          <w:sz w:val="24"/>
        </w:rPr>
        <w:t xml:space="preserve"> (v roku 2021 naň pripadalo 46 projektov</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20</w:t>
      </w:r>
      <w:r w:rsidR="007E441B" w:rsidRPr="007E441B">
        <w:rPr>
          <w:rFonts w:ascii="Times New Roman" w:hAnsi="Times New Roman"/>
          <w:noProof/>
          <w:sz w:val="24"/>
        </w:rPr>
        <w:t xml:space="preserve"> v </w:t>
      </w:r>
      <w:r w:rsidRPr="007E441B">
        <w:rPr>
          <w:rFonts w:ascii="Times New Roman" w:hAnsi="Times New Roman"/>
          <w:noProof/>
          <w:sz w:val="24"/>
        </w:rPr>
        <w:t>roku 2019).</w:t>
      </w:r>
    </w:p>
    <w:p w14:paraId="3EE926C1" w14:textId="39217C8B" w:rsidR="004641DD" w:rsidRPr="007E441B" w:rsidRDefault="005F3317" w:rsidP="00CF76DC">
      <w:pPr>
        <w:pStyle w:val="Caption"/>
        <w:keepNext/>
        <w:jc w:val="center"/>
        <w:rPr>
          <w:rFonts w:ascii="Times New Roman" w:hAnsi="Times New Roman" w:cs="Times New Roman"/>
          <w:noProof/>
          <w:color w:val="auto"/>
          <w:sz w:val="24"/>
          <w:szCs w:val="24"/>
        </w:rPr>
      </w:pPr>
      <w:bookmarkStart w:id="4" w:name="_Ref98166040"/>
      <w:bookmarkEnd w:id="3"/>
      <w:r w:rsidRPr="007E441B">
        <w:rPr>
          <w:rFonts w:ascii="Times New Roman" w:hAnsi="Times New Roman"/>
          <w:noProof/>
          <w:color w:val="auto"/>
          <w:sz w:val="24"/>
        </w:rPr>
        <w:t xml:space="preserve">Obrázok </w:t>
      </w:r>
      <w:r w:rsidRPr="007E441B">
        <w:rPr>
          <w:noProof/>
        </w:rPr>
        <w:fldChar w:fldCharType="begin"/>
      </w:r>
      <w:r w:rsidRPr="007E441B">
        <w:rPr>
          <w:rFonts w:ascii="Times New Roman" w:hAnsi="Times New Roman" w:cs="Times New Roman"/>
          <w:noProof/>
          <w:color w:val="auto"/>
          <w:sz w:val="24"/>
        </w:rPr>
        <w:instrText xml:space="preserve"> SEQ Figure \* ARABIC </w:instrText>
      </w:r>
      <w:r w:rsidRPr="007E441B">
        <w:rPr>
          <w:noProof/>
        </w:rPr>
        <w:fldChar w:fldCharType="separate"/>
      </w:r>
      <w:r w:rsidRPr="007E441B">
        <w:rPr>
          <w:rFonts w:ascii="Times New Roman" w:hAnsi="Times New Roman" w:cs="Times New Roman"/>
          <w:noProof/>
          <w:color w:val="auto"/>
          <w:sz w:val="24"/>
        </w:rPr>
        <w:t>3</w:t>
      </w:r>
      <w:r w:rsidRPr="007E441B">
        <w:rPr>
          <w:noProof/>
        </w:rPr>
        <w:fldChar w:fldCharType="end"/>
      </w:r>
      <w:r w:rsidRPr="007E441B">
        <w:rPr>
          <w:rFonts w:ascii="Times New Roman" w:hAnsi="Times New Roman"/>
          <w:noProof/>
          <w:color w:val="auto"/>
          <w:sz w:val="24"/>
        </w:rPr>
        <w:t>: Počet nadobudnutí majetkových účastí* (vľavo) a investícií na zelenej lúke (vpravo) v rokoch 2021 a 2020 – podrobnosti podľa zahraničnej jurisdikcie (desať najväčších investorov)</w:t>
      </w:r>
      <w:r w:rsidR="009A677B" w:rsidRPr="009A677B">
        <w:rPr>
          <w:noProof/>
          <w:lang w:val="en-GB" w:eastAsia="en-GB"/>
        </w:rPr>
        <w:drawing>
          <wp:inline distT="0" distB="0" distL="0" distR="0" wp14:anchorId="2EAA3BD6" wp14:editId="0CF76F9C">
            <wp:extent cx="2909632" cy="2107870"/>
            <wp:effectExtent l="0" t="0" r="508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461" cy="2118613"/>
                    </a:xfrm>
                    <a:prstGeom prst="rect">
                      <a:avLst/>
                    </a:prstGeom>
                    <a:noFill/>
                    <a:ln>
                      <a:noFill/>
                    </a:ln>
                  </pic:spPr>
                </pic:pic>
              </a:graphicData>
            </a:graphic>
          </wp:inline>
        </w:drawing>
      </w:r>
      <w:r w:rsidR="009A677B" w:rsidRPr="009A677B">
        <w:rPr>
          <w:noProof/>
          <w:lang w:val="en-GB" w:eastAsia="en-GB"/>
        </w:rPr>
        <w:drawing>
          <wp:inline distT="0" distB="0" distL="0" distR="0" wp14:anchorId="7C766FA1" wp14:editId="3603E943">
            <wp:extent cx="2997392" cy="21189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1920" cy="2143329"/>
                    </a:xfrm>
                    <a:prstGeom prst="rect">
                      <a:avLst/>
                    </a:prstGeom>
                    <a:noFill/>
                    <a:ln>
                      <a:noFill/>
                    </a:ln>
                  </pic:spPr>
                </pic:pic>
              </a:graphicData>
            </a:graphic>
          </wp:inline>
        </w:drawing>
      </w:r>
      <w:bookmarkEnd w:id="4"/>
    </w:p>
    <w:p w14:paraId="39936B17" w14:textId="4E1076C5" w:rsidR="004641DD" w:rsidRPr="007E441B" w:rsidRDefault="004641DD" w:rsidP="00CF76DC">
      <w:pPr>
        <w:pStyle w:val="Caption"/>
        <w:jc w:val="both"/>
        <w:rPr>
          <w:rFonts w:ascii="Times New Roman" w:hAnsi="Times New Roman" w:cs="Times New Roman"/>
          <w:i w:val="0"/>
          <w:noProof/>
          <w:color w:val="auto"/>
          <w:sz w:val="16"/>
          <w:szCs w:val="16"/>
        </w:rPr>
      </w:pPr>
      <w:r w:rsidRPr="007E441B">
        <w:rPr>
          <w:rFonts w:ascii="Times New Roman" w:hAnsi="Times New Roman"/>
          <w:i w:val="0"/>
          <w:noProof/>
          <w:color w:val="auto"/>
          <w:sz w:val="16"/>
        </w:rPr>
        <w:t>Zdroj: Výpočty JRC na základe údajov Bureau van Dijk extrahovaných 22. februára 2022. Daňové raje: exteritoriálne finančné strediská</w:t>
      </w:r>
      <w:r w:rsidRPr="007E441B">
        <w:rPr>
          <w:rStyle w:val="FootnoteReference"/>
          <w:rFonts w:ascii="Times New Roman" w:hAnsi="Times New Roman" w:cs="Times New Roman"/>
          <w:noProof/>
          <w:sz w:val="16"/>
          <w:szCs w:val="16"/>
        </w:rPr>
        <w:footnoteReference w:id="10"/>
      </w:r>
      <w:r w:rsidRPr="007E441B">
        <w:rPr>
          <w:rFonts w:ascii="Times New Roman" w:hAnsi="Times New Roman"/>
          <w:i w:val="0"/>
          <w:noProof/>
          <w:color w:val="auto"/>
          <w:sz w:val="16"/>
        </w:rPr>
        <w:t>. Zvyšok sveta: ostatné krajiny sveta (*) Akvizície majetkových účastí nad 10 % kapitálu podnikov</w:t>
      </w:r>
      <w:r w:rsidR="007E441B" w:rsidRPr="007E441B">
        <w:rPr>
          <w:rFonts w:ascii="Times New Roman" w:hAnsi="Times New Roman"/>
          <w:i w:val="0"/>
          <w:noProof/>
          <w:color w:val="auto"/>
          <w:sz w:val="16"/>
        </w:rPr>
        <w:t xml:space="preserve"> v </w:t>
      </w:r>
      <w:r w:rsidRPr="007E441B">
        <w:rPr>
          <w:rFonts w:ascii="Times New Roman" w:hAnsi="Times New Roman"/>
          <w:i w:val="0"/>
          <w:noProof/>
          <w:color w:val="auto"/>
          <w:sz w:val="16"/>
        </w:rPr>
        <w:t>EÚ.</w:t>
      </w:r>
    </w:p>
    <w:p w14:paraId="67802400" w14:textId="762B2B51" w:rsidR="004641DD" w:rsidRPr="007E441B" w:rsidRDefault="00C400C4" w:rsidP="00C400C4">
      <w:pPr>
        <w:spacing w:line="240" w:lineRule="auto"/>
        <w:jc w:val="both"/>
        <w:rPr>
          <w:rFonts w:ascii="Times New Roman" w:hAnsi="Times New Roman" w:cs="Times New Roman"/>
          <w:noProof/>
          <w:sz w:val="24"/>
          <w:szCs w:val="24"/>
        </w:rPr>
      </w:pPr>
      <w:r w:rsidRPr="007E441B">
        <w:rPr>
          <w:rFonts w:ascii="Times New Roman" w:hAnsi="Times New Roman"/>
          <w:noProof/>
          <w:sz w:val="24"/>
        </w:rPr>
        <w:t>Napriek pozitívnemu výhľadu analytikov na rok 2022, ktoré vyplývali</w:t>
      </w:r>
      <w:r w:rsidR="007E441B" w:rsidRPr="007E441B">
        <w:rPr>
          <w:rFonts w:ascii="Times New Roman" w:hAnsi="Times New Roman"/>
          <w:noProof/>
          <w:sz w:val="24"/>
        </w:rPr>
        <w:t xml:space="preserve"> z </w:t>
      </w:r>
      <w:r w:rsidRPr="007E441B">
        <w:rPr>
          <w:rFonts w:ascii="Times New Roman" w:hAnsi="Times New Roman"/>
          <w:noProof/>
          <w:sz w:val="24"/>
        </w:rPr>
        <w:t>očakávaní, že to najhoršie</w:t>
      </w:r>
      <w:r w:rsidR="007E441B" w:rsidRPr="007E441B">
        <w:rPr>
          <w:rFonts w:ascii="Times New Roman" w:hAnsi="Times New Roman"/>
          <w:noProof/>
          <w:sz w:val="24"/>
        </w:rPr>
        <w:t xml:space="preserve"> v </w:t>
      </w:r>
      <w:r w:rsidRPr="007E441B">
        <w:rPr>
          <w:rFonts w:ascii="Times New Roman" w:hAnsi="Times New Roman"/>
          <w:noProof/>
          <w:sz w:val="24"/>
        </w:rPr>
        <w:t>súvislosti</w:t>
      </w:r>
      <w:r w:rsidR="007E441B" w:rsidRPr="007E441B">
        <w:rPr>
          <w:rFonts w:ascii="Times New Roman" w:hAnsi="Times New Roman"/>
          <w:noProof/>
          <w:sz w:val="24"/>
        </w:rPr>
        <w:t xml:space="preserve"> s </w:t>
      </w:r>
      <w:r w:rsidRPr="007E441B">
        <w:rPr>
          <w:rFonts w:ascii="Times New Roman" w:hAnsi="Times New Roman"/>
          <w:noProof/>
          <w:sz w:val="24"/>
        </w:rPr>
        <w:t>pandémiou je za nami, sa nádeje rýchlo rozplývajú</w:t>
      </w:r>
      <w:r w:rsidR="007E441B" w:rsidRPr="007E441B">
        <w:rPr>
          <w:rFonts w:ascii="Times New Roman" w:hAnsi="Times New Roman"/>
          <w:noProof/>
          <w:sz w:val="24"/>
        </w:rPr>
        <w:t xml:space="preserve"> z </w:t>
      </w:r>
      <w:r w:rsidRPr="007E441B">
        <w:rPr>
          <w:rFonts w:ascii="Times New Roman" w:hAnsi="Times New Roman"/>
          <w:noProof/>
          <w:sz w:val="24"/>
        </w:rPr>
        <w:t>dôvodu neistej podnikateľskej atmosféry</w:t>
      </w:r>
      <w:r w:rsidR="007E441B" w:rsidRPr="007E441B">
        <w:rPr>
          <w:rFonts w:ascii="Times New Roman" w:hAnsi="Times New Roman"/>
          <w:noProof/>
          <w:sz w:val="24"/>
        </w:rPr>
        <w:t xml:space="preserve"> v </w:t>
      </w:r>
      <w:r w:rsidRPr="007E441B">
        <w:rPr>
          <w:rFonts w:ascii="Times New Roman" w:hAnsi="Times New Roman"/>
          <w:noProof/>
          <w:sz w:val="24"/>
        </w:rPr>
        <w:t>dôsledku nevyprovokovanej</w:t>
      </w:r>
      <w:r w:rsidR="007E441B" w:rsidRPr="007E441B">
        <w:rPr>
          <w:rFonts w:ascii="Times New Roman" w:hAnsi="Times New Roman"/>
          <w:noProof/>
          <w:sz w:val="24"/>
        </w:rPr>
        <w:t xml:space="preserve"> a </w:t>
      </w:r>
      <w:r w:rsidRPr="007E441B">
        <w:rPr>
          <w:rFonts w:ascii="Times New Roman" w:hAnsi="Times New Roman"/>
          <w:noProof/>
          <w:sz w:val="24"/>
        </w:rPr>
        <w:t>bezdôvodnej invázie Ruska na Ukrajinu. Hospodársky vplyv prudkého nárastu nákladov na energiu (ktorý sa už prejavoval pred touto inváziou)</w:t>
      </w:r>
      <w:r w:rsidR="007E441B" w:rsidRPr="007E441B">
        <w:rPr>
          <w:rFonts w:ascii="Times New Roman" w:hAnsi="Times New Roman"/>
          <w:noProof/>
          <w:sz w:val="24"/>
        </w:rPr>
        <w:t xml:space="preserve"> a </w:t>
      </w:r>
      <w:r w:rsidRPr="007E441B">
        <w:rPr>
          <w:rFonts w:ascii="Times New Roman" w:hAnsi="Times New Roman"/>
          <w:noProof/>
          <w:sz w:val="24"/>
        </w:rPr>
        <w:t>suroviny</w:t>
      </w:r>
      <w:r w:rsidR="007E441B" w:rsidRPr="007E441B">
        <w:rPr>
          <w:rFonts w:ascii="Times New Roman" w:hAnsi="Times New Roman"/>
          <w:noProof/>
          <w:sz w:val="24"/>
        </w:rPr>
        <w:t xml:space="preserve"> a </w:t>
      </w:r>
      <w:r w:rsidRPr="007E441B">
        <w:rPr>
          <w:rFonts w:ascii="Times New Roman" w:hAnsi="Times New Roman"/>
          <w:noProof/>
          <w:sz w:val="24"/>
        </w:rPr>
        <w:t>rozsah hospodárskych dôsledkov narušení dodávateľského reťazca, najmä</w:t>
      </w:r>
      <w:r w:rsidR="007E441B" w:rsidRPr="007E441B">
        <w:rPr>
          <w:rFonts w:ascii="Times New Roman" w:hAnsi="Times New Roman"/>
          <w:noProof/>
          <w:sz w:val="24"/>
        </w:rPr>
        <w:t xml:space="preserve"> v </w:t>
      </w:r>
      <w:r w:rsidRPr="007E441B">
        <w:rPr>
          <w:rFonts w:ascii="Times New Roman" w:hAnsi="Times New Roman"/>
          <w:noProof/>
          <w:sz w:val="24"/>
        </w:rPr>
        <w:t>prípade kritických surovín</w:t>
      </w:r>
      <w:r w:rsidR="007E441B" w:rsidRPr="007E441B">
        <w:rPr>
          <w:rFonts w:ascii="Times New Roman" w:hAnsi="Times New Roman"/>
          <w:noProof/>
          <w:sz w:val="24"/>
        </w:rPr>
        <w:t xml:space="preserve"> a </w:t>
      </w:r>
      <w:r w:rsidRPr="007E441B">
        <w:rPr>
          <w:rFonts w:ascii="Times New Roman" w:hAnsi="Times New Roman"/>
          <w:noProof/>
          <w:sz w:val="24"/>
        </w:rPr>
        <w:t>kritických technológií, ako aj slabšia celosvetová hospodárska aktivita</w:t>
      </w:r>
      <w:r w:rsidR="007E441B" w:rsidRPr="007E441B">
        <w:rPr>
          <w:rFonts w:ascii="Times New Roman" w:hAnsi="Times New Roman"/>
          <w:noProof/>
          <w:sz w:val="24"/>
        </w:rPr>
        <w:t xml:space="preserve"> a </w:t>
      </w:r>
      <w:r w:rsidRPr="007E441B">
        <w:rPr>
          <w:rFonts w:ascii="Times New Roman" w:hAnsi="Times New Roman"/>
          <w:noProof/>
          <w:sz w:val="24"/>
        </w:rPr>
        <w:t>obchod, ktoré ešte stále nemožno</w:t>
      </w:r>
      <w:r w:rsidR="007E441B" w:rsidRPr="007E441B">
        <w:rPr>
          <w:rFonts w:ascii="Times New Roman" w:hAnsi="Times New Roman"/>
          <w:noProof/>
          <w:sz w:val="24"/>
        </w:rPr>
        <w:t xml:space="preserve"> v </w:t>
      </w:r>
      <w:r w:rsidRPr="007E441B">
        <w:rPr>
          <w:rFonts w:ascii="Times New Roman" w:hAnsi="Times New Roman"/>
          <w:noProof/>
          <w:sz w:val="24"/>
        </w:rPr>
        <w:t>plnej miere posúdiť, ovplyvnia dynamiku vývoja počtu dohôd</w:t>
      </w:r>
      <w:r w:rsidR="007E441B" w:rsidRPr="007E441B">
        <w:rPr>
          <w:rFonts w:ascii="Times New Roman" w:hAnsi="Times New Roman"/>
          <w:noProof/>
          <w:sz w:val="24"/>
        </w:rPr>
        <w:t xml:space="preserve"> v </w:t>
      </w:r>
      <w:r w:rsidRPr="007E441B">
        <w:rPr>
          <w:rFonts w:ascii="Times New Roman" w:hAnsi="Times New Roman"/>
          <w:noProof/>
          <w:sz w:val="24"/>
        </w:rPr>
        <w:t>EÚ, čo môže viesť</w:t>
      </w:r>
      <w:r w:rsidR="007E441B" w:rsidRPr="007E441B">
        <w:rPr>
          <w:rFonts w:ascii="Times New Roman" w:hAnsi="Times New Roman"/>
          <w:noProof/>
          <w:sz w:val="24"/>
        </w:rPr>
        <w:t xml:space="preserve"> k </w:t>
      </w:r>
      <w:r w:rsidRPr="007E441B">
        <w:rPr>
          <w:rFonts w:ascii="Times New Roman" w:hAnsi="Times New Roman"/>
          <w:noProof/>
          <w:sz w:val="24"/>
        </w:rPr>
        <w:t>revízii pôvodného pozitívneho výhľadu na rok 2022 smerom nadol.</w:t>
      </w:r>
    </w:p>
    <w:p w14:paraId="39F1FB40" w14:textId="77777777" w:rsidR="00CF76DC" w:rsidRPr="007E441B" w:rsidRDefault="00CF76DC">
      <w:pPr>
        <w:rPr>
          <w:rFonts w:ascii="Times New Roman" w:hAnsi="Times New Roman" w:cs="Times New Roman"/>
          <w:iCs/>
          <w:noProof/>
          <w:sz w:val="24"/>
          <w:szCs w:val="24"/>
        </w:rPr>
      </w:pPr>
      <w:r w:rsidRPr="007E441B">
        <w:rPr>
          <w:noProof/>
        </w:rPr>
        <w:br w:type="page"/>
      </w:r>
    </w:p>
    <w:p w14:paraId="1340ABA2" w14:textId="31410565" w:rsidR="00BF1910" w:rsidRPr="007E441B" w:rsidRDefault="004641DD" w:rsidP="00CF76DC">
      <w:pPr>
        <w:pStyle w:val="Caption"/>
        <w:spacing w:after="240"/>
        <w:jc w:val="both"/>
        <w:rPr>
          <w:rFonts w:ascii="Times New Roman" w:hAnsi="Times New Roman" w:cs="Times New Roman"/>
          <w:i w:val="0"/>
          <w:noProof/>
          <w:color w:val="auto"/>
          <w:sz w:val="24"/>
          <w:szCs w:val="24"/>
        </w:rPr>
      </w:pPr>
      <w:r w:rsidRPr="007E441B">
        <w:rPr>
          <w:rFonts w:ascii="Times New Roman" w:hAnsi="Times New Roman"/>
          <w:i w:val="0"/>
          <w:noProof/>
          <w:color w:val="auto"/>
          <w:sz w:val="24"/>
        </w:rPr>
        <w:t>Počet transakcií podľa cieľovej krajiny EÚ vykazoval</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2020 výrazný nárast počtu zahraničných transakcií (</w:t>
      </w:r>
      <w:r w:rsidRPr="007E441B">
        <w:rPr>
          <w:rFonts w:ascii="Times New Roman" w:hAnsi="Times New Roman" w:cs="Times New Roman"/>
          <w:i w:val="0"/>
          <w:noProof/>
          <w:color w:val="auto"/>
          <w:sz w:val="24"/>
        </w:rPr>
        <w:fldChar w:fldCharType="begin"/>
      </w:r>
      <w:r w:rsidRPr="007E441B">
        <w:rPr>
          <w:rFonts w:ascii="Times New Roman" w:hAnsi="Times New Roman" w:cs="Times New Roman"/>
          <w:i w:val="0"/>
          <w:noProof/>
          <w:color w:val="auto"/>
          <w:sz w:val="24"/>
        </w:rPr>
        <w:instrText xml:space="preserve"> REF _Ref98166420  \* MERGEFORMAT </w:instrText>
      </w:r>
      <w:r w:rsidRPr="007E441B">
        <w:rPr>
          <w:rFonts w:ascii="Times New Roman" w:hAnsi="Times New Roman" w:cs="Times New Roman"/>
          <w:i w:val="0"/>
          <w:noProof/>
          <w:color w:val="auto"/>
          <w:sz w:val="24"/>
        </w:rPr>
        <w:fldChar w:fldCharType="separate"/>
      </w:r>
      <w:r w:rsidRPr="007E441B">
        <w:rPr>
          <w:rFonts w:ascii="Times New Roman" w:hAnsi="Times New Roman" w:cs="Times New Roman"/>
          <w:b/>
          <w:i w:val="0"/>
          <w:noProof/>
          <w:color w:val="auto"/>
          <w:sz w:val="24"/>
        </w:rPr>
        <w:t xml:space="preserve">Figure </w:t>
      </w:r>
      <w:r w:rsidRPr="007E441B">
        <w:rPr>
          <w:rFonts w:ascii="Times New Roman" w:hAnsi="Times New Roman" w:cs="Times New Roman"/>
          <w:i w:val="0"/>
          <w:noProof/>
          <w:color w:val="auto"/>
          <w:sz w:val="24"/>
        </w:rPr>
        <w:fldChar w:fldCharType="end"/>
      </w:r>
      <w:r w:rsidRPr="007E441B">
        <w:rPr>
          <w:rFonts w:ascii="Times New Roman" w:hAnsi="Times New Roman"/>
          <w:b/>
          <w:i w:val="0"/>
          <w:noProof/>
          <w:color w:val="auto"/>
          <w:sz w:val="24"/>
        </w:rPr>
        <w:t>4</w:t>
      </w:r>
      <w:r w:rsidRPr="007E441B">
        <w:rPr>
          <w:rFonts w:ascii="Times New Roman" w:hAnsi="Times New Roman"/>
          <w:i w:val="0"/>
          <w:noProof/>
          <w:color w:val="auto"/>
          <w:sz w:val="24"/>
        </w:rPr>
        <w:t>). Nemecko</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podielom 16,4 % všetkých akvizícií uskutočnených zahraničnými investormi bolo</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hlavnou cieľovou krajinou</w:t>
      </w:r>
      <w:r w:rsidR="007E441B" w:rsidRPr="007E441B">
        <w:rPr>
          <w:rFonts w:ascii="Times New Roman" w:hAnsi="Times New Roman"/>
          <w:i w:val="0"/>
          <w:noProof/>
          <w:color w:val="auto"/>
          <w:sz w:val="24"/>
        </w:rPr>
        <w:t xml:space="preserve"> a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2020 zaznamenalo 20 % nárast počtu transakcií. Nasledovalo Španielsko (s podielom zahraničných transakcií 13,8 %), Francúzsko (s 10,7 %)</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Holandsko (s 10,5 %), pričom tieto krajiny zaznamenali dvojciferné ročné miery rastu</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predchádzajúcim rokom.</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bolo na čele rebríčka najväčších prijímateľov zahraničných investícií na zelenej lúke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EÚ Španielsko (22,2 %</w:t>
      </w:r>
      <w:r w:rsidR="007E441B" w:rsidRPr="007E441B">
        <w:rPr>
          <w:rFonts w:ascii="Times New Roman" w:hAnsi="Times New Roman"/>
          <w:i w:val="0"/>
          <w:noProof/>
          <w:color w:val="auto"/>
          <w:sz w:val="24"/>
        </w:rPr>
        <w:t xml:space="preserve"> z </w:t>
      </w:r>
      <w:r w:rsidRPr="007E441B">
        <w:rPr>
          <w:rFonts w:ascii="Times New Roman" w:hAnsi="Times New Roman"/>
          <w:i w:val="0"/>
          <w:noProof/>
          <w:color w:val="auto"/>
          <w:sz w:val="24"/>
        </w:rPr>
        <w:t>celkového množstva), po ktorom nasledovalo Francúzsko (12,7 %)</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Nemecko (11,2 %). Posledné dve uvedené krajiny boli spolu</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Talianskom jedinými spomedzi desiatich najväčších prijímateľov investícií na zelenej lúke,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ktorých zahraničné projekty</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2020 nezaznamenali nárast</w:t>
      </w:r>
      <w:r w:rsidRPr="007E441B">
        <w:rPr>
          <w:rStyle w:val="FootnoteReference"/>
          <w:rFonts w:ascii="Times New Roman" w:hAnsi="Times New Roman" w:cs="Times New Roman"/>
          <w:i w:val="0"/>
          <w:noProof/>
          <w:color w:val="auto"/>
          <w:sz w:val="24"/>
          <w:szCs w:val="24"/>
        </w:rPr>
        <w:footnoteReference w:id="11"/>
      </w:r>
      <w:r w:rsidRPr="007E441B">
        <w:rPr>
          <w:rFonts w:ascii="Times New Roman" w:hAnsi="Times New Roman"/>
          <w:i w:val="0"/>
          <w:noProof/>
          <w:color w:val="auto"/>
          <w:sz w:val="24"/>
        </w:rPr>
        <w:t xml:space="preserve">. </w:t>
      </w:r>
      <w:bookmarkStart w:id="5" w:name="_Ref98166420"/>
    </w:p>
    <w:p w14:paraId="3305101D" w14:textId="5CD77777" w:rsidR="004641DD" w:rsidRPr="007E441B" w:rsidRDefault="004641DD" w:rsidP="00CF76DC">
      <w:pPr>
        <w:pStyle w:val="Caption"/>
        <w:jc w:val="center"/>
        <w:rPr>
          <w:rFonts w:ascii="Times New Roman" w:hAnsi="Times New Roman" w:cs="Times New Roman"/>
          <w:i w:val="0"/>
          <w:noProof/>
          <w:color w:val="auto"/>
          <w:sz w:val="24"/>
          <w:szCs w:val="24"/>
        </w:rPr>
      </w:pPr>
      <w:r w:rsidRPr="007E441B">
        <w:rPr>
          <w:rFonts w:ascii="Times New Roman" w:hAnsi="Times New Roman"/>
          <w:noProof/>
          <w:color w:val="auto"/>
          <w:sz w:val="24"/>
        </w:rPr>
        <w:t xml:space="preserve">Obrázok </w:t>
      </w:r>
      <w:r w:rsidRPr="007E441B">
        <w:rPr>
          <w:noProof/>
        </w:rPr>
        <w:fldChar w:fldCharType="begin"/>
      </w:r>
      <w:r w:rsidRPr="007E441B">
        <w:rPr>
          <w:rFonts w:ascii="Times New Roman" w:hAnsi="Times New Roman" w:cs="Times New Roman"/>
          <w:noProof/>
          <w:color w:val="auto"/>
          <w:sz w:val="24"/>
        </w:rPr>
        <w:instrText xml:space="preserve"> SEQ Figure \* ARABIC </w:instrText>
      </w:r>
      <w:r w:rsidRPr="007E441B">
        <w:rPr>
          <w:noProof/>
        </w:rPr>
        <w:fldChar w:fldCharType="separate"/>
      </w:r>
      <w:r w:rsidRPr="007E441B">
        <w:rPr>
          <w:rFonts w:ascii="Times New Roman" w:hAnsi="Times New Roman" w:cs="Times New Roman"/>
          <w:noProof/>
          <w:color w:val="auto"/>
          <w:sz w:val="24"/>
        </w:rPr>
        <w:t>4</w:t>
      </w:r>
      <w:r w:rsidRPr="007E441B">
        <w:rPr>
          <w:noProof/>
        </w:rPr>
        <w:fldChar w:fldCharType="end"/>
      </w:r>
      <w:bookmarkEnd w:id="5"/>
      <w:r w:rsidRPr="007E441B">
        <w:rPr>
          <w:rFonts w:ascii="Times New Roman" w:hAnsi="Times New Roman"/>
          <w:noProof/>
          <w:color w:val="auto"/>
          <w:sz w:val="24"/>
        </w:rPr>
        <w:t>: Počet nadobudnutí majetkových účastí* (vľavo)</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investícií na zelenej lúke (vpravo)</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rokoch 2021</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2020 – podrobnosti podľa cieľovej krajiny (desať najväčších príjemcov</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EÚ)</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4641DD" w:rsidRPr="007E441B" w14:paraId="0BA1D14E" w14:textId="77777777" w:rsidTr="003706C8">
        <w:trPr>
          <w:trHeight w:val="2811"/>
          <w:tblHeader/>
        </w:trPr>
        <w:tc>
          <w:tcPr>
            <w:tcW w:w="4882" w:type="dxa"/>
            <w:hideMark/>
          </w:tcPr>
          <w:p w14:paraId="6447ED18" w14:textId="5CCCCB23" w:rsidR="004641DD" w:rsidRPr="007E441B" w:rsidRDefault="00165110" w:rsidP="00CF76DC">
            <w:pPr>
              <w:jc w:val="both"/>
              <w:rPr>
                <w:rFonts w:ascii="Times New Roman" w:hAnsi="Times New Roman" w:cs="Times New Roman"/>
                <w:noProof/>
                <w:sz w:val="24"/>
                <w:szCs w:val="24"/>
              </w:rPr>
            </w:pPr>
            <w:r w:rsidRPr="00165110">
              <w:rPr>
                <w:rFonts w:ascii="Times New Roman" w:hAnsi="Times New Roman" w:cs="Times New Roman"/>
                <w:noProof/>
                <w:sz w:val="24"/>
                <w:szCs w:val="24"/>
                <w:lang w:val="en-GB" w:eastAsia="en-GB"/>
              </w:rPr>
              <w:drawing>
                <wp:inline distT="0" distB="0" distL="0" distR="0" wp14:anchorId="2D774BB8" wp14:editId="7811C558">
                  <wp:extent cx="2962910" cy="1823085"/>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2910" cy="1823085"/>
                          </a:xfrm>
                          <a:prstGeom prst="rect">
                            <a:avLst/>
                          </a:prstGeom>
                          <a:noFill/>
                          <a:ln>
                            <a:noFill/>
                          </a:ln>
                        </pic:spPr>
                      </pic:pic>
                    </a:graphicData>
                  </a:graphic>
                </wp:inline>
              </w:drawing>
            </w:r>
          </w:p>
        </w:tc>
        <w:tc>
          <w:tcPr>
            <w:tcW w:w="4882" w:type="dxa"/>
            <w:hideMark/>
          </w:tcPr>
          <w:p w14:paraId="365F9347" w14:textId="4A96657D" w:rsidR="004641DD" w:rsidRPr="007E441B" w:rsidRDefault="005D1D3E" w:rsidP="00CF76DC">
            <w:pPr>
              <w:keepNext/>
              <w:jc w:val="both"/>
              <w:rPr>
                <w:rFonts w:ascii="Times New Roman" w:hAnsi="Times New Roman" w:cs="Times New Roman"/>
                <w:noProof/>
                <w:sz w:val="24"/>
                <w:szCs w:val="24"/>
              </w:rPr>
            </w:pPr>
            <w:r w:rsidRPr="005D1D3E">
              <w:rPr>
                <w:rFonts w:ascii="Times New Roman" w:hAnsi="Times New Roman" w:cs="Times New Roman"/>
                <w:noProof/>
                <w:sz w:val="24"/>
                <w:szCs w:val="24"/>
                <w:lang w:val="en-GB" w:eastAsia="en-GB"/>
              </w:rPr>
              <w:drawing>
                <wp:inline distT="0" distB="0" distL="0" distR="0" wp14:anchorId="645ECA70" wp14:editId="6733D59A">
                  <wp:extent cx="2957195" cy="17513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195" cy="1751330"/>
                          </a:xfrm>
                          <a:prstGeom prst="rect">
                            <a:avLst/>
                          </a:prstGeom>
                          <a:noFill/>
                          <a:ln>
                            <a:noFill/>
                          </a:ln>
                        </pic:spPr>
                      </pic:pic>
                    </a:graphicData>
                  </a:graphic>
                </wp:inline>
              </w:drawing>
            </w:r>
          </w:p>
        </w:tc>
      </w:tr>
    </w:tbl>
    <w:p w14:paraId="59E74DE3" w14:textId="1190A33C" w:rsidR="004641DD" w:rsidRPr="007E441B" w:rsidRDefault="004641DD" w:rsidP="00CF76DC">
      <w:pPr>
        <w:pStyle w:val="Caption"/>
        <w:rPr>
          <w:rFonts w:ascii="Times New Roman" w:hAnsi="Times New Roman" w:cs="Times New Roman"/>
          <w:i w:val="0"/>
          <w:noProof/>
          <w:color w:val="auto"/>
          <w:sz w:val="16"/>
          <w:szCs w:val="16"/>
        </w:rPr>
      </w:pPr>
      <w:r w:rsidRPr="007E441B">
        <w:rPr>
          <w:rFonts w:ascii="Times New Roman" w:hAnsi="Times New Roman"/>
          <w:i w:val="0"/>
          <w:noProof/>
          <w:color w:val="auto"/>
          <w:sz w:val="16"/>
        </w:rPr>
        <w:t>Zdroj: Výpočty JRC na základe údajov Bureau van Dijk extrahovaných 22. februára 2022. Zvyšok EÚ znamená ostatné krajiny EÚ. (*) Akvizície majetkových účastí nad 10 % kapitálu podnikov</w:t>
      </w:r>
      <w:r w:rsidR="007E441B" w:rsidRPr="007E441B">
        <w:rPr>
          <w:rFonts w:ascii="Times New Roman" w:hAnsi="Times New Roman"/>
          <w:i w:val="0"/>
          <w:noProof/>
          <w:color w:val="auto"/>
          <w:sz w:val="16"/>
        </w:rPr>
        <w:t xml:space="preserve"> v </w:t>
      </w:r>
      <w:r w:rsidRPr="007E441B">
        <w:rPr>
          <w:rFonts w:ascii="Times New Roman" w:hAnsi="Times New Roman"/>
          <w:i w:val="0"/>
          <w:noProof/>
          <w:color w:val="auto"/>
          <w:sz w:val="16"/>
        </w:rPr>
        <w:t>EÚ.</w:t>
      </w:r>
    </w:p>
    <w:p w14:paraId="19A3F248" w14:textId="592692F1" w:rsidR="00E77956" w:rsidRPr="007E441B" w:rsidRDefault="004641DD" w:rsidP="00CF76DC">
      <w:pPr>
        <w:pStyle w:val="Caption"/>
        <w:jc w:val="both"/>
        <w:rPr>
          <w:rFonts w:ascii="Times New Roman" w:hAnsi="Times New Roman" w:cs="Times New Roman"/>
          <w:i w:val="0"/>
          <w:noProof/>
          <w:color w:val="auto"/>
          <w:sz w:val="24"/>
          <w:szCs w:val="24"/>
        </w:rPr>
      </w:pPr>
      <w:bookmarkStart w:id="6" w:name="_Ref98166485"/>
      <w:r w:rsidRPr="007E441B">
        <w:rPr>
          <w:rFonts w:ascii="Times New Roman" w:hAnsi="Times New Roman"/>
          <w:i w:val="0"/>
          <w:noProof/>
          <w:color w:val="auto"/>
          <w:sz w:val="24"/>
        </w:rPr>
        <w:t>Bližší pohľad na sektory, na ktoré sa zameriavajú zahraniční investori, ukazuje, že hnacou silou oživenia zahraničných transakcií</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EÚ sú IKT (informačné</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komunikačné technológie)</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výroba sú (</w:t>
      </w:r>
      <w:r w:rsidRPr="007E441B">
        <w:rPr>
          <w:rFonts w:ascii="Times New Roman" w:hAnsi="Times New Roman"/>
          <w:b/>
          <w:i w:val="0"/>
          <w:noProof/>
          <w:color w:val="auto"/>
          <w:sz w:val="24"/>
        </w:rPr>
        <w:t>obrázok 5</w:t>
      </w:r>
      <w:r w:rsidRPr="007E441B">
        <w:rPr>
          <w:rStyle w:val="FootnoteReference"/>
          <w:rFonts w:ascii="Times New Roman" w:hAnsi="Times New Roman" w:cs="Times New Roman"/>
          <w:i w:val="0"/>
          <w:noProof/>
          <w:color w:val="auto"/>
          <w:sz w:val="24"/>
          <w:szCs w:val="24"/>
        </w:rPr>
        <w:footnoteReference w:id="12"/>
      </w:r>
      <w:r w:rsidRPr="007E441B">
        <w:rPr>
          <w:rFonts w:ascii="Times New Roman" w:hAnsi="Times New Roman"/>
          <w:i w:val="0"/>
          <w:noProof/>
          <w:color w:val="auto"/>
          <w:sz w:val="24"/>
        </w:rPr>
        <w:t>). IKT sa umiestnili na prvom mieste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akvizíciách</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na druhom mieste (po maloobchode)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investíciách na zelenej lúke – pripadá na ne 30 % nových akvizícií</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15,4 % nových investícií na zelenej lúke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čo</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2020 predstavuje nárast</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34 %, pokiaľ ide</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akvizície</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15 %, pokiaľ ide</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investície na zelenej lúke. Nasleduje výrobné odvetvie, do ktorého smerovalo</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25,9 % celkových zahraničných akvizícií</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12 % zahraničných investícií na zelenej lúke, čo je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predchádzajúcim rokom nárast</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+ 38 % (pokiaľ ide</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takéto akvizície)</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+ 12 % (pokiaľ ide</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investície na zelenej lúke).</w:t>
      </w:r>
    </w:p>
    <w:p w14:paraId="41926E73" w14:textId="1E310F2F" w:rsidR="00E77956" w:rsidRPr="007E441B" w:rsidRDefault="00E77956" w:rsidP="00CF76DC">
      <w:pPr>
        <w:pStyle w:val="Caption"/>
        <w:jc w:val="both"/>
        <w:rPr>
          <w:rFonts w:ascii="Times New Roman" w:hAnsi="Times New Roman" w:cs="Times New Roman"/>
          <w:i w:val="0"/>
          <w:noProof/>
          <w:color w:val="auto"/>
          <w:sz w:val="24"/>
          <w:szCs w:val="24"/>
        </w:rPr>
      </w:pPr>
      <w:r w:rsidRPr="007E441B">
        <w:rPr>
          <w:rFonts w:ascii="Times New Roman" w:hAnsi="Times New Roman"/>
          <w:i w:val="0"/>
          <w:noProof/>
          <w:color w:val="auto"/>
          <w:sz w:val="24"/>
        </w:rPr>
        <w:t>Zahraničné transakcie získali</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2020 vo všetkých hlavných sektoroch nový impulz</w:t>
      </w:r>
      <w:r w:rsidR="007E441B" w:rsidRPr="007E441B">
        <w:rPr>
          <w:rFonts w:ascii="Times New Roman" w:hAnsi="Times New Roman"/>
          <w:i w:val="0"/>
          <w:noProof/>
          <w:color w:val="auto"/>
          <w:sz w:val="24"/>
        </w:rPr>
        <w:t xml:space="preserve"> a v </w:t>
      </w:r>
      <w:r w:rsidRPr="007E441B">
        <w:rPr>
          <w:rFonts w:ascii="Times New Roman" w:hAnsi="Times New Roman"/>
          <w:i w:val="0"/>
          <w:noProof/>
          <w:color w:val="auto"/>
          <w:sz w:val="24"/>
        </w:rPr>
        <w:t>niektorých kategóriách dosiahli alebo dokonca prekročili úroveň pred pandémiou COVID-19. Pokiaľ ide</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nadobúdanie majetkových účastí, úrovne</w:t>
      </w:r>
      <w:r w:rsidR="007E441B" w:rsidRPr="007E441B">
        <w:rPr>
          <w:rFonts w:ascii="Times New Roman" w:hAnsi="Times New Roman"/>
          <w:i w:val="0"/>
          <w:noProof/>
          <w:color w:val="auto"/>
          <w:sz w:val="24"/>
        </w:rPr>
        <w:t xml:space="preserve"> z </w:t>
      </w:r>
      <w:r w:rsidRPr="007E441B">
        <w:rPr>
          <w:rFonts w:ascii="Times New Roman" w:hAnsi="Times New Roman"/>
          <w:i w:val="0"/>
          <w:noProof/>
          <w:color w:val="auto"/>
          <w:sz w:val="24"/>
        </w:rPr>
        <w:t>roku 2019 boli okrem iného dosiahnuté</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oblasti IKT, odborných</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vedeckých činností</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výstavby, pričom</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došlo</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porovnaní</w:t>
      </w:r>
      <w:r w:rsidR="007E441B" w:rsidRPr="007E441B">
        <w:rPr>
          <w:rFonts w:ascii="Times New Roman" w:hAnsi="Times New Roman"/>
          <w:i w:val="0"/>
          <w:noProof/>
          <w:color w:val="auto"/>
          <w:sz w:val="24"/>
        </w:rPr>
        <w:t xml:space="preserve"> s </w:t>
      </w:r>
      <w:r w:rsidRPr="007E441B">
        <w:rPr>
          <w:rFonts w:ascii="Times New Roman" w:hAnsi="Times New Roman"/>
          <w:i w:val="0"/>
          <w:noProof/>
          <w:color w:val="auto"/>
          <w:sz w:val="24"/>
        </w:rPr>
        <w:t>rokom 2019</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rámci IKT</w:t>
      </w:r>
      <w:r w:rsidR="007E441B" w:rsidRPr="007E441B">
        <w:rPr>
          <w:rFonts w:ascii="Times New Roman" w:hAnsi="Times New Roman"/>
          <w:i w:val="0"/>
          <w:noProof/>
          <w:color w:val="auto"/>
          <w:sz w:val="24"/>
        </w:rPr>
        <w:t xml:space="preserve"> k </w:t>
      </w:r>
      <w:r w:rsidRPr="007E441B">
        <w:rPr>
          <w:rFonts w:ascii="Times New Roman" w:hAnsi="Times New Roman"/>
          <w:i w:val="0"/>
          <w:noProof/>
          <w:color w:val="auto"/>
          <w:sz w:val="24"/>
        </w:rPr>
        <w:t>zvýšeniu</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27 %,</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rámci odborných</w:t>
      </w:r>
      <w:r w:rsidR="007E441B" w:rsidRPr="007E441B">
        <w:rPr>
          <w:rFonts w:ascii="Times New Roman" w:hAnsi="Times New Roman"/>
          <w:i w:val="0"/>
          <w:noProof/>
          <w:color w:val="auto"/>
          <w:sz w:val="24"/>
        </w:rPr>
        <w:t xml:space="preserve"> a </w:t>
      </w:r>
      <w:r w:rsidRPr="007E441B">
        <w:rPr>
          <w:rFonts w:ascii="Times New Roman" w:hAnsi="Times New Roman"/>
          <w:i w:val="0"/>
          <w:noProof/>
          <w:color w:val="auto"/>
          <w:sz w:val="24"/>
        </w:rPr>
        <w:t>vedeckých činností</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8,3 %</w:t>
      </w:r>
      <w:r w:rsidR="007E441B" w:rsidRPr="007E441B">
        <w:rPr>
          <w:rFonts w:ascii="Times New Roman" w:hAnsi="Times New Roman"/>
          <w:i w:val="0"/>
          <w:noProof/>
          <w:color w:val="auto"/>
          <w:sz w:val="24"/>
        </w:rPr>
        <w:t xml:space="preserve"> a v </w:t>
      </w:r>
      <w:r w:rsidRPr="007E441B">
        <w:rPr>
          <w:rFonts w:ascii="Times New Roman" w:hAnsi="Times New Roman"/>
          <w:i w:val="0"/>
          <w:noProof/>
          <w:color w:val="auto"/>
          <w:sz w:val="24"/>
        </w:rPr>
        <w:t>rámci výstavby</w:t>
      </w:r>
      <w:r w:rsidR="007E441B" w:rsidRPr="007E441B">
        <w:rPr>
          <w:rFonts w:ascii="Times New Roman" w:hAnsi="Times New Roman"/>
          <w:i w:val="0"/>
          <w:noProof/>
          <w:color w:val="auto"/>
          <w:sz w:val="24"/>
        </w:rPr>
        <w:t xml:space="preserve"> o </w:t>
      </w:r>
      <w:r w:rsidRPr="007E441B">
        <w:rPr>
          <w:rFonts w:ascii="Times New Roman" w:hAnsi="Times New Roman"/>
          <w:i w:val="0"/>
          <w:noProof/>
          <w:color w:val="auto"/>
          <w:sz w:val="24"/>
        </w:rPr>
        <w:t>10 %. Zahraničné investície na zelenej lúke na druhej strane nedosahujú tak ľahko oživenie.</w:t>
      </w:r>
    </w:p>
    <w:p w14:paraId="29A417C2" w14:textId="772C6CF0" w:rsidR="004641DD" w:rsidRPr="007E441B" w:rsidRDefault="004641DD" w:rsidP="00CF76DC">
      <w:pPr>
        <w:pStyle w:val="Caption"/>
        <w:jc w:val="both"/>
        <w:rPr>
          <w:rFonts w:ascii="Times New Roman" w:hAnsi="Times New Roman" w:cs="Times New Roman"/>
          <w:i w:val="0"/>
          <w:noProof/>
          <w:color w:val="auto"/>
          <w:sz w:val="24"/>
          <w:szCs w:val="24"/>
        </w:rPr>
      </w:pPr>
      <w:r w:rsidRPr="007E441B">
        <w:rPr>
          <w:rFonts w:ascii="Times New Roman" w:hAnsi="Times New Roman"/>
          <w:i w:val="0"/>
          <w:noProof/>
          <w:color w:val="auto"/>
          <w:sz w:val="24"/>
        </w:rPr>
        <w:t>S výnimkou odvetvia pohostinnosti investície na zelenej lúke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2021 zaostávajú za úrovňami</w:t>
      </w:r>
      <w:r w:rsidR="007E441B" w:rsidRPr="007E441B">
        <w:rPr>
          <w:rFonts w:ascii="Times New Roman" w:hAnsi="Times New Roman"/>
          <w:i w:val="0"/>
          <w:noProof/>
          <w:color w:val="auto"/>
          <w:sz w:val="24"/>
        </w:rPr>
        <w:t xml:space="preserve"> z </w:t>
      </w:r>
      <w:r w:rsidRPr="007E441B">
        <w:rPr>
          <w:rFonts w:ascii="Times New Roman" w:hAnsi="Times New Roman"/>
          <w:i w:val="0"/>
          <w:noProof/>
          <w:color w:val="auto"/>
          <w:sz w:val="24"/>
        </w:rPr>
        <w:t>roku 2019, hoci badať po poklese</w:t>
      </w:r>
      <w:r w:rsidR="007E441B" w:rsidRPr="007E441B">
        <w:rPr>
          <w:rFonts w:ascii="Times New Roman" w:hAnsi="Times New Roman"/>
          <w:i w:val="0"/>
          <w:noProof/>
          <w:color w:val="auto"/>
          <w:sz w:val="24"/>
        </w:rPr>
        <w:t xml:space="preserve"> v </w:t>
      </w:r>
      <w:r w:rsidRPr="007E441B">
        <w:rPr>
          <w:rFonts w:ascii="Times New Roman" w:hAnsi="Times New Roman"/>
          <w:i w:val="0"/>
          <w:noProof/>
          <w:color w:val="auto"/>
          <w:sz w:val="24"/>
        </w:rPr>
        <w:t>roku 2020 pozitívne smerovanie.</w:t>
      </w:r>
    </w:p>
    <w:p w14:paraId="2DA65438" w14:textId="29CA7639" w:rsidR="004641DD" w:rsidRPr="007E441B" w:rsidRDefault="004641DD" w:rsidP="00CF76DC">
      <w:pPr>
        <w:pStyle w:val="Caption"/>
        <w:keepNext/>
        <w:jc w:val="center"/>
        <w:rPr>
          <w:rFonts w:ascii="Times New Roman" w:hAnsi="Times New Roman" w:cs="Times New Roman"/>
          <w:noProof/>
          <w:color w:val="auto"/>
          <w:sz w:val="24"/>
          <w:szCs w:val="24"/>
        </w:rPr>
      </w:pPr>
      <w:r w:rsidRPr="007E441B">
        <w:rPr>
          <w:rFonts w:ascii="Times New Roman" w:hAnsi="Times New Roman"/>
          <w:noProof/>
          <w:color w:val="auto"/>
          <w:sz w:val="24"/>
        </w:rPr>
        <w:t xml:space="preserve">Obrázok </w:t>
      </w:r>
      <w:r w:rsidRPr="007E441B">
        <w:rPr>
          <w:rFonts w:ascii="Times New Roman" w:hAnsi="Times New Roman" w:cs="Times New Roman"/>
          <w:noProof/>
          <w:sz w:val="24"/>
        </w:rPr>
        <w:fldChar w:fldCharType="begin"/>
      </w:r>
      <w:r w:rsidRPr="007E441B">
        <w:rPr>
          <w:rFonts w:ascii="Times New Roman" w:hAnsi="Times New Roman" w:cs="Times New Roman"/>
          <w:noProof/>
          <w:color w:val="auto"/>
          <w:sz w:val="24"/>
        </w:rPr>
        <w:instrText xml:space="preserve"> SEQ Figure \* ARABIC </w:instrText>
      </w:r>
      <w:r w:rsidRPr="007E441B">
        <w:rPr>
          <w:rFonts w:ascii="Times New Roman" w:hAnsi="Times New Roman" w:cs="Times New Roman"/>
          <w:noProof/>
          <w:sz w:val="24"/>
        </w:rPr>
        <w:fldChar w:fldCharType="separate"/>
      </w:r>
      <w:r w:rsidRPr="007E441B">
        <w:rPr>
          <w:rFonts w:ascii="Times New Roman" w:hAnsi="Times New Roman" w:cs="Times New Roman"/>
          <w:noProof/>
          <w:color w:val="auto"/>
          <w:sz w:val="24"/>
        </w:rPr>
        <w:t>5</w:t>
      </w:r>
      <w:r w:rsidRPr="007E441B">
        <w:rPr>
          <w:rFonts w:ascii="Times New Roman" w:hAnsi="Times New Roman" w:cs="Times New Roman"/>
          <w:noProof/>
          <w:sz w:val="24"/>
        </w:rPr>
        <w:fldChar w:fldCharType="end"/>
      </w:r>
      <w:bookmarkEnd w:id="6"/>
      <w:r w:rsidRPr="007E441B">
        <w:rPr>
          <w:rFonts w:ascii="Times New Roman" w:hAnsi="Times New Roman"/>
          <w:noProof/>
          <w:color w:val="auto"/>
          <w:sz w:val="24"/>
        </w:rPr>
        <w:t>: Počet nadobudnutí majetkových účastí* (vľavo)</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investícií na zelenej lúke (vpravo)</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rokoch 2021</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2020 – podrobnosti podľa klasifikácie NACE (päť najväčších kategórií)</w:t>
      </w:r>
    </w:p>
    <w:tbl>
      <w:tblPr>
        <w:tblStyle w:val="TableGrid"/>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tblGrid>
      <w:tr w:rsidR="004641DD" w:rsidRPr="007E441B" w14:paraId="36DD151F" w14:textId="77777777" w:rsidTr="003706C8">
        <w:trPr>
          <w:trHeight w:val="3188"/>
        </w:trPr>
        <w:tc>
          <w:tcPr>
            <w:tcW w:w="4888" w:type="dxa"/>
            <w:hideMark/>
          </w:tcPr>
          <w:p w14:paraId="60F9A688" w14:textId="58EA4D46" w:rsidR="004641DD" w:rsidRPr="007E441B" w:rsidRDefault="00165110" w:rsidP="00CF76DC">
            <w:pPr>
              <w:jc w:val="both"/>
              <w:rPr>
                <w:rFonts w:ascii="Times New Roman" w:hAnsi="Times New Roman" w:cs="Times New Roman"/>
                <w:noProof/>
                <w:sz w:val="24"/>
                <w:szCs w:val="24"/>
              </w:rPr>
            </w:pPr>
            <w:r w:rsidRPr="00165110">
              <w:rPr>
                <w:rFonts w:ascii="Times New Roman" w:hAnsi="Times New Roman" w:cs="Times New Roman"/>
                <w:noProof/>
                <w:sz w:val="24"/>
                <w:szCs w:val="24"/>
                <w:lang w:val="en-GB" w:eastAsia="en-GB"/>
              </w:rPr>
              <w:drawing>
                <wp:inline distT="0" distB="0" distL="0" distR="0" wp14:anchorId="0245667B" wp14:editId="24688606">
                  <wp:extent cx="2962910" cy="1823085"/>
                  <wp:effectExtent l="0" t="0" r="889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910" cy="1823085"/>
                          </a:xfrm>
                          <a:prstGeom prst="rect">
                            <a:avLst/>
                          </a:prstGeom>
                          <a:noFill/>
                          <a:ln>
                            <a:noFill/>
                          </a:ln>
                        </pic:spPr>
                      </pic:pic>
                    </a:graphicData>
                  </a:graphic>
                </wp:inline>
              </w:drawing>
            </w:r>
          </w:p>
        </w:tc>
        <w:tc>
          <w:tcPr>
            <w:tcW w:w="4888" w:type="dxa"/>
            <w:hideMark/>
          </w:tcPr>
          <w:p w14:paraId="6476A677" w14:textId="010417A5" w:rsidR="004641DD" w:rsidRPr="007E441B" w:rsidRDefault="00165110" w:rsidP="00CF76DC">
            <w:pPr>
              <w:keepNext/>
              <w:jc w:val="both"/>
              <w:rPr>
                <w:rFonts w:ascii="Times New Roman" w:hAnsi="Times New Roman" w:cs="Times New Roman"/>
                <w:noProof/>
                <w:sz w:val="24"/>
                <w:szCs w:val="24"/>
              </w:rPr>
            </w:pPr>
            <w:r w:rsidRPr="00165110">
              <w:rPr>
                <w:rFonts w:ascii="Times New Roman" w:hAnsi="Times New Roman" w:cs="Times New Roman"/>
                <w:noProof/>
                <w:sz w:val="24"/>
                <w:szCs w:val="24"/>
                <w:lang w:val="en-GB" w:eastAsia="en-GB"/>
              </w:rPr>
              <w:drawing>
                <wp:inline distT="0" distB="0" distL="0" distR="0" wp14:anchorId="4FCEEE98" wp14:editId="094396FD">
                  <wp:extent cx="2962910" cy="18465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910" cy="1846580"/>
                          </a:xfrm>
                          <a:prstGeom prst="rect">
                            <a:avLst/>
                          </a:prstGeom>
                          <a:noFill/>
                          <a:ln>
                            <a:noFill/>
                          </a:ln>
                        </pic:spPr>
                      </pic:pic>
                    </a:graphicData>
                  </a:graphic>
                </wp:inline>
              </w:drawing>
            </w:r>
          </w:p>
        </w:tc>
      </w:tr>
    </w:tbl>
    <w:p w14:paraId="5A8023B2" w14:textId="64A97FC0" w:rsidR="004641DD" w:rsidRPr="007E441B" w:rsidRDefault="004641DD" w:rsidP="00CF76DC">
      <w:pPr>
        <w:pStyle w:val="Caption"/>
        <w:jc w:val="both"/>
        <w:rPr>
          <w:rFonts w:ascii="Times New Roman" w:hAnsi="Times New Roman" w:cs="Times New Roman"/>
          <w:i w:val="0"/>
          <w:noProof/>
          <w:color w:val="auto"/>
          <w:sz w:val="16"/>
          <w:szCs w:val="16"/>
        </w:rPr>
      </w:pPr>
      <w:r w:rsidRPr="007E441B">
        <w:rPr>
          <w:rFonts w:ascii="Times New Roman" w:hAnsi="Times New Roman"/>
          <w:i w:val="0"/>
          <w:noProof/>
          <w:color w:val="auto"/>
          <w:sz w:val="16"/>
        </w:rPr>
        <w:t>Zdroj: Výpočty JRC na základe údajov Bureau van Dijk extrahovaných 22. februára 2022. PST znamená odborné, vedecké</w:t>
      </w:r>
      <w:r w:rsidR="007E441B" w:rsidRPr="007E441B">
        <w:rPr>
          <w:rFonts w:ascii="Times New Roman" w:hAnsi="Times New Roman"/>
          <w:i w:val="0"/>
          <w:noProof/>
          <w:color w:val="auto"/>
          <w:sz w:val="16"/>
        </w:rPr>
        <w:t xml:space="preserve"> a </w:t>
      </w:r>
      <w:r w:rsidRPr="007E441B">
        <w:rPr>
          <w:rFonts w:ascii="Times New Roman" w:hAnsi="Times New Roman"/>
          <w:i w:val="0"/>
          <w:noProof/>
          <w:color w:val="auto"/>
          <w:sz w:val="16"/>
        </w:rPr>
        <w:t>technické činnosti (Nace. Rev2, oddiel M), kam okrem iného patria zariadenia na výskum</w:t>
      </w:r>
      <w:r w:rsidR="007E441B" w:rsidRPr="007E441B">
        <w:rPr>
          <w:rFonts w:ascii="Times New Roman" w:hAnsi="Times New Roman"/>
          <w:i w:val="0"/>
          <w:noProof/>
          <w:color w:val="auto"/>
          <w:sz w:val="16"/>
        </w:rPr>
        <w:t xml:space="preserve"> a </w:t>
      </w:r>
      <w:r w:rsidRPr="007E441B">
        <w:rPr>
          <w:rFonts w:ascii="Times New Roman" w:hAnsi="Times New Roman"/>
          <w:i w:val="0"/>
          <w:noProof/>
          <w:color w:val="auto"/>
          <w:sz w:val="16"/>
        </w:rPr>
        <w:t>vývoj. IKT znamená informačné</w:t>
      </w:r>
      <w:r w:rsidR="007E441B" w:rsidRPr="007E441B">
        <w:rPr>
          <w:rFonts w:ascii="Times New Roman" w:hAnsi="Times New Roman"/>
          <w:i w:val="0"/>
          <w:noProof/>
          <w:color w:val="auto"/>
          <w:sz w:val="16"/>
        </w:rPr>
        <w:t xml:space="preserve"> a </w:t>
      </w:r>
      <w:r w:rsidRPr="007E441B">
        <w:rPr>
          <w:rFonts w:ascii="Times New Roman" w:hAnsi="Times New Roman"/>
          <w:i w:val="0"/>
          <w:noProof/>
          <w:color w:val="auto"/>
          <w:sz w:val="16"/>
        </w:rPr>
        <w:t>komunikačné technológie (Nace. Rev2, oddiel J).</w:t>
      </w:r>
    </w:p>
    <w:p w14:paraId="1EBACE0B" w14:textId="77777777" w:rsidR="004641DD" w:rsidRPr="007E441B" w:rsidRDefault="004641DD" w:rsidP="00CF76DC">
      <w:pPr>
        <w:pStyle w:val="Default"/>
        <w:spacing w:before="220" w:after="40"/>
        <w:jc w:val="both"/>
        <w:rPr>
          <w:rFonts w:ascii="Times New Roman" w:hAnsi="Times New Roman" w:cs="Times New Roman"/>
          <w:noProof/>
          <w:color w:val="56575A"/>
        </w:rPr>
      </w:pPr>
      <w:r w:rsidRPr="007E441B">
        <w:rPr>
          <w:rFonts w:ascii="Times New Roman" w:hAnsi="Times New Roman"/>
          <w:b/>
          <w:noProof/>
          <w:color w:val="56575A"/>
        </w:rPr>
        <w:t>Ďalšie podrobnosti</w:t>
      </w:r>
    </w:p>
    <w:p w14:paraId="7F7F35D7" w14:textId="076B636B" w:rsidR="004641DD" w:rsidRPr="007E441B" w:rsidRDefault="00BF1910" w:rsidP="00CF76DC">
      <w:pPr>
        <w:spacing w:line="240" w:lineRule="auto"/>
        <w:jc w:val="both"/>
        <w:rPr>
          <w:rFonts w:ascii="Times New Roman" w:hAnsi="Times New Roman" w:cs="Times New Roman"/>
          <w:noProof/>
          <w:sz w:val="24"/>
          <w:szCs w:val="24"/>
        </w:rPr>
      </w:pPr>
      <w:r w:rsidRPr="007E441B">
        <w:rPr>
          <w:rFonts w:ascii="Times New Roman" w:hAnsi="Times New Roman"/>
          <w:noProof/>
          <w:color w:val="000000"/>
          <w:sz w:val="24"/>
        </w:rPr>
        <w:t>Podrobnejšie informácie</w:t>
      </w:r>
      <w:r w:rsidR="007E441B" w:rsidRPr="007E441B">
        <w:rPr>
          <w:rFonts w:ascii="Times New Roman" w:hAnsi="Times New Roman"/>
          <w:noProof/>
          <w:color w:val="000000"/>
          <w:sz w:val="24"/>
        </w:rPr>
        <w:t xml:space="preserve"> o </w:t>
      </w:r>
      <w:r w:rsidRPr="007E441B">
        <w:rPr>
          <w:rFonts w:ascii="Times New Roman" w:hAnsi="Times New Roman"/>
          <w:noProof/>
          <w:color w:val="000000"/>
          <w:sz w:val="24"/>
        </w:rPr>
        <w:t>uvádzaných údajoch sú</w:t>
      </w:r>
      <w:r w:rsidR="007E441B" w:rsidRPr="007E441B">
        <w:rPr>
          <w:rFonts w:ascii="Times New Roman" w:hAnsi="Times New Roman"/>
          <w:noProof/>
          <w:color w:val="000000"/>
          <w:sz w:val="24"/>
        </w:rPr>
        <w:t xml:space="preserve"> v </w:t>
      </w:r>
      <w:r w:rsidRPr="007E441B">
        <w:rPr>
          <w:rFonts w:ascii="Times New Roman" w:hAnsi="Times New Roman"/>
          <w:noProof/>
          <w:color w:val="000000"/>
          <w:sz w:val="24"/>
        </w:rPr>
        <w:t>sprievodnom pracovnom dokumente útvarov Komisie, oddiel 1. Tento sprievodný pracovný dokument obsahuje aj dodatočné údaje</w:t>
      </w:r>
      <w:r w:rsidR="007E441B" w:rsidRPr="007E441B">
        <w:rPr>
          <w:rFonts w:ascii="Times New Roman" w:hAnsi="Times New Roman"/>
          <w:noProof/>
          <w:color w:val="000000"/>
          <w:sz w:val="24"/>
        </w:rPr>
        <w:t xml:space="preserve"> o </w:t>
      </w:r>
      <w:r w:rsidRPr="007E441B">
        <w:rPr>
          <w:rFonts w:ascii="Times New Roman" w:hAnsi="Times New Roman"/>
          <w:noProof/>
          <w:color w:val="000000"/>
          <w:sz w:val="24"/>
        </w:rPr>
        <w:t>vplyve investícií</w:t>
      </w:r>
      <w:r w:rsidR="007E441B" w:rsidRPr="007E441B">
        <w:rPr>
          <w:rFonts w:ascii="Times New Roman" w:hAnsi="Times New Roman"/>
          <w:noProof/>
          <w:color w:val="000000"/>
          <w:sz w:val="24"/>
        </w:rPr>
        <w:t xml:space="preserve"> a </w:t>
      </w:r>
      <w:r w:rsidRPr="007E441B">
        <w:rPr>
          <w:rFonts w:ascii="Times New Roman" w:hAnsi="Times New Roman"/>
          <w:noProof/>
          <w:color w:val="000000"/>
          <w:sz w:val="24"/>
        </w:rPr>
        <w:t>ich oživení, rozčlenené podľa členských štátov</w:t>
      </w:r>
      <w:r w:rsidR="007E441B" w:rsidRPr="007E441B">
        <w:rPr>
          <w:rFonts w:ascii="Times New Roman" w:hAnsi="Times New Roman"/>
          <w:noProof/>
          <w:color w:val="000000"/>
          <w:sz w:val="24"/>
        </w:rPr>
        <w:t xml:space="preserve"> a </w:t>
      </w:r>
      <w:r w:rsidRPr="007E441B">
        <w:rPr>
          <w:rFonts w:ascii="Times New Roman" w:hAnsi="Times New Roman"/>
          <w:noProof/>
          <w:color w:val="000000"/>
          <w:sz w:val="24"/>
        </w:rPr>
        <w:t>odvetví, ako aj</w:t>
      </w:r>
      <w:r w:rsidR="007E441B" w:rsidRPr="007E441B">
        <w:rPr>
          <w:rFonts w:ascii="Times New Roman" w:hAnsi="Times New Roman"/>
          <w:noProof/>
          <w:color w:val="000000"/>
          <w:sz w:val="24"/>
        </w:rPr>
        <w:t xml:space="preserve"> o </w:t>
      </w:r>
      <w:r w:rsidRPr="007E441B">
        <w:rPr>
          <w:rFonts w:ascii="Times New Roman" w:hAnsi="Times New Roman"/>
          <w:noProof/>
          <w:color w:val="000000"/>
          <w:sz w:val="24"/>
        </w:rPr>
        <w:t>pôvode zahraničných investorov</w:t>
      </w:r>
      <w:r w:rsidR="007E441B" w:rsidRPr="007E441B">
        <w:rPr>
          <w:rFonts w:ascii="Times New Roman" w:hAnsi="Times New Roman"/>
          <w:noProof/>
          <w:color w:val="000000"/>
          <w:sz w:val="24"/>
        </w:rPr>
        <w:t xml:space="preserve"> v </w:t>
      </w:r>
      <w:r w:rsidRPr="007E441B">
        <w:rPr>
          <w:rFonts w:ascii="Times New Roman" w:hAnsi="Times New Roman"/>
          <w:noProof/>
          <w:color w:val="000000"/>
          <w:sz w:val="24"/>
        </w:rPr>
        <w:t>EÚ</w:t>
      </w:r>
      <w:r w:rsidR="007E441B" w:rsidRPr="007E441B">
        <w:rPr>
          <w:rFonts w:ascii="Times New Roman" w:hAnsi="Times New Roman"/>
          <w:noProof/>
          <w:color w:val="000000"/>
          <w:sz w:val="24"/>
        </w:rPr>
        <w:t xml:space="preserve"> a o </w:t>
      </w:r>
      <w:r w:rsidRPr="007E441B">
        <w:rPr>
          <w:rFonts w:ascii="Times New Roman" w:hAnsi="Times New Roman"/>
          <w:noProof/>
          <w:color w:val="000000"/>
          <w:sz w:val="24"/>
        </w:rPr>
        <w:t>majetkovej účasti zahraničných štátov</w:t>
      </w:r>
      <w:r w:rsidR="007E441B" w:rsidRPr="007E441B">
        <w:rPr>
          <w:rFonts w:ascii="Times New Roman" w:hAnsi="Times New Roman"/>
          <w:noProof/>
          <w:color w:val="000000"/>
          <w:sz w:val="24"/>
        </w:rPr>
        <w:t xml:space="preserve"> v </w:t>
      </w:r>
      <w:r w:rsidRPr="007E441B">
        <w:rPr>
          <w:rFonts w:ascii="Times New Roman" w:hAnsi="Times New Roman"/>
          <w:noProof/>
          <w:color w:val="000000"/>
          <w:sz w:val="24"/>
        </w:rPr>
        <w:t>zahraničných subjektoch investujúcich</w:t>
      </w:r>
      <w:r w:rsidR="007E441B" w:rsidRPr="007E441B">
        <w:rPr>
          <w:rFonts w:ascii="Times New Roman" w:hAnsi="Times New Roman"/>
          <w:noProof/>
          <w:color w:val="000000"/>
          <w:sz w:val="24"/>
        </w:rPr>
        <w:t xml:space="preserve"> v </w:t>
      </w:r>
      <w:r w:rsidRPr="007E441B">
        <w:rPr>
          <w:rFonts w:ascii="Times New Roman" w:hAnsi="Times New Roman"/>
          <w:noProof/>
          <w:color w:val="000000"/>
          <w:sz w:val="24"/>
        </w:rPr>
        <w:t>EÚ.</w:t>
      </w:r>
    </w:p>
    <w:p w14:paraId="4E416723" w14:textId="77777777" w:rsidR="004641DD" w:rsidRPr="007E441B" w:rsidRDefault="004641DD">
      <w:pPr>
        <w:rPr>
          <w:rFonts w:ascii="Times New Roman" w:eastAsiaTheme="majorEastAsia" w:hAnsi="Times New Roman" w:cstheme="majorBidi"/>
          <w:b/>
          <w:noProof/>
          <w:color w:val="000000" w:themeColor="text1"/>
          <w:sz w:val="24"/>
          <w:szCs w:val="26"/>
        </w:rPr>
      </w:pPr>
      <w:r w:rsidRPr="007E441B">
        <w:rPr>
          <w:noProof/>
        </w:rPr>
        <w:br w:type="page"/>
      </w:r>
    </w:p>
    <w:p w14:paraId="3E1E8CD8" w14:textId="7FFF33C7" w:rsidR="004641DD" w:rsidRPr="007E441B" w:rsidRDefault="004641DD" w:rsidP="004641DD">
      <w:pPr>
        <w:pStyle w:val="FrameContents"/>
        <w:rPr>
          <w:rFonts w:ascii="Times New Roman" w:hAnsi="Times New Roman" w:cs="Times New Roman"/>
          <w:b/>
          <w:noProof/>
        </w:rPr>
      </w:pPr>
      <w:r w:rsidRPr="007E441B">
        <w:rPr>
          <w:rFonts w:ascii="Times New Roman" w:hAnsi="Times New Roman"/>
          <w:b/>
          <w:noProof/>
        </w:rPr>
        <w:t>2. KAPITOLA – LEGISLATÍVNY VÝVOJ</w:t>
      </w:r>
      <w:r w:rsidR="007E441B" w:rsidRPr="007E441B">
        <w:rPr>
          <w:rFonts w:ascii="Times New Roman" w:hAnsi="Times New Roman"/>
          <w:b/>
          <w:noProof/>
        </w:rPr>
        <w:t xml:space="preserve"> V </w:t>
      </w:r>
      <w:r w:rsidRPr="007E441B">
        <w:rPr>
          <w:rFonts w:ascii="Times New Roman" w:hAnsi="Times New Roman"/>
          <w:b/>
          <w:noProof/>
        </w:rPr>
        <w:t>ČLENSKÝCH ŠTÁTOCH OD ROKU 2021</w:t>
      </w:r>
    </w:p>
    <w:p w14:paraId="350E2039" w14:textId="77777777" w:rsidR="004641DD" w:rsidRPr="007E441B" w:rsidRDefault="004641DD" w:rsidP="004641DD">
      <w:pPr>
        <w:jc w:val="both"/>
        <w:rPr>
          <w:rFonts w:ascii="Times New Roman" w:hAnsi="Times New Roman" w:cs="Times New Roman"/>
          <w:b/>
          <w:noProof/>
          <w:sz w:val="24"/>
          <w:szCs w:val="24"/>
        </w:rPr>
      </w:pPr>
    </w:p>
    <w:p w14:paraId="79F6F7CE" w14:textId="3297BAF6" w:rsidR="004B4461" w:rsidRPr="007E441B" w:rsidRDefault="004B4461" w:rsidP="00CF76DC">
      <w:pPr>
        <w:keepNext/>
        <w:spacing w:line="240" w:lineRule="auto"/>
        <w:jc w:val="both"/>
        <w:rPr>
          <w:rFonts w:ascii="Times New Roman" w:hAnsi="Times New Roman" w:cs="Times New Roman"/>
          <w:b/>
          <w:noProof/>
          <w:sz w:val="24"/>
          <w:szCs w:val="24"/>
        </w:rPr>
      </w:pPr>
      <w:r w:rsidRPr="007E441B">
        <w:rPr>
          <w:rFonts w:ascii="Times New Roman" w:hAnsi="Times New Roman"/>
          <w:b/>
          <w:noProof/>
          <w:sz w:val="24"/>
        </w:rPr>
        <w:t>Nariadenie EÚ</w:t>
      </w:r>
      <w:r w:rsidR="007E441B" w:rsidRPr="007E441B">
        <w:rPr>
          <w:rFonts w:ascii="Times New Roman" w:hAnsi="Times New Roman"/>
          <w:b/>
          <w:noProof/>
          <w:sz w:val="24"/>
        </w:rPr>
        <w:t xml:space="preserve"> o </w:t>
      </w:r>
      <w:r w:rsidRPr="007E441B">
        <w:rPr>
          <w:rFonts w:ascii="Times New Roman" w:hAnsi="Times New Roman"/>
          <w:b/>
          <w:noProof/>
          <w:sz w:val="24"/>
        </w:rPr>
        <w:t>preverovaní PZI</w:t>
      </w:r>
      <w:r w:rsidR="007E441B" w:rsidRPr="007E441B">
        <w:rPr>
          <w:rFonts w:ascii="Times New Roman" w:hAnsi="Times New Roman"/>
          <w:b/>
          <w:noProof/>
          <w:sz w:val="24"/>
        </w:rPr>
        <w:t xml:space="preserve"> a </w:t>
      </w:r>
      <w:r w:rsidRPr="007E441B">
        <w:rPr>
          <w:rFonts w:ascii="Times New Roman" w:hAnsi="Times New Roman"/>
          <w:b/>
          <w:noProof/>
          <w:sz w:val="24"/>
        </w:rPr>
        <w:t>mechanizmy preverovania PZI zavedené členskými štátmi EÚ</w:t>
      </w:r>
    </w:p>
    <w:p w14:paraId="128D9685" w14:textId="49E2690A" w:rsidR="00BA2DAA" w:rsidRPr="007E441B" w:rsidRDefault="008D2041"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Hoci sa</w:t>
      </w:r>
      <w:r w:rsidR="007E441B" w:rsidRPr="007E441B">
        <w:rPr>
          <w:rFonts w:ascii="Times New Roman" w:hAnsi="Times New Roman"/>
          <w:noProof/>
          <w:sz w:val="24"/>
        </w:rPr>
        <w:t xml:space="preserve"> v </w:t>
      </w:r>
      <w:r w:rsidRPr="007E441B">
        <w:rPr>
          <w:rFonts w:ascii="Times New Roman" w:hAnsi="Times New Roman"/>
          <w:noProof/>
          <w:sz w:val="24"/>
        </w:rPr>
        <w:t>nariadení EÚ</w:t>
      </w:r>
      <w:r w:rsidR="007E441B" w:rsidRPr="007E441B">
        <w:rPr>
          <w:rFonts w:ascii="Times New Roman" w:hAnsi="Times New Roman"/>
          <w:noProof/>
          <w:sz w:val="24"/>
        </w:rPr>
        <w:t xml:space="preserve"> o </w:t>
      </w:r>
      <w:r w:rsidRPr="007E441B">
        <w:rPr>
          <w:rFonts w:ascii="Times New Roman" w:hAnsi="Times New Roman"/>
          <w:noProof/>
          <w:sz w:val="24"/>
        </w:rPr>
        <w:t>preverovaní PZI nevyžaduje, aby členské štáty zriadili vnútroštátny mechanizmus preverovania</w:t>
      </w:r>
      <w:r w:rsidRPr="007E441B">
        <w:rPr>
          <w:rStyle w:val="FootnoteReference"/>
          <w:rFonts w:ascii="Times New Roman" w:hAnsi="Times New Roman" w:cs="Times New Roman"/>
          <w:noProof/>
          <w:sz w:val="24"/>
          <w:szCs w:val="24"/>
        </w:rPr>
        <w:footnoteReference w:id="13"/>
      </w:r>
      <w:r w:rsidRPr="007E441B">
        <w:rPr>
          <w:rFonts w:ascii="Times New Roman" w:hAnsi="Times New Roman"/>
          <w:noProof/>
          <w:sz w:val="24"/>
        </w:rPr>
        <w:t>, Európska komisia naďalej na politickej aj odbornej úrovni nabáda členské štáty, aby prijali, prispôsobili</w:t>
      </w:r>
      <w:r w:rsidR="007E441B" w:rsidRPr="007E441B">
        <w:rPr>
          <w:rFonts w:ascii="Times New Roman" w:hAnsi="Times New Roman"/>
          <w:noProof/>
          <w:sz w:val="24"/>
        </w:rPr>
        <w:t xml:space="preserve"> a </w:t>
      </w:r>
      <w:r w:rsidRPr="007E441B">
        <w:rPr>
          <w:rFonts w:ascii="Times New Roman" w:hAnsi="Times New Roman"/>
          <w:noProof/>
          <w:sz w:val="24"/>
        </w:rPr>
        <w:t>vykonávali vnútroštátne mechanizmy preverovania. Európska komisia nedávno vyzvala členské štáty, aby vytvorili plnohodnotný mechanizmus preverovania</w:t>
      </w:r>
      <w:r w:rsidR="007E441B" w:rsidRPr="007E441B">
        <w:rPr>
          <w:rFonts w:ascii="Times New Roman" w:hAnsi="Times New Roman"/>
          <w:noProof/>
          <w:sz w:val="24"/>
        </w:rPr>
        <w:t xml:space="preserve"> v </w:t>
      </w:r>
      <w:r w:rsidRPr="007E441B">
        <w:rPr>
          <w:rFonts w:ascii="Times New Roman" w:hAnsi="Times New Roman"/>
          <w:noProof/>
          <w:sz w:val="24"/>
        </w:rPr>
        <w:t>usmernení pre členské štáty</w:t>
      </w:r>
      <w:r w:rsidR="007E441B" w:rsidRPr="007E441B">
        <w:rPr>
          <w:rFonts w:ascii="Times New Roman" w:hAnsi="Times New Roman"/>
          <w:noProof/>
          <w:sz w:val="24"/>
        </w:rPr>
        <w:t xml:space="preserve"> z </w:t>
      </w:r>
      <w:r w:rsidRPr="007E441B">
        <w:rPr>
          <w:rFonts w:ascii="Times New Roman" w:hAnsi="Times New Roman"/>
          <w:noProof/>
          <w:sz w:val="24"/>
        </w:rPr>
        <w:t>roku 2020</w:t>
      </w:r>
      <w:r w:rsidR="007E441B" w:rsidRPr="007E441B">
        <w:rPr>
          <w:rFonts w:ascii="Times New Roman" w:hAnsi="Times New Roman"/>
          <w:noProof/>
          <w:sz w:val="24"/>
        </w:rPr>
        <w:t xml:space="preserve"> o </w:t>
      </w:r>
      <w:r w:rsidRPr="007E441B">
        <w:rPr>
          <w:rFonts w:ascii="Times New Roman" w:hAnsi="Times New Roman"/>
          <w:noProof/>
          <w:sz w:val="24"/>
        </w:rPr>
        <w:t>tom, ako využívať preverovanie PZI</w:t>
      </w:r>
      <w:r w:rsidR="007E441B" w:rsidRPr="007E441B">
        <w:rPr>
          <w:rFonts w:ascii="Times New Roman" w:hAnsi="Times New Roman"/>
          <w:noProof/>
          <w:sz w:val="24"/>
        </w:rPr>
        <w:t xml:space="preserve"> v </w:t>
      </w:r>
      <w:r w:rsidRPr="007E441B">
        <w:rPr>
          <w:rFonts w:ascii="Times New Roman" w:hAnsi="Times New Roman"/>
          <w:noProof/>
          <w:sz w:val="24"/>
        </w:rPr>
        <w:t>čase krízy</w:t>
      </w:r>
      <w:r w:rsidR="007E441B" w:rsidRPr="007E441B">
        <w:rPr>
          <w:rFonts w:ascii="Times New Roman" w:hAnsi="Times New Roman"/>
          <w:noProof/>
          <w:sz w:val="24"/>
        </w:rPr>
        <w:t xml:space="preserve"> v </w:t>
      </w:r>
      <w:r w:rsidRPr="007E441B">
        <w:rPr>
          <w:rFonts w:ascii="Times New Roman" w:hAnsi="Times New Roman"/>
          <w:noProof/>
          <w:sz w:val="24"/>
        </w:rPr>
        <w:t>oblasti verejného zdravia</w:t>
      </w:r>
      <w:r w:rsidR="007E441B" w:rsidRPr="007E441B">
        <w:rPr>
          <w:rFonts w:ascii="Times New Roman" w:hAnsi="Times New Roman"/>
          <w:noProof/>
          <w:sz w:val="24"/>
        </w:rPr>
        <w:t xml:space="preserve"> a </w:t>
      </w:r>
      <w:r w:rsidRPr="007E441B">
        <w:rPr>
          <w:rFonts w:ascii="Times New Roman" w:hAnsi="Times New Roman"/>
          <w:noProof/>
          <w:sz w:val="24"/>
        </w:rPr>
        <w:t>hospodárskej zraniteľnosti</w:t>
      </w:r>
      <w:r w:rsidR="007E441B" w:rsidRPr="007E441B">
        <w:rPr>
          <w:rFonts w:ascii="Times New Roman" w:hAnsi="Times New Roman"/>
          <w:noProof/>
          <w:sz w:val="24"/>
        </w:rPr>
        <w:t xml:space="preserve"> v </w:t>
      </w:r>
      <w:r w:rsidRPr="007E441B">
        <w:rPr>
          <w:rFonts w:ascii="Times New Roman" w:hAnsi="Times New Roman"/>
          <w:noProof/>
          <w:sz w:val="24"/>
        </w:rPr>
        <w:t>EÚ</w:t>
      </w:r>
      <w:r w:rsidRPr="007E441B">
        <w:rPr>
          <w:rStyle w:val="FootnoteReference"/>
          <w:rFonts w:ascii="Times New Roman" w:hAnsi="Times New Roman" w:cs="Times New Roman"/>
          <w:noProof/>
          <w:sz w:val="24"/>
          <w:szCs w:val="24"/>
        </w:rPr>
        <w:footnoteReference w:id="14"/>
      </w:r>
      <w:r w:rsidRPr="007E441B">
        <w:rPr>
          <w:rFonts w:ascii="Times New Roman" w:hAnsi="Times New Roman"/>
          <w:noProof/>
          <w:sz w:val="24"/>
        </w:rPr>
        <w:t>,</w:t>
      </w:r>
      <w:r w:rsidR="007E441B" w:rsidRPr="007E441B">
        <w:rPr>
          <w:rFonts w:ascii="Times New Roman" w:hAnsi="Times New Roman"/>
          <w:noProof/>
          <w:sz w:val="24"/>
        </w:rPr>
        <w:t xml:space="preserve"> a v </w:t>
      </w:r>
      <w:r w:rsidRPr="007E441B">
        <w:rPr>
          <w:rFonts w:ascii="Times New Roman" w:hAnsi="Times New Roman"/>
          <w:noProof/>
          <w:sz w:val="24"/>
        </w:rPr>
        <w:t>usmernení pre členské štáty</w:t>
      </w:r>
      <w:r w:rsidR="007E441B" w:rsidRPr="007E441B">
        <w:rPr>
          <w:rFonts w:ascii="Times New Roman" w:hAnsi="Times New Roman"/>
          <w:noProof/>
          <w:sz w:val="24"/>
        </w:rPr>
        <w:t xml:space="preserve"> z </w:t>
      </w:r>
      <w:r w:rsidRPr="007E441B">
        <w:rPr>
          <w:rFonts w:ascii="Times New Roman" w:hAnsi="Times New Roman"/>
          <w:noProof/>
          <w:sz w:val="24"/>
        </w:rPr>
        <w:t>roku 2022</w:t>
      </w:r>
      <w:r w:rsidR="007E441B" w:rsidRPr="007E441B">
        <w:rPr>
          <w:rFonts w:ascii="Times New Roman" w:hAnsi="Times New Roman"/>
          <w:noProof/>
          <w:sz w:val="24"/>
        </w:rPr>
        <w:t xml:space="preserve"> o </w:t>
      </w:r>
      <w:r w:rsidRPr="007E441B">
        <w:rPr>
          <w:rFonts w:ascii="Times New Roman" w:hAnsi="Times New Roman"/>
          <w:noProof/>
          <w:sz w:val="24"/>
        </w:rPr>
        <w:t>priamych zahraničných investíciách</w:t>
      </w:r>
      <w:r w:rsidR="007E441B" w:rsidRPr="007E441B">
        <w:rPr>
          <w:rFonts w:ascii="Times New Roman" w:hAnsi="Times New Roman"/>
          <w:noProof/>
          <w:sz w:val="24"/>
        </w:rPr>
        <w:t xml:space="preserve"> z </w:t>
      </w:r>
      <w:r w:rsidRPr="007E441B">
        <w:rPr>
          <w:rFonts w:ascii="Times New Roman" w:hAnsi="Times New Roman"/>
          <w:noProof/>
          <w:sz w:val="24"/>
        </w:rPr>
        <w:t>Ruska</w:t>
      </w:r>
      <w:r w:rsidR="007E441B" w:rsidRPr="007E441B">
        <w:rPr>
          <w:rFonts w:ascii="Times New Roman" w:hAnsi="Times New Roman"/>
          <w:noProof/>
          <w:sz w:val="24"/>
        </w:rPr>
        <w:t xml:space="preserve"> a </w:t>
      </w:r>
      <w:r w:rsidRPr="007E441B">
        <w:rPr>
          <w:rFonts w:ascii="Times New Roman" w:hAnsi="Times New Roman"/>
          <w:noProof/>
          <w:sz w:val="24"/>
        </w:rPr>
        <w:t>Bieloruska</w:t>
      </w:r>
      <w:r w:rsidRPr="007E441B">
        <w:rPr>
          <w:rStyle w:val="FootnoteReference"/>
          <w:rFonts w:ascii="Times New Roman" w:hAnsi="Times New Roman" w:cs="Times New Roman"/>
          <w:noProof/>
          <w:sz w:val="24"/>
          <w:szCs w:val="24"/>
        </w:rPr>
        <w:footnoteReference w:id="15"/>
      </w:r>
      <w:r w:rsidRPr="007E441B">
        <w:rPr>
          <w:rFonts w:ascii="Times New Roman" w:hAnsi="Times New Roman"/>
          <w:noProof/>
          <w:sz w:val="24"/>
        </w:rPr>
        <w:t>.</w:t>
      </w:r>
    </w:p>
    <w:p w14:paraId="5CD42962" w14:textId="49AF5128" w:rsidR="004B4461" w:rsidRPr="007E441B" w:rsidRDefault="004B4461"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Európska komisia aktívne podporuje tento vývoj vo všetkých členských štátoch</w:t>
      </w:r>
      <w:r w:rsidR="007E441B" w:rsidRPr="007E441B">
        <w:rPr>
          <w:rFonts w:ascii="Times New Roman" w:hAnsi="Times New Roman"/>
          <w:noProof/>
          <w:sz w:val="24"/>
        </w:rPr>
        <w:t xml:space="preserve"> a </w:t>
      </w:r>
      <w:r w:rsidRPr="007E441B">
        <w:rPr>
          <w:rFonts w:ascii="Times New Roman" w:hAnsi="Times New Roman"/>
          <w:noProof/>
          <w:sz w:val="24"/>
        </w:rPr>
        <w:t>uľahčuje pokrok</w:t>
      </w:r>
      <w:r w:rsidR="007E441B" w:rsidRPr="007E441B">
        <w:rPr>
          <w:rFonts w:ascii="Times New Roman" w:hAnsi="Times New Roman"/>
          <w:noProof/>
          <w:sz w:val="24"/>
        </w:rPr>
        <w:t xml:space="preserve"> a </w:t>
      </w:r>
      <w:r w:rsidRPr="007E441B">
        <w:rPr>
          <w:rFonts w:ascii="Times New Roman" w:hAnsi="Times New Roman"/>
          <w:noProof/>
          <w:sz w:val="24"/>
        </w:rPr>
        <w:t>zosúladenie vnútroštátnych legislatívnych procesov.</w:t>
      </w:r>
      <w:r w:rsidR="007E441B" w:rsidRPr="007E441B">
        <w:rPr>
          <w:rFonts w:ascii="Times New Roman" w:hAnsi="Times New Roman"/>
          <w:noProof/>
          <w:sz w:val="24"/>
        </w:rPr>
        <w:t xml:space="preserve"> V </w:t>
      </w:r>
      <w:r w:rsidRPr="007E441B">
        <w:rPr>
          <w:rFonts w:ascii="Times New Roman" w:hAnsi="Times New Roman"/>
          <w:noProof/>
          <w:sz w:val="24"/>
        </w:rPr>
        <w:t>priebehu roka 2021 Európska komisia pomáhala členským štátom odbornými</w:t>
      </w:r>
      <w:r w:rsidR="007E441B" w:rsidRPr="007E441B">
        <w:rPr>
          <w:rFonts w:ascii="Times New Roman" w:hAnsi="Times New Roman"/>
          <w:noProof/>
          <w:sz w:val="24"/>
        </w:rPr>
        <w:t xml:space="preserve"> a </w:t>
      </w:r>
      <w:r w:rsidRPr="007E441B">
        <w:rPr>
          <w:rFonts w:ascii="Times New Roman" w:hAnsi="Times New Roman"/>
          <w:noProof/>
          <w:sz w:val="24"/>
        </w:rPr>
        <w:t>politickými usmerneniami, odbornými stretnutiami</w:t>
      </w:r>
      <w:r w:rsidR="007E441B" w:rsidRPr="007E441B">
        <w:rPr>
          <w:rFonts w:ascii="Times New Roman" w:hAnsi="Times New Roman"/>
          <w:noProof/>
          <w:sz w:val="24"/>
        </w:rPr>
        <w:t xml:space="preserve"> a </w:t>
      </w:r>
      <w:r w:rsidRPr="007E441B">
        <w:rPr>
          <w:rFonts w:ascii="Times New Roman" w:hAnsi="Times New Roman"/>
          <w:noProof/>
          <w:sz w:val="24"/>
        </w:rPr>
        <w:t>výmenou informácií vrátane výmeny najlepších postupov.</w:t>
      </w:r>
    </w:p>
    <w:p w14:paraId="52446FDD" w14:textId="13FCA0CD" w:rsidR="004B4461" w:rsidRPr="007E441B" w:rsidRDefault="004B4461"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Treba však uviesť, že napriek pravidelnej spolupráci</w:t>
      </w:r>
      <w:r w:rsidR="007E441B" w:rsidRPr="007E441B">
        <w:rPr>
          <w:rFonts w:ascii="Times New Roman" w:hAnsi="Times New Roman"/>
          <w:noProof/>
          <w:sz w:val="24"/>
        </w:rPr>
        <w:t xml:space="preserve"> a </w:t>
      </w:r>
      <w:r w:rsidRPr="007E441B">
        <w:rPr>
          <w:rFonts w:ascii="Times New Roman" w:hAnsi="Times New Roman"/>
          <w:noProof/>
          <w:sz w:val="24"/>
        </w:rPr>
        <w:t>viacerým významným podobnostiam sa vo vnútroštátnych mechanizmoch preverovania členských štátov naďalej dajú nájsť značné rozdiely</w:t>
      </w:r>
      <w:r w:rsidR="007E441B" w:rsidRPr="007E441B">
        <w:rPr>
          <w:rFonts w:ascii="Times New Roman" w:hAnsi="Times New Roman"/>
          <w:noProof/>
          <w:sz w:val="24"/>
        </w:rPr>
        <w:t xml:space="preserve"> v </w:t>
      </w:r>
      <w:r w:rsidRPr="007E441B">
        <w:rPr>
          <w:rFonts w:ascii="Times New Roman" w:hAnsi="Times New Roman"/>
          <w:noProof/>
          <w:sz w:val="24"/>
        </w:rPr>
        <w:t>tom,</w:t>
      </w:r>
      <w:r w:rsidR="007E441B" w:rsidRPr="007E441B">
        <w:rPr>
          <w:rFonts w:ascii="Times New Roman" w:hAnsi="Times New Roman"/>
          <w:noProof/>
          <w:sz w:val="24"/>
        </w:rPr>
        <w:t xml:space="preserve"> z </w:t>
      </w:r>
      <w:r w:rsidRPr="007E441B">
        <w:rPr>
          <w:rFonts w:ascii="Times New Roman" w:hAnsi="Times New Roman"/>
          <w:noProof/>
          <w:sz w:val="24"/>
        </w:rPr>
        <w:t>čoho pozostáva formálne preverovanie PZI, aké sú uplatniteľné lehoty, zahrnuté odvetvia, požiadavky na oznamovanie či ďalšie prvky. Európska komisia je preto naďalej odhodlaná podporovať zosúladenie vnútroštátnych mechanizmov preverovania</w:t>
      </w:r>
      <w:r w:rsidR="007E441B" w:rsidRPr="007E441B">
        <w:rPr>
          <w:rFonts w:ascii="Times New Roman" w:hAnsi="Times New Roman"/>
          <w:noProof/>
          <w:sz w:val="24"/>
        </w:rPr>
        <w:t xml:space="preserve"> a </w:t>
      </w:r>
      <w:r w:rsidRPr="007E441B">
        <w:rPr>
          <w:rFonts w:ascii="Times New Roman" w:hAnsi="Times New Roman"/>
          <w:noProof/>
          <w:sz w:val="24"/>
        </w:rPr>
        <w:t xml:space="preserve">očakáva, že všetkých 27 členských štátov EÚ čoskoro zavedie vnútroštátny mechanizmus preverovania priamych zahraničných investícií. </w:t>
      </w:r>
    </w:p>
    <w:p w14:paraId="26845444" w14:textId="016962E6" w:rsidR="004B4461" w:rsidRPr="007E441B" w:rsidRDefault="004B4461" w:rsidP="008B1F48">
      <w:pPr>
        <w:spacing w:after="0" w:line="240" w:lineRule="auto"/>
        <w:jc w:val="both"/>
        <w:rPr>
          <w:rFonts w:ascii="Times New Roman" w:hAnsi="Times New Roman" w:cs="Times New Roman"/>
          <w:noProof/>
          <w:sz w:val="24"/>
          <w:szCs w:val="24"/>
        </w:rPr>
      </w:pPr>
      <w:r w:rsidRPr="007E441B">
        <w:rPr>
          <w:rFonts w:ascii="Times New Roman" w:hAnsi="Times New Roman"/>
          <w:noProof/>
          <w:sz w:val="24"/>
        </w:rPr>
        <w:t>Vnútroštátny mechanizmus preverovania vo všetkých 27 členských štátoch je nutný, aby Únia bola chránená pred potenciálne rizikovými zahraničnými investíciami</w:t>
      </w:r>
      <w:r w:rsidR="007E441B" w:rsidRPr="007E441B">
        <w:rPr>
          <w:rFonts w:ascii="Times New Roman" w:hAnsi="Times New Roman"/>
          <w:noProof/>
          <w:sz w:val="24"/>
        </w:rPr>
        <w:t xml:space="preserve"> z </w:t>
      </w:r>
      <w:r w:rsidRPr="007E441B">
        <w:rPr>
          <w:rFonts w:ascii="Times New Roman" w:hAnsi="Times New Roman"/>
          <w:noProof/>
          <w:sz w:val="24"/>
        </w:rPr>
        <w:t>tretích krajín. Takýmto mechanizmom by sa takisto zabezpečilo, aby všetkých 27 členských štátov</w:t>
      </w:r>
      <w:r w:rsidR="007E441B" w:rsidRPr="007E441B">
        <w:rPr>
          <w:rFonts w:ascii="Times New Roman" w:hAnsi="Times New Roman"/>
          <w:noProof/>
          <w:sz w:val="24"/>
        </w:rPr>
        <w:t xml:space="preserve"> a </w:t>
      </w:r>
      <w:r w:rsidRPr="007E441B">
        <w:rPr>
          <w:rFonts w:ascii="Times New Roman" w:hAnsi="Times New Roman"/>
          <w:noProof/>
          <w:sz w:val="24"/>
        </w:rPr>
        <w:t>Európska komisia mohli preveriť relevantné PZI,</w:t>
      </w:r>
      <w:r w:rsidR="007E441B" w:rsidRPr="007E441B">
        <w:rPr>
          <w:rFonts w:ascii="Times New Roman" w:hAnsi="Times New Roman"/>
          <w:noProof/>
          <w:sz w:val="24"/>
        </w:rPr>
        <w:t xml:space="preserve"> a </w:t>
      </w:r>
      <w:r w:rsidRPr="007E441B">
        <w:rPr>
          <w:rFonts w:ascii="Times New Roman" w:hAnsi="Times New Roman"/>
          <w:noProof/>
          <w:sz w:val="24"/>
        </w:rPr>
        <w:t>tak zaistiť kolektívnu bezpečnosť členských štátov</w:t>
      </w:r>
      <w:r w:rsidR="007E441B" w:rsidRPr="007E441B">
        <w:rPr>
          <w:rFonts w:ascii="Times New Roman" w:hAnsi="Times New Roman"/>
          <w:noProof/>
          <w:sz w:val="24"/>
        </w:rPr>
        <w:t xml:space="preserve"> a </w:t>
      </w:r>
      <w:r w:rsidRPr="007E441B">
        <w:rPr>
          <w:rFonts w:ascii="Times New Roman" w:hAnsi="Times New Roman"/>
          <w:noProof/>
          <w:sz w:val="24"/>
        </w:rPr>
        <w:t>Únie, ako aj bezpečnosť jednotného trhu</w:t>
      </w:r>
      <w:r w:rsidR="007E441B" w:rsidRPr="007E441B">
        <w:rPr>
          <w:rFonts w:ascii="Times New Roman" w:hAnsi="Times New Roman"/>
          <w:noProof/>
          <w:sz w:val="24"/>
        </w:rPr>
        <w:t xml:space="preserve"> a </w:t>
      </w:r>
      <w:r w:rsidRPr="007E441B">
        <w:rPr>
          <w:rFonts w:ascii="Times New Roman" w:hAnsi="Times New Roman"/>
          <w:noProof/>
          <w:sz w:val="24"/>
        </w:rPr>
        <w:t>veľmi vysokú úroveň hospodárskej integrácie, ktorú umožňuje.</w:t>
      </w:r>
    </w:p>
    <w:p w14:paraId="3DA18C85" w14:textId="77777777" w:rsidR="004641DD" w:rsidRPr="007E441B" w:rsidRDefault="008017CF" w:rsidP="00CF76DC">
      <w:pPr>
        <w:spacing w:line="240" w:lineRule="auto"/>
        <w:jc w:val="both"/>
        <w:rPr>
          <w:rFonts w:ascii="Times New Roman" w:hAnsi="Times New Roman" w:cs="Times New Roman"/>
          <w:b/>
          <w:noProof/>
          <w:sz w:val="24"/>
          <w:szCs w:val="24"/>
        </w:rPr>
      </w:pPr>
      <w:r w:rsidRPr="007E441B">
        <w:rPr>
          <w:rFonts w:ascii="Times New Roman" w:hAnsi="Times New Roman"/>
          <w:b/>
          <w:noProof/>
          <w:sz w:val="24"/>
        </w:rPr>
        <w:t>Prehľad členských štátov, ktoré majú mechanizmus preverovania, resp. ktoré ho zriaďujú</w:t>
      </w:r>
    </w:p>
    <w:p w14:paraId="79989FA8" w14:textId="6207A12F" w:rsidR="00C757BB" w:rsidRPr="007E441B" w:rsidRDefault="00EB11FF" w:rsidP="00CF76DC">
      <w:pPr>
        <w:spacing w:after="120" w:line="240" w:lineRule="auto"/>
        <w:jc w:val="both"/>
        <w:rPr>
          <w:rFonts w:ascii="Times New Roman" w:hAnsi="Times New Roman" w:cs="Times New Roman"/>
          <w:noProof/>
          <w:sz w:val="24"/>
          <w:szCs w:val="24"/>
        </w:rPr>
      </w:pPr>
      <w:r w:rsidRPr="007E441B">
        <w:rPr>
          <w:rFonts w:ascii="Times New Roman" w:hAnsi="Times New Roman"/>
          <w:noProof/>
          <w:sz w:val="24"/>
        </w:rPr>
        <w:t>Celosvetová pandémia</w:t>
      </w:r>
      <w:r w:rsidR="007E441B" w:rsidRPr="007E441B">
        <w:rPr>
          <w:rFonts w:ascii="Times New Roman" w:hAnsi="Times New Roman"/>
          <w:noProof/>
          <w:sz w:val="24"/>
        </w:rPr>
        <w:t xml:space="preserve"> a </w:t>
      </w:r>
      <w:r w:rsidRPr="007E441B">
        <w:rPr>
          <w:rFonts w:ascii="Times New Roman" w:hAnsi="Times New Roman"/>
          <w:noProof/>
          <w:sz w:val="24"/>
        </w:rPr>
        <w:t>nedávne narušenia globálnych dodávateľských reťazcov upriamili pozornosť na kritickosť niektorých kľúčových odvetví, ako je zdravotná starostlivosť</w:t>
      </w:r>
      <w:r w:rsidR="007E441B" w:rsidRPr="007E441B">
        <w:rPr>
          <w:rFonts w:ascii="Times New Roman" w:hAnsi="Times New Roman"/>
          <w:noProof/>
          <w:sz w:val="24"/>
        </w:rPr>
        <w:t xml:space="preserve"> a </w:t>
      </w:r>
      <w:r w:rsidRPr="007E441B">
        <w:rPr>
          <w:rFonts w:ascii="Times New Roman" w:hAnsi="Times New Roman"/>
          <w:noProof/>
          <w:sz w:val="24"/>
        </w:rPr>
        <w:t>energetika.</w:t>
      </w:r>
      <w:r w:rsidR="007E441B" w:rsidRPr="007E441B">
        <w:rPr>
          <w:rFonts w:ascii="Times New Roman" w:hAnsi="Times New Roman"/>
          <w:noProof/>
          <w:sz w:val="24"/>
        </w:rPr>
        <w:t xml:space="preserve"> V </w:t>
      </w:r>
      <w:r w:rsidRPr="007E441B">
        <w:rPr>
          <w:rFonts w:ascii="Times New Roman" w:hAnsi="Times New Roman"/>
          <w:noProof/>
          <w:sz w:val="24"/>
        </w:rPr>
        <w:t>dôsledku toho mnohé členské štáty EÚ buď prijali nové vnútroštátne mechanizmy preverovania, alebo aktualizovali</w:t>
      </w:r>
      <w:r w:rsidR="007E441B" w:rsidRPr="007E441B">
        <w:rPr>
          <w:rFonts w:ascii="Times New Roman" w:hAnsi="Times New Roman"/>
          <w:noProof/>
          <w:sz w:val="24"/>
        </w:rPr>
        <w:t xml:space="preserve"> a </w:t>
      </w:r>
      <w:r w:rsidRPr="007E441B">
        <w:rPr>
          <w:rFonts w:ascii="Times New Roman" w:hAnsi="Times New Roman"/>
          <w:noProof/>
          <w:sz w:val="24"/>
        </w:rPr>
        <w:t>rozšírili existujúce mechanizmy.</w:t>
      </w:r>
      <w:r w:rsidR="007E441B" w:rsidRPr="007E441B">
        <w:rPr>
          <w:rFonts w:ascii="Times New Roman" w:hAnsi="Times New Roman"/>
          <w:noProof/>
          <w:sz w:val="24"/>
        </w:rPr>
        <w:t xml:space="preserve"> V </w:t>
      </w:r>
      <w:r w:rsidRPr="007E441B">
        <w:rPr>
          <w:rFonts w:ascii="Times New Roman" w:hAnsi="Times New Roman"/>
          <w:noProof/>
          <w:sz w:val="24"/>
        </w:rPr>
        <w:t>roku 2021 prijali nový mechanizmus preverovania tri členské štáty</w:t>
      </w:r>
      <w:r w:rsidR="007E441B" w:rsidRPr="007E441B">
        <w:rPr>
          <w:rFonts w:ascii="Times New Roman" w:hAnsi="Times New Roman"/>
          <w:noProof/>
          <w:sz w:val="24"/>
        </w:rPr>
        <w:t xml:space="preserve"> a </w:t>
      </w:r>
      <w:r w:rsidRPr="007E441B">
        <w:rPr>
          <w:rFonts w:ascii="Times New Roman" w:hAnsi="Times New Roman"/>
          <w:noProof/>
          <w:sz w:val="24"/>
        </w:rPr>
        <w:t>šesť členských štátov svoj existujúci mechanizmus zmenilo. Do konca roka 2021 už sedem členských štátov iniciovalo konzultačný alebo legislatívny proces</w:t>
      </w:r>
      <w:r w:rsidR="007E441B" w:rsidRPr="007E441B">
        <w:rPr>
          <w:rFonts w:ascii="Times New Roman" w:hAnsi="Times New Roman"/>
          <w:noProof/>
          <w:sz w:val="24"/>
        </w:rPr>
        <w:t xml:space="preserve"> s </w:t>
      </w:r>
      <w:r w:rsidRPr="007E441B">
        <w:rPr>
          <w:rFonts w:ascii="Times New Roman" w:hAnsi="Times New Roman"/>
          <w:noProof/>
          <w:sz w:val="24"/>
        </w:rPr>
        <w:t>cieľom zriadiť vnútroštátny mechanizmus preverovania. Celkovo mali</w:t>
      </w:r>
      <w:r w:rsidR="007E441B" w:rsidRPr="007E441B">
        <w:rPr>
          <w:rFonts w:ascii="Times New Roman" w:hAnsi="Times New Roman"/>
          <w:noProof/>
          <w:sz w:val="24"/>
        </w:rPr>
        <w:t xml:space="preserve"> v </w:t>
      </w:r>
      <w:r w:rsidRPr="007E441B">
        <w:rPr>
          <w:rFonts w:ascii="Times New Roman" w:hAnsi="Times New Roman"/>
          <w:noProof/>
          <w:sz w:val="24"/>
        </w:rPr>
        <w:t>roku 2021 zavedené právne predpisy</w:t>
      </w:r>
      <w:r w:rsidR="007E441B" w:rsidRPr="007E441B">
        <w:rPr>
          <w:rFonts w:ascii="Times New Roman" w:hAnsi="Times New Roman"/>
          <w:noProof/>
          <w:sz w:val="24"/>
        </w:rPr>
        <w:t xml:space="preserve"> o </w:t>
      </w:r>
      <w:r w:rsidRPr="007E441B">
        <w:rPr>
          <w:rFonts w:ascii="Times New Roman" w:hAnsi="Times New Roman"/>
          <w:noProof/>
          <w:sz w:val="24"/>
        </w:rPr>
        <w:t>preverovaní PZI dve tretiny všetkých členských štátov EÚ. Preverovanie PZI</w:t>
      </w:r>
      <w:r w:rsidR="007E441B" w:rsidRPr="007E441B">
        <w:rPr>
          <w:rFonts w:ascii="Times New Roman" w:hAnsi="Times New Roman"/>
          <w:noProof/>
          <w:sz w:val="24"/>
        </w:rPr>
        <w:t xml:space="preserve"> v </w:t>
      </w:r>
      <w:r w:rsidRPr="007E441B">
        <w:rPr>
          <w:rFonts w:ascii="Times New Roman" w:hAnsi="Times New Roman"/>
          <w:noProof/>
          <w:sz w:val="24"/>
        </w:rPr>
        <w:t xml:space="preserve">EÚ čoraz viac naberá na dynamike. </w:t>
      </w:r>
    </w:p>
    <w:p w14:paraId="6F31EBF6" w14:textId="65F186C5" w:rsidR="008E6311" w:rsidRPr="007E441B" w:rsidRDefault="08019866" w:rsidP="00CF76DC">
      <w:pPr>
        <w:spacing w:after="120" w:line="240" w:lineRule="auto"/>
        <w:jc w:val="both"/>
        <w:rPr>
          <w:rFonts w:ascii="Times New Roman" w:hAnsi="Times New Roman" w:cs="Times New Roman"/>
          <w:noProof/>
          <w:sz w:val="24"/>
          <w:szCs w:val="24"/>
        </w:rPr>
      </w:pPr>
      <w:r w:rsidRPr="007E441B">
        <w:rPr>
          <w:rFonts w:ascii="Times New Roman" w:hAnsi="Times New Roman"/>
          <w:noProof/>
          <w:sz w:val="24"/>
        </w:rPr>
        <w:t xml:space="preserve">Na ďalej uvedenej mape je prehľad súčasného legislatívneho stavu členských štátov EÚ. </w:t>
      </w:r>
    </w:p>
    <w:p w14:paraId="5D82A408" w14:textId="2C3B84AD" w:rsidR="00A53E77" w:rsidRPr="007E441B" w:rsidRDefault="00165110" w:rsidP="0083583F">
      <w:pPr>
        <w:jc w:val="center"/>
        <w:rPr>
          <w:rFonts w:ascii="Times New Roman" w:hAnsi="Times New Roman" w:cs="Times New Roman"/>
          <w:b/>
          <w:bCs/>
          <w:noProof/>
          <w:sz w:val="24"/>
          <w:szCs w:val="24"/>
        </w:rPr>
      </w:pPr>
      <w:r w:rsidRPr="00165110">
        <w:rPr>
          <w:noProof/>
          <w:lang w:val="en-GB" w:eastAsia="en-GB"/>
        </w:rPr>
        <w:drawing>
          <wp:inline distT="0" distB="0" distL="0" distR="0" wp14:anchorId="165547F4" wp14:editId="31CE596F">
            <wp:extent cx="4715123" cy="5905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5486" cy="5906410"/>
                    </a:xfrm>
                    <a:prstGeom prst="rect">
                      <a:avLst/>
                    </a:prstGeom>
                    <a:noFill/>
                    <a:ln>
                      <a:noFill/>
                    </a:ln>
                  </pic:spPr>
                </pic:pic>
              </a:graphicData>
            </a:graphic>
          </wp:inline>
        </w:drawing>
      </w:r>
    </w:p>
    <w:p w14:paraId="25304175" w14:textId="77777777" w:rsidR="009D65C4" w:rsidRPr="007E441B" w:rsidRDefault="009D65C4" w:rsidP="004641DD">
      <w:pPr>
        <w:jc w:val="both"/>
        <w:rPr>
          <w:rFonts w:ascii="Times New Roman" w:hAnsi="Times New Roman" w:cs="Times New Roman"/>
          <w:b/>
          <w:noProof/>
          <w:sz w:val="24"/>
          <w:szCs w:val="24"/>
        </w:rPr>
      </w:pPr>
    </w:p>
    <w:p w14:paraId="77DBA4DD" w14:textId="61E5357F" w:rsidR="004641DD" w:rsidRPr="007E441B" w:rsidRDefault="004641DD" w:rsidP="004641DD">
      <w:pPr>
        <w:jc w:val="both"/>
        <w:rPr>
          <w:rFonts w:ascii="Times New Roman" w:hAnsi="Times New Roman" w:cs="Times New Roman"/>
          <w:b/>
          <w:noProof/>
          <w:sz w:val="24"/>
          <w:szCs w:val="24"/>
        </w:rPr>
      </w:pPr>
      <w:r w:rsidRPr="007E441B">
        <w:rPr>
          <w:rFonts w:ascii="Times New Roman" w:hAnsi="Times New Roman"/>
          <w:b/>
          <w:noProof/>
          <w:sz w:val="24"/>
        </w:rPr>
        <w:t>Vývoj</w:t>
      </w:r>
      <w:r w:rsidR="007E441B" w:rsidRPr="007E441B">
        <w:rPr>
          <w:rFonts w:ascii="Times New Roman" w:hAnsi="Times New Roman"/>
          <w:b/>
          <w:noProof/>
          <w:sz w:val="24"/>
        </w:rPr>
        <w:t xml:space="preserve"> v </w:t>
      </w:r>
      <w:r w:rsidRPr="007E441B">
        <w:rPr>
          <w:rFonts w:ascii="Times New Roman" w:hAnsi="Times New Roman"/>
          <w:b/>
          <w:noProof/>
          <w:sz w:val="24"/>
        </w:rPr>
        <w:t>členských štátoch EÚ</w:t>
      </w:r>
      <w:r w:rsidR="007E441B" w:rsidRPr="007E441B">
        <w:rPr>
          <w:rFonts w:ascii="Times New Roman" w:hAnsi="Times New Roman"/>
          <w:b/>
          <w:noProof/>
          <w:sz w:val="24"/>
        </w:rPr>
        <w:t xml:space="preserve"> v </w:t>
      </w:r>
      <w:r w:rsidRPr="007E441B">
        <w:rPr>
          <w:rFonts w:ascii="Times New Roman" w:hAnsi="Times New Roman"/>
          <w:b/>
          <w:noProof/>
          <w:sz w:val="24"/>
        </w:rPr>
        <w:t>roku 2021 – mechanizmy preverovania PZI</w:t>
      </w:r>
    </w:p>
    <w:p w14:paraId="4050A9F2" w14:textId="02B61511" w:rsidR="004641DD" w:rsidRPr="007E441B" w:rsidRDefault="00A04569" w:rsidP="004641DD">
      <w:pPr>
        <w:jc w:val="both"/>
        <w:rPr>
          <w:rFonts w:ascii="Times New Roman" w:hAnsi="Times New Roman" w:cs="Times New Roman"/>
          <w:noProof/>
          <w:sz w:val="24"/>
          <w:szCs w:val="24"/>
          <w:u w:val="single"/>
        </w:rPr>
      </w:pPr>
      <w:r w:rsidRPr="007E441B">
        <w:rPr>
          <w:rFonts w:ascii="Times New Roman" w:hAnsi="Times New Roman"/>
          <w:noProof/>
          <w:sz w:val="24"/>
        </w:rPr>
        <w:t xml:space="preserve">Nateraz </w:t>
      </w:r>
      <w:r w:rsidRPr="007E441B">
        <w:rPr>
          <w:rFonts w:ascii="Times New Roman" w:hAnsi="Times New Roman"/>
          <w:noProof/>
          <w:sz w:val="24"/>
          <w:u w:val="single"/>
        </w:rPr>
        <w:t>25</w:t>
      </w:r>
      <w:r w:rsidR="007E441B" w:rsidRPr="007E441B">
        <w:rPr>
          <w:rFonts w:ascii="Times New Roman" w:hAnsi="Times New Roman"/>
          <w:noProof/>
          <w:sz w:val="24"/>
          <w:u w:val="single"/>
        </w:rPr>
        <w:t xml:space="preserve"> z </w:t>
      </w:r>
      <w:r w:rsidRPr="007E441B">
        <w:rPr>
          <w:rFonts w:ascii="Times New Roman" w:hAnsi="Times New Roman"/>
          <w:noProof/>
          <w:sz w:val="24"/>
          <w:u w:val="single"/>
        </w:rPr>
        <w:t>27 členských štátov EÚ</w:t>
      </w:r>
      <w:r w:rsidRPr="007E441B">
        <w:rPr>
          <w:rFonts w:ascii="Times New Roman" w:hAnsi="Times New Roman"/>
          <w:noProof/>
          <w:sz w:val="24"/>
        </w:rPr>
        <w:t xml:space="preserve"> buď:</w:t>
      </w:r>
    </w:p>
    <w:p w14:paraId="719485E6" w14:textId="77777777" w:rsidR="00A04569" w:rsidRPr="007E441B" w:rsidRDefault="00A04569" w:rsidP="004641DD">
      <w:pPr>
        <w:pStyle w:val="ListParagraph"/>
        <w:numPr>
          <w:ilvl w:val="0"/>
          <w:numId w:val="3"/>
        </w:numPr>
        <w:jc w:val="both"/>
        <w:rPr>
          <w:rFonts w:ascii="Times New Roman" w:hAnsi="Times New Roman" w:cs="Times New Roman"/>
          <w:noProof/>
          <w:sz w:val="24"/>
          <w:szCs w:val="24"/>
        </w:rPr>
      </w:pPr>
      <w:r w:rsidRPr="007E441B">
        <w:rPr>
          <w:rFonts w:ascii="Times New Roman" w:hAnsi="Times New Roman"/>
          <w:noProof/>
          <w:sz w:val="24"/>
        </w:rPr>
        <w:t>malo zavedený vnútroštátny mechanizmus preverovania PZI, alebo</w:t>
      </w:r>
    </w:p>
    <w:p w14:paraId="69E1B25A" w14:textId="77777777" w:rsidR="004641DD" w:rsidRPr="007E441B" w:rsidRDefault="004641DD" w:rsidP="004641DD">
      <w:pPr>
        <w:pStyle w:val="ListParagraph"/>
        <w:numPr>
          <w:ilvl w:val="0"/>
          <w:numId w:val="3"/>
        </w:numPr>
        <w:jc w:val="both"/>
        <w:rPr>
          <w:rFonts w:ascii="Times New Roman" w:hAnsi="Times New Roman" w:cs="Times New Roman"/>
          <w:noProof/>
          <w:sz w:val="24"/>
          <w:szCs w:val="24"/>
        </w:rPr>
      </w:pPr>
      <w:r w:rsidRPr="007E441B">
        <w:rPr>
          <w:rFonts w:ascii="Times New Roman" w:hAnsi="Times New Roman"/>
          <w:noProof/>
          <w:sz w:val="24"/>
        </w:rPr>
        <w:t>prijalo nový vnútroštátny mechanizmus preverovania PZI, alebo</w:t>
      </w:r>
    </w:p>
    <w:p w14:paraId="128412D2" w14:textId="77777777" w:rsidR="004641DD" w:rsidRPr="007E441B" w:rsidRDefault="004641DD" w:rsidP="004641DD">
      <w:pPr>
        <w:pStyle w:val="ListParagraph"/>
        <w:numPr>
          <w:ilvl w:val="0"/>
          <w:numId w:val="3"/>
        </w:numPr>
        <w:jc w:val="both"/>
        <w:rPr>
          <w:rFonts w:ascii="Times New Roman" w:hAnsi="Times New Roman" w:cs="Times New Roman"/>
          <w:noProof/>
          <w:sz w:val="24"/>
          <w:szCs w:val="24"/>
        </w:rPr>
      </w:pPr>
      <w:r w:rsidRPr="007E441B">
        <w:rPr>
          <w:rFonts w:ascii="Times New Roman" w:hAnsi="Times New Roman"/>
          <w:noProof/>
          <w:sz w:val="24"/>
        </w:rPr>
        <w:t>zmenilo existujúci mechanizmus, alebo</w:t>
      </w:r>
    </w:p>
    <w:p w14:paraId="6FD2B9E2" w14:textId="5DE656B7" w:rsidR="004641DD" w:rsidRPr="007E441B" w:rsidRDefault="004641DD" w:rsidP="004641DD">
      <w:pPr>
        <w:pStyle w:val="ListParagraph"/>
        <w:numPr>
          <w:ilvl w:val="0"/>
          <w:numId w:val="3"/>
        </w:numPr>
        <w:jc w:val="both"/>
        <w:rPr>
          <w:rFonts w:ascii="Times New Roman" w:hAnsi="Times New Roman" w:cs="Times New Roman"/>
          <w:noProof/>
          <w:sz w:val="24"/>
          <w:szCs w:val="24"/>
        </w:rPr>
      </w:pPr>
      <w:r w:rsidRPr="007E441B">
        <w:rPr>
          <w:rFonts w:ascii="Times New Roman" w:hAnsi="Times New Roman"/>
          <w:noProof/>
          <w:sz w:val="24"/>
        </w:rPr>
        <w:t>iniciovalo konzultačný alebo legislatívny postup, ktorý má viesť</w:t>
      </w:r>
      <w:r w:rsidR="007E441B" w:rsidRPr="007E441B">
        <w:rPr>
          <w:rFonts w:ascii="Times New Roman" w:hAnsi="Times New Roman"/>
          <w:noProof/>
          <w:sz w:val="24"/>
        </w:rPr>
        <w:t xml:space="preserve"> k </w:t>
      </w:r>
      <w:r w:rsidRPr="007E441B">
        <w:rPr>
          <w:rFonts w:ascii="Times New Roman" w:hAnsi="Times New Roman"/>
          <w:noProof/>
          <w:sz w:val="24"/>
        </w:rPr>
        <w:t>prijatiu nového mechanizmu alebo zmenám existujúceho mechanizmu.</w:t>
      </w:r>
    </w:p>
    <w:p w14:paraId="02320AC4" w14:textId="72C38067" w:rsidR="00070908" w:rsidRPr="007E441B" w:rsidRDefault="004318BF"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V ďalej uvedenej tabuľke sa uvádza prehľad legislatívnej situácie</w:t>
      </w:r>
      <w:r w:rsidR="007E441B" w:rsidRPr="007E441B">
        <w:rPr>
          <w:rFonts w:ascii="Times New Roman" w:hAnsi="Times New Roman"/>
          <w:noProof/>
          <w:sz w:val="24"/>
        </w:rPr>
        <w:t xml:space="preserve"> a </w:t>
      </w:r>
      <w:r w:rsidRPr="007E441B">
        <w:rPr>
          <w:rFonts w:ascii="Times New Roman" w:hAnsi="Times New Roman"/>
          <w:noProof/>
          <w:sz w:val="24"/>
        </w:rPr>
        <w:t>vývoja</w:t>
      </w:r>
      <w:r w:rsidR="007E441B" w:rsidRPr="007E441B">
        <w:rPr>
          <w:rFonts w:ascii="Times New Roman" w:hAnsi="Times New Roman"/>
          <w:noProof/>
          <w:sz w:val="24"/>
        </w:rPr>
        <w:t xml:space="preserve"> v </w:t>
      </w:r>
      <w:r w:rsidRPr="007E441B">
        <w:rPr>
          <w:rFonts w:ascii="Times New Roman" w:hAnsi="Times New Roman"/>
          <w:noProof/>
          <w:sz w:val="24"/>
        </w:rPr>
        <w:t>roku 2021 vo všetkých 27 členských štátoch</w:t>
      </w:r>
      <w:r w:rsidRPr="007E441B">
        <w:rPr>
          <w:rStyle w:val="FootnoteReference"/>
          <w:rFonts w:ascii="Times New Roman" w:hAnsi="Times New Roman" w:cs="Times New Roman"/>
          <w:noProof/>
          <w:sz w:val="24"/>
          <w:szCs w:val="24"/>
        </w:rPr>
        <w:footnoteReference w:id="16"/>
      </w:r>
      <w:r w:rsidRPr="007E441B">
        <w:rPr>
          <w:rFonts w:ascii="Times New Roman" w:hAnsi="Times New Roman"/>
          <w:noProof/>
          <w:sz w:val="24"/>
        </w:rPr>
        <w:t>.</w:t>
      </w:r>
    </w:p>
    <w:tbl>
      <w:tblPr>
        <w:tblStyle w:val="TableGrid"/>
        <w:tblW w:w="0" w:type="auto"/>
        <w:tblLook w:val="04A0" w:firstRow="1" w:lastRow="0" w:firstColumn="1" w:lastColumn="0" w:noHBand="0" w:noVBand="1"/>
      </w:tblPr>
      <w:tblGrid>
        <w:gridCol w:w="4621"/>
        <w:gridCol w:w="4621"/>
      </w:tblGrid>
      <w:tr w:rsidR="00A04569" w:rsidRPr="007E441B" w14:paraId="07D155E8" w14:textId="77777777" w:rsidTr="00277F3E">
        <w:tc>
          <w:tcPr>
            <w:tcW w:w="4621" w:type="dxa"/>
          </w:tcPr>
          <w:p w14:paraId="54D3B7D3" w14:textId="77777777" w:rsidR="00A04569" w:rsidRPr="007E441B" w:rsidRDefault="00A6058B" w:rsidP="00A6058B">
            <w:pPr>
              <w:jc w:val="both"/>
              <w:rPr>
                <w:rFonts w:ascii="Times New Roman" w:hAnsi="Times New Roman" w:cs="Times New Roman"/>
                <w:b/>
                <w:noProof/>
                <w:sz w:val="24"/>
                <w:szCs w:val="24"/>
              </w:rPr>
            </w:pPr>
            <w:r w:rsidRPr="007E441B">
              <w:rPr>
                <w:rFonts w:ascii="Times New Roman" w:hAnsi="Times New Roman"/>
                <w:b/>
                <w:noProof/>
                <w:sz w:val="24"/>
              </w:rPr>
              <w:t>Zavedený vnútroštátny mechanizmus preverovania PZI</w:t>
            </w:r>
          </w:p>
        </w:tc>
        <w:tc>
          <w:tcPr>
            <w:tcW w:w="4621" w:type="dxa"/>
          </w:tcPr>
          <w:p w14:paraId="59400374" w14:textId="77777777" w:rsidR="00A04569" w:rsidRPr="007E441B" w:rsidRDefault="00A04569" w:rsidP="00CF76DC">
            <w:pPr>
              <w:jc w:val="both"/>
              <w:rPr>
                <w:rFonts w:ascii="Times New Roman" w:hAnsi="Times New Roman" w:cs="Times New Roman"/>
                <w:noProof/>
                <w:sz w:val="24"/>
                <w:szCs w:val="24"/>
              </w:rPr>
            </w:pPr>
            <w:r w:rsidRPr="007E441B">
              <w:rPr>
                <w:rFonts w:ascii="Times New Roman" w:hAnsi="Times New Roman"/>
                <w:noProof/>
                <w:sz w:val="24"/>
              </w:rPr>
              <w:t>Fínsko, Malta, Poľsko, Portugalsko, Rakúsko, Slovinsko, Španielsko</w:t>
            </w:r>
          </w:p>
        </w:tc>
      </w:tr>
      <w:tr w:rsidR="009B485A" w:rsidRPr="007E441B" w14:paraId="2F992A69" w14:textId="77777777" w:rsidTr="00D92EE0">
        <w:tc>
          <w:tcPr>
            <w:tcW w:w="4621" w:type="dxa"/>
          </w:tcPr>
          <w:p w14:paraId="04D953D1" w14:textId="77777777" w:rsidR="009B485A" w:rsidRPr="007E441B" w:rsidRDefault="00A6058B" w:rsidP="00CF76DC">
            <w:pPr>
              <w:jc w:val="both"/>
              <w:rPr>
                <w:rFonts w:ascii="Times New Roman" w:hAnsi="Times New Roman" w:cs="Times New Roman"/>
                <w:b/>
                <w:noProof/>
                <w:sz w:val="24"/>
                <w:szCs w:val="24"/>
              </w:rPr>
            </w:pPr>
            <w:r w:rsidRPr="007E441B">
              <w:rPr>
                <w:rFonts w:ascii="Times New Roman" w:hAnsi="Times New Roman"/>
                <w:b/>
                <w:noProof/>
                <w:sz w:val="24"/>
              </w:rPr>
              <w:t>Zmena</w:t>
            </w:r>
            <w:r w:rsidRPr="007E441B">
              <w:rPr>
                <w:rFonts w:ascii="Times New Roman" w:hAnsi="Times New Roman"/>
                <w:noProof/>
                <w:sz w:val="24"/>
              </w:rPr>
              <w:t xml:space="preserve"> </w:t>
            </w:r>
            <w:r w:rsidRPr="007E441B">
              <w:rPr>
                <w:rFonts w:ascii="Times New Roman" w:hAnsi="Times New Roman"/>
                <w:b/>
                <w:noProof/>
                <w:sz w:val="24"/>
              </w:rPr>
              <w:t>existujúceho mechanizmu</w:t>
            </w:r>
          </w:p>
        </w:tc>
        <w:tc>
          <w:tcPr>
            <w:tcW w:w="4621" w:type="dxa"/>
          </w:tcPr>
          <w:p w14:paraId="207124B0" w14:textId="77777777" w:rsidR="009B485A" w:rsidRPr="007E441B" w:rsidRDefault="009B485A" w:rsidP="00C400C4">
            <w:pPr>
              <w:jc w:val="both"/>
              <w:rPr>
                <w:rFonts w:ascii="Times New Roman" w:hAnsi="Times New Roman" w:cs="Times New Roman"/>
                <w:noProof/>
                <w:sz w:val="24"/>
                <w:szCs w:val="24"/>
              </w:rPr>
            </w:pPr>
            <w:r w:rsidRPr="007E441B">
              <w:rPr>
                <w:rFonts w:ascii="Times New Roman" w:hAnsi="Times New Roman"/>
                <w:noProof/>
                <w:sz w:val="24"/>
              </w:rPr>
              <w:t>Francúzsko, Lotyšsko, Litva. Maďarsko, Nemecko, Taliansko</w:t>
            </w:r>
          </w:p>
        </w:tc>
      </w:tr>
      <w:tr w:rsidR="000D62ED" w:rsidRPr="007E441B" w14:paraId="634058C7" w14:textId="77777777" w:rsidTr="00CE0D23">
        <w:tc>
          <w:tcPr>
            <w:tcW w:w="4621" w:type="dxa"/>
          </w:tcPr>
          <w:p w14:paraId="21FCDA02" w14:textId="68A63F38" w:rsidR="000D62ED" w:rsidRPr="007E441B" w:rsidRDefault="00A6058B" w:rsidP="00E87459">
            <w:pPr>
              <w:jc w:val="both"/>
              <w:rPr>
                <w:rFonts w:ascii="Times New Roman" w:hAnsi="Times New Roman" w:cs="Times New Roman"/>
                <w:b/>
                <w:noProof/>
                <w:sz w:val="24"/>
                <w:szCs w:val="24"/>
              </w:rPr>
            </w:pPr>
            <w:r w:rsidRPr="007E441B">
              <w:rPr>
                <w:rFonts w:ascii="Times New Roman" w:hAnsi="Times New Roman"/>
                <w:b/>
                <w:noProof/>
                <w:sz w:val="24"/>
              </w:rPr>
              <w:t>Konzultačný alebo legislatívny postup, ktorý má viesť</w:t>
            </w:r>
            <w:r w:rsidR="007E441B" w:rsidRPr="007E441B">
              <w:rPr>
                <w:rFonts w:ascii="Times New Roman" w:hAnsi="Times New Roman"/>
                <w:b/>
                <w:noProof/>
                <w:sz w:val="24"/>
              </w:rPr>
              <w:t xml:space="preserve"> k </w:t>
            </w:r>
            <w:r w:rsidRPr="007E441B">
              <w:rPr>
                <w:rFonts w:ascii="Times New Roman" w:hAnsi="Times New Roman"/>
                <w:b/>
                <w:noProof/>
                <w:sz w:val="24"/>
              </w:rPr>
              <w:t>aktualizácii existujúceho mechanizmu</w:t>
            </w:r>
          </w:p>
        </w:tc>
        <w:tc>
          <w:tcPr>
            <w:tcW w:w="4621" w:type="dxa"/>
          </w:tcPr>
          <w:p w14:paraId="7C444CB9" w14:textId="7946259E" w:rsidR="000D62ED" w:rsidRPr="007E441B" w:rsidRDefault="000D62ED" w:rsidP="00BD66EB">
            <w:pPr>
              <w:jc w:val="both"/>
              <w:rPr>
                <w:rFonts w:ascii="Times New Roman" w:hAnsi="Times New Roman" w:cs="Times New Roman"/>
                <w:noProof/>
                <w:sz w:val="24"/>
                <w:szCs w:val="24"/>
              </w:rPr>
            </w:pPr>
            <w:r w:rsidRPr="007E441B">
              <w:rPr>
                <w:rFonts w:ascii="Times New Roman" w:hAnsi="Times New Roman"/>
                <w:noProof/>
                <w:sz w:val="24"/>
              </w:rPr>
              <w:t>Holandsko, Rumunsko</w:t>
            </w:r>
          </w:p>
        </w:tc>
      </w:tr>
      <w:tr w:rsidR="000D62ED" w:rsidRPr="007E441B" w14:paraId="6F1E07C6" w14:textId="77777777" w:rsidTr="00CE0D23">
        <w:tc>
          <w:tcPr>
            <w:tcW w:w="4621" w:type="dxa"/>
          </w:tcPr>
          <w:p w14:paraId="369AC8FF" w14:textId="77777777" w:rsidR="000D62ED" w:rsidRPr="007E441B" w:rsidRDefault="00A6058B" w:rsidP="00A6058B">
            <w:pPr>
              <w:jc w:val="both"/>
              <w:rPr>
                <w:rFonts w:ascii="Times New Roman" w:hAnsi="Times New Roman" w:cs="Times New Roman"/>
                <w:b/>
                <w:noProof/>
                <w:sz w:val="24"/>
                <w:szCs w:val="24"/>
              </w:rPr>
            </w:pPr>
            <w:r w:rsidRPr="007E441B">
              <w:rPr>
                <w:rFonts w:ascii="Times New Roman" w:hAnsi="Times New Roman"/>
                <w:b/>
                <w:noProof/>
                <w:sz w:val="24"/>
              </w:rPr>
              <w:t>Prijatý nový vnútroštátny mechanizmus preverovania PZI</w:t>
            </w:r>
          </w:p>
        </w:tc>
        <w:tc>
          <w:tcPr>
            <w:tcW w:w="4621" w:type="dxa"/>
          </w:tcPr>
          <w:p w14:paraId="6B1DBE65" w14:textId="748A458D" w:rsidR="000D62ED" w:rsidRPr="007E441B" w:rsidRDefault="000D62ED" w:rsidP="00CF76DC">
            <w:pPr>
              <w:jc w:val="both"/>
              <w:rPr>
                <w:rFonts w:ascii="Times New Roman" w:hAnsi="Times New Roman" w:cs="Times New Roman"/>
                <w:noProof/>
                <w:sz w:val="24"/>
                <w:szCs w:val="24"/>
              </w:rPr>
            </w:pPr>
            <w:r w:rsidRPr="007E441B">
              <w:rPr>
                <w:rFonts w:ascii="Times New Roman" w:hAnsi="Times New Roman"/>
                <w:noProof/>
                <w:sz w:val="24"/>
              </w:rPr>
              <w:t>Česko, Dánsko, Slovensko</w:t>
            </w:r>
          </w:p>
        </w:tc>
      </w:tr>
      <w:tr w:rsidR="009B485A" w:rsidRPr="007E441B" w14:paraId="3EFCC049" w14:textId="77777777" w:rsidTr="00D92EE0">
        <w:tc>
          <w:tcPr>
            <w:tcW w:w="4621" w:type="dxa"/>
          </w:tcPr>
          <w:p w14:paraId="6E1D2419" w14:textId="0653BCD6" w:rsidR="009B485A" w:rsidRPr="007E441B" w:rsidRDefault="00A6058B" w:rsidP="00E30107">
            <w:pPr>
              <w:jc w:val="both"/>
              <w:rPr>
                <w:rFonts w:ascii="Times New Roman" w:hAnsi="Times New Roman" w:cs="Times New Roman"/>
                <w:noProof/>
                <w:sz w:val="24"/>
                <w:szCs w:val="24"/>
              </w:rPr>
            </w:pPr>
            <w:r w:rsidRPr="007E441B">
              <w:rPr>
                <w:rFonts w:ascii="Times New Roman" w:hAnsi="Times New Roman"/>
                <w:b/>
                <w:noProof/>
                <w:sz w:val="24"/>
              </w:rPr>
              <w:t>Konzultačný alebo legislatívny postup, ktorý má viesť</w:t>
            </w:r>
            <w:r w:rsidR="007E441B" w:rsidRPr="007E441B">
              <w:rPr>
                <w:rFonts w:ascii="Times New Roman" w:hAnsi="Times New Roman"/>
                <w:b/>
                <w:noProof/>
                <w:sz w:val="24"/>
              </w:rPr>
              <w:t xml:space="preserve"> k </w:t>
            </w:r>
            <w:r w:rsidRPr="007E441B">
              <w:rPr>
                <w:rFonts w:ascii="Times New Roman" w:hAnsi="Times New Roman"/>
                <w:b/>
                <w:noProof/>
                <w:sz w:val="24"/>
              </w:rPr>
              <w:t>prijatiu nového mechanizmu</w:t>
            </w:r>
          </w:p>
        </w:tc>
        <w:tc>
          <w:tcPr>
            <w:tcW w:w="4621" w:type="dxa"/>
          </w:tcPr>
          <w:p w14:paraId="6EFEC5F2" w14:textId="77777777" w:rsidR="009B485A" w:rsidRPr="007E441B" w:rsidRDefault="009B485A" w:rsidP="00095D48">
            <w:pPr>
              <w:jc w:val="both"/>
              <w:rPr>
                <w:rFonts w:ascii="Times New Roman" w:hAnsi="Times New Roman" w:cs="Times New Roman"/>
                <w:noProof/>
                <w:sz w:val="24"/>
                <w:szCs w:val="24"/>
              </w:rPr>
            </w:pPr>
            <w:r w:rsidRPr="007E441B">
              <w:rPr>
                <w:rFonts w:ascii="Times New Roman" w:hAnsi="Times New Roman"/>
                <w:noProof/>
                <w:sz w:val="24"/>
              </w:rPr>
              <w:t xml:space="preserve">Belgicko, Estónsko, Grécko, Chorvátsko, Írsko, Luxembursko, Švédsko </w:t>
            </w:r>
          </w:p>
        </w:tc>
      </w:tr>
      <w:tr w:rsidR="009B485A" w:rsidRPr="007E441B" w14:paraId="19DFD947" w14:textId="77777777" w:rsidTr="0083583F">
        <w:trPr>
          <w:trHeight w:val="369"/>
        </w:trPr>
        <w:tc>
          <w:tcPr>
            <w:tcW w:w="4621" w:type="dxa"/>
          </w:tcPr>
          <w:p w14:paraId="4A9CE9B2" w14:textId="7E2F67DB" w:rsidR="00DC2D19" w:rsidRPr="007E441B" w:rsidRDefault="00A6058B" w:rsidP="00CF76DC">
            <w:pPr>
              <w:rPr>
                <w:rFonts w:ascii="Times New Roman" w:hAnsi="Times New Roman" w:cs="Times New Roman"/>
                <w:b/>
                <w:noProof/>
                <w:sz w:val="24"/>
                <w:szCs w:val="24"/>
              </w:rPr>
            </w:pPr>
            <w:r w:rsidRPr="007E441B">
              <w:rPr>
                <w:rFonts w:ascii="Times New Roman" w:hAnsi="Times New Roman"/>
                <w:b/>
                <w:noProof/>
                <w:sz w:val="24"/>
              </w:rPr>
              <w:t>Žiadna verejne oznámená iniciatíva neprebieha</w:t>
            </w:r>
          </w:p>
        </w:tc>
        <w:tc>
          <w:tcPr>
            <w:tcW w:w="4621" w:type="dxa"/>
          </w:tcPr>
          <w:p w14:paraId="00BE26B7" w14:textId="77777777" w:rsidR="009B485A" w:rsidRPr="007E441B" w:rsidRDefault="009B485A" w:rsidP="00CF76DC">
            <w:pPr>
              <w:jc w:val="both"/>
              <w:rPr>
                <w:rFonts w:ascii="Times New Roman" w:hAnsi="Times New Roman" w:cs="Times New Roman"/>
                <w:noProof/>
                <w:sz w:val="24"/>
                <w:szCs w:val="24"/>
              </w:rPr>
            </w:pPr>
            <w:r w:rsidRPr="007E441B">
              <w:rPr>
                <w:rFonts w:ascii="Times New Roman" w:hAnsi="Times New Roman"/>
                <w:noProof/>
                <w:sz w:val="24"/>
              </w:rPr>
              <w:t>Bulharsko, Cyprus</w:t>
            </w:r>
          </w:p>
        </w:tc>
      </w:tr>
    </w:tbl>
    <w:p w14:paraId="3B9F455F" w14:textId="7777BA30" w:rsidR="004641DD" w:rsidRPr="007E441B" w:rsidRDefault="004641DD" w:rsidP="008B1F48">
      <w:pPr>
        <w:spacing w:before="160" w:line="240" w:lineRule="auto"/>
        <w:jc w:val="both"/>
        <w:rPr>
          <w:rFonts w:ascii="Times New Roman" w:hAnsi="Times New Roman" w:cs="Times New Roman"/>
          <w:noProof/>
          <w:sz w:val="24"/>
          <w:szCs w:val="24"/>
        </w:rPr>
      </w:pPr>
      <w:r w:rsidRPr="007E441B">
        <w:rPr>
          <w:rFonts w:ascii="Times New Roman" w:hAnsi="Times New Roman"/>
          <w:noProof/>
          <w:sz w:val="24"/>
        </w:rPr>
        <w:t>Väčšina zmien vnútroštátnych právnych predpisov sa týkala troch tém: zdokonalenia postupov preverovania, rozšírenia zahrnutých odvetví</w:t>
      </w:r>
      <w:r w:rsidR="007E441B" w:rsidRPr="007E441B">
        <w:rPr>
          <w:rFonts w:ascii="Times New Roman" w:hAnsi="Times New Roman"/>
          <w:noProof/>
          <w:sz w:val="24"/>
        </w:rPr>
        <w:t xml:space="preserve"> a </w:t>
      </w:r>
      <w:r w:rsidRPr="007E441B">
        <w:rPr>
          <w:rFonts w:ascii="Times New Roman" w:hAnsi="Times New Roman"/>
          <w:noProof/>
          <w:sz w:val="24"/>
        </w:rPr>
        <w:t xml:space="preserve">predĺženia platnosti vnútroštátnych mechanizmov. </w:t>
      </w:r>
      <w:r w:rsidRPr="007E441B">
        <w:rPr>
          <w:rFonts w:ascii="Times New Roman" w:hAnsi="Times New Roman"/>
          <w:b/>
          <w:noProof/>
          <w:sz w:val="24"/>
        </w:rPr>
        <w:t>Francúzsko</w:t>
      </w:r>
      <w:r w:rsidRPr="007E441B">
        <w:rPr>
          <w:rFonts w:ascii="Times New Roman" w:hAnsi="Times New Roman"/>
          <w:noProof/>
          <w:sz w:val="24"/>
        </w:rPr>
        <w:t xml:space="preserve"> napríklad znížilo prahovú hodnotu, pri ktorej sa preverujú investície investorov</w:t>
      </w:r>
      <w:r w:rsidR="007E441B" w:rsidRPr="007E441B">
        <w:rPr>
          <w:rFonts w:ascii="Times New Roman" w:hAnsi="Times New Roman"/>
          <w:noProof/>
          <w:sz w:val="24"/>
        </w:rPr>
        <w:t xml:space="preserve"> z </w:t>
      </w:r>
      <w:r w:rsidRPr="007E441B">
        <w:rPr>
          <w:rFonts w:ascii="Times New Roman" w:hAnsi="Times New Roman"/>
          <w:noProof/>
          <w:sz w:val="24"/>
        </w:rPr>
        <w:t>krajín mimo EÚ,</w:t>
      </w:r>
      <w:r w:rsidR="007E441B" w:rsidRPr="007E441B">
        <w:rPr>
          <w:rFonts w:ascii="Times New Roman" w:hAnsi="Times New Roman"/>
          <w:noProof/>
          <w:sz w:val="24"/>
        </w:rPr>
        <w:t xml:space="preserve"> a </w:t>
      </w:r>
      <w:r w:rsidRPr="007E441B">
        <w:rPr>
          <w:rFonts w:ascii="Times New Roman" w:hAnsi="Times New Roman"/>
          <w:noProof/>
          <w:sz w:val="24"/>
        </w:rPr>
        <w:t>teraz od investorov vyžaduje, aby spolu</w:t>
      </w:r>
      <w:r w:rsidR="007E441B" w:rsidRPr="007E441B">
        <w:rPr>
          <w:rFonts w:ascii="Times New Roman" w:hAnsi="Times New Roman"/>
          <w:noProof/>
          <w:sz w:val="24"/>
        </w:rPr>
        <w:t xml:space="preserve"> s </w:t>
      </w:r>
      <w:r w:rsidRPr="007E441B">
        <w:rPr>
          <w:rFonts w:ascii="Times New Roman" w:hAnsi="Times New Roman"/>
          <w:noProof/>
          <w:sz w:val="24"/>
        </w:rPr>
        <w:t>ďalšími dokumentmi predložili oznámenie EÚ</w:t>
      </w:r>
      <w:r w:rsidR="007E441B" w:rsidRPr="007E441B">
        <w:rPr>
          <w:rFonts w:ascii="Times New Roman" w:hAnsi="Times New Roman"/>
          <w:noProof/>
          <w:sz w:val="24"/>
        </w:rPr>
        <w:t xml:space="preserve"> s </w:t>
      </w:r>
      <w:r w:rsidRPr="007E441B">
        <w:rPr>
          <w:rFonts w:ascii="Times New Roman" w:hAnsi="Times New Roman"/>
          <w:noProof/>
          <w:sz w:val="24"/>
        </w:rPr>
        <w:t>názvom „formulár B“</w:t>
      </w:r>
      <w:r w:rsidRPr="007E441B">
        <w:rPr>
          <w:rStyle w:val="FootnoteReference"/>
          <w:rFonts w:ascii="Times New Roman" w:hAnsi="Times New Roman" w:cs="Times New Roman"/>
          <w:noProof/>
          <w:sz w:val="24"/>
          <w:szCs w:val="24"/>
        </w:rPr>
        <w:footnoteReference w:id="17"/>
      </w:r>
      <w:r w:rsidRPr="007E441B">
        <w:rPr>
          <w:rFonts w:ascii="Times New Roman" w:hAnsi="Times New Roman"/>
          <w:noProof/>
          <w:sz w:val="24"/>
        </w:rPr>
        <w:t xml:space="preserve">. </w:t>
      </w:r>
      <w:r w:rsidRPr="007E441B">
        <w:rPr>
          <w:rFonts w:ascii="Times New Roman" w:hAnsi="Times New Roman"/>
          <w:b/>
          <w:noProof/>
          <w:sz w:val="24"/>
        </w:rPr>
        <w:t>Nemecko</w:t>
      </w:r>
      <w:r w:rsidRPr="007E441B">
        <w:rPr>
          <w:rFonts w:ascii="Times New Roman" w:hAnsi="Times New Roman"/>
          <w:noProof/>
          <w:sz w:val="24"/>
        </w:rPr>
        <w:t xml:space="preserve"> zaviedlo rôzne procedurálne zmeny (napr. pridanie 16 nových skupín</w:t>
      </w:r>
      <w:r w:rsidRPr="007E441B">
        <w:rPr>
          <w:rStyle w:val="FootnoteReference"/>
          <w:rFonts w:ascii="Times New Roman" w:hAnsi="Times New Roman" w:cs="Times New Roman"/>
          <w:noProof/>
          <w:sz w:val="24"/>
          <w:szCs w:val="24"/>
        </w:rPr>
        <w:footnoteReference w:id="18"/>
      </w:r>
      <w:r w:rsidRPr="007E441B">
        <w:rPr>
          <w:rFonts w:ascii="Times New Roman" w:hAnsi="Times New Roman"/>
          <w:noProof/>
          <w:sz w:val="24"/>
        </w:rPr>
        <w:t xml:space="preserve"> prípadov týkajúcich sa vznikajúcich/citlivých technológií), uplatnilo nové prahové hodnoty na nadobudnutie kapitálu</w:t>
      </w:r>
      <w:r w:rsidR="007E441B" w:rsidRPr="007E441B">
        <w:rPr>
          <w:rFonts w:ascii="Times New Roman" w:hAnsi="Times New Roman"/>
          <w:noProof/>
          <w:sz w:val="24"/>
        </w:rPr>
        <w:t xml:space="preserve"> a </w:t>
      </w:r>
      <w:r w:rsidRPr="007E441B">
        <w:rPr>
          <w:rFonts w:ascii="Times New Roman" w:hAnsi="Times New Roman"/>
          <w:noProof/>
          <w:sz w:val="24"/>
        </w:rPr>
        <w:t>hlasovacích práv, ktoré si vyžadujú oznámenie,</w:t>
      </w:r>
      <w:r w:rsidR="007E441B" w:rsidRPr="007E441B">
        <w:rPr>
          <w:rFonts w:ascii="Times New Roman" w:hAnsi="Times New Roman"/>
          <w:noProof/>
          <w:sz w:val="24"/>
        </w:rPr>
        <w:t xml:space="preserve"> a </w:t>
      </w:r>
      <w:r w:rsidRPr="007E441B">
        <w:rPr>
          <w:rFonts w:ascii="Times New Roman" w:hAnsi="Times New Roman"/>
          <w:noProof/>
          <w:sz w:val="24"/>
        </w:rPr>
        <w:t xml:space="preserve">zaviedlo nové požiadavky pre investorov. </w:t>
      </w:r>
      <w:r w:rsidRPr="007E441B">
        <w:rPr>
          <w:rFonts w:ascii="Times New Roman" w:hAnsi="Times New Roman"/>
          <w:b/>
          <w:noProof/>
          <w:sz w:val="24"/>
        </w:rPr>
        <w:t>Taliansko</w:t>
      </w:r>
      <w:r w:rsidRPr="007E441B">
        <w:rPr>
          <w:rFonts w:ascii="Times New Roman" w:hAnsi="Times New Roman"/>
          <w:noProof/>
          <w:sz w:val="24"/>
        </w:rPr>
        <w:t xml:space="preserve"> rozšírilo uplatniteľnosť svojho existujúceho mechanizmu preverovania. </w:t>
      </w:r>
      <w:r w:rsidRPr="007E441B">
        <w:rPr>
          <w:rFonts w:ascii="Times New Roman" w:hAnsi="Times New Roman"/>
          <w:b/>
          <w:noProof/>
          <w:sz w:val="24"/>
        </w:rPr>
        <w:t>Lotyšsko</w:t>
      </w:r>
      <w:r w:rsidRPr="007E441B">
        <w:rPr>
          <w:rFonts w:ascii="Times New Roman" w:hAnsi="Times New Roman"/>
          <w:noProof/>
          <w:sz w:val="24"/>
        </w:rPr>
        <w:t xml:space="preserve"> okrem iného rozšírilo právomoc vnútroštátnych orgánov požadovať od investorov ďalšie informácie.</w:t>
      </w:r>
      <w:r w:rsidRPr="007E441B">
        <w:rPr>
          <w:noProof/>
        </w:rPr>
        <w:t xml:space="preserve"> </w:t>
      </w:r>
      <w:r w:rsidRPr="007E441B">
        <w:rPr>
          <w:rFonts w:ascii="Times New Roman" w:hAnsi="Times New Roman"/>
          <w:b/>
          <w:noProof/>
          <w:sz w:val="24"/>
        </w:rPr>
        <w:t>Litva</w:t>
      </w:r>
      <w:r w:rsidRPr="007E441B">
        <w:rPr>
          <w:rFonts w:ascii="Times New Roman" w:hAnsi="Times New Roman"/>
          <w:noProof/>
          <w:sz w:val="24"/>
        </w:rPr>
        <w:t xml:space="preserve"> okrem iného upravila svoj zoznam podnikov</w:t>
      </w:r>
      <w:r w:rsidR="007E441B" w:rsidRPr="007E441B">
        <w:rPr>
          <w:rFonts w:ascii="Times New Roman" w:hAnsi="Times New Roman"/>
          <w:noProof/>
          <w:sz w:val="24"/>
        </w:rPr>
        <w:t xml:space="preserve"> a </w:t>
      </w:r>
      <w:r w:rsidRPr="007E441B">
        <w:rPr>
          <w:rFonts w:ascii="Times New Roman" w:hAnsi="Times New Roman"/>
          <w:noProof/>
          <w:sz w:val="24"/>
        </w:rPr>
        <w:t xml:space="preserve">strategickej infraštruktúry, ktoré považuje za dôležité. </w:t>
      </w:r>
      <w:r w:rsidRPr="007E441B">
        <w:rPr>
          <w:rFonts w:ascii="Times New Roman" w:hAnsi="Times New Roman"/>
          <w:b/>
          <w:noProof/>
          <w:sz w:val="24"/>
        </w:rPr>
        <w:t>Maďarsko</w:t>
      </w:r>
      <w:r w:rsidRPr="007E441B">
        <w:rPr>
          <w:rFonts w:ascii="Times New Roman" w:hAnsi="Times New Roman"/>
          <w:noProof/>
          <w:sz w:val="24"/>
        </w:rPr>
        <w:t xml:space="preserve"> doplnilo do svojich právnych predpisov ďalšie činnosti cieľových spoločností, ktoré si vyžadujú oznámenie plánovaných transakcií. Okrem toho niektoré ďalšie členské štáty uviedli, že</w:t>
      </w:r>
      <w:r w:rsidR="007E441B" w:rsidRPr="007E441B">
        <w:rPr>
          <w:rFonts w:ascii="Times New Roman" w:hAnsi="Times New Roman"/>
          <w:noProof/>
          <w:sz w:val="24"/>
        </w:rPr>
        <w:t xml:space="preserve"> v </w:t>
      </w:r>
      <w:r w:rsidRPr="007E441B">
        <w:rPr>
          <w:rFonts w:ascii="Times New Roman" w:hAnsi="Times New Roman"/>
          <w:noProof/>
          <w:sz w:val="24"/>
        </w:rPr>
        <w:t xml:space="preserve">súčasnosti plánujú zmeny svojich existujúcich mechanizmov. </w:t>
      </w:r>
    </w:p>
    <w:p w14:paraId="683524EA" w14:textId="76A5C5D6" w:rsidR="004641DD" w:rsidRPr="007E441B" w:rsidRDefault="004641DD"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Podrobnejšie informácie</w:t>
      </w:r>
      <w:r w:rsidR="007E441B" w:rsidRPr="007E441B">
        <w:rPr>
          <w:rFonts w:ascii="Times New Roman" w:hAnsi="Times New Roman"/>
          <w:noProof/>
          <w:sz w:val="24"/>
        </w:rPr>
        <w:t xml:space="preserve"> o </w:t>
      </w:r>
      <w:r w:rsidRPr="007E441B">
        <w:rPr>
          <w:rFonts w:ascii="Times New Roman" w:hAnsi="Times New Roman"/>
          <w:noProof/>
          <w:sz w:val="24"/>
        </w:rPr>
        <w:t>legislatívnom vývoji</w:t>
      </w:r>
      <w:r w:rsidR="007E441B" w:rsidRPr="007E441B">
        <w:rPr>
          <w:rFonts w:ascii="Times New Roman" w:hAnsi="Times New Roman"/>
          <w:noProof/>
          <w:sz w:val="24"/>
        </w:rPr>
        <w:t xml:space="preserve"> v </w:t>
      </w:r>
      <w:r w:rsidRPr="007E441B">
        <w:rPr>
          <w:rFonts w:ascii="Times New Roman" w:hAnsi="Times New Roman"/>
          <w:noProof/>
          <w:sz w:val="24"/>
        </w:rPr>
        <w:t>oblasti vnútroštátnych právnych predpisov členských štátov týkajúcich sa preverovania možno nájsť</w:t>
      </w:r>
      <w:r w:rsidR="007E441B" w:rsidRPr="007E441B">
        <w:rPr>
          <w:rFonts w:ascii="Times New Roman" w:hAnsi="Times New Roman"/>
          <w:noProof/>
          <w:sz w:val="24"/>
        </w:rPr>
        <w:t xml:space="preserve"> v </w:t>
      </w:r>
      <w:r w:rsidRPr="007E441B">
        <w:rPr>
          <w:rFonts w:ascii="Times New Roman" w:hAnsi="Times New Roman"/>
          <w:noProof/>
          <w:sz w:val="24"/>
        </w:rPr>
        <w:t>sprievodnom pracovnom dokumente útvarov Komisie. Európska komisia vedie aj zoznam vnútroštátnych legislatívnych aktualizácií</w:t>
      </w:r>
      <w:r w:rsidRPr="007E441B">
        <w:rPr>
          <w:rStyle w:val="FootnoteReference"/>
          <w:rFonts w:ascii="Times New Roman" w:hAnsi="Times New Roman" w:cs="Times New Roman"/>
          <w:noProof/>
          <w:sz w:val="24"/>
          <w:szCs w:val="24"/>
        </w:rPr>
        <w:footnoteReference w:id="19"/>
      </w:r>
      <w:r w:rsidRPr="007E441B">
        <w:rPr>
          <w:rFonts w:ascii="Times New Roman" w:hAnsi="Times New Roman"/>
          <w:noProof/>
          <w:sz w:val="24"/>
        </w:rPr>
        <w:t>.</w:t>
      </w:r>
    </w:p>
    <w:p w14:paraId="59D60D9B" w14:textId="77777777" w:rsidR="004641DD" w:rsidRPr="007E441B" w:rsidRDefault="004641DD" w:rsidP="00CF76DC">
      <w:pPr>
        <w:spacing w:line="240" w:lineRule="auto"/>
        <w:rPr>
          <w:noProof/>
        </w:rPr>
      </w:pPr>
    </w:p>
    <w:p w14:paraId="03D4E308" w14:textId="77777777" w:rsidR="004641DD" w:rsidRPr="007E441B" w:rsidRDefault="004641DD" w:rsidP="004641DD">
      <w:pPr>
        <w:rPr>
          <w:noProof/>
        </w:rPr>
      </w:pPr>
      <w:r w:rsidRPr="007E441B">
        <w:rPr>
          <w:noProof/>
        </w:rPr>
        <w:br w:type="page"/>
      </w:r>
    </w:p>
    <w:p w14:paraId="191656B7" w14:textId="77777777" w:rsidR="004641DD" w:rsidRPr="007E441B" w:rsidRDefault="004641DD" w:rsidP="004641DD">
      <w:pPr>
        <w:pStyle w:val="FrameContents"/>
        <w:rPr>
          <w:rFonts w:ascii="Times New Roman" w:hAnsi="Times New Roman" w:cs="Times New Roman"/>
          <w:b/>
          <w:noProof/>
        </w:rPr>
      </w:pPr>
      <w:r w:rsidRPr="007E441B">
        <w:rPr>
          <w:rFonts w:ascii="Times New Roman" w:hAnsi="Times New Roman"/>
          <w:b/>
          <w:noProof/>
        </w:rPr>
        <w:t>3. KAPITOLA – ČINNOSTI ČLENSKÝCH ŠTÁTOV ZAMERANÉ NA PREVEROVANIE PZI</w:t>
      </w:r>
    </w:p>
    <w:p w14:paraId="090975C9" w14:textId="77777777" w:rsidR="004641DD" w:rsidRPr="007E441B" w:rsidRDefault="004641DD" w:rsidP="004641DD">
      <w:pPr>
        <w:pStyle w:val="FrameContents"/>
        <w:rPr>
          <w:rFonts w:ascii="Times New Roman" w:hAnsi="Times New Roman" w:cs="Times New Roman"/>
          <w:b/>
          <w:noProof/>
          <w:sz w:val="28"/>
        </w:rPr>
      </w:pPr>
    </w:p>
    <w:p w14:paraId="4AF8688D" w14:textId="3DA2B06F" w:rsidR="004641DD" w:rsidRPr="007E441B" w:rsidRDefault="004641DD" w:rsidP="00CF76DC">
      <w:pPr>
        <w:spacing w:line="240" w:lineRule="auto"/>
        <w:jc w:val="both"/>
        <w:rPr>
          <w:rFonts w:ascii="Times New Roman" w:hAnsi="Times New Roman" w:cs="Times New Roman"/>
          <w:noProof/>
          <w:sz w:val="24"/>
        </w:rPr>
      </w:pPr>
      <w:r w:rsidRPr="007E441B">
        <w:rPr>
          <w:rFonts w:ascii="Times New Roman" w:hAnsi="Times New Roman"/>
          <w:noProof/>
          <w:sz w:val="24"/>
        </w:rPr>
        <w:t>Nariadením</w:t>
      </w:r>
      <w:r w:rsidR="007E441B" w:rsidRPr="007E441B">
        <w:rPr>
          <w:rFonts w:ascii="Times New Roman" w:hAnsi="Times New Roman"/>
          <w:noProof/>
          <w:sz w:val="24"/>
        </w:rPr>
        <w:t xml:space="preserve"> o </w:t>
      </w:r>
      <w:r w:rsidRPr="007E441B">
        <w:rPr>
          <w:rFonts w:ascii="Times New Roman" w:hAnsi="Times New Roman"/>
          <w:noProof/>
          <w:sz w:val="24"/>
        </w:rPr>
        <w:t>preverovaní PZI sa stanovuje mechanizmus spolupráce na preverovanie PZI medzi Európskou komisiou</w:t>
      </w:r>
      <w:r w:rsidR="007E441B" w:rsidRPr="007E441B">
        <w:rPr>
          <w:rFonts w:ascii="Times New Roman" w:hAnsi="Times New Roman"/>
          <w:noProof/>
          <w:sz w:val="24"/>
        </w:rPr>
        <w:t xml:space="preserve"> a </w:t>
      </w:r>
      <w:r w:rsidRPr="007E441B">
        <w:rPr>
          <w:rFonts w:ascii="Times New Roman" w:hAnsi="Times New Roman"/>
          <w:noProof/>
          <w:sz w:val="24"/>
        </w:rPr>
        <w:t>členskými štátmi EÚ. Rozhodnutie</w:t>
      </w:r>
      <w:r w:rsidR="007E441B" w:rsidRPr="007E441B">
        <w:rPr>
          <w:rFonts w:ascii="Times New Roman" w:hAnsi="Times New Roman"/>
          <w:noProof/>
          <w:sz w:val="24"/>
        </w:rPr>
        <w:t xml:space="preserve"> o </w:t>
      </w:r>
      <w:r w:rsidRPr="007E441B">
        <w:rPr>
          <w:rFonts w:ascii="Times New Roman" w:hAnsi="Times New Roman"/>
          <w:noProof/>
          <w:sz w:val="24"/>
        </w:rPr>
        <w:t>tom, ktoré investície sa preveria, schvália, podmienia alebo zablokujú, však prijímajú členské štáty,</w:t>
      </w:r>
      <w:r w:rsidR="007E441B" w:rsidRPr="007E441B">
        <w:rPr>
          <w:rFonts w:ascii="Times New Roman" w:hAnsi="Times New Roman"/>
          <w:noProof/>
          <w:sz w:val="24"/>
        </w:rPr>
        <w:t xml:space="preserve"> v </w:t>
      </w:r>
      <w:r w:rsidRPr="007E441B">
        <w:rPr>
          <w:rFonts w:ascii="Times New Roman" w:hAnsi="Times New Roman"/>
          <w:noProof/>
          <w:sz w:val="24"/>
        </w:rPr>
        <w:t>ktorých sa investícia uskutočňuje. Táto kapitola vychádza</w:t>
      </w:r>
      <w:r w:rsidR="007E441B" w:rsidRPr="007E441B">
        <w:rPr>
          <w:rFonts w:ascii="Times New Roman" w:hAnsi="Times New Roman"/>
          <w:noProof/>
          <w:sz w:val="24"/>
        </w:rPr>
        <w:t xml:space="preserve"> z </w:t>
      </w:r>
      <w:r w:rsidRPr="007E441B">
        <w:rPr>
          <w:rFonts w:ascii="Times New Roman" w:hAnsi="Times New Roman"/>
          <w:noProof/>
          <w:sz w:val="24"/>
        </w:rPr>
        <w:t>údajov poskytnutých členskými štátmi</w:t>
      </w:r>
      <w:r w:rsidR="007E441B" w:rsidRPr="007E441B">
        <w:rPr>
          <w:rFonts w:ascii="Times New Roman" w:hAnsi="Times New Roman"/>
          <w:noProof/>
          <w:sz w:val="24"/>
        </w:rPr>
        <w:t xml:space="preserve"> o </w:t>
      </w:r>
      <w:r w:rsidRPr="007E441B">
        <w:rPr>
          <w:rFonts w:ascii="Times New Roman" w:hAnsi="Times New Roman"/>
          <w:noProof/>
          <w:sz w:val="24"/>
        </w:rPr>
        <w:t>prípadoch preverovaných podľa ich právnych predpisov</w:t>
      </w:r>
      <w:r w:rsidR="007E441B" w:rsidRPr="007E441B">
        <w:rPr>
          <w:rFonts w:ascii="Times New Roman" w:hAnsi="Times New Roman"/>
          <w:noProof/>
          <w:sz w:val="24"/>
        </w:rPr>
        <w:t xml:space="preserve"> a </w:t>
      </w:r>
      <w:r w:rsidRPr="007E441B">
        <w:rPr>
          <w:rFonts w:ascii="Times New Roman" w:hAnsi="Times New Roman"/>
          <w:noProof/>
          <w:sz w:val="24"/>
        </w:rPr>
        <w:t xml:space="preserve">mechanizmov preverovania počas roka 2021, ktoré sú následne agregované. </w:t>
      </w:r>
    </w:p>
    <w:p w14:paraId="36CFBC78" w14:textId="4A2A5A8E" w:rsidR="004641DD" w:rsidRPr="007E441B" w:rsidRDefault="004641DD" w:rsidP="00CF76DC">
      <w:pPr>
        <w:spacing w:after="240" w:line="240" w:lineRule="auto"/>
        <w:jc w:val="both"/>
        <w:rPr>
          <w:rFonts w:ascii="Times New Roman" w:hAnsi="Times New Roman" w:cs="Times New Roman"/>
          <w:noProof/>
          <w:sz w:val="24"/>
          <w:szCs w:val="24"/>
        </w:rPr>
      </w:pPr>
      <w:r w:rsidRPr="007E441B">
        <w:rPr>
          <w:rFonts w:ascii="Times New Roman" w:hAnsi="Times New Roman"/>
          <w:noProof/>
          <w:sz w:val="24"/>
        </w:rPr>
        <w:t>Celkovo bol</w:t>
      </w:r>
      <w:r w:rsidR="007E441B" w:rsidRPr="007E441B">
        <w:rPr>
          <w:rFonts w:ascii="Times New Roman" w:hAnsi="Times New Roman"/>
          <w:noProof/>
          <w:sz w:val="24"/>
        </w:rPr>
        <w:t xml:space="preserve"> v </w:t>
      </w:r>
      <w:r w:rsidRPr="007E441B">
        <w:rPr>
          <w:rFonts w:ascii="Times New Roman" w:hAnsi="Times New Roman"/>
          <w:noProof/>
          <w:sz w:val="24"/>
        </w:rPr>
        <w:t>roku 2021 doručený značný počet žiadostí</w:t>
      </w:r>
      <w:r w:rsidR="007E441B" w:rsidRPr="007E441B">
        <w:rPr>
          <w:rFonts w:ascii="Times New Roman" w:hAnsi="Times New Roman"/>
          <w:noProof/>
          <w:sz w:val="24"/>
        </w:rPr>
        <w:t xml:space="preserve"> o </w:t>
      </w:r>
      <w:r w:rsidRPr="007E441B">
        <w:rPr>
          <w:rFonts w:ascii="Times New Roman" w:hAnsi="Times New Roman"/>
          <w:noProof/>
          <w:sz w:val="24"/>
        </w:rPr>
        <w:t>povolenia na vnútroštátnej úrovni</w:t>
      </w:r>
      <w:r w:rsidRPr="007E441B">
        <w:rPr>
          <w:rStyle w:val="FootnoteReference"/>
          <w:rFonts w:ascii="Times New Roman" w:hAnsi="Times New Roman" w:cs="Times New Roman"/>
          <w:noProof/>
          <w:sz w:val="24"/>
          <w:szCs w:val="24"/>
        </w:rPr>
        <w:footnoteReference w:id="20"/>
      </w:r>
      <w:r w:rsidRPr="007E441B">
        <w:rPr>
          <w:rFonts w:ascii="Times New Roman" w:hAnsi="Times New Roman"/>
          <w:noProof/>
          <w:sz w:val="24"/>
        </w:rPr>
        <w:t>. Podľa článku 5 nariadenia, ktorý upravuje ich oznamovaciu povinnosť, členské štáty</w:t>
      </w:r>
      <w:r w:rsidR="007E441B" w:rsidRPr="007E441B">
        <w:rPr>
          <w:rFonts w:ascii="Times New Roman" w:hAnsi="Times New Roman"/>
          <w:noProof/>
          <w:sz w:val="24"/>
        </w:rPr>
        <w:t xml:space="preserve"> v </w:t>
      </w:r>
      <w:r w:rsidRPr="007E441B">
        <w:rPr>
          <w:rFonts w:ascii="Times New Roman" w:hAnsi="Times New Roman"/>
          <w:noProof/>
          <w:sz w:val="24"/>
        </w:rPr>
        <w:t>roku 2021 nahlásili 1 563 žiadostí</w:t>
      </w:r>
      <w:r w:rsidR="007E441B" w:rsidRPr="007E441B">
        <w:rPr>
          <w:rFonts w:ascii="Times New Roman" w:hAnsi="Times New Roman"/>
          <w:noProof/>
          <w:sz w:val="24"/>
        </w:rPr>
        <w:t xml:space="preserve"> o </w:t>
      </w:r>
      <w:r w:rsidRPr="007E441B">
        <w:rPr>
          <w:rFonts w:ascii="Times New Roman" w:hAnsi="Times New Roman"/>
          <w:noProof/>
          <w:sz w:val="24"/>
        </w:rPr>
        <w:t>povolenie</w:t>
      </w:r>
      <w:r w:rsidR="007E441B" w:rsidRPr="007E441B">
        <w:rPr>
          <w:rFonts w:ascii="Times New Roman" w:hAnsi="Times New Roman"/>
          <w:noProof/>
          <w:sz w:val="24"/>
        </w:rPr>
        <w:t xml:space="preserve"> a </w:t>
      </w:r>
      <w:r w:rsidRPr="007E441B">
        <w:rPr>
          <w:rFonts w:ascii="Times New Roman" w:hAnsi="Times New Roman"/>
          <w:noProof/>
          <w:sz w:val="24"/>
        </w:rPr>
        <w:t xml:space="preserve">prípadov </w:t>
      </w:r>
      <w:r w:rsidRPr="007E441B">
        <w:rPr>
          <w:rFonts w:ascii="Times New Roman" w:hAnsi="Times New Roman"/>
          <w:i/>
          <w:noProof/>
          <w:sz w:val="24"/>
        </w:rPr>
        <w:t>ex offo</w:t>
      </w:r>
      <w:r w:rsidRPr="007E441B">
        <w:rPr>
          <w:rStyle w:val="FootnoteReference"/>
          <w:rFonts w:ascii="Times New Roman" w:hAnsi="Times New Roman" w:cs="Times New Roman"/>
          <w:noProof/>
          <w:sz w:val="24"/>
          <w:szCs w:val="24"/>
        </w:rPr>
        <w:footnoteReference w:id="21"/>
      </w:r>
      <w:r w:rsidRPr="007E441B">
        <w:rPr>
          <w:rFonts w:ascii="Times New Roman" w:hAnsi="Times New Roman"/>
          <w:noProof/>
          <w:sz w:val="24"/>
        </w:rPr>
        <w:t>.</w:t>
      </w:r>
    </w:p>
    <w:p w14:paraId="5278801E" w14:textId="77777777" w:rsidR="007E441B" w:rsidRPr="007E441B" w:rsidRDefault="40856CAB" w:rsidP="003C3503">
      <w:pPr>
        <w:spacing w:after="120" w:line="240" w:lineRule="auto"/>
        <w:jc w:val="center"/>
        <w:rPr>
          <w:rFonts w:ascii="Times New Roman" w:hAnsi="Times New Roman" w:cs="Times New Roman"/>
          <w:i/>
          <w:iCs/>
          <w:noProof/>
          <w:sz w:val="24"/>
          <w:szCs w:val="24"/>
        </w:rPr>
      </w:pPr>
      <w:r w:rsidRPr="007E441B">
        <w:rPr>
          <w:rFonts w:ascii="Times New Roman" w:hAnsi="Times New Roman"/>
          <w:i/>
          <w:noProof/>
          <w:sz w:val="24"/>
        </w:rPr>
        <w:t>Obrázok 6 – činnosti členských štátov zamerané na preverovanie PZI</w:t>
      </w:r>
    </w:p>
    <w:p w14:paraId="32B31E0F" w14:textId="7592D65F" w:rsidR="00F86CE4" w:rsidRPr="007E441B" w:rsidRDefault="00165110" w:rsidP="00CF76DC">
      <w:pPr>
        <w:spacing w:after="0" w:line="240" w:lineRule="auto"/>
        <w:jc w:val="center"/>
        <w:rPr>
          <w:noProof/>
        </w:rPr>
      </w:pPr>
      <w:r w:rsidRPr="00165110">
        <w:rPr>
          <w:noProof/>
          <w:lang w:val="en-GB" w:eastAsia="en-GB"/>
        </w:rPr>
        <w:drawing>
          <wp:inline distT="0" distB="0" distL="0" distR="0" wp14:anchorId="37FE4B2C" wp14:editId="50FC2E8E">
            <wp:extent cx="4580255" cy="2751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1C94F912" w14:textId="77777777" w:rsidR="00403AB8" w:rsidRPr="007E441B" w:rsidRDefault="00403AB8" w:rsidP="00403AB8">
      <w:pPr>
        <w:spacing w:after="120" w:line="240" w:lineRule="auto"/>
        <w:jc w:val="both"/>
        <w:rPr>
          <w:rFonts w:ascii="Times New Roman" w:hAnsi="Times New Roman" w:cs="Times New Roman"/>
          <w:noProof/>
          <w:sz w:val="24"/>
          <w:szCs w:val="24"/>
        </w:rPr>
      </w:pPr>
      <w:r w:rsidRPr="007E441B">
        <w:rPr>
          <w:rFonts w:ascii="Times New Roman" w:hAnsi="Times New Roman"/>
          <w:noProof/>
          <w:color w:val="000000"/>
          <w:sz w:val="16"/>
        </w:rPr>
        <w:t>Zdroj: správy členských štátov.</w:t>
      </w:r>
    </w:p>
    <w:p w14:paraId="1A23F64B" w14:textId="1B43D23F" w:rsidR="004641DD" w:rsidRPr="007E441B" w:rsidRDefault="004641DD" w:rsidP="00CF76DC">
      <w:pPr>
        <w:spacing w:before="120" w:line="240" w:lineRule="auto"/>
        <w:jc w:val="both"/>
        <w:rPr>
          <w:rFonts w:ascii="Times New Roman" w:hAnsi="Times New Roman" w:cs="Times New Roman"/>
          <w:noProof/>
          <w:sz w:val="24"/>
          <w:szCs w:val="24"/>
        </w:rPr>
      </w:pPr>
      <w:r w:rsidRPr="007E441B">
        <w:rPr>
          <w:rFonts w:ascii="Times New Roman" w:hAnsi="Times New Roman"/>
          <w:noProof/>
          <w:sz w:val="24"/>
        </w:rPr>
        <w:t>Existuje zjavný trend smerom</w:t>
      </w:r>
      <w:r w:rsidR="007E441B" w:rsidRPr="007E441B">
        <w:rPr>
          <w:rFonts w:ascii="Times New Roman" w:hAnsi="Times New Roman"/>
          <w:noProof/>
          <w:sz w:val="24"/>
        </w:rPr>
        <w:t xml:space="preserve"> k </w:t>
      </w:r>
      <w:r w:rsidRPr="007E441B">
        <w:rPr>
          <w:rFonts w:ascii="Times New Roman" w:hAnsi="Times New Roman"/>
          <w:noProof/>
          <w:sz w:val="24"/>
        </w:rPr>
        <w:t>formálnemu preverovaniu väčšieho počtu prípadov.</w:t>
      </w:r>
      <w:r w:rsidR="007E441B" w:rsidRPr="007E441B">
        <w:rPr>
          <w:rFonts w:ascii="Times New Roman" w:hAnsi="Times New Roman"/>
          <w:noProof/>
          <w:sz w:val="24"/>
        </w:rPr>
        <w:t xml:space="preserve"> Z </w:t>
      </w:r>
      <w:r w:rsidRPr="007E441B">
        <w:rPr>
          <w:rFonts w:ascii="Times New Roman" w:hAnsi="Times New Roman"/>
          <w:noProof/>
          <w:sz w:val="24"/>
        </w:rPr>
        <w:t>1 563 žiadostí</w:t>
      </w:r>
      <w:r w:rsidR="007E441B" w:rsidRPr="007E441B">
        <w:rPr>
          <w:rFonts w:ascii="Times New Roman" w:hAnsi="Times New Roman"/>
          <w:noProof/>
          <w:sz w:val="24"/>
        </w:rPr>
        <w:t xml:space="preserve"> o </w:t>
      </w:r>
      <w:r w:rsidRPr="007E441B">
        <w:rPr>
          <w:rFonts w:ascii="Times New Roman" w:hAnsi="Times New Roman"/>
          <w:noProof/>
          <w:sz w:val="24"/>
        </w:rPr>
        <w:t>povolenie</w:t>
      </w:r>
      <w:r w:rsidR="007E441B" w:rsidRPr="007E441B">
        <w:rPr>
          <w:rFonts w:ascii="Times New Roman" w:hAnsi="Times New Roman"/>
          <w:noProof/>
          <w:sz w:val="24"/>
        </w:rPr>
        <w:t xml:space="preserve"> a </w:t>
      </w:r>
      <w:r w:rsidRPr="007E441B">
        <w:rPr>
          <w:rFonts w:ascii="Times New Roman" w:hAnsi="Times New Roman"/>
          <w:noProof/>
          <w:sz w:val="24"/>
        </w:rPr>
        <w:t xml:space="preserve">prípadov </w:t>
      </w:r>
      <w:r w:rsidRPr="007E441B">
        <w:rPr>
          <w:rFonts w:ascii="Times New Roman" w:hAnsi="Times New Roman"/>
          <w:i/>
          <w:noProof/>
          <w:sz w:val="24"/>
        </w:rPr>
        <w:t>ex offo</w:t>
      </w:r>
      <w:r w:rsidRPr="007E441B">
        <w:rPr>
          <w:rFonts w:ascii="Times New Roman" w:hAnsi="Times New Roman"/>
          <w:noProof/>
          <w:sz w:val="24"/>
        </w:rPr>
        <w:t xml:space="preserve"> bolo skutočne formálne preverených približne 29 % prípadov. Zdá sa, že to znamená nárast podielu formálne preverených prípadov od roku 2020</w:t>
      </w:r>
      <w:r w:rsidRPr="007E441B">
        <w:rPr>
          <w:rStyle w:val="FootnoteReference"/>
          <w:rFonts w:ascii="Times New Roman" w:hAnsi="Times New Roman" w:cs="Times New Roman"/>
          <w:noProof/>
          <w:sz w:val="24"/>
          <w:szCs w:val="24"/>
        </w:rPr>
        <w:footnoteReference w:id="22"/>
      </w:r>
      <w:r w:rsidRPr="007E441B">
        <w:rPr>
          <w:noProof/>
        </w:rPr>
        <w:t>.</w:t>
      </w:r>
      <w:r w:rsidRPr="007E441B">
        <w:rPr>
          <w:rFonts w:ascii="Times New Roman" w:hAnsi="Times New Roman"/>
          <w:noProof/>
          <w:sz w:val="24"/>
        </w:rPr>
        <w:t xml:space="preserve"> Dá sa to vysvetliť väčšou pozornosťou venovanou tomu, čo vnútroštátne orgány považujú za potenciálne „kritické“ transakcie, ako aj zmenou celkových investičných trendov. Približne 71 % všetkých žiadostí sa považovalo za neoprávnené alebo si nevyžadovalo formálne preverovanie</w:t>
      </w:r>
      <w:r w:rsidR="007E441B" w:rsidRPr="007E441B">
        <w:rPr>
          <w:rFonts w:ascii="Times New Roman" w:hAnsi="Times New Roman"/>
          <w:noProof/>
          <w:sz w:val="24"/>
        </w:rPr>
        <w:t xml:space="preserve"> z </w:t>
      </w:r>
      <w:r w:rsidRPr="007E441B">
        <w:rPr>
          <w:rFonts w:ascii="Times New Roman" w:hAnsi="Times New Roman"/>
          <w:noProof/>
          <w:sz w:val="24"/>
        </w:rPr>
        <w:t>dôvodu zjavného nedostatočného vplyvu na bezpečnosť</w:t>
      </w:r>
      <w:r w:rsidR="007E441B" w:rsidRPr="007E441B">
        <w:rPr>
          <w:rFonts w:ascii="Times New Roman" w:hAnsi="Times New Roman"/>
          <w:noProof/>
          <w:sz w:val="24"/>
        </w:rPr>
        <w:t xml:space="preserve"> a </w:t>
      </w:r>
      <w:r w:rsidRPr="007E441B">
        <w:rPr>
          <w:rFonts w:ascii="Times New Roman" w:hAnsi="Times New Roman"/>
          <w:noProof/>
          <w:sz w:val="24"/>
        </w:rPr>
        <w:t xml:space="preserve">verejný poriadok. </w:t>
      </w:r>
    </w:p>
    <w:p w14:paraId="70AC4B0C" w14:textId="6E5AE85D" w:rsidR="00DC22D1" w:rsidRPr="007E441B" w:rsidRDefault="00DC22D1"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Počet žiadostí</w:t>
      </w:r>
      <w:r w:rsidR="007E441B" w:rsidRPr="007E441B">
        <w:rPr>
          <w:rFonts w:ascii="Times New Roman" w:hAnsi="Times New Roman"/>
          <w:noProof/>
          <w:sz w:val="24"/>
        </w:rPr>
        <w:t xml:space="preserve"> o </w:t>
      </w:r>
      <w:r w:rsidRPr="007E441B">
        <w:rPr>
          <w:rFonts w:ascii="Times New Roman" w:hAnsi="Times New Roman"/>
          <w:noProof/>
          <w:sz w:val="24"/>
        </w:rPr>
        <w:t>povolenie je takisto veľmi nerovnomerne rozdelený medzi členské štáty EÚ. Na štyri členské štáty</w:t>
      </w:r>
      <w:r w:rsidR="007E441B" w:rsidRPr="007E441B">
        <w:rPr>
          <w:rFonts w:ascii="Times New Roman" w:hAnsi="Times New Roman"/>
          <w:noProof/>
          <w:sz w:val="24"/>
        </w:rPr>
        <w:t xml:space="preserve"> v </w:t>
      </w:r>
      <w:r w:rsidRPr="007E441B">
        <w:rPr>
          <w:rFonts w:ascii="Times New Roman" w:hAnsi="Times New Roman"/>
          <w:noProof/>
          <w:sz w:val="24"/>
        </w:rPr>
        <w:t>roku 2021 skutočne pripadalo približne 70 % všetkých žiadostí</w:t>
      </w:r>
      <w:r w:rsidR="007E441B" w:rsidRPr="007E441B">
        <w:rPr>
          <w:rFonts w:ascii="Times New Roman" w:hAnsi="Times New Roman"/>
          <w:noProof/>
          <w:sz w:val="24"/>
        </w:rPr>
        <w:t xml:space="preserve"> o </w:t>
      </w:r>
      <w:r w:rsidRPr="007E441B">
        <w:rPr>
          <w:rFonts w:ascii="Times New Roman" w:hAnsi="Times New Roman"/>
          <w:noProof/>
          <w:sz w:val="24"/>
        </w:rPr>
        <w:t>povolenie</w:t>
      </w:r>
      <w:r w:rsidR="007E441B" w:rsidRPr="007E441B">
        <w:rPr>
          <w:rFonts w:ascii="Times New Roman" w:hAnsi="Times New Roman"/>
          <w:noProof/>
          <w:sz w:val="24"/>
        </w:rPr>
        <w:t xml:space="preserve"> a </w:t>
      </w:r>
      <w:r w:rsidRPr="007E441B">
        <w:rPr>
          <w:rFonts w:ascii="Times New Roman" w:hAnsi="Times New Roman"/>
          <w:noProof/>
          <w:sz w:val="24"/>
        </w:rPr>
        <w:t>prípadov</w:t>
      </w:r>
      <w:r w:rsidR="007E441B" w:rsidRPr="007E441B">
        <w:rPr>
          <w:rFonts w:ascii="Times New Roman" w:hAnsi="Times New Roman"/>
          <w:noProof/>
          <w:sz w:val="24"/>
        </w:rPr>
        <w:t xml:space="preserve"> z </w:t>
      </w:r>
      <w:r w:rsidRPr="007E441B">
        <w:rPr>
          <w:rFonts w:ascii="Times New Roman" w:hAnsi="Times New Roman"/>
          <w:i/>
          <w:noProof/>
          <w:sz w:val="24"/>
        </w:rPr>
        <w:t>ex offo</w:t>
      </w:r>
      <w:r w:rsidRPr="007E441B">
        <w:rPr>
          <w:rFonts w:ascii="Times New Roman" w:hAnsi="Times New Roman"/>
          <w:noProof/>
          <w:sz w:val="24"/>
        </w:rPr>
        <w:t xml:space="preserve">. </w:t>
      </w:r>
    </w:p>
    <w:p w14:paraId="1CC80738" w14:textId="6808BCD7" w:rsidR="004641DD" w:rsidRPr="007E441B" w:rsidRDefault="001825BB" w:rsidP="00CF76DC">
      <w:pPr>
        <w:spacing w:line="240" w:lineRule="auto"/>
        <w:jc w:val="both"/>
        <w:rPr>
          <w:rFonts w:ascii="Times New Roman" w:hAnsi="Times New Roman" w:cs="Times New Roman"/>
          <w:noProof/>
          <w:sz w:val="24"/>
          <w:szCs w:val="24"/>
        </w:rPr>
      </w:pPr>
      <w:r w:rsidRPr="007E441B">
        <w:rPr>
          <w:rFonts w:ascii="Times New Roman" w:hAnsi="Times New Roman"/>
          <w:noProof/>
          <w:sz w:val="24"/>
        </w:rPr>
        <w:t>Z prípadov formálne preskúmaných</w:t>
      </w:r>
      <w:r w:rsidR="007E441B" w:rsidRPr="007E441B">
        <w:rPr>
          <w:rFonts w:ascii="Times New Roman" w:hAnsi="Times New Roman"/>
          <w:noProof/>
          <w:sz w:val="24"/>
        </w:rPr>
        <w:t xml:space="preserve"> v </w:t>
      </w:r>
      <w:r w:rsidRPr="007E441B">
        <w:rPr>
          <w:rFonts w:ascii="Times New Roman" w:hAnsi="Times New Roman"/>
          <w:noProof/>
          <w:sz w:val="24"/>
        </w:rPr>
        <w:t>roku 2021</w:t>
      </w:r>
      <w:r w:rsidR="007E441B" w:rsidRPr="007E441B">
        <w:rPr>
          <w:rFonts w:ascii="Times New Roman" w:hAnsi="Times New Roman"/>
          <w:noProof/>
          <w:sz w:val="24"/>
        </w:rPr>
        <w:t xml:space="preserve"> a v </w:t>
      </w:r>
      <w:r w:rsidRPr="007E441B">
        <w:rPr>
          <w:rFonts w:ascii="Times New Roman" w:hAnsi="Times New Roman"/>
          <w:noProof/>
          <w:sz w:val="24"/>
        </w:rPr>
        <w:t>súvislosti</w:t>
      </w:r>
      <w:r w:rsidR="007E441B" w:rsidRPr="007E441B">
        <w:rPr>
          <w:rFonts w:ascii="Times New Roman" w:hAnsi="Times New Roman"/>
          <w:noProof/>
          <w:sz w:val="24"/>
        </w:rPr>
        <w:t xml:space="preserve"> s </w:t>
      </w:r>
      <w:r w:rsidRPr="007E441B">
        <w:rPr>
          <w:rFonts w:ascii="Times New Roman" w:hAnsi="Times New Roman"/>
          <w:noProof/>
          <w:sz w:val="24"/>
        </w:rPr>
        <w:t>ktorými členské štáty oznámili rozhodnutie</w:t>
      </w:r>
      <w:r w:rsidRPr="007E441B">
        <w:rPr>
          <w:rStyle w:val="FootnoteReference"/>
          <w:rFonts w:ascii="Times New Roman" w:hAnsi="Times New Roman" w:cs="Times New Roman"/>
          <w:noProof/>
          <w:sz w:val="24"/>
          <w:szCs w:val="24"/>
        </w:rPr>
        <w:footnoteReference w:id="23"/>
      </w:r>
      <w:r w:rsidRPr="007E441B">
        <w:rPr>
          <w:rFonts w:ascii="Times New Roman" w:hAnsi="Times New Roman"/>
          <w:noProof/>
          <w:sz w:val="24"/>
        </w:rPr>
        <w:t>, bola väčšina (73 %) schválená bez podmienok, čo znamená, že transakcia bola schválená bez toho, aby sa od investora vyžadovali dodatočné opatrenia.</w:t>
      </w:r>
    </w:p>
    <w:p w14:paraId="40C9AC8F" w14:textId="203B673D" w:rsidR="001825BB" w:rsidRPr="007E441B" w:rsidRDefault="004641DD" w:rsidP="00CF76DC">
      <w:pPr>
        <w:spacing w:after="240" w:line="240" w:lineRule="auto"/>
        <w:jc w:val="both"/>
        <w:rPr>
          <w:rFonts w:ascii="Times New Roman" w:hAnsi="Times New Roman" w:cs="Times New Roman"/>
          <w:noProof/>
          <w:sz w:val="24"/>
          <w:szCs w:val="24"/>
        </w:rPr>
      </w:pPr>
      <w:r w:rsidRPr="007E441B">
        <w:rPr>
          <w:rFonts w:ascii="Times New Roman" w:hAnsi="Times New Roman"/>
          <w:noProof/>
          <w:sz w:val="24"/>
        </w:rPr>
        <w:t>V prípade 23 % rozhodnutí však došlo</w:t>
      </w:r>
      <w:r w:rsidR="007E441B" w:rsidRPr="007E441B">
        <w:rPr>
          <w:rFonts w:ascii="Times New Roman" w:hAnsi="Times New Roman"/>
          <w:noProof/>
          <w:sz w:val="24"/>
        </w:rPr>
        <w:t xml:space="preserve"> k </w:t>
      </w:r>
      <w:r w:rsidRPr="007E441B">
        <w:rPr>
          <w:rFonts w:ascii="Times New Roman" w:hAnsi="Times New Roman"/>
          <w:noProof/>
          <w:sz w:val="24"/>
        </w:rPr>
        <w:t>schváleniu so stanovením podmienok, resp. zmierňujúcich opatrení.</w:t>
      </w:r>
      <w:r w:rsidR="007E441B" w:rsidRPr="007E441B">
        <w:rPr>
          <w:rFonts w:ascii="Times New Roman" w:hAnsi="Times New Roman"/>
          <w:noProof/>
          <w:sz w:val="24"/>
        </w:rPr>
        <w:t xml:space="preserve"> V </w:t>
      </w:r>
      <w:r w:rsidRPr="007E441B">
        <w:rPr>
          <w:rFonts w:ascii="Times New Roman" w:hAnsi="Times New Roman"/>
          <w:noProof/>
          <w:sz w:val="24"/>
        </w:rPr>
        <w:t>týchto prípadoch vnútroštátne orgány zodpovedné za preverovanie pred schválením plánovanej priamej zahraničnej investície rokovali</w:t>
      </w:r>
      <w:r w:rsidR="007E441B" w:rsidRPr="007E441B">
        <w:rPr>
          <w:rFonts w:ascii="Times New Roman" w:hAnsi="Times New Roman"/>
          <w:noProof/>
          <w:sz w:val="24"/>
        </w:rPr>
        <w:t xml:space="preserve"> o </w:t>
      </w:r>
      <w:r w:rsidRPr="007E441B">
        <w:rPr>
          <w:rFonts w:ascii="Times New Roman" w:hAnsi="Times New Roman"/>
          <w:noProof/>
          <w:sz w:val="24"/>
        </w:rPr>
        <w:t>určitých opatreniach, ubezpečeniach</w:t>
      </w:r>
      <w:r w:rsidR="007E441B" w:rsidRPr="007E441B">
        <w:rPr>
          <w:rFonts w:ascii="Times New Roman" w:hAnsi="Times New Roman"/>
          <w:noProof/>
          <w:sz w:val="24"/>
        </w:rPr>
        <w:t xml:space="preserve"> a </w:t>
      </w:r>
      <w:r w:rsidRPr="007E441B">
        <w:rPr>
          <w:rFonts w:ascii="Times New Roman" w:hAnsi="Times New Roman"/>
          <w:noProof/>
          <w:sz w:val="24"/>
        </w:rPr>
        <w:t xml:space="preserve">záväzkoch investorov. </w:t>
      </w:r>
    </w:p>
    <w:p w14:paraId="13EDD327" w14:textId="1351201F" w:rsidR="00DC22D1" w:rsidRPr="007E441B" w:rsidRDefault="004641DD" w:rsidP="00CF76DC">
      <w:pPr>
        <w:spacing w:after="240" w:line="240" w:lineRule="auto"/>
        <w:jc w:val="both"/>
        <w:rPr>
          <w:rFonts w:ascii="Times New Roman" w:hAnsi="Times New Roman" w:cs="Times New Roman"/>
          <w:noProof/>
          <w:sz w:val="24"/>
          <w:szCs w:val="24"/>
        </w:rPr>
      </w:pPr>
      <w:r w:rsidRPr="007E441B">
        <w:rPr>
          <w:rFonts w:ascii="Times New Roman" w:hAnsi="Times New Roman"/>
          <w:noProof/>
          <w:sz w:val="24"/>
        </w:rPr>
        <w:t>Napokon, vnútroštátne orgány</w:t>
      </w:r>
      <w:r w:rsidR="007E441B" w:rsidRPr="007E441B">
        <w:rPr>
          <w:rFonts w:ascii="Times New Roman" w:hAnsi="Times New Roman"/>
          <w:noProof/>
          <w:sz w:val="24"/>
        </w:rPr>
        <w:t xml:space="preserve"> v </w:t>
      </w:r>
      <w:r w:rsidRPr="007E441B">
        <w:rPr>
          <w:rFonts w:ascii="Times New Roman" w:hAnsi="Times New Roman"/>
          <w:noProof/>
          <w:sz w:val="24"/>
        </w:rPr>
        <w:t>konečnom dôsledku zablokovali transakcie len</w:t>
      </w:r>
      <w:r w:rsidR="007E441B" w:rsidRPr="007E441B">
        <w:rPr>
          <w:rFonts w:ascii="Times New Roman" w:hAnsi="Times New Roman"/>
          <w:noProof/>
          <w:sz w:val="24"/>
        </w:rPr>
        <w:t xml:space="preserve"> v </w:t>
      </w:r>
      <w:r w:rsidRPr="007E441B">
        <w:rPr>
          <w:rFonts w:ascii="Times New Roman" w:hAnsi="Times New Roman"/>
          <w:noProof/>
          <w:sz w:val="24"/>
        </w:rPr>
        <w:t>1 % všetkých prípadov,</w:t>
      </w:r>
      <w:r w:rsidR="007E441B" w:rsidRPr="007E441B">
        <w:rPr>
          <w:rFonts w:ascii="Times New Roman" w:hAnsi="Times New Roman"/>
          <w:noProof/>
          <w:sz w:val="24"/>
        </w:rPr>
        <w:t xml:space="preserve"> o </w:t>
      </w:r>
      <w:r w:rsidRPr="007E441B">
        <w:rPr>
          <w:rFonts w:ascii="Times New Roman" w:hAnsi="Times New Roman"/>
          <w:noProof/>
          <w:sz w:val="24"/>
        </w:rPr>
        <w:t>ktorých sa rozhodlo, zatiaľ čo</w:t>
      </w:r>
      <w:r w:rsidR="007E441B" w:rsidRPr="007E441B">
        <w:rPr>
          <w:rFonts w:ascii="Times New Roman" w:hAnsi="Times New Roman"/>
          <w:noProof/>
          <w:sz w:val="24"/>
        </w:rPr>
        <w:t xml:space="preserve"> v </w:t>
      </w:r>
      <w:r w:rsidRPr="007E441B">
        <w:rPr>
          <w:rFonts w:ascii="Times New Roman" w:hAnsi="Times New Roman"/>
          <w:noProof/>
          <w:sz w:val="24"/>
        </w:rPr>
        <w:t>prípade ďalších 3 % transakcie strany stiahli.</w:t>
      </w:r>
    </w:p>
    <w:p w14:paraId="25CA338B" w14:textId="74A147C4" w:rsidR="40856CAB" w:rsidRPr="007E441B" w:rsidRDefault="40856CAB" w:rsidP="00DF5152">
      <w:pPr>
        <w:spacing w:line="240" w:lineRule="auto"/>
        <w:jc w:val="center"/>
        <w:rPr>
          <w:rFonts w:ascii="Times New Roman" w:hAnsi="Times New Roman" w:cs="Times New Roman"/>
          <w:i/>
          <w:iCs/>
          <w:noProof/>
          <w:sz w:val="24"/>
          <w:szCs w:val="24"/>
        </w:rPr>
      </w:pPr>
      <w:r w:rsidRPr="007E441B">
        <w:rPr>
          <w:rFonts w:ascii="Times New Roman" w:hAnsi="Times New Roman"/>
          <w:i/>
          <w:noProof/>
          <w:sz w:val="24"/>
        </w:rPr>
        <w:t>Obrázok 7 – Oznámené rozhodnutia</w:t>
      </w:r>
      <w:r w:rsidR="007E441B" w:rsidRPr="007E441B">
        <w:rPr>
          <w:rFonts w:ascii="Times New Roman" w:hAnsi="Times New Roman"/>
          <w:i/>
          <w:noProof/>
          <w:sz w:val="24"/>
        </w:rPr>
        <w:t xml:space="preserve"> o </w:t>
      </w:r>
      <w:r w:rsidRPr="007E441B">
        <w:rPr>
          <w:rFonts w:ascii="Times New Roman" w:hAnsi="Times New Roman"/>
          <w:i/>
          <w:noProof/>
          <w:sz w:val="24"/>
        </w:rPr>
        <w:t>prípadoch priamych zahraničných investícií</w:t>
      </w:r>
    </w:p>
    <w:p w14:paraId="5928340F" w14:textId="2CD29644" w:rsidR="40856CAB" w:rsidRPr="007E441B" w:rsidRDefault="005D1D3E" w:rsidP="00DF5152">
      <w:pPr>
        <w:spacing w:line="240" w:lineRule="auto"/>
        <w:jc w:val="center"/>
        <w:rPr>
          <w:noProof/>
        </w:rPr>
      </w:pPr>
      <w:r w:rsidRPr="005D1D3E">
        <w:rPr>
          <w:noProof/>
          <w:lang w:val="en-GB" w:eastAsia="en-GB"/>
        </w:rPr>
        <w:drawing>
          <wp:inline distT="0" distB="0" distL="0" distR="0" wp14:anchorId="3D1A5AB7" wp14:editId="5713C753">
            <wp:extent cx="4685030" cy="307594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5030" cy="3075940"/>
                    </a:xfrm>
                    <a:prstGeom prst="rect">
                      <a:avLst/>
                    </a:prstGeom>
                    <a:noFill/>
                    <a:ln>
                      <a:noFill/>
                    </a:ln>
                  </pic:spPr>
                </pic:pic>
              </a:graphicData>
            </a:graphic>
          </wp:inline>
        </w:drawing>
      </w:r>
    </w:p>
    <w:p w14:paraId="7662181C" w14:textId="77777777" w:rsidR="00403AB8" w:rsidRPr="007E441B" w:rsidRDefault="00403AB8" w:rsidP="00403AB8">
      <w:pPr>
        <w:spacing w:after="120" w:line="240" w:lineRule="auto"/>
        <w:jc w:val="both"/>
        <w:rPr>
          <w:rFonts w:ascii="Times New Roman" w:hAnsi="Times New Roman" w:cs="Times New Roman"/>
          <w:noProof/>
          <w:sz w:val="24"/>
          <w:szCs w:val="24"/>
        </w:rPr>
      </w:pPr>
      <w:r w:rsidRPr="007E441B">
        <w:rPr>
          <w:rFonts w:ascii="Times New Roman" w:hAnsi="Times New Roman"/>
          <w:noProof/>
          <w:color w:val="000000"/>
          <w:sz w:val="16"/>
        </w:rPr>
        <w:t>Zdroj: správy členských štátov.</w:t>
      </w:r>
    </w:p>
    <w:p w14:paraId="2C43E342" w14:textId="55EB8E0B" w:rsidR="004641DD" w:rsidRPr="007E441B" w:rsidRDefault="004641DD" w:rsidP="00CF76DC">
      <w:pPr>
        <w:spacing w:before="120"/>
        <w:jc w:val="both"/>
        <w:rPr>
          <w:rFonts w:ascii="Times New Roman" w:hAnsi="Times New Roman" w:cs="Times New Roman"/>
          <w:noProof/>
          <w:sz w:val="24"/>
        </w:rPr>
      </w:pPr>
      <w:r w:rsidRPr="007E441B">
        <w:rPr>
          <w:rFonts w:ascii="Times New Roman" w:hAnsi="Times New Roman"/>
          <w:noProof/>
          <w:sz w:val="24"/>
        </w:rPr>
        <w:t>Súhrnne možno konštatovať, že uvedené zistenia vedú</w:t>
      </w:r>
      <w:r w:rsidR="007E441B" w:rsidRPr="007E441B">
        <w:rPr>
          <w:rFonts w:ascii="Times New Roman" w:hAnsi="Times New Roman"/>
          <w:noProof/>
          <w:sz w:val="24"/>
        </w:rPr>
        <w:t xml:space="preserve"> k </w:t>
      </w:r>
      <w:r w:rsidRPr="007E441B">
        <w:rPr>
          <w:rFonts w:ascii="Times New Roman" w:hAnsi="Times New Roman"/>
          <w:noProof/>
          <w:sz w:val="24"/>
        </w:rPr>
        <w:t>týmto kľúčovým poznatkom:</w:t>
      </w:r>
    </w:p>
    <w:p w14:paraId="437222D5" w14:textId="143056E3" w:rsidR="004641DD" w:rsidRPr="007E441B" w:rsidRDefault="004641DD" w:rsidP="004641DD">
      <w:pPr>
        <w:pStyle w:val="ListParagraph"/>
        <w:numPr>
          <w:ilvl w:val="0"/>
          <w:numId w:val="21"/>
        </w:numPr>
        <w:jc w:val="both"/>
        <w:rPr>
          <w:rFonts w:ascii="Times New Roman" w:hAnsi="Times New Roman" w:cs="Times New Roman"/>
          <w:noProof/>
          <w:sz w:val="24"/>
        </w:rPr>
      </w:pPr>
      <w:r w:rsidRPr="007E441B">
        <w:rPr>
          <w:rFonts w:ascii="Times New Roman" w:hAnsi="Times New Roman"/>
          <w:noProof/>
          <w:sz w:val="24"/>
        </w:rPr>
        <w:t>v porovnaní</w:t>
      </w:r>
      <w:r w:rsidR="007E441B" w:rsidRPr="007E441B">
        <w:rPr>
          <w:rFonts w:ascii="Times New Roman" w:hAnsi="Times New Roman"/>
          <w:noProof/>
          <w:sz w:val="24"/>
        </w:rPr>
        <w:t xml:space="preserve"> s </w:t>
      </w:r>
      <w:r w:rsidRPr="007E441B">
        <w:rPr>
          <w:rFonts w:ascii="Times New Roman" w:hAnsi="Times New Roman"/>
          <w:noProof/>
          <w:sz w:val="24"/>
        </w:rPr>
        <w:t>rokom 2020 členské štáty považovali žiadosti prijaté</w:t>
      </w:r>
      <w:r w:rsidR="007E441B" w:rsidRPr="007E441B">
        <w:rPr>
          <w:rFonts w:ascii="Times New Roman" w:hAnsi="Times New Roman"/>
          <w:noProof/>
          <w:sz w:val="24"/>
        </w:rPr>
        <w:t xml:space="preserve"> v </w:t>
      </w:r>
      <w:r w:rsidRPr="007E441B">
        <w:rPr>
          <w:rFonts w:ascii="Times New Roman" w:hAnsi="Times New Roman"/>
          <w:noProof/>
          <w:sz w:val="24"/>
        </w:rPr>
        <w:t>roku 2021 za citlivejšie, keďže podiel formálne preskúmaných prípadov sa zvýšil,</w:t>
      </w:r>
    </w:p>
    <w:p w14:paraId="0CAF26A4" w14:textId="369E2B7F" w:rsidR="004641DD" w:rsidRPr="007E441B" w:rsidRDefault="004641DD" w:rsidP="167531F5">
      <w:pPr>
        <w:pStyle w:val="ListParagraph"/>
        <w:numPr>
          <w:ilvl w:val="0"/>
          <w:numId w:val="21"/>
        </w:numPr>
        <w:jc w:val="both"/>
        <w:rPr>
          <w:rFonts w:ascii="Times New Roman" w:hAnsi="Times New Roman" w:cs="Times New Roman"/>
          <w:noProof/>
          <w:sz w:val="24"/>
          <w:szCs w:val="24"/>
        </w:rPr>
      </w:pPr>
      <w:r w:rsidRPr="007E441B">
        <w:rPr>
          <w:rFonts w:ascii="Times New Roman" w:hAnsi="Times New Roman"/>
          <w:noProof/>
          <w:sz w:val="24"/>
        </w:rPr>
        <w:t>žiadosti</w:t>
      </w:r>
      <w:r w:rsidR="007E441B" w:rsidRPr="007E441B">
        <w:rPr>
          <w:rFonts w:ascii="Times New Roman" w:hAnsi="Times New Roman"/>
          <w:noProof/>
          <w:sz w:val="24"/>
        </w:rPr>
        <w:t xml:space="preserve"> o </w:t>
      </w:r>
      <w:r w:rsidRPr="007E441B">
        <w:rPr>
          <w:rFonts w:ascii="Times New Roman" w:hAnsi="Times New Roman"/>
          <w:noProof/>
          <w:sz w:val="24"/>
        </w:rPr>
        <w:t>povolenie sú</w:t>
      </w:r>
      <w:r w:rsidR="007E441B" w:rsidRPr="007E441B">
        <w:rPr>
          <w:rFonts w:ascii="Times New Roman" w:hAnsi="Times New Roman"/>
          <w:noProof/>
          <w:sz w:val="24"/>
        </w:rPr>
        <w:t xml:space="preserve"> v </w:t>
      </w:r>
      <w:r w:rsidRPr="007E441B">
        <w:rPr>
          <w:rFonts w:ascii="Times New Roman" w:hAnsi="Times New Roman"/>
          <w:noProof/>
          <w:sz w:val="24"/>
        </w:rPr>
        <w:t>jednotlivých členských štátoch EÚ rozdelené nerovnomerne, pričom približne 70 % všetkých prijatých žiadostí pripadá na štyri krajiny.</w:t>
      </w:r>
      <w:r w:rsidR="007E441B" w:rsidRPr="007E441B">
        <w:rPr>
          <w:rFonts w:ascii="Times New Roman" w:hAnsi="Times New Roman"/>
          <w:noProof/>
          <w:sz w:val="24"/>
        </w:rPr>
        <w:t xml:space="preserve"> V </w:t>
      </w:r>
      <w:r w:rsidRPr="007E441B">
        <w:rPr>
          <w:rFonts w:ascii="Times New Roman" w:hAnsi="Times New Roman"/>
          <w:noProof/>
          <w:sz w:val="24"/>
        </w:rPr>
        <w:t>prvej výročnej správe na ne pripadalo 86,5 %. Uvedené poukazuje na diverzifikáciu preverovania medzi členskými štátmi.</w:t>
      </w:r>
    </w:p>
    <w:p w14:paraId="4784DA02" w14:textId="526C16F4" w:rsidR="009D65C4" w:rsidRPr="007E441B" w:rsidRDefault="004641DD" w:rsidP="004641DD">
      <w:pPr>
        <w:pStyle w:val="ListParagraph"/>
        <w:numPr>
          <w:ilvl w:val="0"/>
          <w:numId w:val="21"/>
        </w:numPr>
        <w:jc w:val="both"/>
        <w:rPr>
          <w:rFonts w:ascii="Times New Roman" w:hAnsi="Times New Roman" w:cs="Times New Roman"/>
          <w:noProof/>
          <w:sz w:val="24"/>
          <w:szCs w:val="24"/>
        </w:rPr>
      </w:pPr>
      <w:r w:rsidRPr="007E441B">
        <w:rPr>
          <w:rFonts w:ascii="Times New Roman" w:hAnsi="Times New Roman"/>
          <w:noProof/>
          <w:sz w:val="24"/>
        </w:rPr>
        <w:t>Počas roka 2021 bola väčšina transakcií, pri ktorých bolo oznámené rozhodnutie, schválená bez akýchkoľvek podmienok (73 % prípadov –</w:t>
      </w:r>
      <w:r w:rsidR="007E441B" w:rsidRPr="007E441B">
        <w:rPr>
          <w:rFonts w:ascii="Times New Roman" w:hAnsi="Times New Roman"/>
          <w:noProof/>
          <w:sz w:val="24"/>
        </w:rPr>
        <w:t xml:space="preserve"> v </w:t>
      </w:r>
      <w:r w:rsidRPr="007E441B">
        <w:rPr>
          <w:rFonts w:ascii="Times New Roman" w:hAnsi="Times New Roman"/>
          <w:noProof/>
          <w:sz w:val="24"/>
        </w:rPr>
        <w:t>prvej správe to bolo 79 % prípadov).</w:t>
      </w:r>
    </w:p>
    <w:p w14:paraId="366A0C37" w14:textId="1DD34F94" w:rsidR="004641DD" w:rsidRPr="007E441B" w:rsidRDefault="00020A69" w:rsidP="004641DD">
      <w:pPr>
        <w:pStyle w:val="ListParagraph"/>
        <w:numPr>
          <w:ilvl w:val="0"/>
          <w:numId w:val="21"/>
        </w:numPr>
        <w:jc w:val="both"/>
        <w:rPr>
          <w:rFonts w:ascii="Times New Roman" w:hAnsi="Times New Roman" w:cs="Times New Roman"/>
          <w:noProof/>
          <w:sz w:val="24"/>
          <w:szCs w:val="24"/>
        </w:rPr>
      </w:pPr>
      <w:r w:rsidRPr="007E441B">
        <w:rPr>
          <w:rFonts w:ascii="Times New Roman" w:hAnsi="Times New Roman"/>
          <w:noProof/>
          <w:sz w:val="24"/>
        </w:rPr>
        <w:t>23 % rozhodnutých prípadov zahŕňalo zmierňujúce opatrenia (ide</w:t>
      </w:r>
      <w:r w:rsidR="007E441B" w:rsidRPr="007E441B">
        <w:rPr>
          <w:rFonts w:ascii="Times New Roman" w:hAnsi="Times New Roman"/>
          <w:noProof/>
          <w:sz w:val="24"/>
        </w:rPr>
        <w:t xml:space="preserve"> o </w:t>
      </w:r>
      <w:r w:rsidRPr="007E441B">
        <w:rPr>
          <w:rFonts w:ascii="Times New Roman" w:hAnsi="Times New Roman"/>
          <w:noProof/>
          <w:sz w:val="24"/>
        </w:rPr>
        <w:t>výrazný nárast</w:t>
      </w:r>
      <w:r w:rsidR="007E441B" w:rsidRPr="007E441B">
        <w:rPr>
          <w:rFonts w:ascii="Times New Roman" w:hAnsi="Times New Roman"/>
          <w:noProof/>
          <w:sz w:val="24"/>
        </w:rPr>
        <w:t xml:space="preserve"> v </w:t>
      </w:r>
      <w:r w:rsidRPr="007E441B">
        <w:rPr>
          <w:rFonts w:ascii="Times New Roman" w:hAnsi="Times New Roman"/>
          <w:noProof/>
          <w:sz w:val="24"/>
        </w:rPr>
        <w:t>porovnaní</w:t>
      </w:r>
      <w:r w:rsidR="007E441B" w:rsidRPr="007E441B">
        <w:rPr>
          <w:rFonts w:ascii="Times New Roman" w:hAnsi="Times New Roman"/>
          <w:noProof/>
          <w:sz w:val="24"/>
        </w:rPr>
        <w:t xml:space="preserve"> s </w:t>
      </w:r>
      <w:r w:rsidRPr="007E441B">
        <w:rPr>
          <w:rFonts w:ascii="Times New Roman" w:hAnsi="Times New Roman"/>
          <w:noProof/>
          <w:sz w:val="24"/>
        </w:rPr>
        <w:t>predchádzajúcou správou –</w:t>
      </w:r>
      <w:r w:rsidR="007E441B" w:rsidRPr="007E441B">
        <w:rPr>
          <w:rFonts w:ascii="Times New Roman" w:hAnsi="Times New Roman"/>
          <w:noProof/>
          <w:sz w:val="24"/>
        </w:rPr>
        <w:t xml:space="preserve"> o </w:t>
      </w:r>
      <w:r w:rsidRPr="007E441B">
        <w:rPr>
          <w:rFonts w:ascii="Times New Roman" w:hAnsi="Times New Roman"/>
          <w:noProof/>
          <w:sz w:val="24"/>
        </w:rPr>
        <w:t>12 %).</w:t>
      </w:r>
    </w:p>
    <w:p w14:paraId="1D635B05" w14:textId="03FBE253" w:rsidR="004641DD" w:rsidRPr="007E441B" w:rsidRDefault="004641DD" w:rsidP="004641DD">
      <w:pPr>
        <w:pStyle w:val="ListParagraph"/>
        <w:numPr>
          <w:ilvl w:val="0"/>
          <w:numId w:val="21"/>
        </w:numPr>
        <w:jc w:val="both"/>
        <w:rPr>
          <w:rFonts w:ascii="Times New Roman" w:hAnsi="Times New Roman" w:cs="Times New Roman"/>
          <w:noProof/>
          <w:sz w:val="24"/>
          <w:szCs w:val="24"/>
        </w:rPr>
      </w:pPr>
      <w:r w:rsidRPr="007E441B">
        <w:rPr>
          <w:rFonts w:ascii="Times New Roman" w:hAnsi="Times New Roman"/>
          <w:noProof/>
          <w:sz w:val="24"/>
        </w:rPr>
        <w:t>Členské štáty zablokovali len 1 % transakcií (v porovnaní</w:t>
      </w:r>
      <w:r w:rsidR="007E441B" w:rsidRPr="007E441B">
        <w:rPr>
          <w:rFonts w:ascii="Times New Roman" w:hAnsi="Times New Roman"/>
          <w:noProof/>
          <w:sz w:val="24"/>
        </w:rPr>
        <w:t xml:space="preserve"> s o </w:t>
      </w:r>
      <w:r w:rsidRPr="007E441B">
        <w:rPr>
          <w:rFonts w:ascii="Times New Roman" w:hAnsi="Times New Roman"/>
          <w:noProof/>
          <w:sz w:val="24"/>
        </w:rPr>
        <w:t>niečo vyšším počtom prípadov – 2 %, uvádzaným</w:t>
      </w:r>
      <w:r w:rsidR="007E441B" w:rsidRPr="007E441B">
        <w:rPr>
          <w:rFonts w:ascii="Times New Roman" w:hAnsi="Times New Roman"/>
          <w:noProof/>
          <w:sz w:val="24"/>
        </w:rPr>
        <w:t xml:space="preserve"> v </w:t>
      </w:r>
      <w:r w:rsidRPr="007E441B">
        <w:rPr>
          <w:rFonts w:ascii="Times New Roman" w:hAnsi="Times New Roman"/>
          <w:noProof/>
          <w:sz w:val="24"/>
        </w:rPr>
        <w:t>prvej správe), čím sa potvrdilo, že Európska únia je naďalej otvorená priamym zahraničným investíciám</w:t>
      </w:r>
      <w:r w:rsidR="007E441B" w:rsidRPr="007E441B">
        <w:rPr>
          <w:rFonts w:ascii="Times New Roman" w:hAnsi="Times New Roman"/>
          <w:noProof/>
          <w:sz w:val="24"/>
        </w:rPr>
        <w:t xml:space="preserve"> a </w:t>
      </w:r>
      <w:r w:rsidRPr="007E441B">
        <w:rPr>
          <w:rFonts w:ascii="Times New Roman" w:hAnsi="Times New Roman"/>
          <w:noProof/>
          <w:sz w:val="24"/>
        </w:rPr>
        <w:t>členské štáty zamietajú len prípady, ktoré predstavujú veľmi závažné ohrozenie bezpečnosti</w:t>
      </w:r>
      <w:r w:rsidR="007E441B" w:rsidRPr="007E441B">
        <w:rPr>
          <w:rFonts w:ascii="Times New Roman" w:hAnsi="Times New Roman"/>
          <w:noProof/>
          <w:sz w:val="24"/>
        </w:rPr>
        <w:t xml:space="preserve"> a </w:t>
      </w:r>
      <w:r w:rsidRPr="007E441B">
        <w:rPr>
          <w:rFonts w:ascii="Times New Roman" w:hAnsi="Times New Roman"/>
          <w:noProof/>
          <w:sz w:val="24"/>
        </w:rPr>
        <w:t xml:space="preserve">verejného poriadku. </w:t>
      </w:r>
    </w:p>
    <w:p w14:paraId="07A79BC6" w14:textId="77777777" w:rsidR="00D35B78" w:rsidRPr="007E441B" w:rsidRDefault="00D35B78" w:rsidP="00D35B78">
      <w:pPr>
        <w:spacing w:before="120" w:after="120" w:line="240" w:lineRule="auto"/>
        <w:jc w:val="both"/>
        <w:rPr>
          <w:rFonts w:ascii="Times New Roman" w:hAnsi="Times New Roman" w:cs="Times New Roman"/>
          <w:noProof/>
          <w:sz w:val="24"/>
          <w:szCs w:val="24"/>
        </w:rPr>
      </w:pPr>
    </w:p>
    <w:p w14:paraId="440F9CF2" w14:textId="77777777" w:rsidR="00D35B78" w:rsidRPr="007E441B" w:rsidRDefault="00D35B78">
      <w:pPr>
        <w:rPr>
          <w:rFonts w:ascii="Times New Roman" w:eastAsiaTheme="majorEastAsia" w:hAnsi="Times New Roman" w:cstheme="majorBidi"/>
          <w:b/>
          <w:noProof/>
          <w:color w:val="000000" w:themeColor="text1"/>
          <w:sz w:val="24"/>
          <w:szCs w:val="32"/>
        </w:rPr>
      </w:pPr>
      <w:r w:rsidRPr="007E441B">
        <w:rPr>
          <w:noProof/>
        </w:rPr>
        <w:br w:type="page"/>
      </w:r>
    </w:p>
    <w:p w14:paraId="2604DB97" w14:textId="77777777" w:rsidR="002F4674" w:rsidRPr="007E441B" w:rsidRDefault="006B1C91" w:rsidP="009F35E9">
      <w:pPr>
        <w:pStyle w:val="Heading1"/>
        <w:spacing w:line="240" w:lineRule="auto"/>
        <w:jc w:val="both"/>
        <w:rPr>
          <w:noProof/>
        </w:rPr>
      </w:pPr>
      <w:r w:rsidRPr="007E441B">
        <w:rPr>
          <w:noProof/>
        </w:rPr>
        <w:t>4. KAPITOLA – MECHANIZMUS SPOLUPRÁCE EÚ PRI PREVEROVANÍ PRIAMYCH ZAHRANIČNÝCH INVESTÍCIÍ</w:t>
      </w:r>
    </w:p>
    <w:p w14:paraId="2368E402" w14:textId="77777777" w:rsidR="00632260" w:rsidRPr="007E441B" w:rsidRDefault="00632260" w:rsidP="00632260">
      <w:pPr>
        <w:rPr>
          <w:noProof/>
        </w:rPr>
      </w:pPr>
    </w:p>
    <w:p w14:paraId="09FFE464" w14:textId="49292372" w:rsidR="00500D50" w:rsidRPr="007E441B" w:rsidRDefault="004E1E2B" w:rsidP="00AA30CE">
      <w:pPr>
        <w:pStyle w:val="Heading2"/>
        <w:spacing w:line="240" w:lineRule="auto"/>
        <w:rPr>
          <w:noProof/>
        </w:rPr>
      </w:pPr>
      <w:r w:rsidRPr="007E441B">
        <w:rPr>
          <w:noProof/>
        </w:rPr>
        <w:t>Oznámenia</w:t>
      </w:r>
      <w:r w:rsidR="007E441B" w:rsidRPr="007E441B">
        <w:rPr>
          <w:noProof/>
        </w:rPr>
        <w:t xml:space="preserve"> a </w:t>
      </w:r>
      <w:r w:rsidRPr="007E441B">
        <w:rPr>
          <w:noProof/>
        </w:rPr>
        <w:t>iné opatrenia prijaté</w:t>
      </w:r>
      <w:r w:rsidR="007E441B" w:rsidRPr="007E441B">
        <w:rPr>
          <w:noProof/>
        </w:rPr>
        <w:t xml:space="preserve"> v </w:t>
      </w:r>
      <w:r w:rsidRPr="007E441B">
        <w:rPr>
          <w:noProof/>
        </w:rPr>
        <w:t>rámci nariadenia</w:t>
      </w:r>
      <w:r w:rsidR="007E441B" w:rsidRPr="007E441B">
        <w:rPr>
          <w:noProof/>
        </w:rPr>
        <w:t xml:space="preserve"> o </w:t>
      </w:r>
      <w:r w:rsidRPr="007E441B">
        <w:rPr>
          <w:noProof/>
        </w:rPr>
        <w:t>preverovaní PZI</w:t>
      </w:r>
    </w:p>
    <w:p w14:paraId="38E984A1" w14:textId="20C5CEAD" w:rsidR="00837787" w:rsidRPr="007E441B" w:rsidRDefault="00837787"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V 3. kapitole bola zhrnutá úroveň preverovania na vnútroštátnej úrovni. Takto sa na vnútroštátnej úrovni zachytávajú investície, ktoré spĺňajú podmienky na preverovanie podľa nariadenia</w:t>
      </w:r>
      <w:r w:rsidR="007E441B" w:rsidRPr="007E441B">
        <w:rPr>
          <w:rFonts w:ascii="Times New Roman" w:hAnsi="Times New Roman"/>
          <w:noProof/>
          <w:sz w:val="24"/>
        </w:rPr>
        <w:t xml:space="preserve"> o </w:t>
      </w:r>
      <w:r w:rsidRPr="007E441B">
        <w:rPr>
          <w:rFonts w:ascii="Times New Roman" w:hAnsi="Times New Roman"/>
          <w:noProof/>
          <w:sz w:val="24"/>
        </w:rPr>
        <w:t xml:space="preserve">PZI. </w:t>
      </w:r>
    </w:p>
    <w:p w14:paraId="7191E615" w14:textId="1461D179" w:rsidR="004641DD" w:rsidRPr="007E441B" w:rsidRDefault="00837787"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V roku 2021 predložilo 13 členských štátov spolu 414 oznámení</w:t>
      </w:r>
      <w:r w:rsidRPr="007E441B">
        <w:rPr>
          <w:rStyle w:val="FootnoteReference"/>
          <w:rFonts w:ascii="Times New Roman" w:hAnsi="Times New Roman" w:cs="Times New Roman"/>
          <w:noProof/>
          <w:sz w:val="24"/>
          <w:szCs w:val="24"/>
        </w:rPr>
        <w:footnoteReference w:id="24"/>
      </w:r>
      <w:r w:rsidRPr="007E441B">
        <w:rPr>
          <w:rFonts w:ascii="Times New Roman" w:hAnsi="Times New Roman"/>
          <w:noProof/>
          <w:sz w:val="24"/>
        </w:rPr>
        <w:t xml:space="preserve"> podľa článku 6 nariadenia</w:t>
      </w:r>
      <w:r w:rsidR="007E441B" w:rsidRPr="007E441B">
        <w:rPr>
          <w:rFonts w:ascii="Times New Roman" w:hAnsi="Times New Roman"/>
          <w:noProof/>
          <w:sz w:val="24"/>
        </w:rPr>
        <w:t xml:space="preserve"> o </w:t>
      </w:r>
      <w:r w:rsidRPr="007E441B">
        <w:rPr>
          <w:rFonts w:ascii="Times New Roman" w:hAnsi="Times New Roman"/>
          <w:noProof/>
          <w:sz w:val="24"/>
        </w:rPr>
        <w:t>preverovaní PZI, pričom počas obdobia, na ktoré sa vzťahuje prvá výročná správa</w:t>
      </w:r>
      <w:r w:rsidR="007E441B" w:rsidRPr="007E441B">
        <w:rPr>
          <w:rFonts w:ascii="Times New Roman" w:hAnsi="Times New Roman"/>
          <w:noProof/>
          <w:sz w:val="24"/>
        </w:rPr>
        <w:t xml:space="preserve"> o </w:t>
      </w:r>
      <w:r w:rsidRPr="007E441B">
        <w:rPr>
          <w:rFonts w:ascii="Times New Roman" w:hAnsi="Times New Roman"/>
          <w:noProof/>
          <w:sz w:val="24"/>
        </w:rPr>
        <w:t>preverovaní PZI, oznámenia predložilo len 11 štátov</w:t>
      </w:r>
      <w:r w:rsidRPr="007E441B">
        <w:rPr>
          <w:rStyle w:val="FootnoteReference"/>
          <w:rFonts w:ascii="Times New Roman" w:hAnsi="Times New Roman" w:cs="Times New Roman"/>
          <w:noProof/>
          <w:sz w:val="24"/>
          <w:szCs w:val="24"/>
        </w:rPr>
        <w:footnoteReference w:id="25"/>
      </w:r>
      <w:r w:rsidRPr="007E441B">
        <w:rPr>
          <w:rFonts w:ascii="Times New Roman" w:hAnsi="Times New Roman"/>
          <w:noProof/>
          <w:sz w:val="24"/>
        </w:rPr>
        <w:t>. Viac ako 85 % týchto oznámení pripadalo na päť členských štátov, konkrétne na Francúzsko, Nemecko, Rakúsko, Španielsko</w:t>
      </w:r>
      <w:r w:rsidR="007E441B" w:rsidRPr="007E441B">
        <w:rPr>
          <w:rFonts w:ascii="Times New Roman" w:hAnsi="Times New Roman"/>
          <w:noProof/>
          <w:sz w:val="24"/>
        </w:rPr>
        <w:t xml:space="preserve"> a </w:t>
      </w:r>
      <w:r w:rsidRPr="007E441B">
        <w:rPr>
          <w:rFonts w:ascii="Times New Roman" w:hAnsi="Times New Roman"/>
          <w:noProof/>
          <w:sz w:val="24"/>
        </w:rPr>
        <w:t>Taliansko. Oznámené transakcie sa značne líšia, pokiaľ ide</w:t>
      </w:r>
      <w:r w:rsidR="007E441B" w:rsidRPr="007E441B">
        <w:rPr>
          <w:rFonts w:ascii="Times New Roman" w:hAnsi="Times New Roman"/>
          <w:noProof/>
          <w:sz w:val="24"/>
        </w:rPr>
        <w:t xml:space="preserve"> o </w:t>
      </w:r>
      <w:r w:rsidRPr="007E441B">
        <w:rPr>
          <w:rFonts w:ascii="Times New Roman" w:hAnsi="Times New Roman"/>
          <w:noProof/>
          <w:sz w:val="24"/>
        </w:rPr>
        <w:t>odvetvia, do ktorých investícia smeruje, pôvod konečného investora</w:t>
      </w:r>
      <w:r w:rsidR="007E441B" w:rsidRPr="007E441B">
        <w:rPr>
          <w:rFonts w:ascii="Times New Roman" w:hAnsi="Times New Roman"/>
          <w:noProof/>
          <w:sz w:val="24"/>
        </w:rPr>
        <w:t xml:space="preserve"> a </w:t>
      </w:r>
      <w:r w:rsidRPr="007E441B">
        <w:rPr>
          <w:rFonts w:ascii="Times New Roman" w:hAnsi="Times New Roman"/>
          <w:noProof/>
          <w:sz w:val="24"/>
        </w:rPr>
        <w:t>hodnotu transakcie.</w:t>
      </w:r>
    </w:p>
    <w:p w14:paraId="0534AC6B" w14:textId="6416EFA6" w:rsidR="004641DD" w:rsidRPr="007E441B" w:rsidRDefault="004641DD"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Piatimi odvetviami</w:t>
      </w:r>
      <w:r w:rsidR="007E441B" w:rsidRPr="007E441B">
        <w:rPr>
          <w:rFonts w:ascii="Times New Roman" w:hAnsi="Times New Roman"/>
          <w:noProof/>
          <w:sz w:val="24"/>
        </w:rPr>
        <w:t xml:space="preserve"> s </w:t>
      </w:r>
      <w:r w:rsidRPr="007E441B">
        <w:rPr>
          <w:rFonts w:ascii="Times New Roman" w:hAnsi="Times New Roman"/>
          <w:noProof/>
          <w:sz w:val="24"/>
        </w:rPr>
        <w:t>najvyšším počtom transakcií boli IKT, výroba, finančné činnosti,</w:t>
      </w:r>
      <w:bookmarkStart w:id="7" w:name="_Ref106614597"/>
      <w:r w:rsidRPr="007E441B">
        <w:rPr>
          <w:rStyle w:val="FootnoteReference"/>
          <w:rFonts w:ascii="Times New Roman" w:hAnsi="Times New Roman" w:cs="Times New Roman"/>
          <w:noProof/>
          <w:sz w:val="24"/>
          <w:szCs w:val="24"/>
        </w:rPr>
        <w:footnoteReference w:id="26"/>
      </w:r>
      <w:bookmarkEnd w:id="7"/>
      <w:r w:rsidRPr="007E441B">
        <w:rPr>
          <w:rFonts w:ascii="Times New Roman" w:hAnsi="Times New Roman"/>
          <w:noProof/>
          <w:sz w:val="24"/>
        </w:rPr>
        <w:t>, veľkoobchod</w:t>
      </w:r>
      <w:r w:rsidR="007E441B" w:rsidRPr="007E441B">
        <w:rPr>
          <w:rFonts w:ascii="Times New Roman" w:hAnsi="Times New Roman"/>
          <w:noProof/>
          <w:sz w:val="24"/>
        </w:rPr>
        <w:t xml:space="preserve"> a </w:t>
      </w:r>
      <w:r w:rsidRPr="007E441B">
        <w:rPr>
          <w:rFonts w:ascii="Times New Roman" w:hAnsi="Times New Roman"/>
          <w:noProof/>
          <w:sz w:val="24"/>
        </w:rPr>
        <w:t>maloobchod –</w:t>
      </w:r>
      <w:r w:rsidR="007E441B" w:rsidRPr="007E441B">
        <w:rPr>
          <w:rFonts w:ascii="Times New Roman" w:hAnsi="Times New Roman"/>
          <w:noProof/>
          <w:sz w:val="24"/>
        </w:rPr>
        <w:t xml:space="preserve"> a </w:t>
      </w:r>
      <w:r w:rsidRPr="007E441B">
        <w:rPr>
          <w:rFonts w:ascii="Times New Roman" w:hAnsi="Times New Roman"/>
          <w:noProof/>
          <w:sz w:val="24"/>
        </w:rPr>
        <w:t>stavebníctvo</w:t>
      </w:r>
      <w:r w:rsidRPr="007E441B">
        <w:rPr>
          <w:rStyle w:val="FootnoteReference"/>
          <w:rFonts w:ascii="Times New Roman" w:hAnsi="Times New Roman"/>
          <w:noProof/>
          <w:sz w:val="24"/>
        </w:rPr>
        <w:footnoteReference w:id="27"/>
      </w:r>
      <w:r w:rsidRPr="007E441B">
        <w:rPr>
          <w:rFonts w:ascii="Times New Roman" w:hAnsi="Times New Roman"/>
          <w:noProof/>
          <w:sz w:val="24"/>
        </w:rPr>
        <w:t xml:space="preserve"> (v prvej výročnej správe bolo „stavebníctvo“ zahrnuté do kategórie „ostatné“). Prvé tri odvetvia sú rovnaké ako</w:t>
      </w:r>
      <w:r w:rsidR="007E441B" w:rsidRPr="007E441B">
        <w:rPr>
          <w:rFonts w:ascii="Times New Roman" w:hAnsi="Times New Roman"/>
          <w:noProof/>
          <w:sz w:val="24"/>
        </w:rPr>
        <w:t xml:space="preserve"> v </w:t>
      </w:r>
      <w:r w:rsidRPr="007E441B">
        <w:rPr>
          <w:rFonts w:ascii="Times New Roman" w:hAnsi="Times New Roman"/>
          <w:noProof/>
          <w:sz w:val="24"/>
        </w:rPr>
        <w:t>prvej výročnej správe, akurát sú</w:t>
      </w:r>
      <w:r w:rsidR="007E441B" w:rsidRPr="007E441B">
        <w:rPr>
          <w:rFonts w:ascii="Times New Roman" w:hAnsi="Times New Roman"/>
          <w:noProof/>
          <w:sz w:val="24"/>
        </w:rPr>
        <w:t xml:space="preserve"> v </w:t>
      </w:r>
      <w:r w:rsidRPr="007E441B">
        <w:rPr>
          <w:rFonts w:ascii="Times New Roman" w:hAnsi="Times New Roman"/>
          <w:noProof/>
          <w:sz w:val="24"/>
        </w:rPr>
        <w:t>inom poradí.</w:t>
      </w:r>
    </w:p>
    <w:p w14:paraId="04AA0CF1" w14:textId="4A5416F5" w:rsidR="004641DD" w:rsidRPr="007E441B" w:rsidRDefault="004641DD" w:rsidP="004F4237">
      <w:pPr>
        <w:pStyle w:val="Caption"/>
        <w:keepNext/>
        <w:jc w:val="center"/>
        <w:rPr>
          <w:rFonts w:ascii="Times New Roman" w:hAnsi="Times New Roman" w:cs="Times New Roman"/>
          <w:noProof/>
          <w:color w:val="auto"/>
          <w:sz w:val="24"/>
          <w:szCs w:val="24"/>
        </w:rPr>
      </w:pPr>
      <w:r w:rsidRPr="007E441B">
        <w:rPr>
          <w:rFonts w:ascii="Times New Roman" w:hAnsi="Times New Roman"/>
          <w:noProof/>
          <w:color w:val="auto"/>
          <w:sz w:val="24"/>
        </w:rPr>
        <w:t>Obrázok 8 – Hlavné cieľové odvetvia celkom</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roku 2021</w:t>
      </w:r>
      <w:r w:rsidRPr="007E441B">
        <w:rPr>
          <w:rStyle w:val="FootnoteReference"/>
          <w:rFonts w:ascii="Times New Roman" w:hAnsi="Times New Roman" w:cs="Times New Roman"/>
          <w:noProof/>
          <w:sz w:val="24"/>
          <w:szCs w:val="24"/>
        </w:rPr>
        <w:footnoteReference w:id="28"/>
      </w:r>
    </w:p>
    <w:p w14:paraId="0ABF22B1" w14:textId="77777777" w:rsidR="004641DD" w:rsidRPr="007E441B" w:rsidRDefault="009D775F" w:rsidP="00AF656C">
      <w:pPr>
        <w:spacing w:after="120" w:line="240" w:lineRule="auto"/>
        <w:jc w:val="center"/>
        <w:rPr>
          <w:rFonts w:ascii="Times New Roman" w:hAnsi="Times New Roman" w:cs="Times New Roman"/>
          <w:noProof/>
          <w:sz w:val="24"/>
          <w:szCs w:val="24"/>
        </w:rPr>
      </w:pPr>
      <w:r w:rsidRPr="007E441B">
        <w:rPr>
          <w:rFonts w:ascii="Times New Roman" w:hAnsi="Times New Roman"/>
          <w:noProof/>
          <w:sz w:val="24"/>
          <w:lang w:val="en-GB" w:eastAsia="en-GB"/>
        </w:rPr>
        <w:drawing>
          <wp:inline distT="0" distB="0" distL="0" distR="0" wp14:anchorId="7C1DEC1A" wp14:editId="22F7A313">
            <wp:extent cx="4050000" cy="2434488"/>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0000" cy="2434488"/>
                    </a:xfrm>
                    <a:prstGeom prst="rect">
                      <a:avLst/>
                    </a:prstGeom>
                    <a:noFill/>
                  </pic:spPr>
                </pic:pic>
              </a:graphicData>
            </a:graphic>
          </wp:inline>
        </w:drawing>
      </w:r>
    </w:p>
    <w:p w14:paraId="61A2890F" w14:textId="77777777" w:rsidR="004641DD" w:rsidRPr="007E441B" w:rsidRDefault="004641DD" w:rsidP="004641DD">
      <w:pPr>
        <w:spacing w:after="120" w:line="240" w:lineRule="auto"/>
        <w:jc w:val="both"/>
        <w:rPr>
          <w:rFonts w:ascii="Times New Roman" w:hAnsi="Times New Roman" w:cs="Times New Roman"/>
          <w:noProof/>
          <w:sz w:val="24"/>
          <w:szCs w:val="24"/>
        </w:rPr>
      </w:pPr>
      <w:r w:rsidRPr="007E441B">
        <w:rPr>
          <w:rFonts w:ascii="Times New Roman" w:hAnsi="Times New Roman"/>
          <w:noProof/>
          <w:color w:val="000000"/>
          <w:sz w:val="16"/>
        </w:rPr>
        <w:t>Zdroj: Oznámenia členských štátov</w:t>
      </w:r>
    </w:p>
    <w:p w14:paraId="3370FD76" w14:textId="4A99FF36" w:rsidR="004641DD" w:rsidRPr="007E441B" w:rsidRDefault="004641DD"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Pokiaľ ide</w:t>
      </w:r>
      <w:r w:rsidR="007E441B" w:rsidRPr="007E441B">
        <w:rPr>
          <w:rFonts w:ascii="Times New Roman" w:hAnsi="Times New Roman"/>
          <w:noProof/>
          <w:sz w:val="24"/>
        </w:rPr>
        <w:t xml:space="preserve"> o </w:t>
      </w:r>
      <w:r w:rsidRPr="007E441B">
        <w:rPr>
          <w:rFonts w:ascii="Times New Roman" w:hAnsi="Times New Roman"/>
          <w:noProof/>
          <w:sz w:val="24"/>
        </w:rPr>
        <w:t>hodnotu transakcií, väčšina</w:t>
      </w:r>
      <w:r w:rsidR="007E441B" w:rsidRPr="007E441B">
        <w:rPr>
          <w:rFonts w:ascii="Times New Roman" w:hAnsi="Times New Roman"/>
          <w:noProof/>
          <w:sz w:val="24"/>
        </w:rPr>
        <w:t xml:space="preserve"> z </w:t>
      </w:r>
      <w:r w:rsidRPr="007E441B">
        <w:rPr>
          <w:rFonts w:ascii="Times New Roman" w:hAnsi="Times New Roman"/>
          <w:noProof/>
          <w:sz w:val="24"/>
        </w:rPr>
        <w:t>nich mala hodnotu</w:t>
      </w:r>
      <w:r w:rsidRPr="007E441B">
        <w:rPr>
          <w:rStyle w:val="FootnoteReference"/>
          <w:rFonts w:ascii="Times New Roman" w:hAnsi="Times New Roman" w:cs="Times New Roman"/>
          <w:noProof/>
          <w:sz w:val="24"/>
          <w:szCs w:val="24"/>
        </w:rPr>
        <w:footnoteReference w:id="29"/>
      </w:r>
      <w:r w:rsidRPr="007E441B">
        <w:rPr>
          <w:rFonts w:ascii="Times New Roman" w:hAnsi="Times New Roman"/>
          <w:noProof/>
          <w:sz w:val="24"/>
        </w:rPr>
        <w:t xml:space="preserve"> nižšiu</w:t>
      </w:r>
      <w:r w:rsidRPr="007E441B">
        <w:rPr>
          <w:rStyle w:val="FootnoteReference"/>
          <w:rFonts w:ascii="Times New Roman" w:hAnsi="Times New Roman" w:cs="Times New Roman"/>
          <w:noProof/>
          <w:sz w:val="24"/>
          <w:szCs w:val="24"/>
        </w:rPr>
        <w:footnoteReference w:id="30"/>
      </w:r>
      <w:r w:rsidRPr="007E441B">
        <w:rPr>
          <w:rFonts w:ascii="Times New Roman" w:hAnsi="Times New Roman"/>
          <w:noProof/>
          <w:sz w:val="24"/>
        </w:rPr>
        <w:t xml:space="preserve"> ako 500 miliónov EUR, ale najväčšia časť (34 %) mala hodnotu viac ako 500 miliónov EUR.</w:t>
      </w:r>
    </w:p>
    <w:p w14:paraId="10B858C2" w14:textId="318FB781" w:rsidR="004641DD" w:rsidRPr="007E441B" w:rsidRDefault="0041626A" w:rsidP="004F4237">
      <w:pPr>
        <w:pStyle w:val="Caption"/>
        <w:keepNext/>
        <w:jc w:val="center"/>
        <w:rPr>
          <w:rFonts w:ascii="Times New Roman" w:hAnsi="Times New Roman" w:cs="Times New Roman"/>
          <w:noProof/>
          <w:color w:val="auto"/>
          <w:sz w:val="24"/>
          <w:szCs w:val="24"/>
        </w:rPr>
      </w:pPr>
      <w:r w:rsidRPr="007E441B">
        <w:rPr>
          <w:rFonts w:ascii="Times New Roman" w:hAnsi="Times New Roman"/>
          <w:noProof/>
          <w:color w:val="auto"/>
          <w:sz w:val="24"/>
        </w:rPr>
        <w:t>Obrázok 9 – Príslušná hodnota každej oznámenej transakcie PZI</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roku 2021</w:t>
      </w:r>
      <w:r w:rsidRPr="007E441B">
        <w:rPr>
          <w:rStyle w:val="FootnoteReference"/>
          <w:rFonts w:ascii="Times New Roman" w:hAnsi="Times New Roman" w:cs="Times New Roman"/>
          <w:noProof/>
          <w:sz w:val="20"/>
          <w:szCs w:val="20"/>
        </w:rPr>
        <w:footnoteReference w:id="31"/>
      </w:r>
    </w:p>
    <w:p w14:paraId="0B31C97F" w14:textId="77777777" w:rsidR="004641DD" w:rsidRPr="007E441B" w:rsidRDefault="009D775F" w:rsidP="00AF656C">
      <w:pPr>
        <w:spacing w:after="120" w:line="240" w:lineRule="auto"/>
        <w:jc w:val="center"/>
        <w:rPr>
          <w:rFonts w:ascii="Times New Roman" w:hAnsi="Times New Roman" w:cs="Times New Roman"/>
          <w:noProof/>
          <w:sz w:val="24"/>
          <w:szCs w:val="24"/>
        </w:rPr>
      </w:pPr>
      <w:r w:rsidRPr="007E441B">
        <w:rPr>
          <w:rFonts w:ascii="Times New Roman" w:hAnsi="Times New Roman"/>
          <w:noProof/>
          <w:sz w:val="24"/>
          <w:lang w:val="en-GB" w:eastAsia="en-GB"/>
        </w:rPr>
        <w:drawing>
          <wp:inline distT="0" distB="0" distL="0" distR="0" wp14:anchorId="1137CCAC" wp14:editId="24B3A1E0">
            <wp:extent cx="4050000" cy="2434488"/>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0000" cy="2434488"/>
                    </a:xfrm>
                    <a:prstGeom prst="rect">
                      <a:avLst/>
                    </a:prstGeom>
                    <a:noFill/>
                  </pic:spPr>
                </pic:pic>
              </a:graphicData>
            </a:graphic>
          </wp:inline>
        </w:drawing>
      </w:r>
    </w:p>
    <w:p w14:paraId="100BB766" w14:textId="77777777" w:rsidR="004641DD" w:rsidRPr="007E441B" w:rsidRDefault="004641DD" w:rsidP="004641DD">
      <w:pPr>
        <w:spacing w:after="120" w:line="240" w:lineRule="auto"/>
        <w:jc w:val="both"/>
        <w:rPr>
          <w:rFonts w:ascii="Times New Roman" w:hAnsi="Times New Roman" w:cs="Times New Roman"/>
          <w:noProof/>
          <w:sz w:val="24"/>
          <w:szCs w:val="24"/>
        </w:rPr>
      </w:pPr>
      <w:r w:rsidRPr="007E441B">
        <w:rPr>
          <w:rFonts w:ascii="Times New Roman" w:hAnsi="Times New Roman"/>
          <w:noProof/>
          <w:color w:val="000000"/>
          <w:sz w:val="16"/>
        </w:rPr>
        <w:t>Zdroj: Oznámenia členských štátov</w:t>
      </w:r>
    </w:p>
    <w:p w14:paraId="6690D097" w14:textId="4F3F9CA5" w:rsidR="004641DD" w:rsidRPr="007E441B" w:rsidRDefault="004641DD"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Rozpätie oznámených transakcií je široké, pričom najnižšia vykázaná hodnota obchodu bola 1 EUR</w:t>
      </w:r>
      <w:r w:rsidR="007E441B" w:rsidRPr="007E441B">
        <w:rPr>
          <w:rFonts w:ascii="Times New Roman" w:hAnsi="Times New Roman"/>
          <w:noProof/>
          <w:sz w:val="24"/>
        </w:rPr>
        <w:t xml:space="preserve"> a </w:t>
      </w:r>
      <w:r w:rsidRPr="007E441B">
        <w:rPr>
          <w:rFonts w:ascii="Times New Roman" w:hAnsi="Times New Roman"/>
          <w:noProof/>
          <w:sz w:val="24"/>
        </w:rPr>
        <w:t xml:space="preserve">najvyššia hodnota približne 29 – 31 mld. EUR. </w:t>
      </w:r>
    </w:p>
    <w:p w14:paraId="5C9F1DBA" w14:textId="321D1C35" w:rsidR="004641DD" w:rsidRPr="007E441B" w:rsidRDefault="004641DD"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V nariadení</w:t>
      </w:r>
      <w:r w:rsidR="007E441B" w:rsidRPr="007E441B">
        <w:rPr>
          <w:rFonts w:ascii="Times New Roman" w:hAnsi="Times New Roman"/>
          <w:noProof/>
          <w:sz w:val="24"/>
        </w:rPr>
        <w:t xml:space="preserve"> o </w:t>
      </w:r>
      <w:r w:rsidRPr="007E441B">
        <w:rPr>
          <w:rFonts w:ascii="Times New Roman" w:hAnsi="Times New Roman"/>
          <w:noProof/>
          <w:sz w:val="24"/>
        </w:rPr>
        <w:t>preverovaní PZI sa predpokladá, že transakcie PZI sa posudzujú</w:t>
      </w:r>
      <w:r w:rsidR="007E441B" w:rsidRPr="007E441B">
        <w:rPr>
          <w:rFonts w:ascii="Times New Roman" w:hAnsi="Times New Roman"/>
          <w:noProof/>
          <w:sz w:val="24"/>
        </w:rPr>
        <w:t xml:space="preserve"> v </w:t>
      </w:r>
      <w:r w:rsidRPr="007E441B">
        <w:rPr>
          <w:rFonts w:ascii="Times New Roman" w:hAnsi="Times New Roman"/>
          <w:noProof/>
          <w:sz w:val="24"/>
        </w:rPr>
        <w:t>dvoch možných fázach: všetky oznámené transakcie sa posudzujú vo fáze 1, pričom do fázy 2 prejde len obmedzený počet transakcií; fáza 2 zahŕňa podrobnejšie posúdenie prípadov, ktoré by mohli mať vplyv na bezpečnosť alebo verejný poriadok vo viac ako jednom členskom štáte, alebo by mohli predstavovať riziko pre projekty alebo programy</w:t>
      </w:r>
      <w:r w:rsidR="007E441B" w:rsidRPr="007E441B">
        <w:rPr>
          <w:rFonts w:ascii="Times New Roman" w:hAnsi="Times New Roman"/>
          <w:noProof/>
          <w:sz w:val="24"/>
        </w:rPr>
        <w:t xml:space="preserve"> v </w:t>
      </w:r>
      <w:r w:rsidRPr="007E441B">
        <w:rPr>
          <w:rFonts w:ascii="Times New Roman" w:hAnsi="Times New Roman"/>
          <w:noProof/>
          <w:sz w:val="24"/>
        </w:rPr>
        <w:t>záujme Únie. Prípady fázy 2 by</w:t>
      </w:r>
      <w:r w:rsidR="007E441B" w:rsidRPr="007E441B">
        <w:rPr>
          <w:rFonts w:ascii="Times New Roman" w:hAnsi="Times New Roman"/>
          <w:noProof/>
          <w:sz w:val="24"/>
        </w:rPr>
        <w:t xml:space="preserve"> v </w:t>
      </w:r>
      <w:r w:rsidRPr="007E441B">
        <w:rPr>
          <w:rFonts w:ascii="Times New Roman" w:hAnsi="Times New Roman"/>
          <w:noProof/>
          <w:sz w:val="24"/>
        </w:rPr>
        <w:t>konečnom dôsledku mohla uzavrieť Európska komisia, ktorá vydá stanovisko</w:t>
      </w:r>
      <w:r w:rsidR="007E441B" w:rsidRPr="007E441B">
        <w:rPr>
          <w:rFonts w:ascii="Times New Roman" w:hAnsi="Times New Roman"/>
          <w:noProof/>
          <w:sz w:val="24"/>
        </w:rPr>
        <w:t xml:space="preserve"> k </w:t>
      </w:r>
      <w:r w:rsidRPr="007E441B">
        <w:rPr>
          <w:rFonts w:ascii="Times New Roman" w:hAnsi="Times New Roman"/>
          <w:noProof/>
          <w:sz w:val="24"/>
        </w:rPr>
        <w:t xml:space="preserve">danému prípadu. </w:t>
      </w:r>
    </w:p>
    <w:p w14:paraId="5F443F7C" w14:textId="77777777" w:rsidR="00EF0ADC" w:rsidRPr="007E441B" w:rsidRDefault="00EF0ADC">
      <w:pPr>
        <w:rPr>
          <w:rFonts w:ascii="Times New Roman" w:hAnsi="Times New Roman" w:cs="Times New Roman"/>
          <w:noProof/>
          <w:sz w:val="24"/>
          <w:szCs w:val="24"/>
        </w:rPr>
      </w:pPr>
      <w:r w:rsidRPr="007E441B">
        <w:rPr>
          <w:noProof/>
        </w:rPr>
        <w:br w:type="page"/>
      </w:r>
    </w:p>
    <w:p w14:paraId="58446CDC" w14:textId="40E87612" w:rsidR="004641DD" w:rsidRPr="007E441B" w:rsidRDefault="004641DD" w:rsidP="004641DD">
      <w:pPr>
        <w:spacing w:line="240" w:lineRule="auto"/>
        <w:jc w:val="both"/>
        <w:rPr>
          <w:rFonts w:ascii="Times New Roman" w:hAnsi="Times New Roman" w:cs="Times New Roman"/>
          <w:noProof/>
          <w:sz w:val="24"/>
          <w:szCs w:val="24"/>
          <w:highlight w:val="green"/>
        </w:rPr>
      </w:pPr>
      <w:r w:rsidRPr="007E441B">
        <w:rPr>
          <w:rFonts w:ascii="Times New Roman" w:hAnsi="Times New Roman"/>
          <w:noProof/>
          <w:sz w:val="24"/>
        </w:rPr>
        <w:t>Z 414 oznámených prípadov Komisia uzavrela 86 % vo fáze 1</w:t>
      </w:r>
      <w:r w:rsidR="007E441B" w:rsidRPr="007E441B">
        <w:rPr>
          <w:rFonts w:ascii="Times New Roman" w:hAnsi="Times New Roman"/>
          <w:noProof/>
          <w:sz w:val="24"/>
        </w:rPr>
        <w:t xml:space="preserve"> a </w:t>
      </w:r>
      <w:r w:rsidRPr="007E441B">
        <w:rPr>
          <w:rFonts w:ascii="Times New Roman" w:hAnsi="Times New Roman"/>
          <w:noProof/>
          <w:sz w:val="24"/>
        </w:rPr>
        <w:t>zvyšných 11 % prípadov (v minulom roku to bolo 14 % prípadov) postúpilo do fázy 2, pričom sa vyžiadali dodatočné informácie od oznamujúceho členského štátu.</w:t>
      </w:r>
      <w:r w:rsidR="007E441B" w:rsidRPr="007E441B">
        <w:rPr>
          <w:rFonts w:ascii="Times New Roman" w:hAnsi="Times New Roman"/>
          <w:noProof/>
          <w:sz w:val="24"/>
        </w:rPr>
        <w:t xml:space="preserve"> K </w:t>
      </w:r>
      <w:r w:rsidRPr="007E441B">
        <w:rPr>
          <w:rFonts w:ascii="Times New Roman" w:hAnsi="Times New Roman"/>
          <w:noProof/>
          <w:sz w:val="24"/>
        </w:rPr>
        <w:t>dátumu uzávierky tejto správy stále prebiehali, t. j. neboli vo fáze 1 ani 2 uzatvorené 3 %</w:t>
      </w:r>
      <w:r w:rsidR="007E441B" w:rsidRPr="007E441B">
        <w:rPr>
          <w:rFonts w:ascii="Times New Roman" w:hAnsi="Times New Roman"/>
          <w:noProof/>
          <w:sz w:val="24"/>
        </w:rPr>
        <w:t xml:space="preserve"> z </w:t>
      </w:r>
      <w:r w:rsidRPr="007E441B">
        <w:rPr>
          <w:rFonts w:ascii="Times New Roman" w:hAnsi="Times New Roman"/>
          <w:noProof/>
          <w:sz w:val="24"/>
        </w:rPr>
        <w:t>týchto prípadov</w:t>
      </w:r>
      <w:r w:rsidRPr="007E441B">
        <w:rPr>
          <w:rStyle w:val="FootnoteReference"/>
          <w:rFonts w:ascii="Times New Roman" w:hAnsi="Times New Roman" w:cs="Times New Roman"/>
          <w:noProof/>
          <w:sz w:val="24"/>
          <w:szCs w:val="24"/>
        </w:rPr>
        <w:footnoteReference w:id="32"/>
      </w:r>
      <w:r w:rsidRPr="007E441B">
        <w:rPr>
          <w:noProof/>
        </w:rPr>
        <w:t>.</w:t>
      </w:r>
      <w:r w:rsidRPr="007E441B">
        <w:rPr>
          <w:rFonts w:ascii="Times New Roman" w:hAnsi="Times New Roman"/>
          <w:noProof/>
          <w:sz w:val="24"/>
        </w:rPr>
        <w:t xml:space="preserve"> </w:t>
      </w:r>
    </w:p>
    <w:p w14:paraId="54111494" w14:textId="6A700A33" w:rsidR="004641DD" w:rsidRPr="007E441B" w:rsidRDefault="004641DD" w:rsidP="004641DD">
      <w:pPr>
        <w:spacing w:line="240" w:lineRule="auto"/>
        <w:jc w:val="both"/>
        <w:rPr>
          <w:rFonts w:ascii="Times New Roman" w:hAnsi="Times New Roman" w:cs="Times New Roman"/>
          <w:noProof/>
          <w:sz w:val="24"/>
          <w:szCs w:val="24"/>
        </w:rPr>
      </w:pPr>
      <w:r w:rsidRPr="007E441B">
        <w:rPr>
          <w:rFonts w:ascii="Times New Roman" w:hAnsi="Times New Roman"/>
          <w:noProof/>
          <w:sz w:val="24"/>
        </w:rPr>
        <w:t>Dodatočné informácie požadované Európskou komisiou pri začatí fázy 2 sa výrazne líšia</w:t>
      </w:r>
      <w:r w:rsidR="007E441B" w:rsidRPr="007E441B">
        <w:rPr>
          <w:rFonts w:ascii="Times New Roman" w:hAnsi="Times New Roman"/>
          <w:noProof/>
          <w:sz w:val="24"/>
        </w:rPr>
        <w:t xml:space="preserve"> v </w:t>
      </w:r>
      <w:r w:rsidRPr="007E441B">
        <w:rPr>
          <w:rFonts w:ascii="Times New Roman" w:hAnsi="Times New Roman"/>
          <w:noProof/>
          <w:sz w:val="24"/>
        </w:rPr>
        <w:t>závislosti od konkrétnej transakcie</w:t>
      </w:r>
      <w:r w:rsidR="007E441B" w:rsidRPr="007E441B">
        <w:rPr>
          <w:rFonts w:ascii="Times New Roman" w:hAnsi="Times New Roman"/>
          <w:noProof/>
          <w:sz w:val="24"/>
        </w:rPr>
        <w:t xml:space="preserve"> a </w:t>
      </w:r>
      <w:r w:rsidRPr="007E441B">
        <w:rPr>
          <w:rFonts w:ascii="Times New Roman" w:hAnsi="Times New Roman"/>
          <w:noProof/>
          <w:sz w:val="24"/>
        </w:rPr>
        <w:t>podrobnosti</w:t>
      </w:r>
      <w:r w:rsidR="007E441B" w:rsidRPr="007E441B">
        <w:rPr>
          <w:rFonts w:ascii="Times New Roman" w:hAnsi="Times New Roman"/>
          <w:noProof/>
          <w:sz w:val="24"/>
        </w:rPr>
        <w:t xml:space="preserve"> a </w:t>
      </w:r>
      <w:r w:rsidRPr="007E441B">
        <w:rPr>
          <w:rFonts w:ascii="Times New Roman" w:hAnsi="Times New Roman"/>
          <w:noProof/>
          <w:sz w:val="24"/>
        </w:rPr>
        <w:t>kvality informácií priložených</w:t>
      </w:r>
      <w:r w:rsidR="007E441B" w:rsidRPr="007E441B">
        <w:rPr>
          <w:rFonts w:ascii="Times New Roman" w:hAnsi="Times New Roman"/>
          <w:noProof/>
          <w:sz w:val="24"/>
        </w:rPr>
        <w:t xml:space="preserve"> k </w:t>
      </w:r>
      <w:r w:rsidRPr="007E441B">
        <w:rPr>
          <w:rFonts w:ascii="Times New Roman" w:hAnsi="Times New Roman"/>
          <w:noProof/>
          <w:sz w:val="24"/>
        </w:rPr>
        <w:t>oznámeniu</w:t>
      </w:r>
      <w:r w:rsidRPr="007E441B">
        <w:rPr>
          <w:rStyle w:val="FootnoteReference"/>
          <w:rFonts w:ascii="Times New Roman" w:hAnsi="Times New Roman" w:cs="Times New Roman"/>
          <w:noProof/>
          <w:sz w:val="24"/>
          <w:szCs w:val="24"/>
        </w:rPr>
        <w:footnoteReference w:id="33"/>
      </w:r>
      <w:r w:rsidRPr="007E441B">
        <w:rPr>
          <w:rFonts w:ascii="Times New Roman" w:hAnsi="Times New Roman"/>
          <w:noProof/>
          <w:sz w:val="24"/>
        </w:rPr>
        <w:t xml:space="preserve">. </w:t>
      </w:r>
    </w:p>
    <w:p w14:paraId="34E5F608" w14:textId="71A8F93B" w:rsidR="004641DD" w:rsidRPr="007E441B" w:rsidRDefault="0041626A" w:rsidP="004F4237">
      <w:pPr>
        <w:pStyle w:val="Caption"/>
        <w:keepNext/>
        <w:jc w:val="center"/>
        <w:rPr>
          <w:rFonts w:ascii="Times New Roman" w:hAnsi="Times New Roman" w:cs="Times New Roman"/>
          <w:noProof/>
          <w:color w:val="auto"/>
          <w:sz w:val="24"/>
          <w:szCs w:val="24"/>
        </w:rPr>
      </w:pPr>
      <w:r w:rsidRPr="007E441B">
        <w:rPr>
          <w:rFonts w:ascii="Times New Roman" w:hAnsi="Times New Roman"/>
          <w:noProof/>
          <w:color w:val="auto"/>
          <w:sz w:val="24"/>
        </w:rPr>
        <w:t>Obrázok 10 – Prípady uzavreté vo fáze 1</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fáze 2</w:t>
      </w:r>
      <w:r w:rsidR="007E441B" w:rsidRPr="007E441B">
        <w:rPr>
          <w:rFonts w:ascii="Times New Roman" w:hAnsi="Times New Roman"/>
          <w:noProof/>
          <w:color w:val="auto"/>
          <w:sz w:val="24"/>
        </w:rPr>
        <w:t xml:space="preserve"> a </w:t>
      </w:r>
      <w:r w:rsidRPr="007E441B">
        <w:rPr>
          <w:rFonts w:ascii="Times New Roman" w:hAnsi="Times New Roman"/>
          <w:noProof/>
          <w:color w:val="auto"/>
          <w:sz w:val="24"/>
        </w:rPr>
        <w:t>prebiehajúce prípady</w:t>
      </w:r>
    </w:p>
    <w:p w14:paraId="751C5ADC" w14:textId="40162512" w:rsidR="004641DD" w:rsidRPr="007E441B" w:rsidRDefault="006C6B68" w:rsidP="00AF656C">
      <w:pPr>
        <w:spacing w:after="120" w:line="240" w:lineRule="auto"/>
        <w:jc w:val="center"/>
        <w:rPr>
          <w:rFonts w:ascii="Times New Roman" w:hAnsi="Times New Roman" w:cs="Times New Roman"/>
          <w:noProof/>
          <w:sz w:val="24"/>
          <w:szCs w:val="24"/>
        </w:rPr>
      </w:pPr>
      <w:r w:rsidRPr="006C6B68">
        <w:rPr>
          <w:noProof/>
          <w:lang w:val="en-GB" w:eastAsia="en-GB"/>
        </w:rPr>
        <w:drawing>
          <wp:inline distT="0" distB="0" distL="0" distR="0" wp14:anchorId="6151E50E" wp14:editId="7031C316">
            <wp:extent cx="4563745" cy="27514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63745" cy="2751455"/>
                    </a:xfrm>
                    <a:prstGeom prst="rect">
                      <a:avLst/>
                    </a:prstGeom>
                    <a:noFill/>
                    <a:ln>
                      <a:noFill/>
                    </a:ln>
                  </pic:spPr>
                </pic:pic>
              </a:graphicData>
            </a:graphic>
          </wp:inline>
        </w:drawing>
      </w:r>
    </w:p>
    <w:p w14:paraId="5BD68E79" w14:textId="2467E39F" w:rsidR="004641DD" w:rsidRPr="007E441B" w:rsidRDefault="004641DD" w:rsidP="004641DD">
      <w:pPr>
        <w:pStyle w:val="Caption"/>
        <w:spacing w:after="120"/>
        <w:jc w:val="both"/>
        <w:rPr>
          <w:rFonts w:ascii="Times New Roman" w:hAnsi="Times New Roman" w:cs="Times New Roman"/>
          <w:i w:val="0"/>
          <w:noProof/>
          <w:color w:val="auto"/>
          <w:sz w:val="22"/>
          <w:szCs w:val="24"/>
          <w:highlight w:val="green"/>
        </w:rPr>
      </w:pPr>
      <w:r w:rsidRPr="007E441B">
        <w:rPr>
          <w:rFonts w:ascii="Times New Roman" w:hAnsi="Times New Roman"/>
          <w:i w:val="0"/>
          <w:noProof/>
          <w:color w:val="auto"/>
          <w:sz w:val="16"/>
        </w:rPr>
        <w:t>Zdroj: Oznámenia členských štátov</w:t>
      </w:r>
    </w:p>
    <w:p w14:paraId="0760DE17" w14:textId="264CD1EF" w:rsidR="004641DD" w:rsidRPr="007E441B" w:rsidRDefault="004641DD" w:rsidP="004641DD">
      <w:pPr>
        <w:spacing w:line="240" w:lineRule="auto"/>
        <w:jc w:val="both"/>
        <w:rPr>
          <w:rFonts w:ascii="Times New Roman" w:hAnsi="Times New Roman" w:cs="Times New Roman"/>
          <w:noProof/>
          <w:sz w:val="24"/>
          <w:szCs w:val="24"/>
          <w:highlight w:val="green"/>
        </w:rPr>
      </w:pPr>
      <w:r w:rsidRPr="007E441B">
        <w:rPr>
          <w:rFonts w:ascii="Times New Roman" w:hAnsi="Times New Roman"/>
          <w:noProof/>
          <w:sz w:val="24"/>
        </w:rPr>
        <w:t>Požadované informácie zvyčajne obsahujú jeden alebo viacero</w:t>
      </w:r>
      <w:r w:rsidR="007E441B" w:rsidRPr="007E441B">
        <w:rPr>
          <w:rFonts w:ascii="Times New Roman" w:hAnsi="Times New Roman"/>
          <w:noProof/>
          <w:sz w:val="24"/>
        </w:rPr>
        <w:t xml:space="preserve"> z </w:t>
      </w:r>
      <w:r w:rsidRPr="007E441B">
        <w:rPr>
          <w:rFonts w:ascii="Times New Roman" w:hAnsi="Times New Roman"/>
          <w:noProof/>
          <w:sz w:val="24"/>
        </w:rPr>
        <w:t>týchto prvkov: údaje</w:t>
      </w:r>
      <w:r w:rsidR="007E441B" w:rsidRPr="007E441B">
        <w:rPr>
          <w:rFonts w:ascii="Times New Roman" w:hAnsi="Times New Roman"/>
          <w:noProof/>
          <w:sz w:val="24"/>
        </w:rPr>
        <w:t xml:space="preserve"> o </w:t>
      </w:r>
      <w:r w:rsidRPr="007E441B">
        <w:rPr>
          <w:rFonts w:ascii="Times New Roman" w:hAnsi="Times New Roman"/>
          <w:noProof/>
          <w:sz w:val="24"/>
        </w:rPr>
        <w:t>výrobkoch a/alebo službách cieľovej spoločnosti, prípadná klasifikácia akýchkoľvek dotknutých výrobkov ako položiek</w:t>
      </w:r>
      <w:r w:rsidR="007E441B" w:rsidRPr="007E441B">
        <w:rPr>
          <w:rFonts w:ascii="Times New Roman" w:hAnsi="Times New Roman"/>
          <w:noProof/>
          <w:sz w:val="24"/>
        </w:rPr>
        <w:t xml:space="preserve"> s </w:t>
      </w:r>
      <w:r w:rsidRPr="007E441B">
        <w:rPr>
          <w:rFonts w:ascii="Times New Roman" w:hAnsi="Times New Roman"/>
          <w:noProof/>
          <w:sz w:val="24"/>
        </w:rPr>
        <w:t>dvojakým použitím, odberatelia, alternatívni dodávatelia</w:t>
      </w:r>
      <w:r w:rsidR="007E441B" w:rsidRPr="007E441B">
        <w:rPr>
          <w:rFonts w:ascii="Times New Roman" w:hAnsi="Times New Roman"/>
          <w:noProof/>
          <w:sz w:val="24"/>
        </w:rPr>
        <w:t xml:space="preserve"> a </w:t>
      </w:r>
      <w:r w:rsidRPr="007E441B">
        <w:rPr>
          <w:rFonts w:ascii="Times New Roman" w:hAnsi="Times New Roman"/>
          <w:noProof/>
          <w:sz w:val="24"/>
        </w:rPr>
        <w:t>podiely na trhu, vplyv investora na cieľovú spoločnosť po transakcii, portfólio duševného vlastníctva</w:t>
      </w:r>
      <w:r w:rsidR="007E441B" w:rsidRPr="007E441B">
        <w:rPr>
          <w:rFonts w:ascii="Times New Roman" w:hAnsi="Times New Roman"/>
          <w:noProof/>
          <w:sz w:val="24"/>
        </w:rPr>
        <w:t xml:space="preserve"> a </w:t>
      </w:r>
      <w:r w:rsidRPr="007E441B">
        <w:rPr>
          <w:rFonts w:ascii="Times New Roman" w:hAnsi="Times New Roman"/>
          <w:noProof/>
          <w:sz w:val="24"/>
        </w:rPr>
        <w:t>výskumno-vývojové činnosti cieľovej spoločnosti, ďalšie určujúce charakteristiky investora</w:t>
      </w:r>
      <w:r w:rsidR="007E441B" w:rsidRPr="007E441B">
        <w:rPr>
          <w:rFonts w:ascii="Times New Roman" w:hAnsi="Times New Roman"/>
          <w:noProof/>
          <w:sz w:val="24"/>
        </w:rPr>
        <w:t xml:space="preserve"> a </w:t>
      </w:r>
      <w:r w:rsidRPr="007E441B">
        <w:rPr>
          <w:rFonts w:ascii="Times New Roman" w:hAnsi="Times New Roman"/>
          <w:noProof/>
          <w:sz w:val="24"/>
        </w:rPr>
        <w:t>jeho stratégie. Tieto informácie sa požadujú</w:t>
      </w:r>
      <w:r w:rsidR="007E441B" w:rsidRPr="007E441B">
        <w:rPr>
          <w:rFonts w:ascii="Times New Roman" w:hAnsi="Times New Roman"/>
          <w:noProof/>
          <w:sz w:val="24"/>
        </w:rPr>
        <w:t xml:space="preserve"> s </w:t>
      </w:r>
      <w:r w:rsidRPr="007E441B">
        <w:rPr>
          <w:rFonts w:ascii="Times New Roman" w:hAnsi="Times New Roman"/>
          <w:noProof/>
          <w:sz w:val="24"/>
        </w:rPr>
        <w:t xml:space="preserve">cieľom lepšie posúdiť kritickosť cieľa alebo potenciálne hrozby, ktoré predstavuje investor. </w:t>
      </w:r>
    </w:p>
    <w:p w14:paraId="2A34C730" w14:textId="1CED5A5F" w:rsidR="004641DD" w:rsidRPr="007E441B" w:rsidRDefault="004641DD" w:rsidP="004641DD">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Hlavnými sektormi, ktorých sa týkala fáza 2, boli výroba, IKT</w:t>
      </w:r>
      <w:r w:rsidR="007E441B" w:rsidRPr="007E441B">
        <w:rPr>
          <w:rFonts w:ascii="Times New Roman" w:hAnsi="Times New Roman"/>
          <w:noProof/>
          <w:sz w:val="24"/>
        </w:rPr>
        <w:t xml:space="preserve"> a </w:t>
      </w:r>
      <w:r w:rsidRPr="007E441B">
        <w:rPr>
          <w:rFonts w:ascii="Times New Roman" w:hAnsi="Times New Roman"/>
          <w:noProof/>
          <w:sz w:val="24"/>
        </w:rPr>
        <w:t>finančné činnosti. Výroba</w:t>
      </w:r>
      <w:r w:rsidR="007E441B" w:rsidRPr="007E441B">
        <w:rPr>
          <w:rFonts w:ascii="Times New Roman" w:hAnsi="Times New Roman"/>
          <w:noProof/>
          <w:sz w:val="24"/>
        </w:rPr>
        <w:t xml:space="preserve"> a </w:t>
      </w:r>
      <w:r w:rsidRPr="007E441B">
        <w:rPr>
          <w:rFonts w:ascii="Times New Roman" w:hAnsi="Times New Roman"/>
          <w:noProof/>
          <w:sz w:val="24"/>
        </w:rPr>
        <w:t>IKT predstavovali 76 % všetkých prípadov vo fáze 2. Odvetvie IKT mimoriadne výrazne vzrástlo,</w:t>
      </w:r>
      <w:r w:rsidR="007E441B" w:rsidRPr="007E441B">
        <w:rPr>
          <w:rFonts w:ascii="Times New Roman" w:hAnsi="Times New Roman"/>
          <w:noProof/>
          <w:sz w:val="24"/>
        </w:rPr>
        <w:t xml:space="preserve"> a </w:t>
      </w:r>
      <w:r w:rsidRPr="007E441B">
        <w:rPr>
          <w:rFonts w:ascii="Times New Roman" w:hAnsi="Times New Roman"/>
          <w:noProof/>
          <w:sz w:val="24"/>
        </w:rPr>
        <w:t>to zo 17 %</w:t>
      </w:r>
      <w:r w:rsidR="007E441B" w:rsidRPr="007E441B">
        <w:rPr>
          <w:rFonts w:ascii="Times New Roman" w:hAnsi="Times New Roman"/>
          <w:noProof/>
          <w:sz w:val="24"/>
        </w:rPr>
        <w:t xml:space="preserve"> v </w:t>
      </w:r>
      <w:r w:rsidRPr="007E441B">
        <w:rPr>
          <w:rFonts w:ascii="Times New Roman" w:hAnsi="Times New Roman"/>
          <w:noProof/>
          <w:sz w:val="24"/>
        </w:rPr>
        <w:t>predchádzajúcej správe na 32 %</w:t>
      </w:r>
      <w:r w:rsidR="007E441B" w:rsidRPr="007E441B">
        <w:rPr>
          <w:rFonts w:ascii="Times New Roman" w:hAnsi="Times New Roman"/>
          <w:noProof/>
          <w:sz w:val="24"/>
        </w:rPr>
        <w:t xml:space="preserve"> v </w:t>
      </w:r>
      <w:r w:rsidRPr="007E441B">
        <w:rPr>
          <w:rFonts w:ascii="Times New Roman" w:hAnsi="Times New Roman"/>
          <w:noProof/>
          <w:sz w:val="24"/>
        </w:rPr>
        <w:t>súčasnej správe.</w:t>
      </w:r>
    </w:p>
    <w:p w14:paraId="45CA4412" w14:textId="77777777" w:rsidR="00AF656C" w:rsidRPr="007E441B" w:rsidRDefault="00AF656C">
      <w:pPr>
        <w:rPr>
          <w:rFonts w:ascii="Times New Roman" w:hAnsi="Times New Roman" w:cs="Times New Roman"/>
          <w:i/>
          <w:noProof/>
          <w:sz w:val="24"/>
        </w:rPr>
      </w:pPr>
      <w:r w:rsidRPr="007E441B">
        <w:rPr>
          <w:noProof/>
        </w:rPr>
        <w:br w:type="page"/>
      </w:r>
    </w:p>
    <w:p w14:paraId="7BA232E3" w14:textId="1BC8976B" w:rsidR="004641DD" w:rsidRPr="007E441B" w:rsidRDefault="0041626A" w:rsidP="004F4237">
      <w:pPr>
        <w:spacing w:before="120" w:after="120" w:line="240" w:lineRule="auto"/>
        <w:jc w:val="center"/>
        <w:rPr>
          <w:rFonts w:ascii="Times New Roman" w:hAnsi="Times New Roman" w:cs="Times New Roman"/>
          <w:i/>
          <w:noProof/>
          <w:sz w:val="24"/>
          <w:szCs w:val="24"/>
        </w:rPr>
      </w:pPr>
      <w:r w:rsidRPr="007E441B">
        <w:rPr>
          <w:rFonts w:ascii="Times New Roman" w:hAnsi="Times New Roman"/>
          <w:i/>
          <w:noProof/>
          <w:sz w:val="24"/>
        </w:rPr>
        <w:t>Obrázok 11 – Hlavné cieľové odvetvia prípadov vo fáze 2</w:t>
      </w:r>
      <w:r w:rsidR="007E441B" w:rsidRPr="007E441B">
        <w:rPr>
          <w:rFonts w:ascii="Times New Roman" w:hAnsi="Times New Roman"/>
          <w:i/>
          <w:noProof/>
          <w:sz w:val="24"/>
        </w:rPr>
        <w:t xml:space="preserve"> v </w:t>
      </w:r>
      <w:r w:rsidRPr="007E441B">
        <w:rPr>
          <w:rFonts w:ascii="Times New Roman" w:hAnsi="Times New Roman"/>
          <w:i/>
          <w:noProof/>
          <w:sz w:val="24"/>
        </w:rPr>
        <w:t>roku 2021</w:t>
      </w:r>
      <w:r w:rsidRPr="007E441B">
        <w:rPr>
          <w:rStyle w:val="FootnoteReference"/>
          <w:rFonts w:ascii="Times New Roman" w:hAnsi="Times New Roman" w:cs="Times New Roman"/>
          <w:i/>
          <w:noProof/>
          <w:sz w:val="24"/>
          <w:szCs w:val="24"/>
        </w:rPr>
        <w:footnoteReference w:id="34"/>
      </w:r>
    </w:p>
    <w:p w14:paraId="18873231" w14:textId="1120D0F5" w:rsidR="004641DD" w:rsidRPr="007E441B" w:rsidRDefault="00BD288C" w:rsidP="00EF0ADC">
      <w:pPr>
        <w:keepNext/>
        <w:spacing w:after="0" w:line="240" w:lineRule="auto"/>
        <w:jc w:val="center"/>
        <w:rPr>
          <w:noProof/>
        </w:rPr>
      </w:pPr>
      <w:r w:rsidRPr="00BD288C">
        <w:rPr>
          <w:noProof/>
          <w:lang w:val="en-GB" w:eastAsia="en-GB"/>
        </w:rPr>
        <w:drawing>
          <wp:inline distT="0" distB="0" distL="0" distR="0" wp14:anchorId="2797B6BA" wp14:editId="548F1B8D">
            <wp:extent cx="4580255" cy="2862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0255" cy="2862580"/>
                    </a:xfrm>
                    <a:prstGeom prst="rect">
                      <a:avLst/>
                    </a:prstGeom>
                    <a:noFill/>
                    <a:ln>
                      <a:noFill/>
                    </a:ln>
                  </pic:spPr>
                </pic:pic>
              </a:graphicData>
            </a:graphic>
          </wp:inline>
        </w:drawing>
      </w:r>
    </w:p>
    <w:p w14:paraId="159D41DE" w14:textId="046394AD" w:rsidR="004641DD" w:rsidRPr="007E441B" w:rsidRDefault="004641DD" w:rsidP="00EF0ADC">
      <w:pPr>
        <w:pStyle w:val="Caption"/>
        <w:spacing w:before="120" w:after="120"/>
        <w:jc w:val="both"/>
        <w:rPr>
          <w:rFonts w:ascii="Times New Roman" w:hAnsi="Times New Roman" w:cs="Times New Roman"/>
          <w:i w:val="0"/>
          <w:noProof/>
          <w:color w:val="auto"/>
          <w:sz w:val="16"/>
        </w:rPr>
      </w:pPr>
      <w:r w:rsidRPr="007E441B">
        <w:rPr>
          <w:rFonts w:ascii="Times New Roman" w:hAnsi="Times New Roman"/>
          <w:i w:val="0"/>
          <w:noProof/>
          <w:color w:val="auto"/>
          <w:sz w:val="16"/>
        </w:rPr>
        <w:t>Zdroj: Oznámenia členských štátov</w:t>
      </w:r>
    </w:p>
    <w:p w14:paraId="4CF4A0BD" w14:textId="327D1B65" w:rsidR="004641DD" w:rsidRPr="007E441B" w:rsidRDefault="00871AB0" w:rsidP="004641DD">
      <w:pPr>
        <w:jc w:val="both"/>
        <w:rPr>
          <w:noProof/>
        </w:rPr>
      </w:pPr>
      <w:r w:rsidRPr="007E441B">
        <w:rPr>
          <w:rFonts w:ascii="Times New Roman" w:hAnsi="Times New Roman"/>
          <w:noProof/>
          <w:sz w:val="24"/>
        </w:rPr>
        <w:t>Odvetvie na prvom mieste – výroba zahŕňa kritické infraštruktúry a/alebo technológie, t. j. obranu, letecký</w:t>
      </w:r>
      <w:r w:rsidR="007E441B" w:rsidRPr="007E441B">
        <w:rPr>
          <w:rFonts w:ascii="Times New Roman" w:hAnsi="Times New Roman"/>
          <w:noProof/>
          <w:sz w:val="24"/>
        </w:rPr>
        <w:t xml:space="preserve"> a </w:t>
      </w:r>
      <w:r w:rsidRPr="007E441B">
        <w:rPr>
          <w:rFonts w:ascii="Times New Roman" w:hAnsi="Times New Roman"/>
          <w:noProof/>
          <w:sz w:val="24"/>
        </w:rPr>
        <w:t>kozmický priemysel, energetiku, zdravotníctvo (vrátane farmaceutického priemyslu)</w:t>
      </w:r>
      <w:r w:rsidR="007E441B" w:rsidRPr="007E441B">
        <w:rPr>
          <w:rFonts w:ascii="Times New Roman" w:hAnsi="Times New Roman"/>
          <w:noProof/>
          <w:sz w:val="24"/>
        </w:rPr>
        <w:t xml:space="preserve"> a </w:t>
      </w:r>
      <w:r w:rsidRPr="007E441B">
        <w:rPr>
          <w:rFonts w:ascii="Times New Roman" w:hAnsi="Times New Roman"/>
          <w:noProof/>
          <w:sz w:val="24"/>
        </w:rPr>
        <w:t>polovodičové zariadenia. Obrana</w:t>
      </w:r>
      <w:r w:rsidR="007E441B" w:rsidRPr="007E441B">
        <w:rPr>
          <w:rFonts w:ascii="Times New Roman" w:hAnsi="Times New Roman"/>
          <w:noProof/>
          <w:sz w:val="24"/>
        </w:rPr>
        <w:t xml:space="preserve"> a </w:t>
      </w:r>
      <w:r w:rsidRPr="007E441B">
        <w:rPr>
          <w:rFonts w:ascii="Times New Roman" w:hAnsi="Times New Roman"/>
          <w:noProof/>
          <w:sz w:val="24"/>
        </w:rPr>
        <w:t>letecký</w:t>
      </w:r>
      <w:r w:rsidR="007E441B" w:rsidRPr="007E441B">
        <w:rPr>
          <w:rFonts w:ascii="Times New Roman" w:hAnsi="Times New Roman"/>
          <w:noProof/>
          <w:sz w:val="24"/>
        </w:rPr>
        <w:t xml:space="preserve"> a </w:t>
      </w:r>
      <w:r w:rsidRPr="007E441B">
        <w:rPr>
          <w:rFonts w:ascii="Times New Roman" w:hAnsi="Times New Roman"/>
          <w:noProof/>
          <w:sz w:val="24"/>
        </w:rPr>
        <w:t>kozmický priemysel predstavujú takmer polovicu oznámení</w:t>
      </w:r>
      <w:r w:rsidR="007E441B" w:rsidRPr="007E441B">
        <w:rPr>
          <w:rFonts w:ascii="Times New Roman" w:hAnsi="Times New Roman"/>
          <w:noProof/>
          <w:sz w:val="24"/>
        </w:rPr>
        <w:t xml:space="preserve"> v </w:t>
      </w:r>
      <w:r w:rsidRPr="007E441B">
        <w:rPr>
          <w:rFonts w:ascii="Times New Roman" w:hAnsi="Times New Roman"/>
          <w:noProof/>
          <w:sz w:val="24"/>
        </w:rPr>
        <w:t>tomto odvetví (45 %).</w:t>
      </w:r>
    </w:p>
    <w:p w14:paraId="5FC74A40" w14:textId="546CC207" w:rsidR="004641DD" w:rsidRPr="007E441B" w:rsidRDefault="004641DD" w:rsidP="004F4237">
      <w:pPr>
        <w:pStyle w:val="Caption"/>
        <w:keepNext/>
        <w:spacing w:after="120"/>
        <w:jc w:val="center"/>
        <w:rPr>
          <w:rFonts w:ascii="Times New Roman" w:hAnsi="Times New Roman" w:cs="Times New Roman"/>
          <w:noProof/>
          <w:color w:val="auto"/>
          <w:sz w:val="24"/>
          <w:szCs w:val="24"/>
        </w:rPr>
      </w:pPr>
      <w:r w:rsidRPr="007E441B">
        <w:rPr>
          <w:rFonts w:ascii="Times New Roman" w:hAnsi="Times New Roman"/>
          <w:noProof/>
          <w:color w:val="auto"/>
          <w:sz w:val="24"/>
        </w:rPr>
        <w:t>Obrázok 12 – Prípady vo fáze 2</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roku 2021, rozdelené podľa výrobných pododvetví</w:t>
      </w:r>
    </w:p>
    <w:p w14:paraId="7B78600C" w14:textId="00024B0A" w:rsidR="004641DD" w:rsidRPr="007E441B" w:rsidRDefault="006C6B68" w:rsidP="00EF0ADC">
      <w:pPr>
        <w:spacing w:after="0"/>
        <w:jc w:val="center"/>
        <w:rPr>
          <w:noProof/>
          <w:highlight w:val="green"/>
        </w:rPr>
      </w:pPr>
      <w:r w:rsidRPr="006C6B68">
        <w:rPr>
          <w:noProof/>
          <w:highlight w:val="green"/>
          <w:lang w:val="en-GB" w:eastAsia="en-GB"/>
        </w:rPr>
        <w:drawing>
          <wp:inline distT="0" distB="0" distL="0" distR="0" wp14:anchorId="4193DEF4" wp14:editId="4987F657">
            <wp:extent cx="4802505" cy="2751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2505" cy="2751455"/>
                    </a:xfrm>
                    <a:prstGeom prst="rect">
                      <a:avLst/>
                    </a:prstGeom>
                    <a:noFill/>
                    <a:ln>
                      <a:noFill/>
                    </a:ln>
                  </pic:spPr>
                </pic:pic>
              </a:graphicData>
            </a:graphic>
          </wp:inline>
        </w:drawing>
      </w:r>
    </w:p>
    <w:p w14:paraId="5409B4A7" w14:textId="77777777" w:rsidR="004641DD" w:rsidRPr="007E441B" w:rsidRDefault="004641DD" w:rsidP="00EF0ADC">
      <w:pPr>
        <w:pStyle w:val="Caption"/>
        <w:spacing w:before="120" w:after="120"/>
        <w:jc w:val="both"/>
        <w:rPr>
          <w:rFonts w:ascii="Times New Roman" w:hAnsi="Times New Roman" w:cs="Times New Roman"/>
          <w:i w:val="0"/>
          <w:noProof/>
          <w:color w:val="auto"/>
          <w:sz w:val="16"/>
        </w:rPr>
      </w:pPr>
      <w:r w:rsidRPr="007E441B">
        <w:rPr>
          <w:rFonts w:ascii="Times New Roman" w:hAnsi="Times New Roman"/>
          <w:i w:val="0"/>
          <w:noProof/>
          <w:color w:val="auto"/>
          <w:sz w:val="16"/>
        </w:rPr>
        <w:t>Zdroj: Oznámenia členských štátov</w:t>
      </w:r>
    </w:p>
    <w:p w14:paraId="13645418" w14:textId="1C8C8744" w:rsidR="00EF0ADC" w:rsidRPr="007E441B" w:rsidRDefault="004641DD" w:rsidP="004641DD">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47 prípadov vo fáze 2 pochádzalo</w:t>
      </w:r>
      <w:r w:rsidR="007E441B" w:rsidRPr="007E441B">
        <w:rPr>
          <w:rFonts w:ascii="Times New Roman" w:hAnsi="Times New Roman"/>
          <w:noProof/>
          <w:sz w:val="24"/>
        </w:rPr>
        <w:t xml:space="preserve"> z </w:t>
      </w:r>
      <w:r w:rsidRPr="007E441B">
        <w:rPr>
          <w:rFonts w:ascii="Times New Roman" w:hAnsi="Times New Roman"/>
          <w:noProof/>
          <w:sz w:val="24"/>
        </w:rPr>
        <w:t>deviatich členských štátov</w:t>
      </w:r>
      <w:r w:rsidRPr="007E441B">
        <w:rPr>
          <w:rStyle w:val="FootnoteReference"/>
          <w:rFonts w:ascii="Times New Roman" w:hAnsi="Times New Roman"/>
          <w:noProof/>
          <w:sz w:val="24"/>
        </w:rPr>
        <w:t xml:space="preserve"> </w:t>
      </w:r>
      <w:r w:rsidRPr="007E441B">
        <w:rPr>
          <w:rStyle w:val="FootnoteReference"/>
          <w:rFonts w:ascii="Times New Roman" w:hAnsi="Times New Roman" w:cs="Times New Roman"/>
          <w:noProof/>
          <w:sz w:val="24"/>
          <w:szCs w:val="24"/>
        </w:rPr>
        <w:footnoteReference w:id="35"/>
      </w:r>
      <w:r w:rsidRPr="007E441B">
        <w:rPr>
          <w:rFonts w:ascii="Times New Roman" w:hAnsi="Times New Roman"/>
          <w:noProof/>
          <w:sz w:val="24"/>
        </w:rPr>
        <w:t>. Vo všetkých prípadoch vo fáze 2 bola priemerná dĺžka, ktorú potrebovali členské štáty na poskytnutie požadovaných informácií, 22 kalendárnych dní (v porovnaní</w:t>
      </w:r>
      <w:r w:rsidR="007E441B" w:rsidRPr="007E441B">
        <w:rPr>
          <w:rFonts w:ascii="Times New Roman" w:hAnsi="Times New Roman"/>
          <w:noProof/>
          <w:sz w:val="24"/>
        </w:rPr>
        <w:t xml:space="preserve"> s </w:t>
      </w:r>
      <w:r w:rsidRPr="007E441B">
        <w:rPr>
          <w:rFonts w:ascii="Times New Roman" w:hAnsi="Times New Roman"/>
          <w:noProof/>
          <w:sz w:val="24"/>
        </w:rPr>
        <w:t>31 kalendárnymi dňami uvádzanými</w:t>
      </w:r>
      <w:r w:rsidR="007E441B" w:rsidRPr="007E441B">
        <w:rPr>
          <w:rFonts w:ascii="Times New Roman" w:hAnsi="Times New Roman"/>
          <w:noProof/>
          <w:sz w:val="24"/>
        </w:rPr>
        <w:t xml:space="preserve"> v </w:t>
      </w:r>
      <w:r w:rsidRPr="007E441B">
        <w:rPr>
          <w:rFonts w:ascii="Times New Roman" w:hAnsi="Times New Roman"/>
          <w:noProof/>
          <w:sz w:val="24"/>
        </w:rPr>
        <w:t>prvej správe), pričom rozpätie bolo od 3 do 101 dní (v porovnaní</w:t>
      </w:r>
      <w:r w:rsidR="007E441B" w:rsidRPr="007E441B">
        <w:rPr>
          <w:rFonts w:ascii="Times New Roman" w:hAnsi="Times New Roman"/>
          <w:noProof/>
          <w:sz w:val="24"/>
        </w:rPr>
        <w:t xml:space="preserve"> s </w:t>
      </w:r>
      <w:r w:rsidRPr="007E441B">
        <w:rPr>
          <w:rFonts w:ascii="Times New Roman" w:hAnsi="Times New Roman"/>
          <w:noProof/>
          <w:sz w:val="24"/>
        </w:rPr>
        <w:t>2 až 101 kalendárnymi dňami uvádzanými</w:t>
      </w:r>
      <w:r w:rsidR="007E441B" w:rsidRPr="007E441B">
        <w:rPr>
          <w:rFonts w:ascii="Times New Roman" w:hAnsi="Times New Roman"/>
          <w:noProof/>
          <w:sz w:val="24"/>
        </w:rPr>
        <w:t xml:space="preserve"> v </w:t>
      </w:r>
      <w:r w:rsidRPr="007E441B">
        <w:rPr>
          <w:rFonts w:ascii="Times New Roman" w:hAnsi="Times New Roman"/>
          <w:noProof/>
          <w:sz w:val="24"/>
        </w:rPr>
        <w:t>prvej správe).</w:t>
      </w:r>
    </w:p>
    <w:p w14:paraId="0AFAE601" w14:textId="2E115E6D" w:rsidR="004641DD" w:rsidRPr="007E441B" w:rsidRDefault="00BE2EAB" w:rsidP="004641DD">
      <w:pPr>
        <w:spacing w:before="120" w:after="120" w:line="240" w:lineRule="auto"/>
        <w:jc w:val="both"/>
        <w:rPr>
          <w:rFonts w:ascii="Times New Roman" w:hAnsi="Times New Roman" w:cs="Times New Roman"/>
          <w:noProof/>
          <w:sz w:val="24"/>
          <w:szCs w:val="24"/>
          <w:highlight w:val="green"/>
        </w:rPr>
      </w:pPr>
      <w:r w:rsidRPr="007E441B">
        <w:rPr>
          <w:rFonts w:ascii="Times New Roman" w:hAnsi="Times New Roman"/>
          <w:noProof/>
          <w:sz w:val="24"/>
        </w:rPr>
        <w:t>V nariadení</w:t>
      </w:r>
      <w:r w:rsidR="007E441B" w:rsidRPr="007E441B">
        <w:rPr>
          <w:rFonts w:ascii="Times New Roman" w:hAnsi="Times New Roman"/>
          <w:noProof/>
          <w:sz w:val="24"/>
        </w:rPr>
        <w:t xml:space="preserve"> o </w:t>
      </w:r>
      <w:r w:rsidRPr="007E441B">
        <w:rPr>
          <w:rFonts w:ascii="Times New Roman" w:hAnsi="Times New Roman"/>
          <w:noProof/>
          <w:sz w:val="24"/>
        </w:rPr>
        <w:t>PZI sa nestanovujú presné lehoty,</w:t>
      </w:r>
      <w:r w:rsidR="007E441B" w:rsidRPr="007E441B">
        <w:rPr>
          <w:rFonts w:ascii="Times New Roman" w:hAnsi="Times New Roman"/>
          <w:noProof/>
          <w:sz w:val="24"/>
        </w:rPr>
        <w:t xml:space="preserve"> v </w:t>
      </w:r>
      <w:r w:rsidRPr="007E441B">
        <w:rPr>
          <w:rFonts w:ascii="Times New Roman" w:hAnsi="Times New Roman"/>
          <w:noProof/>
          <w:sz w:val="24"/>
        </w:rPr>
        <w:t xml:space="preserve">rámci ktorých musia členské štáty odpovedať, ale lehoty podľa nariadenia sa pozastavujú až do doručenia úplných informácií. </w:t>
      </w:r>
    </w:p>
    <w:p w14:paraId="56565A33" w14:textId="1BFDAC56" w:rsidR="004641DD" w:rsidRPr="007E441B" w:rsidRDefault="004641DD" w:rsidP="004641DD">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Pokiaľ ide</w:t>
      </w:r>
      <w:r w:rsidR="007E441B" w:rsidRPr="007E441B">
        <w:rPr>
          <w:rFonts w:ascii="Times New Roman" w:hAnsi="Times New Roman"/>
          <w:noProof/>
          <w:sz w:val="24"/>
        </w:rPr>
        <w:t xml:space="preserve"> o </w:t>
      </w:r>
      <w:r w:rsidRPr="007E441B">
        <w:rPr>
          <w:rFonts w:ascii="Times New Roman" w:hAnsi="Times New Roman"/>
          <w:noProof/>
          <w:sz w:val="24"/>
        </w:rPr>
        <w:t>pôvod konečného investora,</w:t>
      </w:r>
      <w:r w:rsidR="007E441B" w:rsidRPr="007E441B">
        <w:rPr>
          <w:rFonts w:ascii="Times New Roman" w:hAnsi="Times New Roman"/>
          <w:noProof/>
          <w:sz w:val="24"/>
        </w:rPr>
        <w:t xml:space="preserve"> v </w:t>
      </w:r>
      <w:r w:rsidRPr="007E441B">
        <w:rPr>
          <w:rFonts w:ascii="Times New Roman" w:hAnsi="Times New Roman"/>
          <w:noProof/>
          <w:sz w:val="24"/>
        </w:rPr>
        <w:t>414 prípadoch oznámených Európskej komisii</w:t>
      </w:r>
      <w:r w:rsidR="007E441B" w:rsidRPr="007E441B">
        <w:rPr>
          <w:rFonts w:ascii="Times New Roman" w:hAnsi="Times New Roman"/>
          <w:noProof/>
          <w:sz w:val="24"/>
        </w:rPr>
        <w:t xml:space="preserve"> v </w:t>
      </w:r>
      <w:r w:rsidRPr="007E441B">
        <w:rPr>
          <w:rFonts w:ascii="Times New Roman" w:hAnsi="Times New Roman"/>
          <w:noProof/>
          <w:sz w:val="24"/>
        </w:rPr>
        <w:t>roku 2021 boli piatimi hlavnými krajinami pôvodu USA, Spojené kráľovstvo, Čína, Kajmanie ostrovy</w:t>
      </w:r>
      <w:r w:rsidR="007E441B" w:rsidRPr="007E441B">
        <w:rPr>
          <w:rFonts w:ascii="Times New Roman" w:hAnsi="Times New Roman"/>
          <w:noProof/>
          <w:sz w:val="24"/>
        </w:rPr>
        <w:t xml:space="preserve"> a </w:t>
      </w:r>
      <w:r w:rsidRPr="007E441B">
        <w:rPr>
          <w:rFonts w:ascii="Times New Roman" w:hAnsi="Times New Roman"/>
          <w:noProof/>
          <w:sz w:val="24"/>
        </w:rPr>
        <w:t>Kanada. Na Rusko pripadlo menej ako 1,5 % prípadov</w:t>
      </w:r>
      <w:r w:rsidR="007E441B" w:rsidRPr="007E441B">
        <w:rPr>
          <w:rFonts w:ascii="Times New Roman" w:hAnsi="Times New Roman"/>
          <w:noProof/>
          <w:sz w:val="24"/>
        </w:rPr>
        <w:t xml:space="preserve"> a </w:t>
      </w:r>
      <w:r w:rsidRPr="007E441B">
        <w:rPr>
          <w:rFonts w:ascii="Times New Roman" w:hAnsi="Times New Roman"/>
          <w:noProof/>
          <w:sz w:val="24"/>
        </w:rPr>
        <w:t>na Bielorusko 0,2 %.</w:t>
      </w:r>
    </w:p>
    <w:p w14:paraId="741BB838" w14:textId="4A209AD4" w:rsidR="004F4237" w:rsidRPr="007E441B" w:rsidRDefault="009D5624" w:rsidP="004F4237">
      <w:pPr>
        <w:pStyle w:val="Caption"/>
        <w:jc w:val="center"/>
        <w:rPr>
          <w:rFonts w:ascii="Times New Roman" w:hAnsi="Times New Roman" w:cs="Times New Roman"/>
          <w:noProof/>
          <w:sz w:val="24"/>
          <w:szCs w:val="24"/>
        </w:rPr>
      </w:pPr>
      <w:r w:rsidRPr="007E441B">
        <w:rPr>
          <w:rFonts w:ascii="Times New Roman" w:hAnsi="Times New Roman"/>
          <w:noProof/>
          <w:color w:val="auto"/>
          <w:sz w:val="24"/>
        </w:rPr>
        <w:t>Obrázok 13 – Pôvod hlavných investorov</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prípadoch</w:t>
      </w:r>
      <w:r w:rsidR="007E441B" w:rsidRPr="007E441B">
        <w:rPr>
          <w:rFonts w:ascii="Times New Roman" w:hAnsi="Times New Roman"/>
          <w:noProof/>
          <w:color w:val="auto"/>
          <w:sz w:val="24"/>
        </w:rPr>
        <w:t xml:space="preserve"> v </w:t>
      </w:r>
      <w:r w:rsidRPr="007E441B">
        <w:rPr>
          <w:rFonts w:ascii="Times New Roman" w:hAnsi="Times New Roman"/>
          <w:noProof/>
          <w:color w:val="auto"/>
          <w:sz w:val="24"/>
        </w:rPr>
        <w:t>roku 2021</w:t>
      </w:r>
    </w:p>
    <w:p w14:paraId="49CF4C50" w14:textId="3BFA612B" w:rsidR="00A6058B" w:rsidRPr="007E441B" w:rsidRDefault="00BD288C" w:rsidP="00A6058B">
      <w:pPr>
        <w:keepNext/>
        <w:tabs>
          <w:tab w:val="left" w:pos="5103"/>
        </w:tabs>
        <w:spacing w:after="120" w:line="240" w:lineRule="auto"/>
        <w:jc w:val="center"/>
        <w:rPr>
          <w:noProof/>
        </w:rPr>
      </w:pPr>
      <w:r w:rsidRPr="00BD288C">
        <w:rPr>
          <w:noProof/>
          <w:lang w:val="en-GB" w:eastAsia="en-GB"/>
        </w:rPr>
        <w:drawing>
          <wp:inline distT="0" distB="0" distL="0" distR="0" wp14:anchorId="656990EB" wp14:editId="1506ABD2">
            <wp:extent cx="4580255" cy="2751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30AF8795" w14:textId="5D970C6E" w:rsidR="004641DD" w:rsidRPr="007E441B" w:rsidRDefault="004641DD" w:rsidP="00871AB0">
      <w:pPr>
        <w:pStyle w:val="Caption"/>
        <w:spacing w:after="120"/>
        <w:jc w:val="both"/>
        <w:rPr>
          <w:rFonts w:ascii="Times New Roman" w:hAnsi="Times New Roman" w:cs="Times New Roman"/>
          <w:i w:val="0"/>
          <w:noProof/>
          <w:color w:val="auto"/>
          <w:sz w:val="16"/>
        </w:rPr>
      </w:pPr>
      <w:r w:rsidRPr="007E441B">
        <w:rPr>
          <w:rFonts w:ascii="Times New Roman" w:hAnsi="Times New Roman"/>
          <w:i w:val="0"/>
          <w:noProof/>
          <w:color w:val="auto"/>
          <w:sz w:val="16"/>
        </w:rPr>
        <w:t>Zdroj: Oznámenia členských štátov</w:t>
      </w:r>
    </w:p>
    <w:p w14:paraId="58F135E5" w14:textId="402890BD" w:rsidR="004641DD" w:rsidRPr="007E441B" w:rsidRDefault="004641DD"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Zo všetkých prípadov oznámených</w:t>
      </w:r>
      <w:r w:rsidR="007E441B" w:rsidRPr="007E441B">
        <w:rPr>
          <w:rFonts w:ascii="Times New Roman" w:hAnsi="Times New Roman"/>
          <w:noProof/>
          <w:sz w:val="24"/>
        </w:rPr>
        <w:t xml:space="preserve"> v </w:t>
      </w:r>
      <w:r w:rsidRPr="007E441B">
        <w:rPr>
          <w:rFonts w:ascii="Times New Roman" w:hAnsi="Times New Roman"/>
          <w:noProof/>
          <w:sz w:val="24"/>
        </w:rPr>
        <w:t>roku 2021 išlo</w:t>
      </w:r>
      <w:r w:rsidR="007E441B" w:rsidRPr="007E441B">
        <w:rPr>
          <w:rFonts w:ascii="Times New Roman" w:hAnsi="Times New Roman"/>
          <w:noProof/>
          <w:sz w:val="24"/>
        </w:rPr>
        <w:t xml:space="preserve"> v </w:t>
      </w:r>
      <w:r w:rsidRPr="007E441B">
        <w:rPr>
          <w:rFonts w:ascii="Times New Roman" w:hAnsi="Times New Roman"/>
          <w:noProof/>
          <w:sz w:val="24"/>
        </w:rPr>
        <w:t>28 % prípadov (v porovnaní</w:t>
      </w:r>
      <w:r w:rsidR="007E441B" w:rsidRPr="007E441B">
        <w:rPr>
          <w:rFonts w:ascii="Times New Roman" w:hAnsi="Times New Roman"/>
          <w:noProof/>
          <w:sz w:val="24"/>
        </w:rPr>
        <w:t xml:space="preserve"> s </w:t>
      </w:r>
      <w:r w:rsidRPr="007E441B">
        <w:rPr>
          <w:rFonts w:ascii="Times New Roman" w:hAnsi="Times New Roman"/>
          <w:noProof/>
          <w:sz w:val="24"/>
        </w:rPr>
        <w:t>29 %</w:t>
      </w:r>
      <w:r w:rsidR="007E441B" w:rsidRPr="007E441B">
        <w:rPr>
          <w:rFonts w:ascii="Times New Roman" w:hAnsi="Times New Roman"/>
          <w:noProof/>
          <w:sz w:val="24"/>
        </w:rPr>
        <w:t xml:space="preserve"> v </w:t>
      </w:r>
      <w:r w:rsidRPr="007E441B">
        <w:rPr>
          <w:rFonts w:ascii="Times New Roman" w:hAnsi="Times New Roman"/>
          <w:noProof/>
          <w:sz w:val="24"/>
        </w:rPr>
        <w:t>prvej správe)</w:t>
      </w:r>
      <w:r w:rsidR="007E441B" w:rsidRPr="007E441B">
        <w:rPr>
          <w:rFonts w:ascii="Times New Roman" w:hAnsi="Times New Roman"/>
          <w:noProof/>
          <w:sz w:val="24"/>
        </w:rPr>
        <w:t xml:space="preserve"> o </w:t>
      </w:r>
      <w:r w:rsidRPr="007E441B">
        <w:rPr>
          <w:rFonts w:ascii="Times New Roman" w:hAnsi="Times New Roman"/>
          <w:noProof/>
          <w:sz w:val="24"/>
        </w:rPr>
        <w:t>transakcie PZI</w:t>
      </w:r>
      <w:r w:rsidR="007E441B" w:rsidRPr="007E441B">
        <w:rPr>
          <w:rFonts w:ascii="Times New Roman" w:hAnsi="Times New Roman"/>
          <w:noProof/>
          <w:sz w:val="24"/>
        </w:rPr>
        <w:t xml:space="preserve"> v </w:t>
      </w:r>
      <w:r w:rsidRPr="007E441B">
        <w:rPr>
          <w:rFonts w:ascii="Times New Roman" w:hAnsi="Times New Roman"/>
          <w:noProof/>
          <w:sz w:val="24"/>
        </w:rPr>
        <w:t>rámci viacerých jurisdikcií, pretože sa týkali (a boli oznámené) viacerými členskými štátmi</w:t>
      </w:r>
      <w:r w:rsidRPr="007E441B">
        <w:rPr>
          <w:rStyle w:val="FootnoteReference"/>
          <w:rFonts w:ascii="Times New Roman" w:hAnsi="Times New Roman" w:cs="Times New Roman"/>
          <w:noProof/>
          <w:sz w:val="24"/>
          <w:szCs w:val="24"/>
        </w:rPr>
        <w:footnoteReference w:id="36"/>
      </w:r>
      <w:r w:rsidRPr="007E441B">
        <w:rPr>
          <w:rFonts w:ascii="Times New Roman" w:hAnsi="Times New Roman"/>
          <w:noProof/>
          <w:sz w:val="24"/>
        </w:rPr>
        <w:t>. Hlavnými odvetviami, ktorých sa týkali tieto oznámenia, boli IKT, výroba, veľkoobchod</w:t>
      </w:r>
      <w:r w:rsidR="007E441B" w:rsidRPr="007E441B">
        <w:rPr>
          <w:rFonts w:ascii="Times New Roman" w:hAnsi="Times New Roman"/>
          <w:noProof/>
          <w:sz w:val="24"/>
        </w:rPr>
        <w:t xml:space="preserve"> a </w:t>
      </w:r>
      <w:r w:rsidRPr="007E441B">
        <w:rPr>
          <w:rFonts w:ascii="Times New Roman" w:hAnsi="Times New Roman"/>
          <w:noProof/>
          <w:sz w:val="24"/>
        </w:rPr>
        <w:t>maloobchod</w:t>
      </w:r>
      <w:r w:rsidR="007E441B" w:rsidRPr="007E441B">
        <w:rPr>
          <w:rFonts w:ascii="Times New Roman" w:hAnsi="Times New Roman"/>
          <w:noProof/>
          <w:sz w:val="24"/>
        </w:rPr>
        <w:t xml:space="preserve"> a </w:t>
      </w:r>
      <w:r w:rsidRPr="007E441B">
        <w:rPr>
          <w:rFonts w:ascii="Times New Roman" w:hAnsi="Times New Roman"/>
          <w:noProof/>
          <w:sz w:val="24"/>
        </w:rPr>
        <w:t>finančné činnosti.</w:t>
      </w:r>
    </w:p>
    <w:p w14:paraId="70DF8A68" w14:textId="77777777" w:rsidR="004F4237" w:rsidRPr="007E441B" w:rsidRDefault="004F4237" w:rsidP="00632260">
      <w:pPr>
        <w:spacing w:before="120" w:after="120" w:line="240" w:lineRule="auto"/>
        <w:jc w:val="both"/>
        <w:rPr>
          <w:rFonts w:ascii="Times New Roman" w:hAnsi="Times New Roman" w:cs="Times New Roman"/>
          <w:noProof/>
          <w:sz w:val="24"/>
          <w:szCs w:val="24"/>
        </w:rPr>
      </w:pPr>
    </w:p>
    <w:p w14:paraId="720A6A13" w14:textId="6B53F191" w:rsidR="004641DD" w:rsidRPr="007E441B" w:rsidRDefault="00A6058B" w:rsidP="004F4237">
      <w:pPr>
        <w:spacing w:before="120" w:after="120" w:line="240" w:lineRule="auto"/>
        <w:jc w:val="center"/>
        <w:rPr>
          <w:rFonts w:ascii="Times New Roman" w:hAnsi="Times New Roman" w:cs="Times New Roman"/>
          <w:noProof/>
          <w:sz w:val="24"/>
          <w:szCs w:val="24"/>
        </w:rPr>
      </w:pPr>
      <w:r w:rsidRPr="007E441B">
        <w:rPr>
          <w:rFonts w:ascii="Times New Roman" w:hAnsi="Times New Roman"/>
          <w:i/>
          <w:noProof/>
          <w:sz w:val="24"/>
        </w:rPr>
        <w:t>Tabuľka – Transakcie PZI týkajúce sa viacerých jurisdikcií</w:t>
      </w:r>
      <w:r w:rsidR="007E441B" w:rsidRPr="007E441B">
        <w:rPr>
          <w:rFonts w:ascii="Times New Roman" w:hAnsi="Times New Roman"/>
          <w:i/>
          <w:noProof/>
          <w:sz w:val="24"/>
        </w:rPr>
        <w:t xml:space="preserve"> a </w:t>
      </w:r>
      <w:r w:rsidRPr="007E441B">
        <w:rPr>
          <w:rFonts w:ascii="Times New Roman" w:hAnsi="Times New Roman"/>
          <w:i/>
          <w:noProof/>
          <w:sz w:val="24"/>
        </w:rPr>
        <w:t>hlavné odvetvia</w:t>
      </w:r>
    </w:p>
    <w:tbl>
      <w:tblPr>
        <w:tblW w:w="6400" w:type="dxa"/>
        <w:jc w:val="center"/>
        <w:tblLook w:val="04A0" w:firstRow="1" w:lastRow="0" w:firstColumn="1" w:lastColumn="0" w:noHBand="0" w:noVBand="1"/>
      </w:tblPr>
      <w:tblGrid>
        <w:gridCol w:w="6400"/>
      </w:tblGrid>
      <w:tr w:rsidR="004641DD" w:rsidRPr="007E441B" w14:paraId="166D1B1E" w14:textId="77777777" w:rsidTr="004F4237">
        <w:trPr>
          <w:trHeight w:val="288"/>
          <w:jc w:val="center"/>
        </w:trPr>
        <w:tc>
          <w:tcPr>
            <w:tcW w:w="6400" w:type="dxa"/>
            <w:tcBorders>
              <w:top w:val="nil"/>
              <w:left w:val="nil"/>
              <w:bottom w:val="nil"/>
              <w:right w:val="nil"/>
            </w:tcBorders>
            <w:shd w:val="clear" w:color="000000" w:fill="F4B084"/>
            <w:noWrap/>
            <w:vAlign w:val="bottom"/>
            <w:hideMark/>
          </w:tcPr>
          <w:p w14:paraId="14944022" w14:textId="77777777" w:rsidR="004641DD" w:rsidRPr="007E441B" w:rsidRDefault="004641DD" w:rsidP="00632260">
            <w:pPr>
              <w:spacing w:after="0" w:line="240" w:lineRule="auto"/>
              <w:rPr>
                <w:rFonts w:ascii="Calibri" w:eastAsia="Times New Roman" w:hAnsi="Calibri" w:cs="Calibri"/>
                <w:noProof/>
                <w:color w:val="000000"/>
              </w:rPr>
            </w:pPr>
            <w:r w:rsidRPr="007E441B">
              <w:rPr>
                <w:rFonts w:ascii="Calibri" w:hAnsi="Calibri"/>
                <w:noProof/>
                <w:color w:val="000000"/>
              </w:rPr>
              <w:t>IKT 39 %</w:t>
            </w:r>
          </w:p>
        </w:tc>
      </w:tr>
      <w:tr w:rsidR="004641DD" w:rsidRPr="007E441B" w14:paraId="4A76BC06" w14:textId="77777777" w:rsidTr="004F4237">
        <w:trPr>
          <w:trHeight w:val="288"/>
          <w:jc w:val="center"/>
        </w:trPr>
        <w:tc>
          <w:tcPr>
            <w:tcW w:w="6400" w:type="dxa"/>
            <w:tcBorders>
              <w:top w:val="nil"/>
              <w:left w:val="nil"/>
              <w:bottom w:val="nil"/>
              <w:right w:val="nil"/>
            </w:tcBorders>
            <w:shd w:val="clear" w:color="000000" w:fill="9BC2E6"/>
            <w:noWrap/>
            <w:vAlign w:val="bottom"/>
            <w:hideMark/>
          </w:tcPr>
          <w:p w14:paraId="72B5FB4D" w14:textId="77777777" w:rsidR="004641DD" w:rsidRPr="007E441B" w:rsidRDefault="004641DD" w:rsidP="00632260">
            <w:pPr>
              <w:spacing w:after="0" w:line="240" w:lineRule="auto"/>
              <w:rPr>
                <w:rFonts w:ascii="Calibri" w:eastAsia="Times New Roman" w:hAnsi="Calibri" w:cs="Calibri"/>
                <w:noProof/>
                <w:color w:val="000000"/>
              </w:rPr>
            </w:pPr>
            <w:r w:rsidRPr="007E441B">
              <w:rPr>
                <w:rFonts w:ascii="Calibri" w:hAnsi="Calibri"/>
                <w:noProof/>
                <w:color w:val="000000"/>
              </w:rPr>
              <w:t>Výroba 20 %</w:t>
            </w:r>
          </w:p>
        </w:tc>
      </w:tr>
      <w:tr w:rsidR="004641DD" w:rsidRPr="007E441B" w14:paraId="5BCBC1EC" w14:textId="77777777" w:rsidTr="004F4237">
        <w:trPr>
          <w:trHeight w:val="288"/>
          <w:jc w:val="center"/>
        </w:trPr>
        <w:tc>
          <w:tcPr>
            <w:tcW w:w="6400" w:type="dxa"/>
            <w:tcBorders>
              <w:top w:val="nil"/>
              <w:left w:val="nil"/>
              <w:bottom w:val="nil"/>
              <w:right w:val="nil"/>
            </w:tcBorders>
            <w:shd w:val="clear" w:color="000000" w:fill="92D050"/>
            <w:noWrap/>
            <w:vAlign w:val="bottom"/>
            <w:hideMark/>
          </w:tcPr>
          <w:p w14:paraId="4818002E" w14:textId="2A1261F0" w:rsidR="004641DD" w:rsidRPr="007E441B" w:rsidRDefault="004641DD" w:rsidP="00632260">
            <w:pPr>
              <w:spacing w:after="0" w:line="240" w:lineRule="auto"/>
              <w:rPr>
                <w:rFonts w:ascii="Calibri" w:eastAsia="Times New Roman" w:hAnsi="Calibri" w:cs="Calibri"/>
                <w:noProof/>
                <w:color w:val="000000"/>
              </w:rPr>
            </w:pPr>
            <w:r w:rsidRPr="007E441B">
              <w:rPr>
                <w:rFonts w:ascii="Calibri" w:hAnsi="Calibri"/>
                <w:noProof/>
                <w:color w:val="000000"/>
              </w:rPr>
              <w:t>Veľkoobchod</w:t>
            </w:r>
            <w:r w:rsidR="007E441B" w:rsidRPr="007E441B">
              <w:rPr>
                <w:rFonts w:ascii="Calibri" w:hAnsi="Calibri"/>
                <w:noProof/>
                <w:color w:val="000000"/>
              </w:rPr>
              <w:t xml:space="preserve"> a </w:t>
            </w:r>
            <w:r w:rsidRPr="007E441B">
              <w:rPr>
                <w:rFonts w:ascii="Calibri" w:hAnsi="Calibri"/>
                <w:noProof/>
                <w:color w:val="000000"/>
              </w:rPr>
              <w:t>maloobchod 11 %</w:t>
            </w:r>
          </w:p>
        </w:tc>
      </w:tr>
      <w:tr w:rsidR="004641DD" w:rsidRPr="007E441B" w14:paraId="230EDFAA" w14:textId="77777777" w:rsidTr="004F4237">
        <w:trPr>
          <w:trHeight w:val="288"/>
          <w:jc w:val="center"/>
        </w:trPr>
        <w:tc>
          <w:tcPr>
            <w:tcW w:w="6400" w:type="dxa"/>
            <w:tcBorders>
              <w:top w:val="nil"/>
              <w:left w:val="nil"/>
              <w:bottom w:val="nil"/>
              <w:right w:val="nil"/>
            </w:tcBorders>
            <w:shd w:val="clear" w:color="000000" w:fill="D9D9D9"/>
            <w:noWrap/>
            <w:vAlign w:val="bottom"/>
            <w:hideMark/>
          </w:tcPr>
          <w:p w14:paraId="32DB5313" w14:textId="77777777" w:rsidR="004641DD" w:rsidRPr="007E441B" w:rsidRDefault="004641DD" w:rsidP="00632260">
            <w:pPr>
              <w:spacing w:after="0" w:line="240" w:lineRule="auto"/>
              <w:rPr>
                <w:rFonts w:ascii="Calibri" w:eastAsia="Times New Roman" w:hAnsi="Calibri" w:cs="Calibri"/>
                <w:noProof/>
                <w:color w:val="000000"/>
              </w:rPr>
            </w:pPr>
            <w:r w:rsidRPr="007E441B">
              <w:rPr>
                <w:rFonts w:ascii="Calibri" w:hAnsi="Calibri"/>
                <w:noProof/>
                <w:color w:val="000000"/>
              </w:rPr>
              <w:t>Finančné činnosti 9 %</w:t>
            </w:r>
          </w:p>
        </w:tc>
      </w:tr>
      <w:tr w:rsidR="004641DD" w:rsidRPr="007E441B" w14:paraId="05BB766B" w14:textId="77777777" w:rsidTr="004F4237">
        <w:trPr>
          <w:trHeight w:val="288"/>
          <w:jc w:val="center"/>
        </w:trPr>
        <w:tc>
          <w:tcPr>
            <w:tcW w:w="6400" w:type="dxa"/>
            <w:tcBorders>
              <w:top w:val="nil"/>
              <w:left w:val="nil"/>
              <w:bottom w:val="nil"/>
              <w:right w:val="nil"/>
            </w:tcBorders>
            <w:shd w:val="clear" w:color="000000" w:fill="FFD966"/>
            <w:noWrap/>
            <w:vAlign w:val="bottom"/>
            <w:hideMark/>
          </w:tcPr>
          <w:p w14:paraId="0CA7357B" w14:textId="77777777" w:rsidR="004641DD" w:rsidRPr="007E441B" w:rsidRDefault="004641DD" w:rsidP="00632260">
            <w:pPr>
              <w:spacing w:after="0" w:line="240" w:lineRule="auto"/>
              <w:rPr>
                <w:rFonts w:ascii="Calibri" w:eastAsia="Times New Roman" w:hAnsi="Calibri" w:cs="Calibri"/>
                <w:noProof/>
                <w:color w:val="000000"/>
              </w:rPr>
            </w:pPr>
            <w:r w:rsidRPr="007E441B">
              <w:rPr>
                <w:rFonts w:ascii="Calibri" w:hAnsi="Calibri"/>
                <w:noProof/>
                <w:color w:val="000000"/>
              </w:rPr>
              <w:t>Ostatné 32 %</w:t>
            </w:r>
          </w:p>
        </w:tc>
      </w:tr>
    </w:tbl>
    <w:p w14:paraId="03BAAC55" w14:textId="77777777" w:rsidR="00632260" w:rsidRPr="007E441B" w:rsidRDefault="00632260" w:rsidP="00632260">
      <w:pPr>
        <w:spacing w:before="120" w:after="0" w:line="240" w:lineRule="auto"/>
        <w:jc w:val="both"/>
        <w:rPr>
          <w:rFonts w:ascii="Times New Roman" w:hAnsi="Times New Roman" w:cs="Times New Roman"/>
          <w:noProof/>
          <w:sz w:val="24"/>
          <w:szCs w:val="24"/>
        </w:rPr>
      </w:pPr>
      <w:r w:rsidRPr="007E441B">
        <w:rPr>
          <w:noProof/>
          <w:lang w:val="en-GB" w:eastAsia="en-GB"/>
        </w:rPr>
        <mc:AlternateContent>
          <mc:Choice Requires="wps">
            <w:drawing>
              <wp:anchor distT="0" distB="0" distL="114300" distR="114300" simplePos="0" relativeHeight="251660288" behindDoc="0" locked="0" layoutInCell="1" allowOverlap="1" wp14:anchorId="29EA505A" wp14:editId="1D194E09">
                <wp:simplePos x="0" y="0"/>
                <wp:positionH relativeFrom="margin">
                  <wp:posOffset>34290</wp:posOffset>
                </wp:positionH>
                <wp:positionV relativeFrom="paragraph">
                  <wp:posOffset>32440</wp:posOffset>
                </wp:positionV>
                <wp:extent cx="3041015" cy="127000"/>
                <wp:effectExtent l="0" t="0" r="6985" b="6350"/>
                <wp:wrapSquare wrapText="bothSides"/>
                <wp:docPr id="44" name="Text Box 44"/>
                <wp:cNvGraphicFramePr/>
                <a:graphic xmlns:a="http://schemas.openxmlformats.org/drawingml/2006/main">
                  <a:graphicData uri="http://schemas.microsoft.com/office/word/2010/wordprocessingShape">
                    <wps:wsp>
                      <wps:cNvSpPr txBox="1"/>
                      <wps:spPr>
                        <a:xfrm>
                          <a:off x="0" y="0"/>
                          <a:ext cx="3041015" cy="127000"/>
                        </a:xfrm>
                        <a:prstGeom prst="rect">
                          <a:avLst/>
                        </a:prstGeom>
                        <a:solidFill>
                          <a:prstClr val="white"/>
                        </a:solidFill>
                        <a:ln>
                          <a:noFill/>
                        </a:ln>
                      </wps:spPr>
                      <wps:txbx>
                        <w:txbxContent>
                          <w:p w14:paraId="60D1244D" w14:textId="77777777" w:rsidR="007E441B" w:rsidRPr="009970DC" w:rsidRDefault="007E441B" w:rsidP="00632260">
                            <w:pPr>
                              <w:pStyle w:val="Caption"/>
                              <w:spacing w:after="0"/>
                              <w:jc w:val="both"/>
                              <w:rPr>
                                <w:rFonts w:ascii="Times New Roman" w:hAnsi="Times New Roman"/>
                                <w:i w:val="0"/>
                                <w:iCs w:val="0"/>
                                <w:color w:val="000000"/>
                                <w:sz w:val="16"/>
                                <w:szCs w:val="22"/>
                              </w:rPr>
                            </w:pPr>
                            <w:r>
                              <w:rPr>
                                <w:rFonts w:ascii="Times New Roman" w:hAnsi="Times New Roman"/>
                                <w:i w:val="0"/>
                                <w:color w:val="000000"/>
                                <w:sz w:val="16"/>
                              </w:rPr>
                              <w:t>Zdroj: Oznámenia členských štátov</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9EA505A" id="_x0000_t202" coordsize="21600,21600" o:spt="202" path="m,l,21600r21600,l21600,xe">
                <v:stroke joinstyle="miter"/>
                <v:path gradientshapeok="t" o:connecttype="rect"/>
              </v:shapetype>
              <v:shape id="Text Box 44" o:spid="_x0000_s1026" type="#_x0000_t202" style="position:absolute;left:0;text-align:left;margin-left:2.7pt;margin-top:2.55pt;width:239.45pt;height:1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" stroked="f">
                <v:textbox inset="0,0,0,0">
                  <w:txbxContent>
                    <w:p w14:paraId="60D1244D" w14:textId="77777777" w:rsidR="007E441B" w:rsidRPr="009970DC" w:rsidRDefault="007E441B" w:rsidP="00632260">
                      <w:pPr>
                        <w:pStyle w:val="Caption"/>
                        <w:spacing w:after="0"/>
                        <w:jc w:val="both"/>
                        <w:rPr>
                          <w:rFonts w:ascii="Times New Roman" w:hAnsi="Times New Roman"/>
                          <w:i w:val="0"/>
                          <w:iCs w:val="0"/>
                          <w:color w:val="000000"/>
                          <w:sz w:val="16"/>
                          <w:szCs w:val="22"/>
                        </w:rPr>
                      </w:pPr>
                      <w:r>
                        <w:rPr>
                          <w:rFonts w:ascii="Times New Roman" w:hAnsi="Times New Roman"/>
                          <w:i w:val="0"/>
                          <w:color w:val="000000"/>
                          <w:sz w:val="16"/>
                        </w:rPr>
                        <w:t>Zdroj: Oznámenia členských štátov</w:t>
                      </w:r>
                    </w:p>
                  </w:txbxContent>
                </v:textbox>
                <w10:wrap type="square" anchorx="margin"/>
              </v:shape>
            </w:pict>
          </mc:Fallback>
        </mc:AlternateContent>
      </w:r>
    </w:p>
    <w:p w14:paraId="40B80BE0" w14:textId="77777777" w:rsidR="00871AB0" w:rsidRPr="007E441B" w:rsidRDefault="00871AB0" w:rsidP="00632260">
      <w:pPr>
        <w:spacing w:after="120" w:line="240" w:lineRule="auto"/>
        <w:jc w:val="both"/>
        <w:rPr>
          <w:rFonts w:ascii="Times New Roman" w:hAnsi="Times New Roman" w:cs="Times New Roman"/>
          <w:noProof/>
          <w:sz w:val="24"/>
          <w:szCs w:val="24"/>
        </w:rPr>
      </w:pPr>
    </w:p>
    <w:p w14:paraId="2B71FAF8" w14:textId="30123FCD" w:rsidR="004641DD" w:rsidRPr="007E441B" w:rsidRDefault="004641DD" w:rsidP="00632260">
      <w:pPr>
        <w:spacing w:after="120" w:line="240" w:lineRule="auto"/>
        <w:jc w:val="both"/>
        <w:rPr>
          <w:rFonts w:ascii="Times New Roman" w:hAnsi="Times New Roman" w:cs="Times New Roman"/>
          <w:noProof/>
          <w:sz w:val="24"/>
          <w:szCs w:val="24"/>
        </w:rPr>
      </w:pPr>
      <w:r w:rsidRPr="007E441B">
        <w:rPr>
          <w:rFonts w:ascii="Times New Roman" w:hAnsi="Times New Roman"/>
          <w:noProof/>
          <w:sz w:val="24"/>
        </w:rPr>
        <w:t>Okrem všetkých prípadov oznámených podľa článku 6 nariadenia Európska komisia</w:t>
      </w:r>
      <w:r w:rsidR="007E441B" w:rsidRPr="007E441B">
        <w:rPr>
          <w:rFonts w:ascii="Times New Roman" w:hAnsi="Times New Roman"/>
          <w:noProof/>
          <w:sz w:val="24"/>
        </w:rPr>
        <w:t xml:space="preserve"> v </w:t>
      </w:r>
      <w:r w:rsidRPr="007E441B">
        <w:rPr>
          <w:rFonts w:ascii="Times New Roman" w:hAnsi="Times New Roman"/>
          <w:noProof/>
          <w:sz w:val="24"/>
        </w:rPr>
        <w:t>roku 2021 nevyužila článok 7 nariadenia (využila ho však predtým, ako sa uvádza</w:t>
      </w:r>
      <w:r w:rsidR="007E441B" w:rsidRPr="007E441B">
        <w:rPr>
          <w:rFonts w:ascii="Times New Roman" w:hAnsi="Times New Roman"/>
          <w:noProof/>
          <w:sz w:val="24"/>
        </w:rPr>
        <w:t xml:space="preserve"> v </w:t>
      </w:r>
      <w:r w:rsidRPr="007E441B">
        <w:rPr>
          <w:rFonts w:ascii="Times New Roman" w:hAnsi="Times New Roman"/>
          <w:noProof/>
          <w:sz w:val="24"/>
        </w:rPr>
        <w:t xml:space="preserve">prvej správe). Článok 7 umožňuje Európskej komisii preverovať </w:t>
      </w:r>
      <w:r w:rsidRPr="007E441B">
        <w:rPr>
          <w:rFonts w:ascii="Times New Roman" w:hAnsi="Times New Roman"/>
          <w:i/>
          <w:noProof/>
          <w:sz w:val="24"/>
        </w:rPr>
        <w:t>ex offo</w:t>
      </w:r>
      <w:r w:rsidRPr="007E441B">
        <w:rPr>
          <w:rFonts w:ascii="Times New Roman" w:hAnsi="Times New Roman"/>
          <w:noProof/>
          <w:sz w:val="24"/>
        </w:rPr>
        <w:t xml:space="preserve"> investície,</w:t>
      </w:r>
      <w:r w:rsidR="007E441B" w:rsidRPr="007E441B">
        <w:rPr>
          <w:rFonts w:ascii="Times New Roman" w:hAnsi="Times New Roman"/>
          <w:noProof/>
          <w:sz w:val="24"/>
        </w:rPr>
        <w:t xml:space="preserve"> o </w:t>
      </w:r>
      <w:r w:rsidRPr="007E441B">
        <w:rPr>
          <w:rFonts w:ascii="Times New Roman" w:hAnsi="Times New Roman"/>
          <w:noProof/>
          <w:sz w:val="24"/>
        </w:rPr>
        <w:t>ktorých sa dozvie od členského štátu,</w:t>
      </w:r>
      <w:r w:rsidR="007E441B" w:rsidRPr="007E441B">
        <w:rPr>
          <w:rFonts w:ascii="Times New Roman" w:hAnsi="Times New Roman"/>
          <w:noProof/>
          <w:sz w:val="24"/>
        </w:rPr>
        <w:t xml:space="preserve"> a </w:t>
      </w:r>
      <w:r w:rsidRPr="007E441B">
        <w:rPr>
          <w:rFonts w:ascii="Times New Roman" w:hAnsi="Times New Roman"/>
          <w:noProof/>
          <w:sz w:val="24"/>
        </w:rPr>
        <w:t xml:space="preserve">to nezávisle od toho, či tento členský štát disponuje vlastným mechanizmom preverovania. </w:t>
      </w:r>
    </w:p>
    <w:p w14:paraId="4EB5B783" w14:textId="69FCD7F4" w:rsidR="004641DD" w:rsidRPr="007E441B" w:rsidRDefault="004641DD" w:rsidP="00632260">
      <w:pPr>
        <w:tabs>
          <w:tab w:val="left" w:pos="5103"/>
        </w:tabs>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Pokiaľ ide</w:t>
      </w:r>
      <w:r w:rsidR="007E441B" w:rsidRPr="007E441B">
        <w:rPr>
          <w:rFonts w:ascii="Times New Roman" w:hAnsi="Times New Roman"/>
          <w:noProof/>
          <w:sz w:val="24"/>
        </w:rPr>
        <w:t xml:space="preserve"> o </w:t>
      </w:r>
      <w:r w:rsidRPr="007E441B">
        <w:rPr>
          <w:rFonts w:ascii="Times New Roman" w:hAnsi="Times New Roman"/>
          <w:noProof/>
          <w:sz w:val="24"/>
        </w:rPr>
        <w:t>prijímanie stanovísk Komisie podľa článkov 6, 7 alebo 8 nariadenia, takéto stanoviská zostávajú dôverné podľa článku 10 nariadenia.</w:t>
      </w:r>
      <w:r w:rsidR="007E441B" w:rsidRPr="007E441B">
        <w:rPr>
          <w:rFonts w:ascii="Times New Roman" w:hAnsi="Times New Roman"/>
          <w:noProof/>
          <w:sz w:val="24"/>
        </w:rPr>
        <w:t xml:space="preserve"> V </w:t>
      </w:r>
      <w:r w:rsidRPr="007E441B">
        <w:rPr>
          <w:rFonts w:ascii="Times New Roman" w:hAnsi="Times New Roman"/>
          <w:noProof/>
          <w:sz w:val="24"/>
        </w:rPr>
        <w:t>tejto správe preto nemožno uverejniť žiadne informácie</w:t>
      </w:r>
      <w:r w:rsidR="007E441B" w:rsidRPr="007E441B">
        <w:rPr>
          <w:rFonts w:ascii="Times New Roman" w:hAnsi="Times New Roman"/>
          <w:noProof/>
          <w:sz w:val="24"/>
        </w:rPr>
        <w:t xml:space="preserve"> o </w:t>
      </w:r>
      <w:r w:rsidRPr="007E441B">
        <w:rPr>
          <w:rFonts w:ascii="Times New Roman" w:hAnsi="Times New Roman"/>
          <w:noProof/>
          <w:sz w:val="24"/>
        </w:rPr>
        <w:t>jednotlivých stanoviskách.</w:t>
      </w:r>
    </w:p>
    <w:p w14:paraId="2C4DF801" w14:textId="57E229E1" w:rsidR="004641DD" w:rsidRPr="007E441B" w:rsidRDefault="004641DD" w:rsidP="00632260">
      <w:pPr>
        <w:spacing w:before="120" w:after="120" w:line="240" w:lineRule="auto"/>
        <w:jc w:val="both"/>
        <w:rPr>
          <w:i/>
          <w:iCs/>
          <w:noProof/>
          <w:highlight w:val="green"/>
        </w:rPr>
      </w:pPr>
      <w:r w:rsidRPr="007E441B">
        <w:rPr>
          <w:rFonts w:ascii="Times New Roman" w:hAnsi="Times New Roman"/>
          <w:noProof/>
          <w:sz w:val="24"/>
        </w:rPr>
        <w:t>Stanoviská boli vydané</w:t>
      </w:r>
      <w:r w:rsidR="007E441B" w:rsidRPr="007E441B">
        <w:rPr>
          <w:rFonts w:ascii="Times New Roman" w:hAnsi="Times New Roman"/>
          <w:noProof/>
          <w:sz w:val="24"/>
        </w:rPr>
        <w:t xml:space="preserve"> v </w:t>
      </w:r>
      <w:r w:rsidRPr="007E441B">
        <w:rPr>
          <w:rFonts w:ascii="Times New Roman" w:hAnsi="Times New Roman"/>
          <w:noProof/>
          <w:sz w:val="24"/>
        </w:rPr>
        <w:t>menej ako 3 % všetkých oznámených prípadov (čo je rovnaké množstvo, ako bolo uvedené</w:t>
      </w:r>
      <w:r w:rsidR="007E441B" w:rsidRPr="007E441B">
        <w:rPr>
          <w:rFonts w:ascii="Times New Roman" w:hAnsi="Times New Roman"/>
          <w:noProof/>
          <w:sz w:val="24"/>
        </w:rPr>
        <w:t xml:space="preserve"> v </w:t>
      </w:r>
      <w:r w:rsidRPr="007E441B">
        <w:rPr>
          <w:rFonts w:ascii="Times New Roman" w:hAnsi="Times New Roman"/>
          <w:noProof/>
          <w:sz w:val="24"/>
        </w:rPr>
        <w:t>prvej výročnej správe)</w:t>
      </w:r>
      <w:r w:rsidR="007E441B" w:rsidRPr="007E441B">
        <w:rPr>
          <w:rFonts w:ascii="Times New Roman" w:hAnsi="Times New Roman"/>
          <w:noProof/>
          <w:sz w:val="24"/>
        </w:rPr>
        <w:t xml:space="preserve"> a </w:t>
      </w:r>
      <w:r w:rsidRPr="007E441B">
        <w:rPr>
          <w:rFonts w:ascii="Times New Roman" w:hAnsi="Times New Roman"/>
          <w:noProof/>
          <w:sz w:val="24"/>
        </w:rPr>
        <w:t>vydávajú sa len vtedy, ak si to vyžadujú okolnosti prípadu, konkrétnejšie rizikový profil investora</w:t>
      </w:r>
      <w:r w:rsidR="007E441B" w:rsidRPr="007E441B">
        <w:rPr>
          <w:rFonts w:ascii="Times New Roman" w:hAnsi="Times New Roman"/>
          <w:noProof/>
          <w:sz w:val="24"/>
        </w:rPr>
        <w:t xml:space="preserve"> a </w:t>
      </w:r>
      <w:r w:rsidRPr="007E441B">
        <w:rPr>
          <w:rFonts w:ascii="Times New Roman" w:hAnsi="Times New Roman"/>
          <w:noProof/>
          <w:sz w:val="24"/>
        </w:rPr>
        <w:t>kritický význam investičného cieľa. Ak sa vydáva stanovisko, všetky odporúčané zmierňujúce opatrenia sú primerané</w:t>
      </w:r>
      <w:r w:rsidR="007E441B" w:rsidRPr="007E441B">
        <w:rPr>
          <w:rFonts w:ascii="Times New Roman" w:hAnsi="Times New Roman"/>
          <w:noProof/>
          <w:sz w:val="24"/>
        </w:rPr>
        <w:t xml:space="preserve"> a </w:t>
      </w:r>
      <w:r w:rsidRPr="007E441B">
        <w:rPr>
          <w:rFonts w:ascii="Times New Roman" w:hAnsi="Times New Roman"/>
          <w:noProof/>
          <w:sz w:val="24"/>
        </w:rPr>
        <w:t>špecifické vzhľadom na identifikované riziká</w:t>
      </w:r>
      <w:r w:rsidR="007E441B" w:rsidRPr="007E441B">
        <w:rPr>
          <w:rFonts w:ascii="Times New Roman" w:hAnsi="Times New Roman"/>
          <w:noProof/>
          <w:sz w:val="24"/>
        </w:rPr>
        <w:t xml:space="preserve"> a </w:t>
      </w:r>
      <w:r w:rsidRPr="007E441B">
        <w:rPr>
          <w:rFonts w:ascii="Times New Roman" w:hAnsi="Times New Roman"/>
          <w:noProof/>
          <w:sz w:val="24"/>
        </w:rPr>
        <w:t xml:space="preserve">kritickosť. </w:t>
      </w:r>
    </w:p>
    <w:p w14:paraId="463008EB" w14:textId="576A104F" w:rsidR="004641DD" w:rsidRPr="007E441B" w:rsidRDefault="004641DD" w:rsidP="00632260">
      <w:pPr>
        <w:spacing w:before="120" w:after="120" w:line="240" w:lineRule="auto"/>
        <w:jc w:val="both"/>
        <w:rPr>
          <w:rFonts w:ascii="Times New Roman" w:hAnsi="Times New Roman" w:cs="Times New Roman"/>
          <w:iCs/>
          <w:noProof/>
          <w:sz w:val="24"/>
        </w:rPr>
      </w:pPr>
      <w:r w:rsidRPr="007E441B">
        <w:rPr>
          <w:rFonts w:ascii="Times New Roman" w:hAnsi="Times New Roman"/>
          <w:noProof/>
          <w:sz w:val="24"/>
        </w:rPr>
        <w:t>Stanoviská Komisie môžu pozostávať aj</w:t>
      </w:r>
      <w:r w:rsidR="007E441B" w:rsidRPr="007E441B">
        <w:rPr>
          <w:rFonts w:ascii="Times New Roman" w:hAnsi="Times New Roman"/>
          <w:noProof/>
          <w:sz w:val="24"/>
        </w:rPr>
        <w:t xml:space="preserve"> z </w:t>
      </w:r>
      <w:r w:rsidRPr="007E441B">
        <w:rPr>
          <w:rFonts w:ascii="Times New Roman" w:hAnsi="Times New Roman"/>
          <w:noProof/>
          <w:sz w:val="24"/>
        </w:rPr>
        <w:t>výmeny relevantných informácií</w:t>
      </w:r>
      <w:r w:rsidR="007E441B" w:rsidRPr="007E441B">
        <w:rPr>
          <w:rFonts w:ascii="Times New Roman" w:hAnsi="Times New Roman"/>
          <w:noProof/>
          <w:sz w:val="24"/>
        </w:rPr>
        <w:t xml:space="preserve"> s </w:t>
      </w:r>
      <w:r w:rsidRPr="007E441B">
        <w:rPr>
          <w:rFonts w:ascii="Times New Roman" w:hAnsi="Times New Roman"/>
          <w:noProof/>
          <w:sz w:val="24"/>
        </w:rPr>
        <w:t>preverujúcim členským štátom</w:t>
      </w:r>
      <w:r w:rsidR="007E441B" w:rsidRPr="007E441B">
        <w:rPr>
          <w:rFonts w:ascii="Times New Roman" w:hAnsi="Times New Roman"/>
          <w:noProof/>
          <w:sz w:val="24"/>
        </w:rPr>
        <w:t xml:space="preserve"> a </w:t>
      </w:r>
      <w:r w:rsidRPr="007E441B">
        <w:rPr>
          <w:rFonts w:ascii="Times New Roman" w:hAnsi="Times New Roman"/>
          <w:noProof/>
          <w:sz w:val="24"/>
        </w:rPr>
        <w:t>môžu sa</w:t>
      </w:r>
      <w:r w:rsidR="007E441B" w:rsidRPr="007E441B">
        <w:rPr>
          <w:rFonts w:ascii="Times New Roman" w:hAnsi="Times New Roman"/>
          <w:noProof/>
          <w:sz w:val="24"/>
        </w:rPr>
        <w:t xml:space="preserve"> v </w:t>
      </w:r>
      <w:r w:rsidRPr="007E441B">
        <w:rPr>
          <w:rFonts w:ascii="Times New Roman" w:hAnsi="Times New Roman"/>
          <w:noProof/>
          <w:sz w:val="24"/>
        </w:rPr>
        <w:t xml:space="preserve">nich navrhnúť aj možné zmierňujúce opatrenia na riešenie identifikovaných rizík. </w:t>
      </w:r>
    </w:p>
    <w:p w14:paraId="3BD2EEF2" w14:textId="29C57DC7" w:rsidR="004641DD" w:rsidRPr="007E441B" w:rsidRDefault="004641DD" w:rsidP="00632260">
      <w:pPr>
        <w:spacing w:before="120" w:after="120" w:line="240" w:lineRule="auto"/>
        <w:jc w:val="both"/>
        <w:rPr>
          <w:rFonts w:ascii="Times New Roman" w:hAnsi="Times New Roman" w:cs="Times New Roman"/>
          <w:iCs/>
          <w:noProof/>
          <w:sz w:val="24"/>
        </w:rPr>
      </w:pPr>
      <w:r w:rsidRPr="007E441B">
        <w:rPr>
          <w:rFonts w:ascii="Times New Roman" w:hAnsi="Times New Roman"/>
          <w:noProof/>
          <w:sz w:val="24"/>
        </w:rPr>
        <w:t>O transakcii rozhodne</w:t>
      </w:r>
      <w:r w:rsidR="007E441B" w:rsidRPr="007E441B">
        <w:rPr>
          <w:rFonts w:ascii="Times New Roman" w:hAnsi="Times New Roman"/>
          <w:noProof/>
          <w:sz w:val="24"/>
        </w:rPr>
        <w:t xml:space="preserve"> v </w:t>
      </w:r>
      <w:r w:rsidRPr="007E441B">
        <w:rPr>
          <w:rFonts w:ascii="Times New Roman" w:hAnsi="Times New Roman"/>
          <w:noProof/>
          <w:sz w:val="24"/>
        </w:rPr>
        <w:t>konečnom dôsledku členský štát,</w:t>
      </w:r>
      <w:r w:rsidR="007E441B" w:rsidRPr="007E441B">
        <w:rPr>
          <w:rFonts w:ascii="Times New Roman" w:hAnsi="Times New Roman"/>
          <w:noProof/>
          <w:sz w:val="24"/>
        </w:rPr>
        <w:t xml:space="preserve"> v </w:t>
      </w:r>
      <w:r w:rsidRPr="007E441B">
        <w:rPr>
          <w:rFonts w:ascii="Times New Roman" w:hAnsi="Times New Roman"/>
          <w:noProof/>
          <w:sz w:val="24"/>
        </w:rPr>
        <w:t>ktorom sa investícia uskutočňuje, pričom náležite zohľadní každé stanovisko Komisie.</w:t>
      </w:r>
    </w:p>
    <w:p w14:paraId="298D8FB2" w14:textId="77777777" w:rsidR="004F4237" w:rsidRPr="007E441B" w:rsidRDefault="004F4237" w:rsidP="00632260">
      <w:pPr>
        <w:spacing w:before="120" w:after="120" w:line="240" w:lineRule="auto"/>
        <w:jc w:val="both"/>
        <w:rPr>
          <w:rFonts w:ascii="Times New Roman" w:hAnsi="Times New Roman" w:cs="Times New Roman"/>
          <w:iCs/>
          <w:noProof/>
          <w:sz w:val="24"/>
        </w:rPr>
      </w:pPr>
    </w:p>
    <w:p w14:paraId="0A126B41" w14:textId="2B86AA1F" w:rsidR="005A6F5C" w:rsidRPr="007E441B" w:rsidRDefault="00EC252D" w:rsidP="00632260">
      <w:pPr>
        <w:spacing w:before="120" w:after="120" w:line="240" w:lineRule="auto"/>
        <w:jc w:val="both"/>
        <w:rPr>
          <w:rFonts w:ascii="Times New Roman" w:hAnsi="Times New Roman" w:cs="Times New Roman"/>
          <w:b/>
          <w:noProof/>
          <w:sz w:val="24"/>
          <w:szCs w:val="24"/>
          <w:u w:val="single"/>
        </w:rPr>
      </w:pPr>
      <w:r w:rsidRPr="007E441B">
        <w:rPr>
          <w:rFonts w:ascii="Times New Roman" w:hAnsi="Times New Roman"/>
          <w:b/>
          <w:noProof/>
          <w:sz w:val="24"/>
          <w:u w:val="single"/>
        </w:rPr>
        <w:t>Uvedené údaje vedú</w:t>
      </w:r>
      <w:r w:rsidR="007E441B" w:rsidRPr="007E441B">
        <w:rPr>
          <w:rFonts w:ascii="Times New Roman" w:hAnsi="Times New Roman"/>
          <w:b/>
          <w:noProof/>
          <w:sz w:val="24"/>
          <w:u w:val="single"/>
        </w:rPr>
        <w:t xml:space="preserve"> k </w:t>
      </w:r>
      <w:r w:rsidRPr="007E441B">
        <w:rPr>
          <w:rFonts w:ascii="Times New Roman" w:hAnsi="Times New Roman"/>
          <w:b/>
          <w:noProof/>
          <w:sz w:val="24"/>
          <w:u w:val="single"/>
        </w:rPr>
        <w:t>rovnakým kľúčovým záverom ako tie, ku ktorým sa dospelo</w:t>
      </w:r>
      <w:r w:rsidR="007E441B" w:rsidRPr="007E441B">
        <w:rPr>
          <w:rFonts w:ascii="Times New Roman" w:hAnsi="Times New Roman"/>
          <w:b/>
          <w:noProof/>
          <w:sz w:val="24"/>
          <w:u w:val="single"/>
        </w:rPr>
        <w:t xml:space="preserve"> v </w:t>
      </w:r>
      <w:r w:rsidRPr="007E441B">
        <w:rPr>
          <w:rFonts w:ascii="Times New Roman" w:hAnsi="Times New Roman"/>
          <w:b/>
          <w:noProof/>
          <w:sz w:val="24"/>
          <w:u w:val="single"/>
        </w:rPr>
        <w:t>prvej výročnej správe.</w:t>
      </w:r>
    </w:p>
    <w:p w14:paraId="7FA95DDF" w14:textId="21DB2566" w:rsidR="004641DD" w:rsidRPr="007E441B" w:rsidRDefault="004641DD"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V prvom rade, spracúvanie prípadov prostredníctvom mechanizmu spolupráce EÚ naďalej funguje dobre. Zo 414 prípadov oznámených</w:t>
      </w:r>
      <w:r w:rsidR="007E441B" w:rsidRPr="007E441B">
        <w:rPr>
          <w:rFonts w:ascii="Times New Roman" w:hAnsi="Times New Roman"/>
          <w:noProof/>
          <w:sz w:val="24"/>
        </w:rPr>
        <w:t xml:space="preserve"> v </w:t>
      </w:r>
      <w:r w:rsidRPr="007E441B">
        <w:rPr>
          <w:rFonts w:ascii="Times New Roman" w:hAnsi="Times New Roman"/>
          <w:noProof/>
          <w:sz w:val="24"/>
        </w:rPr>
        <w:t>roku 2021 bola prevažná väčšina (86 %) uzavretá vo fáze 1, t. j. veľmi rýchlo, pričom len 11 % oznámených prípadov (v porovnaní so 14 %</w:t>
      </w:r>
      <w:r w:rsidR="007E441B" w:rsidRPr="007E441B">
        <w:rPr>
          <w:rFonts w:ascii="Times New Roman" w:hAnsi="Times New Roman"/>
          <w:noProof/>
          <w:sz w:val="24"/>
        </w:rPr>
        <w:t xml:space="preserve"> v </w:t>
      </w:r>
      <w:r w:rsidRPr="007E441B">
        <w:rPr>
          <w:rFonts w:ascii="Times New Roman" w:hAnsi="Times New Roman"/>
          <w:noProof/>
          <w:sz w:val="24"/>
        </w:rPr>
        <w:t>období, na ktoré sa vzťahuje predchádzajúca správa) bolo uzavretých vo fáze 2,</w:t>
      </w:r>
      <w:r w:rsidR="007E441B" w:rsidRPr="007E441B">
        <w:rPr>
          <w:rFonts w:ascii="Times New Roman" w:hAnsi="Times New Roman"/>
          <w:noProof/>
          <w:sz w:val="24"/>
        </w:rPr>
        <w:t xml:space="preserve"> a </w:t>
      </w:r>
      <w:r w:rsidRPr="007E441B">
        <w:rPr>
          <w:rFonts w:ascii="Times New Roman" w:hAnsi="Times New Roman"/>
          <w:noProof/>
          <w:sz w:val="24"/>
        </w:rPr>
        <w:t>len menej ako</w:t>
      </w:r>
      <w:r w:rsidR="007E441B" w:rsidRPr="007E441B">
        <w:rPr>
          <w:rFonts w:ascii="Times New Roman" w:hAnsi="Times New Roman"/>
          <w:noProof/>
          <w:sz w:val="24"/>
        </w:rPr>
        <w:t xml:space="preserve"> v </w:t>
      </w:r>
      <w:r w:rsidRPr="007E441B">
        <w:rPr>
          <w:rFonts w:ascii="Times New Roman" w:hAnsi="Times New Roman"/>
          <w:noProof/>
          <w:sz w:val="24"/>
        </w:rPr>
        <w:t>3 % prípadov bolo vydané stanovisko Komisie.</w:t>
      </w:r>
    </w:p>
    <w:p w14:paraId="1F833C3C" w14:textId="39114F67" w:rsidR="00535ADD" w:rsidRPr="007E441B" w:rsidRDefault="00535ADD" w:rsidP="00535ADD">
      <w:pPr>
        <w:jc w:val="both"/>
        <w:rPr>
          <w:rFonts w:ascii="Times New Roman" w:hAnsi="Times New Roman" w:cs="Times New Roman"/>
          <w:noProof/>
          <w:sz w:val="24"/>
          <w:szCs w:val="24"/>
        </w:rPr>
      </w:pPr>
      <w:r w:rsidRPr="007E441B">
        <w:rPr>
          <w:rFonts w:ascii="Times New Roman" w:hAnsi="Times New Roman"/>
          <w:noProof/>
          <w:sz w:val="24"/>
        </w:rPr>
        <w:t>Po druhé, existuje trend smerom</w:t>
      </w:r>
      <w:r w:rsidR="007E441B" w:rsidRPr="007E441B">
        <w:rPr>
          <w:rFonts w:ascii="Times New Roman" w:hAnsi="Times New Roman"/>
          <w:noProof/>
          <w:sz w:val="24"/>
        </w:rPr>
        <w:t xml:space="preserve"> k </w:t>
      </w:r>
      <w:r w:rsidRPr="007E441B">
        <w:rPr>
          <w:rFonts w:ascii="Times New Roman" w:hAnsi="Times New Roman"/>
          <w:noProof/>
          <w:sz w:val="24"/>
        </w:rPr>
        <w:t>väčšej diverzifikácii preverovania medzi členskými štátmi. Približne 70 % všetkých žiadostí prijatých</w:t>
      </w:r>
      <w:r w:rsidR="007E441B" w:rsidRPr="007E441B">
        <w:rPr>
          <w:rFonts w:ascii="Times New Roman" w:hAnsi="Times New Roman"/>
          <w:noProof/>
          <w:sz w:val="24"/>
        </w:rPr>
        <w:t xml:space="preserve"> v </w:t>
      </w:r>
      <w:r w:rsidRPr="007E441B">
        <w:rPr>
          <w:rFonts w:ascii="Times New Roman" w:hAnsi="Times New Roman"/>
          <w:noProof/>
          <w:sz w:val="24"/>
        </w:rPr>
        <w:t>roku 2021 skutočne pripadalo na štyri členské štáty, ale</w:t>
      </w:r>
      <w:r w:rsidR="007E441B" w:rsidRPr="007E441B">
        <w:rPr>
          <w:rFonts w:ascii="Times New Roman" w:hAnsi="Times New Roman"/>
          <w:noProof/>
          <w:sz w:val="24"/>
        </w:rPr>
        <w:t xml:space="preserve"> v </w:t>
      </w:r>
      <w:r w:rsidRPr="007E441B">
        <w:rPr>
          <w:rFonts w:ascii="Times New Roman" w:hAnsi="Times New Roman"/>
          <w:noProof/>
          <w:sz w:val="24"/>
        </w:rPr>
        <w:t xml:space="preserve">prvej výročnej správe to bolo 86,5 % prípadov. </w:t>
      </w:r>
    </w:p>
    <w:p w14:paraId="08AA85F8" w14:textId="1D6BF8E3" w:rsidR="004641DD" w:rsidRPr="007E441B" w:rsidRDefault="00535ADD"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 tretie, hoci sa väčšina prípadov posudzuje rýchlo vo fáze 1</w:t>
      </w:r>
      <w:r w:rsidR="007E441B" w:rsidRPr="007E441B">
        <w:rPr>
          <w:rFonts w:ascii="Times New Roman" w:hAnsi="Times New Roman"/>
          <w:noProof/>
          <w:sz w:val="24"/>
        </w:rPr>
        <w:t xml:space="preserve"> v </w:t>
      </w:r>
      <w:r w:rsidRPr="007E441B">
        <w:rPr>
          <w:rFonts w:ascii="Times New Roman" w:hAnsi="Times New Roman"/>
          <w:noProof/>
          <w:sz w:val="24"/>
        </w:rPr>
        <w:t>rámci predpísanej lehoty 15 kalendárnych dní, trvanie prípadov vstupujúcich do fázy 2 vykazuje značné rozdiely kvôli času, ktorý členské štáty potrebujú na poskytnutie odpovedí na žiadosť Komisie</w:t>
      </w:r>
      <w:r w:rsidR="007E441B" w:rsidRPr="007E441B">
        <w:rPr>
          <w:rFonts w:ascii="Times New Roman" w:hAnsi="Times New Roman"/>
          <w:noProof/>
          <w:sz w:val="24"/>
        </w:rPr>
        <w:t xml:space="preserve"> o </w:t>
      </w:r>
      <w:r w:rsidRPr="007E441B">
        <w:rPr>
          <w:rFonts w:ascii="Times New Roman" w:hAnsi="Times New Roman"/>
          <w:noProof/>
          <w:sz w:val="24"/>
        </w:rPr>
        <w:t>dodatočné informácie, pričom pri získavaní požadovaných informácií často závisia od investora.</w:t>
      </w:r>
    </w:p>
    <w:p w14:paraId="10E2291A" w14:textId="67866C00" w:rsidR="004641DD" w:rsidRPr="007E441B" w:rsidRDefault="00535ADD"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 štvrté, hlavné dotknuté odvetvia (IKT, výroba, finančné činnosti</w:t>
      </w:r>
      <w:r w:rsidR="007E441B" w:rsidRPr="007E441B">
        <w:rPr>
          <w:rFonts w:ascii="Times New Roman" w:hAnsi="Times New Roman"/>
          <w:noProof/>
          <w:sz w:val="24"/>
        </w:rPr>
        <w:t xml:space="preserve"> a </w:t>
      </w:r>
      <w:r w:rsidRPr="007E441B">
        <w:rPr>
          <w:rFonts w:ascii="Times New Roman" w:hAnsi="Times New Roman"/>
          <w:noProof/>
          <w:sz w:val="24"/>
        </w:rPr>
        <w:t>veľkoobchod</w:t>
      </w:r>
      <w:r w:rsidR="007E441B" w:rsidRPr="007E441B">
        <w:rPr>
          <w:rFonts w:ascii="Times New Roman" w:hAnsi="Times New Roman"/>
          <w:noProof/>
          <w:sz w:val="24"/>
        </w:rPr>
        <w:t xml:space="preserve"> a </w:t>
      </w:r>
      <w:r w:rsidRPr="007E441B">
        <w:rPr>
          <w:rFonts w:ascii="Times New Roman" w:hAnsi="Times New Roman"/>
          <w:noProof/>
          <w:sz w:val="24"/>
        </w:rPr>
        <w:t>maloobchod)</w:t>
      </w:r>
      <w:r w:rsidR="007E441B" w:rsidRPr="007E441B">
        <w:rPr>
          <w:rFonts w:ascii="Times New Roman" w:hAnsi="Times New Roman"/>
          <w:noProof/>
          <w:sz w:val="24"/>
        </w:rPr>
        <w:t xml:space="preserve"> a </w:t>
      </w:r>
      <w:r w:rsidRPr="007E441B">
        <w:rPr>
          <w:rFonts w:ascii="Times New Roman" w:hAnsi="Times New Roman"/>
          <w:noProof/>
          <w:sz w:val="24"/>
        </w:rPr>
        <w:t>pôvod konečného investora (USA, Spojené kráľovstvo, Čína, Kajmanie ostrovy</w:t>
      </w:r>
      <w:r w:rsidR="007E441B" w:rsidRPr="007E441B">
        <w:rPr>
          <w:rFonts w:ascii="Times New Roman" w:hAnsi="Times New Roman"/>
          <w:noProof/>
          <w:sz w:val="24"/>
        </w:rPr>
        <w:t xml:space="preserve"> a </w:t>
      </w:r>
      <w:r w:rsidRPr="007E441B">
        <w:rPr>
          <w:rFonts w:ascii="Times New Roman" w:hAnsi="Times New Roman"/>
          <w:noProof/>
          <w:sz w:val="24"/>
        </w:rPr>
        <w:t>Kanada), ktorého sa týkajú prípady oznámené podľa nariadenia, vo veľkej miere potvrdzujú investičné trendy uvedené</w:t>
      </w:r>
      <w:r w:rsidR="007E441B" w:rsidRPr="007E441B">
        <w:rPr>
          <w:rFonts w:ascii="Times New Roman" w:hAnsi="Times New Roman"/>
          <w:noProof/>
          <w:sz w:val="24"/>
        </w:rPr>
        <w:t xml:space="preserve"> v </w:t>
      </w:r>
      <w:r w:rsidRPr="007E441B">
        <w:rPr>
          <w:rFonts w:ascii="Times New Roman" w:hAnsi="Times New Roman"/>
          <w:noProof/>
          <w:sz w:val="24"/>
        </w:rPr>
        <w:t>1. kapitole tejto výročnej správy</w:t>
      </w:r>
      <w:r w:rsidR="007E441B" w:rsidRPr="007E441B">
        <w:rPr>
          <w:rFonts w:ascii="Times New Roman" w:hAnsi="Times New Roman"/>
          <w:noProof/>
          <w:sz w:val="24"/>
        </w:rPr>
        <w:t xml:space="preserve"> a </w:t>
      </w:r>
      <w:r w:rsidRPr="007E441B">
        <w:rPr>
          <w:rFonts w:ascii="Times New Roman" w:hAnsi="Times New Roman"/>
          <w:noProof/>
          <w:sz w:val="24"/>
        </w:rPr>
        <w:t>oddiele 1 sprievodného pracovného dokumentu útvarov Komisie, pokiaľ ide</w:t>
      </w:r>
      <w:r w:rsidR="007E441B" w:rsidRPr="007E441B">
        <w:rPr>
          <w:rFonts w:ascii="Times New Roman" w:hAnsi="Times New Roman"/>
          <w:noProof/>
          <w:sz w:val="24"/>
        </w:rPr>
        <w:t xml:space="preserve"> o </w:t>
      </w:r>
      <w:r w:rsidRPr="007E441B">
        <w:rPr>
          <w:rFonts w:ascii="Times New Roman" w:hAnsi="Times New Roman"/>
          <w:noProof/>
          <w:sz w:val="24"/>
        </w:rPr>
        <w:t>hlavné odvetvia</w:t>
      </w:r>
      <w:r w:rsidR="007E441B" w:rsidRPr="007E441B">
        <w:rPr>
          <w:rFonts w:ascii="Times New Roman" w:hAnsi="Times New Roman"/>
          <w:noProof/>
          <w:sz w:val="24"/>
        </w:rPr>
        <w:t xml:space="preserve"> a </w:t>
      </w:r>
      <w:r w:rsidRPr="007E441B">
        <w:rPr>
          <w:rFonts w:ascii="Times New Roman" w:hAnsi="Times New Roman"/>
          <w:noProof/>
          <w:sz w:val="24"/>
        </w:rPr>
        <w:t>pôvod konečného investora.</w:t>
      </w:r>
    </w:p>
    <w:p w14:paraId="4F4F9227" w14:textId="7FC86359" w:rsidR="004641DD" w:rsidRPr="007E441B" w:rsidRDefault="004641DD"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 piate, značný počet prípadov oznámených členskými štátmi sa týkal jedného alebo viacerých faktorov na zváženie uvedených</w:t>
      </w:r>
      <w:r w:rsidR="007E441B" w:rsidRPr="007E441B">
        <w:rPr>
          <w:rFonts w:ascii="Times New Roman" w:hAnsi="Times New Roman"/>
          <w:noProof/>
          <w:sz w:val="24"/>
        </w:rPr>
        <w:t xml:space="preserve"> v </w:t>
      </w:r>
      <w:r w:rsidRPr="007E441B">
        <w:rPr>
          <w:rFonts w:ascii="Times New Roman" w:hAnsi="Times New Roman"/>
          <w:noProof/>
          <w:sz w:val="24"/>
        </w:rPr>
        <w:t>článku 4 nariadenia. Patrí sem najmä kritická infraštruktúra, technológie</w:t>
      </w:r>
      <w:r w:rsidR="007E441B" w:rsidRPr="007E441B">
        <w:rPr>
          <w:rFonts w:ascii="Times New Roman" w:hAnsi="Times New Roman"/>
          <w:noProof/>
          <w:sz w:val="24"/>
        </w:rPr>
        <w:t xml:space="preserve"> a </w:t>
      </w:r>
      <w:r w:rsidRPr="007E441B">
        <w:rPr>
          <w:rFonts w:ascii="Times New Roman" w:hAnsi="Times New Roman"/>
          <w:noProof/>
          <w:sz w:val="24"/>
        </w:rPr>
        <w:t>položky</w:t>
      </w:r>
      <w:r w:rsidR="007E441B" w:rsidRPr="007E441B">
        <w:rPr>
          <w:rFonts w:ascii="Times New Roman" w:hAnsi="Times New Roman"/>
          <w:noProof/>
          <w:sz w:val="24"/>
        </w:rPr>
        <w:t xml:space="preserve"> s </w:t>
      </w:r>
      <w:r w:rsidRPr="007E441B">
        <w:rPr>
          <w:rFonts w:ascii="Times New Roman" w:hAnsi="Times New Roman"/>
          <w:noProof/>
          <w:sz w:val="24"/>
        </w:rPr>
        <w:t>dvojakým použitím</w:t>
      </w:r>
      <w:r w:rsidR="007E441B" w:rsidRPr="007E441B">
        <w:rPr>
          <w:rFonts w:ascii="Times New Roman" w:hAnsi="Times New Roman"/>
          <w:noProof/>
          <w:sz w:val="24"/>
        </w:rPr>
        <w:t xml:space="preserve"> a </w:t>
      </w:r>
      <w:r w:rsidRPr="007E441B">
        <w:rPr>
          <w:rFonts w:ascii="Times New Roman" w:hAnsi="Times New Roman"/>
          <w:noProof/>
          <w:sz w:val="24"/>
        </w:rPr>
        <w:t>prístup</w:t>
      </w:r>
      <w:r w:rsidR="007E441B" w:rsidRPr="007E441B">
        <w:rPr>
          <w:rFonts w:ascii="Times New Roman" w:hAnsi="Times New Roman"/>
          <w:noProof/>
          <w:sz w:val="24"/>
        </w:rPr>
        <w:t xml:space="preserve"> k </w:t>
      </w:r>
      <w:r w:rsidRPr="007E441B">
        <w:rPr>
          <w:rFonts w:ascii="Times New Roman" w:hAnsi="Times New Roman"/>
          <w:noProof/>
          <w:sz w:val="24"/>
        </w:rPr>
        <w:t>citlivým informáciám, ako aj možné vlastníctvo zahraničného investora vládou alebo jeho kontrolu alebo vplyv nad ním zo strany vlády.</w:t>
      </w:r>
    </w:p>
    <w:p w14:paraId="3AA6B57D" w14:textId="77777777" w:rsidR="00535ADD" w:rsidRPr="007E441B" w:rsidRDefault="00535ADD" w:rsidP="00632260">
      <w:pPr>
        <w:spacing w:before="120" w:after="120" w:line="240" w:lineRule="auto"/>
        <w:jc w:val="both"/>
        <w:rPr>
          <w:rFonts w:ascii="Times New Roman" w:hAnsi="Times New Roman" w:cs="Times New Roman"/>
          <w:noProof/>
          <w:sz w:val="24"/>
          <w:szCs w:val="24"/>
          <w:highlight w:val="green"/>
        </w:rPr>
      </w:pPr>
    </w:p>
    <w:p w14:paraId="288D55A7" w14:textId="00EE7AFC" w:rsidR="00A8732D" w:rsidRPr="007E441B" w:rsidRDefault="00C56D8F" w:rsidP="00632260">
      <w:pPr>
        <w:pStyle w:val="Heading2"/>
        <w:spacing w:line="240" w:lineRule="auto"/>
        <w:rPr>
          <w:noProof/>
        </w:rPr>
      </w:pPr>
      <w:r w:rsidRPr="007E441B">
        <w:rPr>
          <w:noProof/>
        </w:rPr>
        <w:t>Priame zahraničné investície</w:t>
      </w:r>
      <w:r w:rsidR="007E441B" w:rsidRPr="007E441B">
        <w:rPr>
          <w:noProof/>
        </w:rPr>
        <w:t xml:space="preserve"> z </w:t>
      </w:r>
      <w:r w:rsidRPr="007E441B">
        <w:rPr>
          <w:noProof/>
        </w:rPr>
        <w:t>Ruska</w:t>
      </w:r>
      <w:r w:rsidR="007E441B" w:rsidRPr="007E441B">
        <w:rPr>
          <w:noProof/>
        </w:rPr>
        <w:t xml:space="preserve"> a </w:t>
      </w:r>
      <w:r w:rsidRPr="007E441B">
        <w:rPr>
          <w:noProof/>
        </w:rPr>
        <w:t>Bieloruska</w:t>
      </w:r>
      <w:r w:rsidR="007E441B" w:rsidRPr="007E441B">
        <w:rPr>
          <w:noProof/>
        </w:rPr>
        <w:t xml:space="preserve"> v </w:t>
      </w:r>
      <w:r w:rsidRPr="007E441B">
        <w:rPr>
          <w:noProof/>
        </w:rPr>
        <w:t>súvislosti</w:t>
      </w:r>
      <w:r w:rsidR="007E441B" w:rsidRPr="007E441B">
        <w:rPr>
          <w:noProof/>
        </w:rPr>
        <w:t xml:space="preserve"> s </w:t>
      </w:r>
      <w:r w:rsidRPr="007E441B">
        <w:rPr>
          <w:noProof/>
        </w:rPr>
        <w:t xml:space="preserve">inváziou Ruska na Ukrajinu </w:t>
      </w:r>
    </w:p>
    <w:p w14:paraId="511BA7F5" w14:textId="37006230" w:rsidR="00A8732D" w:rsidRPr="007E441B" w:rsidRDefault="00A8732D" w:rsidP="00632260">
      <w:pPr>
        <w:spacing w:line="240" w:lineRule="auto"/>
        <w:jc w:val="both"/>
        <w:rPr>
          <w:rFonts w:ascii="Times New Roman" w:hAnsi="Times New Roman" w:cs="Times New Roman"/>
          <w:noProof/>
          <w:sz w:val="24"/>
          <w:szCs w:val="24"/>
        </w:rPr>
      </w:pPr>
      <w:r w:rsidRPr="007E441B">
        <w:rPr>
          <w:rFonts w:ascii="Times New Roman" w:hAnsi="Times New Roman"/>
          <w:noProof/>
          <w:sz w:val="24"/>
        </w:rPr>
        <w:t>V reakcii na nevyprovokovanú</w:t>
      </w:r>
      <w:r w:rsidR="007E441B" w:rsidRPr="007E441B">
        <w:rPr>
          <w:rFonts w:ascii="Times New Roman" w:hAnsi="Times New Roman"/>
          <w:noProof/>
          <w:sz w:val="24"/>
        </w:rPr>
        <w:t xml:space="preserve"> a </w:t>
      </w:r>
      <w:r w:rsidRPr="007E441B">
        <w:rPr>
          <w:rFonts w:ascii="Times New Roman" w:hAnsi="Times New Roman"/>
          <w:noProof/>
          <w:sz w:val="24"/>
        </w:rPr>
        <w:t>neodôvodnenú vojenskú agresiu Ruska voči Ukrajine, ktorú Bielorusko aktívne podporuje, EÚ</w:t>
      </w:r>
      <w:r w:rsidR="007E441B" w:rsidRPr="007E441B">
        <w:rPr>
          <w:rFonts w:ascii="Times New Roman" w:hAnsi="Times New Roman"/>
          <w:noProof/>
          <w:sz w:val="24"/>
        </w:rPr>
        <w:t xml:space="preserve"> v </w:t>
      </w:r>
      <w:r w:rsidRPr="007E441B">
        <w:rPr>
          <w:rFonts w:ascii="Times New Roman" w:hAnsi="Times New Roman"/>
          <w:noProof/>
          <w:sz w:val="24"/>
        </w:rPr>
        <w:t>roku 2022 prijíma rozsiahle</w:t>
      </w:r>
      <w:r w:rsidR="007E441B" w:rsidRPr="007E441B">
        <w:rPr>
          <w:rFonts w:ascii="Times New Roman" w:hAnsi="Times New Roman"/>
          <w:noProof/>
          <w:sz w:val="24"/>
        </w:rPr>
        <w:t xml:space="preserve"> a </w:t>
      </w:r>
      <w:r w:rsidRPr="007E441B">
        <w:rPr>
          <w:rFonts w:ascii="Times New Roman" w:hAnsi="Times New Roman"/>
          <w:noProof/>
          <w:sz w:val="24"/>
        </w:rPr>
        <w:t>komplexné balíky reštriktívnych opatrení (ďalej len „sankcie“) voči Rusku aj Bielorusku. Sankcie voči Rusku sú navrhnuté tak, aby oslabili schopnosť Kremľa financovať vojnu, vytvorili jasné hospodárske</w:t>
      </w:r>
      <w:r w:rsidR="007E441B" w:rsidRPr="007E441B">
        <w:rPr>
          <w:rFonts w:ascii="Times New Roman" w:hAnsi="Times New Roman"/>
          <w:noProof/>
          <w:sz w:val="24"/>
        </w:rPr>
        <w:t xml:space="preserve"> a </w:t>
      </w:r>
      <w:r w:rsidRPr="007E441B">
        <w:rPr>
          <w:rFonts w:ascii="Times New Roman" w:hAnsi="Times New Roman"/>
          <w:noProof/>
          <w:sz w:val="24"/>
        </w:rPr>
        <w:t>politické náklady pre tých, ktorí sú</w:t>
      </w:r>
      <w:r w:rsidR="007E441B" w:rsidRPr="007E441B">
        <w:rPr>
          <w:rFonts w:ascii="Times New Roman" w:hAnsi="Times New Roman"/>
          <w:noProof/>
          <w:sz w:val="24"/>
        </w:rPr>
        <w:t xml:space="preserve"> v </w:t>
      </w:r>
      <w:r w:rsidRPr="007E441B">
        <w:rPr>
          <w:rFonts w:ascii="Times New Roman" w:hAnsi="Times New Roman"/>
          <w:noProof/>
          <w:sz w:val="24"/>
        </w:rPr>
        <w:t>ruskej politickej elite zodpovední za inváziu,</w:t>
      </w:r>
      <w:r w:rsidR="007E441B" w:rsidRPr="007E441B">
        <w:rPr>
          <w:rFonts w:ascii="Times New Roman" w:hAnsi="Times New Roman"/>
          <w:noProof/>
          <w:sz w:val="24"/>
        </w:rPr>
        <w:t xml:space="preserve"> a </w:t>
      </w:r>
      <w:r w:rsidRPr="007E441B">
        <w:rPr>
          <w:rFonts w:ascii="Times New Roman" w:hAnsi="Times New Roman"/>
          <w:noProof/>
          <w:sz w:val="24"/>
        </w:rPr>
        <w:t>zredukovali ich hospodársku základňu. Vzhľadom na materiálnu podporu ruskej invázie zo strany Bieloruska prijala EÚ ďalšie sankcie voči Bielorusku. Sankcie voči Bielorusku sú navrhnuté tak, aby mali podobný vplyv ako sankcie voči Rusku.</w:t>
      </w:r>
    </w:p>
    <w:p w14:paraId="2D073600" w14:textId="21768D65" w:rsidR="00A8732D" w:rsidRPr="007E441B" w:rsidRDefault="00A8732D" w:rsidP="00632260">
      <w:pPr>
        <w:spacing w:line="240" w:lineRule="auto"/>
        <w:jc w:val="both"/>
        <w:rPr>
          <w:rFonts w:ascii="Times New Roman" w:hAnsi="Times New Roman" w:cs="Times New Roman"/>
          <w:noProof/>
          <w:sz w:val="24"/>
          <w:szCs w:val="24"/>
        </w:rPr>
      </w:pPr>
      <w:r w:rsidRPr="007E441B">
        <w:rPr>
          <w:rFonts w:ascii="Times New Roman" w:hAnsi="Times New Roman"/>
          <w:noProof/>
          <w:sz w:val="24"/>
        </w:rPr>
        <w:t>Hoci preverovanie priamych zahraničných investícií</w:t>
      </w:r>
      <w:r w:rsidR="007E441B" w:rsidRPr="007E441B">
        <w:rPr>
          <w:rFonts w:ascii="Times New Roman" w:hAnsi="Times New Roman"/>
          <w:noProof/>
          <w:sz w:val="24"/>
        </w:rPr>
        <w:t xml:space="preserve"> a </w:t>
      </w:r>
      <w:r w:rsidRPr="007E441B">
        <w:rPr>
          <w:rFonts w:ascii="Times New Roman" w:hAnsi="Times New Roman"/>
          <w:noProof/>
          <w:sz w:val="24"/>
        </w:rPr>
        <w:t>sankcie sú odlišné právne nástroje,</w:t>
      </w:r>
      <w:r w:rsidR="007E441B" w:rsidRPr="007E441B">
        <w:rPr>
          <w:rFonts w:ascii="Times New Roman" w:hAnsi="Times New Roman"/>
          <w:noProof/>
          <w:sz w:val="24"/>
        </w:rPr>
        <w:t xml:space="preserve"> z </w:t>
      </w:r>
      <w:r w:rsidRPr="007E441B">
        <w:rPr>
          <w:rFonts w:ascii="Times New Roman" w:hAnsi="Times New Roman"/>
          <w:noProof/>
          <w:sz w:val="24"/>
        </w:rPr>
        <w:t>ktorých každý má iný účel</w:t>
      </w:r>
      <w:r w:rsidR="007E441B" w:rsidRPr="007E441B">
        <w:rPr>
          <w:rFonts w:ascii="Times New Roman" w:hAnsi="Times New Roman"/>
          <w:noProof/>
          <w:sz w:val="24"/>
        </w:rPr>
        <w:t xml:space="preserve"> a </w:t>
      </w:r>
      <w:r w:rsidRPr="007E441B">
        <w:rPr>
          <w:rFonts w:ascii="Times New Roman" w:hAnsi="Times New Roman"/>
          <w:noProof/>
          <w:sz w:val="24"/>
        </w:rPr>
        <w:t>odlišný spôsob fungovania, vojenská agresia Ruska voči Ukrajine si vyžaduje väčšiu ostražitosť voči ruským</w:t>
      </w:r>
      <w:r w:rsidR="007E441B" w:rsidRPr="007E441B">
        <w:rPr>
          <w:rFonts w:ascii="Times New Roman" w:hAnsi="Times New Roman"/>
          <w:noProof/>
          <w:sz w:val="24"/>
        </w:rPr>
        <w:t xml:space="preserve"> a </w:t>
      </w:r>
      <w:r w:rsidRPr="007E441B">
        <w:rPr>
          <w:rFonts w:ascii="Times New Roman" w:hAnsi="Times New Roman"/>
          <w:noProof/>
          <w:sz w:val="24"/>
        </w:rPr>
        <w:t>bieloruským priamym investíciám</w:t>
      </w:r>
      <w:r w:rsidR="007E441B" w:rsidRPr="007E441B">
        <w:rPr>
          <w:rFonts w:ascii="Times New Roman" w:hAnsi="Times New Roman"/>
          <w:noProof/>
          <w:sz w:val="24"/>
        </w:rPr>
        <w:t xml:space="preserve"> v </w:t>
      </w:r>
      <w:r w:rsidRPr="007E441B">
        <w:rPr>
          <w:rFonts w:ascii="Times New Roman" w:hAnsi="Times New Roman"/>
          <w:noProof/>
          <w:sz w:val="24"/>
        </w:rPr>
        <w:t>rámci Únie. Ide nad rámec investícií osôb alebo subjektov, na ktoré sa sankcie vzťahujú. Za súčasných okolností existuje zvýšené riziko, že akákoľvek investícia do kritických aktív</w:t>
      </w:r>
      <w:r w:rsidR="007E441B" w:rsidRPr="007E441B">
        <w:rPr>
          <w:rFonts w:ascii="Times New Roman" w:hAnsi="Times New Roman"/>
          <w:noProof/>
          <w:sz w:val="24"/>
        </w:rPr>
        <w:t xml:space="preserve"> v </w:t>
      </w:r>
      <w:r w:rsidRPr="007E441B">
        <w:rPr>
          <w:rFonts w:ascii="Times New Roman" w:hAnsi="Times New Roman"/>
          <w:noProof/>
          <w:sz w:val="24"/>
        </w:rPr>
        <w:t>EÚ, ktorá je priamo alebo nepriamo spojená</w:t>
      </w:r>
      <w:r w:rsidR="007E441B" w:rsidRPr="007E441B">
        <w:rPr>
          <w:rFonts w:ascii="Times New Roman" w:hAnsi="Times New Roman"/>
          <w:noProof/>
          <w:sz w:val="24"/>
        </w:rPr>
        <w:t xml:space="preserve"> s </w:t>
      </w:r>
      <w:r w:rsidRPr="007E441B">
        <w:rPr>
          <w:rFonts w:ascii="Times New Roman" w:hAnsi="Times New Roman"/>
          <w:noProof/>
          <w:sz w:val="24"/>
        </w:rPr>
        <w:t>osobou alebo subjektom, ktoré sú spojené</w:t>
      </w:r>
      <w:r w:rsidR="007E441B" w:rsidRPr="007E441B">
        <w:rPr>
          <w:rFonts w:ascii="Times New Roman" w:hAnsi="Times New Roman"/>
          <w:noProof/>
          <w:sz w:val="24"/>
        </w:rPr>
        <w:t xml:space="preserve"> s </w:t>
      </w:r>
      <w:r w:rsidRPr="007E441B">
        <w:rPr>
          <w:rFonts w:ascii="Times New Roman" w:hAnsi="Times New Roman"/>
          <w:noProof/>
          <w:sz w:val="24"/>
        </w:rPr>
        <w:t>ruskou alebo bieloruskou vládou, resp. ktoré tieto vlády majú pod kontrolou alebo nad ktoré tieto vlády majú vplyv, môže predstavovať hrozbu pre bezpečnosť alebo verejný poriadok</w:t>
      </w:r>
      <w:r w:rsidR="007E441B" w:rsidRPr="007E441B">
        <w:rPr>
          <w:rFonts w:ascii="Times New Roman" w:hAnsi="Times New Roman"/>
          <w:noProof/>
          <w:sz w:val="24"/>
        </w:rPr>
        <w:t xml:space="preserve"> v </w:t>
      </w:r>
      <w:r w:rsidRPr="007E441B">
        <w:rPr>
          <w:rFonts w:ascii="Times New Roman" w:hAnsi="Times New Roman"/>
          <w:noProof/>
          <w:sz w:val="24"/>
        </w:rPr>
        <w:t>členských štátoch.</w:t>
      </w:r>
    </w:p>
    <w:p w14:paraId="08AF693B" w14:textId="6FE6C993" w:rsidR="00A8732D" w:rsidRPr="007E441B" w:rsidRDefault="00A8732D" w:rsidP="00632260">
      <w:pPr>
        <w:spacing w:line="240" w:lineRule="auto"/>
        <w:jc w:val="both"/>
        <w:rPr>
          <w:rFonts w:ascii="Times New Roman" w:hAnsi="Times New Roman" w:cs="Times New Roman"/>
          <w:iCs/>
          <w:noProof/>
          <w:sz w:val="24"/>
          <w:szCs w:val="24"/>
        </w:rPr>
      </w:pPr>
      <w:r w:rsidRPr="007E441B">
        <w:rPr>
          <w:rFonts w:ascii="Times New Roman" w:hAnsi="Times New Roman"/>
          <w:noProof/>
          <w:sz w:val="24"/>
        </w:rPr>
        <w:t>V tejto súvislosti Európska komisia</w:t>
      </w:r>
      <w:r w:rsidR="007E441B" w:rsidRPr="007E441B">
        <w:rPr>
          <w:rFonts w:ascii="Times New Roman" w:hAnsi="Times New Roman"/>
          <w:noProof/>
          <w:sz w:val="24"/>
        </w:rPr>
        <w:t xml:space="preserve"> v </w:t>
      </w:r>
      <w:r w:rsidRPr="007E441B">
        <w:rPr>
          <w:rFonts w:ascii="Times New Roman" w:hAnsi="Times New Roman"/>
          <w:noProof/>
          <w:sz w:val="24"/>
        </w:rPr>
        <w:t>apríli 2022 prijala usmernenie</w:t>
      </w:r>
      <w:r w:rsidRPr="007E441B">
        <w:rPr>
          <w:rStyle w:val="FootnoteReference"/>
          <w:rFonts w:ascii="Times New Roman" w:hAnsi="Times New Roman" w:cs="Times New Roman"/>
          <w:noProof/>
          <w:sz w:val="24"/>
          <w:szCs w:val="24"/>
        </w:rPr>
        <w:footnoteReference w:id="37"/>
      </w:r>
      <w:r w:rsidRPr="007E441B">
        <w:rPr>
          <w:rFonts w:ascii="Times New Roman" w:hAnsi="Times New Roman"/>
          <w:noProof/>
          <w:sz w:val="24"/>
        </w:rPr>
        <w:t xml:space="preserve"> pre členské štáty</w:t>
      </w:r>
      <w:r w:rsidR="007E441B" w:rsidRPr="007E441B">
        <w:rPr>
          <w:rFonts w:ascii="Times New Roman" w:hAnsi="Times New Roman"/>
          <w:noProof/>
          <w:sz w:val="24"/>
        </w:rPr>
        <w:t xml:space="preserve"> o </w:t>
      </w:r>
      <w:r w:rsidRPr="007E441B">
        <w:rPr>
          <w:rFonts w:ascii="Times New Roman" w:hAnsi="Times New Roman"/>
          <w:noProof/>
          <w:sz w:val="24"/>
        </w:rPr>
        <w:t>priamych zahraničných investíciách</w:t>
      </w:r>
      <w:r w:rsidR="007E441B" w:rsidRPr="007E441B">
        <w:rPr>
          <w:rFonts w:ascii="Times New Roman" w:hAnsi="Times New Roman"/>
          <w:noProof/>
          <w:sz w:val="24"/>
        </w:rPr>
        <w:t xml:space="preserve"> z </w:t>
      </w:r>
      <w:r w:rsidRPr="007E441B">
        <w:rPr>
          <w:rFonts w:ascii="Times New Roman" w:hAnsi="Times New Roman"/>
          <w:noProof/>
          <w:sz w:val="24"/>
        </w:rPr>
        <w:t>Ruska</w:t>
      </w:r>
      <w:r w:rsidR="007E441B" w:rsidRPr="007E441B">
        <w:rPr>
          <w:rFonts w:ascii="Times New Roman" w:hAnsi="Times New Roman"/>
          <w:noProof/>
          <w:sz w:val="24"/>
        </w:rPr>
        <w:t xml:space="preserve"> a </w:t>
      </w:r>
      <w:r w:rsidRPr="007E441B">
        <w:rPr>
          <w:rFonts w:ascii="Times New Roman" w:hAnsi="Times New Roman"/>
          <w:noProof/>
          <w:sz w:val="24"/>
        </w:rPr>
        <w:t>Bieloruska</w:t>
      </w:r>
      <w:r w:rsidR="007E441B" w:rsidRPr="007E441B">
        <w:rPr>
          <w:rFonts w:ascii="Times New Roman" w:hAnsi="Times New Roman"/>
          <w:noProof/>
          <w:sz w:val="24"/>
        </w:rPr>
        <w:t xml:space="preserve"> s </w:t>
      </w:r>
      <w:r w:rsidRPr="007E441B">
        <w:rPr>
          <w:rFonts w:ascii="Times New Roman" w:hAnsi="Times New Roman"/>
          <w:noProof/>
          <w:sz w:val="24"/>
        </w:rPr>
        <w:t>cieľom zabezpečiť, aby sa osobitná pozornosť venovala investíciám do kritických aktív EÚ od subjektov alebo osôb, ktoré sú nejakým spôsobom prepojené</w:t>
      </w:r>
      <w:r w:rsidR="007E441B" w:rsidRPr="007E441B">
        <w:rPr>
          <w:rFonts w:ascii="Times New Roman" w:hAnsi="Times New Roman"/>
          <w:noProof/>
          <w:sz w:val="24"/>
        </w:rPr>
        <w:t xml:space="preserve"> s </w:t>
      </w:r>
      <w:r w:rsidRPr="007E441B">
        <w:rPr>
          <w:rFonts w:ascii="Times New Roman" w:hAnsi="Times New Roman"/>
          <w:noProof/>
          <w:sz w:val="24"/>
        </w:rPr>
        <w:t>ruskou alebo bieloruskou vládou.</w:t>
      </w:r>
    </w:p>
    <w:p w14:paraId="4FD9B701" w14:textId="530C1753" w:rsidR="00A8732D" w:rsidRPr="007E441B" w:rsidRDefault="00A8732D" w:rsidP="00632260">
      <w:pPr>
        <w:pStyle w:val="Heading2"/>
        <w:spacing w:line="240" w:lineRule="auto"/>
        <w:rPr>
          <w:noProof/>
        </w:rPr>
      </w:pPr>
      <w:r w:rsidRPr="007E441B">
        <w:rPr>
          <w:noProof/>
        </w:rPr>
        <w:t>Kroky prijaté po 1. januári 2021</w:t>
      </w:r>
      <w:r w:rsidR="007E441B" w:rsidRPr="007E441B">
        <w:rPr>
          <w:noProof/>
        </w:rPr>
        <w:t xml:space="preserve"> a </w:t>
      </w:r>
      <w:r w:rsidRPr="007E441B">
        <w:rPr>
          <w:noProof/>
        </w:rPr>
        <w:t>budúce vyhliadky</w:t>
      </w:r>
    </w:p>
    <w:p w14:paraId="6E4E7342" w14:textId="5FBFA535" w:rsidR="00624FA0" w:rsidRPr="007E441B" w:rsidRDefault="00624FA0"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Táto správa je vyjadrením konsolidácie európskej politiky, ktorá je nevyhnutná pre ochranu bezpečnosti</w:t>
      </w:r>
      <w:r w:rsidR="007E441B" w:rsidRPr="007E441B">
        <w:rPr>
          <w:rFonts w:ascii="Times New Roman" w:hAnsi="Times New Roman"/>
          <w:noProof/>
          <w:sz w:val="24"/>
        </w:rPr>
        <w:t xml:space="preserve"> a </w:t>
      </w:r>
      <w:r w:rsidRPr="007E441B">
        <w:rPr>
          <w:rFonts w:ascii="Times New Roman" w:hAnsi="Times New Roman"/>
          <w:noProof/>
          <w:sz w:val="24"/>
        </w:rPr>
        <w:t>verejného poriadku</w:t>
      </w:r>
      <w:r w:rsidR="007E441B" w:rsidRPr="007E441B">
        <w:rPr>
          <w:rFonts w:ascii="Times New Roman" w:hAnsi="Times New Roman"/>
          <w:noProof/>
          <w:sz w:val="24"/>
        </w:rPr>
        <w:t xml:space="preserve"> v </w:t>
      </w:r>
      <w:r w:rsidRPr="007E441B">
        <w:rPr>
          <w:rFonts w:ascii="Times New Roman" w:hAnsi="Times New Roman"/>
          <w:noProof/>
          <w:sz w:val="24"/>
        </w:rPr>
        <w:t>Únii. Vytvorenie mechanizmov preverovania PZI na úrovni členských štátov</w:t>
      </w:r>
      <w:r w:rsidR="007E441B" w:rsidRPr="007E441B">
        <w:rPr>
          <w:rFonts w:ascii="Times New Roman" w:hAnsi="Times New Roman"/>
          <w:noProof/>
          <w:sz w:val="24"/>
        </w:rPr>
        <w:t xml:space="preserve"> a </w:t>
      </w:r>
      <w:r w:rsidRPr="007E441B">
        <w:rPr>
          <w:rFonts w:ascii="Times New Roman" w:hAnsi="Times New Roman"/>
          <w:noProof/>
          <w:sz w:val="24"/>
        </w:rPr>
        <w:t>ich neustále zlepšovanie, ďalší rozvoj mechanizmu spolupráce EÚ počas roka 2021, ako aj spolupráca</w:t>
      </w:r>
      <w:r w:rsidR="007E441B" w:rsidRPr="007E441B">
        <w:rPr>
          <w:rFonts w:ascii="Times New Roman" w:hAnsi="Times New Roman"/>
          <w:noProof/>
          <w:sz w:val="24"/>
        </w:rPr>
        <w:t xml:space="preserve"> s </w:t>
      </w:r>
      <w:r w:rsidRPr="007E441B">
        <w:rPr>
          <w:rFonts w:ascii="Times New Roman" w:hAnsi="Times New Roman"/>
          <w:noProof/>
          <w:sz w:val="24"/>
        </w:rPr>
        <w:t>partnerskými krajinami vrátane Spojených štátov amerických prostredníctvom pracovnej skupiny pre PZI</w:t>
      </w:r>
      <w:r w:rsidR="007E441B" w:rsidRPr="007E441B">
        <w:rPr>
          <w:rFonts w:ascii="Times New Roman" w:hAnsi="Times New Roman"/>
          <w:noProof/>
          <w:sz w:val="24"/>
        </w:rPr>
        <w:t xml:space="preserve"> v </w:t>
      </w:r>
      <w:r w:rsidRPr="007E441B">
        <w:rPr>
          <w:rFonts w:ascii="Times New Roman" w:hAnsi="Times New Roman"/>
          <w:noProof/>
          <w:sz w:val="24"/>
        </w:rPr>
        <w:t>rámci Rady EÚ – USA pre obchod</w:t>
      </w:r>
      <w:r w:rsidR="007E441B" w:rsidRPr="007E441B">
        <w:rPr>
          <w:rFonts w:ascii="Times New Roman" w:hAnsi="Times New Roman"/>
          <w:noProof/>
          <w:sz w:val="24"/>
        </w:rPr>
        <w:t xml:space="preserve"> a </w:t>
      </w:r>
      <w:r w:rsidRPr="007E441B">
        <w:rPr>
          <w:rFonts w:ascii="Times New Roman" w:hAnsi="Times New Roman"/>
          <w:noProof/>
          <w:sz w:val="24"/>
        </w:rPr>
        <w:t>technológie umožnili EÚ konsolidovať základy systému preverovania EÚ. Európska únia – ktorá má za sebou</w:t>
      </w:r>
      <w:r w:rsidR="007E441B" w:rsidRPr="007E441B">
        <w:rPr>
          <w:rFonts w:ascii="Times New Roman" w:hAnsi="Times New Roman"/>
          <w:noProof/>
          <w:sz w:val="24"/>
        </w:rPr>
        <w:t xml:space="preserve"> o </w:t>
      </w:r>
      <w:r w:rsidRPr="007E441B">
        <w:rPr>
          <w:rFonts w:ascii="Times New Roman" w:hAnsi="Times New Roman"/>
          <w:noProof/>
          <w:sz w:val="24"/>
        </w:rPr>
        <w:t>niečo viac ako jeden</w:t>
      </w:r>
      <w:r w:rsidR="007E441B" w:rsidRPr="007E441B">
        <w:rPr>
          <w:rFonts w:ascii="Times New Roman" w:hAnsi="Times New Roman"/>
          <w:noProof/>
          <w:sz w:val="24"/>
        </w:rPr>
        <w:t xml:space="preserve"> a </w:t>
      </w:r>
      <w:r w:rsidRPr="007E441B">
        <w:rPr>
          <w:rFonts w:ascii="Times New Roman" w:hAnsi="Times New Roman"/>
          <w:noProof/>
          <w:sz w:val="24"/>
        </w:rPr>
        <w:t>pol roka od nadobudnutia účinnosti nariadenia – je dobre etablovaným</w:t>
      </w:r>
      <w:r w:rsidR="007E441B" w:rsidRPr="007E441B">
        <w:rPr>
          <w:rFonts w:ascii="Times New Roman" w:hAnsi="Times New Roman"/>
          <w:noProof/>
          <w:sz w:val="24"/>
        </w:rPr>
        <w:t xml:space="preserve"> a </w:t>
      </w:r>
      <w:r w:rsidRPr="007E441B">
        <w:rPr>
          <w:rFonts w:ascii="Times New Roman" w:hAnsi="Times New Roman"/>
          <w:noProof/>
          <w:sz w:val="24"/>
        </w:rPr>
        <w:t>aktívnym partnerom</w:t>
      </w:r>
      <w:r w:rsidR="007E441B" w:rsidRPr="007E441B">
        <w:rPr>
          <w:rFonts w:ascii="Times New Roman" w:hAnsi="Times New Roman"/>
          <w:noProof/>
          <w:sz w:val="24"/>
        </w:rPr>
        <w:t xml:space="preserve"> v </w:t>
      </w:r>
      <w:r w:rsidRPr="007E441B">
        <w:rPr>
          <w:rFonts w:ascii="Times New Roman" w:hAnsi="Times New Roman"/>
          <w:noProof/>
          <w:sz w:val="24"/>
        </w:rPr>
        <w:t>oblasti preverovania PZI.</w:t>
      </w:r>
    </w:p>
    <w:p w14:paraId="52A89945" w14:textId="59B7CEEF" w:rsidR="00624FA0" w:rsidRPr="007E441B" w:rsidRDefault="00B709C9"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V tejto správe sa potvrdzuje jasná pridaná hodnota nariadenia</w:t>
      </w:r>
      <w:r w:rsidR="007E441B" w:rsidRPr="007E441B">
        <w:rPr>
          <w:rFonts w:ascii="Times New Roman" w:hAnsi="Times New Roman"/>
          <w:noProof/>
          <w:sz w:val="24"/>
        </w:rPr>
        <w:t xml:space="preserve"> o </w:t>
      </w:r>
      <w:r w:rsidRPr="007E441B">
        <w:rPr>
          <w:rFonts w:ascii="Times New Roman" w:hAnsi="Times New Roman"/>
          <w:noProof/>
          <w:sz w:val="24"/>
        </w:rPr>
        <w:t>priamych zahraničných investíciách</w:t>
      </w:r>
      <w:r w:rsidR="007E441B" w:rsidRPr="007E441B">
        <w:rPr>
          <w:rFonts w:ascii="Times New Roman" w:hAnsi="Times New Roman"/>
          <w:noProof/>
          <w:sz w:val="24"/>
        </w:rPr>
        <w:t xml:space="preserve"> a </w:t>
      </w:r>
      <w:r w:rsidRPr="007E441B">
        <w:rPr>
          <w:rFonts w:ascii="Times New Roman" w:hAnsi="Times New Roman"/>
          <w:noProof/>
          <w:sz w:val="24"/>
        </w:rPr>
        <w:t>mechanizmu spolupráce. Predmetné nariadenie dokázalo, že je cenným</w:t>
      </w:r>
      <w:r w:rsidR="007E441B" w:rsidRPr="007E441B">
        <w:rPr>
          <w:rFonts w:ascii="Times New Roman" w:hAnsi="Times New Roman"/>
          <w:noProof/>
          <w:sz w:val="24"/>
        </w:rPr>
        <w:t xml:space="preserve"> a </w:t>
      </w:r>
      <w:r w:rsidRPr="007E441B">
        <w:rPr>
          <w:rFonts w:ascii="Times New Roman" w:hAnsi="Times New Roman"/>
          <w:noProof/>
          <w:sz w:val="24"/>
        </w:rPr>
        <w:t>efektívnym nástrojom. Neboli oznámené žiadne úniky informácií, pokiaľ ide</w:t>
      </w:r>
      <w:r w:rsidR="007E441B" w:rsidRPr="007E441B">
        <w:rPr>
          <w:rFonts w:ascii="Times New Roman" w:hAnsi="Times New Roman"/>
          <w:noProof/>
          <w:sz w:val="24"/>
        </w:rPr>
        <w:t xml:space="preserve"> o </w:t>
      </w:r>
      <w:r w:rsidRPr="007E441B">
        <w:rPr>
          <w:rFonts w:ascii="Times New Roman" w:hAnsi="Times New Roman"/>
          <w:noProof/>
          <w:sz w:val="24"/>
        </w:rPr>
        <w:t xml:space="preserve">oznámenia, stanoviská alebo iné úkony podľa nariadenia. Správne </w:t>
      </w:r>
      <w:r w:rsidRPr="007E441B">
        <w:rPr>
          <w:rFonts w:ascii="Times New Roman" w:hAnsi="Times New Roman"/>
          <w:b/>
          <w:noProof/>
          <w:sz w:val="24"/>
        </w:rPr>
        <w:t>zaobchádzanie so všetkými informáciami predloženými na účely článkov 6, 7</w:t>
      </w:r>
      <w:r w:rsidR="007E441B" w:rsidRPr="007E441B">
        <w:rPr>
          <w:rFonts w:ascii="Times New Roman" w:hAnsi="Times New Roman"/>
          <w:b/>
          <w:noProof/>
          <w:sz w:val="24"/>
        </w:rPr>
        <w:t xml:space="preserve"> a </w:t>
      </w:r>
      <w:r w:rsidRPr="007E441B">
        <w:rPr>
          <w:rFonts w:ascii="Times New Roman" w:hAnsi="Times New Roman"/>
          <w:b/>
          <w:noProof/>
          <w:sz w:val="24"/>
        </w:rPr>
        <w:t>8 nariadenia</w:t>
      </w:r>
      <w:r w:rsidR="007E441B" w:rsidRPr="007E441B">
        <w:rPr>
          <w:rFonts w:ascii="Times New Roman" w:hAnsi="Times New Roman"/>
          <w:b/>
          <w:noProof/>
          <w:sz w:val="24"/>
        </w:rPr>
        <w:t xml:space="preserve"> a </w:t>
      </w:r>
      <w:r w:rsidRPr="007E441B">
        <w:rPr>
          <w:rFonts w:ascii="Times New Roman" w:hAnsi="Times New Roman"/>
          <w:b/>
          <w:noProof/>
          <w:sz w:val="24"/>
        </w:rPr>
        <w:t>ich ochrana sú nevyhnutné</w:t>
      </w:r>
      <w:r w:rsidRPr="007E441B">
        <w:rPr>
          <w:rFonts w:ascii="Times New Roman" w:hAnsi="Times New Roman"/>
          <w:noProof/>
          <w:sz w:val="24"/>
        </w:rPr>
        <w:t>, aby bola zabezpečená potrebná dôvera medzi všetkými zúčastnenými stranami, t. j. medzi stranami transakcie, oznamujúcim členským štátom, 26 ostatnými členskými štátmi</w:t>
      </w:r>
      <w:r w:rsidR="007E441B" w:rsidRPr="007E441B">
        <w:rPr>
          <w:rFonts w:ascii="Times New Roman" w:hAnsi="Times New Roman"/>
          <w:noProof/>
          <w:sz w:val="24"/>
        </w:rPr>
        <w:t xml:space="preserve"> a </w:t>
      </w:r>
      <w:r w:rsidRPr="007E441B">
        <w:rPr>
          <w:rFonts w:ascii="Times New Roman" w:hAnsi="Times New Roman"/>
          <w:noProof/>
          <w:sz w:val="24"/>
        </w:rPr>
        <w:t>Európskou komisiou.</w:t>
      </w:r>
    </w:p>
    <w:p w14:paraId="290CD44B" w14:textId="51ACE0FA" w:rsidR="00624FA0" w:rsidRPr="007E441B" w:rsidRDefault="00624FA0" w:rsidP="00632260">
      <w:pPr>
        <w:spacing w:before="120" w:after="120" w:line="240" w:lineRule="auto"/>
        <w:jc w:val="both"/>
        <w:rPr>
          <w:rFonts w:ascii="Times New Roman" w:hAnsi="Times New Roman" w:cs="Times New Roman"/>
          <w:noProof/>
          <w:sz w:val="24"/>
          <w:szCs w:val="24"/>
          <w:highlight w:val="green"/>
        </w:rPr>
      </w:pPr>
      <w:r w:rsidRPr="007E441B">
        <w:rPr>
          <w:rFonts w:ascii="Times New Roman" w:hAnsi="Times New Roman"/>
          <w:noProof/>
          <w:sz w:val="24"/>
        </w:rPr>
        <w:t>S cieľom uľahčiť účinné vykonávanie nariadenia</w:t>
      </w:r>
      <w:r w:rsidR="007E441B" w:rsidRPr="007E441B">
        <w:rPr>
          <w:rFonts w:ascii="Times New Roman" w:hAnsi="Times New Roman"/>
          <w:noProof/>
          <w:sz w:val="24"/>
        </w:rPr>
        <w:t xml:space="preserve"> a </w:t>
      </w:r>
      <w:r w:rsidRPr="007E441B">
        <w:rPr>
          <w:rFonts w:ascii="Times New Roman" w:hAnsi="Times New Roman"/>
          <w:noProof/>
          <w:sz w:val="24"/>
        </w:rPr>
        <w:t>zabezpečiť vyšší stupeň súladu</w:t>
      </w:r>
      <w:r w:rsidR="007E441B" w:rsidRPr="007E441B">
        <w:rPr>
          <w:rFonts w:ascii="Times New Roman" w:hAnsi="Times New Roman"/>
          <w:noProof/>
          <w:sz w:val="24"/>
        </w:rPr>
        <w:t xml:space="preserve"> a </w:t>
      </w:r>
      <w:r w:rsidRPr="007E441B">
        <w:rPr>
          <w:rFonts w:ascii="Times New Roman" w:hAnsi="Times New Roman"/>
          <w:noProof/>
          <w:sz w:val="24"/>
        </w:rPr>
        <w:t xml:space="preserve">úplnosti oznámení predkladaných členskými štátmi podľa článku 6 nariadenia Komisia poskytla aktualizované verzie </w:t>
      </w:r>
      <w:r w:rsidRPr="007E441B">
        <w:rPr>
          <w:rFonts w:ascii="Times New Roman" w:hAnsi="Times New Roman"/>
          <w:b/>
          <w:noProof/>
          <w:sz w:val="24"/>
        </w:rPr>
        <w:t>formulára oznámenia</w:t>
      </w:r>
      <w:r w:rsidRPr="007E441B">
        <w:rPr>
          <w:rFonts w:ascii="Times New Roman" w:hAnsi="Times New Roman"/>
          <w:noProof/>
          <w:sz w:val="24"/>
        </w:rPr>
        <w:t xml:space="preserve"> pre investorov. Takisto poskytla aj aktualizovaný </w:t>
      </w:r>
      <w:r w:rsidRPr="007E441B">
        <w:rPr>
          <w:rFonts w:ascii="Times New Roman" w:hAnsi="Times New Roman"/>
          <w:b/>
          <w:noProof/>
          <w:sz w:val="24"/>
        </w:rPr>
        <w:t>dokument</w:t>
      </w:r>
      <w:r w:rsidR="007E441B" w:rsidRPr="007E441B">
        <w:rPr>
          <w:rFonts w:ascii="Times New Roman" w:hAnsi="Times New Roman"/>
          <w:b/>
          <w:noProof/>
          <w:sz w:val="24"/>
        </w:rPr>
        <w:t xml:space="preserve"> s </w:t>
      </w:r>
      <w:r w:rsidRPr="007E441B">
        <w:rPr>
          <w:rFonts w:ascii="Times New Roman" w:hAnsi="Times New Roman"/>
          <w:b/>
          <w:noProof/>
          <w:sz w:val="24"/>
        </w:rPr>
        <w:t>často kladenými otázkami</w:t>
      </w:r>
      <w:r w:rsidRPr="007E441B">
        <w:rPr>
          <w:rFonts w:ascii="Times New Roman" w:hAnsi="Times New Roman"/>
          <w:noProof/>
          <w:sz w:val="24"/>
        </w:rPr>
        <w:t xml:space="preserve"> (v júni 2021). </w:t>
      </w:r>
    </w:p>
    <w:p w14:paraId="6C390E1F" w14:textId="25BF371D" w:rsidR="00624FA0" w:rsidRPr="007E441B" w:rsidRDefault="00624FA0" w:rsidP="00DF2D3F">
      <w:pPr>
        <w:spacing w:line="240" w:lineRule="auto"/>
        <w:jc w:val="both"/>
        <w:rPr>
          <w:rFonts w:ascii="Times New Roman" w:hAnsi="Times New Roman" w:cs="Times New Roman"/>
          <w:noProof/>
          <w:sz w:val="24"/>
          <w:szCs w:val="24"/>
        </w:rPr>
      </w:pPr>
      <w:r w:rsidRPr="007E441B">
        <w:rPr>
          <w:rFonts w:ascii="Times New Roman" w:hAnsi="Times New Roman"/>
          <w:noProof/>
          <w:sz w:val="24"/>
        </w:rPr>
        <w:t>Pokiaľ ide</w:t>
      </w:r>
      <w:r w:rsidR="007E441B" w:rsidRPr="007E441B">
        <w:rPr>
          <w:rFonts w:ascii="Times New Roman" w:hAnsi="Times New Roman"/>
          <w:noProof/>
          <w:sz w:val="24"/>
        </w:rPr>
        <w:t xml:space="preserve"> o </w:t>
      </w:r>
      <w:r w:rsidRPr="007E441B">
        <w:rPr>
          <w:rFonts w:ascii="Times New Roman" w:hAnsi="Times New Roman"/>
          <w:b/>
          <w:noProof/>
          <w:sz w:val="24"/>
        </w:rPr>
        <w:t>najlepšie postupy</w:t>
      </w:r>
      <w:r w:rsidRPr="007E441B">
        <w:rPr>
          <w:rFonts w:ascii="Times New Roman" w:hAnsi="Times New Roman"/>
          <w:noProof/>
          <w:sz w:val="24"/>
        </w:rPr>
        <w:t>, Európska komisia naďalej uľahčuje výmeny medzi členskými štátmi, pričom</w:t>
      </w:r>
      <w:r w:rsidR="007E441B" w:rsidRPr="007E441B">
        <w:rPr>
          <w:rFonts w:ascii="Times New Roman" w:hAnsi="Times New Roman"/>
          <w:noProof/>
          <w:sz w:val="24"/>
        </w:rPr>
        <w:t xml:space="preserve"> v </w:t>
      </w:r>
      <w:r w:rsidRPr="007E441B">
        <w:rPr>
          <w:rFonts w:ascii="Times New Roman" w:hAnsi="Times New Roman"/>
          <w:noProof/>
          <w:sz w:val="24"/>
        </w:rPr>
        <w:t>marci 2022 zorganizovala úplne prvé osobné stretnutie so zástupcami všetkých členských štátov po virtuálnych kontaktoch počas pandémie. Zo skúseností vyplýva, že existuje priestor na ďalšie celkové zlepšenie,</w:t>
      </w:r>
      <w:r w:rsidR="007E441B" w:rsidRPr="007E441B">
        <w:rPr>
          <w:rFonts w:ascii="Times New Roman" w:hAnsi="Times New Roman"/>
          <w:noProof/>
          <w:sz w:val="24"/>
        </w:rPr>
        <w:t xml:space="preserve"> a </w:t>
      </w:r>
      <w:r w:rsidRPr="007E441B">
        <w:rPr>
          <w:rFonts w:ascii="Times New Roman" w:hAnsi="Times New Roman"/>
          <w:noProof/>
          <w:sz w:val="24"/>
        </w:rPr>
        <w:t>to predovšetkým</w:t>
      </w:r>
      <w:r w:rsidR="007E441B" w:rsidRPr="007E441B">
        <w:rPr>
          <w:rFonts w:ascii="Times New Roman" w:hAnsi="Times New Roman"/>
          <w:noProof/>
          <w:sz w:val="24"/>
        </w:rPr>
        <w:t xml:space="preserve"> v </w:t>
      </w:r>
      <w:r w:rsidRPr="007E441B">
        <w:rPr>
          <w:rFonts w:ascii="Times New Roman" w:hAnsi="Times New Roman"/>
          <w:noProof/>
          <w:sz w:val="24"/>
        </w:rPr>
        <w:t>oblastiach, na ktoré poukázali členské štáty. Všetci sa však zhodli na tom, že fungovanie nástroja</w:t>
      </w:r>
      <w:r w:rsidR="007E441B" w:rsidRPr="007E441B">
        <w:rPr>
          <w:rFonts w:ascii="Times New Roman" w:hAnsi="Times New Roman"/>
          <w:noProof/>
          <w:sz w:val="24"/>
        </w:rPr>
        <w:t xml:space="preserve"> a </w:t>
      </w:r>
      <w:r w:rsidRPr="007E441B">
        <w:rPr>
          <w:rFonts w:ascii="Times New Roman" w:hAnsi="Times New Roman"/>
          <w:noProof/>
          <w:sz w:val="24"/>
        </w:rPr>
        <w:t>mechanizmu spolupráce je veľmi uspokojivé</w:t>
      </w:r>
      <w:r w:rsidR="007E441B" w:rsidRPr="007E441B">
        <w:rPr>
          <w:rFonts w:ascii="Times New Roman" w:hAnsi="Times New Roman"/>
          <w:noProof/>
          <w:sz w:val="24"/>
        </w:rPr>
        <w:t xml:space="preserve"> a </w:t>
      </w:r>
      <w:r w:rsidRPr="007E441B">
        <w:rPr>
          <w:rFonts w:ascii="Times New Roman" w:hAnsi="Times New Roman"/>
          <w:noProof/>
          <w:sz w:val="24"/>
        </w:rPr>
        <w:t>prináša vnútroštátnym orgánom vysokú pridanú hodnotu pri ich konečnom rozhodovaní</w:t>
      </w:r>
      <w:r w:rsidR="007E441B" w:rsidRPr="007E441B">
        <w:rPr>
          <w:rFonts w:ascii="Times New Roman" w:hAnsi="Times New Roman"/>
          <w:noProof/>
          <w:sz w:val="24"/>
        </w:rPr>
        <w:t xml:space="preserve"> o </w:t>
      </w:r>
      <w:r w:rsidRPr="007E441B">
        <w:rPr>
          <w:rFonts w:ascii="Times New Roman" w:hAnsi="Times New Roman"/>
          <w:noProof/>
          <w:sz w:val="24"/>
        </w:rPr>
        <w:t>príslušných transakciách</w:t>
      </w:r>
      <w:r w:rsidR="007E441B" w:rsidRPr="007E441B">
        <w:rPr>
          <w:rFonts w:ascii="Times New Roman" w:hAnsi="Times New Roman"/>
          <w:noProof/>
          <w:sz w:val="24"/>
        </w:rPr>
        <w:t xml:space="preserve"> a </w:t>
      </w:r>
      <w:r w:rsidRPr="007E441B">
        <w:rPr>
          <w:rFonts w:ascii="Times New Roman" w:hAnsi="Times New Roman"/>
          <w:noProof/>
          <w:sz w:val="24"/>
        </w:rPr>
        <w:t>pri ochrane záujmov (projektov alebo programov) Európskej únie.</w:t>
      </w:r>
    </w:p>
    <w:p w14:paraId="63DFA309" w14:textId="59FE0BCF" w:rsidR="00624FA0" w:rsidRPr="007E441B" w:rsidRDefault="00624FA0" w:rsidP="00DF2D3F">
      <w:pPr>
        <w:jc w:val="both"/>
        <w:rPr>
          <w:rFonts w:ascii="Times New Roman" w:hAnsi="Times New Roman" w:cs="Times New Roman"/>
          <w:noProof/>
          <w:sz w:val="24"/>
          <w:szCs w:val="24"/>
        </w:rPr>
      </w:pPr>
      <w:r w:rsidRPr="007E441B">
        <w:rPr>
          <w:rFonts w:ascii="Times New Roman" w:hAnsi="Times New Roman"/>
          <w:b/>
          <w:noProof/>
          <w:sz w:val="24"/>
        </w:rPr>
        <w:t>Európska</w:t>
      </w:r>
      <w:r w:rsidRPr="007E441B">
        <w:rPr>
          <w:rFonts w:ascii="Times New Roman" w:hAnsi="Times New Roman"/>
          <w:noProof/>
          <w:sz w:val="24"/>
        </w:rPr>
        <w:t xml:space="preserve"> </w:t>
      </w:r>
      <w:r w:rsidRPr="007E441B">
        <w:rPr>
          <w:rFonts w:ascii="Times New Roman" w:hAnsi="Times New Roman"/>
          <w:b/>
          <w:noProof/>
          <w:sz w:val="24"/>
        </w:rPr>
        <w:t>komisia pevne dúfa, že aj ďalšie členské štáty čoskoro prijmú</w:t>
      </w:r>
      <w:r w:rsidR="007E441B" w:rsidRPr="007E441B">
        <w:rPr>
          <w:rFonts w:ascii="Times New Roman" w:hAnsi="Times New Roman"/>
          <w:b/>
          <w:noProof/>
          <w:sz w:val="24"/>
        </w:rPr>
        <w:t xml:space="preserve"> a </w:t>
      </w:r>
      <w:r w:rsidRPr="007E441B">
        <w:rPr>
          <w:rFonts w:ascii="Times New Roman" w:hAnsi="Times New Roman"/>
          <w:b/>
          <w:noProof/>
          <w:sz w:val="24"/>
        </w:rPr>
        <w:t>posilnia vnútroštátne právne predpisy</w:t>
      </w:r>
      <w:r w:rsidR="007E441B" w:rsidRPr="007E441B">
        <w:rPr>
          <w:rFonts w:ascii="Times New Roman" w:hAnsi="Times New Roman"/>
          <w:b/>
          <w:noProof/>
          <w:sz w:val="24"/>
        </w:rPr>
        <w:t xml:space="preserve"> o </w:t>
      </w:r>
      <w:r w:rsidRPr="007E441B">
        <w:rPr>
          <w:rFonts w:ascii="Times New Roman" w:hAnsi="Times New Roman"/>
          <w:b/>
          <w:noProof/>
          <w:sz w:val="24"/>
        </w:rPr>
        <w:t>preverovaní PZI</w:t>
      </w:r>
      <w:r w:rsidR="007E441B" w:rsidRPr="007E441B">
        <w:rPr>
          <w:rFonts w:ascii="Times New Roman" w:hAnsi="Times New Roman"/>
          <w:b/>
          <w:noProof/>
          <w:sz w:val="24"/>
        </w:rPr>
        <w:t xml:space="preserve"> a </w:t>
      </w:r>
      <w:r w:rsidRPr="007E441B">
        <w:rPr>
          <w:rFonts w:ascii="Times New Roman" w:hAnsi="Times New Roman"/>
          <w:b/>
          <w:noProof/>
          <w:sz w:val="24"/>
        </w:rPr>
        <w:t>súvisiace mechanizmy</w:t>
      </w:r>
      <w:r w:rsidRPr="007E441B">
        <w:rPr>
          <w:rFonts w:ascii="Times New Roman" w:hAnsi="Times New Roman"/>
          <w:noProof/>
          <w:sz w:val="24"/>
        </w:rPr>
        <w:t xml:space="preserve"> pre potenciálne rizikové zahraničné investície. Tento postoj bol tlmočený už viackrát,</w:t>
      </w:r>
      <w:r w:rsidR="007E441B" w:rsidRPr="007E441B">
        <w:rPr>
          <w:rFonts w:ascii="Times New Roman" w:hAnsi="Times New Roman"/>
          <w:noProof/>
          <w:sz w:val="24"/>
        </w:rPr>
        <w:t xml:space="preserve"> a </w:t>
      </w:r>
      <w:r w:rsidRPr="007E441B">
        <w:rPr>
          <w:rFonts w:ascii="Times New Roman" w:hAnsi="Times New Roman"/>
          <w:noProof/>
          <w:sz w:val="24"/>
        </w:rPr>
        <w:t>to najmä</w:t>
      </w:r>
      <w:r w:rsidR="007E441B" w:rsidRPr="007E441B">
        <w:rPr>
          <w:rFonts w:ascii="Times New Roman" w:hAnsi="Times New Roman"/>
          <w:noProof/>
          <w:sz w:val="24"/>
        </w:rPr>
        <w:t xml:space="preserve"> v </w:t>
      </w:r>
      <w:r w:rsidRPr="007E441B">
        <w:rPr>
          <w:rFonts w:ascii="Times New Roman" w:hAnsi="Times New Roman"/>
          <w:noProof/>
          <w:sz w:val="24"/>
        </w:rPr>
        <w:t>usmernení pre členské štáty</w:t>
      </w:r>
      <w:r w:rsidR="007E441B" w:rsidRPr="007E441B">
        <w:rPr>
          <w:rFonts w:ascii="Times New Roman" w:hAnsi="Times New Roman"/>
          <w:noProof/>
          <w:sz w:val="24"/>
        </w:rPr>
        <w:t xml:space="preserve"> z </w:t>
      </w:r>
      <w:r w:rsidRPr="007E441B">
        <w:rPr>
          <w:rFonts w:ascii="Times New Roman" w:hAnsi="Times New Roman"/>
          <w:noProof/>
          <w:sz w:val="24"/>
        </w:rPr>
        <w:t>roku 2020</w:t>
      </w:r>
      <w:r w:rsidR="007E441B" w:rsidRPr="007E441B">
        <w:rPr>
          <w:rFonts w:ascii="Times New Roman" w:hAnsi="Times New Roman"/>
          <w:noProof/>
          <w:sz w:val="24"/>
        </w:rPr>
        <w:t xml:space="preserve"> o </w:t>
      </w:r>
      <w:r w:rsidRPr="007E441B">
        <w:rPr>
          <w:rFonts w:ascii="Times New Roman" w:hAnsi="Times New Roman"/>
          <w:noProof/>
          <w:sz w:val="24"/>
        </w:rPr>
        <w:t>tom, ako využívať preverovanie PZI</w:t>
      </w:r>
      <w:r w:rsidR="007E441B" w:rsidRPr="007E441B">
        <w:rPr>
          <w:rFonts w:ascii="Times New Roman" w:hAnsi="Times New Roman"/>
          <w:noProof/>
          <w:sz w:val="24"/>
        </w:rPr>
        <w:t xml:space="preserve"> v </w:t>
      </w:r>
      <w:r w:rsidRPr="007E441B">
        <w:rPr>
          <w:rFonts w:ascii="Times New Roman" w:hAnsi="Times New Roman"/>
          <w:noProof/>
          <w:sz w:val="24"/>
        </w:rPr>
        <w:t>čase krízy</w:t>
      </w:r>
      <w:r w:rsidR="007E441B" w:rsidRPr="007E441B">
        <w:rPr>
          <w:rFonts w:ascii="Times New Roman" w:hAnsi="Times New Roman"/>
          <w:noProof/>
          <w:sz w:val="24"/>
        </w:rPr>
        <w:t xml:space="preserve"> v </w:t>
      </w:r>
      <w:r w:rsidRPr="007E441B">
        <w:rPr>
          <w:rFonts w:ascii="Times New Roman" w:hAnsi="Times New Roman"/>
          <w:noProof/>
          <w:sz w:val="24"/>
        </w:rPr>
        <w:t>oblasti verejného zdravia</w:t>
      </w:r>
      <w:r w:rsidR="007E441B" w:rsidRPr="007E441B">
        <w:rPr>
          <w:rFonts w:ascii="Times New Roman" w:hAnsi="Times New Roman"/>
          <w:noProof/>
          <w:sz w:val="24"/>
        </w:rPr>
        <w:t xml:space="preserve"> a </w:t>
      </w:r>
      <w:r w:rsidRPr="007E441B">
        <w:rPr>
          <w:rFonts w:ascii="Times New Roman" w:hAnsi="Times New Roman"/>
          <w:noProof/>
          <w:sz w:val="24"/>
        </w:rPr>
        <w:t>hospodárskej zraniteľnosti</w:t>
      </w:r>
      <w:r w:rsidR="007E441B" w:rsidRPr="007E441B">
        <w:rPr>
          <w:rFonts w:ascii="Times New Roman" w:hAnsi="Times New Roman"/>
          <w:noProof/>
          <w:sz w:val="24"/>
        </w:rPr>
        <w:t xml:space="preserve"> v </w:t>
      </w:r>
      <w:r w:rsidRPr="007E441B">
        <w:rPr>
          <w:rFonts w:ascii="Times New Roman" w:hAnsi="Times New Roman"/>
          <w:noProof/>
          <w:sz w:val="24"/>
        </w:rPr>
        <w:t>EÚ</w:t>
      </w:r>
      <w:r w:rsidRPr="007E441B">
        <w:rPr>
          <w:rStyle w:val="FootnoteReference"/>
          <w:rFonts w:ascii="Times New Roman" w:hAnsi="Times New Roman" w:cs="Times New Roman"/>
          <w:noProof/>
          <w:sz w:val="24"/>
          <w:szCs w:val="24"/>
        </w:rPr>
        <w:footnoteReference w:id="38"/>
      </w:r>
      <w:r w:rsidRPr="007E441B">
        <w:rPr>
          <w:rFonts w:ascii="Times New Roman" w:hAnsi="Times New Roman"/>
          <w:noProof/>
          <w:sz w:val="24"/>
        </w:rPr>
        <w:t>,</w:t>
      </w:r>
      <w:r w:rsidR="007E441B" w:rsidRPr="007E441B">
        <w:rPr>
          <w:rFonts w:ascii="Times New Roman" w:hAnsi="Times New Roman"/>
          <w:noProof/>
          <w:sz w:val="24"/>
        </w:rPr>
        <w:t xml:space="preserve"> a </w:t>
      </w:r>
      <w:r w:rsidRPr="007E441B">
        <w:rPr>
          <w:rFonts w:ascii="Times New Roman" w:hAnsi="Times New Roman"/>
          <w:noProof/>
          <w:sz w:val="24"/>
        </w:rPr>
        <w:t>najnovšie aj</w:t>
      </w:r>
      <w:r w:rsidR="007E441B" w:rsidRPr="007E441B">
        <w:rPr>
          <w:rFonts w:ascii="Times New Roman" w:hAnsi="Times New Roman"/>
          <w:noProof/>
          <w:sz w:val="24"/>
        </w:rPr>
        <w:t xml:space="preserve"> v </w:t>
      </w:r>
      <w:r w:rsidRPr="007E441B">
        <w:rPr>
          <w:rFonts w:ascii="Times New Roman" w:hAnsi="Times New Roman"/>
          <w:noProof/>
          <w:sz w:val="24"/>
        </w:rPr>
        <w:t>usmernení pre členské štáty</w:t>
      </w:r>
      <w:r w:rsidR="007E441B" w:rsidRPr="007E441B">
        <w:rPr>
          <w:rFonts w:ascii="Times New Roman" w:hAnsi="Times New Roman"/>
          <w:noProof/>
          <w:sz w:val="24"/>
        </w:rPr>
        <w:t xml:space="preserve"> o </w:t>
      </w:r>
      <w:r w:rsidRPr="007E441B">
        <w:rPr>
          <w:rFonts w:ascii="Times New Roman" w:hAnsi="Times New Roman"/>
          <w:noProof/>
          <w:sz w:val="24"/>
        </w:rPr>
        <w:t>priamych zahraničných investíciách</w:t>
      </w:r>
      <w:r w:rsidR="007E441B" w:rsidRPr="007E441B">
        <w:rPr>
          <w:rFonts w:ascii="Times New Roman" w:hAnsi="Times New Roman"/>
          <w:noProof/>
          <w:sz w:val="24"/>
        </w:rPr>
        <w:t xml:space="preserve"> z </w:t>
      </w:r>
      <w:r w:rsidRPr="007E441B">
        <w:rPr>
          <w:rFonts w:ascii="Times New Roman" w:hAnsi="Times New Roman"/>
          <w:noProof/>
          <w:sz w:val="24"/>
        </w:rPr>
        <w:t>Ruska</w:t>
      </w:r>
      <w:r w:rsidR="007E441B" w:rsidRPr="007E441B">
        <w:rPr>
          <w:rFonts w:ascii="Times New Roman" w:hAnsi="Times New Roman"/>
          <w:noProof/>
          <w:sz w:val="24"/>
        </w:rPr>
        <w:t xml:space="preserve"> a </w:t>
      </w:r>
      <w:r w:rsidRPr="007E441B">
        <w:rPr>
          <w:rFonts w:ascii="Times New Roman" w:hAnsi="Times New Roman"/>
          <w:noProof/>
          <w:sz w:val="24"/>
        </w:rPr>
        <w:t>Bieloruska</w:t>
      </w:r>
      <w:r w:rsidRPr="007E441B">
        <w:rPr>
          <w:rStyle w:val="FootnoteReference"/>
          <w:rFonts w:ascii="Times New Roman" w:hAnsi="Times New Roman" w:cs="Times New Roman"/>
          <w:noProof/>
          <w:sz w:val="24"/>
          <w:szCs w:val="24"/>
        </w:rPr>
        <w:footnoteReference w:id="39"/>
      </w:r>
      <w:r w:rsidRPr="007E441B">
        <w:rPr>
          <w:rFonts w:ascii="Times New Roman" w:hAnsi="Times New Roman"/>
          <w:noProof/>
          <w:sz w:val="24"/>
        </w:rPr>
        <w:t>. Malo by ísť len</w:t>
      </w:r>
      <w:r w:rsidR="007E441B" w:rsidRPr="007E441B">
        <w:rPr>
          <w:rFonts w:ascii="Times New Roman" w:hAnsi="Times New Roman"/>
          <w:noProof/>
          <w:sz w:val="24"/>
        </w:rPr>
        <w:t xml:space="preserve"> o </w:t>
      </w:r>
      <w:r w:rsidRPr="007E441B">
        <w:rPr>
          <w:rFonts w:ascii="Times New Roman" w:hAnsi="Times New Roman"/>
          <w:noProof/>
          <w:sz w:val="24"/>
        </w:rPr>
        <w:t>otázku času, kým všetkých 27 členských štátov zavedie takýto mechanizmus,</w:t>
      </w:r>
      <w:r w:rsidR="007E441B" w:rsidRPr="007E441B">
        <w:rPr>
          <w:rFonts w:ascii="Times New Roman" w:hAnsi="Times New Roman"/>
          <w:noProof/>
          <w:sz w:val="24"/>
        </w:rPr>
        <w:t xml:space="preserve"> a </w:t>
      </w:r>
      <w:r w:rsidRPr="007E441B">
        <w:rPr>
          <w:rFonts w:ascii="Times New Roman" w:hAnsi="Times New Roman"/>
          <w:noProof/>
          <w:sz w:val="24"/>
        </w:rPr>
        <w:t>tým priamo prispeje</w:t>
      </w:r>
      <w:r w:rsidR="007E441B" w:rsidRPr="007E441B">
        <w:rPr>
          <w:rFonts w:ascii="Times New Roman" w:hAnsi="Times New Roman"/>
          <w:noProof/>
          <w:sz w:val="24"/>
        </w:rPr>
        <w:t xml:space="preserve"> k </w:t>
      </w:r>
      <w:r w:rsidRPr="007E441B">
        <w:rPr>
          <w:rFonts w:ascii="Times New Roman" w:hAnsi="Times New Roman"/>
          <w:noProof/>
          <w:sz w:val="24"/>
        </w:rPr>
        <w:t>spoločnému bezpečnostnému cieľu. Zvýšenie počtu členských štátov</w:t>
      </w:r>
      <w:r w:rsidR="007E441B" w:rsidRPr="007E441B">
        <w:rPr>
          <w:rFonts w:ascii="Times New Roman" w:hAnsi="Times New Roman"/>
          <w:noProof/>
          <w:sz w:val="24"/>
        </w:rPr>
        <w:t xml:space="preserve"> s </w:t>
      </w:r>
      <w:r w:rsidRPr="007E441B">
        <w:rPr>
          <w:rFonts w:ascii="Times New Roman" w:hAnsi="Times New Roman"/>
          <w:noProof/>
          <w:sz w:val="24"/>
        </w:rPr>
        <w:t>vnútroštátnym mechanizmom preverovania PZI by malo viesť</w:t>
      </w:r>
      <w:r w:rsidR="007E441B" w:rsidRPr="007E441B">
        <w:rPr>
          <w:rFonts w:ascii="Times New Roman" w:hAnsi="Times New Roman"/>
          <w:noProof/>
          <w:sz w:val="24"/>
        </w:rPr>
        <w:t xml:space="preserve"> k </w:t>
      </w:r>
      <w:r w:rsidRPr="007E441B">
        <w:rPr>
          <w:rFonts w:ascii="Times New Roman" w:hAnsi="Times New Roman"/>
          <w:noProof/>
          <w:sz w:val="24"/>
        </w:rPr>
        <w:t>zintenzívneniu spolupráce podľa nariadenia</w:t>
      </w:r>
      <w:r w:rsidR="007E441B" w:rsidRPr="007E441B">
        <w:rPr>
          <w:rFonts w:ascii="Times New Roman" w:hAnsi="Times New Roman"/>
          <w:noProof/>
          <w:sz w:val="24"/>
        </w:rPr>
        <w:t xml:space="preserve"> o </w:t>
      </w:r>
      <w:r w:rsidRPr="007E441B">
        <w:rPr>
          <w:rFonts w:ascii="Times New Roman" w:hAnsi="Times New Roman"/>
          <w:noProof/>
          <w:sz w:val="24"/>
        </w:rPr>
        <w:t>preverovaní PZI. Vzhľadom na neisté perspektívy vývoja hospodárskej klímy je ťažšie predvídať povahu budúcich oznámení</w:t>
      </w:r>
      <w:r w:rsidR="007E441B" w:rsidRPr="007E441B">
        <w:rPr>
          <w:rFonts w:ascii="Times New Roman" w:hAnsi="Times New Roman"/>
          <w:noProof/>
          <w:sz w:val="24"/>
        </w:rPr>
        <w:t xml:space="preserve"> a </w:t>
      </w:r>
      <w:r w:rsidRPr="007E441B">
        <w:rPr>
          <w:rFonts w:ascii="Times New Roman" w:hAnsi="Times New Roman"/>
          <w:noProof/>
          <w:sz w:val="24"/>
        </w:rPr>
        <w:t>takisto aj ich počet.</w:t>
      </w:r>
    </w:p>
    <w:p w14:paraId="157E8024" w14:textId="507B8707" w:rsidR="004C3DB9" w:rsidRPr="007E441B" w:rsidRDefault="00624FA0" w:rsidP="00632260">
      <w:pPr>
        <w:spacing w:before="120" w:after="120" w:line="240" w:lineRule="auto"/>
        <w:jc w:val="both"/>
        <w:rPr>
          <w:rFonts w:ascii="Times New Roman" w:hAnsi="Times New Roman" w:cs="Times New Roman"/>
          <w:noProof/>
          <w:sz w:val="24"/>
          <w:szCs w:val="24"/>
        </w:rPr>
      </w:pPr>
      <w:r w:rsidRPr="007E441B">
        <w:rPr>
          <w:rFonts w:ascii="Times New Roman" w:hAnsi="Times New Roman"/>
          <w:noProof/>
          <w:sz w:val="24"/>
        </w:rPr>
        <w:t>Pokiaľ ide</w:t>
      </w:r>
      <w:r w:rsidR="007E441B" w:rsidRPr="007E441B">
        <w:rPr>
          <w:rFonts w:ascii="Times New Roman" w:hAnsi="Times New Roman"/>
          <w:noProof/>
          <w:sz w:val="24"/>
        </w:rPr>
        <w:t xml:space="preserve"> o </w:t>
      </w:r>
      <w:r w:rsidRPr="007E441B">
        <w:rPr>
          <w:rFonts w:ascii="Times New Roman" w:hAnsi="Times New Roman"/>
          <w:b/>
          <w:noProof/>
          <w:sz w:val="24"/>
        </w:rPr>
        <w:t>možnosti budúceho vývoja</w:t>
      </w:r>
      <w:r w:rsidRPr="007E441B">
        <w:rPr>
          <w:rFonts w:ascii="Times New Roman" w:hAnsi="Times New Roman"/>
          <w:noProof/>
          <w:sz w:val="24"/>
        </w:rPr>
        <w:t>, Európska komisia začala</w:t>
      </w:r>
      <w:r w:rsidR="007E441B" w:rsidRPr="007E441B">
        <w:rPr>
          <w:rFonts w:ascii="Times New Roman" w:hAnsi="Times New Roman"/>
          <w:noProof/>
          <w:sz w:val="24"/>
        </w:rPr>
        <w:t xml:space="preserve"> v </w:t>
      </w:r>
      <w:r w:rsidRPr="007E441B">
        <w:rPr>
          <w:rFonts w:ascii="Times New Roman" w:hAnsi="Times New Roman"/>
          <w:noProof/>
          <w:sz w:val="24"/>
        </w:rPr>
        <w:t xml:space="preserve">roku 2021 </w:t>
      </w:r>
      <w:r w:rsidRPr="007E441B">
        <w:rPr>
          <w:rFonts w:ascii="Times New Roman" w:hAnsi="Times New Roman"/>
          <w:b/>
          <w:noProof/>
          <w:sz w:val="24"/>
        </w:rPr>
        <w:t>štúdiu</w:t>
      </w:r>
      <w:r w:rsidR="007E441B" w:rsidRPr="007E441B">
        <w:rPr>
          <w:rFonts w:ascii="Times New Roman" w:hAnsi="Times New Roman"/>
          <w:b/>
          <w:noProof/>
          <w:sz w:val="24"/>
        </w:rPr>
        <w:t xml:space="preserve"> o </w:t>
      </w:r>
      <w:r w:rsidRPr="007E441B">
        <w:rPr>
          <w:rFonts w:ascii="Times New Roman" w:hAnsi="Times New Roman"/>
          <w:b/>
          <w:noProof/>
          <w:sz w:val="24"/>
        </w:rPr>
        <w:t>mechanizme spolupráce</w:t>
      </w:r>
      <w:r w:rsidR="007E441B" w:rsidRPr="007E441B">
        <w:rPr>
          <w:rFonts w:ascii="Times New Roman" w:hAnsi="Times New Roman"/>
          <w:b/>
          <w:noProof/>
          <w:sz w:val="24"/>
        </w:rPr>
        <w:t xml:space="preserve"> v </w:t>
      </w:r>
      <w:r w:rsidRPr="007E441B">
        <w:rPr>
          <w:rFonts w:ascii="Times New Roman" w:hAnsi="Times New Roman"/>
          <w:b/>
          <w:noProof/>
          <w:sz w:val="24"/>
        </w:rPr>
        <w:t>oblasti priamych zahraničných investícií</w:t>
      </w:r>
      <w:r w:rsidRPr="007E441B">
        <w:rPr>
          <w:rFonts w:ascii="Times New Roman" w:hAnsi="Times New Roman"/>
          <w:noProof/>
          <w:sz w:val="24"/>
        </w:rPr>
        <w:t>. Jej cieľom je posúdiť prepojenie medzi preverovaním, ktoré vykonávajú vnútroštátne orgány</w:t>
      </w:r>
      <w:r w:rsidR="007E441B" w:rsidRPr="007E441B">
        <w:rPr>
          <w:rFonts w:ascii="Times New Roman" w:hAnsi="Times New Roman"/>
          <w:noProof/>
          <w:sz w:val="24"/>
        </w:rPr>
        <w:t xml:space="preserve"> a </w:t>
      </w:r>
      <w:r w:rsidRPr="007E441B">
        <w:rPr>
          <w:rFonts w:ascii="Times New Roman" w:hAnsi="Times New Roman"/>
          <w:noProof/>
          <w:sz w:val="24"/>
        </w:rPr>
        <w:t>Európska komisia,</w:t>
      </w:r>
      <w:r w:rsidR="007E441B" w:rsidRPr="007E441B">
        <w:rPr>
          <w:rFonts w:ascii="Times New Roman" w:hAnsi="Times New Roman"/>
          <w:noProof/>
          <w:sz w:val="24"/>
        </w:rPr>
        <w:t xml:space="preserve"> a </w:t>
      </w:r>
      <w:r w:rsidRPr="007E441B">
        <w:rPr>
          <w:rFonts w:ascii="Times New Roman" w:hAnsi="Times New Roman"/>
          <w:noProof/>
          <w:sz w:val="24"/>
        </w:rPr>
        <w:t>identifikovať akýkoľvek významný problém efektívnosti alebo účinnosti vzhľadom na politické ciele nariadenia</w:t>
      </w:r>
      <w:r w:rsidR="007E441B" w:rsidRPr="007E441B">
        <w:rPr>
          <w:rFonts w:ascii="Times New Roman" w:hAnsi="Times New Roman"/>
          <w:noProof/>
          <w:sz w:val="24"/>
        </w:rPr>
        <w:t xml:space="preserve"> o </w:t>
      </w:r>
      <w:r w:rsidRPr="007E441B">
        <w:rPr>
          <w:rFonts w:ascii="Times New Roman" w:hAnsi="Times New Roman"/>
          <w:noProof/>
          <w:sz w:val="24"/>
        </w:rPr>
        <w:t>preverovaní PZI</w:t>
      </w:r>
      <w:r w:rsidRPr="007E441B">
        <w:rPr>
          <w:rStyle w:val="FootnoteReference"/>
          <w:rFonts w:ascii="Times New Roman" w:hAnsi="Times New Roman" w:cs="Times New Roman"/>
          <w:noProof/>
          <w:sz w:val="24"/>
          <w:szCs w:val="24"/>
        </w:rPr>
        <w:footnoteReference w:id="40"/>
      </w:r>
      <w:r w:rsidRPr="007E441B">
        <w:rPr>
          <w:rFonts w:ascii="Times New Roman" w:hAnsi="Times New Roman"/>
          <w:noProof/>
          <w:sz w:val="24"/>
        </w:rPr>
        <w:t>. Táto štúdia bude pre Komisiu príspevkom, pokiaľ ide</w:t>
      </w:r>
      <w:r w:rsidR="007E441B" w:rsidRPr="007E441B">
        <w:rPr>
          <w:rFonts w:ascii="Times New Roman" w:hAnsi="Times New Roman"/>
          <w:noProof/>
          <w:sz w:val="24"/>
        </w:rPr>
        <w:t xml:space="preserve"> o </w:t>
      </w:r>
      <w:r w:rsidRPr="007E441B">
        <w:rPr>
          <w:rFonts w:ascii="Times New Roman" w:hAnsi="Times New Roman"/>
          <w:noProof/>
          <w:sz w:val="24"/>
        </w:rPr>
        <w:t>úvahy</w:t>
      </w:r>
      <w:r w:rsidR="007E441B" w:rsidRPr="007E441B">
        <w:rPr>
          <w:rFonts w:ascii="Times New Roman" w:hAnsi="Times New Roman"/>
          <w:noProof/>
          <w:sz w:val="24"/>
        </w:rPr>
        <w:t xml:space="preserve"> o </w:t>
      </w:r>
      <w:r w:rsidRPr="007E441B">
        <w:rPr>
          <w:rFonts w:ascii="Times New Roman" w:hAnsi="Times New Roman"/>
          <w:noProof/>
          <w:sz w:val="24"/>
        </w:rPr>
        <w:t>prípadnej potrebe revízie nariadenia</w:t>
      </w:r>
      <w:r w:rsidR="007E441B" w:rsidRPr="007E441B">
        <w:rPr>
          <w:rFonts w:ascii="Times New Roman" w:hAnsi="Times New Roman"/>
          <w:noProof/>
          <w:sz w:val="24"/>
        </w:rPr>
        <w:t xml:space="preserve"> o </w:t>
      </w:r>
      <w:r w:rsidRPr="007E441B">
        <w:rPr>
          <w:rFonts w:ascii="Times New Roman" w:hAnsi="Times New Roman"/>
          <w:noProof/>
          <w:sz w:val="24"/>
        </w:rPr>
        <w:t>preverovaní PZI</w:t>
      </w:r>
      <w:r w:rsidR="007E441B" w:rsidRPr="007E441B">
        <w:rPr>
          <w:rFonts w:ascii="Times New Roman" w:hAnsi="Times New Roman"/>
          <w:noProof/>
          <w:sz w:val="24"/>
        </w:rPr>
        <w:t xml:space="preserve"> v </w:t>
      </w:r>
      <w:r w:rsidRPr="007E441B">
        <w:rPr>
          <w:rFonts w:ascii="Times New Roman" w:hAnsi="Times New Roman"/>
          <w:noProof/>
          <w:sz w:val="24"/>
        </w:rPr>
        <w:t>roku 2023. Očakáva sa, že štúdia bude dokončená</w:t>
      </w:r>
      <w:r w:rsidR="007E441B" w:rsidRPr="007E441B">
        <w:rPr>
          <w:rFonts w:ascii="Times New Roman" w:hAnsi="Times New Roman"/>
          <w:noProof/>
          <w:sz w:val="24"/>
        </w:rPr>
        <w:t xml:space="preserve"> v </w:t>
      </w:r>
      <w:r w:rsidRPr="007E441B">
        <w:rPr>
          <w:rFonts w:ascii="Times New Roman" w:hAnsi="Times New Roman"/>
          <w:noProof/>
          <w:sz w:val="24"/>
        </w:rPr>
        <w:t>lete 2022.</w:t>
      </w:r>
    </w:p>
    <w:sectPr w:rsidR="004C3DB9" w:rsidRPr="007E441B" w:rsidSect="00AA30CE">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1B2BA" w14:textId="77777777" w:rsidR="0067180F" w:rsidRDefault="0067180F">
      <w:pPr>
        <w:spacing w:after="0" w:line="240" w:lineRule="auto"/>
      </w:pPr>
      <w:r>
        <w:separator/>
      </w:r>
    </w:p>
  </w:endnote>
  <w:endnote w:type="continuationSeparator" w:id="0">
    <w:p w14:paraId="6A8E2576" w14:textId="77777777" w:rsidR="0067180F" w:rsidRDefault="0067180F">
      <w:pPr>
        <w:spacing w:after="0" w:line="240" w:lineRule="auto"/>
      </w:pPr>
      <w:r>
        <w:continuationSeparator/>
      </w:r>
    </w:p>
  </w:endnote>
  <w:endnote w:type="continuationNotice" w:id="1">
    <w:p w14:paraId="3660A3A3" w14:textId="77777777" w:rsidR="0067180F" w:rsidRDefault="006718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F Square Sans Pro">
    <w:altName w:val="Arial"/>
    <w:charset w:val="00"/>
    <w:family w:val="modern"/>
    <w:pitch w:val="default"/>
    <w:sig w:usb0="00000000" w:usb1="00000000"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
    <w:altName w:val="MS Gothic"/>
    <w:charset w:val="80"/>
    <w:family w:val="auto"/>
    <w:pitch w:val="default"/>
    <w:sig w:usb0="00000000" w:usb1="00000000" w:usb2="00000010" w:usb3="00000000" w:csb0="00020000" w:csb1="00000000"/>
  </w:font>
  <w:font w:name="Liberation Serif">
    <w:altName w:val="Times New Roman"/>
    <w:charset w:val="01"/>
    <w:family w:val="roman"/>
    <w:pitch w:val="default"/>
    <w:sig w:usb0="E0000AFF" w:usb1="500078FF" w:usb2="00000021" w:usb3="00000000" w:csb0="600001BF" w:csb1="DFF70000"/>
  </w:font>
  <w:font w:name="Noto Serif CJK SC">
    <w:charset w:val="86"/>
    <w:family w:val="roman"/>
    <w:pitch w:val="default"/>
    <w:sig w:usb0="30000083" w:usb1="2BDF3C10" w:usb2="00000016" w:usb3="00000000" w:csb0="602E0107" w:csb1="00000000"/>
  </w:font>
  <w:font w:name="Lohit Devanagari">
    <w:altName w:val="Times New Roman"/>
    <w:charset w:val="00"/>
    <w:family w:val="roman"/>
    <w:pitch w:val="default"/>
    <w:sig w:usb0="80008023" w:usb1="00002042" w:usb2="00000000" w:usb3="00000000" w:csb0="00000001" w:csb1="00000000"/>
  </w:font>
  <w:font w:name="EC Square Sans Pro">
    <w:charset w:val="00"/>
    <w:family w:val="swiss"/>
    <w:pitch w:val="variable"/>
    <w:sig w:usb0="A00002BF" w:usb1="5000E0F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092B" w14:textId="77777777" w:rsidR="0057613D" w:rsidRPr="0057613D" w:rsidRDefault="0057613D" w:rsidP="0057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E86A" w14:textId="212D8CA8" w:rsidR="00867DE5" w:rsidRPr="0057613D" w:rsidRDefault="0057613D" w:rsidP="0057613D">
    <w:pPr>
      <w:pStyle w:val="FooterCoverPage"/>
      <w:rPr>
        <w:rFonts w:ascii="Arial" w:hAnsi="Arial" w:cs="Arial"/>
        <w:b/>
        <w:sz w:val="48"/>
      </w:rPr>
    </w:pPr>
    <w:r w:rsidRPr="0057613D">
      <w:rPr>
        <w:rFonts w:ascii="Arial" w:hAnsi="Arial" w:cs="Arial"/>
        <w:b/>
        <w:sz w:val="48"/>
      </w:rPr>
      <w:t>SK</w:t>
    </w:r>
    <w:r w:rsidRPr="0057613D">
      <w:rPr>
        <w:rFonts w:ascii="Arial" w:hAnsi="Arial" w:cs="Arial"/>
        <w:b/>
        <w:sz w:val="48"/>
      </w:rPr>
      <w:tab/>
    </w:r>
    <w:r w:rsidRPr="0057613D">
      <w:rPr>
        <w:rFonts w:ascii="Arial" w:hAnsi="Arial" w:cs="Arial"/>
        <w:b/>
        <w:sz w:val="48"/>
      </w:rPr>
      <w:tab/>
    </w:r>
    <w:r w:rsidRPr="0057613D">
      <w:tab/>
    </w:r>
    <w:r w:rsidRPr="0057613D">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5EE7" w14:textId="77777777" w:rsidR="0057613D" w:rsidRPr="0057613D" w:rsidRDefault="0057613D" w:rsidP="0057613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4535" w14:textId="77777777" w:rsidR="007E441B" w:rsidRDefault="007E44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279420"/>
      <w:docPartObj>
        <w:docPartGallery w:val="Page Numbers (Bottom of Page)"/>
        <w:docPartUnique/>
      </w:docPartObj>
    </w:sdtPr>
    <w:sdtEndPr>
      <w:rPr>
        <w:noProof/>
      </w:rPr>
    </w:sdtEndPr>
    <w:sdtContent>
      <w:sdt>
        <w:sdtPr>
          <w:id w:val="-1949154673"/>
        </w:sdtPr>
        <w:sdtEndPr/>
        <w:sdtContent>
          <w:p w14:paraId="223629FB" w14:textId="46F49D94" w:rsidR="007E441B" w:rsidRDefault="007E441B">
            <w:pPr>
              <w:pStyle w:val="Footer"/>
              <w:jc w:val="right"/>
            </w:pPr>
            <w:r>
              <w:fldChar w:fldCharType="begin"/>
            </w:r>
            <w:r>
              <w:instrText xml:space="preserve"> PAGE   \* MERGEFORMAT </w:instrText>
            </w:r>
            <w:r>
              <w:fldChar w:fldCharType="separate"/>
            </w:r>
            <w:r w:rsidR="0057613D">
              <w:rPr>
                <w:noProof/>
              </w:rPr>
              <w:t>23</w:t>
            </w:r>
            <w:r>
              <w:fldChar w:fldCharType="end"/>
            </w:r>
          </w:p>
        </w:sdtContent>
      </w:sdt>
      <w:p w14:paraId="12F53DFB" w14:textId="77777777" w:rsidR="007E441B" w:rsidRDefault="0057613D">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617704"/>
      <w:docPartObj>
        <w:docPartGallery w:val="Page Numbers (Bottom of Page)"/>
        <w:docPartUnique/>
      </w:docPartObj>
    </w:sdtPr>
    <w:sdtEndPr>
      <w:rPr>
        <w:noProof/>
      </w:rPr>
    </w:sdtEndPr>
    <w:sdtContent>
      <w:p w14:paraId="04797EA2" w14:textId="2DD90755" w:rsidR="007E441B" w:rsidRDefault="007E441B">
        <w:pPr>
          <w:pStyle w:val="Footer"/>
          <w:jc w:val="right"/>
        </w:pPr>
        <w:r>
          <w:fldChar w:fldCharType="begin"/>
        </w:r>
        <w:r>
          <w:instrText xml:space="preserve"> PAGE   \* MERGEFORMAT </w:instrText>
        </w:r>
        <w:r>
          <w:fldChar w:fldCharType="separate"/>
        </w:r>
        <w:r w:rsidR="0057613D">
          <w:rPr>
            <w:noProof/>
          </w:rPr>
          <w:t>1</w:t>
        </w:r>
        <w:r>
          <w:fldChar w:fldCharType="end"/>
        </w:r>
      </w:p>
    </w:sdtContent>
  </w:sdt>
  <w:p w14:paraId="43FBC114" w14:textId="77777777" w:rsidR="007E441B" w:rsidRDefault="007E4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C87C5" w14:textId="77777777" w:rsidR="0067180F" w:rsidRDefault="0067180F">
      <w:pPr>
        <w:spacing w:after="0" w:line="240" w:lineRule="auto"/>
      </w:pPr>
      <w:r>
        <w:separator/>
      </w:r>
    </w:p>
  </w:footnote>
  <w:footnote w:type="continuationSeparator" w:id="0">
    <w:p w14:paraId="04C686E3" w14:textId="77777777" w:rsidR="0067180F" w:rsidRDefault="0067180F">
      <w:pPr>
        <w:spacing w:after="0" w:line="240" w:lineRule="auto"/>
      </w:pPr>
      <w:r>
        <w:continuationSeparator/>
      </w:r>
    </w:p>
  </w:footnote>
  <w:footnote w:type="continuationNotice" w:id="1">
    <w:p w14:paraId="3534BF51" w14:textId="77777777" w:rsidR="0067180F" w:rsidRDefault="0067180F">
      <w:pPr>
        <w:spacing w:after="0" w:line="240" w:lineRule="auto"/>
      </w:pPr>
    </w:p>
  </w:footnote>
  <w:footnote w:id="2">
    <w:p w14:paraId="6E90BF44" w14:textId="4D35A9A0" w:rsidR="007E441B" w:rsidRPr="00867219" w:rsidRDefault="007E441B" w:rsidP="00867219">
      <w:pPr>
        <w:pStyle w:val="FootnoteText"/>
        <w:ind w:left="426" w:hanging="426"/>
        <w:rPr>
          <w:rStyle w:val="FootnoteReference"/>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Prvá výročná správa sa týkala kratšieho obdobia, t. j. obdobia od 11. októbra 2020 do 30. júna 2021. Preto dochádza k prekrývaniu s touto správou, ktorá zahŕňa aj obdobie od 1. do 30. júna.</w:t>
      </w:r>
    </w:p>
  </w:footnote>
  <w:footnote w:id="3">
    <w:p w14:paraId="420688F7" w14:textId="432CE901" w:rsidR="007E441B" w:rsidRPr="008E32B0" w:rsidRDefault="007E441B" w:rsidP="008E32B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OECD dokument s názvom </w:t>
      </w:r>
      <w:hyperlink r:id="rId1" w:history="1">
        <w:r>
          <w:rPr>
            <w:rStyle w:val="Hyperlink"/>
            <w:rFonts w:ascii="Times New Roman" w:hAnsi="Times New Roman"/>
          </w:rPr>
          <w:t>FDI IN FIGURES (PZI v číslach)</w:t>
        </w:r>
      </w:hyperlink>
      <w:r>
        <w:rPr>
          <w:rFonts w:ascii="Times New Roman" w:hAnsi="Times New Roman"/>
        </w:rPr>
        <w:t>, apríl 2022.</w:t>
      </w:r>
    </w:p>
  </w:footnote>
  <w:footnote w:id="4">
    <w:p w14:paraId="0FC14FEA" w14:textId="5F28AF4B" w:rsidR="007E441B" w:rsidRDefault="007E441B" w:rsidP="00BF191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Pitchbook, </w:t>
      </w:r>
      <w:hyperlink r:id="rId2" w:history="1">
        <w:r>
          <w:rPr>
            <w:rStyle w:val="Hyperlink"/>
            <w:rFonts w:ascii="Times New Roman" w:hAnsi="Times New Roman"/>
          </w:rPr>
          <w:t>Global M&amp;A report (Celosvetová správa o fúziách a akvizíciách)</w:t>
        </w:r>
      </w:hyperlink>
      <w:r>
        <w:rPr>
          <w:rFonts w:ascii="Times New Roman" w:hAnsi="Times New Roman"/>
        </w:rPr>
        <w:t>, 2021.</w:t>
      </w:r>
    </w:p>
  </w:footnote>
  <w:footnote w:id="5">
    <w:p w14:paraId="062371DE" w14:textId="376A1D1C" w:rsidR="007E441B" w:rsidRDefault="007E441B" w:rsidP="004641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SLOVNÍK: Pojem </w:t>
      </w:r>
      <w:r>
        <w:rPr>
          <w:rFonts w:ascii="Times New Roman" w:hAnsi="Times New Roman"/>
          <w:i/>
        </w:rPr>
        <w:t>zahraničný investor</w:t>
      </w:r>
      <w:r>
        <w:rPr>
          <w:rFonts w:ascii="Times New Roman" w:hAnsi="Times New Roman"/>
        </w:rPr>
        <w:t xml:space="preserve"> používame na označenie subjektov z krajín mimo EÚ (spoločností alebo osôb), ktoré nadobúdajú podiely na vlastnom imaní alebo iniciujú investičné projekty na zelenej lúke (skrátene: „zelené lúky“ alebo „investície na zelenej lúke“) v EÚ. Pojmy </w:t>
      </w:r>
      <w:r>
        <w:rPr>
          <w:rFonts w:ascii="Times New Roman" w:hAnsi="Times New Roman"/>
          <w:i/>
        </w:rPr>
        <w:t>zahraničie</w:t>
      </w:r>
      <w:r>
        <w:rPr>
          <w:rFonts w:ascii="Times New Roman" w:hAnsi="Times New Roman"/>
        </w:rPr>
        <w:t xml:space="preserve"> a </w:t>
      </w:r>
      <w:r>
        <w:rPr>
          <w:rFonts w:ascii="Times New Roman" w:hAnsi="Times New Roman"/>
          <w:i/>
        </w:rPr>
        <w:t>mimo EÚ</w:t>
      </w:r>
      <w:r>
        <w:rPr>
          <w:rFonts w:ascii="Times New Roman" w:hAnsi="Times New Roman"/>
        </w:rPr>
        <w:t xml:space="preserve"> sa používajú ako synonymicky. V celom texte sa pod pojmom </w:t>
      </w:r>
      <w:r>
        <w:rPr>
          <w:rFonts w:ascii="Times New Roman" w:hAnsi="Times New Roman"/>
          <w:i/>
        </w:rPr>
        <w:t>akvizície</w:t>
      </w:r>
      <w:r>
        <w:rPr>
          <w:rFonts w:ascii="Times New Roman" w:hAnsi="Times New Roman"/>
        </w:rPr>
        <w:t xml:space="preserve"> rozumejú akvizície majetkových podielov v spoločnostiach EÚ, či už fúzie a akvizície alebo získanie podielov predstavujúcich menej ako 50 %, ale viac 10 % kapitálu, a pojem </w:t>
      </w:r>
      <w:r>
        <w:rPr>
          <w:rFonts w:ascii="Times New Roman" w:hAnsi="Times New Roman"/>
          <w:i/>
        </w:rPr>
        <w:t>transakcie</w:t>
      </w:r>
      <w:r>
        <w:rPr>
          <w:rFonts w:ascii="Times New Roman" w:hAnsi="Times New Roman"/>
        </w:rPr>
        <w:t xml:space="preserve"> odkazuje na súčet</w:t>
      </w:r>
      <w:r>
        <w:t xml:space="preserve"> </w:t>
      </w:r>
      <w:r>
        <w:rPr>
          <w:rFonts w:ascii="Times New Roman" w:hAnsi="Times New Roman"/>
        </w:rPr>
        <w:t>akvizícií</w:t>
      </w:r>
      <w:r>
        <w:t xml:space="preserve"> a </w:t>
      </w:r>
      <w:r>
        <w:rPr>
          <w:rFonts w:ascii="Times New Roman" w:hAnsi="Times New Roman"/>
        </w:rPr>
        <w:t>investícií na zelenej lúke. Pojem zahraničné transakcie označuje operácie, pri ktorých ide o investora, ktorého konečným vlastníkom je subjekt mimo EÚ. Konečným vlastníkom je účtovná jednotka, ktorá priamo alebo nepriamo vlastní najmenej 50,01 % akcií priameho investora.</w:t>
      </w:r>
    </w:p>
  </w:footnote>
  <w:footnote w:id="6">
    <w:p w14:paraId="18D40B6C" w14:textId="77777777" w:rsidR="007E441B" w:rsidRDefault="007E441B" w:rsidP="004641DD">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analýzu čínskych investícií, </w:t>
      </w:r>
      <w:hyperlink r:id="rId3" w:history="1">
        <w:r>
          <w:rPr>
            <w:rStyle w:val="Hyperlink"/>
            <w:rFonts w:ascii="Times New Roman" w:hAnsi="Times New Roman"/>
          </w:rPr>
          <w:t>Rhodium</w:t>
        </w:r>
      </w:hyperlink>
      <w:r>
        <w:rPr>
          <w:rFonts w:ascii="Times New Roman" w:hAnsi="Times New Roman"/>
        </w:rPr>
        <w:t xml:space="preserve"> (2022).</w:t>
      </w:r>
    </w:p>
  </w:footnote>
  <w:footnote w:id="7">
    <w:p w14:paraId="19C6E370" w14:textId="2779F743" w:rsidR="007E441B" w:rsidRDefault="007E441B" w:rsidP="004641DD">
      <w:pPr>
        <w:pStyle w:val="FootnoteText"/>
      </w:pPr>
      <w:r>
        <w:rPr>
          <w:rStyle w:val="FootnoteReference"/>
          <w:rFonts w:ascii="Times New Roman" w:hAnsi="Times New Roman" w:cs="Times New Roman"/>
        </w:rPr>
        <w:footnoteRef/>
      </w:r>
      <w:r>
        <w:rPr>
          <w:rFonts w:ascii="Times New Roman" w:hAnsi="Times New Roman"/>
        </w:rPr>
        <w:t xml:space="preserve"> Je to mu tak napr. v prípade USA, daňových rajov, Kanady a Nórska.</w:t>
      </w:r>
    </w:p>
  </w:footnote>
  <w:footnote w:id="8">
    <w:p w14:paraId="7E0FF1D0" w14:textId="38FBA034" w:rsidR="007E441B" w:rsidRDefault="007E441B" w:rsidP="00B872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Zoznam hlavných daňových rajov z pohľadu počtu fúzií a akvizícií alebo investícií na zelenej lúke (v abecednom poradí): Bermudy, Britské Panenské ostrovy, Kajmanie ostrovy, Maurícius a Normanské ostrovy Spojeného kráľovstva. Zoznam daňových rajov sa uvádza napríklad v pracovnom dokumente útvarov Komisie nadväzujúcom na oznámenie Komisie „Vítame priame zahraničné investície, no chránime si základné záujmy“ – SWD(2019) 108 final – 13. marca 2019.</w:t>
      </w:r>
    </w:p>
  </w:footnote>
  <w:footnote w:id="9">
    <w:p w14:paraId="44BCA642" w14:textId="2F9395B6" w:rsidR="007E441B" w:rsidRPr="0025141E" w:rsidRDefault="007E441B" w:rsidP="00B87265">
      <w:pPr>
        <w:pStyle w:val="FootnoteText"/>
        <w:jc w:val="both"/>
      </w:pPr>
      <w:r>
        <w:rPr>
          <w:rStyle w:val="FootnoteReference"/>
        </w:rPr>
        <w:footnoteRef/>
      </w:r>
      <w:r>
        <w:t xml:space="preserve"> </w:t>
      </w:r>
      <w:r>
        <w:rPr>
          <w:rFonts w:ascii="Times New Roman" w:hAnsi="Times New Roman"/>
        </w:rPr>
        <w:t>Viac informácií sa nachádza v sprievodnom pracovnom dokumente útvarov Komisie, a to konkrétne v časti venovanej ruskej majetkovej účasti v Európe (EÚ27).</w:t>
      </w:r>
    </w:p>
  </w:footnote>
  <w:footnote w:id="10">
    <w:p w14:paraId="144308D2" w14:textId="77777777" w:rsidR="007E441B" w:rsidRDefault="007E441B" w:rsidP="004641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poznámku pod čiarou č. 7.</w:t>
      </w:r>
    </w:p>
  </w:footnote>
  <w:footnote w:id="11">
    <w:p w14:paraId="6AB627C5" w14:textId="0A4B0A0F" w:rsidR="007E441B" w:rsidRPr="00E77956" w:rsidRDefault="007E441B" w:rsidP="0025141E">
      <w:pPr>
        <w:pStyle w:val="FootnoteText"/>
        <w:jc w:val="both"/>
      </w:pPr>
      <w:r>
        <w:rPr>
          <w:rStyle w:val="FootnoteReference"/>
        </w:rPr>
        <w:footnoteRef/>
      </w:r>
      <w:r>
        <w:t xml:space="preserve"> </w:t>
      </w:r>
      <w:r>
        <w:rPr>
          <w:rFonts w:ascii="Times New Roman" w:hAnsi="Times New Roman"/>
        </w:rPr>
        <w:t>Oživenie investícií na zelenej lúke v rámci skupiny „zvyšok EÚ“ bolo zaznamenané v Maďarsku, Českej republike a Grécku. Na Maďarsko v roku 2021 pripadalo 2,4 % zo všetkých zahraničných investícií na zelenej lúke v EÚ, čo v porovnaní s rokom 2020 predstavuje nárast o 38 %. Česká republika s 1,5 % zo všetkých zahraničných investícií na zelenej lúke zaznamenala v roku 2021 + 50 % nárast v porovnaní s rokom 2020 a Grécko (1,4 % všetkých zahraničných investícií na zelenej lúke) nárast o 63 %.</w:t>
      </w:r>
    </w:p>
  </w:footnote>
  <w:footnote w:id="12">
    <w:p w14:paraId="69209558" w14:textId="6221A917" w:rsidR="007E441B" w:rsidRDefault="007E441B" w:rsidP="004641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Používané označenie kategórií vychádza z klasifikácie ekonomických činností NACE Rev. 2, pozri: </w:t>
      </w:r>
      <w:hyperlink r:id="rId4" w:history="1">
        <w:r>
          <w:rPr>
            <w:rStyle w:val="Hyperlink"/>
            <w:rFonts w:ascii="Times New Roman" w:hAnsi="Times New Roman"/>
          </w:rPr>
          <w:t>https://ec.europa.eu/eurostat/web/nace-rev2</w:t>
        </w:r>
      </w:hyperlink>
      <w:r>
        <w:rPr>
          <w:rFonts w:ascii="Times New Roman" w:hAnsi="Times New Roman"/>
        </w:rPr>
        <w:t xml:space="preserve">. </w:t>
      </w:r>
    </w:p>
  </w:footnote>
  <w:footnote w:id="13">
    <w:p w14:paraId="220E3693" w14:textId="716D8C0A" w:rsidR="007E441B" w:rsidRPr="008B1F48" w:rsidRDefault="007E441B" w:rsidP="004B446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 článku 3 nariadenia o preverovaní PZI sa však všetkým členským štátom EÚ, ktoré majú mechanizmus preverovania PZI, stanovuje povinnosť zabezpečiť, aby tieto mechanizmy: </w:t>
      </w:r>
    </w:p>
    <w:p w14:paraId="16506492" w14:textId="77777777" w:rsidR="007E441B" w:rsidRPr="008B1F48" w:rsidRDefault="007E441B" w:rsidP="004B4461">
      <w:pPr>
        <w:pStyle w:val="FootnoteText"/>
        <w:jc w:val="both"/>
        <w:rPr>
          <w:rFonts w:ascii="Times New Roman" w:hAnsi="Times New Roman" w:cs="Times New Roman"/>
        </w:rPr>
      </w:pPr>
      <w:r>
        <w:rPr>
          <w:rFonts w:ascii="Times New Roman" w:hAnsi="Times New Roman"/>
        </w:rPr>
        <w:t xml:space="preserve">• obsahovali vymedzenie časových rámcov, </w:t>
      </w:r>
    </w:p>
    <w:p w14:paraId="252EED3D" w14:textId="29336CB0" w:rsidR="007E441B" w:rsidRPr="008B1F48" w:rsidRDefault="007E441B" w:rsidP="004B4461">
      <w:pPr>
        <w:pStyle w:val="FootnoteText"/>
        <w:jc w:val="both"/>
        <w:rPr>
          <w:rFonts w:ascii="Times New Roman" w:hAnsi="Times New Roman" w:cs="Times New Roman"/>
        </w:rPr>
      </w:pPr>
      <w:r>
        <w:rPr>
          <w:rFonts w:ascii="Times New Roman" w:hAnsi="Times New Roman"/>
        </w:rPr>
        <w:t xml:space="preserve">• boli transparentné a nediskriminačné, </w:t>
      </w:r>
    </w:p>
    <w:p w14:paraId="144FF97B" w14:textId="2CF0FC81" w:rsidR="007E441B" w:rsidRPr="008B1F48" w:rsidRDefault="007E441B" w:rsidP="004B4461">
      <w:pPr>
        <w:pStyle w:val="FootnoteText"/>
        <w:jc w:val="both"/>
        <w:rPr>
          <w:rFonts w:ascii="Times New Roman" w:hAnsi="Times New Roman" w:cs="Times New Roman"/>
        </w:rPr>
      </w:pPr>
      <w:r>
        <w:rPr>
          <w:rFonts w:ascii="Times New Roman" w:hAnsi="Times New Roman"/>
        </w:rPr>
        <w:t xml:space="preserve">• umožňovali zohľadniť všetky pripomienky iných členských štátov a stanovisko Európskej komisie, </w:t>
      </w:r>
    </w:p>
    <w:p w14:paraId="5B229FA0" w14:textId="77777777" w:rsidR="007E441B" w:rsidRPr="008B1F48" w:rsidRDefault="007E441B" w:rsidP="004B4461">
      <w:pPr>
        <w:pStyle w:val="FootnoteText"/>
        <w:jc w:val="both"/>
        <w:rPr>
          <w:rFonts w:ascii="Times New Roman" w:hAnsi="Times New Roman" w:cs="Times New Roman"/>
        </w:rPr>
      </w:pPr>
      <w:r>
        <w:rPr>
          <w:rFonts w:ascii="Times New Roman" w:hAnsi="Times New Roman"/>
        </w:rPr>
        <w:t xml:space="preserve">• umožňovali príslušným stranám využiť prostriedky nápravy proti zamietavému rozhodnutiu orgánu na preverovanie PZI, </w:t>
      </w:r>
    </w:p>
    <w:p w14:paraId="5A52A2F4" w14:textId="7147FB95" w:rsidR="007E441B" w:rsidRPr="008B1F48" w:rsidRDefault="007E441B" w:rsidP="004B4461">
      <w:pPr>
        <w:pStyle w:val="FootnoteText"/>
        <w:jc w:val="both"/>
        <w:rPr>
          <w:rFonts w:ascii="Times New Roman" w:hAnsi="Times New Roman" w:cs="Times New Roman"/>
        </w:rPr>
      </w:pPr>
      <w:r>
        <w:rPr>
          <w:rFonts w:ascii="Times New Roman" w:hAnsi="Times New Roman"/>
        </w:rPr>
        <w:t>• pričom všetky takéto členské štáty musia uplatňovať opatrenia na predchádzanie obchádzaniu mechanizmov preverovania PZI a súvisiacich rozhodnutí.</w:t>
      </w:r>
    </w:p>
  </w:footnote>
  <w:footnote w:id="14">
    <w:p w14:paraId="2F423EB6" w14:textId="5B3DBD05" w:rsidR="007E441B" w:rsidRPr="00BA6221" w:rsidRDefault="007E441B" w:rsidP="008B1F48">
      <w:pPr>
        <w:pStyle w:val="FootnoteText"/>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Usmernenie pre členské štáty týkajúce sa priamych zahraničných investícií, voľného pohybu kapitálu z tretích krajín a ochrany európskych strategických aktív vzhľadom na očakávané začatie uplatňovania nariadenia (EÚ) 2019/452 (nariadenie o preverovaní PZI), Ú. v. EÚ C 99 I, 26.3.2020, s. 1 – 5: „</w:t>
      </w:r>
      <w:r>
        <w:rPr>
          <w:rFonts w:ascii="Times New Roman" w:hAnsi="Times New Roman"/>
          <w:i/>
        </w:rPr>
        <w:t>(…) Európska komisia preto vyzýva členské štáty:</w:t>
      </w:r>
    </w:p>
    <w:p w14:paraId="1B6C9E51" w14:textId="1675B531" w:rsidR="007E441B" w:rsidRPr="00BA6221" w:rsidRDefault="007E441B" w:rsidP="008B1F48">
      <w:pPr>
        <w:pStyle w:val="FootnoteText"/>
        <w:jc w:val="both"/>
        <w:rPr>
          <w:rFonts w:ascii="Times New Roman" w:hAnsi="Times New Roman" w:cs="Times New Roman"/>
          <w:i/>
        </w:rPr>
      </w:pPr>
      <w:r>
        <w:rPr>
          <w:rFonts w:ascii="Times New Roman" w:hAnsi="Times New Roman"/>
          <w:i/>
        </w:rPr>
        <w:t>– aby už dnes v plnej miere využívali svoje mechanizmy preverovania PZI s cieľom plne zohľadniť riziká vyplývajúce pre kritické infraštruktúry v oblasti zdravia, dodávky kritických vstupov a iné kritické sektory, ako sa stanovuje v právnom rámci EÚ,</w:t>
      </w:r>
    </w:p>
    <w:p w14:paraId="310246DE" w14:textId="2831E16F" w:rsidR="007E441B" w:rsidRPr="008B1F48" w:rsidRDefault="007E441B" w:rsidP="008B1F48">
      <w:pPr>
        <w:pStyle w:val="FootnoteText"/>
        <w:jc w:val="both"/>
        <w:rPr>
          <w:rFonts w:ascii="Times New Roman" w:hAnsi="Times New Roman" w:cs="Times New Roman"/>
        </w:rPr>
      </w:pPr>
      <w:r>
        <w:rPr>
          <w:rFonts w:ascii="Times New Roman" w:hAnsi="Times New Roman"/>
          <w:i/>
        </w:rPr>
        <w:t>– členské štáty, ktoré v súčasnosti nemajú mechanizmy preverovania alebo ich mechanizmy preverovania sa nevzťahujú na všetky príslušné transakcie, aby vytvorili plnohodnotný mechanizmus preverovania a medzitým využívali všetky iné dostupné možnosti ako riešiť prípady, keď by nadobudnutie konkrétneho podniku, infraštruktúry či technológie alebo kontroly nad nimi predstavovali riziko pre bezpečnosť alebo verejný poriadok v EÚ vrátane rizika pre kritické infraštruktúry v oblasti zdravia a dodávky kritických vstupov.</w:t>
      </w:r>
      <w:r>
        <w:rPr>
          <w:rFonts w:ascii="Times New Roman" w:hAnsi="Times New Roman"/>
        </w:rPr>
        <w:t>“</w:t>
      </w:r>
    </w:p>
  </w:footnote>
  <w:footnote w:id="15">
    <w:p w14:paraId="3F658A64" w14:textId="7DB4A0FB" w:rsidR="007E441B" w:rsidRPr="008B1F48" w:rsidRDefault="007E441B" w:rsidP="008B1F4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Oznámenie Komisie – Usmernenia pre členské štáty týkajúce sa priamych zahraničných investícií z Ruska a Bieloruska s ohľadom na vojenskú agresiu voči Ukrajine a reštriktívne opatrenia stanovené v nedávnych nariadeniach Rady o sankciách, Ú. v. EÚ C 151 I, 6.4.2022, s. 1 – 12.</w:t>
      </w:r>
    </w:p>
    <w:p w14:paraId="357AECB4" w14:textId="77777777" w:rsidR="007E441B" w:rsidRPr="008B1F48" w:rsidRDefault="007E441B" w:rsidP="00BA2DAA">
      <w:pPr>
        <w:pStyle w:val="FootnoteText"/>
        <w:rPr>
          <w:rFonts w:ascii="Times New Roman" w:hAnsi="Times New Roman" w:cs="Times New Roman"/>
          <w:lang w:val="en-IE"/>
        </w:rPr>
      </w:pPr>
    </w:p>
  </w:footnote>
  <w:footnote w:id="16">
    <w:p w14:paraId="403F7D26" w14:textId="6C6D48F4" w:rsidR="007E441B" w:rsidRPr="001E5FF3" w:rsidRDefault="007E441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Podrobnejšie informácie sú uvedené v sprievodnom pracovnom dokumente útvarov Komisie.</w:t>
      </w:r>
    </w:p>
  </w:footnote>
  <w:footnote w:id="17">
    <w:p w14:paraId="47D78F14" w14:textId="77777777" w:rsidR="007E441B" w:rsidRPr="00C757BB" w:rsidRDefault="007E441B" w:rsidP="00C757B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Oznamovací formulár EÚ je návrhom, ako by členské štáty mohli transakcie oznamovať mechanizmu spolupráce EÚ. </w:t>
      </w:r>
    </w:p>
  </w:footnote>
  <w:footnote w:id="18">
    <w:p w14:paraId="3398DC5D" w14:textId="78738074" w:rsidR="007E441B" w:rsidRPr="00C757BB" w:rsidRDefault="007E441B" w:rsidP="00C757B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 nemeckých právnych predpisoch skupiny prípadov opisujú sektory. Ak sa teda činnosť spojená s transakciou týka ktoréhokoľvek z týchto sektorov, investori sú povinní oznámiť transakciu orgánom a vykonanie transakcie („ukončenie“) je neplatné, kým ho neschvália nemecké orgány. </w:t>
      </w:r>
    </w:p>
  </w:footnote>
  <w:footnote w:id="19">
    <w:p w14:paraId="0A4ABD6C" w14:textId="47135402" w:rsidR="007E441B" w:rsidRPr="00C757BB" w:rsidRDefault="007E441B" w:rsidP="005F3317">
      <w:pPr>
        <w:pStyle w:val="FootnoteText"/>
        <w:tabs>
          <w:tab w:val="left" w:pos="142"/>
        </w:tabs>
        <w:jc w:val="both"/>
        <w:rPr>
          <w:rFonts w:ascii="Times New Roman" w:hAnsi="Times New Roman" w:cs="Times New Roman"/>
        </w:rPr>
      </w:pPr>
      <w:r>
        <w:rPr>
          <w:rStyle w:val="FootnoteReference"/>
          <w:rFonts w:ascii="Times New Roman" w:hAnsi="Times New Roman" w:cs="Times New Roman"/>
        </w:rPr>
        <w:footnoteRef/>
      </w:r>
      <w:r w:rsidR="005F3317">
        <w:rPr>
          <w:rFonts w:ascii="Times New Roman" w:hAnsi="Times New Roman"/>
        </w:rPr>
        <w:t xml:space="preserve"> </w:t>
      </w:r>
      <w:r>
        <w:rPr>
          <w:rFonts w:ascii="Times New Roman" w:hAnsi="Times New Roman"/>
        </w:rPr>
        <w:t xml:space="preserve">Zoznam mechanizmov preverovania oznámených členskými štátmi je k dispozícii na: </w:t>
      </w:r>
      <w:hyperlink r:id="rId5" w:history="1">
        <w:r>
          <w:rPr>
            <w:rStyle w:val="Hyperlink"/>
            <w:rFonts w:ascii="Times New Roman" w:hAnsi="Times New Roman"/>
          </w:rPr>
          <w:t>https://trade.ec.europa.eu/doclib/docs/2019/june/tradoc_157946.pdf</w:t>
        </w:r>
      </w:hyperlink>
      <w:r>
        <w:rPr>
          <w:rFonts w:ascii="Times New Roman" w:hAnsi="Times New Roman"/>
        </w:rPr>
        <w:t xml:space="preserve"> </w:t>
      </w:r>
    </w:p>
  </w:footnote>
  <w:footnote w:id="20">
    <w:p w14:paraId="70517F58" w14:textId="345A43DB" w:rsidR="007E441B" w:rsidRPr="002D0C1A" w:rsidRDefault="007E441B" w:rsidP="00C757BB">
      <w:pPr>
        <w:pStyle w:val="FootnoteText"/>
        <w:jc w:val="both"/>
      </w:pPr>
      <w:r>
        <w:rPr>
          <w:rStyle w:val="FootnoteReference"/>
          <w:rFonts w:ascii="Times New Roman" w:hAnsi="Times New Roman" w:cs="Times New Roman"/>
        </w:rPr>
        <w:footnoteRef/>
      </w:r>
      <w:r>
        <w:rPr>
          <w:rFonts w:ascii="Times New Roman" w:hAnsi="Times New Roman"/>
        </w:rPr>
        <w:t xml:space="preserve"> Niektoré členské štáty neoznámili žiadne prípady podľa svojich právnych predpisov týkajúcich sa preverovania. Jeden členský štát takisto uviedol všeobecný údaj o počte žiadostí o povolenie a dva (čiastočné) údaje o výsledkoch. Ďalší členský štát oznámil podstatne nižší počet preverených prípadov v roku 2021 v porovnaní s číslami oznámenými v rámci prvej správy, keďže vykonal predbežné hodnotenie spisov pred nadobudnutím účinnosti svojich právnych predpisov. Niektoré členské štáty oznámili aj „konzultácie“ týkajúce sa oprávnenosti prípadov, ktoré sú zahrnuté v tomto počte.</w:t>
      </w:r>
    </w:p>
  </w:footnote>
  <w:footnote w:id="21">
    <w:p w14:paraId="018F4C22" w14:textId="31F905B4" w:rsidR="007E441B" w:rsidRPr="00914213" w:rsidRDefault="007E441B" w:rsidP="004641DD">
      <w:pPr>
        <w:pStyle w:val="FootnoteText"/>
        <w:jc w:val="both"/>
      </w:pPr>
      <w:r>
        <w:rPr>
          <w:rStyle w:val="FootnoteReference"/>
        </w:rPr>
        <w:footnoteRef/>
      </w:r>
      <w:r>
        <w:t xml:space="preserve"> </w:t>
      </w:r>
      <w:r>
        <w:rPr>
          <w:rFonts w:ascii="Times New Roman" w:hAnsi="Times New Roman"/>
        </w:rPr>
        <w:t>Je dôležité poznamenať, že členské štáty majú zavedené rôzne postupy preverovania, čo znamená, že nahlásené prípady závisia od vnútroštátnych postupov (rozsah, kontrola oprávnenosti vopred alebo neskôr atď.). Určité členské štáty napríklad vyhlasujú prípady za neoprávnené pred uskutočnením formálneho postupu preverovania, zatiaľ čo iné členské štáty najprv vykonávajú formálne preverenie a až potom príslušné prípady prípadne vyhlásia za neoprávnené. Grafy a čísla uvedené v tejto kapitole sú preto zamerané na presné vyjadrenie činností členských štátov zamerané na preverovanie, ktoré nahlásili, a to bez ohľadu na vnútroštátny systém.</w:t>
      </w:r>
    </w:p>
  </w:footnote>
  <w:footnote w:id="22">
    <w:p w14:paraId="71685CE3" w14:textId="4E8ECAEC" w:rsidR="007E441B" w:rsidRPr="00864E5B" w:rsidRDefault="007E441B">
      <w:pPr>
        <w:pStyle w:val="FootnoteText"/>
      </w:pPr>
      <w:r>
        <w:rPr>
          <w:rStyle w:val="FootnoteReference"/>
        </w:rPr>
        <w:footnoteRef/>
      </w:r>
      <w:r>
        <w:t xml:space="preserve"> V </w:t>
      </w:r>
      <w:r>
        <w:rPr>
          <w:rFonts w:ascii="Times New Roman" w:hAnsi="Times New Roman"/>
        </w:rPr>
        <w:t>prvej výročnej správe za celý rok 2020 to bolo 20 %.</w:t>
      </w:r>
    </w:p>
  </w:footnote>
  <w:footnote w:id="23">
    <w:p w14:paraId="4BC05492" w14:textId="50113796" w:rsidR="007E441B" w:rsidRPr="00D548E7" w:rsidRDefault="007E441B" w:rsidP="0099208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celkového oznámeného počtu prípadov, ktoré boli formálne preverené, sa vyňalo niekoľko prípadov a následne sa získali údaje znázornené na obrázku 7. Členské štáty skutočne oznámili výsledok rozhodnutí v 68,5 % prípadov. Niektoré prípady boli navyše prenesené do roku 2022, a preto ich výsledok nebol v roku 2021 známy. Odpočítané prípady nahlásil aj jeden členský štát, ktorý uviedol len dva zo štyroch možných výsledkov týchto prípadov.</w:t>
      </w:r>
    </w:p>
  </w:footnote>
  <w:footnote w:id="24">
    <w:p w14:paraId="2C793DD5" w14:textId="7090BB52" w:rsidR="007E441B" w:rsidRPr="00EF0ADC" w:rsidRDefault="007E441B" w:rsidP="00EF0ADC">
      <w:pPr>
        <w:pStyle w:val="FootnoteText"/>
        <w:ind w:left="426" w:hanging="426"/>
        <w:jc w:val="both"/>
        <w:rPr>
          <w:rStyle w:val="FootnoteReference"/>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Do tohto počtu je zahrnutých aj 5 prípadov, ktoré boli vopred oznámené v roku 2020, ale ktoré boli vybavené v roku 2021.</w:t>
      </w:r>
    </w:p>
  </w:footnote>
  <w:footnote w:id="25">
    <w:p w14:paraId="4245D139" w14:textId="77777777" w:rsidR="007E441B" w:rsidRPr="00EF0ADC" w:rsidRDefault="007E441B" w:rsidP="00EF0ADC">
      <w:pPr>
        <w:pStyle w:val="FootnoteText"/>
        <w:ind w:left="426" w:hanging="426"/>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tab/>
      </w:r>
      <w:r>
        <w:rPr>
          <w:rFonts w:ascii="Times New Roman" w:hAnsi="Times New Roman"/>
        </w:rPr>
        <w:t xml:space="preserve">Pozri </w:t>
      </w:r>
      <w:hyperlink r:id="rId6" w:history="1">
        <w:r>
          <w:rPr>
            <w:rStyle w:val="Hyperlink"/>
            <w:rFonts w:ascii="Times New Roman" w:hAnsi="Times New Roman"/>
          </w:rPr>
          <w:t>https://trade.ec.europa.eu/doclib/docs/2021/november/tradoc_159935.pdf</w:t>
        </w:r>
      </w:hyperlink>
    </w:p>
  </w:footnote>
  <w:footnote w:id="26">
    <w:p w14:paraId="0B783E11" w14:textId="717D8189" w:rsidR="007E441B" w:rsidRPr="001407C2" w:rsidRDefault="007E441B" w:rsidP="00273415">
      <w:pPr>
        <w:pStyle w:val="FootnoteText"/>
        <w:ind w:left="426" w:hanging="426"/>
        <w:jc w:val="both"/>
        <w:rPr>
          <w:rFonts w:ascii="Times New Roman" w:hAnsi="Times New Roman" w:cs="Times New Roman"/>
        </w:rPr>
      </w:pPr>
      <w:r>
        <w:rPr>
          <w:rStyle w:val="FootnoteReference"/>
        </w:rPr>
        <w:footnoteRef/>
      </w:r>
      <w:r>
        <w:t xml:space="preserve"> </w:t>
      </w:r>
      <w:r>
        <w:tab/>
      </w:r>
      <w:r>
        <w:rPr>
          <w:rFonts w:ascii="Times New Roman" w:hAnsi="Times New Roman"/>
        </w:rPr>
        <w:t>Finančné činnosti zahŕňajú činnosti vykonávané (alebo pripísateľné) holdingom, fondom alebo podobným subjektom vo finančnom sektore, ktorých cieľom je získať konkrétny (majetkový) podiel alebo kontrolu v cieľovej spoločnosti.</w:t>
      </w:r>
    </w:p>
  </w:footnote>
  <w:footnote w:id="27">
    <w:p w14:paraId="1EF1DB29" w14:textId="0EFBD967" w:rsidR="007E441B" w:rsidRPr="00EF0ADC" w:rsidRDefault="007E441B" w:rsidP="00EF0ADC">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V prvej výročnej správe išlo o výrobu, IKT, veľkoobchod a maloobchod, ktoré boli zaradené pod kódy klasifikácie NACE C, J a G.</w:t>
      </w:r>
    </w:p>
  </w:footnote>
  <w:footnote w:id="28">
    <w:p w14:paraId="3F716439" w14:textId="67573E1E" w:rsidR="007E441B" w:rsidRPr="00EF0ADC" w:rsidRDefault="007E441B" w:rsidP="00EF0ADC">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Keďže prípady sa môžu týkať viacerých odvetví (t. j. rôznych kódov klasifikácie NACE), celková suma v grafe je vyššia ako celkový počet prípadov oznámených v roku 2021. Kategória „ostatné“ zahŕňa všetky ostatné odvetvia pod 4 %, napríklad dodávky elektrickej energie, plynu, pary a klimatizácie a prepravu a skladovanie.</w:t>
      </w:r>
    </w:p>
  </w:footnote>
  <w:footnote w:id="29">
    <w:p w14:paraId="7C1EBE9D" w14:textId="42BC8B60" w:rsidR="007E441B" w:rsidRPr="009C0266" w:rsidRDefault="007E441B" w:rsidP="004641DD">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Hodnota, ak je k dispozícii, sa vzťahuje na cieľovú spoločnosť, ktorou môže byť dcérska spoločnosť väčšieho cieľového podniku nachádzajúca sa v EÚ.</w:t>
      </w:r>
    </w:p>
  </w:footnote>
  <w:footnote w:id="30">
    <w:p w14:paraId="42837A0E" w14:textId="54248F4D" w:rsidR="007E441B" w:rsidRPr="00636721" w:rsidRDefault="007E441B" w:rsidP="004641DD">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tab/>
      </w:r>
      <w:r>
        <w:rPr>
          <w:rFonts w:ascii="Times New Roman" w:hAnsi="Times New Roman"/>
        </w:rPr>
        <w:t>V prvej výročnej správe sa uvádzala nižšia hodnota väčšiny transakcií, t. j. hodnota v rozmedzí 10 – 100 miliónov EUR, pričom transakcie v sektore IKT predstavujú najvyššiu hodnotu dojednaného obchodu a na transakcie v odvetví „činnosti v rámci iných služieb“ pripadali najnižšie hodnoty rozpätia.</w:t>
      </w:r>
    </w:p>
  </w:footnote>
  <w:footnote w:id="31">
    <w:p w14:paraId="48EE5004" w14:textId="5417B7AB" w:rsidR="007E441B" w:rsidRPr="007B1929" w:rsidRDefault="007E441B" w:rsidP="00403AB8">
      <w:pPr>
        <w:pStyle w:val="FootnoteText"/>
        <w:ind w:left="426" w:hanging="426"/>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tab/>
      </w:r>
      <w:r>
        <w:rPr>
          <w:rFonts w:ascii="Times New Roman" w:hAnsi="Times New Roman"/>
        </w:rPr>
        <w:t>Položka neuvedené zahŕňa transakcie bez uvedenia informácií, resp. transakcie, pre ktoré nie je hodnota dispozícii/nebola uverejnená a nedá sa uviesť.</w:t>
      </w:r>
    </w:p>
  </w:footnote>
  <w:footnote w:id="32">
    <w:p w14:paraId="798076A0" w14:textId="4202CCCA" w:rsidR="007E441B" w:rsidRPr="009C0266" w:rsidRDefault="007E441B" w:rsidP="004641DD">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K 31. decembru 2021 prebiehalo k dátumu uzávierky tejto správy zo 414 oznámených prípadov stále 11.</w:t>
      </w:r>
    </w:p>
  </w:footnote>
  <w:footnote w:id="33">
    <w:p w14:paraId="5053DBC6" w14:textId="7996A0D3" w:rsidR="007E441B" w:rsidRPr="004641DD" w:rsidRDefault="007E441B" w:rsidP="004641DD">
      <w:pPr>
        <w:pStyle w:val="FootnoteText"/>
        <w:ind w:left="426" w:hanging="426"/>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Formulár oznámenia na informácie od investora na účely oznámenia podľa článku 6 nariadenia a aktualizovaný dokument s najčastejšími otázkami majú zabezpečiť určitý stupeň jednotnosti a minimálnu úroveň informácií o investorovi a investičnom cieli, ktoré sa poskytujú v oznámeniach podľa nariadenia. Oba dokumenty sú k dispozícii na adrese</w:t>
      </w:r>
      <w:hyperlink r:id="rId7" w:history="1">
        <w:r>
          <w:rPr>
            <w:rStyle w:val="Hyperlink"/>
            <w:rFonts w:ascii="Times New Roman" w:hAnsi="Times New Roman"/>
          </w:rPr>
          <w:t>http://trade.ec.europa.eu/doclib/press/index.cfm?id=2006</w:t>
        </w:r>
      </w:hyperlink>
    </w:p>
  </w:footnote>
  <w:footnote w:id="34">
    <w:p w14:paraId="3C231A50" w14:textId="2FD6F80A" w:rsidR="007E441B" w:rsidRPr="008B3375" w:rsidRDefault="007E441B" w:rsidP="00EF0A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poznámku pod čiarou č. 25.</w:t>
      </w:r>
    </w:p>
  </w:footnote>
  <w:footnote w:id="35">
    <w:p w14:paraId="29B551AB" w14:textId="7299AA60" w:rsidR="007E441B" w:rsidRPr="008B3375" w:rsidRDefault="007E441B" w:rsidP="00EF0ADC">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 prvej správe sa uvádzalo 36 prípadov vo fáze 2, ktoré pochádzali zo šiestich členských štátov.</w:t>
      </w:r>
    </w:p>
  </w:footnote>
  <w:footnote w:id="36">
    <w:p w14:paraId="3984BA74" w14:textId="48C337AB" w:rsidR="007E441B" w:rsidRPr="00E87866" w:rsidRDefault="007E441B" w:rsidP="004641DD">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Pojem „transakcie PZI týkajúce sa viacerých jurisdikcií“ sa v tejto súvislosti vzťahuje na transakcie PZI, pri ktorých je investičným cieľom podniková skupina pôsobiaca vo viac ako jednom členskom štáte (a prípadne aj v tretích krajinách), napr. formou dcérskych spoločností vo viac ako jednom členskom štáte. V závislosti od okolností, ale aj osobitostí mechanizmu preverovania zavedeného v príslušných členských štátoch, takéto obchody </w:t>
      </w:r>
      <w:r>
        <w:rPr>
          <w:rFonts w:ascii="Times New Roman" w:hAnsi="Times New Roman"/>
          <w:b/>
        </w:rPr>
        <w:t>oznamuje viac ako jeden členský štát</w:t>
      </w:r>
      <w:r>
        <w:rPr>
          <w:rFonts w:ascii="Times New Roman" w:hAnsi="Times New Roman"/>
        </w:rPr>
        <w:t>, hoci len zriedka koordinovaným a synchronizovaným spôsobom.</w:t>
      </w:r>
    </w:p>
  </w:footnote>
  <w:footnote w:id="37">
    <w:p w14:paraId="33F1C7D6" w14:textId="3D7C813D" w:rsidR="007E441B" w:rsidRPr="00633ED0" w:rsidRDefault="007E441B" w:rsidP="00A8732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poznámku pod čiarou č. 14.</w:t>
      </w:r>
    </w:p>
  </w:footnote>
  <w:footnote w:id="38">
    <w:p w14:paraId="5D8C3275" w14:textId="77777777" w:rsidR="007E441B" w:rsidRPr="00BA6221" w:rsidRDefault="007E441B" w:rsidP="00624FA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poznámku pod čiarou č. 13.</w:t>
      </w:r>
    </w:p>
  </w:footnote>
  <w:footnote w:id="39">
    <w:p w14:paraId="6678AAE9" w14:textId="77777777" w:rsidR="007E441B" w:rsidRPr="00B21651" w:rsidRDefault="007E441B" w:rsidP="00624FA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Pozri poznámku pod čiarou č. 14.</w:t>
      </w:r>
    </w:p>
  </w:footnote>
  <w:footnote w:id="40">
    <w:p w14:paraId="3E41A8E0" w14:textId="349D4F98" w:rsidR="007E441B" w:rsidRPr="00EF0E5C" w:rsidRDefault="007E441B" w:rsidP="00624FA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Konkrétnymi cieľmi štúdie je i) predložiť prehľad existujúcich právnych predpisov členských štátov, ktoré majú v súčasnosti zavedený mechanizmus preverovania; ii) preskúmať, ako vnútroštátne právne predpisy a nariadenie o preverovaní PZI upravujú interakciu medzi vnútroštátnymi orgánmi a s Európskou komisiou v rámci mechanizmu spolupráce zriadeného nariadením o preverovaní PZI; iii) identifikovať všetky závažné problémy súčasnej sústavy vnútroštátnych právnych predpisov a nariadenia o preverovaní PZI, ktoré môžu viesť k menej účinným a/alebo menej efektívnym výsledkom z hľadiska politických cieľov nariadenia o preverovaní PZI, a iv) udržať administratívnu záťaž pre investorov a iné zainteresované strany úmernú cieľom politiky a relevantným obavám o bezpečnosť alebo verejný poriadok.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63E2" w14:textId="77777777" w:rsidR="0057613D" w:rsidRPr="0057613D" w:rsidRDefault="0057613D" w:rsidP="00576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0112" w14:textId="77777777" w:rsidR="0057613D" w:rsidRPr="0057613D" w:rsidRDefault="0057613D" w:rsidP="0057613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AAD50" w14:textId="77777777" w:rsidR="0057613D" w:rsidRPr="0057613D" w:rsidRDefault="0057613D" w:rsidP="0057613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3E44" w14:textId="77777777" w:rsidR="007E441B" w:rsidRDefault="007E44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939A5" w14:textId="77777777" w:rsidR="007E441B" w:rsidRPr="00D56F97" w:rsidRDefault="007E441B" w:rsidP="00D56F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85D6D" w14:textId="77777777" w:rsidR="007E441B" w:rsidRDefault="007E44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6E3"/>
    <w:multiLevelType w:val="hybridMultilevel"/>
    <w:tmpl w:val="CE7052FA"/>
    <w:lvl w:ilvl="0" w:tplc="B02C34E2">
      <w:start w:val="1"/>
      <w:numFmt w:val="bullet"/>
      <w:lvlText w:val="•"/>
      <w:lvlJc w:val="left"/>
      <w:pPr>
        <w:tabs>
          <w:tab w:val="num" w:pos="720"/>
        </w:tabs>
        <w:ind w:left="720" w:hanging="360"/>
      </w:pPr>
      <w:rPr>
        <w:rFonts w:ascii="Arial" w:hAnsi="Arial" w:hint="default"/>
      </w:rPr>
    </w:lvl>
    <w:lvl w:ilvl="1" w:tplc="42C02BA2" w:tentative="1">
      <w:start w:val="1"/>
      <w:numFmt w:val="bullet"/>
      <w:lvlText w:val="•"/>
      <w:lvlJc w:val="left"/>
      <w:pPr>
        <w:tabs>
          <w:tab w:val="num" w:pos="1440"/>
        </w:tabs>
        <w:ind w:left="1440" w:hanging="360"/>
      </w:pPr>
      <w:rPr>
        <w:rFonts w:ascii="Arial" w:hAnsi="Arial" w:hint="default"/>
      </w:rPr>
    </w:lvl>
    <w:lvl w:ilvl="2" w:tplc="5BAE791C" w:tentative="1">
      <w:start w:val="1"/>
      <w:numFmt w:val="bullet"/>
      <w:lvlText w:val="•"/>
      <w:lvlJc w:val="left"/>
      <w:pPr>
        <w:tabs>
          <w:tab w:val="num" w:pos="2160"/>
        </w:tabs>
        <w:ind w:left="2160" w:hanging="360"/>
      </w:pPr>
      <w:rPr>
        <w:rFonts w:ascii="Arial" w:hAnsi="Arial" w:hint="default"/>
      </w:rPr>
    </w:lvl>
    <w:lvl w:ilvl="3" w:tplc="87F2B8C2" w:tentative="1">
      <w:start w:val="1"/>
      <w:numFmt w:val="bullet"/>
      <w:lvlText w:val="•"/>
      <w:lvlJc w:val="left"/>
      <w:pPr>
        <w:tabs>
          <w:tab w:val="num" w:pos="2880"/>
        </w:tabs>
        <w:ind w:left="2880" w:hanging="360"/>
      </w:pPr>
      <w:rPr>
        <w:rFonts w:ascii="Arial" w:hAnsi="Arial" w:hint="default"/>
      </w:rPr>
    </w:lvl>
    <w:lvl w:ilvl="4" w:tplc="8ED89350" w:tentative="1">
      <w:start w:val="1"/>
      <w:numFmt w:val="bullet"/>
      <w:lvlText w:val="•"/>
      <w:lvlJc w:val="left"/>
      <w:pPr>
        <w:tabs>
          <w:tab w:val="num" w:pos="3600"/>
        </w:tabs>
        <w:ind w:left="3600" w:hanging="360"/>
      </w:pPr>
      <w:rPr>
        <w:rFonts w:ascii="Arial" w:hAnsi="Arial" w:hint="default"/>
      </w:rPr>
    </w:lvl>
    <w:lvl w:ilvl="5" w:tplc="CE9CCDB8" w:tentative="1">
      <w:start w:val="1"/>
      <w:numFmt w:val="bullet"/>
      <w:lvlText w:val="•"/>
      <w:lvlJc w:val="left"/>
      <w:pPr>
        <w:tabs>
          <w:tab w:val="num" w:pos="4320"/>
        </w:tabs>
        <w:ind w:left="4320" w:hanging="360"/>
      </w:pPr>
      <w:rPr>
        <w:rFonts w:ascii="Arial" w:hAnsi="Arial" w:hint="default"/>
      </w:rPr>
    </w:lvl>
    <w:lvl w:ilvl="6" w:tplc="C464A3FE" w:tentative="1">
      <w:start w:val="1"/>
      <w:numFmt w:val="bullet"/>
      <w:lvlText w:val="•"/>
      <w:lvlJc w:val="left"/>
      <w:pPr>
        <w:tabs>
          <w:tab w:val="num" w:pos="5040"/>
        </w:tabs>
        <w:ind w:left="5040" w:hanging="360"/>
      </w:pPr>
      <w:rPr>
        <w:rFonts w:ascii="Arial" w:hAnsi="Arial" w:hint="default"/>
      </w:rPr>
    </w:lvl>
    <w:lvl w:ilvl="7" w:tplc="C31ED4F0" w:tentative="1">
      <w:start w:val="1"/>
      <w:numFmt w:val="bullet"/>
      <w:lvlText w:val="•"/>
      <w:lvlJc w:val="left"/>
      <w:pPr>
        <w:tabs>
          <w:tab w:val="num" w:pos="5760"/>
        </w:tabs>
        <w:ind w:left="5760" w:hanging="360"/>
      </w:pPr>
      <w:rPr>
        <w:rFonts w:ascii="Arial" w:hAnsi="Arial" w:hint="default"/>
      </w:rPr>
    </w:lvl>
    <w:lvl w:ilvl="8" w:tplc="9BAED7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B01F2"/>
    <w:multiLevelType w:val="hybridMultilevel"/>
    <w:tmpl w:val="6402088C"/>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2" w15:restartNumberingAfterBreak="0">
    <w:nsid w:val="138B7D5C"/>
    <w:multiLevelType w:val="hybridMultilevel"/>
    <w:tmpl w:val="B0A8A4D4"/>
    <w:lvl w:ilvl="0" w:tplc="40DE171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ABB2DE7"/>
    <w:multiLevelType w:val="hybridMultilevel"/>
    <w:tmpl w:val="D0C00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120FBF"/>
    <w:multiLevelType w:val="hybridMultilevel"/>
    <w:tmpl w:val="7626306E"/>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EC37D9"/>
    <w:multiLevelType w:val="multilevel"/>
    <w:tmpl w:val="24EC37D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D0E55"/>
    <w:multiLevelType w:val="hybridMultilevel"/>
    <w:tmpl w:val="B0DA1CC6"/>
    <w:lvl w:ilvl="0" w:tplc="3554499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0853DC"/>
    <w:multiLevelType w:val="hybridMultilevel"/>
    <w:tmpl w:val="E950274A"/>
    <w:lvl w:ilvl="0" w:tplc="AE14E940">
      <w:start w:val="1"/>
      <w:numFmt w:val="bullet"/>
      <w:lvlText w:val="•"/>
      <w:lvlJc w:val="left"/>
      <w:pPr>
        <w:tabs>
          <w:tab w:val="num" w:pos="720"/>
        </w:tabs>
        <w:ind w:left="720" w:hanging="360"/>
      </w:pPr>
      <w:rPr>
        <w:rFonts w:ascii="Arial" w:hAnsi="Arial" w:hint="default"/>
      </w:rPr>
    </w:lvl>
    <w:lvl w:ilvl="1" w:tplc="BE404BA2">
      <w:start w:val="1"/>
      <w:numFmt w:val="bullet"/>
      <w:lvlText w:val="•"/>
      <w:lvlJc w:val="left"/>
      <w:pPr>
        <w:tabs>
          <w:tab w:val="num" w:pos="1440"/>
        </w:tabs>
        <w:ind w:left="1440" w:hanging="360"/>
      </w:pPr>
      <w:rPr>
        <w:rFonts w:ascii="Arial" w:hAnsi="Arial" w:hint="default"/>
      </w:rPr>
    </w:lvl>
    <w:lvl w:ilvl="2" w:tplc="EAF67F72" w:tentative="1">
      <w:start w:val="1"/>
      <w:numFmt w:val="bullet"/>
      <w:lvlText w:val="•"/>
      <w:lvlJc w:val="left"/>
      <w:pPr>
        <w:tabs>
          <w:tab w:val="num" w:pos="2160"/>
        </w:tabs>
        <w:ind w:left="2160" w:hanging="360"/>
      </w:pPr>
      <w:rPr>
        <w:rFonts w:ascii="Arial" w:hAnsi="Arial" w:hint="default"/>
      </w:rPr>
    </w:lvl>
    <w:lvl w:ilvl="3" w:tplc="AB1E2A2E" w:tentative="1">
      <w:start w:val="1"/>
      <w:numFmt w:val="bullet"/>
      <w:lvlText w:val="•"/>
      <w:lvlJc w:val="left"/>
      <w:pPr>
        <w:tabs>
          <w:tab w:val="num" w:pos="2880"/>
        </w:tabs>
        <w:ind w:left="2880" w:hanging="360"/>
      </w:pPr>
      <w:rPr>
        <w:rFonts w:ascii="Arial" w:hAnsi="Arial" w:hint="default"/>
      </w:rPr>
    </w:lvl>
    <w:lvl w:ilvl="4" w:tplc="8D06B140" w:tentative="1">
      <w:start w:val="1"/>
      <w:numFmt w:val="bullet"/>
      <w:lvlText w:val="•"/>
      <w:lvlJc w:val="left"/>
      <w:pPr>
        <w:tabs>
          <w:tab w:val="num" w:pos="3600"/>
        </w:tabs>
        <w:ind w:left="3600" w:hanging="360"/>
      </w:pPr>
      <w:rPr>
        <w:rFonts w:ascii="Arial" w:hAnsi="Arial" w:hint="default"/>
      </w:rPr>
    </w:lvl>
    <w:lvl w:ilvl="5" w:tplc="9AFC45F6" w:tentative="1">
      <w:start w:val="1"/>
      <w:numFmt w:val="bullet"/>
      <w:lvlText w:val="•"/>
      <w:lvlJc w:val="left"/>
      <w:pPr>
        <w:tabs>
          <w:tab w:val="num" w:pos="4320"/>
        </w:tabs>
        <w:ind w:left="4320" w:hanging="360"/>
      </w:pPr>
      <w:rPr>
        <w:rFonts w:ascii="Arial" w:hAnsi="Arial" w:hint="default"/>
      </w:rPr>
    </w:lvl>
    <w:lvl w:ilvl="6" w:tplc="766C877C" w:tentative="1">
      <w:start w:val="1"/>
      <w:numFmt w:val="bullet"/>
      <w:lvlText w:val="•"/>
      <w:lvlJc w:val="left"/>
      <w:pPr>
        <w:tabs>
          <w:tab w:val="num" w:pos="5040"/>
        </w:tabs>
        <w:ind w:left="5040" w:hanging="360"/>
      </w:pPr>
      <w:rPr>
        <w:rFonts w:ascii="Arial" w:hAnsi="Arial" w:hint="default"/>
      </w:rPr>
    </w:lvl>
    <w:lvl w:ilvl="7" w:tplc="2D84B072" w:tentative="1">
      <w:start w:val="1"/>
      <w:numFmt w:val="bullet"/>
      <w:lvlText w:val="•"/>
      <w:lvlJc w:val="left"/>
      <w:pPr>
        <w:tabs>
          <w:tab w:val="num" w:pos="5760"/>
        </w:tabs>
        <w:ind w:left="5760" w:hanging="360"/>
      </w:pPr>
      <w:rPr>
        <w:rFonts w:ascii="Arial" w:hAnsi="Arial" w:hint="default"/>
      </w:rPr>
    </w:lvl>
    <w:lvl w:ilvl="8" w:tplc="9EF6AC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0855C9"/>
    <w:multiLevelType w:val="hybridMultilevel"/>
    <w:tmpl w:val="04021580"/>
    <w:lvl w:ilvl="0" w:tplc="F6722A4C">
      <w:start w:val="30"/>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9" w15:restartNumberingAfterBreak="0">
    <w:nsid w:val="343B66B2"/>
    <w:multiLevelType w:val="hybridMultilevel"/>
    <w:tmpl w:val="2D92878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9912E07"/>
    <w:multiLevelType w:val="hybridMultilevel"/>
    <w:tmpl w:val="15EA2B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1E2917"/>
    <w:multiLevelType w:val="hybridMultilevel"/>
    <w:tmpl w:val="EABA6D20"/>
    <w:lvl w:ilvl="0" w:tplc="1876D6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65185"/>
    <w:multiLevelType w:val="hybridMultilevel"/>
    <w:tmpl w:val="5EECE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BF04E3"/>
    <w:multiLevelType w:val="hybridMultilevel"/>
    <w:tmpl w:val="558060C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6B8516F"/>
    <w:multiLevelType w:val="hybridMultilevel"/>
    <w:tmpl w:val="BCE2ADFC"/>
    <w:lvl w:ilvl="0" w:tplc="C3C2897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804DE1"/>
    <w:multiLevelType w:val="hybridMultilevel"/>
    <w:tmpl w:val="946091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B5058DC"/>
    <w:multiLevelType w:val="hybridMultilevel"/>
    <w:tmpl w:val="90CEB562"/>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1037A80"/>
    <w:multiLevelType w:val="hybridMultilevel"/>
    <w:tmpl w:val="933CF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3A6B6B"/>
    <w:multiLevelType w:val="hybridMultilevel"/>
    <w:tmpl w:val="C8E20620"/>
    <w:lvl w:ilvl="0" w:tplc="F4E6BEA4">
      <w:start w:val="1"/>
      <w:numFmt w:val="decimal"/>
      <w:pStyle w:val="Heading2"/>
      <w:lvlText w:val="%1."/>
      <w:lvlJc w:val="left"/>
      <w:pPr>
        <w:ind w:left="643" w:hanging="360"/>
      </w:pPr>
      <w:rPr>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15:restartNumberingAfterBreak="0">
    <w:nsid w:val="73D46268"/>
    <w:multiLevelType w:val="hybridMultilevel"/>
    <w:tmpl w:val="DB445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5952FDE"/>
    <w:multiLevelType w:val="hybridMultilevel"/>
    <w:tmpl w:val="0A5A6A3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1" w15:restartNumberingAfterBreak="0">
    <w:nsid w:val="7F356F0E"/>
    <w:multiLevelType w:val="hybridMultilevel"/>
    <w:tmpl w:val="2FDA2F74"/>
    <w:lvl w:ilvl="0" w:tplc="ECB0BE4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7"/>
  </w:num>
  <w:num w:numId="4">
    <w:abstractNumId w:val="2"/>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8"/>
  </w:num>
  <w:num w:numId="10">
    <w:abstractNumId w:val="16"/>
  </w:num>
  <w:num w:numId="11">
    <w:abstractNumId w:val="10"/>
  </w:num>
  <w:num w:numId="12">
    <w:abstractNumId w:val="19"/>
  </w:num>
  <w:num w:numId="13">
    <w:abstractNumId w:val="15"/>
  </w:num>
  <w:num w:numId="14">
    <w:abstractNumId w:val="11"/>
  </w:num>
  <w:num w:numId="15">
    <w:abstractNumId w:val="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1"/>
  </w:num>
  <w:num w:numId="19">
    <w:abstractNumId w:val="14"/>
  </w:num>
  <w:num w:numId="20">
    <w:abstractNumId w:val="6"/>
  </w:num>
  <w:num w:numId="21">
    <w:abstractNumId w:val="13"/>
  </w:num>
  <w:num w:numId="22">
    <w:abstractNumId w:val="20"/>
  </w:num>
  <w:num w:numId="23">
    <w:abstractNumId w:val="18"/>
    <w:lvlOverride w:ilvl="0">
      <w:startOverride w:val="1"/>
    </w:lvlOverride>
  </w:num>
  <w:num w:numId="24">
    <w:abstractNumId w:val="7"/>
  </w:num>
  <w:num w:numId="25">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9CCE321B-B0B6-46E5-BF8F-2577272CB1DC"/>
    <w:docVar w:name="LW_COVERPAGE_TYPE" w:val="1"/>
    <w:docVar w:name="LW_CROSSREFERENCE" w:val="{SWD(2022) 219 final}"/>
    <w:docVar w:name="LW_DocType" w:val="NORMAL"/>
    <w:docVar w:name="LW_EMISSION" w:val="1. 9. 2022"/>
    <w:docVar w:name="LW_EMISSION_ISODATE" w:val="2022-09-01"/>
    <w:docVar w:name="LW_EMISSION_LOCATION" w:val="BRX"/>
    <w:docVar w:name="LW_EMISSION_PREFIX" w:val="V Bruseli"/>
    <w:docVar w:name="LW_EMISSION_SUFFIX" w:val=" "/>
    <w:docVar w:name="LW_ID_DOCTYPE_NONLW" w:val="CP-006"/>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2) 43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ruhá výročná správa EÚ o preverovaní priamych zahraničných investícií &lt;/FMT&gt;_x000b_"/>
    <w:docVar w:name="LW_TYPE.DOC.CP" w:val="SPRÁVA KOMISIE EURÓPSKEMU PARLAMENTU A RADE"/>
    <w:docVar w:name="LwApiVersions" w:val="LW4CoDe 1.23.2.0; LW 8.0, Build 20211117"/>
  </w:docVars>
  <w:rsids>
    <w:rsidRoot w:val="00E733DD"/>
    <w:rsid w:val="BFE93AFA"/>
    <w:rsid w:val="C5FE6172"/>
    <w:rsid w:val="C71F3EEC"/>
    <w:rsid w:val="CB7C25B1"/>
    <w:rsid w:val="DCDF5647"/>
    <w:rsid w:val="EDD96202"/>
    <w:rsid w:val="FBCFAE09"/>
    <w:rsid w:val="FF5FAC88"/>
    <w:rsid w:val="FFE6A58E"/>
    <w:rsid w:val="FFFC30C4"/>
    <w:rsid w:val="00000072"/>
    <w:rsid w:val="00002940"/>
    <w:rsid w:val="00002BF7"/>
    <w:rsid w:val="00002E8D"/>
    <w:rsid w:val="000043A4"/>
    <w:rsid w:val="00005302"/>
    <w:rsid w:val="00007216"/>
    <w:rsid w:val="00010522"/>
    <w:rsid w:val="00010601"/>
    <w:rsid w:val="00010D8B"/>
    <w:rsid w:val="00011D28"/>
    <w:rsid w:val="00012D25"/>
    <w:rsid w:val="00014AEC"/>
    <w:rsid w:val="00016590"/>
    <w:rsid w:val="00016A3A"/>
    <w:rsid w:val="00017E32"/>
    <w:rsid w:val="00020A2A"/>
    <w:rsid w:val="00020A69"/>
    <w:rsid w:val="00022A13"/>
    <w:rsid w:val="000231F8"/>
    <w:rsid w:val="0002339C"/>
    <w:rsid w:val="00023C65"/>
    <w:rsid w:val="00024876"/>
    <w:rsid w:val="0002560B"/>
    <w:rsid w:val="0002649F"/>
    <w:rsid w:val="00026948"/>
    <w:rsid w:val="00026A7C"/>
    <w:rsid w:val="00026C06"/>
    <w:rsid w:val="00026C0F"/>
    <w:rsid w:val="0002712B"/>
    <w:rsid w:val="0003064D"/>
    <w:rsid w:val="00031351"/>
    <w:rsid w:val="00031372"/>
    <w:rsid w:val="000320CB"/>
    <w:rsid w:val="00032200"/>
    <w:rsid w:val="00032D50"/>
    <w:rsid w:val="00034488"/>
    <w:rsid w:val="000350CD"/>
    <w:rsid w:val="00035A10"/>
    <w:rsid w:val="000362A9"/>
    <w:rsid w:val="00037A66"/>
    <w:rsid w:val="0004090E"/>
    <w:rsid w:val="0004161A"/>
    <w:rsid w:val="00041B50"/>
    <w:rsid w:val="00042BC9"/>
    <w:rsid w:val="00042CF1"/>
    <w:rsid w:val="000433C5"/>
    <w:rsid w:val="000434DE"/>
    <w:rsid w:val="00043EA5"/>
    <w:rsid w:val="00044322"/>
    <w:rsid w:val="00044B25"/>
    <w:rsid w:val="00044F8D"/>
    <w:rsid w:val="00045759"/>
    <w:rsid w:val="000465B3"/>
    <w:rsid w:val="00046F58"/>
    <w:rsid w:val="00047049"/>
    <w:rsid w:val="00047781"/>
    <w:rsid w:val="0005014F"/>
    <w:rsid w:val="00050316"/>
    <w:rsid w:val="0005086D"/>
    <w:rsid w:val="00050B8B"/>
    <w:rsid w:val="00051576"/>
    <w:rsid w:val="00051FFE"/>
    <w:rsid w:val="00052B2F"/>
    <w:rsid w:val="00053178"/>
    <w:rsid w:val="000540C8"/>
    <w:rsid w:val="0005410D"/>
    <w:rsid w:val="00054608"/>
    <w:rsid w:val="00054B72"/>
    <w:rsid w:val="00054DD6"/>
    <w:rsid w:val="00055168"/>
    <w:rsid w:val="00055894"/>
    <w:rsid w:val="00055C0C"/>
    <w:rsid w:val="00055F67"/>
    <w:rsid w:val="000573E3"/>
    <w:rsid w:val="00060001"/>
    <w:rsid w:val="000605E2"/>
    <w:rsid w:val="00060EEE"/>
    <w:rsid w:val="0006291F"/>
    <w:rsid w:val="000638E1"/>
    <w:rsid w:val="000644D8"/>
    <w:rsid w:val="00065531"/>
    <w:rsid w:val="00065600"/>
    <w:rsid w:val="00065EC1"/>
    <w:rsid w:val="000666FA"/>
    <w:rsid w:val="00066D64"/>
    <w:rsid w:val="0006767E"/>
    <w:rsid w:val="000679FE"/>
    <w:rsid w:val="00067C70"/>
    <w:rsid w:val="00067CCE"/>
    <w:rsid w:val="00067E1A"/>
    <w:rsid w:val="000700D5"/>
    <w:rsid w:val="00070492"/>
    <w:rsid w:val="00070908"/>
    <w:rsid w:val="00070A8E"/>
    <w:rsid w:val="00070ADD"/>
    <w:rsid w:val="00071A97"/>
    <w:rsid w:val="00072CA4"/>
    <w:rsid w:val="00073140"/>
    <w:rsid w:val="00075925"/>
    <w:rsid w:val="000762A4"/>
    <w:rsid w:val="00077012"/>
    <w:rsid w:val="00080448"/>
    <w:rsid w:val="0008077F"/>
    <w:rsid w:val="00080AFA"/>
    <w:rsid w:val="0008226F"/>
    <w:rsid w:val="0008548A"/>
    <w:rsid w:val="00085A1D"/>
    <w:rsid w:val="00086463"/>
    <w:rsid w:val="00086938"/>
    <w:rsid w:val="00086F84"/>
    <w:rsid w:val="00087DCC"/>
    <w:rsid w:val="0009000E"/>
    <w:rsid w:val="00090888"/>
    <w:rsid w:val="00090EA7"/>
    <w:rsid w:val="00091632"/>
    <w:rsid w:val="000922F7"/>
    <w:rsid w:val="00093AEF"/>
    <w:rsid w:val="0009443C"/>
    <w:rsid w:val="00094E5D"/>
    <w:rsid w:val="00095494"/>
    <w:rsid w:val="00095D48"/>
    <w:rsid w:val="00096E5C"/>
    <w:rsid w:val="0009701C"/>
    <w:rsid w:val="00097F20"/>
    <w:rsid w:val="000A1185"/>
    <w:rsid w:val="000A19C9"/>
    <w:rsid w:val="000A2AD5"/>
    <w:rsid w:val="000A2FB6"/>
    <w:rsid w:val="000A3A13"/>
    <w:rsid w:val="000A4E95"/>
    <w:rsid w:val="000A5190"/>
    <w:rsid w:val="000A632A"/>
    <w:rsid w:val="000B078B"/>
    <w:rsid w:val="000B1000"/>
    <w:rsid w:val="000B1FA3"/>
    <w:rsid w:val="000B274D"/>
    <w:rsid w:val="000B2BB4"/>
    <w:rsid w:val="000B3165"/>
    <w:rsid w:val="000B3E9C"/>
    <w:rsid w:val="000B3F25"/>
    <w:rsid w:val="000B50E7"/>
    <w:rsid w:val="000B5226"/>
    <w:rsid w:val="000B538C"/>
    <w:rsid w:val="000B5B91"/>
    <w:rsid w:val="000B5F3B"/>
    <w:rsid w:val="000B6675"/>
    <w:rsid w:val="000B6DC8"/>
    <w:rsid w:val="000B7145"/>
    <w:rsid w:val="000B72D3"/>
    <w:rsid w:val="000B79B7"/>
    <w:rsid w:val="000C0C65"/>
    <w:rsid w:val="000C0E0B"/>
    <w:rsid w:val="000C0E7E"/>
    <w:rsid w:val="000C25C5"/>
    <w:rsid w:val="000C3AA0"/>
    <w:rsid w:val="000C4078"/>
    <w:rsid w:val="000C4CD7"/>
    <w:rsid w:val="000C4FC2"/>
    <w:rsid w:val="000C5537"/>
    <w:rsid w:val="000C5943"/>
    <w:rsid w:val="000C5B87"/>
    <w:rsid w:val="000C61D3"/>
    <w:rsid w:val="000C705B"/>
    <w:rsid w:val="000C7102"/>
    <w:rsid w:val="000C76F5"/>
    <w:rsid w:val="000C791E"/>
    <w:rsid w:val="000C7EA0"/>
    <w:rsid w:val="000D041D"/>
    <w:rsid w:val="000D08D6"/>
    <w:rsid w:val="000D1A21"/>
    <w:rsid w:val="000D2843"/>
    <w:rsid w:val="000D3152"/>
    <w:rsid w:val="000D3C55"/>
    <w:rsid w:val="000D3C7B"/>
    <w:rsid w:val="000D4DF5"/>
    <w:rsid w:val="000D59AD"/>
    <w:rsid w:val="000D5E7F"/>
    <w:rsid w:val="000D62ED"/>
    <w:rsid w:val="000D6A11"/>
    <w:rsid w:val="000D6F56"/>
    <w:rsid w:val="000D7733"/>
    <w:rsid w:val="000D79D6"/>
    <w:rsid w:val="000E0BCB"/>
    <w:rsid w:val="000E0E24"/>
    <w:rsid w:val="000E1341"/>
    <w:rsid w:val="000E1537"/>
    <w:rsid w:val="000E2E94"/>
    <w:rsid w:val="000E3D85"/>
    <w:rsid w:val="000E4F30"/>
    <w:rsid w:val="000E5E72"/>
    <w:rsid w:val="000E620B"/>
    <w:rsid w:val="000E763A"/>
    <w:rsid w:val="000F0A41"/>
    <w:rsid w:val="000F0DA1"/>
    <w:rsid w:val="000F1C4D"/>
    <w:rsid w:val="000F40E1"/>
    <w:rsid w:val="000F4348"/>
    <w:rsid w:val="000F4BBD"/>
    <w:rsid w:val="000F5E54"/>
    <w:rsid w:val="000F6568"/>
    <w:rsid w:val="000F70CA"/>
    <w:rsid w:val="0010154D"/>
    <w:rsid w:val="00101C6D"/>
    <w:rsid w:val="001021B9"/>
    <w:rsid w:val="0010262F"/>
    <w:rsid w:val="00103227"/>
    <w:rsid w:val="00103773"/>
    <w:rsid w:val="001049D5"/>
    <w:rsid w:val="001059BF"/>
    <w:rsid w:val="00105D5C"/>
    <w:rsid w:val="00107AEA"/>
    <w:rsid w:val="00107CE6"/>
    <w:rsid w:val="00110194"/>
    <w:rsid w:val="00110904"/>
    <w:rsid w:val="001110FD"/>
    <w:rsid w:val="001113A3"/>
    <w:rsid w:val="0011157D"/>
    <w:rsid w:val="00111B82"/>
    <w:rsid w:val="00111E10"/>
    <w:rsid w:val="0011267B"/>
    <w:rsid w:val="001137FA"/>
    <w:rsid w:val="001144FC"/>
    <w:rsid w:val="00114E31"/>
    <w:rsid w:val="00115620"/>
    <w:rsid w:val="001169E9"/>
    <w:rsid w:val="00116A1E"/>
    <w:rsid w:val="00116D70"/>
    <w:rsid w:val="00116EBC"/>
    <w:rsid w:val="0011768A"/>
    <w:rsid w:val="001179EC"/>
    <w:rsid w:val="00120C50"/>
    <w:rsid w:val="00121103"/>
    <w:rsid w:val="00121146"/>
    <w:rsid w:val="00121C0C"/>
    <w:rsid w:val="001240CD"/>
    <w:rsid w:val="00124F08"/>
    <w:rsid w:val="00125CD8"/>
    <w:rsid w:val="00126A74"/>
    <w:rsid w:val="00130E05"/>
    <w:rsid w:val="00132C3D"/>
    <w:rsid w:val="00134B1A"/>
    <w:rsid w:val="0013503F"/>
    <w:rsid w:val="00135408"/>
    <w:rsid w:val="00135A52"/>
    <w:rsid w:val="001365D7"/>
    <w:rsid w:val="001368CD"/>
    <w:rsid w:val="00141200"/>
    <w:rsid w:val="001418A5"/>
    <w:rsid w:val="00142CE3"/>
    <w:rsid w:val="00142FC2"/>
    <w:rsid w:val="001432F1"/>
    <w:rsid w:val="001438A3"/>
    <w:rsid w:val="00146C6E"/>
    <w:rsid w:val="0015014F"/>
    <w:rsid w:val="0015241A"/>
    <w:rsid w:val="00153C63"/>
    <w:rsid w:val="00153C88"/>
    <w:rsid w:val="00154EA0"/>
    <w:rsid w:val="0015542F"/>
    <w:rsid w:val="001565B9"/>
    <w:rsid w:val="00156FEE"/>
    <w:rsid w:val="0015736E"/>
    <w:rsid w:val="00160774"/>
    <w:rsid w:val="001612D9"/>
    <w:rsid w:val="0016263C"/>
    <w:rsid w:val="00162A17"/>
    <w:rsid w:val="00162D9E"/>
    <w:rsid w:val="00164745"/>
    <w:rsid w:val="00165110"/>
    <w:rsid w:val="0016571F"/>
    <w:rsid w:val="001668E4"/>
    <w:rsid w:val="00166C92"/>
    <w:rsid w:val="001705EA"/>
    <w:rsid w:val="001707CF"/>
    <w:rsid w:val="00170D82"/>
    <w:rsid w:val="00171667"/>
    <w:rsid w:val="00171D7D"/>
    <w:rsid w:val="00174BC5"/>
    <w:rsid w:val="001752E1"/>
    <w:rsid w:val="00177F69"/>
    <w:rsid w:val="00180143"/>
    <w:rsid w:val="001807B1"/>
    <w:rsid w:val="00181000"/>
    <w:rsid w:val="001825BB"/>
    <w:rsid w:val="00182F8D"/>
    <w:rsid w:val="00185687"/>
    <w:rsid w:val="001861C7"/>
    <w:rsid w:val="00186494"/>
    <w:rsid w:val="0018673A"/>
    <w:rsid w:val="00186E90"/>
    <w:rsid w:val="00187338"/>
    <w:rsid w:val="001908B6"/>
    <w:rsid w:val="00191B0D"/>
    <w:rsid w:val="00192BFA"/>
    <w:rsid w:val="00194753"/>
    <w:rsid w:val="00194FD9"/>
    <w:rsid w:val="00195AE9"/>
    <w:rsid w:val="00196F98"/>
    <w:rsid w:val="00197746"/>
    <w:rsid w:val="00197A9F"/>
    <w:rsid w:val="001A0535"/>
    <w:rsid w:val="001A0D2C"/>
    <w:rsid w:val="001A1A08"/>
    <w:rsid w:val="001A214C"/>
    <w:rsid w:val="001A2314"/>
    <w:rsid w:val="001A33DB"/>
    <w:rsid w:val="001A36B8"/>
    <w:rsid w:val="001A43C5"/>
    <w:rsid w:val="001A4EE0"/>
    <w:rsid w:val="001A517B"/>
    <w:rsid w:val="001A5411"/>
    <w:rsid w:val="001A585E"/>
    <w:rsid w:val="001A5A19"/>
    <w:rsid w:val="001A5BFD"/>
    <w:rsid w:val="001B030A"/>
    <w:rsid w:val="001B0704"/>
    <w:rsid w:val="001B1512"/>
    <w:rsid w:val="001B2239"/>
    <w:rsid w:val="001B5CB3"/>
    <w:rsid w:val="001B6E21"/>
    <w:rsid w:val="001B7577"/>
    <w:rsid w:val="001C095D"/>
    <w:rsid w:val="001C17E9"/>
    <w:rsid w:val="001C2222"/>
    <w:rsid w:val="001C3CBE"/>
    <w:rsid w:val="001C4027"/>
    <w:rsid w:val="001C45A4"/>
    <w:rsid w:val="001C45F3"/>
    <w:rsid w:val="001C495B"/>
    <w:rsid w:val="001C4D78"/>
    <w:rsid w:val="001C51CB"/>
    <w:rsid w:val="001C53B7"/>
    <w:rsid w:val="001C6A1B"/>
    <w:rsid w:val="001C6AD9"/>
    <w:rsid w:val="001C7303"/>
    <w:rsid w:val="001D000D"/>
    <w:rsid w:val="001D2111"/>
    <w:rsid w:val="001D46C4"/>
    <w:rsid w:val="001D499F"/>
    <w:rsid w:val="001D5296"/>
    <w:rsid w:val="001D633F"/>
    <w:rsid w:val="001D6B38"/>
    <w:rsid w:val="001D6E10"/>
    <w:rsid w:val="001D7654"/>
    <w:rsid w:val="001E026A"/>
    <w:rsid w:val="001E073F"/>
    <w:rsid w:val="001E2437"/>
    <w:rsid w:val="001E2A1E"/>
    <w:rsid w:val="001E2DA7"/>
    <w:rsid w:val="001E4039"/>
    <w:rsid w:val="001E49C1"/>
    <w:rsid w:val="001E58AA"/>
    <w:rsid w:val="001E5FF3"/>
    <w:rsid w:val="001E65D0"/>
    <w:rsid w:val="001E6E15"/>
    <w:rsid w:val="001F12C7"/>
    <w:rsid w:val="001F1731"/>
    <w:rsid w:val="001F1FC2"/>
    <w:rsid w:val="001F3D9A"/>
    <w:rsid w:val="001F4151"/>
    <w:rsid w:val="001F52C5"/>
    <w:rsid w:val="001F55FF"/>
    <w:rsid w:val="001F608F"/>
    <w:rsid w:val="001F6804"/>
    <w:rsid w:val="001F7358"/>
    <w:rsid w:val="001F777A"/>
    <w:rsid w:val="001F783A"/>
    <w:rsid w:val="001F7B44"/>
    <w:rsid w:val="001F7C28"/>
    <w:rsid w:val="002030A5"/>
    <w:rsid w:val="002067D6"/>
    <w:rsid w:val="00207F09"/>
    <w:rsid w:val="00210C80"/>
    <w:rsid w:val="00211138"/>
    <w:rsid w:val="00212071"/>
    <w:rsid w:val="002125A0"/>
    <w:rsid w:val="00212ADA"/>
    <w:rsid w:val="00213177"/>
    <w:rsid w:val="00215E69"/>
    <w:rsid w:val="0021609A"/>
    <w:rsid w:val="00216661"/>
    <w:rsid w:val="00217263"/>
    <w:rsid w:val="002173D9"/>
    <w:rsid w:val="0021741E"/>
    <w:rsid w:val="0021796A"/>
    <w:rsid w:val="002213AA"/>
    <w:rsid w:val="002215BF"/>
    <w:rsid w:val="002226A8"/>
    <w:rsid w:val="00222BBE"/>
    <w:rsid w:val="002248C5"/>
    <w:rsid w:val="00224EC7"/>
    <w:rsid w:val="002254AA"/>
    <w:rsid w:val="00225635"/>
    <w:rsid w:val="0022589F"/>
    <w:rsid w:val="00225A96"/>
    <w:rsid w:val="002268E4"/>
    <w:rsid w:val="00226BB1"/>
    <w:rsid w:val="00226E2B"/>
    <w:rsid w:val="00227785"/>
    <w:rsid w:val="00227B79"/>
    <w:rsid w:val="00227E3A"/>
    <w:rsid w:val="00230B26"/>
    <w:rsid w:val="002317EB"/>
    <w:rsid w:val="002329AF"/>
    <w:rsid w:val="00234F05"/>
    <w:rsid w:val="002359E5"/>
    <w:rsid w:val="00235DCB"/>
    <w:rsid w:val="0023666F"/>
    <w:rsid w:val="00236901"/>
    <w:rsid w:val="0023761C"/>
    <w:rsid w:val="00237ADD"/>
    <w:rsid w:val="0024044B"/>
    <w:rsid w:val="00240B51"/>
    <w:rsid w:val="00240C7D"/>
    <w:rsid w:val="002434B7"/>
    <w:rsid w:val="0024393A"/>
    <w:rsid w:val="00244275"/>
    <w:rsid w:val="00247D58"/>
    <w:rsid w:val="0025141E"/>
    <w:rsid w:val="0025284D"/>
    <w:rsid w:val="0025322A"/>
    <w:rsid w:val="00254813"/>
    <w:rsid w:val="00255287"/>
    <w:rsid w:val="00255C6C"/>
    <w:rsid w:val="0025644F"/>
    <w:rsid w:val="0025701E"/>
    <w:rsid w:val="002575C1"/>
    <w:rsid w:val="00257949"/>
    <w:rsid w:val="00260785"/>
    <w:rsid w:val="00261B56"/>
    <w:rsid w:val="00262839"/>
    <w:rsid w:val="00264BC6"/>
    <w:rsid w:val="00265A30"/>
    <w:rsid w:val="00265B50"/>
    <w:rsid w:val="00266507"/>
    <w:rsid w:val="00266690"/>
    <w:rsid w:val="0026767E"/>
    <w:rsid w:val="0027034B"/>
    <w:rsid w:val="00270E66"/>
    <w:rsid w:val="00271374"/>
    <w:rsid w:val="00271443"/>
    <w:rsid w:val="002719F5"/>
    <w:rsid w:val="002724E1"/>
    <w:rsid w:val="00272E90"/>
    <w:rsid w:val="00273415"/>
    <w:rsid w:val="0027395E"/>
    <w:rsid w:val="00275357"/>
    <w:rsid w:val="002759E2"/>
    <w:rsid w:val="00275F89"/>
    <w:rsid w:val="00276A3E"/>
    <w:rsid w:val="002776AC"/>
    <w:rsid w:val="00277F3E"/>
    <w:rsid w:val="00280047"/>
    <w:rsid w:val="00281E49"/>
    <w:rsid w:val="0028283D"/>
    <w:rsid w:val="0028283F"/>
    <w:rsid w:val="00282B34"/>
    <w:rsid w:val="00282BEE"/>
    <w:rsid w:val="00282D8A"/>
    <w:rsid w:val="002835EB"/>
    <w:rsid w:val="00284326"/>
    <w:rsid w:val="00286B45"/>
    <w:rsid w:val="00286D90"/>
    <w:rsid w:val="00286F14"/>
    <w:rsid w:val="0028737C"/>
    <w:rsid w:val="0028763C"/>
    <w:rsid w:val="00287BAB"/>
    <w:rsid w:val="0029030F"/>
    <w:rsid w:val="002904AC"/>
    <w:rsid w:val="00291BB5"/>
    <w:rsid w:val="0029298B"/>
    <w:rsid w:val="00293183"/>
    <w:rsid w:val="0029318F"/>
    <w:rsid w:val="00293C24"/>
    <w:rsid w:val="00293EC9"/>
    <w:rsid w:val="002941F1"/>
    <w:rsid w:val="0029513C"/>
    <w:rsid w:val="00296465"/>
    <w:rsid w:val="00296FED"/>
    <w:rsid w:val="00297319"/>
    <w:rsid w:val="00297F45"/>
    <w:rsid w:val="002A05C3"/>
    <w:rsid w:val="002A0729"/>
    <w:rsid w:val="002A0A6E"/>
    <w:rsid w:val="002A0BAB"/>
    <w:rsid w:val="002A2246"/>
    <w:rsid w:val="002A226A"/>
    <w:rsid w:val="002A27EE"/>
    <w:rsid w:val="002A2D29"/>
    <w:rsid w:val="002A2E36"/>
    <w:rsid w:val="002A3322"/>
    <w:rsid w:val="002A3337"/>
    <w:rsid w:val="002A4165"/>
    <w:rsid w:val="002A4BB8"/>
    <w:rsid w:val="002A56C0"/>
    <w:rsid w:val="002A59A5"/>
    <w:rsid w:val="002A6407"/>
    <w:rsid w:val="002A64BD"/>
    <w:rsid w:val="002A6F61"/>
    <w:rsid w:val="002A72F0"/>
    <w:rsid w:val="002A73B6"/>
    <w:rsid w:val="002B0899"/>
    <w:rsid w:val="002B0B7A"/>
    <w:rsid w:val="002B1186"/>
    <w:rsid w:val="002B168F"/>
    <w:rsid w:val="002B1C73"/>
    <w:rsid w:val="002B269E"/>
    <w:rsid w:val="002B31B6"/>
    <w:rsid w:val="002B4029"/>
    <w:rsid w:val="002B43BC"/>
    <w:rsid w:val="002B496F"/>
    <w:rsid w:val="002B6628"/>
    <w:rsid w:val="002B6A68"/>
    <w:rsid w:val="002C032D"/>
    <w:rsid w:val="002C0C24"/>
    <w:rsid w:val="002C1C40"/>
    <w:rsid w:val="002C37B6"/>
    <w:rsid w:val="002C3EA9"/>
    <w:rsid w:val="002C46AF"/>
    <w:rsid w:val="002C4A43"/>
    <w:rsid w:val="002C7131"/>
    <w:rsid w:val="002C7841"/>
    <w:rsid w:val="002D0C1A"/>
    <w:rsid w:val="002D145C"/>
    <w:rsid w:val="002D1750"/>
    <w:rsid w:val="002D515D"/>
    <w:rsid w:val="002D5E94"/>
    <w:rsid w:val="002D69BA"/>
    <w:rsid w:val="002D6E6E"/>
    <w:rsid w:val="002D75CF"/>
    <w:rsid w:val="002D7A3E"/>
    <w:rsid w:val="002D7A6C"/>
    <w:rsid w:val="002E012A"/>
    <w:rsid w:val="002E096F"/>
    <w:rsid w:val="002E0ADF"/>
    <w:rsid w:val="002E1FFA"/>
    <w:rsid w:val="002E200F"/>
    <w:rsid w:val="002E2C33"/>
    <w:rsid w:val="002E40F4"/>
    <w:rsid w:val="002E54B4"/>
    <w:rsid w:val="002E5AA6"/>
    <w:rsid w:val="002E6BE5"/>
    <w:rsid w:val="002E6DC9"/>
    <w:rsid w:val="002E76BA"/>
    <w:rsid w:val="002F020B"/>
    <w:rsid w:val="002F0B69"/>
    <w:rsid w:val="002F1782"/>
    <w:rsid w:val="002F1E65"/>
    <w:rsid w:val="002F23A2"/>
    <w:rsid w:val="002F2B0F"/>
    <w:rsid w:val="002F31DE"/>
    <w:rsid w:val="002F3755"/>
    <w:rsid w:val="002F4674"/>
    <w:rsid w:val="002F5E00"/>
    <w:rsid w:val="002F6D79"/>
    <w:rsid w:val="002F75C7"/>
    <w:rsid w:val="00300072"/>
    <w:rsid w:val="00302266"/>
    <w:rsid w:val="003024FA"/>
    <w:rsid w:val="0030264C"/>
    <w:rsid w:val="00302992"/>
    <w:rsid w:val="003037A6"/>
    <w:rsid w:val="00303A0C"/>
    <w:rsid w:val="003047DB"/>
    <w:rsid w:val="003051D7"/>
    <w:rsid w:val="00305B68"/>
    <w:rsid w:val="00306748"/>
    <w:rsid w:val="003067C5"/>
    <w:rsid w:val="00306946"/>
    <w:rsid w:val="00306C96"/>
    <w:rsid w:val="0030765D"/>
    <w:rsid w:val="00311A08"/>
    <w:rsid w:val="0031356B"/>
    <w:rsid w:val="00314B1B"/>
    <w:rsid w:val="00314B75"/>
    <w:rsid w:val="00315251"/>
    <w:rsid w:val="00315542"/>
    <w:rsid w:val="00316483"/>
    <w:rsid w:val="0031661E"/>
    <w:rsid w:val="00316698"/>
    <w:rsid w:val="00316925"/>
    <w:rsid w:val="0031728E"/>
    <w:rsid w:val="00317D13"/>
    <w:rsid w:val="00320419"/>
    <w:rsid w:val="003208F8"/>
    <w:rsid w:val="0032113B"/>
    <w:rsid w:val="0032127E"/>
    <w:rsid w:val="003217EE"/>
    <w:rsid w:val="00321D57"/>
    <w:rsid w:val="00321F3C"/>
    <w:rsid w:val="00321FCB"/>
    <w:rsid w:val="00322194"/>
    <w:rsid w:val="00323C7F"/>
    <w:rsid w:val="00325DFB"/>
    <w:rsid w:val="003265B0"/>
    <w:rsid w:val="00326EAF"/>
    <w:rsid w:val="00327712"/>
    <w:rsid w:val="00330817"/>
    <w:rsid w:val="00330BC2"/>
    <w:rsid w:val="00331600"/>
    <w:rsid w:val="00331BBC"/>
    <w:rsid w:val="00331F4C"/>
    <w:rsid w:val="00332896"/>
    <w:rsid w:val="00333507"/>
    <w:rsid w:val="003336B7"/>
    <w:rsid w:val="003339DC"/>
    <w:rsid w:val="00334E82"/>
    <w:rsid w:val="00335197"/>
    <w:rsid w:val="00335DB4"/>
    <w:rsid w:val="003362CB"/>
    <w:rsid w:val="0033661A"/>
    <w:rsid w:val="00337E59"/>
    <w:rsid w:val="00341037"/>
    <w:rsid w:val="00341A3C"/>
    <w:rsid w:val="003426FA"/>
    <w:rsid w:val="00342B7A"/>
    <w:rsid w:val="00343141"/>
    <w:rsid w:val="003432CA"/>
    <w:rsid w:val="00344E3C"/>
    <w:rsid w:val="003463E9"/>
    <w:rsid w:val="0034682C"/>
    <w:rsid w:val="003473B4"/>
    <w:rsid w:val="003479DD"/>
    <w:rsid w:val="003504C3"/>
    <w:rsid w:val="00350EF4"/>
    <w:rsid w:val="00351053"/>
    <w:rsid w:val="00351526"/>
    <w:rsid w:val="00351A29"/>
    <w:rsid w:val="003558AF"/>
    <w:rsid w:val="00356794"/>
    <w:rsid w:val="00357073"/>
    <w:rsid w:val="003572A2"/>
    <w:rsid w:val="00360151"/>
    <w:rsid w:val="00360E00"/>
    <w:rsid w:val="00361FCF"/>
    <w:rsid w:val="003622A8"/>
    <w:rsid w:val="0036258F"/>
    <w:rsid w:val="003627EF"/>
    <w:rsid w:val="003629AB"/>
    <w:rsid w:val="00362AF8"/>
    <w:rsid w:val="00362B51"/>
    <w:rsid w:val="0036415D"/>
    <w:rsid w:val="0036592C"/>
    <w:rsid w:val="00367830"/>
    <w:rsid w:val="003706C8"/>
    <w:rsid w:val="00370995"/>
    <w:rsid w:val="00371FA4"/>
    <w:rsid w:val="00374623"/>
    <w:rsid w:val="00376BF0"/>
    <w:rsid w:val="00377BD2"/>
    <w:rsid w:val="00380848"/>
    <w:rsid w:val="00381279"/>
    <w:rsid w:val="003812F9"/>
    <w:rsid w:val="0038139A"/>
    <w:rsid w:val="00383042"/>
    <w:rsid w:val="00385183"/>
    <w:rsid w:val="003851CD"/>
    <w:rsid w:val="003857D4"/>
    <w:rsid w:val="00385A98"/>
    <w:rsid w:val="00385C1E"/>
    <w:rsid w:val="00386489"/>
    <w:rsid w:val="00390862"/>
    <w:rsid w:val="00391453"/>
    <w:rsid w:val="0039239C"/>
    <w:rsid w:val="00392E3D"/>
    <w:rsid w:val="00393239"/>
    <w:rsid w:val="00393BB8"/>
    <w:rsid w:val="003947EB"/>
    <w:rsid w:val="00394BB8"/>
    <w:rsid w:val="00395916"/>
    <w:rsid w:val="003962B3"/>
    <w:rsid w:val="003966DD"/>
    <w:rsid w:val="00396B5A"/>
    <w:rsid w:val="00397C69"/>
    <w:rsid w:val="003A1457"/>
    <w:rsid w:val="003A14CE"/>
    <w:rsid w:val="003A16A8"/>
    <w:rsid w:val="003A19C4"/>
    <w:rsid w:val="003A2743"/>
    <w:rsid w:val="003A281A"/>
    <w:rsid w:val="003A347A"/>
    <w:rsid w:val="003A39B0"/>
    <w:rsid w:val="003A4270"/>
    <w:rsid w:val="003A4B80"/>
    <w:rsid w:val="003A7327"/>
    <w:rsid w:val="003A7C9E"/>
    <w:rsid w:val="003B0099"/>
    <w:rsid w:val="003B078F"/>
    <w:rsid w:val="003B1E85"/>
    <w:rsid w:val="003B2754"/>
    <w:rsid w:val="003B5665"/>
    <w:rsid w:val="003B693A"/>
    <w:rsid w:val="003B70CA"/>
    <w:rsid w:val="003B7ADF"/>
    <w:rsid w:val="003B7B1C"/>
    <w:rsid w:val="003C10C8"/>
    <w:rsid w:val="003C1A9D"/>
    <w:rsid w:val="003C1FB3"/>
    <w:rsid w:val="003C2578"/>
    <w:rsid w:val="003C2616"/>
    <w:rsid w:val="003C2761"/>
    <w:rsid w:val="003C3503"/>
    <w:rsid w:val="003C37EA"/>
    <w:rsid w:val="003C4215"/>
    <w:rsid w:val="003C4651"/>
    <w:rsid w:val="003C56B9"/>
    <w:rsid w:val="003C5E62"/>
    <w:rsid w:val="003C6643"/>
    <w:rsid w:val="003C7265"/>
    <w:rsid w:val="003C756F"/>
    <w:rsid w:val="003C7A5C"/>
    <w:rsid w:val="003C7FAA"/>
    <w:rsid w:val="003D03BF"/>
    <w:rsid w:val="003D15DB"/>
    <w:rsid w:val="003D1CF4"/>
    <w:rsid w:val="003D2432"/>
    <w:rsid w:val="003D24F2"/>
    <w:rsid w:val="003D24FA"/>
    <w:rsid w:val="003D2D6D"/>
    <w:rsid w:val="003D34A7"/>
    <w:rsid w:val="003D3D5A"/>
    <w:rsid w:val="003D4386"/>
    <w:rsid w:val="003D4AA8"/>
    <w:rsid w:val="003E001C"/>
    <w:rsid w:val="003E02A7"/>
    <w:rsid w:val="003E2AB3"/>
    <w:rsid w:val="003E3665"/>
    <w:rsid w:val="003E3BE8"/>
    <w:rsid w:val="003E41C3"/>
    <w:rsid w:val="003E4B4F"/>
    <w:rsid w:val="003E5890"/>
    <w:rsid w:val="003E765C"/>
    <w:rsid w:val="003F08F3"/>
    <w:rsid w:val="003F1F82"/>
    <w:rsid w:val="003F31E2"/>
    <w:rsid w:val="003F3756"/>
    <w:rsid w:val="003F3DCE"/>
    <w:rsid w:val="003F5202"/>
    <w:rsid w:val="003F62A1"/>
    <w:rsid w:val="003F67CB"/>
    <w:rsid w:val="003F6A50"/>
    <w:rsid w:val="003F6EFB"/>
    <w:rsid w:val="003F7927"/>
    <w:rsid w:val="003F7958"/>
    <w:rsid w:val="003F7C1A"/>
    <w:rsid w:val="003F7D0E"/>
    <w:rsid w:val="0040017E"/>
    <w:rsid w:val="0040222F"/>
    <w:rsid w:val="00403843"/>
    <w:rsid w:val="00403A0A"/>
    <w:rsid w:val="00403AB8"/>
    <w:rsid w:val="00404B8F"/>
    <w:rsid w:val="00404D09"/>
    <w:rsid w:val="00405BA6"/>
    <w:rsid w:val="00405D74"/>
    <w:rsid w:val="00406425"/>
    <w:rsid w:val="00406FFA"/>
    <w:rsid w:val="00410BAF"/>
    <w:rsid w:val="0041128F"/>
    <w:rsid w:val="00411505"/>
    <w:rsid w:val="00411CDF"/>
    <w:rsid w:val="00412494"/>
    <w:rsid w:val="00412FC6"/>
    <w:rsid w:val="004145BF"/>
    <w:rsid w:val="00414DE3"/>
    <w:rsid w:val="00415F50"/>
    <w:rsid w:val="0041626A"/>
    <w:rsid w:val="004165A0"/>
    <w:rsid w:val="004167CD"/>
    <w:rsid w:val="00417BE8"/>
    <w:rsid w:val="004203E8"/>
    <w:rsid w:val="00420982"/>
    <w:rsid w:val="0042136E"/>
    <w:rsid w:val="004215C2"/>
    <w:rsid w:val="00421AB3"/>
    <w:rsid w:val="00421CF5"/>
    <w:rsid w:val="004223F3"/>
    <w:rsid w:val="0042246F"/>
    <w:rsid w:val="0042256D"/>
    <w:rsid w:val="0042295F"/>
    <w:rsid w:val="00422C7C"/>
    <w:rsid w:val="004230C5"/>
    <w:rsid w:val="00423F65"/>
    <w:rsid w:val="004255F1"/>
    <w:rsid w:val="0042590C"/>
    <w:rsid w:val="00425FA4"/>
    <w:rsid w:val="004260F7"/>
    <w:rsid w:val="0042774F"/>
    <w:rsid w:val="00427D98"/>
    <w:rsid w:val="00427FDC"/>
    <w:rsid w:val="00430445"/>
    <w:rsid w:val="0043074F"/>
    <w:rsid w:val="00430A0E"/>
    <w:rsid w:val="00430AB2"/>
    <w:rsid w:val="004310B3"/>
    <w:rsid w:val="004318BF"/>
    <w:rsid w:val="00431C51"/>
    <w:rsid w:val="00431E0D"/>
    <w:rsid w:val="004321DF"/>
    <w:rsid w:val="00432B13"/>
    <w:rsid w:val="00433CCD"/>
    <w:rsid w:val="00434511"/>
    <w:rsid w:val="00434B8D"/>
    <w:rsid w:val="00434CD7"/>
    <w:rsid w:val="00435EC7"/>
    <w:rsid w:val="0043624E"/>
    <w:rsid w:val="004403D6"/>
    <w:rsid w:val="004430F8"/>
    <w:rsid w:val="0044322D"/>
    <w:rsid w:val="00444215"/>
    <w:rsid w:val="00444690"/>
    <w:rsid w:val="00444D7F"/>
    <w:rsid w:val="0044597F"/>
    <w:rsid w:val="00446736"/>
    <w:rsid w:val="00446D6B"/>
    <w:rsid w:val="00450EA9"/>
    <w:rsid w:val="00451CDE"/>
    <w:rsid w:val="004528BE"/>
    <w:rsid w:val="00453D19"/>
    <w:rsid w:val="00453E1D"/>
    <w:rsid w:val="0045424E"/>
    <w:rsid w:val="004542A6"/>
    <w:rsid w:val="00454373"/>
    <w:rsid w:val="004552C3"/>
    <w:rsid w:val="004562D6"/>
    <w:rsid w:val="0045753D"/>
    <w:rsid w:val="00461F94"/>
    <w:rsid w:val="00462573"/>
    <w:rsid w:val="00463A66"/>
    <w:rsid w:val="00463B16"/>
    <w:rsid w:val="00464072"/>
    <w:rsid w:val="004641DD"/>
    <w:rsid w:val="004659F2"/>
    <w:rsid w:val="00467871"/>
    <w:rsid w:val="00467E41"/>
    <w:rsid w:val="004701E1"/>
    <w:rsid w:val="004702A7"/>
    <w:rsid w:val="00472787"/>
    <w:rsid w:val="00472FBF"/>
    <w:rsid w:val="004734D1"/>
    <w:rsid w:val="00474AEF"/>
    <w:rsid w:val="00474CE6"/>
    <w:rsid w:val="00474E4C"/>
    <w:rsid w:val="004757A7"/>
    <w:rsid w:val="004770FC"/>
    <w:rsid w:val="00482AE2"/>
    <w:rsid w:val="00483FA6"/>
    <w:rsid w:val="0048478A"/>
    <w:rsid w:val="00484933"/>
    <w:rsid w:val="00485D26"/>
    <w:rsid w:val="00486DD1"/>
    <w:rsid w:val="00487869"/>
    <w:rsid w:val="00491A58"/>
    <w:rsid w:val="00491DAA"/>
    <w:rsid w:val="00492056"/>
    <w:rsid w:val="004922E5"/>
    <w:rsid w:val="004967E2"/>
    <w:rsid w:val="00497050"/>
    <w:rsid w:val="004973F9"/>
    <w:rsid w:val="004A05AD"/>
    <w:rsid w:val="004A06DA"/>
    <w:rsid w:val="004A08D9"/>
    <w:rsid w:val="004A1006"/>
    <w:rsid w:val="004A16D2"/>
    <w:rsid w:val="004A22E7"/>
    <w:rsid w:val="004A2CEE"/>
    <w:rsid w:val="004A35E7"/>
    <w:rsid w:val="004A3A0E"/>
    <w:rsid w:val="004A4897"/>
    <w:rsid w:val="004A50CB"/>
    <w:rsid w:val="004A57A9"/>
    <w:rsid w:val="004A5C01"/>
    <w:rsid w:val="004A7DC3"/>
    <w:rsid w:val="004B3344"/>
    <w:rsid w:val="004B3F24"/>
    <w:rsid w:val="004B407E"/>
    <w:rsid w:val="004B4461"/>
    <w:rsid w:val="004B46E3"/>
    <w:rsid w:val="004B4EAC"/>
    <w:rsid w:val="004B5FA8"/>
    <w:rsid w:val="004B651D"/>
    <w:rsid w:val="004B6993"/>
    <w:rsid w:val="004B7122"/>
    <w:rsid w:val="004B78A6"/>
    <w:rsid w:val="004B7E86"/>
    <w:rsid w:val="004C045A"/>
    <w:rsid w:val="004C05BB"/>
    <w:rsid w:val="004C1518"/>
    <w:rsid w:val="004C20DC"/>
    <w:rsid w:val="004C21BD"/>
    <w:rsid w:val="004C2B8E"/>
    <w:rsid w:val="004C2FDA"/>
    <w:rsid w:val="004C3BC8"/>
    <w:rsid w:val="004C3DB9"/>
    <w:rsid w:val="004C43DF"/>
    <w:rsid w:val="004C4D2B"/>
    <w:rsid w:val="004C568B"/>
    <w:rsid w:val="004C59A3"/>
    <w:rsid w:val="004C6338"/>
    <w:rsid w:val="004C670E"/>
    <w:rsid w:val="004C6C13"/>
    <w:rsid w:val="004C74AF"/>
    <w:rsid w:val="004D24E5"/>
    <w:rsid w:val="004D281C"/>
    <w:rsid w:val="004D2C6B"/>
    <w:rsid w:val="004D2E6A"/>
    <w:rsid w:val="004D3641"/>
    <w:rsid w:val="004D3DC1"/>
    <w:rsid w:val="004D5C1A"/>
    <w:rsid w:val="004E0A62"/>
    <w:rsid w:val="004E0AF0"/>
    <w:rsid w:val="004E0DDE"/>
    <w:rsid w:val="004E10B8"/>
    <w:rsid w:val="004E1577"/>
    <w:rsid w:val="004E1C17"/>
    <w:rsid w:val="004E1E2B"/>
    <w:rsid w:val="004E47B8"/>
    <w:rsid w:val="004E4E13"/>
    <w:rsid w:val="004E5DC0"/>
    <w:rsid w:val="004E6374"/>
    <w:rsid w:val="004E63DA"/>
    <w:rsid w:val="004E6ADC"/>
    <w:rsid w:val="004F07D9"/>
    <w:rsid w:val="004F1D90"/>
    <w:rsid w:val="004F28A5"/>
    <w:rsid w:val="004F3613"/>
    <w:rsid w:val="004F3CCE"/>
    <w:rsid w:val="004F4237"/>
    <w:rsid w:val="004F4F24"/>
    <w:rsid w:val="004F5B65"/>
    <w:rsid w:val="004F668F"/>
    <w:rsid w:val="004F7865"/>
    <w:rsid w:val="004F78AB"/>
    <w:rsid w:val="00500259"/>
    <w:rsid w:val="00500D50"/>
    <w:rsid w:val="005029D9"/>
    <w:rsid w:val="00503FAE"/>
    <w:rsid w:val="00504874"/>
    <w:rsid w:val="00504E2E"/>
    <w:rsid w:val="00504F08"/>
    <w:rsid w:val="005056BD"/>
    <w:rsid w:val="0050600C"/>
    <w:rsid w:val="0050660F"/>
    <w:rsid w:val="00507950"/>
    <w:rsid w:val="005100FD"/>
    <w:rsid w:val="00510245"/>
    <w:rsid w:val="00511A8C"/>
    <w:rsid w:val="0051208C"/>
    <w:rsid w:val="005124C8"/>
    <w:rsid w:val="005142EB"/>
    <w:rsid w:val="00516C24"/>
    <w:rsid w:val="00520EAD"/>
    <w:rsid w:val="00522213"/>
    <w:rsid w:val="005227FC"/>
    <w:rsid w:val="00524E53"/>
    <w:rsid w:val="0052640D"/>
    <w:rsid w:val="005266E7"/>
    <w:rsid w:val="0052694C"/>
    <w:rsid w:val="0052752C"/>
    <w:rsid w:val="00527B78"/>
    <w:rsid w:val="00530574"/>
    <w:rsid w:val="00532314"/>
    <w:rsid w:val="005326FB"/>
    <w:rsid w:val="0053386F"/>
    <w:rsid w:val="005350FD"/>
    <w:rsid w:val="00535ADD"/>
    <w:rsid w:val="00535F30"/>
    <w:rsid w:val="005401AA"/>
    <w:rsid w:val="00540429"/>
    <w:rsid w:val="005411F2"/>
    <w:rsid w:val="00542291"/>
    <w:rsid w:val="00542C80"/>
    <w:rsid w:val="0054348A"/>
    <w:rsid w:val="005444B1"/>
    <w:rsid w:val="00545663"/>
    <w:rsid w:val="00546E5C"/>
    <w:rsid w:val="00547726"/>
    <w:rsid w:val="00547CE9"/>
    <w:rsid w:val="005511D5"/>
    <w:rsid w:val="00552274"/>
    <w:rsid w:val="005532E1"/>
    <w:rsid w:val="00553C3F"/>
    <w:rsid w:val="00553EA6"/>
    <w:rsid w:val="00554993"/>
    <w:rsid w:val="00555D8E"/>
    <w:rsid w:val="00556855"/>
    <w:rsid w:val="00556D5C"/>
    <w:rsid w:val="0055741B"/>
    <w:rsid w:val="0055774B"/>
    <w:rsid w:val="00557FB5"/>
    <w:rsid w:val="005607BF"/>
    <w:rsid w:val="00561759"/>
    <w:rsid w:val="00561D0E"/>
    <w:rsid w:val="005624D2"/>
    <w:rsid w:val="0056262B"/>
    <w:rsid w:val="00562947"/>
    <w:rsid w:val="005639BF"/>
    <w:rsid w:val="005652FB"/>
    <w:rsid w:val="00565381"/>
    <w:rsid w:val="005655FD"/>
    <w:rsid w:val="00565AD4"/>
    <w:rsid w:val="0056607E"/>
    <w:rsid w:val="00567546"/>
    <w:rsid w:val="005704D5"/>
    <w:rsid w:val="00571B25"/>
    <w:rsid w:val="00572A7F"/>
    <w:rsid w:val="00574193"/>
    <w:rsid w:val="00575179"/>
    <w:rsid w:val="00575565"/>
    <w:rsid w:val="0057577B"/>
    <w:rsid w:val="0057613D"/>
    <w:rsid w:val="005776F1"/>
    <w:rsid w:val="0057788A"/>
    <w:rsid w:val="00580C27"/>
    <w:rsid w:val="00581FF1"/>
    <w:rsid w:val="0058298E"/>
    <w:rsid w:val="005856B0"/>
    <w:rsid w:val="00585BD0"/>
    <w:rsid w:val="00585C32"/>
    <w:rsid w:val="00585C8B"/>
    <w:rsid w:val="00585EE7"/>
    <w:rsid w:val="005864B9"/>
    <w:rsid w:val="00586A1F"/>
    <w:rsid w:val="00587092"/>
    <w:rsid w:val="005873EB"/>
    <w:rsid w:val="00591248"/>
    <w:rsid w:val="00592434"/>
    <w:rsid w:val="00592F6C"/>
    <w:rsid w:val="005933BF"/>
    <w:rsid w:val="005946A8"/>
    <w:rsid w:val="00594E17"/>
    <w:rsid w:val="00594E68"/>
    <w:rsid w:val="00595A47"/>
    <w:rsid w:val="00596BBB"/>
    <w:rsid w:val="00596F65"/>
    <w:rsid w:val="005977AA"/>
    <w:rsid w:val="005A0059"/>
    <w:rsid w:val="005A1B57"/>
    <w:rsid w:val="005A2EA0"/>
    <w:rsid w:val="005A383B"/>
    <w:rsid w:val="005A39A9"/>
    <w:rsid w:val="005A3C0C"/>
    <w:rsid w:val="005A3D54"/>
    <w:rsid w:val="005A4E98"/>
    <w:rsid w:val="005A6F5C"/>
    <w:rsid w:val="005A7B60"/>
    <w:rsid w:val="005B08E3"/>
    <w:rsid w:val="005B1523"/>
    <w:rsid w:val="005B1F5D"/>
    <w:rsid w:val="005B21E4"/>
    <w:rsid w:val="005B24CC"/>
    <w:rsid w:val="005B5072"/>
    <w:rsid w:val="005B5909"/>
    <w:rsid w:val="005B6358"/>
    <w:rsid w:val="005C0409"/>
    <w:rsid w:val="005C0DA2"/>
    <w:rsid w:val="005C1990"/>
    <w:rsid w:val="005C2147"/>
    <w:rsid w:val="005C2667"/>
    <w:rsid w:val="005C281F"/>
    <w:rsid w:val="005C40EA"/>
    <w:rsid w:val="005C4235"/>
    <w:rsid w:val="005C4839"/>
    <w:rsid w:val="005C4B09"/>
    <w:rsid w:val="005C798E"/>
    <w:rsid w:val="005C7CB9"/>
    <w:rsid w:val="005D123C"/>
    <w:rsid w:val="005D1D3E"/>
    <w:rsid w:val="005D1F1E"/>
    <w:rsid w:val="005D2DF1"/>
    <w:rsid w:val="005D339D"/>
    <w:rsid w:val="005D48E5"/>
    <w:rsid w:val="005D4BC9"/>
    <w:rsid w:val="005D551F"/>
    <w:rsid w:val="005D5CBA"/>
    <w:rsid w:val="005D6A3E"/>
    <w:rsid w:val="005D7A49"/>
    <w:rsid w:val="005D7BF8"/>
    <w:rsid w:val="005E11E8"/>
    <w:rsid w:val="005E2FE8"/>
    <w:rsid w:val="005E3860"/>
    <w:rsid w:val="005E3DA3"/>
    <w:rsid w:val="005E4424"/>
    <w:rsid w:val="005E5E37"/>
    <w:rsid w:val="005E6E4A"/>
    <w:rsid w:val="005F02AF"/>
    <w:rsid w:val="005F087E"/>
    <w:rsid w:val="005F13E3"/>
    <w:rsid w:val="005F281C"/>
    <w:rsid w:val="005F2B88"/>
    <w:rsid w:val="005F3317"/>
    <w:rsid w:val="005F3768"/>
    <w:rsid w:val="005F4316"/>
    <w:rsid w:val="005F45B4"/>
    <w:rsid w:val="005F49B1"/>
    <w:rsid w:val="005F5951"/>
    <w:rsid w:val="005F627F"/>
    <w:rsid w:val="005F6968"/>
    <w:rsid w:val="0060092E"/>
    <w:rsid w:val="006014F6"/>
    <w:rsid w:val="0060213E"/>
    <w:rsid w:val="006045A4"/>
    <w:rsid w:val="00604AF5"/>
    <w:rsid w:val="00604BBB"/>
    <w:rsid w:val="0060560E"/>
    <w:rsid w:val="00605899"/>
    <w:rsid w:val="006067F7"/>
    <w:rsid w:val="00606C22"/>
    <w:rsid w:val="0060751E"/>
    <w:rsid w:val="00607906"/>
    <w:rsid w:val="00607EFF"/>
    <w:rsid w:val="00611C02"/>
    <w:rsid w:val="006149F2"/>
    <w:rsid w:val="00615D08"/>
    <w:rsid w:val="00616808"/>
    <w:rsid w:val="0062004E"/>
    <w:rsid w:val="00620932"/>
    <w:rsid w:val="0062112F"/>
    <w:rsid w:val="00621F9B"/>
    <w:rsid w:val="006220F7"/>
    <w:rsid w:val="00622403"/>
    <w:rsid w:val="00622D7C"/>
    <w:rsid w:val="0062327A"/>
    <w:rsid w:val="0062377F"/>
    <w:rsid w:val="006241C2"/>
    <w:rsid w:val="006247B6"/>
    <w:rsid w:val="0062481F"/>
    <w:rsid w:val="00624FA0"/>
    <w:rsid w:val="00625DBB"/>
    <w:rsid w:val="006300E5"/>
    <w:rsid w:val="006301DA"/>
    <w:rsid w:val="0063061B"/>
    <w:rsid w:val="00631D59"/>
    <w:rsid w:val="00631E68"/>
    <w:rsid w:val="00632260"/>
    <w:rsid w:val="00633904"/>
    <w:rsid w:val="00633F5F"/>
    <w:rsid w:val="00635047"/>
    <w:rsid w:val="00635066"/>
    <w:rsid w:val="00635960"/>
    <w:rsid w:val="00636721"/>
    <w:rsid w:val="006371B4"/>
    <w:rsid w:val="0063735E"/>
    <w:rsid w:val="00637BAF"/>
    <w:rsid w:val="00640C45"/>
    <w:rsid w:val="00641F70"/>
    <w:rsid w:val="00641FC0"/>
    <w:rsid w:val="00646D14"/>
    <w:rsid w:val="00647175"/>
    <w:rsid w:val="006509E5"/>
    <w:rsid w:val="00651760"/>
    <w:rsid w:val="00651766"/>
    <w:rsid w:val="00651A51"/>
    <w:rsid w:val="00651B75"/>
    <w:rsid w:val="006523C5"/>
    <w:rsid w:val="0065326C"/>
    <w:rsid w:val="00654EE6"/>
    <w:rsid w:val="00655927"/>
    <w:rsid w:val="006561B3"/>
    <w:rsid w:val="00657875"/>
    <w:rsid w:val="00657B66"/>
    <w:rsid w:val="006631E0"/>
    <w:rsid w:val="006636D2"/>
    <w:rsid w:val="006642E4"/>
    <w:rsid w:val="00664B2C"/>
    <w:rsid w:val="00665E1B"/>
    <w:rsid w:val="00665F40"/>
    <w:rsid w:val="00666778"/>
    <w:rsid w:val="0066687A"/>
    <w:rsid w:val="00667AA1"/>
    <w:rsid w:val="00670235"/>
    <w:rsid w:val="006708C6"/>
    <w:rsid w:val="0067122E"/>
    <w:rsid w:val="0067180F"/>
    <w:rsid w:val="00671989"/>
    <w:rsid w:val="0067230D"/>
    <w:rsid w:val="0067277D"/>
    <w:rsid w:val="00672A86"/>
    <w:rsid w:val="00673AE5"/>
    <w:rsid w:val="0067437C"/>
    <w:rsid w:val="0067474F"/>
    <w:rsid w:val="00675B58"/>
    <w:rsid w:val="006767E4"/>
    <w:rsid w:val="00676B5C"/>
    <w:rsid w:val="006776E9"/>
    <w:rsid w:val="00681639"/>
    <w:rsid w:val="00681F82"/>
    <w:rsid w:val="00682885"/>
    <w:rsid w:val="006834AE"/>
    <w:rsid w:val="00684567"/>
    <w:rsid w:val="00685A98"/>
    <w:rsid w:val="00685BED"/>
    <w:rsid w:val="00685D41"/>
    <w:rsid w:val="006901CD"/>
    <w:rsid w:val="00695B72"/>
    <w:rsid w:val="006A1546"/>
    <w:rsid w:val="006A1B05"/>
    <w:rsid w:val="006A3110"/>
    <w:rsid w:val="006A469F"/>
    <w:rsid w:val="006A4926"/>
    <w:rsid w:val="006A5032"/>
    <w:rsid w:val="006A56B9"/>
    <w:rsid w:val="006A6CFB"/>
    <w:rsid w:val="006B05FA"/>
    <w:rsid w:val="006B0E6D"/>
    <w:rsid w:val="006B13E1"/>
    <w:rsid w:val="006B15CF"/>
    <w:rsid w:val="006B1AC1"/>
    <w:rsid w:val="006B1C91"/>
    <w:rsid w:val="006B1F53"/>
    <w:rsid w:val="006B4B3C"/>
    <w:rsid w:val="006B4C92"/>
    <w:rsid w:val="006B4DF6"/>
    <w:rsid w:val="006B607C"/>
    <w:rsid w:val="006B6233"/>
    <w:rsid w:val="006B644A"/>
    <w:rsid w:val="006B669B"/>
    <w:rsid w:val="006B7351"/>
    <w:rsid w:val="006B7AC9"/>
    <w:rsid w:val="006C0100"/>
    <w:rsid w:val="006C2CB6"/>
    <w:rsid w:val="006C6B68"/>
    <w:rsid w:val="006C6F82"/>
    <w:rsid w:val="006C7FD0"/>
    <w:rsid w:val="006D0F5E"/>
    <w:rsid w:val="006D1F86"/>
    <w:rsid w:val="006D22B8"/>
    <w:rsid w:val="006D2D9E"/>
    <w:rsid w:val="006D2F79"/>
    <w:rsid w:val="006D3457"/>
    <w:rsid w:val="006D3836"/>
    <w:rsid w:val="006D443F"/>
    <w:rsid w:val="006D47A3"/>
    <w:rsid w:val="006D5E16"/>
    <w:rsid w:val="006E1DB7"/>
    <w:rsid w:val="006E25F5"/>
    <w:rsid w:val="006E3FFC"/>
    <w:rsid w:val="006E4737"/>
    <w:rsid w:val="006E63F5"/>
    <w:rsid w:val="006E73B3"/>
    <w:rsid w:val="006E7B47"/>
    <w:rsid w:val="006E7E02"/>
    <w:rsid w:val="006F0806"/>
    <w:rsid w:val="006F0845"/>
    <w:rsid w:val="006F18FC"/>
    <w:rsid w:val="006F25D5"/>
    <w:rsid w:val="006F3337"/>
    <w:rsid w:val="006F3770"/>
    <w:rsid w:val="006F4E74"/>
    <w:rsid w:val="006F4F11"/>
    <w:rsid w:val="006F4FFD"/>
    <w:rsid w:val="006F54B0"/>
    <w:rsid w:val="006F6E97"/>
    <w:rsid w:val="006F6F87"/>
    <w:rsid w:val="006F743F"/>
    <w:rsid w:val="006F7966"/>
    <w:rsid w:val="00700A16"/>
    <w:rsid w:val="00701F60"/>
    <w:rsid w:val="00702235"/>
    <w:rsid w:val="00702FAE"/>
    <w:rsid w:val="007032BD"/>
    <w:rsid w:val="00705B98"/>
    <w:rsid w:val="0070674F"/>
    <w:rsid w:val="00707156"/>
    <w:rsid w:val="00710C26"/>
    <w:rsid w:val="00711890"/>
    <w:rsid w:val="0071232B"/>
    <w:rsid w:val="0071324B"/>
    <w:rsid w:val="0071346C"/>
    <w:rsid w:val="00713481"/>
    <w:rsid w:val="00713D0D"/>
    <w:rsid w:val="00713F3A"/>
    <w:rsid w:val="0071551F"/>
    <w:rsid w:val="007172DC"/>
    <w:rsid w:val="00717992"/>
    <w:rsid w:val="00717FC3"/>
    <w:rsid w:val="00720EEA"/>
    <w:rsid w:val="007212F3"/>
    <w:rsid w:val="00721484"/>
    <w:rsid w:val="00721920"/>
    <w:rsid w:val="007222BC"/>
    <w:rsid w:val="00722958"/>
    <w:rsid w:val="00722CDD"/>
    <w:rsid w:val="00723CD7"/>
    <w:rsid w:val="00723DDD"/>
    <w:rsid w:val="00724B3E"/>
    <w:rsid w:val="00724B51"/>
    <w:rsid w:val="00724FEF"/>
    <w:rsid w:val="0072561B"/>
    <w:rsid w:val="00726774"/>
    <w:rsid w:val="007267D0"/>
    <w:rsid w:val="007274EF"/>
    <w:rsid w:val="00727A4F"/>
    <w:rsid w:val="007303E1"/>
    <w:rsid w:val="0073057D"/>
    <w:rsid w:val="007317A6"/>
    <w:rsid w:val="007319AB"/>
    <w:rsid w:val="00731A0E"/>
    <w:rsid w:val="00731DA5"/>
    <w:rsid w:val="00732719"/>
    <w:rsid w:val="007328A5"/>
    <w:rsid w:val="00733587"/>
    <w:rsid w:val="007346BE"/>
    <w:rsid w:val="00735D7A"/>
    <w:rsid w:val="00737148"/>
    <w:rsid w:val="0073758E"/>
    <w:rsid w:val="0074205E"/>
    <w:rsid w:val="00743406"/>
    <w:rsid w:val="00743F56"/>
    <w:rsid w:val="007441CE"/>
    <w:rsid w:val="00744DDD"/>
    <w:rsid w:val="0074509A"/>
    <w:rsid w:val="00745446"/>
    <w:rsid w:val="00745A9A"/>
    <w:rsid w:val="007468E5"/>
    <w:rsid w:val="007479A5"/>
    <w:rsid w:val="007517F2"/>
    <w:rsid w:val="007520B0"/>
    <w:rsid w:val="00752416"/>
    <w:rsid w:val="007529B9"/>
    <w:rsid w:val="00752DEB"/>
    <w:rsid w:val="00752F23"/>
    <w:rsid w:val="007537C1"/>
    <w:rsid w:val="00755222"/>
    <w:rsid w:val="00755312"/>
    <w:rsid w:val="007559B7"/>
    <w:rsid w:val="00756FC6"/>
    <w:rsid w:val="0075734A"/>
    <w:rsid w:val="00760B74"/>
    <w:rsid w:val="00761294"/>
    <w:rsid w:val="00761DAC"/>
    <w:rsid w:val="0076231A"/>
    <w:rsid w:val="00762C84"/>
    <w:rsid w:val="00763639"/>
    <w:rsid w:val="00766493"/>
    <w:rsid w:val="007669A6"/>
    <w:rsid w:val="007671FF"/>
    <w:rsid w:val="00770541"/>
    <w:rsid w:val="007707D1"/>
    <w:rsid w:val="00770E89"/>
    <w:rsid w:val="00773725"/>
    <w:rsid w:val="00773AA3"/>
    <w:rsid w:val="00773ED8"/>
    <w:rsid w:val="0077400D"/>
    <w:rsid w:val="00776BC8"/>
    <w:rsid w:val="00777691"/>
    <w:rsid w:val="00777C4C"/>
    <w:rsid w:val="0078178B"/>
    <w:rsid w:val="00781F81"/>
    <w:rsid w:val="0078218B"/>
    <w:rsid w:val="007825B3"/>
    <w:rsid w:val="00783606"/>
    <w:rsid w:val="00783BA5"/>
    <w:rsid w:val="007840C0"/>
    <w:rsid w:val="0078670C"/>
    <w:rsid w:val="0078792A"/>
    <w:rsid w:val="00790B3E"/>
    <w:rsid w:val="00790DC0"/>
    <w:rsid w:val="00791E6F"/>
    <w:rsid w:val="00792E0F"/>
    <w:rsid w:val="00793B4A"/>
    <w:rsid w:val="007943F6"/>
    <w:rsid w:val="00795D41"/>
    <w:rsid w:val="00795FB7"/>
    <w:rsid w:val="00796662"/>
    <w:rsid w:val="00797B0C"/>
    <w:rsid w:val="00797EF9"/>
    <w:rsid w:val="007A15A5"/>
    <w:rsid w:val="007A1931"/>
    <w:rsid w:val="007A20C6"/>
    <w:rsid w:val="007A31D7"/>
    <w:rsid w:val="007A6ECD"/>
    <w:rsid w:val="007B040E"/>
    <w:rsid w:val="007B12C6"/>
    <w:rsid w:val="007B1929"/>
    <w:rsid w:val="007B3BBF"/>
    <w:rsid w:val="007B42BB"/>
    <w:rsid w:val="007B42EE"/>
    <w:rsid w:val="007B433F"/>
    <w:rsid w:val="007B473E"/>
    <w:rsid w:val="007B4FC1"/>
    <w:rsid w:val="007B52ED"/>
    <w:rsid w:val="007B5D81"/>
    <w:rsid w:val="007B722A"/>
    <w:rsid w:val="007B79B4"/>
    <w:rsid w:val="007B7D9D"/>
    <w:rsid w:val="007B7E43"/>
    <w:rsid w:val="007C1A01"/>
    <w:rsid w:val="007C2C58"/>
    <w:rsid w:val="007C3C04"/>
    <w:rsid w:val="007C4193"/>
    <w:rsid w:val="007C4978"/>
    <w:rsid w:val="007C588C"/>
    <w:rsid w:val="007C7B69"/>
    <w:rsid w:val="007D0825"/>
    <w:rsid w:val="007D1D04"/>
    <w:rsid w:val="007D2182"/>
    <w:rsid w:val="007D2A5D"/>
    <w:rsid w:val="007D3DF9"/>
    <w:rsid w:val="007D4DB4"/>
    <w:rsid w:val="007D6AC8"/>
    <w:rsid w:val="007D77CF"/>
    <w:rsid w:val="007D7E23"/>
    <w:rsid w:val="007E0304"/>
    <w:rsid w:val="007E08E4"/>
    <w:rsid w:val="007E0BA9"/>
    <w:rsid w:val="007E17CF"/>
    <w:rsid w:val="007E271C"/>
    <w:rsid w:val="007E4396"/>
    <w:rsid w:val="007E441B"/>
    <w:rsid w:val="007E4A08"/>
    <w:rsid w:val="007E5914"/>
    <w:rsid w:val="007E60F0"/>
    <w:rsid w:val="007E6F41"/>
    <w:rsid w:val="007E790E"/>
    <w:rsid w:val="007E794E"/>
    <w:rsid w:val="007F01ED"/>
    <w:rsid w:val="007F0943"/>
    <w:rsid w:val="007F0BF0"/>
    <w:rsid w:val="007F1AFE"/>
    <w:rsid w:val="007F2588"/>
    <w:rsid w:val="007F32C8"/>
    <w:rsid w:val="007F3B1F"/>
    <w:rsid w:val="007F3DAB"/>
    <w:rsid w:val="007F429E"/>
    <w:rsid w:val="007F5131"/>
    <w:rsid w:val="007F6288"/>
    <w:rsid w:val="007F64FE"/>
    <w:rsid w:val="007F66C0"/>
    <w:rsid w:val="008001A8"/>
    <w:rsid w:val="00800BC5"/>
    <w:rsid w:val="00801697"/>
    <w:rsid w:val="0080174A"/>
    <w:rsid w:val="008017CF"/>
    <w:rsid w:val="008021EA"/>
    <w:rsid w:val="0080237E"/>
    <w:rsid w:val="008034B1"/>
    <w:rsid w:val="008037C7"/>
    <w:rsid w:val="0080397B"/>
    <w:rsid w:val="00804CC4"/>
    <w:rsid w:val="00805148"/>
    <w:rsid w:val="008051F0"/>
    <w:rsid w:val="00806E69"/>
    <w:rsid w:val="00806F81"/>
    <w:rsid w:val="008071AB"/>
    <w:rsid w:val="00810A3D"/>
    <w:rsid w:val="008118FE"/>
    <w:rsid w:val="00811B3C"/>
    <w:rsid w:val="00811EA6"/>
    <w:rsid w:val="00812CDB"/>
    <w:rsid w:val="008154E6"/>
    <w:rsid w:val="0081662A"/>
    <w:rsid w:val="0081763D"/>
    <w:rsid w:val="00821225"/>
    <w:rsid w:val="00822316"/>
    <w:rsid w:val="00822D97"/>
    <w:rsid w:val="00823225"/>
    <w:rsid w:val="00824491"/>
    <w:rsid w:val="008246F7"/>
    <w:rsid w:val="00824B56"/>
    <w:rsid w:val="0082623F"/>
    <w:rsid w:val="008267B4"/>
    <w:rsid w:val="00826C83"/>
    <w:rsid w:val="008273DB"/>
    <w:rsid w:val="008315B9"/>
    <w:rsid w:val="008338E5"/>
    <w:rsid w:val="00834A9D"/>
    <w:rsid w:val="0083583F"/>
    <w:rsid w:val="00836387"/>
    <w:rsid w:val="0083710D"/>
    <w:rsid w:val="0083750D"/>
    <w:rsid w:val="00837787"/>
    <w:rsid w:val="00837A3A"/>
    <w:rsid w:val="00837CEB"/>
    <w:rsid w:val="00840240"/>
    <w:rsid w:val="00841A35"/>
    <w:rsid w:val="00841E98"/>
    <w:rsid w:val="00843040"/>
    <w:rsid w:val="008439E1"/>
    <w:rsid w:val="00844104"/>
    <w:rsid w:val="008442DD"/>
    <w:rsid w:val="00845006"/>
    <w:rsid w:val="0084635E"/>
    <w:rsid w:val="0085132D"/>
    <w:rsid w:val="00853D82"/>
    <w:rsid w:val="00854C99"/>
    <w:rsid w:val="00855076"/>
    <w:rsid w:val="008555C2"/>
    <w:rsid w:val="00855708"/>
    <w:rsid w:val="00855B53"/>
    <w:rsid w:val="00856DB0"/>
    <w:rsid w:val="00856EB7"/>
    <w:rsid w:val="008576FC"/>
    <w:rsid w:val="008603F4"/>
    <w:rsid w:val="00860984"/>
    <w:rsid w:val="008615AD"/>
    <w:rsid w:val="00861773"/>
    <w:rsid w:val="00861A77"/>
    <w:rsid w:val="00861F88"/>
    <w:rsid w:val="008626FB"/>
    <w:rsid w:val="00863529"/>
    <w:rsid w:val="00864562"/>
    <w:rsid w:val="00864A6C"/>
    <w:rsid w:val="00864E5B"/>
    <w:rsid w:val="00865348"/>
    <w:rsid w:val="0086560A"/>
    <w:rsid w:val="00865680"/>
    <w:rsid w:val="00866625"/>
    <w:rsid w:val="00866895"/>
    <w:rsid w:val="00866E54"/>
    <w:rsid w:val="00867219"/>
    <w:rsid w:val="0086739B"/>
    <w:rsid w:val="008674DE"/>
    <w:rsid w:val="00867DE5"/>
    <w:rsid w:val="00870C9B"/>
    <w:rsid w:val="0087114E"/>
    <w:rsid w:val="00871AB0"/>
    <w:rsid w:val="00872B30"/>
    <w:rsid w:val="00872F32"/>
    <w:rsid w:val="00873045"/>
    <w:rsid w:val="008731B7"/>
    <w:rsid w:val="00874C1C"/>
    <w:rsid w:val="00876110"/>
    <w:rsid w:val="008762E5"/>
    <w:rsid w:val="0087708A"/>
    <w:rsid w:val="008778AE"/>
    <w:rsid w:val="008779A8"/>
    <w:rsid w:val="008804D5"/>
    <w:rsid w:val="00880D32"/>
    <w:rsid w:val="00880D76"/>
    <w:rsid w:val="00881692"/>
    <w:rsid w:val="008821E4"/>
    <w:rsid w:val="008822B0"/>
    <w:rsid w:val="0088276E"/>
    <w:rsid w:val="008838C5"/>
    <w:rsid w:val="00883B88"/>
    <w:rsid w:val="00883DF7"/>
    <w:rsid w:val="00883E44"/>
    <w:rsid w:val="00884DC7"/>
    <w:rsid w:val="00884E38"/>
    <w:rsid w:val="0088542B"/>
    <w:rsid w:val="00886E70"/>
    <w:rsid w:val="00887B0F"/>
    <w:rsid w:val="0089222D"/>
    <w:rsid w:val="00892EA9"/>
    <w:rsid w:val="008936C6"/>
    <w:rsid w:val="00893C73"/>
    <w:rsid w:val="00893EDC"/>
    <w:rsid w:val="0089509A"/>
    <w:rsid w:val="00895881"/>
    <w:rsid w:val="00895AA6"/>
    <w:rsid w:val="00897EB3"/>
    <w:rsid w:val="008A28AC"/>
    <w:rsid w:val="008A2F94"/>
    <w:rsid w:val="008A3D45"/>
    <w:rsid w:val="008A59B4"/>
    <w:rsid w:val="008A5E56"/>
    <w:rsid w:val="008B0A0C"/>
    <w:rsid w:val="008B1F48"/>
    <w:rsid w:val="008B3375"/>
    <w:rsid w:val="008B4995"/>
    <w:rsid w:val="008B5193"/>
    <w:rsid w:val="008B52B9"/>
    <w:rsid w:val="008B5607"/>
    <w:rsid w:val="008B570A"/>
    <w:rsid w:val="008B57C2"/>
    <w:rsid w:val="008B5A12"/>
    <w:rsid w:val="008B6523"/>
    <w:rsid w:val="008B7739"/>
    <w:rsid w:val="008B79E3"/>
    <w:rsid w:val="008B7A8F"/>
    <w:rsid w:val="008C0AAD"/>
    <w:rsid w:val="008C50C2"/>
    <w:rsid w:val="008C6174"/>
    <w:rsid w:val="008C6951"/>
    <w:rsid w:val="008C6DB0"/>
    <w:rsid w:val="008C703F"/>
    <w:rsid w:val="008D2041"/>
    <w:rsid w:val="008D2600"/>
    <w:rsid w:val="008D2AEF"/>
    <w:rsid w:val="008D2C3C"/>
    <w:rsid w:val="008D2EA2"/>
    <w:rsid w:val="008D33E0"/>
    <w:rsid w:val="008D47A9"/>
    <w:rsid w:val="008D5F18"/>
    <w:rsid w:val="008D72DA"/>
    <w:rsid w:val="008E0120"/>
    <w:rsid w:val="008E06A5"/>
    <w:rsid w:val="008E1C42"/>
    <w:rsid w:val="008E2076"/>
    <w:rsid w:val="008E2699"/>
    <w:rsid w:val="008E2759"/>
    <w:rsid w:val="008E32B0"/>
    <w:rsid w:val="008E3BE5"/>
    <w:rsid w:val="008E6311"/>
    <w:rsid w:val="008E745E"/>
    <w:rsid w:val="008E7D9B"/>
    <w:rsid w:val="008F03F6"/>
    <w:rsid w:val="008F0591"/>
    <w:rsid w:val="008F077A"/>
    <w:rsid w:val="008F1031"/>
    <w:rsid w:val="008F1789"/>
    <w:rsid w:val="008F20AE"/>
    <w:rsid w:val="008F3155"/>
    <w:rsid w:val="008F3B69"/>
    <w:rsid w:val="008F4964"/>
    <w:rsid w:val="008F7146"/>
    <w:rsid w:val="008F7F32"/>
    <w:rsid w:val="0090032C"/>
    <w:rsid w:val="00900801"/>
    <w:rsid w:val="00900DDF"/>
    <w:rsid w:val="0090264B"/>
    <w:rsid w:val="009057B8"/>
    <w:rsid w:val="00905A7E"/>
    <w:rsid w:val="00910EAF"/>
    <w:rsid w:val="00910F0F"/>
    <w:rsid w:val="00910F88"/>
    <w:rsid w:val="00911C04"/>
    <w:rsid w:val="00911C84"/>
    <w:rsid w:val="009121DD"/>
    <w:rsid w:val="009154E4"/>
    <w:rsid w:val="00916CAC"/>
    <w:rsid w:val="00916CE4"/>
    <w:rsid w:val="00917EC0"/>
    <w:rsid w:val="00921927"/>
    <w:rsid w:val="00921BC7"/>
    <w:rsid w:val="009235D5"/>
    <w:rsid w:val="00923767"/>
    <w:rsid w:val="00924C94"/>
    <w:rsid w:val="00924FEF"/>
    <w:rsid w:val="00925C5D"/>
    <w:rsid w:val="00926054"/>
    <w:rsid w:val="00926B84"/>
    <w:rsid w:val="00926CC0"/>
    <w:rsid w:val="009274C2"/>
    <w:rsid w:val="0092769C"/>
    <w:rsid w:val="00927AEF"/>
    <w:rsid w:val="0093131E"/>
    <w:rsid w:val="00931A47"/>
    <w:rsid w:val="00932445"/>
    <w:rsid w:val="00933937"/>
    <w:rsid w:val="00933AD2"/>
    <w:rsid w:val="00934E3D"/>
    <w:rsid w:val="009351BF"/>
    <w:rsid w:val="00936052"/>
    <w:rsid w:val="00936415"/>
    <w:rsid w:val="00936CE7"/>
    <w:rsid w:val="00936E25"/>
    <w:rsid w:val="00940705"/>
    <w:rsid w:val="009410D6"/>
    <w:rsid w:val="009430B4"/>
    <w:rsid w:val="00943BE2"/>
    <w:rsid w:val="00943DF1"/>
    <w:rsid w:val="00944579"/>
    <w:rsid w:val="0094470B"/>
    <w:rsid w:val="00944DA6"/>
    <w:rsid w:val="00945803"/>
    <w:rsid w:val="009460EF"/>
    <w:rsid w:val="00946219"/>
    <w:rsid w:val="00946C84"/>
    <w:rsid w:val="00950964"/>
    <w:rsid w:val="00952577"/>
    <w:rsid w:val="00953539"/>
    <w:rsid w:val="009540ED"/>
    <w:rsid w:val="009544A2"/>
    <w:rsid w:val="00956BEC"/>
    <w:rsid w:val="00957BAB"/>
    <w:rsid w:val="0096114F"/>
    <w:rsid w:val="009616D9"/>
    <w:rsid w:val="00963128"/>
    <w:rsid w:val="0096323E"/>
    <w:rsid w:val="00963691"/>
    <w:rsid w:val="0096419D"/>
    <w:rsid w:val="0096527C"/>
    <w:rsid w:val="00967307"/>
    <w:rsid w:val="00967D4B"/>
    <w:rsid w:val="0097052C"/>
    <w:rsid w:val="00970A26"/>
    <w:rsid w:val="00971127"/>
    <w:rsid w:val="00971169"/>
    <w:rsid w:val="009722D3"/>
    <w:rsid w:val="009731D0"/>
    <w:rsid w:val="0097337D"/>
    <w:rsid w:val="00973A2F"/>
    <w:rsid w:val="00973AD8"/>
    <w:rsid w:val="009767A0"/>
    <w:rsid w:val="009777B1"/>
    <w:rsid w:val="009800A9"/>
    <w:rsid w:val="00980F6A"/>
    <w:rsid w:val="0098137E"/>
    <w:rsid w:val="009827A3"/>
    <w:rsid w:val="00982A32"/>
    <w:rsid w:val="00982F64"/>
    <w:rsid w:val="0098343E"/>
    <w:rsid w:val="0098535F"/>
    <w:rsid w:val="00985CD9"/>
    <w:rsid w:val="0098640C"/>
    <w:rsid w:val="009868A0"/>
    <w:rsid w:val="00986CE6"/>
    <w:rsid w:val="00987A69"/>
    <w:rsid w:val="00991090"/>
    <w:rsid w:val="00991580"/>
    <w:rsid w:val="00991D53"/>
    <w:rsid w:val="00992088"/>
    <w:rsid w:val="009940F0"/>
    <w:rsid w:val="00994F2E"/>
    <w:rsid w:val="00995549"/>
    <w:rsid w:val="009970DC"/>
    <w:rsid w:val="00997293"/>
    <w:rsid w:val="00997A5E"/>
    <w:rsid w:val="009A0D5F"/>
    <w:rsid w:val="009A0DBE"/>
    <w:rsid w:val="009A13F7"/>
    <w:rsid w:val="009A22B0"/>
    <w:rsid w:val="009A305B"/>
    <w:rsid w:val="009A35FC"/>
    <w:rsid w:val="009A3FB0"/>
    <w:rsid w:val="009A5BBE"/>
    <w:rsid w:val="009A6088"/>
    <w:rsid w:val="009A61E5"/>
    <w:rsid w:val="009A677B"/>
    <w:rsid w:val="009A6B2F"/>
    <w:rsid w:val="009A6DB5"/>
    <w:rsid w:val="009A783A"/>
    <w:rsid w:val="009A7E2C"/>
    <w:rsid w:val="009B067B"/>
    <w:rsid w:val="009B0709"/>
    <w:rsid w:val="009B2AB5"/>
    <w:rsid w:val="009B2E55"/>
    <w:rsid w:val="009B485A"/>
    <w:rsid w:val="009B4AB7"/>
    <w:rsid w:val="009B5023"/>
    <w:rsid w:val="009B50F1"/>
    <w:rsid w:val="009B58B8"/>
    <w:rsid w:val="009B5D51"/>
    <w:rsid w:val="009B5E6A"/>
    <w:rsid w:val="009B7843"/>
    <w:rsid w:val="009B7A86"/>
    <w:rsid w:val="009B7DA6"/>
    <w:rsid w:val="009B7EB5"/>
    <w:rsid w:val="009C0266"/>
    <w:rsid w:val="009C2793"/>
    <w:rsid w:val="009C3BD0"/>
    <w:rsid w:val="009C5C2A"/>
    <w:rsid w:val="009C67F5"/>
    <w:rsid w:val="009C6E8A"/>
    <w:rsid w:val="009C7015"/>
    <w:rsid w:val="009C72FC"/>
    <w:rsid w:val="009C7BBE"/>
    <w:rsid w:val="009D173E"/>
    <w:rsid w:val="009D2DED"/>
    <w:rsid w:val="009D3238"/>
    <w:rsid w:val="009D32EB"/>
    <w:rsid w:val="009D3818"/>
    <w:rsid w:val="009D4965"/>
    <w:rsid w:val="009D5222"/>
    <w:rsid w:val="009D5624"/>
    <w:rsid w:val="009D65C4"/>
    <w:rsid w:val="009D6A38"/>
    <w:rsid w:val="009D775F"/>
    <w:rsid w:val="009D792C"/>
    <w:rsid w:val="009E17AF"/>
    <w:rsid w:val="009E20E1"/>
    <w:rsid w:val="009E32C4"/>
    <w:rsid w:val="009E4FA1"/>
    <w:rsid w:val="009E5D65"/>
    <w:rsid w:val="009E6B8D"/>
    <w:rsid w:val="009E7D13"/>
    <w:rsid w:val="009E7DD4"/>
    <w:rsid w:val="009F009C"/>
    <w:rsid w:val="009F0B6F"/>
    <w:rsid w:val="009F2BF2"/>
    <w:rsid w:val="009F2DB6"/>
    <w:rsid w:val="009F35E9"/>
    <w:rsid w:val="009F40BF"/>
    <w:rsid w:val="009F4E94"/>
    <w:rsid w:val="009F5E61"/>
    <w:rsid w:val="009F5FB0"/>
    <w:rsid w:val="009F6135"/>
    <w:rsid w:val="009F6526"/>
    <w:rsid w:val="009F6861"/>
    <w:rsid w:val="009F6A8E"/>
    <w:rsid w:val="009F7A77"/>
    <w:rsid w:val="009F7F28"/>
    <w:rsid w:val="00A00238"/>
    <w:rsid w:val="00A008C1"/>
    <w:rsid w:val="00A00C06"/>
    <w:rsid w:val="00A01459"/>
    <w:rsid w:val="00A01D94"/>
    <w:rsid w:val="00A02470"/>
    <w:rsid w:val="00A02E7C"/>
    <w:rsid w:val="00A02E8D"/>
    <w:rsid w:val="00A0314F"/>
    <w:rsid w:val="00A03FEA"/>
    <w:rsid w:val="00A04569"/>
    <w:rsid w:val="00A0468C"/>
    <w:rsid w:val="00A05650"/>
    <w:rsid w:val="00A078E7"/>
    <w:rsid w:val="00A07BB1"/>
    <w:rsid w:val="00A10498"/>
    <w:rsid w:val="00A1055C"/>
    <w:rsid w:val="00A11006"/>
    <w:rsid w:val="00A1229D"/>
    <w:rsid w:val="00A12D87"/>
    <w:rsid w:val="00A13311"/>
    <w:rsid w:val="00A13BEA"/>
    <w:rsid w:val="00A15E3F"/>
    <w:rsid w:val="00A163A2"/>
    <w:rsid w:val="00A169A0"/>
    <w:rsid w:val="00A1712F"/>
    <w:rsid w:val="00A17209"/>
    <w:rsid w:val="00A175DB"/>
    <w:rsid w:val="00A20B38"/>
    <w:rsid w:val="00A223A2"/>
    <w:rsid w:val="00A22B31"/>
    <w:rsid w:val="00A2436B"/>
    <w:rsid w:val="00A255F8"/>
    <w:rsid w:val="00A256BE"/>
    <w:rsid w:val="00A25A93"/>
    <w:rsid w:val="00A27130"/>
    <w:rsid w:val="00A2737F"/>
    <w:rsid w:val="00A3029F"/>
    <w:rsid w:val="00A30F3E"/>
    <w:rsid w:val="00A31362"/>
    <w:rsid w:val="00A31648"/>
    <w:rsid w:val="00A31B55"/>
    <w:rsid w:val="00A32769"/>
    <w:rsid w:val="00A340D6"/>
    <w:rsid w:val="00A35C52"/>
    <w:rsid w:val="00A35DE8"/>
    <w:rsid w:val="00A3682E"/>
    <w:rsid w:val="00A36CE1"/>
    <w:rsid w:val="00A376BF"/>
    <w:rsid w:val="00A3776B"/>
    <w:rsid w:val="00A40673"/>
    <w:rsid w:val="00A40D47"/>
    <w:rsid w:val="00A40EDA"/>
    <w:rsid w:val="00A41510"/>
    <w:rsid w:val="00A423FB"/>
    <w:rsid w:val="00A43D3D"/>
    <w:rsid w:val="00A446D2"/>
    <w:rsid w:val="00A456BE"/>
    <w:rsid w:val="00A45DD4"/>
    <w:rsid w:val="00A465FF"/>
    <w:rsid w:val="00A4775C"/>
    <w:rsid w:val="00A50872"/>
    <w:rsid w:val="00A509CB"/>
    <w:rsid w:val="00A50A9E"/>
    <w:rsid w:val="00A519CF"/>
    <w:rsid w:val="00A51B6A"/>
    <w:rsid w:val="00A5248F"/>
    <w:rsid w:val="00A53E77"/>
    <w:rsid w:val="00A5408D"/>
    <w:rsid w:val="00A541C3"/>
    <w:rsid w:val="00A56C4C"/>
    <w:rsid w:val="00A6058B"/>
    <w:rsid w:val="00A61AEF"/>
    <w:rsid w:val="00A61C87"/>
    <w:rsid w:val="00A61CF1"/>
    <w:rsid w:val="00A62911"/>
    <w:rsid w:val="00A634CF"/>
    <w:rsid w:val="00A6439A"/>
    <w:rsid w:val="00A65111"/>
    <w:rsid w:val="00A6534E"/>
    <w:rsid w:val="00A65370"/>
    <w:rsid w:val="00A660C0"/>
    <w:rsid w:val="00A66153"/>
    <w:rsid w:val="00A66E9A"/>
    <w:rsid w:val="00A670D9"/>
    <w:rsid w:val="00A67338"/>
    <w:rsid w:val="00A67B0D"/>
    <w:rsid w:val="00A708B3"/>
    <w:rsid w:val="00A71034"/>
    <w:rsid w:val="00A71AE3"/>
    <w:rsid w:val="00A7211C"/>
    <w:rsid w:val="00A72C11"/>
    <w:rsid w:val="00A7386A"/>
    <w:rsid w:val="00A745AC"/>
    <w:rsid w:val="00A76208"/>
    <w:rsid w:val="00A768BF"/>
    <w:rsid w:val="00A77432"/>
    <w:rsid w:val="00A77F65"/>
    <w:rsid w:val="00A80AE9"/>
    <w:rsid w:val="00A82479"/>
    <w:rsid w:val="00A83A0F"/>
    <w:rsid w:val="00A8422C"/>
    <w:rsid w:val="00A84404"/>
    <w:rsid w:val="00A85885"/>
    <w:rsid w:val="00A87031"/>
    <w:rsid w:val="00A8732D"/>
    <w:rsid w:val="00A873CF"/>
    <w:rsid w:val="00A9021A"/>
    <w:rsid w:val="00A902D4"/>
    <w:rsid w:val="00A90D66"/>
    <w:rsid w:val="00A90EB5"/>
    <w:rsid w:val="00A919A8"/>
    <w:rsid w:val="00A92A81"/>
    <w:rsid w:val="00A92EE4"/>
    <w:rsid w:val="00A93309"/>
    <w:rsid w:val="00A9461A"/>
    <w:rsid w:val="00A946A2"/>
    <w:rsid w:val="00A959DB"/>
    <w:rsid w:val="00A95D5B"/>
    <w:rsid w:val="00A9645C"/>
    <w:rsid w:val="00A96AB7"/>
    <w:rsid w:val="00A96EC6"/>
    <w:rsid w:val="00A971EE"/>
    <w:rsid w:val="00A97959"/>
    <w:rsid w:val="00A97F77"/>
    <w:rsid w:val="00AA0088"/>
    <w:rsid w:val="00AA0C88"/>
    <w:rsid w:val="00AA0C90"/>
    <w:rsid w:val="00AA0DAA"/>
    <w:rsid w:val="00AA1FB2"/>
    <w:rsid w:val="00AA22CC"/>
    <w:rsid w:val="00AA30CE"/>
    <w:rsid w:val="00AA3344"/>
    <w:rsid w:val="00AA3CE3"/>
    <w:rsid w:val="00AA3D85"/>
    <w:rsid w:val="00AA3EA2"/>
    <w:rsid w:val="00AA5EFE"/>
    <w:rsid w:val="00AB0504"/>
    <w:rsid w:val="00AB09CE"/>
    <w:rsid w:val="00AB1C71"/>
    <w:rsid w:val="00AB266D"/>
    <w:rsid w:val="00AB27C0"/>
    <w:rsid w:val="00AB289E"/>
    <w:rsid w:val="00AB3175"/>
    <w:rsid w:val="00AB3214"/>
    <w:rsid w:val="00AB334C"/>
    <w:rsid w:val="00AB33EF"/>
    <w:rsid w:val="00AB4353"/>
    <w:rsid w:val="00AB51AE"/>
    <w:rsid w:val="00AC0B06"/>
    <w:rsid w:val="00AC11FA"/>
    <w:rsid w:val="00AC216C"/>
    <w:rsid w:val="00AC38F6"/>
    <w:rsid w:val="00AC4153"/>
    <w:rsid w:val="00AC51B6"/>
    <w:rsid w:val="00AC5CD9"/>
    <w:rsid w:val="00AC7037"/>
    <w:rsid w:val="00AC707F"/>
    <w:rsid w:val="00AC78EA"/>
    <w:rsid w:val="00AD0FC4"/>
    <w:rsid w:val="00AD1B58"/>
    <w:rsid w:val="00AD295A"/>
    <w:rsid w:val="00AD4149"/>
    <w:rsid w:val="00AD48FC"/>
    <w:rsid w:val="00AD54D7"/>
    <w:rsid w:val="00AD5F6E"/>
    <w:rsid w:val="00AD63B5"/>
    <w:rsid w:val="00AD6606"/>
    <w:rsid w:val="00AD6946"/>
    <w:rsid w:val="00AD7A28"/>
    <w:rsid w:val="00AD7DBE"/>
    <w:rsid w:val="00AE3585"/>
    <w:rsid w:val="00AE3B1E"/>
    <w:rsid w:val="00AE4631"/>
    <w:rsid w:val="00AE50E8"/>
    <w:rsid w:val="00AE53B2"/>
    <w:rsid w:val="00AE559A"/>
    <w:rsid w:val="00AE638F"/>
    <w:rsid w:val="00AE7A25"/>
    <w:rsid w:val="00AF01F5"/>
    <w:rsid w:val="00AF0EC5"/>
    <w:rsid w:val="00AF2815"/>
    <w:rsid w:val="00AF4491"/>
    <w:rsid w:val="00AF656C"/>
    <w:rsid w:val="00AF6581"/>
    <w:rsid w:val="00AF66C3"/>
    <w:rsid w:val="00AF762F"/>
    <w:rsid w:val="00AF7969"/>
    <w:rsid w:val="00AF7F83"/>
    <w:rsid w:val="00B02ACF"/>
    <w:rsid w:val="00B02B17"/>
    <w:rsid w:val="00B03B83"/>
    <w:rsid w:val="00B04638"/>
    <w:rsid w:val="00B04958"/>
    <w:rsid w:val="00B04BBB"/>
    <w:rsid w:val="00B0517E"/>
    <w:rsid w:val="00B06284"/>
    <w:rsid w:val="00B07C30"/>
    <w:rsid w:val="00B115FB"/>
    <w:rsid w:val="00B124D1"/>
    <w:rsid w:val="00B12CE7"/>
    <w:rsid w:val="00B1309A"/>
    <w:rsid w:val="00B13479"/>
    <w:rsid w:val="00B138E3"/>
    <w:rsid w:val="00B1442A"/>
    <w:rsid w:val="00B149D8"/>
    <w:rsid w:val="00B1555E"/>
    <w:rsid w:val="00B15A8A"/>
    <w:rsid w:val="00B15C4E"/>
    <w:rsid w:val="00B1629D"/>
    <w:rsid w:val="00B16A97"/>
    <w:rsid w:val="00B16E4D"/>
    <w:rsid w:val="00B17191"/>
    <w:rsid w:val="00B17434"/>
    <w:rsid w:val="00B20A37"/>
    <w:rsid w:val="00B20F04"/>
    <w:rsid w:val="00B21D74"/>
    <w:rsid w:val="00B222A5"/>
    <w:rsid w:val="00B234A4"/>
    <w:rsid w:val="00B23741"/>
    <w:rsid w:val="00B23833"/>
    <w:rsid w:val="00B23F49"/>
    <w:rsid w:val="00B2736B"/>
    <w:rsid w:val="00B32176"/>
    <w:rsid w:val="00B32223"/>
    <w:rsid w:val="00B33930"/>
    <w:rsid w:val="00B341E0"/>
    <w:rsid w:val="00B342B4"/>
    <w:rsid w:val="00B34477"/>
    <w:rsid w:val="00B34893"/>
    <w:rsid w:val="00B3625A"/>
    <w:rsid w:val="00B3668D"/>
    <w:rsid w:val="00B400AB"/>
    <w:rsid w:val="00B41DA5"/>
    <w:rsid w:val="00B42F64"/>
    <w:rsid w:val="00B442DA"/>
    <w:rsid w:val="00B44B4C"/>
    <w:rsid w:val="00B44CC8"/>
    <w:rsid w:val="00B45FD1"/>
    <w:rsid w:val="00B478F3"/>
    <w:rsid w:val="00B50133"/>
    <w:rsid w:val="00B50315"/>
    <w:rsid w:val="00B50DEB"/>
    <w:rsid w:val="00B51075"/>
    <w:rsid w:val="00B525FC"/>
    <w:rsid w:val="00B53133"/>
    <w:rsid w:val="00B537FE"/>
    <w:rsid w:val="00B53DBB"/>
    <w:rsid w:val="00B54B5F"/>
    <w:rsid w:val="00B55A47"/>
    <w:rsid w:val="00B563D1"/>
    <w:rsid w:val="00B5640C"/>
    <w:rsid w:val="00B565FF"/>
    <w:rsid w:val="00B56DCE"/>
    <w:rsid w:val="00B57595"/>
    <w:rsid w:val="00B57AC4"/>
    <w:rsid w:val="00B61159"/>
    <w:rsid w:val="00B61E72"/>
    <w:rsid w:val="00B623D8"/>
    <w:rsid w:val="00B62937"/>
    <w:rsid w:val="00B63CF5"/>
    <w:rsid w:val="00B63D18"/>
    <w:rsid w:val="00B64731"/>
    <w:rsid w:val="00B65728"/>
    <w:rsid w:val="00B66ACF"/>
    <w:rsid w:val="00B676E4"/>
    <w:rsid w:val="00B67AF6"/>
    <w:rsid w:val="00B709C9"/>
    <w:rsid w:val="00B715C8"/>
    <w:rsid w:val="00B71BDA"/>
    <w:rsid w:val="00B7346F"/>
    <w:rsid w:val="00B734A8"/>
    <w:rsid w:val="00B73943"/>
    <w:rsid w:val="00B739D9"/>
    <w:rsid w:val="00B73D52"/>
    <w:rsid w:val="00B74FD0"/>
    <w:rsid w:val="00B7503C"/>
    <w:rsid w:val="00B75469"/>
    <w:rsid w:val="00B75A4D"/>
    <w:rsid w:val="00B75BAC"/>
    <w:rsid w:val="00B760D8"/>
    <w:rsid w:val="00B76997"/>
    <w:rsid w:val="00B77180"/>
    <w:rsid w:val="00B772F1"/>
    <w:rsid w:val="00B77B48"/>
    <w:rsid w:val="00B77F21"/>
    <w:rsid w:val="00B80341"/>
    <w:rsid w:val="00B80660"/>
    <w:rsid w:val="00B8101F"/>
    <w:rsid w:val="00B8196D"/>
    <w:rsid w:val="00B81E60"/>
    <w:rsid w:val="00B823A9"/>
    <w:rsid w:val="00B8273D"/>
    <w:rsid w:val="00B82F7D"/>
    <w:rsid w:val="00B8363E"/>
    <w:rsid w:val="00B836E3"/>
    <w:rsid w:val="00B83F47"/>
    <w:rsid w:val="00B85187"/>
    <w:rsid w:val="00B85CFE"/>
    <w:rsid w:val="00B86183"/>
    <w:rsid w:val="00B86A8A"/>
    <w:rsid w:val="00B86C6A"/>
    <w:rsid w:val="00B87265"/>
    <w:rsid w:val="00B87499"/>
    <w:rsid w:val="00B8795C"/>
    <w:rsid w:val="00B91A4D"/>
    <w:rsid w:val="00B91ED0"/>
    <w:rsid w:val="00B93474"/>
    <w:rsid w:val="00B9428A"/>
    <w:rsid w:val="00B94428"/>
    <w:rsid w:val="00B94BF1"/>
    <w:rsid w:val="00B9500F"/>
    <w:rsid w:val="00B953F4"/>
    <w:rsid w:val="00B9778D"/>
    <w:rsid w:val="00BA03E1"/>
    <w:rsid w:val="00BA0A7E"/>
    <w:rsid w:val="00BA1586"/>
    <w:rsid w:val="00BA2DAA"/>
    <w:rsid w:val="00BA3E70"/>
    <w:rsid w:val="00BA4218"/>
    <w:rsid w:val="00BA484B"/>
    <w:rsid w:val="00BA5294"/>
    <w:rsid w:val="00BA5ADF"/>
    <w:rsid w:val="00BA7DC9"/>
    <w:rsid w:val="00BB00A0"/>
    <w:rsid w:val="00BB0714"/>
    <w:rsid w:val="00BB0820"/>
    <w:rsid w:val="00BB2737"/>
    <w:rsid w:val="00BB2921"/>
    <w:rsid w:val="00BB32B6"/>
    <w:rsid w:val="00BB7C9B"/>
    <w:rsid w:val="00BC0E99"/>
    <w:rsid w:val="00BC1350"/>
    <w:rsid w:val="00BC2BA1"/>
    <w:rsid w:val="00BC37BB"/>
    <w:rsid w:val="00BC3C96"/>
    <w:rsid w:val="00BC5546"/>
    <w:rsid w:val="00BC6ADE"/>
    <w:rsid w:val="00BC6BF3"/>
    <w:rsid w:val="00BC6C51"/>
    <w:rsid w:val="00BD01EC"/>
    <w:rsid w:val="00BD0A27"/>
    <w:rsid w:val="00BD11E9"/>
    <w:rsid w:val="00BD1949"/>
    <w:rsid w:val="00BD206B"/>
    <w:rsid w:val="00BD27BD"/>
    <w:rsid w:val="00BD288C"/>
    <w:rsid w:val="00BD4312"/>
    <w:rsid w:val="00BD4729"/>
    <w:rsid w:val="00BD4733"/>
    <w:rsid w:val="00BD50FE"/>
    <w:rsid w:val="00BD66EB"/>
    <w:rsid w:val="00BD7869"/>
    <w:rsid w:val="00BE03FD"/>
    <w:rsid w:val="00BE0B1B"/>
    <w:rsid w:val="00BE27AE"/>
    <w:rsid w:val="00BE2EAB"/>
    <w:rsid w:val="00BE3294"/>
    <w:rsid w:val="00BE4572"/>
    <w:rsid w:val="00BE50AC"/>
    <w:rsid w:val="00BE518F"/>
    <w:rsid w:val="00BE6040"/>
    <w:rsid w:val="00BE6440"/>
    <w:rsid w:val="00BE70B8"/>
    <w:rsid w:val="00BE7795"/>
    <w:rsid w:val="00BF02E1"/>
    <w:rsid w:val="00BF1910"/>
    <w:rsid w:val="00BF25D6"/>
    <w:rsid w:val="00BF2ACE"/>
    <w:rsid w:val="00BF2B2B"/>
    <w:rsid w:val="00BF4668"/>
    <w:rsid w:val="00BF50F4"/>
    <w:rsid w:val="00BF5A51"/>
    <w:rsid w:val="00BF6DCC"/>
    <w:rsid w:val="00C00643"/>
    <w:rsid w:val="00C00930"/>
    <w:rsid w:val="00C01109"/>
    <w:rsid w:val="00C01EDF"/>
    <w:rsid w:val="00C01F0F"/>
    <w:rsid w:val="00C02AAF"/>
    <w:rsid w:val="00C03D17"/>
    <w:rsid w:val="00C0560A"/>
    <w:rsid w:val="00C06385"/>
    <w:rsid w:val="00C0674E"/>
    <w:rsid w:val="00C0687C"/>
    <w:rsid w:val="00C06BC2"/>
    <w:rsid w:val="00C0713E"/>
    <w:rsid w:val="00C07229"/>
    <w:rsid w:val="00C07F1B"/>
    <w:rsid w:val="00C104FE"/>
    <w:rsid w:val="00C10501"/>
    <w:rsid w:val="00C12167"/>
    <w:rsid w:val="00C12EBB"/>
    <w:rsid w:val="00C13031"/>
    <w:rsid w:val="00C13290"/>
    <w:rsid w:val="00C15029"/>
    <w:rsid w:val="00C150AC"/>
    <w:rsid w:val="00C1520E"/>
    <w:rsid w:val="00C179DD"/>
    <w:rsid w:val="00C2131C"/>
    <w:rsid w:val="00C21DB7"/>
    <w:rsid w:val="00C22A11"/>
    <w:rsid w:val="00C23171"/>
    <w:rsid w:val="00C25D78"/>
    <w:rsid w:val="00C317E9"/>
    <w:rsid w:val="00C32927"/>
    <w:rsid w:val="00C34130"/>
    <w:rsid w:val="00C35C3E"/>
    <w:rsid w:val="00C35D1C"/>
    <w:rsid w:val="00C36530"/>
    <w:rsid w:val="00C36F13"/>
    <w:rsid w:val="00C400C4"/>
    <w:rsid w:val="00C40AD3"/>
    <w:rsid w:val="00C42DC3"/>
    <w:rsid w:val="00C451DD"/>
    <w:rsid w:val="00C454AF"/>
    <w:rsid w:val="00C459CC"/>
    <w:rsid w:val="00C45B30"/>
    <w:rsid w:val="00C46EEB"/>
    <w:rsid w:val="00C47953"/>
    <w:rsid w:val="00C500C5"/>
    <w:rsid w:val="00C50116"/>
    <w:rsid w:val="00C501B3"/>
    <w:rsid w:val="00C514AC"/>
    <w:rsid w:val="00C5198F"/>
    <w:rsid w:val="00C52B6C"/>
    <w:rsid w:val="00C53250"/>
    <w:rsid w:val="00C535E8"/>
    <w:rsid w:val="00C560E4"/>
    <w:rsid w:val="00C56779"/>
    <w:rsid w:val="00C56D05"/>
    <w:rsid w:val="00C56D8F"/>
    <w:rsid w:val="00C572AB"/>
    <w:rsid w:val="00C573C4"/>
    <w:rsid w:val="00C57C90"/>
    <w:rsid w:val="00C6263F"/>
    <w:rsid w:val="00C63C10"/>
    <w:rsid w:val="00C63F3C"/>
    <w:rsid w:val="00C65035"/>
    <w:rsid w:val="00C655AB"/>
    <w:rsid w:val="00C65C86"/>
    <w:rsid w:val="00C667AB"/>
    <w:rsid w:val="00C67D05"/>
    <w:rsid w:val="00C70CF0"/>
    <w:rsid w:val="00C7112E"/>
    <w:rsid w:val="00C71E41"/>
    <w:rsid w:val="00C73D44"/>
    <w:rsid w:val="00C73FE1"/>
    <w:rsid w:val="00C74596"/>
    <w:rsid w:val="00C74C07"/>
    <w:rsid w:val="00C757BB"/>
    <w:rsid w:val="00C76DE7"/>
    <w:rsid w:val="00C771DE"/>
    <w:rsid w:val="00C7754B"/>
    <w:rsid w:val="00C77C1B"/>
    <w:rsid w:val="00C80BBE"/>
    <w:rsid w:val="00C8161B"/>
    <w:rsid w:val="00C826C9"/>
    <w:rsid w:val="00C845AB"/>
    <w:rsid w:val="00C850B8"/>
    <w:rsid w:val="00C85501"/>
    <w:rsid w:val="00C85F75"/>
    <w:rsid w:val="00C86217"/>
    <w:rsid w:val="00C869C3"/>
    <w:rsid w:val="00C87C86"/>
    <w:rsid w:val="00C908BD"/>
    <w:rsid w:val="00C90F52"/>
    <w:rsid w:val="00C91CCC"/>
    <w:rsid w:val="00C92486"/>
    <w:rsid w:val="00C92828"/>
    <w:rsid w:val="00C952F0"/>
    <w:rsid w:val="00C97CC9"/>
    <w:rsid w:val="00CA06EE"/>
    <w:rsid w:val="00CA1FE2"/>
    <w:rsid w:val="00CA3534"/>
    <w:rsid w:val="00CA4CDE"/>
    <w:rsid w:val="00CA54B3"/>
    <w:rsid w:val="00CA56A6"/>
    <w:rsid w:val="00CA5F4D"/>
    <w:rsid w:val="00CA6D50"/>
    <w:rsid w:val="00CA7CD5"/>
    <w:rsid w:val="00CB0762"/>
    <w:rsid w:val="00CB2552"/>
    <w:rsid w:val="00CB389D"/>
    <w:rsid w:val="00CB5417"/>
    <w:rsid w:val="00CB569E"/>
    <w:rsid w:val="00CB5874"/>
    <w:rsid w:val="00CB6CEF"/>
    <w:rsid w:val="00CB7032"/>
    <w:rsid w:val="00CC1B31"/>
    <w:rsid w:val="00CC3549"/>
    <w:rsid w:val="00CC3DAD"/>
    <w:rsid w:val="00CC3F78"/>
    <w:rsid w:val="00CC40B4"/>
    <w:rsid w:val="00CC4AE6"/>
    <w:rsid w:val="00CC5373"/>
    <w:rsid w:val="00CC574C"/>
    <w:rsid w:val="00CC7755"/>
    <w:rsid w:val="00CD0E7D"/>
    <w:rsid w:val="00CD1C46"/>
    <w:rsid w:val="00CD1E84"/>
    <w:rsid w:val="00CD21CE"/>
    <w:rsid w:val="00CD26A2"/>
    <w:rsid w:val="00CD28C9"/>
    <w:rsid w:val="00CD3913"/>
    <w:rsid w:val="00CD40E1"/>
    <w:rsid w:val="00CD41BA"/>
    <w:rsid w:val="00CD4558"/>
    <w:rsid w:val="00CD54B8"/>
    <w:rsid w:val="00CD676F"/>
    <w:rsid w:val="00CE0D23"/>
    <w:rsid w:val="00CE2F85"/>
    <w:rsid w:val="00CE4875"/>
    <w:rsid w:val="00CE5991"/>
    <w:rsid w:val="00CE7189"/>
    <w:rsid w:val="00CF0817"/>
    <w:rsid w:val="00CF0E55"/>
    <w:rsid w:val="00CF233D"/>
    <w:rsid w:val="00CF2411"/>
    <w:rsid w:val="00CF319A"/>
    <w:rsid w:val="00CF3270"/>
    <w:rsid w:val="00CF38D9"/>
    <w:rsid w:val="00CF3E84"/>
    <w:rsid w:val="00CF42AD"/>
    <w:rsid w:val="00CF5608"/>
    <w:rsid w:val="00CF6287"/>
    <w:rsid w:val="00CF76DC"/>
    <w:rsid w:val="00D000DD"/>
    <w:rsid w:val="00D007F3"/>
    <w:rsid w:val="00D01100"/>
    <w:rsid w:val="00D0183A"/>
    <w:rsid w:val="00D01B2F"/>
    <w:rsid w:val="00D01FF6"/>
    <w:rsid w:val="00D02E55"/>
    <w:rsid w:val="00D03885"/>
    <w:rsid w:val="00D057C1"/>
    <w:rsid w:val="00D05BE3"/>
    <w:rsid w:val="00D06743"/>
    <w:rsid w:val="00D072B7"/>
    <w:rsid w:val="00D10058"/>
    <w:rsid w:val="00D10167"/>
    <w:rsid w:val="00D1053D"/>
    <w:rsid w:val="00D10A79"/>
    <w:rsid w:val="00D13C30"/>
    <w:rsid w:val="00D15AF0"/>
    <w:rsid w:val="00D15B1F"/>
    <w:rsid w:val="00D15E73"/>
    <w:rsid w:val="00D16579"/>
    <w:rsid w:val="00D17CC8"/>
    <w:rsid w:val="00D2114E"/>
    <w:rsid w:val="00D211F0"/>
    <w:rsid w:val="00D2152E"/>
    <w:rsid w:val="00D21F7D"/>
    <w:rsid w:val="00D23B6C"/>
    <w:rsid w:val="00D25D5A"/>
    <w:rsid w:val="00D2609E"/>
    <w:rsid w:val="00D26817"/>
    <w:rsid w:val="00D2687F"/>
    <w:rsid w:val="00D30B19"/>
    <w:rsid w:val="00D316CE"/>
    <w:rsid w:val="00D319A6"/>
    <w:rsid w:val="00D31E83"/>
    <w:rsid w:val="00D32287"/>
    <w:rsid w:val="00D32B29"/>
    <w:rsid w:val="00D32CD3"/>
    <w:rsid w:val="00D32FD9"/>
    <w:rsid w:val="00D3397A"/>
    <w:rsid w:val="00D34E60"/>
    <w:rsid w:val="00D35B78"/>
    <w:rsid w:val="00D35D7B"/>
    <w:rsid w:val="00D364AC"/>
    <w:rsid w:val="00D36500"/>
    <w:rsid w:val="00D36F9E"/>
    <w:rsid w:val="00D4297C"/>
    <w:rsid w:val="00D42D2D"/>
    <w:rsid w:val="00D42DC4"/>
    <w:rsid w:val="00D432BF"/>
    <w:rsid w:val="00D438D8"/>
    <w:rsid w:val="00D43ED6"/>
    <w:rsid w:val="00D445A3"/>
    <w:rsid w:val="00D44CA9"/>
    <w:rsid w:val="00D44E34"/>
    <w:rsid w:val="00D464B2"/>
    <w:rsid w:val="00D467A1"/>
    <w:rsid w:val="00D467AD"/>
    <w:rsid w:val="00D47E0E"/>
    <w:rsid w:val="00D5014D"/>
    <w:rsid w:val="00D51926"/>
    <w:rsid w:val="00D521C8"/>
    <w:rsid w:val="00D5222C"/>
    <w:rsid w:val="00D52BE5"/>
    <w:rsid w:val="00D5481E"/>
    <w:rsid w:val="00D548E7"/>
    <w:rsid w:val="00D5495E"/>
    <w:rsid w:val="00D54CBD"/>
    <w:rsid w:val="00D55641"/>
    <w:rsid w:val="00D55E1D"/>
    <w:rsid w:val="00D56F97"/>
    <w:rsid w:val="00D573E4"/>
    <w:rsid w:val="00D63378"/>
    <w:rsid w:val="00D63BAA"/>
    <w:rsid w:val="00D658DD"/>
    <w:rsid w:val="00D6629C"/>
    <w:rsid w:val="00D66386"/>
    <w:rsid w:val="00D667F0"/>
    <w:rsid w:val="00D673BB"/>
    <w:rsid w:val="00D67D0D"/>
    <w:rsid w:val="00D67DC6"/>
    <w:rsid w:val="00D67F00"/>
    <w:rsid w:val="00D70EF7"/>
    <w:rsid w:val="00D7201F"/>
    <w:rsid w:val="00D72458"/>
    <w:rsid w:val="00D73E19"/>
    <w:rsid w:val="00D73F80"/>
    <w:rsid w:val="00D7401F"/>
    <w:rsid w:val="00D746B8"/>
    <w:rsid w:val="00D74F75"/>
    <w:rsid w:val="00D7664B"/>
    <w:rsid w:val="00D767BB"/>
    <w:rsid w:val="00D770BF"/>
    <w:rsid w:val="00D772FB"/>
    <w:rsid w:val="00D77998"/>
    <w:rsid w:val="00D77A7E"/>
    <w:rsid w:val="00D813CD"/>
    <w:rsid w:val="00D81D96"/>
    <w:rsid w:val="00D8276F"/>
    <w:rsid w:val="00D82948"/>
    <w:rsid w:val="00D831E9"/>
    <w:rsid w:val="00D83DBA"/>
    <w:rsid w:val="00D844F7"/>
    <w:rsid w:val="00D85253"/>
    <w:rsid w:val="00D857C3"/>
    <w:rsid w:val="00D85B39"/>
    <w:rsid w:val="00D869EF"/>
    <w:rsid w:val="00D87306"/>
    <w:rsid w:val="00D8747C"/>
    <w:rsid w:val="00D9161F"/>
    <w:rsid w:val="00D91A97"/>
    <w:rsid w:val="00D9200C"/>
    <w:rsid w:val="00D92EE0"/>
    <w:rsid w:val="00D93601"/>
    <w:rsid w:val="00D95185"/>
    <w:rsid w:val="00D96120"/>
    <w:rsid w:val="00DA0D71"/>
    <w:rsid w:val="00DA10E8"/>
    <w:rsid w:val="00DA1307"/>
    <w:rsid w:val="00DA1308"/>
    <w:rsid w:val="00DA1594"/>
    <w:rsid w:val="00DA224B"/>
    <w:rsid w:val="00DA27D5"/>
    <w:rsid w:val="00DA292D"/>
    <w:rsid w:val="00DA2C81"/>
    <w:rsid w:val="00DA2ECA"/>
    <w:rsid w:val="00DA4A40"/>
    <w:rsid w:val="00DA6BEF"/>
    <w:rsid w:val="00DA7E59"/>
    <w:rsid w:val="00DB20CD"/>
    <w:rsid w:val="00DB21BE"/>
    <w:rsid w:val="00DB36DF"/>
    <w:rsid w:val="00DB43F6"/>
    <w:rsid w:val="00DB4EEB"/>
    <w:rsid w:val="00DB5349"/>
    <w:rsid w:val="00DB684C"/>
    <w:rsid w:val="00DB6880"/>
    <w:rsid w:val="00DC1A22"/>
    <w:rsid w:val="00DC1E0E"/>
    <w:rsid w:val="00DC207E"/>
    <w:rsid w:val="00DC22D1"/>
    <w:rsid w:val="00DC2D19"/>
    <w:rsid w:val="00DC3D61"/>
    <w:rsid w:val="00DC48B7"/>
    <w:rsid w:val="00DC4C28"/>
    <w:rsid w:val="00DC5E1D"/>
    <w:rsid w:val="00DC6457"/>
    <w:rsid w:val="00DC6989"/>
    <w:rsid w:val="00DC747F"/>
    <w:rsid w:val="00DC7F12"/>
    <w:rsid w:val="00DD0975"/>
    <w:rsid w:val="00DD1185"/>
    <w:rsid w:val="00DD34DF"/>
    <w:rsid w:val="00DD3BE8"/>
    <w:rsid w:val="00DD4932"/>
    <w:rsid w:val="00DD5B1B"/>
    <w:rsid w:val="00DD65C7"/>
    <w:rsid w:val="00DD6D68"/>
    <w:rsid w:val="00DD6EB9"/>
    <w:rsid w:val="00DE05FC"/>
    <w:rsid w:val="00DE067C"/>
    <w:rsid w:val="00DE1284"/>
    <w:rsid w:val="00DE13F4"/>
    <w:rsid w:val="00DE1589"/>
    <w:rsid w:val="00DE1BB7"/>
    <w:rsid w:val="00DE1FF7"/>
    <w:rsid w:val="00DE20C8"/>
    <w:rsid w:val="00DE4BFD"/>
    <w:rsid w:val="00DE5002"/>
    <w:rsid w:val="00DE5284"/>
    <w:rsid w:val="00DE54F5"/>
    <w:rsid w:val="00DE5702"/>
    <w:rsid w:val="00DF0FE6"/>
    <w:rsid w:val="00DF2D3F"/>
    <w:rsid w:val="00DF348A"/>
    <w:rsid w:val="00DF3A8E"/>
    <w:rsid w:val="00DF3FC2"/>
    <w:rsid w:val="00DF46D8"/>
    <w:rsid w:val="00DF5152"/>
    <w:rsid w:val="00DF58D0"/>
    <w:rsid w:val="00DF6A47"/>
    <w:rsid w:val="00E00EC0"/>
    <w:rsid w:val="00E03275"/>
    <w:rsid w:val="00E0343C"/>
    <w:rsid w:val="00E0365D"/>
    <w:rsid w:val="00E04E35"/>
    <w:rsid w:val="00E05002"/>
    <w:rsid w:val="00E05B28"/>
    <w:rsid w:val="00E06D52"/>
    <w:rsid w:val="00E104BE"/>
    <w:rsid w:val="00E10B19"/>
    <w:rsid w:val="00E115BA"/>
    <w:rsid w:val="00E11942"/>
    <w:rsid w:val="00E11F50"/>
    <w:rsid w:val="00E12033"/>
    <w:rsid w:val="00E15FDC"/>
    <w:rsid w:val="00E17A4D"/>
    <w:rsid w:val="00E20538"/>
    <w:rsid w:val="00E24245"/>
    <w:rsid w:val="00E24F85"/>
    <w:rsid w:val="00E2588A"/>
    <w:rsid w:val="00E25EBA"/>
    <w:rsid w:val="00E2670D"/>
    <w:rsid w:val="00E2686B"/>
    <w:rsid w:val="00E26C29"/>
    <w:rsid w:val="00E272DD"/>
    <w:rsid w:val="00E30107"/>
    <w:rsid w:val="00E30C61"/>
    <w:rsid w:val="00E315BF"/>
    <w:rsid w:val="00E316BB"/>
    <w:rsid w:val="00E3228F"/>
    <w:rsid w:val="00E32582"/>
    <w:rsid w:val="00E336F4"/>
    <w:rsid w:val="00E337F7"/>
    <w:rsid w:val="00E338A8"/>
    <w:rsid w:val="00E33D6A"/>
    <w:rsid w:val="00E34B5B"/>
    <w:rsid w:val="00E35032"/>
    <w:rsid w:val="00E35C05"/>
    <w:rsid w:val="00E361AE"/>
    <w:rsid w:val="00E36A5B"/>
    <w:rsid w:val="00E36C8B"/>
    <w:rsid w:val="00E37094"/>
    <w:rsid w:val="00E41335"/>
    <w:rsid w:val="00E43174"/>
    <w:rsid w:val="00E4374B"/>
    <w:rsid w:val="00E43CE4"/>
    <w:rsid w:val="00E43EC1"/>
    <w:rsid w:val="00E44823"/>
    <w:rsid w:val="00E46417"/>
    <w:rsid w:val="00E465AD"/>
    <w:rsid w:val="00E467A8"/>
    <w:rsid w:val="00E46C55"/>
    <w:rsid w:val="00E47A4F"/>
    <w:rsid w:val="00E47ECA"/>
    <w:rsid w:val="00E47F31"/>
    <w:rsid w:val="00E502D6"/>
    <w:rsid w:val="00E507D0"/>
    <w:rsid w:val="00E513F8"/>
    <w:rsid w:val="00E51505"/>
    <w:rsid w:val="00E51DBC"/>
    <w:rsid w:val="00E52542"/>
    <w:rsid w:val="00E52F26"/>
    <w:rsid w:val="00E533EA"/>
    <w:rsid w:val="00E53D88"/>
    <w:rsid w:val="00E54813"/>
    <w:rsid w:val="00E54FA4"/>
    <w:rsid w:val="00E55C49"/>
    <w:rsid w:val="00E562D2"/>
    <w:rsid w:val="00E5720F"/>
    <w:rsid w:val="00E57590"/>
    <w:rsid w:val="00E57CE0"/>
    <w:rsid w:val="00E60233"/>
    <w:rsid w:val="00E60436"/>
    <w:rsid w:val="00E60986"/>
    <w:rsid w:val="00E60F65"/>
    <w:rsid w:val="00E61219"/>
    <w:rsid w:val="00E62127"/>
    <w:rsid w:val="00E622E2"/>
    <w:rsid w:val="00E62366"/>
    <w:rsid w:val="00E6303C"/>
    <w:rsid w:val="00E63226"/>
    <w:rsid w:val="00E639DF"/>
    <w:rsid w:val="00E64184"/>
    <w:rsid w:val="00E64985"/>
    <w:rsid w:val="00E64D22"/>
    <w:rsid w:val="00E65231"/>
    <w:rsid w:val="00E653E6"/>
    <w:rsid w:val="00E65517"/>
    <w:rsid w:val="00E6587F"/>
    <w:rsid w:val="00E66EF2"/>
    <w:rsid w:val="00E67AA0"/>
    <w:rsid w:val="00E70A02"/>
    <w:rsid w:val="00E71154"/>
    <w:rsid w:val="00E717EC"/>
    <w:rsid w:val="00E733DD"/>
    <w:rsid w:val="00E7353C"/>
    <w:rsid w:val="00E7490F"/>
    <w:rsid w:val="00E74F56"/>
    <w:rsid w:val="00E7751C"/>
    <w:rsid w:val="00E77869"/>
    <w:rsid w:val="00E77956"/>
    <w:rsid w:val="00E77DCB"/>
    <w:rsid w:val="00E77F27"/>
    <w:rsid w:val="00E81011"/>
    <w:rsid w:val="00E81F0F"/>
    <w:rsid w:val="00E8257E"/>
    <w:rsid w:val="00E826E8"/>
    <w:rsid w:val="00E82DC3"/>
    <w:rsid w:val="00E85107"/>
    <w:rsid w:val="00E8684C"/>
    <w:rsid w:val="00E86D23"/>
    <w:rsid w:val="00E87459"/>
    <w:rsid w:val="00E87866"/>
    <w:rsid w:val="00E9109E"/>
    <w:rsid w:val="00E91F9A"/>
    <w:rsid w:val="00E921D6"/>
    <w:rsid w:val="00E92294"/>
    <w:rsid w:val="00E93CCB"/>
    <w:rsid w:val="00E93D7A"/>
    <w:rsid w:val="00E94304"/>
    <w:rsid w:val="00E94F2F"/>
    <w:rsid w:val="00E9595C"/>
    <w:rsid w:val="00E96D88"/>
    <w:rsid w:val="00E97F13"/>
    <w:rsid w:val="00EA1B31"/>
    <w:rsid w:val="00EA1C7C"/>
    <w:rsid w:val="00EA1D04"/>
    <w:rsid w:val="00EA20E8"/>
    <w:rsid w:val="00EA2117"/>
    <w:rsid w:val="00EA2B90"/>
    <w:rsid w:val="00EA2C75"/>
    <w:rsid w:val="00EA3746"/>
    <w:rsid w:val="00EA4306"/>
    <w:rsid w:val="00EA6167"/>
    <w:rsid w:val="00EA7381"/>
    <w:rsid w:val="00EA77A0"/>
    <w:rsid w:val="00EB0B62"/>
    <w:rsid w:val="00EB11FF"/>
    <w:rsid w:val="00EB1D44"/>
    <w:rsid w:val="00EB1D51"/>
    <w:rsid w:val="00EB2BED"/>
    <w:rsid w:val="00EB32BF"/>
    <w:rsid w:val="00EB334B"/>
    <w:rsid w:val="00EB3955"/>
    <w:rsid w:val="00EB4978"/>
    <w:rsid w:val="00EB4CFD"/>
    <w:rsid w:val="00EB4D51"/>
    <w:rsid w:val="00EB614A"/>
    <w:rsid w:val="00EB7435"/>
    <w:rsid w:val="00EB7A24"/>
    <w:rsid w:val="00EB7CDF"/>
    <w:rsid w:val="00EC0710"/>
    <w:rsid w:val="00EC0C34"/>
    <w:rsid w:val="00EC21B7"/>
    <w:rsid w:val="00EC252D"/>
    <w:rsid w:val="00EC25AF"/>
    <w:rsid w:val="00EC35BE"/>
    <w:rsid w:val="00EC408F"/>
    <w:rsid w:val="00EC6269"/>
    <w:rsid w:val="00EC672C"/>
    <w:rsid w:val="00EC6AC2"/>
    <w:rsid w:val="00EC717F"/>
    <w:rsid w:val="00EC741A"/>
    <w:rsid w:val="00EC7F6A"/>
    <w:rsid w:val="00ED1677"/>
    <w:rsid w:val="00ED3B13"/>
    <w:rsid w:val="00ED4327"/>
    <w:rsid w:val="00ED4731"/>
    <w:rsid w:val="00ED56DF"/>
    <w:rsid w:val="00ED5772"/>
    <w:rsid w:val="00ED5A01"/>
    <w:rsid w:val="00ED62F8"/>
    <w:rsid w:val="00ED7DFC"/>
    <w:rsid w:val="00EE0AC9"/>
    <w:rsid w:val="00EE10B1"/>
    <w:rsid w:val="00EE1EAF"/>
    <w:rsid w:val="00EE21A0"/>
    <w:rsid w:val="00EE4CF6"/>
    <w:rsid w:val="00EE5232"/>
    <w:rsid w:val="00EE5575"/>
    <w:rsid w:val="00EE5958"/>
    <w:rsid w:val="00EE7DF0"/>
    <w:rsid w:val="00EF0ADC"/>
    <w:rsid w:val="00EF0BA5"/>
    <w:rsid w:val="00EF15D0"/>
    <w:rsid w:val="00EF27A2"/>
    <w:rsid w:val="00EF30B0"/>
    <w:rsid w:val="00EF4295"/>
    <w:rsid w:val="00EF536B"/>
    <w:rsid w:val="00EF559F"/>
    <w:rsid w:val="00EF5923"/>
    <w:rsid w:val="00F00D0E"/>
    <w:rsid w:val="00F00F29"/>
    <w:rsid w:val="00F01077"/>
    <w:rsid w:val="00F012F6"/>
    <w:rsid w:val="00F02B85"/>
    <w:rsid w:val="00F04425"/>
    <w:rsid w:val="00F04A17"/>
    <w:rsid w:val="00F0619D"/>
    <w:rsid w:val="00F0771C"/>
    <w:rsid w:val="00F102BF"/>
    <w:rsid w:val="00F10424"/>
    <w:rsid w:val="00F10E2C"/>
    <w:rsid w:val="00F1141B"/>
    <w:rsid w:val="00F11D64"/>
    <w:rsid w:val="00F11FDF"/>
    <w:rsid w:val="00F12380"/>
    <w:rsid w:val="00F130D5"/>
    <w:rsid w:val="00F13449"/>
    <w:rsid w:val="00F13B3A"/>
    <w:rsid w:val="00F13D25"/>
    <w:rsid w:val="00F14257"/>
    <w:rsid w:val="00F1498A"/>
    <w:rsid w:val="00F15C14"/>
    <w:rsid w:val="00F17452"/>
    <w:rsid w:val="00F201C9"/>
    <w:rsid w:val="00F203C5"/>
    <w:rsid w:val="00F204AD"/>
    <w:rsid w:val="00F2063B"/>
    <w:rsid w:val="00F22BBF"/>
    <w:rsid w:val="00F22CE8"/>
    <w:rsid w:val="00F23BA2"/>
    <w:rsid w:val="00F24317"/>
    <w:rsid w:val="00F24DF7"/>
    <w:rsid w:val="00F254EF"/>
    <w:rsid w:val="00F26396"/>
    <w:rsid w:val="00F26B4F"/>
    <w:rsid w:val="00F27269"/>
    <w:rsid w:val="00F30699"/>
    <w:rsid w:val="00F320D1"/>
    <w:rsid w:val="00F324F4"/>
    <w:rsid w:val="00F330A9"/>
    <w:rsid w:val="00F3360E"/>
    <w:rsid w:val="00F33DF1"/>
    <w:rsid w:val="00F349F8"/>
    <w:rsid w:val="00F34E97"/>
    <w:rsid w:val="00F34ECF"/>
    <w:rsid w:val="00F358C9"/>
    <w:rsid w:val="00F35983"/>
    <w:rsid w:val="00F35FCC"/>
    <w:rsid w:val="00F36236"/>
    <w:rsid w:val="00F362F6"/>
    <w:rsid w:val="00F376F4"/>
    <w:rsid w:val="00F379BF"/>
    <w:rsid w:val="00F40DA3"/>
    <w:rsid w:val="00F41309"/>
    <w:rsid w:val="00F41F9F"/>
    <w:rsid w:val="00F426F8"/>
    <w:rsid w:val="00F43C66"/>
    <w:rsid w:val="00F43FF1"/>
    <w:rsid w:val="00F44463"/>
    <w:rsid w:val="00F44DD7"/>
    <w:rsid w:val="00F46BE9"/>
    <w:rsid w:val="00F46C5E"/>
    <w:rsid w:val="00F47089"/>
    <w:rsid w:val="00F47AE1"/>
    <w:rsid w:val="00F47CBF"/>
    <w:rsid w:val="00F519BE"/>
    <w:rsid w:val="00F530CC"/>
    <w:rsid w:val="00F53D28"/>
    <w:rsid w:val="00F5514A"/>
    <w:rsid w:val="00F5590C"/>
    <w:rsid w:val="00F561BE"/>
    <w:rsid w:val="00F5661A"/>
    <w:rsid w:val="00F56675"/>
    <w:rsid w:val="00F56A85"/>
    <w:rsid w:val="00F57A2F"/>
    <w:rsid w:val="00F57B0E"/>
    <w:rsid w:val="00F61059"/>
    <w:rsid w:val="00F61329"/>
    <w:rsid w:val="00F61356"/>
    <w:rsid w:val="00F61D90"/>
    <w:rsid w:val="00F644C9"/>
    <w:rsid w:val="00F64A7E"/>
    <w:rsid w:val="00F65034"/>
    <w:rsid w:val="00F66346"/>
    <w:rsid w:val="00F66CA4"/>
    <w:rsid w:val="00F66D32"/>
    <w:rsid w:val="00F70745"/>
    <w:rsid w:val="00F712A4"/>
    <w:rsid w:val="00F75499"/>
    <w:rsid w:val="00F756BF"/>
    <w:rsid w:val="00F75885"/>
    <w:rsid w:val="00F75E34"/>
    <w:rsid w:val="00F764D8"/>
    <w:rsid w:val="00F7676F"/>
    <w:rsid w:val="00F76DDF"/>
    <w:rsid w:val="00F7720C"/>
    <w:rsid w:val="00F7793F"/>
    <w:rsid w:val="00F80399"/>
    <w:rsid w:val="00F80A4F"/>
    <w:rsid w:val="00F80C6E"/>
    <w:rsid w:val="00F81174"/>
    <w:rsid w:val="00F82251"/>
    <w:rsid w:val="00F83395"/>
    <w:rsid w:val="00F8355E"/>
    <w:rsid w:val="00F83800"/>
    <w:rsid w:val="00F84FB8"/>
    <w:rsid w:val="00F859D6"/>
    <w:rsid w:val="00F86CE4"/>
    <w:rsid w:val="00F87416"/>
    <w:rsid w:val="00F9182F"/>
    <w:rsid w:val="00F92FA0"/>
    <w:rsid w:val="00F9372D"/>
    <w:rsid w:val="00F9487C"/>
    <w:rsid w:val="00F94AB1"/>
    <w:rsid w:val="00F952BB"/>
    <w:rsid w:val="00F963C7"/>
    <w:rsid w:val="00F967B9"/>
    <w:rsid w:val="00F97BBC"/>
    <w:rsid w:val="00FA1FD0"/>
    <w:rsid w:val="00FA2098"/>
    <w:rsid w:val="00FA36BB"/>
    <w:rsid w:val="00FA42E9"/>
    <w:rsid w:val="00FA4BEB"/>
    <w:rsid w:val="00FA51AA"/>
    <w:rsid w:val="00FA6241"/>
    <w:rsid w:val="00FA6408"/>
    <w:rsid w:val="00FA65C7"/>
    <w:rsid w:val="00FA72A6"/>
    <w:rsid w:val="00FB0A83"/>
    <w:rsid w:val="00FB0D6F"/>
    <w:rsid w:val="00FB1CA1"/>
    <w:rsid w:val="00FB2644"/>
    <w:rsid w:val="00FB413A"/>
    <w:rsid w:val="00FB46F9"/>
    <w:rsid w:val="00FB5799"/>
    <w:rsid w:val="00FB588F"/>
    <w:rsid w:val="00FB72B1"/>
    <w:rsid w:val="00FC170D"/>
    <w:rsid w:val="00FC1DF1"/>
    <w:rsid w:val="00FC2257"/>
    <w:rsid w:val="00FC28F0"/>
    <w:rsid w:val="00FC39CC"/>
    <w:rsid w:val="00FC4142"/>
    <w:rsid w:val="00FC45FD"/>
    <w:rsid w:val="00FC744B"/>
    <w:rsid w:val="00FD1245"/>
    <w:rsid w:val="00FD1C03"/>
    <w:rsid w:val="00FD41CD"/>
    <w:rsid w:val="00FD4360"/>
    <w:rsid w:val="00FD6863"/>
    <w:rsid w:val="00FD6A1D"/>
    <w:rsid w:val="00FD6A52"/>
    <w:rsid w:val="00FD79D9"/>
    <w:rsid w:val="00FE038A"/>
    <w:rsid w:val="00FE17A7"/>
    <w:rsid w:val="00FE1898"/>
    <w:rsid w:val="00FE1EC2"/>
    <w:rsid w:val="00FE3820"/>
    <w:rsid w:val="00FE4242"/>
    <w:rsid w:val="00FE45DE"/>
    <w:rsid w:val="00FE4918"/>
    <w:rsid w:val="00FE491B"/>
    <w:rsid w:val="00FE4BAF"/>
    <w:rsid w:val="00FE4CAE"/>
    <w:rsid w:val="00FE5D04"/>
    <w:rsid w:val="00FE5D48"/>
    <w:rsid w:val="00FE5F8D"/>
    <w:rsid w:val="00FE650B"/>
    <w:rsid w:val="00FE72A9"/>
    <w:rsid w:val="00FF03C4"/>
    <w:rsid w:val="00FF06C5"/>
    <w:rsid w:val="00FF103C"/>
    <w:rsid w:val="00FF13EA"/>
    <w:rsid w:val="00FF1453"/>
    <w:rsid w:val="00FF23D9"/>
    <w:rsid w:val="00FF245A"/>
    <w:rsid w:val="00FF387C"/>
    <w:rsid w:val="00FF3D2F"/>
    <w:rsid w:val="00FF3FC2"/>
    <w:rsid w:val="00FF40A8"/>
    <w:rsid w:val="00FF450E"/>
    <w:rsid w:val="00FF5203"/>
    <w:rsid w:val="017A6231"/>
    <w:rsid w:val="019FF942"/>
    <w:rsid w:val="02D3E0FB"/>
    <w:rsid w:val="03EBC497"/>
    <w:rsid w:val="05EAC754"/>
    <w:rsid w:val="0601BE0E"/>
    <w:rsid w:val="08019866"/>
    <w:rsid w:val="09857416"/>
    <w:rsid w:val="09C1281A"/>
    <w:rsid w:val="09C80773"/>
    <w:rsid w:val="0D17FCA7"/>
    <w:rsid w:val="0D32E829"/>
    <w:rsid w:val="0EBD7DB3"/>
    <w:rsid w:val="10F953A3"/>
    <w:rsid w:val="1420194F"/>
    <w:rsid w:val="15134DEA"/>
    <w:rsid w:val="151D031E"/>
    <w:rsid w:val="167531F5"/>
    <w:rsid w:val="16D917A3"/>
    <w:rsid w:val="17E69F22"/>
    <w:rsid w:val="197CEC39"/>
    <w:rsid w:val="19DF396A"/>
    <w:rsid w:val="19FF7D8E"/>
    <w:rsid w:val="1A3A47AE"/>
    <w:rsid w:val="1C549634"/>
    <w:rsid w:val="1CEE6F36"/>
    <w:rsid w:val="1CFDD844"/>
    <w:rsid w:val="1E461C37"/>
    <w:rsid w:val="1EBEE6D4"/>
    <w:rsid w:val="1F0F3F88"/>
    <w:rsid w:val="216ACEC0"/>
    <w:rsid w:val="217DBCF9"/>
    <w:rsid w:val="23313F4F"/>
    <w:rsid w:val="248377A2"/>
    <w:rsid w:val="2497296B"/>
    <w:rsid w:val="26F21C56"/>
    <w:rsid w:val="293B06C2"/>
    <w:rsid w:val="2AF271BE"/>
    <w:rsid w:val="2BC2AC90"/>
    <w:rsid w:val="2CA0D588"/>
    <w:rsid w:val="312BAAFC"/>
    <w:rsid w:val="315C8416"/>
    <w:rsid w:val="346C7E92"/>
    <w:rsid w:val="37B7BB54"/>
    <w:rsid w:val="38032247"/>
    <w:rsid w:val="38FD6C5D"/>
    <w:rsid w:val="393122D6"/>
    <w:rsid w:val="3A4F92EF"/>
    <w:rsid w:val="3CD6936A"/>
    <w:rsid w:val="3F087F36"/>
    <w:rsid w:val="3F31C36D"/>
    <w:rsid w:val="3FA0645A"/>
    <w:rsid w:val="3FFA890F"/>
    <w:rsid w:val="3FFFBB5D"/>
    <w:rsid w:val="40856CAB"/>
    <w:rsid w:val="4149C82C"/>
    <w:rsid w:val="43C16C91"/>
    <w:rsid w:val="43E4950B"/>
    <w:rsid w:val="4739DBF6"/>
    <w:rsid w:val="47B05E90"/>
    <w:rsid w:val="48BF7D56"/>
    <w:rsid w:val="490B929C"/>
    <w:rsid w:val="49C0FA14"/>
    <w:rsid w:val="4AA762FD"/>
    <w:rsid w:val="4C54B83A"/>
    <w:rsid w:val="4D4B528B"/>
    <w:rsid w:val="4D7989AE"/>
    <w:rsid w:val="4DCF3F50"/>
    <w:rsid w:val="4E542444"/>
    <w:rsid w:val="4EC8C605"/>
    <w:rsid w:val="4EC99116"/>
    <w:rsid w:val="4ED2C6B2"/>
    <w:rsid w:val="4F0E7AB6"/>
    <w:rsid w:val="519F195C"/>
    <w:rsid w:val="52C23F9F"/>
    <w:rsid w:val="54AAD5DE"/>
    <w:rsid w:val="5595D20A"/>
    <w:rsid w:val="5C4992B9"/>
    <w:rsid w:val="5DA9C50F"/>
    <w:rsid w:val="5EB15A0C"/>
    <w:rsid w:val="5EDBEA98"/>
    <w:rsid w:val="5F1A1662"/>
    <w:rsid w:val="60A1049D"/>
    <w:rsid w:val="60C67A4F"/>
    <w:rsid w:val="61C5EACC"/>
    <w:rsid w:val="626BFB5B"/>
    <w:rsid w:val="6336D9D8"/>
    <w:rsid w:val="690C161D"/>
    <w:rsid w:val="6948C672"/>
    <w:rsid w:val="6F21E3DF"/>
    <w:rsid w:val="6F3066CC"/>
    <w:rsid w:val="727A5092"/>
    <w:rsid w:val="73FB155C"/>
    <w:rsid w:val="750E328E"/>
    <w:rsid w:val="755D14F3"/>
    <w:rsid w:val="7682CC9B"/>
    <w:rsid w:val="78EF9D84"/>
    <w:rsid w:val="7A308616"/>
    <w:rsid w:val="7A761C8B"/>
    <w:rsid w:val="7B46E3F0"/>
    <w:rsid w:val="7B7BF2D4"/>
    <w:rsid w:val="7BBA49AD"/>
    <w:rsid w:val="7C199100"/>
    <w:rsid w:val="7E006FD7"/>
    <w:rsid w:val="7FFF1F74"/>
    <w:rsid w:val="7FFF69D6"/>
    <w:rsid w:val="7FFFF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CA6090"/>
  <w15:docId w15:val="{3CD74637-FAC6-445D-B9D4-80FF667C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2329AF"/>
    <w:pPr>
      <w:keepNext/>
      <w:keepLines/>
      <w:spacing w:before="120" w:after="120" w:line="276"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Heading1"/>
    <w:next w:val="Normal"/>
    <w:link w:val="Heading2Char"/>
    <w:uiPriority w:val="9"/>
    <w:unhideWhenUsed/>
    <w:qFormat/>
    <w:rsid w:val="00A541C3"/>
    <w:pPr>
      <w:numPr>
        <w:numId w:val="17"/>
      </w:numPr>
      <w:outlineLvl w:val="1"/>
    </w:pPr>
    <w:rPr>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329AF"/>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qFormat/>
    <w:rsid w:val="002329A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329AF"/>
    <w:rPr>
      <w:b/>
      <w:bCs/>
    </w:rPr>
  </w:style>
  <w:style w:type="paragraph" w:styleId="Footer">
    <w:name w:val="footer"/>
    <w:basedOn w:val="Normal"/>
    <w:link w:val="FooterChar"/>
    <w:uiPriority w:val="99"/>
    <w:unhideWhenUsed/>
    <w:qFormat/>
    <w:rsid w:val="002329AF"/>
    <w:pPr>
      <w:tabs>
        <w:tab w:val="center" w:pos="4680"/>
        <w:tab w:val="right" w:pos="9360"/>
      </w:tabs>
      <w:spacing w:after="0" w:line="240" w:lineRule="auto"/>
    </w:pPr>
  </w:style>
  <w:style w:type="paragraph" w:styleId="FootnoteText">
    <w:name w:val="footnote text"/>
    <w:basedOn w:val="Normal"/>
    <w:link w:val="FootnoteTextChar"/>
    <w:uiPriority w:val="99"/>
    <w:unhideWhenUsed/>
    <w:qFormat/>
    <w:rsid w:val="002329AF"/>
    <w:pPr>
      <w:spacing w:after="0" w:line="240" w:lineRule="auto"/>
    </w:pPr>
    <w:rPr>
      <w:sz w:val="20"/>
      <w:szCs w:val="20"/>
    </w:rPr>
  </w:style>
  <w:style w:type="paragraph" w:styleId="Header">
    <w:name w:val="header"/>
    <w:basedOn w:val="Normal"/>
    <w:link w:val="HeaderChar"/>
    <w:uiPriority w:val="99"/>
    <w:unhideWhenUsed/>
    <w:qFormat/>
    <w:rsid w:val="002329AF"/>
    <w:pPr>
      <w:tabs>
        <w:tab w:val="center" w:pos="4680"/>
        <w:tab w:val="right" w:pos="9360"/>
      </w:tabs>
      <w:spacing w:after="0" w:line="240" w:lineRule="auto"/>
    </w:pPr>
  </w:style>
  <w:style w:type="paragraph" w:styleId="NormalWeb">
    <w:name w:val="Normal (Web)"/>
    <w:basedOn w:val="Normal"/>
    <w:uiPriority w:val="99"/>
    <w:semiHidden/>
    <w:unhideWhenUsed/>
    <w:qFormat/>
    <w:rsid w:val="002329A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qFormat/>
    <w:rsid w:val="002329AF"/>
    <w:rPr>
      <w:sz w:val="16"/>
      <w:szCs w:val="16"/>
    </w:rPr>
  </w:style>
  <w:style w:type="character" w:styleId="FollowedHyperlink">
    <w:name w:val="FollowedHyperlink"/>
    <w:basedOn w:val="DefaultParagraphFont"/>
    <w:uiPriority w:val="99"/>
    <w:semiHidden/>
    <w:unhideWhenUsed/>
    <w:qFormat/>
    <w:rsid w:val="002329AF"/>
    <w:rPr>
      <w:color w:val="954F72" w:themeColor="followedHyperlink"/>
      <w:u w:val="single"/>
    </w:rPr>
  </w:style>
  <w:style w:type="character" w:styleId="FootnoteReference">
    <w:name w:val="footnote reference"/>
    <w:basedOn w:val="DefaultParagraphFont"/>
    <w:uiPriority w:val="99"/>
    <w:unhideWhenUsed/>
    <w:qFormat/>
    <w:rsid w:val="002329AF"/>
    <w:rPr>
      <w:vertAlign w:val="superscript"/>
    </w:rPr>
  </w:style>
  <w:style w:type="character" w:styleId="Hyperlink">
    <w:name w:val="Hyperlink"/>
    <w:basedOn w:val="DefaultParagraphFont"/>
    <w:uiPriority w:val="99"/>
    <w:unhideWhenUsed/>
    <w:qFormat/>
    <w:rsid w:val="002329AF"/>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Pr>
      <w:lang w:val="sk-SK"/>
    </w:rPr>
  </w:style>
  <w:style w:type="character" w:customStyle="1" w:styleId="CommentTextChar">
    <w:name w:val="Comment Text Char"/>
    <w:basedOn w:val="DefaultParagraphFont"/>
    <w:link w:val="CommentText"/>
    <w:uiPriority w:val="99"/>
    <w:qFormat/>
    <w:rPr>
      <w:lang w:val="sk-SK"/>
    </w:rPr>
  </w:style>
  <w:style w:type="character" w:customStyle="1" w:styleId="CommentSubjectChar">
    <w:name w:val="Comment Subject Char"/>
    <w:basedOn w:val="CommentTextChar"/>
    <w:link w:val="CommentSubject"/>
    <w:uiPriority w:val="99"/>
    <w:semiHidden/>
    <w:qFormat/>
    <w:rPr>
      <w:b/>
      <w:bCs/>
      <w:lang w:val="sk-SK"/>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sk-SK"/>
    </w:rPr>
  </w:style>
  <w:style w:type="character" w:customStyle="1" w:styleId="HeaderChar">
    <w:name w:val="Header Char"/>
    <w:basedOn w:val="DefaultParagraphFont"/>
    <w:link w:val="Header"/>
    <w:uiPriority w:val="99"/>
    <w:qFormat/>
    <w:rPr>
      <w:sz w:val="22"/>
      <w:szCs w:val="22"/>
      <w:lang w:val="sk-SK"/>
    </w:rPr>
  </w:style>
  <w:style w:type="character" w:customStyle="1" w:styleId="FooterChar">
    <w:name w:val="Footer Char"/>
    <w:basedOn w:val="DefaultParagraphFont"/>
    <w:link w:val="Footer"/>
    <w:uiPriority w:val="99"/>
    <w:qFormat/>
    <w:rPr>
      <w:sz w:val="22"/>
      <w:szCs w:val="22"/>
      <w:lang w:val="sk-SK"/>
    </w:rPr>
  </w:style>
  <w:style w:type="paragraph" w:customStyle="1" w:styleId="TextblackText">
    <w:name w:val="Text black (Text)"/>
    <w:basedOn w:val="Normal"/>
    <w:uiPriority w:val="99"/>
    <w:qFormat/>
    <w:rsid w:val="002329AF"/>
    <w:pPr>
      <w:autoSpaceDE w:val="0"/>
      <w:autoSpaceDN w:val="0"/>
      <w:adjustRightInd w:val="0"/>
      <w:spacing w:after="0" w:line="240" w:lineRule="atLeast"/>
      <w:jc w:val="both"/>
      <w:textAlignment w:val="center"/>
    </w:pPr>
    <w:rPr>
      <w:rFonts w:ascii="PF Square Sans Pro" w:eastAsia="MS Mincho" w:hAnsi="PF Square Sans Pro" w:cs="PF Square Sans Pro"/>
      <w:color w:val="000000"/>
      <w:sz w:val="18"/>
      <w:szCs w:val="18"/>
      <w:lang w:eastAsia="en-GB"/>
    </w:rPr>
  </w:style>
  <w:style w:type="character" w:customStyle="1" w:styleId="IntenseEmphasis1">
    <w:name w:val="Intense Emphasis1"/>
    <w:basedOn w:val="DefaultParagraphFont"/>
    <w:qFormat/>
    <w:rPr>
      <w:b/>
      <w:bCs/>
      <w:i/>
      <w:iCs/>
      <w:color w:val="5B9BD5" w:themeColor="accent1"/>
    </w:rPr>
  </w:style>
  <w:style w:type="paragraph" w:customStyle="1" w:styleId="SectionsTitle">
    <w:name w:val="Sections Title"/>
    <w:basedOn w:val="Normal"/>
    <w:link w:val="SectionsTitleChar"/>
    <w:qFormat/>
    <w:rsid w:val="000B5B91"/>
    <w:pPr>
      <w:autoSpaceDE w:val="0"/>
      <w:autoSpaceDN w:val="0"/>
      <w:spacing w:before="120" w:after="120" w:line="276" w:lineRule="auto"/>
    </w:pPr>
    <w:rPr>
      <w:rFonts w:ascii="Times New Roman" w:eastAsia="MS ??" w:hAnsi="Times New Roman" w:cs="Times New Roman"/>
      <w:b/>
      <w:sz w:val="24"/>
      <w:szCs w:val="24"/>
    </w:rPr>
  </w:style>
  <w:style w:type="character" w:customStyle="1" w:styleId="SectionsTitleChar">
    <w:name w:val="Sections Title Char"/>
    <w:basedOn w:val="DefaultParagraphFont"/>
    <w:link w:val="SectionsTitle"/>
    <w:qFormat/>
    <w:rsid w:val="000B5B91"/>
    <w:rPr>
      <w:rFonts w:ascii="Times New Roman" w:eastAsia="MS ??" w:hAnsi="Times New Roman" w:cs="Times New Roman"/>
      <w:b/>
      <w:sz w:val="24"/>
      <w:szCs w:val="24"/>
      <w:lang w:val="sk-SK"/>
    </w:rPr>
  </w:style>
  <w:style w:type="character" w:customStyle="1" w:styleId="Heading1Char">
    <w:name w:val="Heading 1 Char"/>
    <w:basedOn w:val="DefaultParagraphFont"/>
    <w:link w:val="Heading1"/>
    <w:uiPriority w:val="9"/>
    <w:qFormat/>
    <w:rsid w:val="000B5B91"/>
    <w:rPr>
      <w:rFonts w:ascii="Times New Roman" w:eastAsiaTheme="majorEastAsia" w:hAnsi="Times New Roman" w:cstheme="majorBidi"/>
      <w:b/>
      <w:color w:val="000000" w:themeColor="text1"/>
      <w:sz w:val="24"/>
      <w:szCs w:val="32"/>
      <w:lang w:val="sk-SK"/>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sk-SK"/>
    </w:rPr>
  </w:style>
  <w:style w:type="table" w:customStyle="1" w:styleId="PlainTable31">
    <w:name w:val="Plain Table 31"/>
    <w:basedOn w:val="TableNormal"/>
    <w:uiPriority w:val="43"/>
    <w:pPr>
      <w:spacing w:after="0" w:line="240" w:lineRule="auto"/>
    </w:p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FrameContents">
    <w:name w:val="Frame Contents"/>
    <w:basedOn w:val="Normal"/>
    <w:qFormat/>
    <w:pPr>
      <w:suppressAutoHyphens/>
      <w:spacing w:after="0" w:line="240" w:lineRule="auto"/>
    </w:pPr>
    <w:rPr>
      <w:rFonts w:ascii="Liberation Serif" w:eastAsia="Noto Serif CJK SC" w:hAnsi="Liberation Serif" w:cs="Lohit Devanagari"/>
      <w:kern w:val="2"/>
      <w:sz w:val="24"/>
      <w:szCs w:val="24"/>
      <w:lang w:eastAsia="zh-CN" w:bidi="hi-IN"/>
    </w:rPr>
  </w:style>
  <w:style w:type="paragraph" w:styleId="ListParagraph">
    <w:name w:val="List Paragraph"/>
    <w:basedOn w:val="Normal"/>
    <w:uiPriority w:val="34"/>
    <w:qFormat/>
    <w:rsid w:val="002F4674"/>
    <w:pPr>
      <w:ind w:left="720"/>
      <w:contextualSpacing/>
    </w:pPr>
  </w:style>
  <w:style w:type="paragraph" w:styleId="Revision">
    <w:name w:val="Revision"/>
    <w:hidden/>
    <w:uiPriority w:val="99"/>
    <w:semiHidden/>
    <w:rsid w:val="0070674F"/>
    <w:pPr>
      <w:spacing w:after="0" w:line="240" w:lineRule="auto"/>
    </w:pPr>
    <w:rPr>
      <w:sz w:val="22"/>
      <w:szCs w:val="22"/>
    </w:rPr>
  </w:style>
  <w:style w:type="table" w:styleId="GridTable5Dark-Accent5">
    <w:name w:val="Grid Table 5 Dark Accent 5"/>
    <w:basedOn w:val="TableNormal"/>
    <w:uiPriority w:val="50"/>
    <w:rsid w:val="000D2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Heading">
    <w:name w:val="TOC Heading"/>
    <w:basedOn w:val="Heading1"/>
    <w:next w:val="Normal"/>
    <w:uiPriority w:val="39"/>
    <w:unhideWhenUsed/>
    <w:qFormat/>
    <w:rsid w:val="00F27269"/>
    <w:pPr>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uiPriority w:val="39"/>
    <w:unhideWhenUsed/>
    <w:qFormat/>
    <w:rsid w:val="002329AF"/>
    <w:pPr>
      <w:spacing w:after="100"/>
    </w:pPr>
  </w:style>
  <w:style w:type="character" w:customStyle="1" w:styleId="Heading2Char">
    <w:name w:val="Heading 2 Char"/>
    <w:basedOn w:val="DefaultParagraphFont"/>
    <w:link w:val="Heading2"/>
    <w:uiPriority w:val="9"/>
    <w:qFormat/>
    <w:rsid w:val="00A541C3"/>
    <w:rPr>
      <w:rFonts w:ascii="Times New Roman" w:eastAsiaTheme="majorEastAsia" w:hAnsi="Times New Roman" w:cstheme="majorBidi"/>
      <w:b/>
      <w:color w:val="000000" w:themeColor="text1"/>
      <w:sz w:val="24"/>
      <w:szCs w:val="26"/>
      <w:lang w:val="sk-SK"/>
    </w:rPr>
  </w:style>
  <w:style w:type="character" w:customStyle="1" w:styleId="Marker">
    <w:name w:val="Marker"/>
    <w:basedOn w:val="DefaultParagraphFont"/>
    <w:qFormat/>
    <w:rsid w:val="002329AF"/>
    <w:rPr>
      <w:color w:val="0000FF"/>
      <w:shd w:val="clear" w:color="auto" w:fill="auto"/>
    </w:rPr>
  </w:style>
  <w:style w:type="paragraph" w:customStyle="1" w:styleId="Pagedecouverture">
    <w:name w:val="Page de couverture"/>
    <w:basedOn w:val="Normal"/>
    <w:next w:val="Normal"/>
    <w:qFormat/>
    <w:rsid w:val="002329A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qFormat/>
    <w:rsid w:val="002329A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qFormat/>
    <w:rsid w:val="00AA30CE"/>
    <w:rPr>
      <w:rFonts w:ascii="Times New Roman" w:eastAsiaTheme="majorEastAsia" w:hAnsi="Times New Roman" w:cs="Times New Roman"/>
      <w:b w:val="0"/>
      <w:color w:val="000000" w:themeColor="text1"/>
      <w:sz w:val="24"/>
      <w:szCs w:val="22"/>
      <w:lang w:val="sk-SK"/>
    </w:rPr>
  </w:style>
  <w:style w:type="paragraph" w:customStyle="1" w:styleId="FooterSensitivity">
    <w:name w:val="Footer Sensitivity"/>
    <w:basedOn w:val="Normal"/>
    <w:link w:val="FooterSensitivityChar"/>
    <w:qFormat/>
    <w:rsid w:val="002329A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qFormat/>
    <w:rsid w:val="00AA30CE"/>
    <w:rPr>
      <w:rFonts w:ascii="Times New Roman" w:eastAsiaTheme="majorEastAsia" w:hAnsi="Times New Roman" w:cs="Times New Roman"/>
      <w:b/>
      <w:color w:val="000000" w:themeColor="text1"/>
      <w:sz w:val="32"/>
      <w:szCs w:val="22"/>
      <w:lang w:val="sk-SK"/>
    </w:rPr>
  </w:style>
  <w:style w:type="paragraph" w:customStyle="1" w:styleId="HeaderCoverPage">
    <w:name w:val="Header Cover Page"/>
    <w:basedOn w:val="Normal"/>
    <w:link w:val="HeaderCoverPageChar"/>
    <w:qFormat/>
    <w:rsid w:val="002329A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qFormat/>
    <w:rsid w:val="00AA30CE"/>
    <w:rPr>
      <w:rFonts w:ascii="Times New Roman" w:eastAsiaTheme="majorEastAsia" w:hAnsi="Times New Roman" w:cs="Times New Roman"/>
      <w:b w:val="0"/>
      <w:color w:val="000000" w:themeColor="text1"/>
      <w:sz w:val="24"/>
      <w:szCs w:val="22"/>
      <w:lang w:val="sk-SK"/>
    </w:rPr>
  </w:style>
  <w:style w:type="paragraph" w:customStyle="1" w:styleId="HeaderSensitivity">
    <w:name w:val="Header Sensitivity"/>
    <w:basedOn w:val="Normal"/>
    <w:link w:val="HeaderSensitivityChar"/>
    <w:qFormat/>
    <w:rsid w:val="002329A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qFormat/>
    <w:rsid w:val="00AA30CE"/>
    <w:rPr>
      <w:rFonts w:ascii="Times New Roman" w:eastAsiaTheme="majorEastAsia" w:hAnsi="Times New Roman" w:cs="Times New Roman"/>
      <w:b/>
      <w:color w:val="000000" w:themeColor="text1"/>
      <w:sz w:val="32"/>
      <w:szCs w:val="22"/>
      <w:lang w:val="sk-SK"/>
    </w:rPr>
  </w:style>
  <w:style w:type="paragraph" w:customStyle="1" w:styleId="HeaderSensitivityRight">
    <w:name w:val="Header Sensitivity Right"/>
    <w:basedOn w:val="Normal"/>
    <w:link w:val="HeaderSensitivityRightChar"/>
    <w:qFormat/>
    <w:rsid w:val="002329A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AA30CE"/>
    <w:rPr>
      <w:rFonts w:ascii="Times New Roman" w:eastAsiaTheme="majorEastAsia" w:hAnsi="Times New Roman" w:cs="Times New Roman"/>
      <w:b w:val="0"/>
      <w:color w:val="000000" w:themeColor="text1"/>
      <w:sz w:val="28"/>
      <w:szCs w:val="22"/>
      <w:lang w:val="sk-SK"/>
    </w:rPr>
  </w:style>
  <w:style w:type="table" w:styleId="GridTable2-Accent1">
    <w:name w:val="Grid Table 2 Accent 1"/>
    <w:basedOn w:val="TableNormal"/>
    <w:uiPriority w:val="47"/>
    <w:rsid w:val="00406425"/>
    <w:pPr>
      <w:spacing w:after="0" w:line="240" w:lineRule="auto"/>
    </w:pPr>
    <w:rPr>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vision1">
    <w:name w:val="Revision1"/>
    <w:hidden/>
    <w:uiPriority w:val="99"/>
    <w:semiHidden/>
    <w:qFormat/>
    <w:rsid w:val="002329AF"/>
    <w:pPr>
      <w:spacing w:after="0" w:line="240" w:lineRule="auto"/>
    </w:pPr>
    <w:rPr>
      <w:sz w:val="22"/>
      <w:szCs w:val="22"/>
    </w:rPr>
  </w:style>
  <w:style w:type="table" w:customStyle="1" w:styleId="GridTable5Dark-Accent52">
    <w:name w:val="Grid Table 5 Dark - Accent 52"/>
    <w:basedOn w:val="TableNormal"/>
    <w:uiPriority w:val="50"/>
    <w:qFormat/>
    <w:rsid w:val="002329AF"/>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OCHeading1">
    <w:name w:val="TOC Heading1"/>
    <w:basedOn w:val="Heading1"/>
    <w:next w:val="Normal"/>
    <w:uiPriority w:val="39"/>
    <w:unhideWhenUsed/>
    <w:qFormat/>
    <w:rsid w:val="002329AF"/>
    <w:pPr>
      <w:spacing w:before="240" w:after="0" w:line="259" w:lineRule="auto"/>
      <w:outlineLvl w:val="9"/>
    </w:pPr>
    <w:rPr>
      <w:rFonts w:asciiTheme="majorHAnsi" w:hAnsiTheme="majorHAnsi"/>
      <w:b w:val="0"/>
      <w:color w:val="2E74B5" w:themeColor="accent1" w:themeShade="BF"/>
      <w:sz w:val="32"/>
    </w:rPr>
  </w:style>
  <w:style w:type="table" w:customStyle="1" w:styleId="GridTable2-Accent11">
    <w:name w:val="Grid Table 2 - Accent 11"/>
    <w:basedOn w:val="TableNormal"/>
    <w:uiPriority w:val="47"/>
    <w:qFormat/>
    <w:rsid w:val="002329AF"/>
    <w:pPr>
      <w:spacing w:after="0" w:line="240" w:lineRule="auto"/>
    </w:pPr>
    <w:rPr>
      <w:sz w:val="22"/>
      <w:szCs w:val="22"/>
    </w:r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D35B78"/>
    <w:pPr>
      <w:autoSpaceDE w:val="0"/>
      <w:autoSpaceDN w:val="0"/>
      <w:adjustRightInd w:val="0"/>
      <w:spacing w:after="0" w:line="240" w:lineRule="auto"/>
    </w:pPr>
    <w:rPr>
      <w:rFonts w:ascii="EC Square Sans Pro" w:hAnsi="EC Square Sans Pro" w:cs="EC Square Sans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246">
      <w:bodyDiv w:val="1"/>
      <w:marLeft w:val="0"/>
      <w:marRight w:val="0"/>
      <w:marTop w:val="0"/>
      <w:marBottom w:val="0"/>
      <w:divBdr>
        <w:top w:val="none" w:sz="0" w:space="0" w:color="auto"/>
        <w:left w:val="none" w:sz="0" w:space="0" w:color="auto"/>
        <w:bottom w:val="none" w:sz="0" w:space="0" w:color="auto"/>
        <w:right w:val="none" w:sz="0" w:space="0" w:color="auto"/>
      </w:divBdr>
    </w:div>
    <w:div w:id="44792759">
      <w:bodyDiv w:val="1"/>
      <w:marLeft w:val="0"/>
      <w:marRight w:val="0"/>
      <w:marTop w:val="0"/>
      <w:marBottom w:val="0"/>
      <w:divBdr>
        <w:top w:val="none" w:sz="0" w:space="0" w:color="auto"/>
        <w:left w:val="none" w:sz="0" w:space="0" w:color="auto"/>
        <w:bottom w:val="none" w:sz="0" w:space="0" w:color="auto"/>
        <w:right w:val="none" w:sz="0" w:space="0" w:color="auto"/>
      </w:divBdr>
    </w:div>
    <w:div w:id="142896988">
      <w:bodyDiv w:val="1"/>
      <w:marLeft w:val="0"/>
      <w:marRight w:val="0"/>
      <w:marTop w:val="0"/>
      <w:marBottom w:val="0"/>
      <w:divBdr>
        <w:top w:val="none" w:sz="0" w:space="0" w:color="auto"/>
        <w:left w:val="none" w:sz="0" w:space="0" w:color="auto"/>
        <w:bottom w:val="none" w:sz="0" w:space="0" w:color="auto"/>
        <w:right w:val="none" w:sz="0" w:space="0" w:color="auto"/>
      </w:divBdr>
    </w:div>
    <w:div w:id="324557003">
      <w:bodyDiv w:val="1"/>
      <w:marLeft w:val="0"/>
      <w:marRight w:val="0"/>
      <w:marTop w:val="0"/>
      <w:marBottom w:val="0"/>
      <w:divBdr>
        <w:top w:val="none" w:sz="0" w:space="0" w:color="auto"/>
        <w:left w:val="none" w:sz="0" w:space="0" w:color="auto"/>
        <w:bottom w:val="none" w:sz="0" w:space="0" w:color="auto"/>
        <w:right w:val="none" w:sz="0" w:space="0" w:color="auto"/>
      </w:divBdr>
    </w:div>
    <w:div w:id="536433888">
      <w:bodyDiv w:val="1"/>
      <w:marLeft w:val="0"/>
      <w:marRight w:val="0"/>
      <w:marTop w:val="0"/>
      <w:marBottom w:val="0"/>
      <w:divBdr>
        <w:top w:val="none" w:sz="0" w:space="0" w:color="auto"/>
        <w:left w:val="none" w:sz="0" w:space="0" w:color="auto"/>
        <w:bottom w:val="none" w:sz="0" w:space="0" w:color="auto"/>
        <w:right w:val="none" w:sz="0" w:space="0" w:color="auto"/>
      </w:divBdr>
      <w:divsChild>
        <w:div w:id="2084254577">
          <w:marLeft w:val="274"/>
          <w:marRight w:val="0"/>
          <w:marTop w:val="86"/>
          <w:marBottom w:val="0"/>
          <w:divBdr>
            <w:top w:val="none" w:sz="0" w:space="0" w:color="auto"/>
            <w:left w:val="none" w:sz="0" w:space="0" w:color="auto"/>
            <w:bottom w:val="none" w:sz="0" w:space="0" w:color="auto"/>
            <w:right w:val="none" w:sz="0" w:space="0" w:color="auto"/>
          </w:divBdr>
        </w:div>
      </w:divsChild>
    </w:div>
    <w:div w:id="821778604">
      <w:bodyDiv w:val="1"/>
      <w:marLeft w:val="0"/>
      <w:marRight w:val="0"/>
      <w:marTop w:val="0"/>
      <w:marBottom w:val="0"/>
      <w:divBdr>
        <w:top w:val="none" w:sz="0" w:space="0" w:color="auto"/>
        <w:left w:val="none" w:sz="0" w:space="0" w:color="auto"/>
        <w:bottom w:val="none" w:sz="0" w:space="0" w:color="auto"/>
        <w:right w:val="none" w:sz="0" w:space="0" w:color="auto"/>
      </w:divBdr>
    </w:div>
    <w:div w:id="1389526102">
      <w:bodyDiv w:val="1"/>
      <w:marLeft w:val="0"/>
      <w:marRight w:val="0"/>
      <w:marTop w:val="0"/>
      <w:marBottom w:val="0"/>
      <w:divBdr>
        <w:top w:val="none" w:sz="0" w:space="0" w:color="auto"/>
        <w:left w:val="none" w:sz="0" w:space="0" w:color="auto"/>
        <w:bottom w:val="none" w:sz="0" w:space="0" w:color="auto"/>
        <w:right w:val="none" w:sz="0" w:space="0" w:color="auto"/>
      </w:divBdr>
    </w:div>
    <w:div w:id="1528368216">
      <w:bodyDiv w:val="1"/>
      <w:marLeft w:val="0"/>
      <w:marRight w:val="0"/>
      <w:marTop w:val="0"/>
      <w:marBottom w:val="0"/>
      <w:divBdr>
        <w:top w:val="none" w:sz="0" w:space="0" w:color="auto"/>
        <w:left w:val="none" w:sz="0" w:space="0" w:color="auto"/>
        <w:bottom w:val="none" w:sz="0" w:space="0" w:color="auto"/>
        <w:right w:val="none" w:sz="0" w:space="0" w:color="auto"/>
      </w:divBdr>
    </w:div>
    <w:div w:id="1646617648">
      <w:bodyDiv w:val="1"/>
      <w:marLeft w:val="0"/>
      <w:marRight w:val="0"/>
      <w:marTop w:val="0"/>
      <w:marBottom w:val="0"/>
      <w:divBdr>
        <w:top w:val="none" w:sz="0" w:space="0" w:color="auto"/>
        <w:left w:val="none" w:sz="0" w:space="0" w:color="auto"/>
        <w:bottom w:val="none" w:sz="0" w:space="0" w:color="auto"/>
        <w:right w:val="none" w:sz="0" w:space="0" w:color="auto"/>
      </w:divBdr>
    </w:div>
    <w:div w:id="1747920964">
      <w:bodyDiv w:val="1"/>
      <w:marLeft w:val="0"/>
      <w:marRight w:val="0"/>
      <w:marTop w:val="0"/>
      <w:marBottom w:val="0"/>
      <w:divBdr>
        <w:top w:val="none" w:sz="0" w:space="0" w:color="auto"/>
        <w:left w:val="none" w:sz="0" w:space="0" w:color="auto"/>
        <w:bottom w:val="none" w:sz="0" w:space="0" w:color="auto"/>
        <w:right w:val="none" w:sz="0" w:space="0" w:color="auto"/>
      </w:divBdr>
    </w:div>
    <w:div w:id="1884366587">
      <w:bodyDiv w:val="1"/>
      <w:marLeft w:val="0"/>
      <w:marRight w:val="0"/>
      <w:marTop w:val="0"/>
      <w:marBottom w:val="0"/>
      <w:divBdr>
        <w:top w:val="none" w:sz="0" w:space="0" w:color="auto"/>
        <w:left w:val="none" w:sz="0" w:space="0" w:color="auto"/>
        <w:bottom w:val="none" w:sz="0" w:space="0" w:color="auto"/>
        <w:right w:val="none" w:sz="0" w:space="0" w:color="auto"/>
      </w:divBdr>
      <w:divsChild>
        <w:div w:id="1761297249">
          <w:marLeft w:val="994"/>
          <w:marRight w:val="0"/>
          <w:marTop w:val="86"/>
          <w:marBottom w:val="0"/>
          <w:divBdr>
            <w:top w:val="none" w:sz="0" w:space="0" w:color="auto"/>
            <w:left w:val="none" w:sz="0" w:space="0" w:color="auto"/>
            <w:bottom w:val="none" w:sz="0" w:space="0" w:color="auto"/>
            <w:right w:val="none" w:sz="0" w:space="0" w:color="auto"/>
          </w:divBdr>
        </w:div>
      </w:divsChild>
    </w:div>
    <w:div w:id="1928803404">
      <w:bodyDiv w:val="1"/>
      <w:marLeft w:val="0"/>
      <w:marRight w:val="0"/>
      <w:marTop w:val="0"/>
      <w:marBottom w:val="0"/>
      <w:divBdr>
        <w:top w:val="none" w:sz="0" w:space="0" w:color="auto"/>
        <w:left w:val="none" w:sz="0" w:space="0" w:color="auto"/>
        <w:bottom w:val="none" w:sz="0" w:space="0" w:color="auto"/>
        <w:right w:val="none" w:sz="0" w:space="0" w:color="auto"/>
      </w:divBdr>
    </w:div>
    <w:div w:id="1988850274">
      <w:bodyDiv w:val="1"/>
      <w:marLeft w:val="0"/>
      <w:marRight w:val="0"/>
      <w:marTop w:val="0"/>
      <w:marBottom w:val="0"/>
      <w:divBdr>
        <w:top w:val="none" w:sz="0" w:space="0" w:color="auto"/>
        <w:left w:val="none" w:sz="0" w:space="0" w:color="auto"/>
        <w:bottom w:val="none" w:sz="0" w:space="0" w:color="auto"/>
        <w:right w:val="none" w:sz="0" w:space="0" w:color="auto"/>
      </w:divBdr>
    </w:div>
    <w:div w:id="2000232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ats.oecd.org/Index.aspx?DataSetCode=FDI_CTRY_IND_SUMM" TargetMode="External"/><Relationship Id="rId29" Type="http://schemas.openxmlformats.org/officeDocument/2006/relationships/image" Target="media/image11.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hg.com/research-topic/china/?msclkid=a134a238ac1411ecb81d672853b573f3" TargetMode="External"/><Relationship Id="rId7" Type="http://schemas.openxmlformats.org/officeDocument/2006/relationships/hyperlink" Target="http://trade.ec.europa.eu/doclib/press/index.cfm?id=2006" TargetMode="External"/><Relationship Id="rId2" Type="http://schemas.openxmlformats.org/officeDocument/2006/relationships/hyperlink" Target="https://pitchbook.com/news/reports/2021-annual-global-ma-report?msclkid=0e2939b5a92111ecad316eed4d49f8a8" TargetMode="External"/><Relationship Id="rId1" Type="http://schemas.openxmlformats.org/officeDocument/2006/relationships/hyperlink" Target="https://www.oecd.org/investment/investment-policy/FDI-in-Figures-April-2022.pdf?utm_source=Adestra&amp;utm_medium=email&amp;utm_content=Download%20the%20full%20report&amp;utm_campaign=Global%20FDI%20flows%20surge%2088%25%20in%202021%2C%20rising%20above%20pre-pandemic%20levels&amp;utm_term=daf" TargetMode="External"/><Relationship Id="rId6" Type="http://schemas.openxmlformats.org/officeDocument/2006/relationships/hyperlink" Target="https://trade.ec.europa.eu/doclib/docs/2021/november/tradoc_159935.pdf" TargetMode="External"/><Relationship Id="rId5" Type="http://schemas.openxmlformats.org/officeDocument/2006/relationships/hyperlink" Target="https://trade.ec.europa.eu/doclib/docs/2019/june/tradoc_157946.pdf" TargetMode="External"/><Relationship Id="rId4" Type="http://schemas.openxmlformats.org/officeDocument/2006/relationships/hyperlink" Target="https://ec.europa.eu/eurostat/web/nace-re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4" ma:contentTypeDescription="Create a new document." ma:contentTypeScope="" ma:versionID="bdc1d713da434c398caa65d15e69a3f5">
  <xsd:schema xmlns:xsd="http://www.w3.org/2001/XMLSchema" xmlns:xs="http://www.w3.org/2001/XMLSchema" xmlns:p="http://schemas.microsoft.com/office/2006/metadata/properties" xmlns:ns2="cce4269c-1bca-4c47-bcbd-0ca0cb14aa6e" targetNamespace="http://schemas.microsoft.com/office/2006/metadata/properties" ma:root="true" ma:fieldsID="725d604370b903992ed91019680ed2a7" ns2:_="">
    <xsd:import namespace="cce4269c-1bca-4c47-bcbd-0ca0cb14a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88704-B6AD-42A6-8405-8F012A0E0D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909007-3CA6-4D77-89AF-49BFCFC5D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4269c-1bca-4c47-bcbd-0ca0cb14a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B3B51-3C56-43C1-9557-66255C4D9198}">
  <ds:schemaRefs>
    <ds:schemaRef ds:uri="http://schemas.microsoft.com/sharepoint/v3/contenttype/forms"/>
  </ds:schemaRefs>
</ds:datastoreItem>
</file>

<file path=customXml/itemProps5.xml><?xml version="1.0" encoding="utf-8"?>
<ds:datastoreItem xmlns:ds="http://schemas.openxmlformats.org/officeDocument/2006/customXml" ds:itemID="{69E43767-1996-40EB-9B10-B3AE36E6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24</Pages>
  <Words>4967</Words>
  <Characters>29211</Characters>
  <Application>Microsoft Office Word</Application>
  <DocSecurity>0</DocSecurity>
  <Lines>486</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36</cp:revision>
  <cp:lastPrinted>2021-06-25T08:36:00Z</cp:lastPrinted>
  <dcterms:created xsi:type="dcterms:W3CDTF">2022-08-30T09:29:00Z</dcterms:created>
  <dcterms:modified xsi:type="dcterms:W3CDTF">2022-08-31T06:45:00Z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CP-006</vt:lpwstr>
  </property>
  <property fmtid="{D5CDD505-2E9C-101B-9397-08002B2CF9AE}" pid="8" name="Last edited using">
    <vt:lpwstr>LW 8.0.1, Build 20220429</vt:lpwstr>
  </property>
  <property fmtid="{D5CDD505-2E9C-101B-9397-08002B2CF9AE}" pid="9" name="Created using">
    <vt:lpwstr>LW 7.0.1, Build 20200226</vt:lpwstr>
  </property>
  <property fmtid="{D5CDD505-2E9C-101B-9397-08002B2CF9AE}" pid="10" name="_LW_INVALIDATED__LW_INVALIDATED__LW_INVALIDATED__LW_INVALIDATED__LW_INVALIDATED_ContentTypeId">
    <vt:lpwstr>0x010100258AA79CEB83498886A3A0868112325000B545D68B97D7274E938B06C1831B834D</vt:lpwstr>
  </property>
  <property fmtid="{D5CDD505-2E9C-101B-9397-08002B2CF9AE}" pid="11" name="ContentTypeId">
    <vt:lpwstr>0x0101008BA6791DDFFC024DAA4136D92359EB10</vt:lpwstr>
  </property>
  <property fmtid="{D5CDD505-2E9C-101B-9397-08002B2CF9AE}" pid="12" name="MSIP_Label_6bd9ddd1-4d20-43f6-abfa-fc3c07406f94_Enabled">
    <vt:lpwstr>true</vt:lpwstr>
  </property>
  <property fmtid="{D5CDD505-2E9C-101B-9397-08002B2CF9AE}" pid="13" name="MSIP_Label_6bd9ddd1-4d20-43f6-abfa-fc3c07406f94_SetDate">
    <vt:lpwstr>2022-05-11T16:07:37Z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0bde5ecb-9d58-46ab-9108-5f8e26b806a0</vt:lpwstr>
  </property>
  <property fmtid="{D5CDD505-2E9C-101B-9397-08002B2CF9AE}" pid="18" name="MSIP_Label_6bd9ddd1-4d20-43f6-abfa-fc3c07406f94_ContentBits">
    <vt:lpwstr>0</vt:lpwstr>
  </property>
</Properties>
</file>