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8E01F" w14:textId="2BAEE737" w:rsidR="00AA30CE" w:rsidRDefault="00E67286" w:rsidP="00E67286">
      <w:pPr>
        <w:pStyle w:val="Pagedecouverture"/>
        <w:rPr>
          <w:noProof/>
        </w:rPr>
      </w:pPr>
      <w:bookmarkStart w:id="0" w:name="LW_BM_COVERPAGE"/>
      <w:r>
        <w:rPr>
          <w:noProof/>
        </w:rPr>
        <w:pict w14:anchorId="55D57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8D6D731E-56EB-4360-8B06-94120796FF32" style="width:455.25pt;height:324pt">
            <v:imagedata r:id="rId12" o:title=""/>
          </v:shape>
        </w:pict>
      </w:r>
    </w:p>
    <w:bookmarkEnd w:id="0"/>
    <w:p w14:paraId="342AD4D6" w14:textId="77777777" w:rsidR="00AA30CE" w:rsidRDefault="00AA30CE" w:rsidP="00AA30CE">
      <w:pPr>
        <w:spacing w:line="240" w:lineRule="auto"/>
        <w:rPr>
          <w:noProof/>
        </w:rPr>
        <w:sectPr w:rsidR="00AA30CE" w:rsidSect="00E67286">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14:paraId="6A33EBD5" w14:textId="77777777" w:rsidR="003F7D0E" w:rsidRDefault="003F7D0E" w:rsidP="00AA30CE">
      <w:pPr>
        <w:pStyle w:val="Heading1"/>
        <w:spacing w:line="240" w:lineRule="auto"/>
        <w:rPr>
          <w:noProof/>
        </w:rPr>
      </w:pPr>
      <w:bookmarkStart w:id="1" w:name="_GoBack"/>
      <w:bookmarkEnd w:id="1"/>
      <w:r>
        <w:rPr>
          <w:noProof/>
        </w:rPr>
        <w:lastRenderedPageBreak/>
        <w:t xml:space="preserve">INTRODUCTION </w:t>
      </w:r>
    </w:p>
    <w:p w14:paraId="64EB3F44" w14:textId="77777777" w:rsidR="006E7B47" w:rsidRDefault="006E7B47" w:rsidP="00AA30CE">
      <w:pPr>
        <w:spacing w:before="120" w:line="240" w:lineRule="auto"/>
        <w:jc w:val="both"/>
        <w:rPr>
          <w:rFonts w:ascii="Times New Roman" w:hAnsi="Times New Roman" w:cs="Times New Roman"/>
          <w:noProof/>
          <w:sz w:val="24"/>
          <w:szCs w:val="24"/>
        </w:rPr>
      </w:pPr>
    </w:p>
    <w:p w14:paraId="2FE6FB55" w14:textId="77777777" w:rsidR="009A6B2F" w:rsidRDefault="009A6B2F" w:rsidP="00CF76DC">
      <w:pPr>
        <w:spacing w:before="120" w:line="240" w:lineRule="auto"/>
        <w:jc w:val="both"/>
        <w:rPr>
          <w:rFonts w:ascii="Times New Roman" w:hAnsi="Times New Roman" w:cs="Times New Roman"/>
          <w:noProof/>
          <w:sz w:val="24"/>
          <w:szCs w:val="24"/>
        </w:rPr>
      </w:pPr>
      <w:r>
        <w:rPr>
          <w:rFonts w:ascii="Times New Roman" w:hAnsi="Times New Roman"/>
          <w:noProof/>
          <w:sz w:val="24"/>
        </w:rPr>
        <w:t xml:space="preserve">Le présent rapport est le deuxième rapport annuel de la Commission européenne sur l’application du règlement de l’Union européenne (UE) sur le filtrage des investissements directs étrangers (IDE) (ci-après le «règlement sur le filtrage des IDE» ou le «règlement»). </w:t>
      </w:r>
    </w:p>
    <w:p w14:paraId="4B44A75F" w14:textId="77777777" w:rsidR="000433C5" w:rsidRPr="000679FE" w:rsidRDefault="007F5131" w:rsidP="00CF76DC">
      <w:pPr>
        <w:spacing w:before="120" w:line="240" w:lineRule="auto"/>
        <w:jc w:val="both"/>
        <w:rPr>
          <w:rFonts w:ascii="Times New Roman" w:hAnsi="Times New Roman" w:cs="Times New Roman"/>
          <w:noProof/>
          <w:sz w:val="24"/>
          <w:szCs w:val="24"/>
        </w:rPr>
      </w:pPr>
      <w:r>
        <w:rPr>
          <w:rFonts w:ascii="Times New Roman" w:hAnsi="Times New Roman"/>
          <w:noProof/>
          <w:sz w:val="24"/>
        </w:rPr>
        <w:t>Le présent rapport couvre l’année </w:t>
      </w:r>
      <w:r w:rsidRPr="00C316A8">
        <w:rPr>
          <w:rFonts w:ascii="Times New Roman" w:hAnsi="Times New Roman"/>
          <w:noProof/>
          <w:sz w:val="24"/>
        </w:rPr>
        <w:t>2021</w:t>
      </w:r>
      <w:r>
        <w:rPr>
          <w:rStyle w:val="FootnoteReference"/>
          <w:rFonts w:ascii="Times New Roman" w:hAnsi="Times New Roman" w:cs="Times New Roman"/>
          <w:noProof/>
          <w:sz w:val="24"/>
          <w:szCs w:val="24"/>
        </w:rPr>
        <w:footnoteReference w:id="2"/>
      </w:r>
      <w:r>
        <w:rPr>
          <w:rFonts w:ascii="Times New Roman" w:hAnsi="Times New Roman"/>
          <w:noProof/>
          <w:sz w:val="24"/>
        </w:rPr>
        <w:t xml:space="preserve"> et rend transparents le fonctionnement du filtrage des IDE dans l’UE et l’évolution des mécanismes nationaux de filtrage. Il contribue à la responsabilisation de l’Union dans un domaine où, compte tenu des intérêts en jeu en matière de sécurité, la transparence concernant les transactions individuelles n’est ni possible ni appropriée. </w:t>
      </w:r>
    </w:p>
    <w:p w14:paraId="23D5C9E5" w14:textId="5A7A2C51" w:rsidR="007F5131" w:rsidRPr="007F5131" w:rsidRDefault="00CF2411" w:rsidP="00CF76DC">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Il se fonde sur les rapports des </w:t>
      </w:r>
      <w:r w:rsidRPr="00C316A8">
        <w:rPr>
          <w:rFonts w:ascii="Times New Roman" w:hAnsi="Times New Roman"/>
          <w:noProof/>
          <w:sz w:val="24"/>
        </w:rPr>
        <w:t>27</w:t>
      </w:r>
      <w:r>
        <w:rPr>
          <w:rFonts w:ascii="Times New Roman" w:hAnsi="Times New Roman"/>
          <w:noProof/>
          <w:sz w:val="24"/>
        </w:rPr>
        <w:t xml:space="preserve"> États membres et d’autres sources et se compose de quatre chapitres:</w:t>
      </w:r>
    </w:p>
    <w:p w14:paraId="5BAF1C9F" w14:textId="77777777" w:rsidR="00E43CE4" w:rsidRPr="006E7B47" w:rsidRDefault="006776E9" w:rsidP="00CF76DC">
      <w:pPr>
        <w:pStyle w:val="ListParagraph"/>
        <w:numPr>
          <w:ilvl w:val="0"/>
          <w:numId w:val="12"/>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le chapitre </w:t>
      </w:r>
      <w:r w:rsidRPr="00C316A8">
        <w:rPr>
          <w:rFonts w:ascii="Times New Roman" w:hAnsi="Times New Roman"/>
          <w:noProof/>
          <w:sz w:val="24"/>
        </w:rPr>
        <w:t>1</w:t>
      </w:r>
      <w:r>
        <w:rPr>
          <w:rFonts w:ascii="Times New Roman" w:hAnsi="Times New Roman"/>
          <w:noProof/>
          <w:sz w:val="24"/>
        </w:rPr>
        <w:t xml:space="preserve"> sur les tendances et les chiffres en matière d’IDE dans l’UE, </w:t>
      </w:r>
    </w:p>
    <w:p w14:paraId="67E9F612" w14:textId="77777777" w:rsidR="00D87306" w:rsidRPr="006E7B47" w:rsidRDefault="006776E9" w:rsidP="00CF76DC">
      <w:pPr>
        <w:pStyle w:val="ListParagraph"/>
        <w:numPr>
          <w:ilvl w:val="0"/>
          <w:numId w:val="12"/>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le chapitre </w:t>
      </w:r>
      <w:r w:rsidRPr="00C316A8">
        <w:rPr>
          <w:rFonts w:ascii="Times New Roman" w:hAnsi="Times New Roman"/>
          <w:noProof/>
          <w:sz w:val="24"/>
        </w:rPr>
        <w:t>2</w:t>
      </w:r>
      <w:r>
        <w:rPr>
          <w:rFonts w:ascii="Times New Roman" w:hAnsi="Times New Roman"/>
          <w:noProof/>
          <w:sz w:val="24"/>
        </w:rPr>
        <w:t xml:space="preserve"> sur les évolutions législatives dans les États membres, </w:t>
      </w:r>
    </w:p>
    <w:p w14:paraId="1592097A" w14:textId="77777777" w:rsidR="00D87306" w:rsidRPr="006E7B47" w:rsidRDefault="000C61D3" w:rsidP="00CF76DC">
      <w:pPr>
        <w:pStyle w:val="ListParagraph"/>
        <w:numPr>
          <w:ilvl w:val="0"/>
          <w:numId w:val="12"/>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le chapitre </w:t>
      </w:r>
      <w:r w:rsidRPr="00C316A8">
        <w:rPr>
          <w:rFonts w:ascii="Times New Roman" w:hAnsi="Times New Roman"/>
          <w:noProof/>
          <w:sz w:val="24"/>
        </w:rPr>
        <w:t>3</w:t>
      </w:r>
      <w:r>
        <w:rPr>
          <w:rFonts w:ascii="Times New Roman" w:hAnsi="Times New Roman"/>
          <w:noProof/>
          <w:sz w:val="24"/>
        </w:rPr>
        <w:t xml:space="preserve"> sur les activités de filtrage des IDE accomplies par les États membres, </w:t>
      </w:r>
    </w:p>
    <w:p w14:paraId="1E82473E" w14:textId="77777777" w:rsidR="009A6B2F" w:rsidRPr="006E7B47" w:rsidRDefault="000C61D3" w:rsidP="00CF76DC">
      <w:pPr>
        <w:pStyle w:val="ListParagraph"/>
        <w:numPr>
          <w:ilvl w:val="0"/>
          <w:numId w:val="12"/>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le chapitre </w:t>
      </w:r>
      <w:r w:rsidRPr="00C316A8">
        <w:rPr>
          <w:rFonts w:ascii="Times New Roman" w:hAnsi="Times New Roman"/>
          <w:noProof/>
          <w:sz w:val="24"/>
        </w:rPr>
        <w:t>4</w:t>
      </w:r>
      <w:r>
        <w:rPr>
          <w:rFonts w:ascii="Times New Roman" w:hAnsi="Times New Roman"/>
          <w:noProof/>
          <w:sz w:val="24"/>
        </w:rPr>
        <w:t xml:space="preserve"> sur le mécanisme de coopération de l’UE en matière de filtrage des IDE.</w:t>
      </w:r>
    </w:p>
    <w:p w14:paraId="06F3D8AA" w14:textId="77777777" w:rsidR="00C826C9" w:rsidRDefault="000433C5" w:rsidP="00CF76DC">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Le présent rapport annuel est adopté en même temps que le rapport annuel sur le contrôle des exportations de biens à double usage. Tant le filtrage des IDE que les contrôles des exportations sont des outils importants pour la maîtrise stratégique des échanges et des investissements et permettent de garantir la sécurité dans l’Union européenne. </w:t>
      </w:r>
    </w:p>
    <w:p w14:paraId="53CB9BA4" w14:textId="77777777" w:rsidR="00C826C9" w:rsidRDefault="00C826C9" w:rsidP="00095D48">
      <w:pPr>
        <w:spacing w:line="240" w:lineRule="auto"/>
        <w:rPr>
          <w:rFonts w:ascii="Times New Roman" w:hAnsi="Times New Roman" w:cs="Times New Roman"/>
          <w:noProof/>
          <w:sz w:val="24"/>
          <w:szCs w:val="24"/>
        </w:rPr>
      </w:pPr>
      <w:r>
        <w:rPr>
          <w:noProof/>
        </w:rPr>
        <w:br w:type="page"/>
      </w:r>
    </w:p>
    <w:p w14:paraId="451ED106" w14:textId="77777777" w:rsidR="00D35B78" w:rsidRDefault="00D35B78" w:rsidP="00CF76DC">
      <w:pPr>
        <w:pStyle w:val="Heading1"/>
        <w:spacing w:line="240" w:lineRule="auto"/>
        <w:jc w:val="both"/>
        <w:rPr>
          <w:rFonts w:cs="Times New Roman"/>
          <w:noProof/>
          <w:szCs w:val="24"/>
        </w:rPr>
      </w:pPr>
      <w:r>
        <w:rPr>
          <w:noProof/>
        </w:rPr>
        <w:t>CHAPITRE </w:t>
      </w:r>
      <w:r w:rsidRPr="00C316A8">
        <w:rPr>
          <w:noProof/>
        </w:rPr>
        <w:t>1</w:t>
      </w:r>
      <w:r>
        <w:rPr>
          <w:noProof/>
        </w:rPr>
        <w:t xml:space="preserve"> — INVESTISSEMENTS DIRECTS ÉTRANGERS DANS L’UNION EUROPÉENNE — TENDANCES ET CHIFFRES</w:t>
      </w:r>
    </w:p>
    <w:p w14:paraId="4A45A2FA" w14:textId="77777777" w:rsidR="004641DD" w:rsidRDefault="004641DD" w:rsidP="00095D48">
      <w:pPr>
        <w:spacing w:before="240" w:line="240" w:lineRule="auto"/>
        <w:jc w:val="both"/>
        <w:rPr>
          <w:rFonts w:ascii="Times New Roman" w:hAnsi="Times New Roman" w:cs="Times New Roman"/>
          <w:noProof/>
          <w:sz w:val="24"/>
          <w:szCs w:val="24"/>
          <w:highlight w:val="yellow"/>
        </w:rPr>
      </w:pPr>
      <w:r>
        <w:rPr>
          <w:rFonts w:ascii="Times New Roman" w:hAnsi="Times New Roman"/>
          <w:noProof/>
          <w:sz w:val="24"/>
        </w:rPr>
        <w:t xml:space="preserve">En </w:t>
      </w:r>
      <w:r w:rsidRPr="00C316A8">
        <w:rPr>
          <w:rFonts w:ascii="Times New Roman" w:hAnsi="Times New Roman"/>
          <w:noProof/>
          <w:sz w:val="24"/>
        </w:rPr>
        <w:t>2021</w:t>
      </w:r>
      <w:r>
        <w:rPr>
          <w:rFonts w:ascii="Times New Roman" w:hAnsi="Times New Roman"/>
          <w:noProof/>
          <w:sz w:val="24"/>
        </w:rPr>
        <w:t>, les investissements directs étrangers (IDE) ont rebondi à l’échelle mondiale après le ralentissement provoqué par la COVID-</w:t>
      </w:r>
      <w:r w:rsidRPr="00C316A8">
        <w:rPr>
          <w:rFonts w:ascii="Times New Roman" w:hAnsi="Times New Roman"/>
          <w:noProof/>
          <w:sz w:val="24"/>
        </w:rPr>
        <w:t>19</w:t>
      </w:r>
      <w:r>
        <w:rPr>
          <w:rFonts w:ascii="Times New Roman" w:hAnsi="Times New Roman"/>
          <w:noProof/>
          <w:sz w:val="24"/>
        </w:rPr>
        <w:t xml:space="preserve"> en </w:t>
      </w:r>
      <w:r w:rsidRPr="00C316A8">
        <w:rPr>
          <w:rFonts w:ascii="Times New Roman" w:hAnsi="Times New Roman"/>
          <w:noProof/>
          <w:sz w:val="24"/>
        </w:rPr>
        <w:t>2020</w:t>
      </w:r>
      <w:r>
        <w:rPr>
          <w:rFonts w:ascii="Times New Roman" w:hAnsi="Times New Roman"/>
          <w:noProof/>
          <w:sz w:val="24"/>
        </w:rPr>
        <w:t xml:space="preserve">. Les flux d’IDE à l’échelle mondiale ont atteint </w:t>
      </w:r>
      <w:r w:rsidRPr="00C316A8">
        <w:rPr>
          <w:rFonts w:ascii="Times New Roman" w:hAnsi="Times New Roman"/>
          <w:noProof/>
          <w:sz w:val="24"/>
        </w:rPr>
        <w:t>1</w:t>
      </w:r>
      <w:r>
        <w:rPr>
          <w:rFonts w:ascii="Times New Roman" w:hAnsi="Times New Roman"/>
          <w:noProof/>
          <w:sz w:val="24"/>
        </w:rPr>
        <w:t>,</w:t>
      </w:r>
      <w:r w:rsidRPr="00C316A8">
        <w:rPr>
          <w:rFonts w:ascii="Times New Roman" w:hAnsi="Times New Roman"/>
          <w:noProof/>
          <w:sz w:val="24"/>
        </w:rPr>
        <w:t>5</w:t>
      </w:r>
      <w:r>
        <w:rPr>
          <w:rFonts w:ascii="Times New Roman" w:hAnsi="Times New Roman"/>
          <w:noProof/>
          <w:sz w:val="24"/>
        </w:rPr>
        <w:t xml:space="preserve"> billion d’EUR en </w:t>
      </w:r>
      <w:r w:rsidRPr="00C316A8">
        <w:rPr>
          <w:rFonts w:ascii="Times New Roman" w:hAnsi="Times New Roman"/>
          <w:noProof/>
          <w:sz w:val="24"/>
        </w:rPr>
        <w:t>2021</w:t>
      </w:r>
      <w:r>
        <w:rPr>
          <w:rFonts w:ascii="Times New Roman" w:hAnsi="Times New Roman"/>
          <w:noProof/>
          <w:sz w:val="24"/>
        </w:rPr>
        <w:t xml:space="preserve"> (</w:t>
      </w:r>
      <w:r>
        <w:rPr>
          <w:rFonts w:ascii="Times New Roman" w:hAnsi="Times New Roman"/>
          <w:b/>
          <w:noProof/>
          <w:sz w:val="24"/>
        </w:rPr>
        <w:t>figure </w:t>
      </w:r>
      <w:r w:rsidRPr="00C316A8">
        <w:rPr>
          <w:rFonts w:ascii="Times New Roman" w:hAnsi="Times New Roman"/>
          <w:b/>
          <w:noProof/>
          <w:sz w:val="24"/>
        </w:rPr>
        <w:t>1</w:t>
      </w:r>
      <w:r>
        <w:rPr>
          <w:rFonts w:ascii="Times New Roman" w:hAnsi="Times New Roman"/>
          <w:noProof/>
          <w:sz w:val="24"/>
        </w:rPr>
        <w:t>), ce qui équivaut à une augmentation de </w:t>
      </w:r>
      <w:r w:rsidRPr="00C316A8">
        <w:rPr>
          <w:rFonts w:ascii="Times New Roman" w:hAnsi="Times New Roman"/>
          <w:noProof/>
          <w:sz w:val="24"/>
        </w:rPr>
        <w:t>52</w:t>
      </w:r>
      <w:r>
        <w:rPr>
          <w:rFonts w:ascii="Times New Roman" w:hAnsi="Times New Roman"/>
          <w:noProof/>
          <w:sz w:val="24"/>
        </w:rPr>
        <w:t xml:space="preserve"> % par rapport à </w:t>
      </w:r>
      <w:r w:rsidRPr="00C316A8">
        <w:rPr>
          <w:rFonts w:ascii="Times New Roman" w:hAnsi="Times New Roman"/>
          <w:noProof/>
          <w:sz w:val="24"/>
        </w:rPr>
        <w:t>2020</w:t>
      </w:r>
      <w:r>
        <w:rPr>
          <w:rFonts w:ascii="Times New Roman" w:hAnsi="Times New Roman"/>
          <w:noProof/>
          <w:sz w:val="24"/>
        </w:rPr>
        <w:t xml:space="preserve"> et de </w:t>
      </w:r>
      <w:r w:rsidRPr="00C316A8">
        <w:rPr>
          <w:rFonts w:ascii="Times New Roman" w:hAnsi="Times New Roman"/>
          <w:noProof/>
          <w:sz w:val="24"/>
        </w:rPr>
        <w:t>11</w:t>
      </w:r>
      <w:r>
        <w:rPr>
          <w:rFonts w:ascii="Times New Roman" w:hAnsi="Times New Roman"/>
          <w:noProof/>
          <w:sz w:val="24"/>
        </w:rPr>
        <w:t> % par rapport aux niveaux antérieurs à la COVID-</w:t>
      </w:r>
      <w:r w:rsidRPr="00C316A8">
        <w:rPr>
          <w:rFonts w:ascii="Times New Roman" w:hAnsi="Times New Roman"/>
          <w:noProof/>
          <w:sz w:val="24"/>
        </w:rPr>
        <w:t>19</w:t>
      </w:r>
      <w:r>
        <w:rPr>
          <w:rFonts w:ascii="Times New Roman" w:hAnsi="Times New Roman"/>
          <w:noProof/>
          <w:sz w:val="24"/>
        </w:rPr>
        <w:t xml:space="preserve"> de </w:t>
      </w:r>
      <w:r w:rsidRPr="00C316A8">
        <w:rPr>
          <w:rFonts w:ascii="Times New Roman" w:hAnsi="Times New Roman"/>
          <w:noProof/>
          <w:sz w:val="24"/>
        </w:rPr>
        <w:t>2019</w:t>
      </w:r>
      <w:r>
        <w:rPr>
          <w:rFonts w:ascii="Times New Roman" w:hAnsi="Times New Roman"/>
          <w:noProof/>
          <w:sz w:val="24"/>
        </w:rPr>
        <w:t>.</w:t>
      </w:r>
    </w:p>
    <w:p w14:paraId="6C8A3BD1" w14:textId="77777777" w:rsidR="004641DD" w:rsidRDefault="004641DD" w:rsidP="00095D48">
      <w:pPr>
        <w:spacing w:before="240" w:line="240" w:lineRule="auto"/>
        <w:jc w:val="both"/>
        <w:rPr>
          <w:rFonts w:ascii="Times New Roman" w:hAnsi="Times New Roman" w:cs="Times New Roman"/>
          <w:noProof/>
          <w:sz w:val="24"/>
          <w:szCs w:val="24"/>
        </w:rPr>
      </w:pPr>
      <w:r>
        <w:rPr>
          <w:rFonts w:ascii="Times New Roman" w:hAnsi="Times New Roman"/>
          <w:noProof/>
          <w:sz w:val="24"/>
        </w:rPr>
        <w:t xml:space="preserve">L’UE a contribué à la reprise mondiale de </w:t>
      </w:r>
      <w:r w:rsidRPr="00C316A8">
        <w:rPr>
          <w:rFonts w:ascii="Times New Roman" w:hAnsi="Times New Roman"/>
          <w:noProof/>
          <w:sz w:val="24"/>
        </w:rPr>
        <w:t>2021</w:t>
      </w:r>
      <w:r>
        <w:rPr>
          <w:rFonts w:ascii="Times New Roman" w:hAnsi="Times New Roman"/>
          <w:noProof/>
          <w:sz w:val="24"/>
        </w:rPr>
        <w:t xml:space="preserve"> avec </w:t>
      </w:r>
      <w:r w:rsidRPr="00C316A8">
        <w:rPr>
          <w:rFonts w:ascii="Times New Roman" w:hAnsi="Times New Roman"/>
          <w:noProof/>
          <w:sz w:val="24"/>
        </w:rPr>
        <w:t>117</w:t>
      </w:r>
      <w:r>
        <w:rPr>
          <w:rFonts w:ascii="Times New Roman" w:hAnsi="Times New Roman"/>
          <w:noProof/>
          <w:sz w:val="24"/>
        </w:rPr>
        <w:t xml:space="preserve"> milliards d’EUR d’IDE entrants, soit </w:t>
      </w:r>
      <w:r w:rsidRPr="00C316A8">
        <w:rPr>
          <w:rFonts w:ascii="Times New Roman" w:hAnsi="Times New Roman"/>
          <w:noProof/>
          <w:sz w:val="24"/>
        </w:rPr>
        <w:t>8</w:t>
      </w:r>
      <w:r>
        <w:rPr>
          <w:rFonts w:ascii="Times New Roman" w:hAnsi="Times New Roman"/>
          <w:noProof/>
          <w:sz w:val="24"/>
        </w:rPr>
        <w:t> % du niveau mondial (</w:t>
      </w:r>
      <w:r w:rsidRPr="00C316A8">
        <w:rPr>
          <w:rFonts w:ascii="Times New Roman" w:hAnsi="Times New Roman"/>
          <w:noProof/>
          <w:sz w:val="24"/>
        </w:rPr>
        <w:t>27</w:t>
      </w:r>
      <w:r>
        <w:rPr>
          <w:rFonts w:ascii="Times New Roman" w:hAnsi="Times New Roman"/>
          <w:noProof/>
          <w:sz w:val="24"/>
        </w:rPr>
        <w:t xml:space="preserve"> % en </w:t>
      </w:r>
      <w:r w:rsidRPr="00C316A8">
        <w:rPr>
          <w:rFonts w:ascii="Times New Roman" w:hAnsi="Times New Roman"/>
          <w:noProof/>
          <w:sz w:val="24"/>
        </w:rPr>
        <w:t>2019</w:t>
      </w:r>
      <w:r>
        <w:rPr>
          <w:rFonts w:ascii="Times New Roman" w:hAnsi="Times New Roman"/>
          <w:noProof/>
          <w:sz w:val="24"/>
        </w:rPr>
        <w:t xml:space="preserve">), ce qui représente une baisse de </w:t>
      </w:r>
      <w:r w:rsidRPr="00C316A8">
        <w:rPr>
          <w:rFonts w:ascii="Times New Roman" w:hAnsi="Times New Roman"/>
          <w:noProof/>
          <w:sz w:val="24"/>
        </w:rPr>
        <w:t>31</w:t>
      </w:r>
      <w:r>
        <w:rPr>
          <w:rFonts w:ascii="Times New Roman" w:hAnsi="Times New Roman"/>
          <w:noProof/>
          <w:sz w:val="24"/>
        </w:rPr>
        <w:t xml:space="preserve"> % par rapport aux niveaux de </w:t>
      </w:r>
      <w:r w:rsidRPr="00C316A8">
        <w:rPr>
          <w:rFonts w:ascii="Times New Roman" w:hAnsi="Times New Roman"/>
          <w:noProof/>
          <w:sz w:val="24"/>
        </w:rPr>
        <w:t>2020</w:t>
      </w:r>
      <w:r>
        <w:rPr>
          <w:rFonts w:ascii="Times New Roman" w:hAnsi="Times New Roman"/>
          <w:noProof/>
          <w:sz w:val="24"/>
        </w:rPr>
        <w:t xml:space="preserve"> et une baisse de </w:t>
      </w:r>
      <w:r w:rsidRPr="00C316A8">
        <w:rPr>
          <w:rFonts w:ascii="Times New Roman" w:hAnsi="Times New Roman"/>
          <w:noProof/>
          <w:sz w:val="24"/>
        </w:rPr>
        <w:t>68</w:t>
      </w:r>
      <w:r>
        <w:rPr>
          <w:rFonts w:ascii="Times New Roman" w:hAnsi="Times New Roman"/>
          <w:noProof/>
          <w:sz w:val="24"/>
        </w:rPr>
        <w:t xml:space="preserve"> % par rapport à </w:t>
      </w:r>
      <w:r w:rsidRPr="00C316A8">
        <w:rPr>
          <w:rFonts w:ascii="Times New Roman" w:hAnsi="Times New Roman"/>
          <w:noProof/>
          <w:sz w:val="24"/>
        </w:rPr>
        <w:t>2019</w:t>
      </w:r>
      <w:r>
        <w:rPr>
          <w:rFonts w:ascii="Times New Roman" w:hAnsi="Times New Roman"/>
          <w:noProof/>
          <w:sz w:val="24"/>
        </w:rPr>
        <w:t>. Le résultat de l’UE est dû à la diminution des IDE entrants en Irlande, en Allemagne et au Luxembourg et aux désinvestissements aux Pays-Bas</w:t>
      </w:r>
      <w:r>
        <w:rPr>
          <w:rStyle w:val="FootnoteReference"/>
          <w:rFonts w:ascii="Times New Roman" w:hAnsi="Times New Roman" w:cs="Times New Roman"/>
          <w:noProof/>
          <w:sz w:val="24"/>
          <w:szCs w:val="24"/>
          <w:lang w:val="en-US"/>
        </w:rPr>
        <w:footnoteReference w:id="3"/>
      </w:r>
      <w:r>
        <w:rPr>
          <w:rFonts w:ascii="Times New Roman" w:hAnsi="Times New Roman"/>
          <w:noProof/>
          <w:sz w:val="24"/>
        </w:rPr>
        <w:t>.</w:t>
      </w:r>
    </w:p>
    <w:p w14:paraId="0E25A974" w14:textId="77777777" w:rsidR="004641DD" w:rsidRDefault="004641DD" w:rsidP="00095D48">
      <w:pPr>
        <w:pStyle w:val="Caption"/>
        <w:keepNext/>
        <w:jc w:val="center"/>
        <w:rPr>
          <w:rFonts w:ascii="Times New Roman" w:hAnsi="Times New Roman" w:cs="Times New Roman"/>
          <w:noProof/>
          <w:color w:val="auto"/>
          <w:sz w:val="24"/>
          <w:szCs w:val="24"/>
        </w:rPr>
      </w:pPr>
      <w:bookmarkStart w:id="2" w:name="_Ref98166927"/>
      <w:r>
        <w:rPr>
          <w:rFonts w:ascii="Times New Roman" w:hAnsi="Times New Roman"/>
          <w:noProof/>
          <w:color w:val="auto"/>
          <w:sz w:val="24"/>
        </w:rPr>
        <w:t xml:space="preserve">Figure </w:t>
      </w:r>
      <w:r>
        <w:rPr>
          <w:noProof/>
        </w:rPr>
        <w:fldChar w:fldCharType="begin"/>
      </w:r>
      <w:r>
        <w:rPr>
          <w:rFonts w:ascii="Times New Roman" w:hAnsi="Times New Roman" w:cs="Times New Roman"/>
          <w:noProof/>
          <w:color w:val="auto"/>
          <w:sz w:val="24"/>
        </w:rPr>
        <w:instrText xml:space="preserve"> SEQ Figure \* ARABIC </w:instrText>
      </w:r>
      <w:r>
        <w:rPr>
          <w:noProof/>
        </w:rPr>
        <w:fldChar w:fldCharType="separate"/>
      </w:r>
      <w:r w:rsidRPr="00C316A8">
        <w:rPr>
          <w:rFonts w:ascii="Times New Roman" w:hAnsi="Times New Roman" w:cs="Times New Roman"/>
          <w:noProof/>
          <w:color w:val="auto"/>
          <w:sz w:val="24"/>
        </w:rPr>
        <w:t>1</w:t>
      </w:r>
      <w:r>
        <w:rPr>
          <w:noProof/>
        </w:rPr>
        <w:fldChar w:fldCharType="end"/>
      </w:r>
      <w:bookmarkEnd w:id="2"/>
      <w:r>
        <w:rPr>
          <w:rFonts w:ascii="Times New Roman" w:hAnsi="Times New Roman"/>
          <w:noProof/>
          <w:color w:val="auto"/>
          <w:sz w:val="24"/>
        </w:rPr>
        <w:t xml:space="preserve">: Flux d’IDE entrants dans le monde et dans l’UE </w:t>
      </w:r>
    </w:p>
    <w:p w14:paraId="55E2899A" w14:textId="566D660E" w:rsidR="004641DD" w:rsidRDefault="00276736" w:rsidP="00095D48">
      <w:pPr>
        <w:spacing w:after="0" w:line="240" w:lineRule="auto"/>
        <w:jc w:val="center"/>
        <w:rPr>
          <w:rFonts w:ascii="Times New Roman" w:hAnsi="Times New Roman" w:cs="Times New Roman"/>
          <w:noProof/>
          <w:sz w:val="24"/>
          <w:szCs w:val="24"/>
        </w:rPr>
      </w:pPr>
      <w:r w:rsidRPr="00276736">
        <w:rPr>
          <w:rFonts w:ascii="Times New Roman" w:hAnsi="Times New Roman" w:cs="Times New Roman"/>
          <w:noProof/>
          <w:sz w:val="24"/>
          <w:szCs w:val="24"/>
          <w:lang w:val="en-GB" w:eastAsia="en-GB"/>
        </w:rPr>
        <w:drawing>
          <wp:inline distT="0" distB="0" distL="0" distR="0" wp14:anchorId="3DF11681" wp14:editId="317B098B">
            <wp:extent cx="4309607" cy="3601941"/>
            <wp:effectExtent l="0" t="0" r="15240" b="1778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EC5B734" w14:textId="77777777" w:rsidR="004641DD" w:rsidRDefault="004641DD" w:rsidP="00095D48">
      <w:pPr>
        <w:pStyle w:val="Caption"/>
        <w:jc w:val="both"/>
        <w:rPr>
          <w:rFonts w:ascii="Times New Roman" w:hAnsi="Times New Roman" w:cs="Times New Roman"/>
          <w:i w:val="0"/>
          <w:noProof/>
          <w:color w:val="auto"/>
          <w:sz w:val="16"/>
          <w:szCs w:val="16"/>
        </w:rPr>
      </w:pPr>
      <w:r>
        <w:rPr>
          <w:rFonts w:ascii="Times New Roman" w:hAnsi="Times New Roman"/>
          <w:i w:val="0"/>
          <w:noProof/>
          <w:color w:val="auto"/>
          <w:sz w:val="16"/>
        </w:rPr>
        <w:t xml:space="preserve">Source: </w:t>
      </w:r>
      <w:hyperlink r:id="rId20" w:history="1">
        <w:r>
          <w:rPr>
            <w:rStyle w:val="Hyperlink"/>
            <w:rFonts w:ascii="Times New Roman" w:hAnsi="Times New Roman"/>
            <w:i w:val="0"/>
            <w:noProof/>
            <w:sz w:val="16"/>
          </w:rPr>
          <w:t>données de l’OCDE</w:t>
        </w:r>
      </w:hyperlink>
      <w:r>
        <w:rPr>
          <w:rFonts w:ascii="Times New Roman" w:hAnsi="Times New Roman"/>
          <w:i w:val="0"/>
          <w:noProof/>
          <w:color w:val="auto"/>
          <w:sz w:val="16"/>
        </w:rPr>
        <w:t xml:space="preserve">, extraites le </w:t>
      </w:r>
      <w:r w:rsidRPr="00C316A8">
        <w:rPr>
          <w:rFonts w:ascii="Times New Roman" w:hAnsi="Times New Roman"/>
          <w:i w:val="0"/>
          <w:noProof/>
          <w:color w:val="auto"/>
          <w:sz w:val="16"/>
        </w:rPr>
        <w:t>29</w:t>
      </w:r>
      <w:r>
        <w:rPr>
          <w:rFonts w:ascii="Times New Roman" w:hAnsi="Times New Roman"/>
          <w:i w:val="0"/>
          <w:noProof/>
          <w:color w:val="auto"/>
          <w:sz w:val="16"/>
        </w:rPr>
        <w:t xml:space="preserve"> avril </w:t>
      </w:r>
      <w:r w:rsidRPr="00C316A8">
        <w:rPr>
          <w:rFonts w:ascii="Times New Roman" w:hAnsi="Times New Roman"/>
          <w:i w:val="0"/>
          <w:noProof/>
          <w:color w:val="auto"/>
          <w:sz w:val="16"/>
        </w:rPr>
        <w:t>2022</w:t>
      </w:r>
      <w:r>
        <w:rPr>
          <w:rFonts w:ascii="Times New Roman" w:hAnsi="Times New Roman"/>
          <w:i w:val="0"/>
          <w:noProof/>
          <w:color w:val="auto"/>
          <w:sz w:val="16"/>
        </w:rPr>
        <w:t>. Les données se rapportent aux flux entrants d’IDE.</w:t>
      </w:r>
    </w:p>
    <w:p w14:paraId="32123310" w14:textId="364CC8BD" w:rsidR="00BF1910" w:rsidRDefault="004641DD" w:rsidP="00095D48">
      <w:pPr>
        <w:spacing w:before="240" w:line="240" w:lineRule="auto"/>
        <w:jc w:val="both"/>
        <w:rPr>
          <w:rFonts w:ascii="Times New Roman" w:hAnsi="Times New Roman" w:cs="Times New Roman"/>
          <w:noProof/>
          <w:sz w:val="24"/>
          <w:szCs w:val="24"/>
        </w:rPr>
      </w:pPr>
      <w:r>
        <w:rPr>
          <w:rFonts w:ascii="Times New Roman" w:hAnsi="Times New Roman"/>
          <w:noProof/>
          <w:sz w:val="24"/>
        </w:rPr>
        <w:t xml:space="preserve">En </w:t>
      </w:r>
      <w:r w:rsidRPr="00C316A8">
        <w:rPr>
          <w:rFonts w:ascii="Times New Roman" w:hAnsi="Times New Roman"/>
          <w:noProof/>
          <w:sz w:val="24"/>
        </w:rPr>
        <w:t>2021</w:t>
      </w:r>
      <w:r>
        <w:rPr>
          <w:rFonts w:ascii="Times New Roman" w:hAnsi="Times New Roman"/>
          <w:noProof/>
          <w:sz w:val="24"/>
        </w:rPr>
        <w:t>, la vigueur des marchés boursiers et la reprise de la confiance des entreprises ont entraîné une augmentation des fusions-acquisitions (F&amp;A) et des transactions de création (ou transactions ex nihilo) à l’échelle mondiale, mais pas encore dans l’EU-</w:t>
      </w:r>
      <w:r w:rsidRPr="00C316A8">
        <w:rPr>
          <w:rFonts w:ascii="Times New Roman" w:hAnsi="Times New Roman"/>
          <w:noProof/>
          <w:sz w:val="24"/>
        </w:rPr>
        <w:t>27</w:t>
      </w:r>
      <w:r>
        <w:rPr>
          <w:rStyle w:val="FootnoteReference"/>
          <w:rFonts w:ascii="Times New Roman" w:hAnsi="Times New Roman" w:cs="Times New Roman"/>
          <w:noProof/>
          <w:sz w:val="24"/>
          <w:szCs w:val="24"/>
          <w:lang w:val="en-US"/>
        </w:rPr>
        <w:footnoteReference w:id="4"/>
      </w:r>
      <w:r>
        <w:rPr>
          <w:rFonts w:ascii="Times New Roman" w:hAnsi="Times New Roman"/>
          <w:noProof/>
          <w:sz w:val="24"/>
        </w:rPr>
        <w:t xml:space="preserve"> (</w:t>
      </w:r>
      <w:r>
        <w:rPr>
          <w:rFonts w:ascii="Times New Roman" w:hAnsi="Times New Roman"/>
          <w:b/>
          <w:noProof/>
          <w:sz w:val="24"/>
        </w:rPr>
        <w:t>figure </w:t>
      </w:r>
      <w:r w:rsidRPr="00C316A8">
        <w:rPr>
          <w:rFonts w:ascii="Times New Roman" w:hAnsi="Times New Roman"/>
          <w:b/>
          <w:noProof/>
          <w:sz w:val="24"/>
        </w:rPr>
        <w:t>1</w:t>
      </w:r>
      <w:r>
        <w:rPr>
          <w:rFonts w:ascii="Times New Roman" w:hAnsi="Times New Roman"/>
          <w:noProof/>
          <w:sz w:val="24"/>
        </w:rPr>
        <w:t>), malgré la baisse des entrées cumulées d’IDE. Le nombre d’acquisitions et d’investissements de création dans l’UE a augmenté respectivement de </w:t>
      </w:r>
      <w:r w:rsidRPr="00C316A8">
        <w:rPr>
          <w:rFonts w:ascii="Times New Roman" w:hAnsi="Times New Roman"/>
          <w:noProof/>
          <w:sz w:val="24"/>
        </w:rPr>
        <w:t>32</w:t>
      </w:r>
      <w:r>
        <w:rPr>
          <w:rFonts w:ascii="Times New Roman" w:hAnsi="Times New Roman"/>
          <w:noProof/>
          <w:sz w:val="24"/>
        </w:rPr>
        <w:t> % et de </w:t>
      </w:r>
      <w:r w:rsidRPr="00C316A8">
        <w:rPr>
          <w:rFonts w:ascii="Times New Roman" w:hAnsi="Times New Roman"/>
          <w:noProof/>
          <w:sz w:val="24"/>
        </w:rPr>
        <w:t>12</w:t>
      </w:r>
      <w:r>
        <w:rPr>
          <w:rFonts w:ascii="Times New Roman" w:hAnsi="Times New Roman"/>
          <w:noProof/>
          <w:sz w:val="24"/>
        </w:rPr>
        <w:t xml:space="preserve"> % par rapport à </w:t>
      </w:r>
      <w:r w:rsidRPr="00C316A8">
        <w:rPr>
          <w:rFonts w:ascii="Times New Roman" w:hAnsi="Times New Roman"/>
          <w:noProof/>
          <w:sz w:val="24"/>
        </w:rPr>
        <w:t>2020</w:t>
      </w:r>
      <w:r>
        <w:rPr>
          <w:rStyle w:val="FootnoteReference"/>
          <w:rFonts w:ascii="Times New Roman" w:hAnsi="Times New Roman" w:cs="Times New Roman"/>
          <w:noProof/>
          <w:sz w:val="24"/>
          <w:szCs w:val="24"/>
        </w:rPr>
        <w:footnoteReference w:id="5"/>
      </w:r>
      <w:r>
        <w:rPr>
          <w:rFonts w:ascii="Times New Roman" w:hAnsi="Times New Roman"/>
          <w:noProof/>
          <w:sz w:val="24"/>
        </w:rPr>
        <w:t>.</w:t>
      </w:r>
    </w:p>
    <w:p w14:paraId="7F3DB950" w14:textId="77777777" w:rsidR="004641DD" w:rsidRDefault="00E77956" w:rsidP="00095D48">
      <w:pPr>
        <w:spacing w:before="240" w:line="240" w:lineRule="auto"/>
        <w:jc w:val="both"/>
        <w:rPr>
          <w:rFonts w:ascii="Times New Roman" w:hAnsi="Times New Roman" w:cs="Times New Roman"/>
          <w:noProof/>
          <w:sz w:val="24"/>
          <w:szCs w:val="24"/>
        </w:rPr>
      </w:pPr>
      <w:r>
        <w:rPr>
          <w:rFonts w:ascii="Times New Roman" w:hAnsi="Times New Roman"/>
          <w:noProof/>
          <w:sz w:val="24"/>
        </w:rPr>
        <w:t xml:space="preserve">Les acquisitions sont toutefois restées inférieures de </w:t>
      </w:r>
      <w:r w:rsidRPr="00C316A8">
        <w:rPr>
          <w:rFonts w:ascii="Times New Roman" w:hAnsi="Times New Roman"/>
          <w:noProof/>
          <w:sz w:val="24"/>
        </w:rPr>
        <w:t>9</w:t>
      </w:r>
      <w:r>
        <w:rPr>
          <w:rFonts w:ascii="Times New Roman" w:hAnsi="Times New Roman"/>
          <w:noProof/>
          <w:sz w:val="24"/>
        </w:rPr>
        <w:t xml:space="preserve"> % au niveau atteint en </w:t>
      </w:r>
      <w:r w:rsidRPr="00C316A8">
        <w:rPr>
          <w:rFonts w:ascii="Times New Roman" w:hAnsi="Times New Roman"/>
          <w:noProof/>
          <w:sz w:val="24"/>
        </w:rPr>
        <w:t>2019</w:t>
      </w:r>
      <w:r>
        <w:rPr>
          <w:rFonts w:ascii="Times New Roman" w:hAnsi="Times New Roman"/>
          <w:noProof/>
          <w:sz w:val="24"/>
        </w:rPr>
        <w:t>. Pour les investissements de création, la différence par rapport à l’année ayant précédé la pandémie a atteint – </w:t>
      </w:r>
      <w:r w:rsidRPr="00C316A8">
        <w:rPr>
          <w:rFonts w:ascii="Times New Roman" w:hAnsi="Times New Roman"/>
          <w:noProof/>
          <w:sz w:val="24"/>
        </w:rPr>
        <w:t>39</w:t>
      </w:r>
      <w:r>
        <w:rPr>
          <w:rFonts w:ascii="Times New Roman" w:hAnsi="Times New Roman"/>
          <w:noProof/>
          <w:sz w:val="24"/>
        </w:rPr>
        <w:t> %.</w:t>
      </w:r>
    </w:p>
    <w:p w14:paraId="7DFB1D5B" w14:textId="5EBDEE10" w:rsidR="004641DD" w:rsidRDefault="004641DD" w:rsidP="00095D48">
      <w:pPr>
        <w:spacing w:before="240" w:line="240" w:lineRule="auto"/>
        <w:jc w:val="both"/>
        <w:rPr>
          <w:rFonts w:ascii="Times New Roman" w:hAnsi="Times New Roman" w:cs="Times New Roman"/>
          <w:noProof/>
          <w:sz w:val="24"/>
          <w:szCs w:val="24"/>
        </w:rPr>
      </w:pPr>
      <w:r>
        <w:rPr>
          <w:rFonts w:ascii="Times New Roman" w:hAnsi="Times New Roman"/>
          <w:noProof/>
          <w:sz w:val="24"/>
        </w:rPr>
        <w:t>La tendance à la hausse des flux cumulés de transactions étrangères dans l’EU-</w:t>
      </w:r>
      <w:r w:rsidRPr="00C316A8">
        <w:rPr>
          <w:rFonts w:ascii="Times New Roman" w:hAnsi="Times New Roman"/>
          <w:noProof/>
          <w:sz w:val="24"/>
        </w:rPr>
        <w:t>27</w:t>
      </w:r>
      <w:r>
        <w:rPr>
          <w:rFonts w:ascii="Times New Roman" w:hAnsi="Times New Roman"/>
          <w:noProof/>
          <w:sz w:val="24"/>
        </w:rPr>
        <w:t xml:space="preserve"> confirme l’ouverture des pays de l’Union aux investissements étrangers, malgré le ralentissement causé par la pandémie de COVID-</w:t>
      </w:r>
      <w:r w:rsidRPr="00C316A8">
        <w:rPr>
          <w:rFonts w:ascii="Times New Roman" w:hAnsi="Times New Roman"/>
          <w:noProof/>
          <w:sz w:val="24"/>
        </w:rPr>
        <w:t>19</w:t>
      </w:r>
      <w:r>
        <w:rPr>
          <w:rFonts w:ascii="Times New Roman" w:hAnsi="Times New Roman"/>
          <w:noProof/>
          <w:sz w:val="24"/>
        </w:rPr>
        <w:t xml:space="preserve"> (</w:t>
      </w:r>
      <w:r>
        <w:rPr>
          <w:rFonts w:ascii="Times New Roman" w:hAnsi="Times New Roman"/>
          <w:b/>
          <w:noProof/>
          <w:sz w:val="24"/>
        </w:rPr>
        <w:t>figure </w:t>
      </w:r>
      <w:r w:rsidRPr="00C316A8">
        <w:rPr>
          <w:rFonts w:ascii="Times New Roman" w:hAnsi="Times New Roman"/>
          <w:b/>
          <w:noProof/>
          <w:sz w:val="24"/>
        </w:rPr>
        <w:t>2</w:t>
      </w:r>
      <w:r>
        <w:rPr>
          <w:rFonts w:ascii="Times New Roman" w:hAnsi="Times New Roman"/>
          <w:noProof/>
          <w:sz w:val="24"/>
        </w:rPr>
        <w:t xml:space="preserve">), avec une augmentation moyenne de plus de </w:t>
      </w:r>
      <w:r w:rsidRPr="00C316A8">
        <w:rPr>
          <w:rFonts w:ascii="Times New Roman" w:hAnsi="Times New Roman"/>
          <w:noProof/>
          <w:sz w:val="24"/>
        </w:rPr>
        <w:t>2</w:t>
      </w:r>
      <w:r>
        <w:rPr>
          <w:rFonts w:ascii="Times New Roman" w:hAnsi="Times New Roman"/>
          <w:noProof/>
          <w:sz w:val="24"/>
        </w:rPr>
        <w:t> </w:t>
      </w:r>
      <w:r w:rsidRPr="00C316A8">
        <w:rPr>
          <w:rFonts w:ascii="Times New Roman" w:hAnsi="Times New Roman"/>
          <w:noProof/>
          <w:sz w:val="24"/>
        </w:rPr>
        <w:t>100</w:t>
      </w:r>
      <w:r>
        <w:rPr>
          <w:rFonts w:ascii="Times New Roman" w:hAnsi="Times New Roman"/>
          <w:noProof/>
          <w:sz w:val="24"/>
        </w:rPr>
        <w:t xml:space="preserve"> </w:t>
      </w:r>
      <w:bookmarkStart w:id="3" w:name="_Ref98169941"/>
      <w:r>
        <w:rPr>
          <w:rFonts w:ascii="Times New Roman" w:hAnsi="Times New Roman"/>
          <w:noProof/>
          <w:sz w:val="24"/>
        </w:rPr>
        <w:t xml:space="preserve">acquisitions et </w:t>
      </w:r>
      <w:r w:rsidRPr="00C316A8">
        <w:rPr>
          <w:rFonts w:ascii="Times New Roman" w:hAnsi="Times New Roman"/>
          <w:noProof/>
          <w:sz w:val="24"/>
        </w:rPr>
        <w:t>3</w:t>
      </w:r>
      <w:r>
        <w:rPr>
          <w:rFonts w:ascii="Times New Roman" w:hAnsi="Times New Roman"/>
          <w:noProof/>
          <w:sz w:val="24"/>
        </w:rPr>
        <w:t> </w:t>
      </w:r>
      <w:r w:rsidRPr="00C316A8">
        <w:rPr>
          <w:rFonts w:ascii="Times New Roman" w:hAnsi="Times New Roman"/>
          <w:noProof/>
          <w:sz w:val="24"/>
        </w:rPr>
        <w:t>200</w:t>
      </w:r>
      <w:r>
        <w:rPr>
          <w:rFonts w:ascii="Times New Roman" w:hAnsi="Times New Roman"/>
          <w:noProof/>
          <w:sz w:val="24"/>
        </w:rPr>
        <w:t xml:space="preserve"> investissements de création par an au cours des cinq dernières années.</w:t>
      </w:r>
    </w:p>
    <w:p w14:paraId="5A29D0D8" w14:textId="77777777" w:rsidR="004641DD" w:rsidRDefault="004641DD" w:rsidP="00095D48">
      <w:pPr>
        <w:spacing w:before="240" w:line="240" w:lineRule="auto"/>
        <w:jc w:val="center"/>
        <w:rPr>
          <w:rFonts w:ascii="Times New Roman" w:hAnsi="Times New Roman" w:cs="Times New Roman"/>
          <w:i/>
          <w:noProof/>
          <w:sz w:val="24"/>
          <w:szCs w:val="24"/>
        </w:rPr>
      </w:pPr>
      <w:r>
        <w:rPr>
          <w:rFonts w:ascii="Times New Roman" w:hAnsi="Times New Roman"/>
          <w:i/>
          <w:noProof/>
          <w:sz w:val="24"/>
        </w:rPr>
        <w:t xml:space="preserve"> Figure </w:t>
      </w:r>
      <w:r>
        <w:rPr>
          <w:noProof/>
        </w:rPr>
        <w:fldChar w:fldCharType="begin"/>
      </w:r>
      <w:r>
        <w:rPr>
          <w:rFonts w:ascii="Times New Roman" w:hAnsi="Times New Roman" w:cs="Times New Roman"/>
          <w:i/>
          <w:noProof/>
          <w:sz w:val="24"/>
        </w:rPr>
        <w:instrText xml:space="preserve"> SEQ Figure \* ARABIC </w:instrText>
      </w:r>
      <w:r>
        <w:rPr>
          <w:noProof/>
        </w:rPr>
        <w:fldChar w:fldCharType="separate"/>
      </w:r>
      <w:r w:rsidRPr="00C316A8">
        <w:rPr>
          <w:rFonts w:ascii="Times New Roman" w:hAnsi="Times New Roman" w:cs="Times New Roman"/>
          <w:i/>
          <w:noProof/>
          <w:sz w:val="24"/>
        </w:rPr>
        <w:t>2</w:t>
      </w:r>
      <w:r>
        <w:rPr>
          <w:noProof/>
        </w:rPr>
        <w:fldChar w:fldCharType="end"/>
      </w:r>
      <w:r>
        <w:rPr>
          <w:rFonts w:ascii="Times New Roman" w:hAnsi="Times New Roman"/>
          <w:i/>
          <w:noProof/>
          <w:sz w:val="24"/>
        </w:rPr>
        <w:t>: Nombre cumulé annuellement de transactions dans l’EU-</w:t>
      </w:r>
      <w:r w:rsidRPr="00C316A8">
        <w:rPr>
          <w:rFonts w:ascii="Times New Roman" w:hAnsi="Times New Roman"/>
          <w:i/>
          <w:noProof/>
          <w:sz w:val="24"/>
        </w:rPr>
        <w:t>27</w:t>
      </w:r>
      <w:r>
        <w:rPr>
          <w:rFonts w:ascii="Times New Roman" w:hAnsi="Times New Roman"/>
          <w:i/>
          <w:noProof/>
          <w:sz w:val="24"/>
        </w:rPr>
        <w:t xml:space="preserve"> entre </w:t>
      </w:r>
      <w:r w:rsidRPr="00C316A8">
        <w:rPr>
          <w:rFonts w:ascii="Times New Roman" w:hAnsi="Times New Roman"/>
          <w:i/>
          <w:noProof/>
          <w:sz w:val="24"/>
        </w:rPr>
        <w:t>2015</w:t>
      </w:r>
      <w:r>
        <w:rPr>
          <w:rFonts w:ascii="Times New Roman" w:hAnsi="Times New Roman"/>
          <w:i/>
          <w:noProof/>
          <w:sz w:val="24"/>
        </w:rPr>
        <w:t xml:space="preserve"> et </w:t>
      </w:r>
      <w:r w:rsidRPr="00C316A8">
        <w:rPr>
          <w:rFonts w:ascii="Times New Roman" w:hAnsi="Times New Roman"/>
          <w:i/>
          <w:noProof/>
          <w:sz w:val="24"/>
        </w:rPr>
        <w:t>2021</w:t>
      </w:r>
    </w:p>
    <w:p w14:paraId="113DCE3B" w14:textId="2987BDD9" w:rsidR="004641DD" w:rsidRPr="00276736" w:rsidRDefault="004641DD" w:rsidP="00095D48">
      <w:pPr>
        <w:spacing w:before="240" w:line="240" w:lineRule="auto"/>
        <w:jc w:val="center"/>
        <w:rPr>
          <w:rFonts w:ascii="Times New Roman" w:hAnsi="Times New Roman" w:cs="Times New Roman"/>
          <w:noProof/>
          <w:sz w:val="24"/>
          <w:szCs w:val="24"/>
          <w:lang w:val="fr-BE"/>
        </w:rPr>
      </w:pPr>
      <w:r>
        <w:rPr>
          <w:rFonts w:ascii="Times New Roman" w:hAnsi="Times New Roman"/>
          <w:noProof/>
          <w:sz w:val="24"/>
        </w:rPr>
        <w:t xml:space="preserve"> </w:t>
      </w:r>
      <w:r w:rsidR="00276736" w:rsidRPr="00276736">
        <w:rPr>
          <w:rFonts w:ascii="Times New Roman" w:hAnsi="Times New Roman"/>
          <w:noProof/>
          <w:sz w:val="24"/>
          <w:lang w:val="en-GB" w:eastAsia="en-GB"/>
        </w:rPr>
        <w:drawing>
          <wp:inline distT="0" distB="0" distL="0" distR="0" wp14:anchorId="578B08F2" wp14:editId="6EE03BF5">
            <wp:extent cx="4389120" cy="3029447"/>
            <wp:effectExtent l="0" t="0" r="1143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B1D6628" w14:textId="77777777" w:rsidR="004641DD" w:rsidRDefault="004641DD" w:rsidP="004F4237">
      <w:pPr>
        <w:spacing w:before="240" w:line="240" w:lineRule="auto"/>
        <w:rPr>
          <w:rFonts w:ascii="Times New Roman" w:hAnsi="Times New Roman" w:cs="Times New Roman"/>
          <w:noProof/>
          <w:sz w:val="16"/>
          <w:szCs w:val="16"/>
        </w:rPr>
      </w:pPr>
      <w:r>
        <w:rPr>
          <w:rFonts w:ascii="Times New Roman" w:hAnsi="Times New Roman"/>
          <w:noProof/>
          <w:sz w:val="16"/>
        </w:rPr>
        <w:t xml:space="preserve">Source: calculs du JRC à partir des données du Bureau van Dijk extraites le </w:t>
      </w:r>
      <w:r w:rsidRPr="00C316A8">
        <w:rPr>
          <w:rFonts w:ascii="Times New Roman" w:hAnsi="Times New Roman"/>
          <w:noProof/>
          <w:sz w:val="16"/>
        </w:rPr>
        <w:t>22</w:t>
      </w:r>
      <w:r>
        <w:rPr>
          <w:rFonts w:ascii="Times New Roman" w:hAnsi="Times New Roman"/>
          <w:noProof/>
          <w:sz w:val="16"/>
        </w:rPr>
        <w:t xml:space="preserve"> février </w:t>
      </w:r>
      <w:r w:rsidRPr="00C316A8">
        <w:rPr>
          <w:rFonts w:ascii="Times New Roman" w:hAnsi="Times New Roman"/>
          <w:noProof/>
          <w:sz w:val="16"/>
        </w:rPr>
        <w:t>2022</w:t>
      </w:r>
      <w:r>
        <w:rPr>
          <w:rFonts w:ascii="Times New Roman" w:hAnsi="Times New Roman"/>
          <w:noProof/>
          <w:sz w:val="16"/>
        </w:rPr>
        <w:t xml:space="preserve">. Les données relatives à </w:t>
      </w:r>
      <w:r w:rsidRPr="00C316A8">
        <w:rPr>
          <w:rFonts w:ascii="Times New Roman" w:hAnsi="Times New Roman"/>
          <w:noProof/>
          <w:sz w:val="16"/>
        </w:rPr>
        <w:t>2015</w:t>
      </w:r>
      <w:r>
        <w:rPr>
          <w:rFonts w:ascii="Times New Roman" w:hAnsi="Times New Roman"/>
          <w:noProof/>
          <w:sz w:val="16"/>
        </w:rPr>
        <w:t xml:space="preserve"> correspondent aux flux d’IDE en </w:t>
      </w:r>
      <w:r w:rsidRPr="00C316A8">
        <w:rPr>
          <w:rFonts w:ascii="Times New Roman" w:hAnsi="Times New Roman"/>
          <w:noProof/>
          <w:sz w:val="16"/>
        </w:rPr>
        <w:t>2015</w:t>
      </w:r>
      <w:r>
        <w:rPr>
          <w:rFonts w:ascii="Times New Roman" w:hAnsi="Times New Roman"/>
          <w:noProof/>
          <w:sz w:val="16"/>
        </w:rPr>
        <w:t xml:space="preserve">, tandis que les données relatives aux années suivantes correspondent à la somme cumulée des flux annuels.  </w:t>
      </w:r>
    </w:p>
    <w:p w14:paraId="01E4D345" w14:textId="1B0F8C18" w:rsidR="00BF1910" w:rsidRDefault="004641DD" w:rsidP="00095D48">
      <w:pPr>
        <w:spacing w:before="240" w:line="240" w:lineRule="auto"/>
        <w:jc w:val="both"/>
        <w:rPr>
          <w:rFonts w:ascii="Times New Roman" w:hAnsi="Times New Roman" w:cs="Times New Roman"/>
          <w:noProof/>
          <w:sz w:val="24"/>
          <w:szCs w:val="24"/>
        </w:rPr>
      </w:pPr>
      <w:r>
        <w:rPr>
          <w:rFonts w:ascii="Times New Roman" w:hAnsi="Times New Roman"/>
          <w:noProof/>
          <w:sz w:val="24"/>
        </w:rPr>
        <w:t xml:space="preserve">Les données annuelles par juridiction étrangère montrent une augmentation du nombre d’opérations et de projets pour la plupart des pays d’origine en </w:t>
      </w:r>
      <w:r w:rsidRPr="00C316A8">
        <w:rPr>
          <w:rFonts w:ascii="Times New Roman" w:hAnsi="Times New Roman"/>
          <w:noProof/>
          <w:sz w:val="24"/>
        </w:rPr>
        <w:t>2021</w:t>
      </w:r>
      <w:r>
        <w:rPr>
          <w:rFonts w:ascii="Times New Roman" w:hAnsi="Times New Roman"/>
          <w:noProof/>
          <w:sz w:val="24"/>
        </w:rPr>
        <w:t xml:space="preserve"> (</w:t>
      </w:r>
      <w:r>
        <w:rPr>
          <w:rFonts w:ascii="Times New Roman" w:hAnsi="Times New Roman"/>
          <w:b/>
          <w:noProof/>
          <w:sz w:val="24"/>
        </w:rPr>
        <w:t>figure </w:t>
      </w:r>
      <w:r w:rsidRPr="00C316A8">
        <w:rPr>
          <w:rFonts w:ascii="Times New Roman" w:hAnsi="Times New Roman"/>
          <w:b/>
          <w:noProof/>
          <w:sz w:val="24"/>
        </w:rPr>
        <w:t>3</w:t>
      </w:r>
      <w:r>
        <w:rPr>
          <w:rFonts w:ascii="Times New Roman" w:hAnsi="Times New Roman"/>
          <w:noProof/>
          <w:sz w:val="24"/>
        </w:rPr>
        <w:t xml:space="preserve">). Les États-Unis ont été le premier investisseur étranger en </w:t>
      </w:r>
      <w:r w:rsidRPr="00C316A8">
        <w:rPr>
          <w:rFonts w:ascii="Times New Roman" w:hAnsi="Times New Roman"/>
          <w:noProof/>
          <w:sz w:val="24"/>
        </w:rPr>
        <w:t>2021</w:t>
      </w:r>
      <w:r>
        <w:rPr>
          <w:rFonts w:ascii="Times New Roman" w:hAnsi="Times New Roman"/>
          <w:noProof/>
          <w:sz w:val="24"/>
        </w:rPr>
        <w:t xml:space="preserve">, prenant à leur compte </w:t>
      </w:r>
      <w:r w:rsidRPr="00C316A8">
        <w:rPr>
          <w:rFonts w:ascii="Times New Roman" w:hAnsi="Times New Roman"/>
          <w:noProof/>
          <w:sz w:val="24"/>
        </w:rPr>
        <w:t>32</w:t>
      </w:r>
      <w:r>
        <w:rPr>
          <w:rFonts w:ascii="Times New Roman" w:hAnsi="Times New Roman"/>
          <w:noProof/>
          <w:sz w:val="24"/>
        </w:rPr>
        <w:t>,</w:t>
      </w:r>
      <w:r w:rsidRPr="00C316A8">
        <w:rPr>
          <w:rFonts w:ascii="Times New Roman" w:hAnsi="Times New Roman"/>
          <w:noProof/>
          <w:sz w:val="24"/>
        </w:rPr>
        <w:t>3</w:t>
      </w:r>
      <w:r>
        <w:rPr>
          <w:rFonts w:ascii="Times New Roman" w:hAnsi="Times New Roman"/>
          <w:noProof/>
          <w:sz w:val="24"/>
        </w:rPr>
        <w:t xml:space="preserve"> % de l’ensemble des acquisitions et </w:t>
      </w:r>
      <w:r w:rsidRPr="00C316A8">
        <w:rPr>
          <w:rFonts w:ascii="Times New Roman" w:hAnsi="Times New Roman"/>
          <w:noProof/>
          <w:sz w:val="24"/>
        </w:rPr>
        <w:t>39</w:t>
      </w:r>
      <w:r>
        <w:rPr>
          <w:rFonts w:ascii="Times New Roman" w:hAnsi="Times New Roman"/>
          <w:noProof/>
          <w:sz w:val="24"/>
        </w:rPr>
        <w:t>,</w:t>
      </w:r>
      <w:r w:rsidRPr="00C316A8">
        <w:rPr>
          <w:rFonts w:ascii="Times New Roman" w:hAnsi="Times New Roman"/>
          <w:noProof/>
          <w:sz w:val="24"/>
        </w:rPr>
        <w:t>4</w:t>
      </w:r>
      <w:r>
        <w:rPr>
          <w:rFonts w:ascii="Times New Roman" w:hAnsi="Times New Roman"/>
          <w:noProof/>
          <w:sz w:val="24"/>
        </w:rPr>
        <w:t xml:space="preserve"> % des investissements de création, suivis par le Royaume-Uni avec respectivement </w:t>
      </w:r>
      <w:r w:rsidRPr="00C316A8">
        <w:rPr>
          <w:rFonts w:ascii="Times New Roman" w:hAnsi="Times New Roman"/>
          <w:noProof/>
          <w:sz w:val="24"/>
        </w:rPr>
        <w:t>25</w:t>
      </w:r>
      <w:r>
        <w:rPr>
          <w:rFonts w:ascii="Times New Roman" w:hAnsi="Times New Roman"/>
          <w:noProof/>
          <w:sz w:val="24"/>
        </w:rPr>
        <w:t>,</w:t>
      </w:r>
      <w:r w:rsidRPr="00C316A8">
        <w:rPr>
          <w:rFonts w:ascii="Times New Roman" w:hAnsi="Times New Roman"/>
          <w:noProof/>
          <w:sz w:val="24"/>
        </w:rPr>
        <w:t>6</w:t>
      </w:r>
      <w:r>
        <w:rPr>
          <w:rFonts w:ascii="Times New Roman" w:hAnsi="Times New Roman"/>
          <w:noProof/>
          <w:sz w:val="24"/>
        </w:rPr>
        <w:t xml:space="preserve"> % et </w:t>
      </w:r>
      <w:r w:rsidRPr="00C316A8">
        <w:rPr>
          <w:rFonts w:ascii="Times New Roman" w:hAnsi="Times New Roman"/>
          <w:noProof/>
          <w:sz w:val="24"/>
        </w:rPr>
        <w:t>20</w:t>
      </w:r>
      <w:r>
        <w:rPr>
          <w:rFonts w:ascii="Times New Roman" w:hAnsi="Times New Roman"/>
          <w:noProof/>
          <w:sz w:val="24"/>
        </w:rPr>
        <w:t>,</w:t>
      </w:r>
      <w:r w:rsidRPr="00C316A8">
        <w:rPr>
          <w:rFonts w:ascii="Times New Roman" w:hAnsi="Times New Roman"/>
          <w:noProof/>
          <w:sz w:val="24"/>
        </w:rPr>
        <w:t>9</w:t>
      </w:r>
      <w:r>
        <w:rPr>
          <w:rFonts w:ascii="Times New Roman" w:hAnsi="Times New Roman"/>
          <w:noProof/>
          <w:sz w:val="24"/>
        </w:rPr>
        <w:t xml:space="preserve"> %. Les exceptions notables sont la Chine et le Japon, qui restent tous deux à des niveaux inférieurs à ceux de </w:t>
      </w:r>
      <w:r w:rsidRPr="00C316A8">
        <w:rPr>
          <w:rFonts w:ascii="Times New Roman" w:hAnsi="Times New Roman"/>
          <w:noProof/>
          <w:sz w:val="24"/>
        </w:rPr>
        <w:t>2020</w:t>
      </w:r>
      <w:r>
        <w:rPr>
          <w:rFonts w:ascii="Times New Roman" w:hAnsi="Times New Roman"/>
          <w:noProof/>
          <w:sz w:val="24"/>
        </w:rPr>
        <w:t xml:space="preserve">. La Chine, en particulier, avec </w:t>
      </w:r>
      <w:r w:rsidRPr="00C316A8">
        <w:rPr>
          <w:rFonts w:ascii="Times New Roman" w:hAnsi="Times New Roman"/>
          <w:noProof/>
          <w:sz w:val="24"/>
        </w:rPr>
        <w:t>2</w:t>
      </w:r>
      <w:r>
        <w:rPr>
          <w:rFonts w:ascii="Times New Roman" w:hAnsi="Times New Roman"/>
          <w:noProof/>
          <w:sz w:val="24"/>
        </w:rPr>
        <w:t>,</w:t>
      </w:r>
      <w:r w:rsidRPr="00C316A8">
        <w:rPr>
          <w:rFonts w:ascii="Times New Roman" w:hAnsi="Times New Roman"/>
          <w:noProof/>
          <w:sz w:val="24"/>
        </w:rPr>
        <w:t>3</w:t>
      </w:r>
      <w:r>
        <w:rPr>
          <w:rFonts w:ascii="Times New Roman" w:hAnsi="Times New Roman"/>
          <w:noProof/>
          <w:sz w:val="24"/>
        </w:rPr>
        <w:t xml:space="preserve"> % de l’ensemble des acquisitions étrangères en </w:t>
      </w:r>
      <w:r w:rsidRPr="00C316A8">
        <w:rPr>
          <w:rFonts w:ascii="Times New Roman" w:hAnsi="Times New Roman"/>
          <w:noProof/>
          <w:sz w:val="24"/>
        </w:rPr>
        <w:t>2021</w:t>
      </w:r>
      <w:r>
        <w:rPr>
          <w:rFonts w:ascii="Times New Roman" w:hAnsi="Times New Roman"/>
          <w:noProof/>
          <w:sz w:val="24"/>
        </w:rPr>
        <w:t xml:space="preserve"> (contre </w:t>
      </w:r>
      <w:r w:rsidRPr="00C316A8">
        <w:rPr>
          <w:rFonts w:ascii="Times New Roman" w:hAnsi="Times New Roman"/>
          <w:noProof/>
          <w:sz w:val="24"/>
        </w:rPr>
        <w:t>3</w:t>
      </w:r>
      <w:r>
        <w:rPr>
          <w:rFonts w:ascii="Times New Roman" w:hAnsi="Times New Roman"/>
          <w:noProof/>
          <w:sz w:val="24"/>
        </w:rPr>
        <w:t>,</w:t>
      </w:r>
      <w:r w:rsidRPr="00C316A8">
        <w:rPr>
          <w:rFonts w:ascii="Times New Roman" w:hAnsi="Times New Roman"/>
          <w:noProof/>
          <w:sz w:val="24"/>
        </w:rPr>
        <w:t>4</w:t>
      </w:r>
      <w:r>
        <w:rPr>
          <w:rFonts w:ascii="Times New Roman" w:hAnsi="Times New Roman"/>
          <w:noProof/>
          <w:sz w:val="24"/>
        </w:rPr>
        <w:t xml:space="preserve"> % en </w:t>
      </w:r>
      <w:r w:rsidRPr="00C316A8">
        <w:rPr>
          <w:rFonts w:ascii="Times New Roman" w:hAnsi="Times New Roman"/>
          <w:noProof/>
          <w:sz w:val="24"/>
        </w:rPr>
        <w:t>2020</w:t>
      </w:r>
      <w:r>
        <w:rPr>
          <w:rFonts w:ascii="Times New Roman" w:hAnsi="Times New Roman"/>
          <w:noProof/>
          <w:sz w:val="24"/>
        </w:rPr>
        <w:t xml:space="preserve">) et </w:t>
      </w:r>
      <w:r w:rsidRPr="00C316A8">
        <w:rPr>
          <w:rFonts w:ascii="Times New Roman" w:hAnsi="Times New Roman"/>
          <w:noProof/>
          <w:sz w:val="24"/>
        </w:rPr>
        <w:t>6</w:t>
      </w:r>
      <w:r>
        <w:rPr>
          <w:rFonts w:ascii="Times New Roman" w:hAnsi="Times New Roman"/>
          <w:noProof/>
          <w:sz w:val="24"/>
        </w:rPr>
        <w:t xml:space="preserve"> % des investissements de création (contre </w:t>
      </w:r>
      <w:r w:rsidRPr="00C316A8">
        <w:rPr>
          <w:rFonts w:ascii="Times New Roman" w:hAnsi="Times New Roman"/>
          <w:noProof/>
          <w:sz w:val="24"/>
        </w:rPr>
        <w:t>7</w:t>
      </w:r>
      <w:r>
        <w:rPr>
          <w:rFonts w:ascii="Times New Roman" w:hAnsi="Times New Roman"/>
          <w:noProof/>
          <w:sz w:val="24"/>
        </w:rPr>
        <w:t>,</w:t>
      </w:r>
      <w:r w:rsidRPr="00C316A8">
        <w:rPr>
          <w:rFonts w:ascii="Times New Roman" w:hAnsi="Times New Roman"/>
          <w:noProof/>
          <w:sz w:val="24"/>
        </w:rPr>
        <w:t>1</w:t>
      </w:r>
      <w:r>
        <w:rPr>
          <w:rFonts w:ascii="Times New Roman" w:hAnsi="Times New Roman"/>
          <w:noProof/>
          <w:sz w:val="24"/>
        </w:rPr>
        <w:t xml:space="preserve"> % en </w:t>
      </w:r>
      <w:r w:rsidRPr="00C316A8">
        <w:rPr>
          <w:rFonts w:ascii="Times New Roman" w:hAnsi="Times New Roman"/>
          <w:noProof/>
          <w:sz w:val="24"/>
        </w:rPr>
        <w:t>2020</w:t>
      </w:r>
      <w:r>
        <w:rPr>
          <w:rFonts w:ascii="Times New Roman" w:hAnsi="Times New Roman"/>
          <w:noProof/>
          <w:sz w:val="24"/>
        </w:rPr>
        <w:t xml:space="preserve">), n’a pas réussi à faire «décoller» ses opérations, en dépit de l’annonce de plusieurs grandes fusions-acquisitions et d’importants investissements de création, qui ont fait passer la valeur des investissements chinois à </w:t>
      </w:r>
      <w:r w:rsidRPr="00C316A8">
        <w:rPr>
          <w:rFonts w:ascii="Times New Roman" w:hAnsi="Times New Roman"/>
          <w:noProof/>
          <w:sz w:val="24"/>
        </w:rPr>
        <w:t>9</w:t>
      </w:r>
      <w:r>
        <w:rPr>
          <w:rFonts w:ascii="Times New Roman" w:hAnsi="Times New Roman"/>
          <w:noProof/>
          <w:sz w:val="24"/>
        </w:rPr>
        <w:t xml:space="preserve"> milliards d’EUR en </w:t>
      </w:r>
      <w:r w:rsidRPr="00C316A8">
        <w:rPr>
          <w:rFonts w:ascii="Times New Roman" w:hAnsi="Times New Roman"/>
          <w:noProof/>
          <w:sz w:val="24"/>
        </w:rPr>
        <w:t>2021</w:t>
      </w:r>
      <w:r>
        <w:rPr>
          <w:rFonts w:ascii="Times New Roman" w:hAnsi="Times New Roman"/>
          <w:noProof/>
          <w:sz w:val="24"/>
        </w:rPr>
        <w:t xml:space="preserve"> (contre </w:t>
      </w:r>
      <w:r w:rsidRPr="00C316A8">
        <w:rPr>
          <w:rFonts w:ascii="Times New Roman" w:hAnsi="Times New Roman"/>
          <w:noProof/>
          <w:sz w:val="24"/>
        </w:rPr>
        <w:t>6</w:t>
      </w:r>
      <w:r>
        <w:rPr>
          <w:rFonts w:ascii="Times New Roman" w:hAnsi="Times New Roman"/>
          <w:noProof/>
          <w:sz w:val="24"/>
        </w:rPr>
        <w:t>,</w:t>
      </w:r>
      <w:r w:rsidRPr="00C316A8">
        <w:rPr>
          <w:rFonts w:ascii="Times New Roman" w:hAnsi="Times New Roman"/>
          <w:noProof/>
          <w:sz w:val="24"/>
        </w:rPr>
        <w:t>5</w:t>
      </w:r>
      <w:r>
        <w:rPr>
          <w:rFonts w:ascii="Times New Roman" w:hAnsi="Times New Roman"/>
          <w:noProof/>
          <w:sz w:val="24"/>
        </w:rPr>
        <w:t xml:space="preserve"> milliards d’EUR en </w:t>
      </w:r>
      <w:r w:rsidRPr="00C316A8">
        <w:rPr>
          <w:rFonts w:ascii="Times New Roman" w:hAnsi="Times New Roman"/>
          <w:noProof/>
          <w:sz w:val="24"/>
        </w:rPr>
        <w:t>2020</w:t>
      </w:r>
      <w:r>
        <w:rPr>
          <w:rFonts w:ascii="Times New Roman" w:hAnsi="Times New Roman"/>
          <w:noProof/>
          <w:sz w:val="24"/>
        </w:rPr>
        <w:t>).</w:t>
      </w:r>
    </w:p>
    <w:p w14:paraId="42899D29" w14:textId="677A2B18" w:rsidR="00CF76DC" w:rsidRDefault="00CF76DC">
      <w:pPr>
        <w:rPr>
          <w:rFonts w:ascii="Times New Roman" w:hAnsi="Times New Roman" w:cs="Times New Roman"/>
          <w:noProof/>
          <w:sz w:val="24"/>
          <w:szCs w:val="24"/>
        </w:rPr>
      </w:pPr>
    </w:p>
    <w:p w14:paraId="345F1659" w14:textId="7223465A" w:rsidR="004641DD" w:rsidRDefault="004641DD" w:rsidP="00CF76DC">
      <w:pPr>
        <w:spacing w:before="240" w:line="240" w:lineRule="auto"/>
        <w:jc w:val="both"/>
        <w:rPr>
          <w:rFonts w:ascii="Times New Roman" w:hAnsi="Times New Roman"/>
          <w:noProof/>
          <w:sz w:val="24"/>
        </w:rPr>
      </w:pPr>
      <w:r>
        <w:rPr>
          <w:rFonts w:ascii="Times New Roman" w:hAnsi="Times New Roman"/>
          <w:noProof/>
          <w:sz w:val="24"/>
        </w:rPr>
        <w:t xml:space="preserve">Les contrôles stricts des capitaux chinois et la concentration des activités d’investissement dans les principaux secteurs industriels ont eu une incidence négative sur les transactions chinoises en </w:t>
      </w:r>
      <w:r w:rsidRPr="00C316A8">
        <w:rPr>
          <w:rFonts w:ascii="Times New Roman" w:hAnsi="Times New Roman"/>
          <w:noProof/>
          <w:sz w:val="24"/>
        </w:rPr>
        <w:t>2021</w:t>
      </w:r>
      <w:r>
        <w:rPr>
          <w:noProof/>
          <w:vertAlign w:val="superscript"/>
        </w:rPr>
        <w:footnoteReference w:id="6"/>
      </w:r>
      <w:r>
        <w:rPr>
          <w:rFonts w:ascii="Times New Roman" w:hAnsi="Times New Roman"/>
          <w:noProof/>
          <w:sz w:val="24"/>
        </w:rPr>
        <w:t xml:space="preserve">. Alors qu’en </w:t>
      </w:r>
      <w:r w:rsidRPr="00C316A8">
        <w:rPr>
          <w:rFonts w:ascii="Times New Roman" w:hAnsi="Times New Roman"/>
          <w:noProof/>
          <w:sz w:val="24"/>
        </w:rPr>
        <w:t>2021</w:t>
      </w:r>
      <w:r>
        <w:rPr>
          <w:rFonts w:ascii="Times New Roman" w:hAnsi="Times New Roman"/>
          <w:noProof/>
          <w:sz w:val="24"/>
        </w:rPr>
        <w:t>, la plupart des juridictions ont renoué avec les niveaux d’acquisition de participations au capital antérieurs à la COVID-</w:t>
      </w:r>
      <w:r w:rsidRPr="00C316A8">
        <w:rPr>
          <w:rFonts w:ascii="Times New Roman" w:hAnsi="Times New Roman"/>
          <w:noProof/>
          <w:sz w:val="24"/>
        </w:rPr>
        <w:t>19</w:t>
      </w:r>
      <w:r>
        <w:rPr>
          <w:rFonts w:ascii="Times New Roman" w:hAnsi="Times New Roman"/>
          <w:noProof/>
          <w:sz w:val="24"/>
        </w:rPr>
        <w:t xml:space="preserve"> et que certaines d’entre elles ont même progressé par rapport aux niveaux de </w:t>
      </w:r>
      <w:r w:rsidRPr="00C316A8">
        <w:rPr>
          <w:rFonts w:ascii="Times New Roman" w:hAnsi="Times New Roman"/>
          <w:noProof/>
          <w:sz w:val="24"/>
        </w:rPr>
        <w:t>2019</w:t>
      </w:r>
      <w:r>
        <w:rPr>
          <w:rStyle w:val="FootnoteReference"/>
          <w:rFonts w:ascii="Times New Roman" w:hAnsi="Times New Roman" w:cs="Times New Roman"/>
          <w:noProof/>
          <w:sz w:val="24"/>
          <w:szCs w:val="24"/>
          <w:lang w:val="en-US"/>
        </w:rPr>
        <w:footnoteReference w:id="7"/>
      </w:r>
      <w:r>
        <w:rPr>
          <w:rFonts w:ascii="Times New Roman" w:hAnsi="Times New Roman"/>
          <w:noProof/>
          <w:sz w:val="24"/>
        </w:rPr>
        <w:t xml:space="preserve">, les projets d’investissements de création n’ont pas recouvré les niveaux de </w:t>
      </w:r>
      <w:r w:rsidRPr="00C316A8">
        <w:rPr>
          <w:rFonts w:ascii="Times New Roman" w:hAnsi="Times New Roman"/>
          <w:noProof/>
          <w:sz w:val="24"/>
        </w:rPr>
        <w:t>2019</w:t>
      </w:r>
      <w:r>
        <w:rPr>
          <w:rFonts w:ascii="Times New Roman" w:hAnsi="Times New Roman"/>
          <w:noProof/>
          <w:sz w:val="24"/>
        </w:rPr>
        <w:t>. La seule exception ici concerne les centres offshore</w:t>
      </w:r>
      <w:r>
        <w:rPr>
          <w:rStyle w:val="FootnoteReference"/>
          <w:rFonts w:ascii="Times New Roman" w:hAnsi="Times New Roman" w:cs="Times New Roman"/>
          <w:noProof/>
          <w:sz w:val="24"/>
          <w:szCs w:val="24"/>
          <w:lang w:val="en-US"/>
        </w:rPr>
        <w:footnoteReference w:id="8"/>
      </w:r>
      <w:r>
        <w:rPr>
          <w:rFonts w:ascii="Times New Roman" w:hAnsi="Times New Roman"/>
          <w:noProof/>
          <w:sz w:val="24"/>
        </w:rPr>
        <w:t xml:space="preserve"> (avec </w:t>
      </w:r>
      <w:r w:rsidRPr="00C316A8">
        <w:rPr>
          <w:rFonts w:ascii="Times New Roman" w:hAnsi="Times New Roman"/>
          <w:noProof/>
          <w:sz w:val="24"/>
        </w:rPr>
        <w:t>133</w:t>
      </w:r>
      <w:r>
        <w:rPr>
          <w:rFonts w:ascii="Times New Roman" w:hAnsi="Times New Roman"/>
          <w:noProof/>
          <w:sz w:val="24"/>
        </w:rPr>
        <w:t xml:space="preserve"> projets en </w:t>
      </w:r>
      <w:r w:rsidRPr="00C316A8">
        <w:rPr>
          <w:rFonts w:ascii="Times New Roman" w:hAnsi="Times New Roman"/>
          <w:noProof/>
          <w:sz w:val="24"/>
        </w:rPr>
        <w:t>2021</w:t>
      </w:r>
      <w:r>
        <w:rPr>
          <w:rFonts w:ascii="Times New Roman" w:hAnsi="Times New Roman"/>
          <w:noProof/>
          <w:sz w:val="24"/>
        </w:rPr>
        <w:t xml:space="preserve"> contre </w:t>
      </w:r>
      <w:r w:rsidRPr="00C316A8">
        <w:rPr>
          <w:rFonts w:ascii="Times New Roman" w:hAnsi="Times New Roman"/>
          <w:noProof/>
          <w:sz w:val="24"/>
        </w:rPr>
        <w:t>106</w:t>
      </w:r>
      <w:r>
        <w:rPr>
          <w:rFonts w:ascii="Times New Roman" w:hAnsi="Times New Roman"/>
          <w:noProof/>
          <w:sz w:val="24"/>
        </w:rPr>
        <w:t xml:space="preserve"> en </w:t>
      </w:r>
      <w:r w:rsidRPr="00C316A8">
        <w:rPr>
          <w:rFonts w:ascii="Times New Roman" w:hAnsi="Times New Roman"/>
          <w:noProof/>
          <w:sz w:val="24"/>
        </w:rPr>
        <w:t>2019</w:t>
      </w:r>
      <w:r>
        <w:rPr>
          <w:rFonts w:ascii="Times New Roman" w:hAnsi="Times New Roman"/>
          <w:noProof/>
          <w:sz w:val="24"/>
        </w:rPr>
        <w:t>) et la Russie</w:t>
      </w:r>
      <w:r>
        <w:rPr>
          <w:rStyle w:val="FootnoteReference"/>
          <w:rFonts w:ascii="Times New Roman" w:hAnsi="Times New Roman" w:cs="Times New Roman"/>
          <w:noProof/>
          <w:sz w:val="24"/>
          <w:szCs w:val="24"/>
          <w:lang w:val="en-US"/>
        </w:rPr>
        <w:footnoteReference w:id="9"/>
      </w:r>
      <w:r>
        <w:rPr>
          <w:rFonts w:ascii="Times New Roman" w:hAnsi="Times New Roman"/>
          <w:noProof/>
          <w:sz w:val="24"/>
        </w:rPr>
        <w:t xml:space="preserve"> (avec </w:t>
      </w:r>
      <w:r w:rsidRPr="00C316A8">
        <w:rPr>
          <w:rFonts w:ascii="Times New Roman" w:hAnsi="Times New Roman"/>
          <w:noProof/>
          <w:sz w:val="24"/>
        </w:rPr>
        <w:t>46</w:t>
      </w:r>
      <w:r>
        <w:rPr>
          <w:rFonts w:ascii="Times New Roman" w:hAnsi="Times New Roman"/>
          <w:noProof/>
          <w:sz w:val="24"/>
        </w:rPr>
        <w:t xml:space="preserve"> projets en </w:t>
      </w:r>
      <w:r w:rsidRPr="00C316A8">
        <w:rPr>
          <w:rFonts w:ascii="Times New Roman" w:hAnsi="Times New Roman"/>
          <w:noProof/>
          <w:sz w:val="24"/>
        </w:rPr>
        <w:t>2021</w:t>
      </w:r>
      <w:r>
        <w:rPr>
          <w:rFonts w:ascii="Times New Roman" w:hAnsi="Times New Roman"/>
          <w:noProof/>
          <w:sz w:val="24"/>
        </w:rPr>
        <w:t xml:space="preserve"> contre </w:t>
      </w:r>
      <w:r w:rsidRPr="00C316A8">
        <w:rPr>
          <w:rFonts w:ascii="Times New Roman" w:hAnsi="Times New Roman"/>
          <w:noProof/>
          <w:sz w:val="24"/>
        </w:rPr>
        <w:t>20</w:t>
      </w:r>
      <w:r>
        <w:rPr>
          <w:rFonts w:ascii="Times New Roman" w:hAnsi="Times New Roman"/>
          <w:noProof/>
          <w:sz w:val="24"/>
        </w:rPr>
        <w:t xml:space="preserve"> en </w:t>
      </w:r>
      <w:r w:rsidRPr="00C316A8">
        <w:rPr>
          <w:rFonts w:ascii="Times New Roman" w:hAnsi="Times New Roman"/>
          <w:noProof/>
          <w:sz w:val="24"/>
        </w:rPr>
        <w:t>2019</w:t>
      </w:r>
      <w:r>
        <w:rPr>
          <w:rFonts w:ascii="Times New Roman" w:hAnsi="Times New Roman"/>
          <w:noProof/>
          <w:sz w:val="24"/>
        </w:rPr>
        <w:t>).</w:t>
      </w:r>
    </w:p>
    <w:p w14:paraId="0DE63573" w14:textId="77777777" w:rsidR="00E95A48" w:rsidRDefault="00E95A48" w:rsidP="00E95A48">
      <w:pPr>
        <w:pStyle w:val="Caption"/>
        <w:keepNext/>
        <w:jc w:val="center"/>
        <w:rPr>
          <w:rFonts w:ascii="Times New Roman" w:hAnsi="Times New Roman" w:cs="Times New Roman"/>
          <w:noProof/>
          <w:color w:val="auto"/>
          <w:sz w:val="24"/>
          <w:szCs w:val="24"/>
        </w:rPr>
      </w:pPr>
      <w:r>
        <w:rPr>
          <w:rFonts w:ascii="Times New Roman" w:hAnsi="Times New Roman"/>
          <w:noProof/>
          <w:color w:val="auto"/>
          <w:sz w:val="24"/>
        </w:rPr>
        <w:t xml:space="preserve">Figure </w:t>
      </w:r>
      <w:r>
        <w:rPr>
          <w:noProof/>
        </w:rPr>
        <w:fldChar w:fldCharType="begin"/>
      </w:r>
      <w:r>
        <w:rPr>
          <w:rFonts w:ascii="Times New Roman" w:hAnsi="Times New Roman" w:cs="Times New Roman"/>
          <w:noProof/>
          <w:color w:val="auto"/>
          <w:sz w:val="24"/>
        </w:rPr>
        <w:instrText xml:space="preserve"> SEQ Figure \* ARABIC </w:instrText>
      </w:r>
      <w:r>
        <w:rPr>
          <w:noProof/>
        </w:rPr>
        <w:fldChar w:fldCharType="separate"/>
      </w:r>
      <w:r w:rsidRPr="00C316A8">
        <w:rPr>
          <w:rFonts w:ascii="Times New Roman" w:hAnsi="Times New Roman" w:cs="Times New Roman"/>
          <w:noProof/>
          <w:color w:val="auto"/>
          <w:sz w:val="24"/>
        </w:rPr>
        <w:t>3</w:t>
      </w:r>
      <w:r>
        <w:rPr>
          <w:noProof/>
        </w:rPr>
        <w:fldChar w:fldCharType="end"/>
      </w:r>
      <w:r>
        <w:rPr>
          <w:rFonts w:ascii="Times New Roman" w:hAnsi="Times New Roman"/>
          <w:noProof/>
          <w:color w:val="auto"/>
          <w:sz w:val="24"/>
        </w:rPr>
        <w:t>: Nombre d’acquisitions de participations au capital* (à gauche) et investissements de création (à droite) en </w:t>
      </w:r>
      <w:r w:rsidRPr="00C316A8">
        <w:rPr>
          <w:rFonts w:ascii="Times New Roman" w:hAnsi="Times New Roman"/>
          <w:noProof/>
          <w:color w:val="auto"/>
          <w:sz w:val="24"/>
        </w:rPr>
        <w:t>2021</w:t>
      </w:r>
      <w:r>
        <w:rPr>
          <w:rFonts w:ascii="Times New Roman" w:hAnsi="Times New Roman"/>
          <w:noProof/>
          <w:color w:val="auto"/>
          <w:sz w:val="24"/>
        </w:rPr>
        <w:t xml:space="preserve"> et </w:t>
      </w:r>
      <w:r w:rsidRPr="00C316A8">
        <w:rPr>
          <w:rFonts w:ascii="Times New Roman" w:hAnsi="Times New Roman"/>
          <w:noProof/>
          <w:color w:val="auto"/>
          <w:sz w:val="24"/>
        </w:rPr>
        <w:t>2020</w:t>
      </w:r>
      <w:r>
        <w:rPr>
          <w:rFonts w:ascii="Times New Roman" w:hAnsi="Times New Roman"/>
          <w:noProof/>
          <w:color w:val="auto"/>
          <w:sz w:val="24"/>
        </w:rPr>
        <w:t xml:space="preserve"> — Détails par juridiction étrangère (dix principaux investisseurs)</w:t>
      </w:r>
    </w:p>
    <w:p w14:paraId="4E4ED804" w14:textId="77777777" w:rsidR="00E95A48" w:rsidRDefault="00E95A48" w:rsidP="00CF76DC">
      <w:pPr>
        <w:spacing w:before="240" w:line="240" w:lineRule="auto"/>
        <w:jc w:val="both"/>
        <w:rPr>
          <w:rFonts w:ascii="Times New Roman" w:hAnsi="Times New Roman" w:cs="Times New Roman"/>
          <w:noProof/>
          <w:sz w:val="24"/>
          <w:szCs w:val="24"/>
        </w:rPr>
      </w:pPr>
    </w:p>
    <w:p w14:paraId="3EE926C1" w14:textId="75EFDC8A" w:rsidR="004641DD" w:rsidRDefault="002B2E5C" w:rsidP="00CF76DC">
      <w:pPr>
        <w:pStyle w:val="Caption"/>
        <w:keepNext/>
        <w:jc w:val="center"/>
        <w:rPr>
          <w:rFonts w:ascii="Times New Roman" w:hAnsi="Times New Roman" w:cs="Times New Roman"/>
          <w:noProof/>
          <w:color w:val="auto"/>
          <w:sz w:val="24"/>
          <w:szCs w:val="24"/>
        </w:rPr>
      </w:pPr>
      <w:bookmarkStart w:id="4" w:name="_Ref98166040"/>
      <w:bookmarkEnd w:id="3"/>
      <w:r>
        <w:rPr>
          <w:noProof/>
          <w:lang w:val="en-GB" w:eastAsia="en-GB"/>
        </w:rPr>
        <w:drawing>
          <wp:inline distT="0" distB="0" distL="0" distR="0" wp14:anchorId="00290DB8" wp14:editId="6A00FBDC">
            <wp:extent cx="2726938" cy="172006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726938" cy="1720069"/>
                    </a:xfrm>
                    <a:prstGeom prst="rect">
                      <a:avLst/>
                    </a:prstGeom>
                  </pic:spPr>
                </pic:pic>
              </a:graphicData>
            </a:graphic>
          </wp:inline>
        </w:drawing>
      </w:r>
      <w:r w:rsidR="00E95A48">
        <w:rPr>
          <w:noProof/>
          <w:lang w:val="en-GB" w:eastAsia="en-GB"/>
        </w:rPr>
        <w:drawing>
          <wp:inline distT="0" distB="0" distL="0" distR="0" wp14:anchorId="6C150D60" wp14:editId="06CFE40C">
            <wp:extent cx="2867221" cy="1693628"/>
            <wp:effectExtent l="0" t="0" r="9525"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867221" cy="1693628"/>
                    </a:xfrm>
                    <a:prstGeom prst="rect">
                      <a:avLst/>
                    </a:prstGeom>
                  </pic:spPr>
                </pic:pic>
              </a:graphicData>
            </a:graphic>
          </wp:inline>
        </w:drawing>
      </w:r>
      <w:bookmarkEnd w:id="4"/>
    </w:p>
    <w:p w14:paraId="39936B17" w14:textId="309758A8" w:rsidR="004641DD" w:rsidRDefault="004641DD" w:rsidP="00CF76DC">
      <w:pPr>
        <w:pStyle w:val="Caption"/>
        <w:jc w:val="both"/>
        <w:rPr>
          <w:rFonts w:ascii="Times New Roman" w:hAnsi="Times New Roman" w:cs="Times New Roman"/>
          <w:i w:val="0"/>
          <w:noProof/>
          <w:color w:val="auto"/>
          <w:sz w:val="16"/>
          <w:szCs w:val="16"/>
        </w:rPr>
      </w:pPr>
      <w:r>
        <w:rPr>
          <w:rFonts w:ascii="Times New Roman" w:hAnsi="Times New Roman"/>
          <w:i w:val="0"/>
          <w:noProof/>
          <w:color w:val="auto"/>
          <w:sz w:val="16"/>
        </w:rPr>
        <w:t xml:space="preserve">Source: calculs du JRC à partir des données du Bureau van Dijk extraites le </w:t>
      </w:r>
      <w:r w:rsidRPr="00C316A8">
        <w:rPr>
          <w:rFonts w:ascii="Times New Roman" w:hAnsi="Times New Roman"/>
          <w:i w:val="0"/>
          <w:noProof/>
          <w:color w:val="auto"/>
          <w:sz w:val="16"/>
        </w:rPr>
        <w:t>22</w:t>
      </w:r>
      <w:r>
        <w:rPr>
          <w:rFonts w:ascii="Times New Roman" w:hAnsi="Times New Roman"/>
          <w:i w:val="0"/>
          <w:noProof/>
          <w:color w:val="auto"/>
          <w:sz w:val="16"/>
        </w:rPr>
        <w:t xml:space="preserve"> février </w:t>
      </w:r>
      <w:r w:rsidRPr="00C316A8">
        <w:rPr>
          <w:rFonts w:ascii="Times New Roman" w:hAnsi="Times New Roman"/>
          <w:i w:val="0"/>
          <w:noProof/>
          <w:color w:val="auto"/>
          <w:sz w:val="16"/>
        </w:rPr>
        <w:t>2022</w:t>
      </w:r>
      <w:r>
        <w:rPr>
          <w:rFonts w:ascii="Times New Roman" w:hAnsi="Times New Roman"/>
          <w:i w:val="0"/>
          <w:noProof/>
          <w:color w:val="auto"/>
          <w:sz w:val="16"/>
        </w:rPr>
        <w:t>. Offshore: centres financiers offshore</w:t>
      </w:r>
      <w:r>
        <w:rPr>
          <w:rStyle w:val="FootnoteReference"/>
          <w:rFonts w:ascii="Times New Roman" w:hAnsi="Times New Roman" w:cs="Times New Roman"/>
          <w:noProof/>
          <w:sz w:val="16"/>
          <w:szCs w:val="16"/>
        </w:rPr>
        <w:footnoteReference w:id="10"/>
      </w:r>
      <w:r>
        <w:rPr>
          <w:rFonts w:ascii="Times New Roman" w:hAnsi="Times New Roman"/>
          <w:i w:val="0"/>
          <w:noProof/>
          <w:color w:val="auto"/>
          <w:sz w:val="16"/>
        </w:rPr>
        <w:t xml:space="preserve"> RdM: reste du monde (*) Les acquisitions de participations supérieures à </w:t>
      </w:r>
      <w:r w:rsidRPr="00C316A8">
        <w:rPr>
          <w:rFonts w:ascii="Times New Roman" w:hAnsi="Times New Roman"/>
          <w:i w:val="0"/>
          <w:noProof/>
          <w:color w:val="auto"/>
          <w:sz w:val="16"/>
        </w:rPr>
        <w:t>10</w:t>
      </w:r>
      <w:r>
        <w:rPr>
          <w:rFonts w:ascii="Times New Roman" w:hAnsi="Times New Roman"/>
          <w:i w:val="0"/>
          <w:noProof/>
          <w:color w:val="auto"/>
          <w:sz w:val="16"/>
        </w:rPr>
        <w:t> % du capital d’entreprises de l’UE.</w:t>
      </w:r>
    </w:p>
    <w:p w14:paraId="67802400" w14:textId="05CBA381" w:rsidR="004641DD" w:rsidRDefault="00C400C4" w:rsidP="00C400C4">
      <w:pPr>
        <w:spacing w:line="240" w:lineRule="auto"/>
        <w:jc w:val="both"/>
        <w:rPr>
          <w:rFonts w:ascii="Times New Roman" w:hAnsi="Times New Roman" w:cs="Times New Roman"/>
          <w:noProof/>
          <w:sz w:val="24"/>
          <w:szCs w:val="24"/>
        </w:rPr>
      </w:pPr>
      <w:r>
        <w:rPr>
          <w:rFonts w:ascii="Times New Roman" w:hAnsi="Times New Roman"/>
          <w:noProof/>
          <w:sz w:val="24"/>
        </w:rPr>
        <w:t xml:space="preserve">En dépit des prévisions positives pour </w:t>
      </w:r>
      <w:r w:rsidRPr="00C316A8">
        <w:rPr>
          <w:rFonts w:ascii="Times New Roman" w:hAnsi="Times New Roman"/>
          <w:noProof/>
          <w:sz w:val="24"/>
        </w:rPr>
        <w:t>2022</w:t>
      </w:r>
      <w:r>
        <w:rPr>
          <w:rFonts w:ascii="Times New Roman" w:hAnsi="Times New Roman"/>
          <w:noProof/>
          <w:sz w:val="24"/>
        </w:rPr>
        <w:t xml:space="preserve"> des analystes, qui se fondent sur la supposition que le pire de la pandémie est passé, les espoirs s’estompent rapidement à cause du contexte économique rendu incertain par l’invasion non provoquée et injustifiée de l’Ukraine par la Russie. Les effets économiques de la forte augmentation du coût de l’énergie (qui se faisaient déjà sentir avant l’invasion) et des matières premières, ainsi que l’ampleur des répercussions économiques des perturbations de la chaîne d’approvisionnement, en particulier pour les matières premières critiques et les technologies critiques, et du ralentissement de l’activité et des échanges mondiaux, qui ne sont pas encore pleinement évalués, influenceront la dynamique des opérations dans l’UE, ce qui pourrait conduire à une révision à la baisse des attentes positives initiales pour </w:t>
      </w:r>
      <w:r w:rsidRPr="00C316A8">
        <w:rPr>
          <w:rFonts w:ascii="Times New Roman" w:hAnsi="Times New Roman"/>
          <w:noProof/>
          <w:sz w:val="24"/>
        </w:rPr>
        <w:t>2022</w:t>
      </w:r>
      <w:r>
        <w:rPr>
          <w:rFonts w:ascii="Times New Roman" w:hAnsi="Times New Roman"/>
          <w:noProof/>
          <w:sz w:val="24"/>
        </w:rPr>
        <w:t>.</w:t>
      </w:r>
    </w:p>
    <w:p w14:paraId="39F1FB40" w14:textId="77777777" w:rsidR="00CF76DC" w:rsidRDefault="00CF76DC">
      <w:pPr>
        <w:rPr>
          <w:rFonts w:ascii="Times New Roman" w:hAnsi="Times New Roman" w:cs="Times New Roman"/>
          <w:iCs/>
          <w:noProof/>
          <w:sz w:val="24"/>
          <w:szCs w:val="24"/>
        </w:rPr>
      </w:pPr>
      <w:r>
        <w:rPr>
          <w:noProof/>
        </w:rPr>
        <w:br w:type="page"/>
      </w:r>
    </w:p>
    <w:p w14:paraId="1340ABA2" w14:textId="77777777" w:rsidR="00BF1910" w:rsidRPr="00CF76DC" w:rsidRDefault="004641DD" w:rsidP="00CF76DC">
      <w:pPr>
        <w:pStyle w:val="Caption"/>
        <w:spacing w:after="240"/>
        <w:jc w:val="both"/>
        <w:rPr>
          <w:rFonts w:ascii="Times New Roman" w:hAnsi="Times New Roman" w:cs="Times New Roman"/>
          <w:i w:val="0"/>
          <w:noProof/>
          <w:color w:val="auto"/>
          <w:sz w:val="24"/>
          <w:szCs w:val="24"/>
        </w:rPr>
      </w:pPr>
      <w:r>
        <w:rPr>
          <w:rFonts w:ascii="Times New Roman" w:hAnsi="Times New Roman"/>
          <w:i w:val="0"/>
          <w:noProof/>
          <w:color w:val="auto"/>
          <w:sz w:val="24"/>
        </w:rPr>
        <w:t xml:space="preserve">Le nombre de transactions par pays cible de l’UE témoigne d’un rebond généralisé du nombre de transactions étrangères en </w:t>
      </w:r>
      <w:r w:rsidRPr="00C316A8">
        <w:rPr>
          <w:rFonts w:ascii="Times New Roman" w:hAnsi="Times New Roman"/>
          <w:i w:val="0"/>
          <w:noProof/>
          <w:color w:val="auto"/>
          <w:sz w:val="24"/>
        </w:rPr>
        <w:t>2021</w:t>
      </w:r>
      <w:r>
        <w:rPr>
          <w:rFonts w:ascii="Times New Roman" w:hAnsi="Times New Roman"/>
          <w:i w:val="0"/>
          <w:noProof/>
          <w:color w:val="auto"/>
          <w:sz w:val="24"/>
        </w:rPr>
        <w:t xml:space="preserve"> par rapport à </w:t>
      </w:r>
      <w:r w:rsidRPr="00C316A8">
        <w:rPr>
          <w:rFonts w:ascii="Times New Roman" w:hAnsi="Times New Roman"/>
          <w:i w:val="0"/>
          <w:noProof/>
          <w:color w:val="auto"/>
          <w:sz w:val="24"/>
        </w:rPr>
        <w:t>2020</w:t>
      </w:r>
      <w:r>
        <w:rPr>
          <w:rFonts w:ascii="Times New Roman" w:hAnsi="Times New Roman"/>
          <w:i w:val="0"/>
          <w:noProof/>
          <w:color w:val="auto"/>
          <w:sz w:val="24"/>
        </w:rPr>
        <w:t xml:space="preserve"> (</w:t>
      </w:r>
      <w:r>
        <w:rPr>
          <w:rFonts w:ascii="Times New Roman" w:hAnsi="Times New Roman" w:cs="Times New Roman"/>
          <w:i w:val="0"/>
          <w:noProof/>
          <w:color w:val="auto"/>
          <w:sz w:val="24"/>
        </w:rPr>
        <w:fldChar w:fldCharType="begin"/>
      </w:r>
      <w:r>
        <w:rPr>
          <w:rFonts w:ascii="Times New Roman" w:hAnsi="Times New Roman" w:cs="Times New Roman"/>
          <w:i w:val="0"/>
          <w:noProof/>
          <w:color w:val="auto"/>
          <w:sz w:val="24"/>
        </w:rPr>
        <w:instrText xml:space="preserve"> REF _Ref98166420  \* MERGEFORMAT </w:instrText>
      </w:r>
      <w:r>
        <w:rPr>
          <w:rFonts w:ascii="Times New Roman" w:hAnsi="Times New Roman" w:cs="Times New Roman"/>
          <w:i w:val="0"/>
          <w:noProof/>
          <w:color w:val="auto"/>
          <w:sz w:val="24"/>
        </w:rPr>
        <w:fldChar w:fldCharType="separate"/>
      </w:r>
      <w:r>
        <w:rPr>
          <w:rFonts w:ascii="Times New Roman" w:hAnsi="Times New Roman" w:cs="Times New Roman"/>
          <w:b/>
          <w:i w:val="0"/>
          <w:noProof/>
          <w:color w:val="auto"/>
          <w:sz w:val="24"/>
        </w:rPr>
        <w:t xml:space="preserve">Figure </w:t>
      </w:r>
      <w:r>
        <w:rPr>
          <w:rFonts w:ascii="Times New Roman" w:hAnsi="Times New Roman" w:cs="Times New Roman"/>
          <w:i w:val="0"/>
          <w:noProof/>
          <w:color w:val="auto"/>
          <w:sz w:val="24"/>
        </w:rPr>
        <w:fldChar w:fldCharType="end"/>
      </w:r>
      <w:r w:rsidRPr="00C316A8">
        <w:rPr>
          <w:rFonts w:ascii="Times New Roman" w:hAnsi="Times New Roman"/>
          <w:b/>
          <w:i w:val="0"/>
          <w:noProof/>
          <w:color w:val="auto"/>
          <w:sz w:val="24"/>
        </w:rPr>
        <w:t>4</w:t>
      </w:r>
      <w:r>
        <w:rPr>
          <w:rFonts w:ascii="Times New Roman" w:hAnsi="Times New Roman"/>
          <w:i w:val="0"/>
          <w:noProof/>
          <w:color w:val="auto"/>
          <w:sz w:val="24"/>
        </w:rPr>
        <w:t xml:space="preserve">). L’Allemagne, avec une part de </w:t>
      </w:r>
      <w:r w:rsidRPr="00C316A8">
        <w:rPr>
          <w:rFonts w:ascii="Times New Roman" w:hAnsi="Times New Roman"/>
          <w:i w:val="0"/>
          <w:noProof/>
          <w:color w:val="auto"/>
          <w:sz w:val="24"/>
        </w:rPr>
        <w:t>16</w:t>
      </w:r>
      <w:r>
        <w:rPr>
          <w:rFonts w:ascii="Times New Roman" w:hAnsi="Times New Roman"/>
          <w:i w:val="0"/>
          <w:noProof/>
          <w:color w:val="auto"/>
          <w:sz w:val="24"/>
        </w:rPr>
        <w:t>,</w:t>
      </w:r>
      <w:r w:rsidRPr="00C316A8">
        <w:rPr>
          <w:rFonts w:ascii="Times New Roman" w:hAnsi="Times New Roman"/>
          <w:i w:val="0"/>
          <w:noProof/>
          <w:color w:val="auto"/>
          <w:sz w:val="24"/>
        </w:rPr>
        <w:t>4</w:t>
      </w:r>
      <w:r>
        <w:rPr>
          <w:rFonts w:ascii="Times New Roman" w:hAnsi="Times New Roman"/>
          <w:i w:val="0"/>
          <w:noProof/>
          <w:color w:val="auto"/>
          <w:sz w:val="24"/>
        </w:rPr>
        <w:t xml:space="preserve"> % de toutes les acquisitions effectuées par des investisseurs étrangers, était la première destination en </w:t>
      </w:r>
      <w:r w:rsidRPr="00C316A8">
        <w:rPr>
          <w:rFonts w:ascii="Times New Roman" w:hAnsi="Times New Roman"/>
          <w:i w:val="0"/>
          <w:noProof/>
          <w:color w:val="auto"/>
          <w:sz w:val="24"/>
        </w:rPr>
        <w:t>2021</w:t>
      </w:r>
      <w:r>
        <w:rPr>
          <w:rFonts w:ascii="Times New Roman" w:hAnsi="Times New Roman"/>
          <w:i w:val="0"/>
          <w:noProof/>
          <w:color w:val="auto"/>
          <w:sz w:val="24"/>
        </w:rPr>
        <w:t xml:space="preserve"> et a enregistré une augmentation de </w:t>
      </w:r>
      <w:r w:rsidRPr="00C316A8">
        <w:rPr>
          <w:rFonts w:ascii="Times New Roman" w:hAnsi="Times New Roman"/>
          <w:i w:val="0"/>
          <w:noProof/>
          <w:color w:val="auto"/>
          <w:sz w:val="24"/>
        </w:rPr>
        <w:t>20</w:t>
      </w:r>
      <w:r>
        <w:rPr>
          <w:rFonts w:ascii="Times New Roman" w:hAnsi="Times New Roman"/>
          <w:i w:val="0"/>
          <w:noProof/>
          <w:color w:val="auto"/>
          <w:sz w:val="24"/>
        </w:rPr>
        <w:t xml:space="preserve"> % du nombre de transactions par rapport à </w:t>
      </w:r>
      <w:r w:rsidRPr="00C316A8">
        <w:rPr>
          <w:rFonts w:ascii="Times New Roman" w:hAnsi="Times New Roman"/>
          <w:i w:val="0"/>
          <w:noProof/>
          <w:color w:val="auto"/>
          <w:sz w:val="24"/>
        </w:rPr>
        <w:t>2020</w:t>
      </w:r>
      <w:r>
        <w:rPr>
          <w:rFonts w:ascii="Times New Roman" w:hAnsi="Times New Roman"/>
          <w:i w:val="0"/>
          <w:noProof/>
          <w:color w:val="auto"/>
          <w:sz w:val="24"/>
        </w:rPr>
        <w:t xml:space="preserve">. L’Espagne, la France et les Pays-Bas suivaient, avec une part des transactions étrangères de respectivement </w:t>
      </w:r>
      <w:r w:rsidRPr="00C316A8">
        <w:rPr>
          <w:rFonts w:ascii="Times New Roman" w:hAnsi="Times New Roman"/>
          <w:i w:val="0"/>
          <w:noProof/>
          <w:color w:val="auto"/>
          <w:sz w:val="24"/>
        </w:rPr>
        <w:t>13</w:t>
      </w:r>
      <w:r>
        <w:rPr>
          <w:rFonts w:ascii="Times New Roman" w:hAnsi="Times New Roman"/>
          <w:i w:val="0"/>
          <w:noProof/>
          <w:color w:val="auto"/>
          <w:sz w:val="24"/>
        </w:rPr>
        <w:t>,</w:t>
      </w:r>
      <w:r w:rsidRPr="00C316A8">
        <w:rPr>
          <w:rFonts w:ascii="Times New Roman" w:hAnsi="Times New Roman"/>
          <w:i w:val="0"/>
          <w:noProof/>
          <w:color w:val="auto"/>
          <w:sz w:val="24"/>
        </w:rPr>
        <w:t>8</w:t>
      </w:r>
      <w:r>
        <w:rPr>
          <w:rFonts w:ascii="Times New Roman" w:hAnsi="Times New Roman"/>
          <w:i w:val="0"/>
          <w:noProof/>
          <w:color w:val="auto"/>
          <w:sz w:val="24"/>
        </w:rPr>
        <w:t xml:space="preserve"> %, </w:t>
      </w:r>
      <w:r w:rsidRPr="00C316A8">
        <w:rPr>
          <w:rFonts w:ascii="Times New Roman" w:hAnsi="Times New Roman"/>
          <w:i w:val="0"/>
          <w:noProof/>
          <w:color w:val="auto"/>
          <w:sz w:val="24"/>
        </w:rPr>
        <w:t>10</w:t>
      </w:r>
      <w:r>
        <w:rPr>
          <w:rFonts w:ascii="Times New Roman" w:hAnsi="Times New Roman"/>
          <w:i w:val="0"/>
          <w:noProof/>
          <w:color w:val="auto"/>
          <w:sz w:val="24"/>
        </w:rPr>
        <w:t>,</w:t>
      </w:r>
      <w:r w:rsidRPr="00C316A8">
        <w:rPr>
          <w:rFonts w:ascii="Times New Roman" w:hAnsi="Times New Roman"/>
          <w:i w:val="0"/>
          <w:noProof/>
          <w:color w:val="auto"/>
          <w:sz w:val="24"/>
        </w:rPr>
        <w:t>7</w:t>
      </w:r>
      <w:r>
        <w:rPr>
          <w:rFonts w:ascii="Times New Roman" w:hAnsi="Times New Roman"/>
          <w:i w:val="0"/>
          <w:noProof/>
          <w:color w:val="auto"/>
          <w:sz w:val="24"/>
        </w:rPr>
        <w:t xml:space="preserve"> % et </w:t>
      </w:r>
      <w:r w:rsidRPr="00C316A8">
        <w:rPr>
          <w:rFonts w:ascii="Times New Roman" w:hAnsi="Times New Roman"/>
          <w:i w:val="0"/>
          <w:noProof/>
          <w:color w:val="auto"/>
          <w:sz w:val="24"/>
        </w:rPr>
        <w:t>10</w:t>
      </w:r>
      <w:r>
        <w:rPr>
          <w:rFonts w:ascii="Times New Roman" w:hAnsi="Times New Roman"/>
          <w:i w:val="0"/>
          <w:noProof/>
          <w:color w:val="auto"/>
          <w:sz w:val="24"/>
        </w:rPr>
        <w:t>,</w:t>
      </w:r>
      <w:r w:rsidRPr="00C316A8">
        <w:rPr>
          <w:rFonts w:ascii="Times New Roman" w:hAnsi="Times New Roman"/>
          <w:i w:val="0"/>
          <w:noProof/>
          <w:color w:val="auto"/>
          <w:sz w:val="24"/>
        </w:rPr>
        <w:t>5</w:t>
      </w:r>
      <w:r>
        <w:rPr>
          <w:rFonts w:ascii="Times New Roman" w:hAnsi="Times New Roman"/>
          <w:i w:val="0"/>
          <w:noProof/>
          <w:color w:val="auto"/>
          <w:sz w:val="24"/>
        </w:rPr>
        <w:t xml:space="preserve"> %, et des taux de croissance annuels à deux chiffres par rapport à l’année précédente. En </w:t>
      </w:r>
      <w:r w:rsidRPr="00C316A8">
        <w:rPr>
          <w:rFonts w:ascii="Times New Roman" w:hAnsi="Times New Roman"/>
          <w:i w:val="0"/>
          <w:noProof/>
          <w:color w:val="auto"/>
          <w:sz w:val="24"/>
        </w:rPr>
        <w:t>2021</w:t>
      </w:r>
      <w:r>
        <w:rPr>
          <w:rFonts w:ascii="Times New Roman" w:hAnsi="Times New Roman"/>
          <w:i w:val="0"/>
          <w:noProof/>
          <w:color w:val="auto"/>
          <w:sz w:val="24"/>
        </w:rPr>
        <w:t>, l’Espagne occupait la première place du classement UE des principaux bénéficiaires d’investissements de création étrangers (</w:t>
      </w:r>
      <w:r w:rsidRPr="00C316A8">
        <w:rPr>
          <w:rFonts w:ascii="Times New Roman" w:hAnsi="Times New Roman"/>
          <w:i w:val="0"/>
          <w:noProof/>
          <w:color w:val="auto"/>
          <w:sz w:val="24"/>
        </w:rPr>
        <w:t>22</w:t>
      </w:r>
      <w:r>
        <w:rPr>
          <w:rFonts w:ascii="Times New Roman" w:hAnsi="Times New Roman"/>
          <w:i w:val="0"/>
          <w:noProof/>
          <w:color w:val="auto"/>
          <w:sz w:val="24"/>
        </w:rPr>
        <w:t>,</w:t>
      </w:r>
      <w:r w:rsidRPr="00C316A8">
        <w:rPr>
          <w:rFonts w:ascii="Times New Roman" w:hAnsi="Times New Roman"/>
          <w:i w:val="0"/>
          <w:noProof/>
          <w:color w:val="auto"/>
          <w:sz w:val="24"/>
        </w:rPr>
        <w:t>2</w:t>
      </w:r>
      <w:r>
        <w:rPr>
          <w:rFonts w:ascii="Times New Roman" w:hAnsi="Times New Roman"/>
          <w:i w:val="0"/>
          <w:noProof/>
          <w:color w:val="auto"/>
          <w:sz w:val="24"/>
        </w:rPr>
        <w:t xml:space="preserve"> % du total), devant la France et l’Allemagne (respectivement </w:t>
      </w:r>
      <w:r w:rsidRPr="00C316A8">
        <w:rPr>
          <w:rFonts w:ascii="Times New Roman" w:hAnsi="Times New Roman"/>
          <w:i w:val="0"/>
          <w:noProof/>
          <w:color w:val="auto"/>
          <w:sz w:val="24"/>
        </w:rPr>
        <w:t>12</w:t>
      </w:r>
      <w:r>
        <w:rPr>
          <w:rFonts w:ascii="Times New Roman" w:hAnsi="Times New Roman"/>
          <w:i w:val="0"/>
          <w:noProof/>
          <w:color w:val="auto"/>
          <w:sz w:val="24"/>
        </w:rPr>
        <w:t>,</w:t>
      </w:r>
      <w:r w:rsidRPr="00C316A8">
        <w:rPr>
          <w:rFonts w:ascii="Times New Roman" w:hAnsi="Times New Roman"/>
          <w:i w:val="0"/>
          <w:noProof/>
          <w:color w:val="auto"/>
          <w:sz w:val="24"/>
        </w:rPr>
        <w:t>7</w:t>
      </w:r>
      <w:r>
        <w:rPr>
          <w:rFonts w:ascii="Times New Roman" w:hAnsi="Times New Roman"/>
          <w:i w:val="0"/>
          <w:noProof/>
          <w:color w:val="auto"/>
          <w:sz w:val="24"/>
        </w:rPr>
        <w:t xml:space="preserve"> % et </w:t>
      </w:r>
      <w:r w:rsidRPr="00C316A8">
        <w:rPr>
          <w:rFonts w:ascii="Times New Roman" w:hAnsi="Times New Roman"/>
          <w:i w:val="0"/>
          <w:noProof/>
          <w:color w:val="auto"/>
          <w:sz w:val="24"/>
        </w:rPr>
        <w:t>11</w:t>
      </w:r>
      <w:r>
        <w:rPr>
          <w:rFonts w:ascii="Times New Roman" w:hAnsi="Times New Roman"/>
          <w:i w:val="0"/>
          <w:noProof/>
          <w:color w:val="auto"/>
          <w:sz w:val="24"/>
        </w:rPr>
        <w:t>,</w:t>
      </w:r>
      <w:r w:rsidRPr="00C316A8">
        <w:rPr>
          <w:rFonts w:ascii="Times New Roman" w:hAnsi="Times New Roman"/>
          <w:i w:val="0"/>
          <w:noProof/>
          <w:color w:val="auto"/>
          <w:sz w:val="24"/>
        </w:rPr>
        <w:t>2</w:t>
      </w:r>
      <w:r>
        <w:rPr>
          <w:rFonts w:ascii="Times New Roman" w:hAnsi="Times New Roman"/>
          <w:i w:val="0"/>
          <w:noProof/>
          <w:color w:val="auto"/>
          <w:sz w:val="24"/>
        </w:rPr>
        <w:t xml:space="preserve"> %). Ces deux derniers pays, ainsi que l’Italie, ont été les seuls parmi les dix principaux bénéficiaires d’investissements de création où les projets étrangers n’ont pas décollé en </w:t>
      </w:r>
      <w:r w:rsidRPr="00C316A8">
        <w:rPr>
          <w:rFonts w:ascii="Times New Roman" w:hAnsi="Times New Roman"/>
          <w:i w:val="0"/>
          <w:noProof/>
          <w:color w:val="auto"/>
          <w:sz w:val="24"/>
        </w:rPr>
        <w:t>2021</w:t>
      </w:r>
      <w:r>
        <w:rPr>
          <w:rFonts w:ascii="Times New Roman" w:hAnsi="Times New Roman"/>
          <w:i w:val="0"/>
          <w:noProof/>
          <w:color w:val="auto"/>
          <w:sz w:val="24"/>
        </w:rPr>
        <w:t xml:space="preserve"> par rapport à </w:t>
      </w:r>
      <w:r w:rsidRPr="00C316A8">
        <w:rPr>
          <w:rFonts w:ascii="Times New Roman" w:hAnsi="Times New Roman"/>
          <w:i w:val="0"/>
          <w:noProof/>
          <w:color w:val="auto"/>
          <w:sz w:val="24"/>
        </w:rPr>
        <w:t>2020</w:t>
      </w:r>
      <w:r>
        <w:rPr>
          <w:rStyle w:val="FootnoteReference"/>
          <w:rFonts w:ascii="Times New Roman" w:hAnsi="Times New Roman" w:cs="Times New Roman"/>
          <w:i w:val="0"/>
          <w:noProof/>
          <w:color w:val="auto"/>
          <w:sz w:val="24"/>
          <w:szCs w:val="24"/>
        </w:rPr>
        <w:footnoteReference w:id="11"/>
      </w:r>
      <w:r>
        <w:rPr>
          <w:rFonts w:ascii="Times New Roman" w:hAnsi="Times New Roman"/>
          <w:i w:val="0"/>
          <w:noProof/>
          <w:color w:val="auto"/>
          <w:sz w:val="24"/>
        </w:rPr>
        <w:t xml:space="preserve">. </w:t>
      </w:r>
      <w:bookmarkStart w:id="5" w:name="_Ref98166420"/>
    </w:p>
    <w:p w14:paraId="3305101D" w14:textId="77777777" w:rsidR="004641DD" w:rsidRDefault="004641DD" w:rsidP="00CF76DC">
      <w:pPr>
        <w:pStyle w:val="Caption"/>
        <w:jc w:val="center"/>
        <w:rPr>
          <w:rFonts w:ascii="Times New Roman" w:hAnsi="Times New Roman" w:cs="Times New Roman"/>
          <w:i w:val="0"/>
          <w:noProof/>
          <w:color w:val="auto"/>
          <w:sz w:val="24"/>
          <w:szCs w:val="24"/>
        </w:rPr>
      </w:pPr>
      <w:r>
        <w:rPr>
          <w:rFonts w:ascii="Times New Roman" w:hAnsi="Times New Roman"/>
          <w:noProof/>
          <w:color w:val="auto"/>
          <w:sz w:val="24"/>
        </w:rPr>
        <w:t xml:space="preserve">Figure </w:t>
      </w:r>
      <w:r>
        <w:rPr>
          <w:noProof/>
        </w:rPr>
        <w:fldChar w:fldCharType="begin"/>
      </w:r>
      <w:r>
        <w:rPr>
          <w:rFonts w:ascii="Times New Roman" w:hAnsi="Times New Roman" w:cs="Times New Roman"/>
          <w:noProof/>
          <w:color w:val="auto"/>
          <w:sz w:val="24"/>
        </w:rPr>
        <w:instrText xml:space="preserve"> SEQ Figure \* ARABIC </w:instrText>
      </w:r>
      <w:r>
        <w:rPr>
          <w:noProof/>
        </w:rPr>
        <w:fldChar w:fldCharType="separate"/>
      </w:r>
      <w:r w:rsidRPr="00C316A8">
        <w:rPr>
          <w:rFonts w:ascii="Times New Roman" w:hAnsi="Times New Roman" w:cs="Times New Roman"/>
          <w:noProof/>
          <w:color w:val="auto"/>
          <w:sz w:val="24"/>
        </w:rPr>
        <w:t>4</w:t>
      </w:r>
      <w:r>
        <w:rPr>
          <w:noProof/>
        </w:rPr>
        <w:fldChar w:fldCharType="end"/>
      </w:r>
      <w:bookmarkEnd w:id="5"/>
      <w:r>
        <w:rPr>
          <w:rFonts w:ascii="Times New Roman" w:hAnsi="Times New Roman"/>
          <w:noProof/>
          <w:color w:val="auto"/>
          <w:sz w:val="24"/>
        </w:rPr>
        <w:t>: Nombre d’acquisitions de participations au capital* (à gauche) et d’investissements de création (à droite) en </w:t>
      </w:r>
      <w:r w:rsidRPr="00C316A8">
        <w:rPr>
          <w:rFonts w:ascii="Times New Roman" w:hAnsi="Times New Roman"/>
          <w:noProof/>
          <w:color w:val="auto"/>
          <w:sz w:val="24"/>
        </w:rPr>
        <w:t>2021</w:t>
      </w:r>
      <w:r>
        <w:rPr>
          <w:rFonts w:ascii="Times New Roman" w:hAnsi="Times New Roman"/>
          <w:noProof/>
          <w:color w:val="auto"/>
          <w:sz w:val="24"/>
        </w:rPr>
        <w:t xml:space="preserve"> et </w:t>
      </w:r>
      <w:r w:rsidRPr="00C316A8">
        <w:rPr>
          <w:rFonts w:ascii="Times New Roman" w:hAnsi="Times New Roman"/>
          <w:noProof/>
          <w:color w:val="auto"/>
          <w:sz w:val="24"/>
        </w:rPr>
        <w:t>2020</w:t>
      </w:r>
      <w:r>
        <w:rPr>
          <w:rFonts w:ascii="Times New Roman" w:hAnsi="Times New Roman"/>
          <w:noProof/>
          <w:color w:val="auto"/>
          <w:sz w:val="24"/>
        </w:rPr>
        <w:t xml:space="preserve"> — Détails par pays de destination (les dix premiers bénéficiaires de l’UE)</w:t>
      </w:r>
    </w:p>
    <w:tbl>
      <w:tblPr>
        <w:tblStyle w:val="TableGrid"/>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82"/>
        <w:gridCol w:w="4882"/>
      </w:tblGrid>
      <w:tr w:rsidR="004641DD" w14:paraId="0BA1D14E" w14:textId="77777777" w:rsidTr="003706C8">
        <w:trPr>
          <w:trHeight w:val="2811"/>
          <w:tblHeader/>
        </w:trPr>
        <w:tc>
          <w:tcPr>
            <w:tcW w:w="4882" w:type="dxa"/>
            <w:hideMark/>
          </w:tcPr>
          <w:p w14:paraId="6447ED18" w14:textId="7D1D9B8E" w:rsidR="004641DD" w:rsidRDefault="002B2E5C" w:rsidP="00CF76DC">
            <w:pPr>
              <w:jc w:val="both"/>
              <w:rPr>
                <w:rFonts w:ascii="Times New Roman" w:hAnsi="Times New Roman" w:cs="Times New Roman"/>
                <w:noProof/>
                <w:sz w:val="24"/>
                <w:szCs w:val="24"/>
              </w:rPr>
            </w:pPr>
            <w:r>
              <w:rPr>
                <w:noProof/>
                <w:lang w:val="en-GB" w:eastAsia="en-GB"/>
              </w:rPr>
              <w:drawing>
                <wp:inline distT="0" distB="0" distL="0" distR="0" wp14:anchorId="73E5A40C" wp14:editId="4BD35E2A">
                  <wp:extent cx="2962910" cy="1833245"/>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962910" cy="1833245"/>
                          </a:xfrm>
                          <a:prstGeom prst="rect">
                            <a:avLst/>
                          </a:prstGeom>
                        </pic:spPr>
                      </pic:pic>
                    </a:graphicData>
                  </a:graphic>
                </wp:inline>
              </w:drawing>
            </w:r>
          </w:p>
        </w:tc>
        <w:tc>
          <w:tcPr>
            <w:tcW w:w="4882" w:type="dxa"/>
            <w:hideMark/>
          </w:tcPr>
          <w:p w14:paraId="365F9347" w14:textId="66D1FE21" w:rsidR="004641DD" w:rsidRDefault="002B2E5C" w:rsidP="00CF76DC">
            <w:pPr>
              <w:keepNext/>
              <w:jc w:val="both"/>
              <w:rPr>
                <w:rFonts w:ascii="Times New Roman" w:hAnsi="Times New Roman" w:cs="Times New Roman"/>
                <w:noProof/>
                <w:sz w:val="24"/>
                <w:szCs w:val="24"/>
              </w:rPr>
            </w:pPr>
            <w:r>
              <w:rPr>
                <w:noProof/>
                <w:lang w:val="en-GB" w:eastAsia="en-GB"/>
              </w:rPr>
              <w:drawing>
                <wp:inline distT="0" distB="0" distL="0" distR="0" wp14:anchorId="210F1AAC" wp14:editId="5B7EF46D">
                  <wp:extent cx="2962910" cy="1805940"/>
                  <wp:effectExtent l="0" t="0" r="889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962910" cy="1805940"/>
                          </a:xfrm>
                          <a:prstGeom prst="rect">
                            <a:avLst/>
                          </a:prstGeom>
                        </pic:spPr>
                      </pic:pic>
                    </a:graphicData>
                  </a:graphic>
                </wp:inline>
              </w:drawing>
            </w:r>
          </w:p>
        </w:tc>
      </w:tr>
    </w:tbl>
    <w:p w14:paraId="59E74DE3" w14:textId="77777777" w:rsidR="004641DD" w:rsidRDefault="004641DD" w:rsidP="00CF76DC">
      <w:pPr>
        <w:pStyle w:val="Caption"/>
        <w:rPr>
          <w:rFonts w:ascii="Times New Roman" w:hAnsi="Times New Roman" w:cs="Times New Roman"/>
          <w:i w:val="0"/>
          <w:noProof/>
          <w:color w:val="auto"/>
          <w:sz w:val="16"/>
          <w:szCs w:val="16"/>
        </w:rPr>
      </w:pPr>
      <w:r>
        <w:rPr>
          <w:rFonts w:ascii="Times New Roman" w:hAnsi="Times New Roman"/>
          <w:i w:val="0"/>
          <w:noProof/>
          <w:color w:val="auto"/>
          <w:sz w:val="16"/>
        </w:rPr>
        <w:t xml:space="preserve">Source: calculs du JRC à partir des données du Bureau van Dijk extraites le </w:t>
      </w:r>
      <w:r w:rsidRPr="00C316A8">
        <w:rPr>
          <w:rFonts w:ascii="Times New Roman" w:hAnsi="Times New Roman"/>
          <w:i w:val="0"/>
          <w:noProof/>
          <w:color w:val="auto"/>
          <w:sz w:val="16"/>
        </w:rPr>
        <w:t>22</w:t>
      </w:r>
      <w:r>
        <w:rPr>
          <w:rFonts w:ascii="Times New Roman" w:hAnsi="Times New Roman"/>
          <w:i w:val="0"/>
          <w:noProof/>
          <w:color w:val="auto"/>
          <w:sz w:val="16"/>
        </w:rPr>
        <w:t xml:space="preserve"> février </w:t>
      </w:r>
      <w:r w:rsidRPr="00C316A8">
        <w:rPr>
          <w:rFonts w:ascii="Times New Roman" w:hAnsi="Times New Roman"/>
          <w:i w:val="0"/>
          <w:noProof/>
          <w:color w:val="auto"/>
          <w:sz w:val="16"/>
        </w:rPr>
        <w:t>2022</w:t>
      </w:r>
      <w:r>
        <w:rPr>
          <w:rFonts w:ascii="Times New Roman" w:hAnsi="Times New Roman"/>
          <w:i w:val="0"/>
          <w:noProof/>
          <w:color w:val="auto"/>
          <w:sz w:val="16"/>
        </w:rPr>
        <w:t xml:space="preserve">. RdUE signifie «Reste de l’UE». (*) Les acquisitions de participations supérieures à </w:t>
      </w:r>
      <w:r w:rsidRPr="00C316A8">
        <w:rPr>
          <w:rFonts w:ascii="Times New Roman" w:hAnsi="Times New Roman"/>
          <w:i w:val="0"/>
          <w:noProof/>
          <w:color w:val="auto"/>
          <w:sz w:val="16"/>
        </w:rPr>
        <w:t>10</w:t>
      </w:r>
      <w:r>
        <w:rPr>
          <w:rFonts w:ascii="Times New Roman" w:hAnsi="Times New Roman"/>
          <w:i w:val="0"/>
          <w:noProof/>
          <w:color w:val="auto"/>
          <w:sz w:val="16"/>
        </w:rPr>
        <w:t> % du capital d’entreprises de l’UE.</w:t>
      </w:r>
    </w:p>
    <w:p w14:paraId="19A3F248" w14:textId="7C693840" w:rsidR="00E77956" w:rsidRDefault="004641DD" w:rsidP="00CF76DC">
      <w:pPr>
        <w:pStyle w:val="Caption"/>
        <w:jc w:val="both"/>
        <w:rPr>
          <w:rFonts w:ascii="Times New Roman" w:hAnsi="Times New Roman" w:cs="Times New Roman"/>
          <w:i w:val="0"/>
          <w:noProof/>
          <w:color w:val="auto"/>
          <w:sz w:val="24"/>
          <w:szCs w:val="24"/>
        </w:rPr>
      </w:pPr>
      <w:bookmarkStart w:id="6" w:name="_Ref98166485"/>
      <w:r>
        <w:rPr>
          <w:rFonts w:ascii="Times New Roman" w:hAnsi="Times New Roman"/>
          <w:i w:val="0"/>
          <w:noProof/>
          <w:color w:val="auto"/>
          <w:sz w:val="24"/>
        </w:rPr>
        <w:t>Un examen plus approfondi des secteurs ciblés par les investisseurs étrangers montre que les TIC (technologies de l’information et de la communication) et l’industrie manufacturière sont à l’origine du rebond des transactions étrangères dans l’UE (</w:t>
      </w:r>
      <w:r>
        <w:rPr>
          <w:rFonts w:ascii="Times New Roman" w:hAnsi="Times New Roman"/>
          <w:b/>
          <w:i w:val="0"/>
          <w:noProof/>
          <w:color w:val="auto"/>
          <w:sz w:val="24"/>
        </w:rPr>
        <w:t>figure </w:t>
      </w:r>
      <w:r w:rsidRPr="00C316A8">
        <w:rPr>
          <w:rFonts w:ascii="Times New Roman" w:hAnsi="Times New Roman"/>
          <w:b/>
          <w:i w:val="0"/>
          <w:noProof/>
          <w:color w:val="auto"/>
          <w:sz w:val="24"/>
        </w:rPr>
        <w:t>5</w:t>
      </w:r>
      <w:r>
        <w:rPr>
          <w:rStyle w:val="FootnoteReference"/>
          <w:rFonts w:ascii="Times New Roman" w:hAnsi="Times New Roman" w:cs="Times New Roman"/>
          <w:i w:val="0"/>
          <w:noProof/>
          <w:color w:val="auto"/>
          <w:sz w:val="24"/>
          <w:szCs w:val="24"/>
        </w:rPr>
        <w:footnoteReference w:id="12"/>
      </w:r>
      <w:r>
        <w:rPr>
          <w:rFonts w:ascii="Times New Roman" w:hAnsi="Times New Roman"/>
          <w:i w:val="0"/>
          <w:noProof/>
          <w:color w:val="auto"/>
          <w:sz w:val="24"/>
        </w:rPr>
        <w:t xml:space="preserve">). Les technologies de l’information et de la communication (TIC) se sont classées en première position pour les acquisitions et en deuxième position (après le commerce de détail) pour les investissements de création, avec </w:t>
      </w:r>
      <w:r w:rsidRPr="00C316A8">
        <w:rPr>
          <w:rFonts w:ascii="Times New Roman" w:hAnsi="Times New Roman"/>
          <w:i w:val="0"/>
          <w:noProof/>
          <w:color w:val="auto"/>
          <w:sz w:val="24"/>
        </w:rPr>
        <w:t>30</w:t>
      </w:r>
      <w:r>
        <w:rPr>
          <w:rFonts w:ascii="Times New Roman" w:hAnsi="Times New Roman"/>
          <w:i w:val="0"/>
          <w:noProof/>
          <w:color w:val="auto"/>
          <w:sz w:val="24"/>
        </w:rPr>
        <w:t xml:space="preserve"> % des nouvelles acquisitions et </w:t>
      </w:r>
      <w:r w:rsidRPr="00C316A8">
        <w:rPr>
          <w:rFonts w:ascii="Times New Roman" w:hAnsi="Times New Roman"/>
          <w:i w:val="0"/>
          <w:noProof/>
          <w:color w:val="auto"/>
          <w:sz w:val="24"/>
        </w:rPr>
        <w:t>15</w:t>
      </w:r>
      <w:r>
        <w:rPr>
          <w:rFonts w:ascii="Times New Roman" w:hAnsi="Times New Roman"/>
          <w:i w:val="0"/>
          <w:noProof/>
          <w:color w:val="auto"/>
          <w:sz w:val="24"/>
        </w:rPr>
        <w:t>,</w:t>
      </w:r>
      <w:r w:rsidRPr="00C316A8">
        <w:rPr>
          <w:rFonts w:ascii="Times New Roman" w:hAnsi="Times New Roman"/>
          <w:i w:val="0"/>
          <w:noProof/>
          <w:color w:val="auto"/>
          <w:sz w:val="24"/>
        </w:rPr>
        <w:t>4</w:t>
      </w:r>
      <w:r>
        <w:rPr>
          <w:rFonts w:ascii="Times New Roman" w:hAnsi="Times New Roman"/>
          <w:i w:val="0"/>
          <w:noProof/>
          <w:color w:val="auto"/>
          <w:sz w:val="24"/>
        </w:rPr>
        <w:t xml:space="preserve"> % des investissements de création en </w:t>
      </w:r>
      <w:r w:rsidRPr="00C316A8">
        <w:rPr>
          <w:rFonts w:ascii="Times New Roman" w:hAnsi="Times New Roman"/>
          <w:i w:val="0"/>
          <w:noProof/>
          <w:color w:val="auto"/>
          <w:sz w:val="24"/>
        </w:rPr>
        <w:t>2021</w:t>
      </w:r>
      <w:r>
        <w:rPr>
          <w:rFonts w:ascii="Times New Roman" w:hAnsi="Times New Roman"/>
          <w:i w:val="0"/>
          <w:noProof/>
          <w:color w:val="auto"/>
          <w:sz w:val="24"/>
        </w:rPr>
        <w:t xml:space="preserve">, ce qui équivalait à des croissances respectives de </w:t>
      </w:r>
      <w:r w:rsidRPr="00C316A8">
        <w:rPr>
          <w:rFonts w:ascii="Times New Roman" w:hAnsi="Times New Roman"/>
          <w:i w:val="0"/>
          <w:noProof/>
          <w:color w:val="auto"/>
          <w:sz w:val="24"/>
        </w:rPr>
        <w:t>34</w:t>
      </w:r>
      <w:r>
        <w:rPr>
          <w:rFonts w:ascii="Times New Roman" w:hAnsi="Times New Roman"/>
          <w:i w:val="0"/>
          <w:noProof/>
          <w:color w:val="auto"/>
          <w:sz w:val="24"/>
        </w:rPr>
        <w:t xml:space="preserve"> % et de </w:t>
      </w:r>
      <w:r w:rsidRPr="00C316A8">
        <w:rPr>
          <w:rFonts w:ascii="Times New Roman" w:hAnsi="Times New Roman"/>
          <w:i w:val="0"/>
          <w:noProof/>
          <w:color w:val="auto"/>
          <w:sz w:val="24"/>
        </w:rPr>
        <w:t>15</w:t>
      </w:r>
      <w:r>
        <w:rPr>
          <w:rFonts w:ascii="Times New Roman" w:hAnsi="Times New Roman"/>
          <w:i w:val="0"/>
          <w:noProof/>
          <w:color w:val="auto"/>
          <w:sz w:val="24"/>
        </w:rPr>
        <w:t xml:space="preserve"> % par rapport à </w:t>
      </w:r>
      <w:r w:rsidRPr="00C316A8">
        <w:rPr>
          <w:rFonts w:ascii="Times New Roman" w:hAnsi="Times New Roman"/>
          <w:i w:val="0"/>
          <w:noProof/>
          <w:color w:val="auto"/>
          <w:sz w:val="24"/>
        </w:rPr>
        <w:t>2020</w:t>
      </w:r>
      <w:r>
        <w:rPr>
          <w:rFonts w:ascii="Times New Roman" w:hAnsi="Times New Roman"/>
          <w:i w:val="0"/>
          <w:noProof/>
          <w:color w:val="auto"/>
          <w:sz w:val="24"/>
        </w:rPr>
        <w:t xml:space="preserve">. L’industrie manufacturière, qui comptait </w:t>
      </w:r>
      <w:r w:rsidRPr="00C316A8">
        <w:rPr>
          <w:rFonts w:ascii="Times New Roman" w:hAnsi="Times New Roman"/>
          <w:i w:val="0"/>
          <w:noProof/>
          <w:color w:val="auto"/>
          <w:sz w:val="24"/>
        </w:rPr>
        <w:t>25</w:t>
      </w:r>
      <w:r>
        <w:rPr>
          <w:rFonts w:ascii="Times New Roman" w:hAnsi="Times New Roman"/>
          <w:i w:val="0"/>
          <w:noProof/>
          <w:color w:val="auto"/>
          <w:sz w:val="24"/>
        </w:rPr>
        <w:t>,</w:t>
      </w:r>
      <w:r w:rsidRPr="00C316A8">
        <w:rPr>
          <w:rFonts w:ascii="Times New Roman" w:hAnsi="Times New Roman"/>
          <w:i w:val="0"/>
          <w:noProof/>
          <w:color w:val="auto"/>
          <w:sz w:val="24"/>
        </w:rPr>
        <w:t>9</w:t>
      </w:r>
      <w:r>
        <w:rPr>
          <w:rFonts w:ascii="Times New Roman" w:hAnsi="Times New Roman"/>
          <w:i w:val="0"/>
          <w:noProof/>
          <w:color w:val="auto"/>
          <w:sz w:val="24"/>
        </w:rPr>
        <w:t xml:space="preserve"> % du total des acquisitions étrangères et </w:t>
      </w:r>
      <w:r w:rsidRPr="00C316A8">
        <w:rPr>
          <w:rFonts w:ascii="Times New Roman" w:hAnsi="Times New Roman"/>
          <w:i w:val="0"/>
          <w:noProof/>
          <w:color w:val="auto"/>
          <w:sz w:val="24"/>
        </w:rPr>
        <w:t>12</w:t>
      </w:r>
      <w:r>
        <w:rPr>
          <w:rFonts w:ascii="Times New Roman" w:hAnsi="Times New Roman"/>
          <w:i w:val="0"/>
          <w:noProof/>
          <w:color w:val="auto"/>
          <w:sz w:val="24"/>
        </w:rPr>
        <w:t xml:space="preserve"> % des investissements de création étrangers, suivait en </w:t>
      </w:r>
      <w:r w:rsidRPr="00C316A8">
        <w:rPr>
          <w:rFonts w:ascii="Times New Roman" w:hAnsi="Times New Roman"/>
          <w:i w:val="0"/>
          <w:noProof/>
          <w:color w:val="auto"/>
          <w:sz w:val="24"/>
        </w:rPr>
        <w:t>2021</w:t>
      </w:r>
      <w:r>
        <w:rPr>
          <w:rFonts w:ascii="Times New Roman" w:hAnsi="Times New Roman"/>
          <w:i w:val="0"/>
          <w:noProof/>
          <w:color w:val="auto"/>
          <w:sz w:val="24"/>
        </w:rPr>
        <w:t xml:space="preserve">, avec des hausses respectives de </w:t>
      </w:r>
      <w:r w:rsidRPr="00C316A8">
        <w:rPr>
          <w:rFonts w:ascii="Times New Roman" w:hAnsi="Times New Roman"/>
          <w:i w:val="0"/>
          <w:noProof/>
          <w:color w:val="auto"/>
          <w:sz w:val="24"/>
        </w:rPr>
        <w:t>38</w:t>
      </w:r>
      <w:r>
        <w:rPr>
          <w:rFonts w:ascii="Times New Roman" w:hAnsi="Times New Roman"/>
          <w:i w:val="0"/>
          <w:noProof/>
          <w:color w:val="auto"/>
          <w:sz w:val="24"/>
        </w:rPr>
        <w:t xml:space="preserve"> % et de </w:t>
      </w:r>
      <w:r w:rsidRPr="00C316A8">
        <w:rPr>
          <w:rFonts w:ascii="Times New Roman" w:hAnsi="Times New Roman"/>
          <w:i w:val="0"/>
          <w:noProof/>
          <w:color w:val="auto"/>
          <w:sz w:val="24"/>
        </w:rPr>
        <w:t>12</w:t>
      </w:r>
      <w:r>
        <w:rPr>
          <w:rFonts w:ascii="Times New Roman" w:hAnsi="Times New Roman"/>
          <w:i w:val="0"/>
          <w:noProof/>
          <w:color w:val="auto"/>
          <w:sz w:val="24"/>
        </w:rPr>
        <w:t> %, rapport à l’année précédente.</w:t>
      </w:r>
    </w:p>
    <w:p w14:paraId="41926E73" w14:textId="77777777" w:rsidR="00E77956" w:rsidRDefault="00E77956" w:rsidP="00CF76DC">
      <w:pPr>
        <w:pStyle w:val="Caption"/>
        <w:jc w:val="both"/>
        <w:rPr>
          <w:rFonts w:ascii="Times New Roman" w:hAnsi="Times New Roman" w:cs="Times New Roman"/>
          <w:i w:val="0"/>
          <w:noProof/>
          <w:color w:val="auto"/>
          <w:sz w:val="24"/>
          <w:szCs w:val="24"/>
        </w:rPr>
      </w:pPr>
      <w:r>
        <w:rPr>
          <w:rFonts w:ascii="Times New Roman" w:hAnsi="Times New Roman"/>
          <w:i w:val="0"/>
          <w:noProof/>
          <w:color w:val="auto"/>
          <w:sz w:val="24"/>
        </w:rPr>
        <w:t xml:space="preserve">Les transactions étrangères ont connu une nouvelle dynamique dans tous les grands secteurs par rapport à </w:t>
      </w:r>
      <w:r w:rsidRPr="00C316A8">
        <w:rPr>
          <w:rFonts w:ascii="Times New Roman" w:hAnsi="Times New Roman"/>
          <w:i w:val="0"/>
          <w:noProof/>
          <w:color w:val="auto"/>
          <w:sz w:val="24"/>
        </w:rPr>
        <w:t>2020</w:t>
      </w:r>
      <w:r>
        <w:rPr>
          <w:rFonts w:ascii="Times New Roman" w:hAnsi="Times New Roman"/>
          <w:i w:val="0"/>
          <w:noProof/>
          <w:color w:val="auto"/>
          <w:sz w:val="24"/>
        </w:rPr>
        <w:t>, atteignant, voire dépassant les niveaux antérieurs à la COVID-</w:t>
      </w:r>
      <w:r w:rsidRPr="00C316A8">
        <w:rPr>
          <w:rFonts w:ascii="Times New Roman" w:hAnsi="Times New Roman"/>
          <w:i w:val="0"/>
          <w:noProof/>
          <w:color w:val="auto"/>
          <w:sz w:val="24"/>
        </w:rPr>
        <w:t>19</w:t>
      </w:r>
      <w:r>
        <w:rPr>
          <w:rFonts w:ascii="Times New Roman" w:hAnsi="Times New Roman"/>
          <w:i w:val="0"/>
          <w:noProof/>
          <w:color w:val="auto"/>
          <w:sz w:val="24"/>
        </w:rPr>
        <w:t xml:space="preserve"> dans certaines catégories. En ce qui concerne les acquisitions de participations au capital, les niveaux de </w:t>
      </w:r>
      <w:r w:rsidRPr="00C316A8">
        <w:rPr>
          <w:rFonts w:ascii="Times New Roman" w:hAnsi="Times New Roman"/>
          <w:i w:val="0"/>
          <w:noProof/>
          <w:color w:val="auto"/>
          <w:sz w:val="24"/>
        </w:rPr>
        <w:t>2019</w:t>
      </w:r>
      <w:r>
        <w:rPr>
          <w:rFonts w:ascii="Times New Roman" w:hAnsi="Times New Roman"/>
          <w:i w:val="0"/>
          <w:noProof/>
          <w:color w:val="auto"/>
          <w:sz w:val="24"/>
        </w:rPr>
        <w:t xml:space="preserve"> ont été atteints dans les domaines des TIC, des activités spécialisées et scientifiques et de la construction, entre autres, avec des augmentations de </w:t>
      </w:r>
      <w:r w:rsidRPr="00C316A8">
        <w:rPr>
          <w:rFonts w:ascii="Times New Roman" w:hAnsi="Times New Roman"/>
          <w:i w:val="0"/>
          <w:noProof/>
          <w:color w:val="auto"/>
          <w:sz w:val="24"/>
        </w:rPr>
        <w:t>27</w:t>
      </w:r>
      <w:r>
        <w:rPr>
          <w:rFonts w:ascii="Times New Roman" w:hAnsi="Times New Roman"/>
          <w:i w:val="0"/>
          <w:noProof/>
          <w:color w:val="auto"/>
          <w:sz w:val="24"/>
        </w:rPr>
        <w:t xml:space="preserve"> %, de </w:t>
      </w:r>
      <w:r w:rsidRPr="00C316A8">
        <w:rPr>
          <w:rFonts w:ascii="Times New Roman" w:hAnsi="Times New Roman"/>
          <w:i w:val="0"/>
          <w:noProof/>
          <w:color w:val="auto"/>
          <w:sz w:val="24"/>
        </w:rPr>
        <w:t>8</w:t>
      </w:r>
      <w:r>
        <w:rPr>
          <w:rFonts w:ascii="Times New Roman" w:hAnsi="Times New Roman"/>
          <w:i w:val="0"/>
          <w:noProof/>
          <w:color w:val="auto"/>
          <w:sz w:val="24"/>
        </w:rPr>
        <w:t>,</w:t>
      </w:r>
      <w:r w:rsidRPr="00C316A8">
        <w:rPr>
          <w:rFonts w:ascii="Times New Roman" w:hAnsi="Times New Roman"/>
          <w:i w:val="0"/>
          <w:noProof/>
          <w:color w:val="auto"/>
          <w:sz w:val="24"/>
        </w:rPr>
        <w:t>3</w:t>
      </w:r>
      <w:r>
        <w:rPr>
          <w:rFonts w:ascii="Times New Roman" w:hAnsi="Times New Roman"/>
          <w:i w:val="0"/>
          <w:noProof/>
          <w:color w:val="auto"/>
          <w:sz w:val="24"/>
        </w:rPr>
        <w:t xml:space="preserve"> % et </w:t>
      </w:r>
      <w:r w:rsidRPr="00C316A8">
        <w:rPr>
          <w:rFonts w:ascii="Times New Roman" w:hAnsi="Times New Roman"/>
          <w:i w:val="0"/>
          <w:noProof/>
          <w:color w:val="auto"/>
          <w:sz w:val="24"/>
        </w:rPr>
        <w:t>10</w:t>
      </w:r>
      <w:r>
        <w:rPr>
          <w:rFonts w:ascii="Times New Roman" w:hAnsi="Times New Roman"/>
          <w:i w:val="0"/>
          <w:noProof/>
          <w:color w:val="auto"/>
          <w:sz w:val="24"/>
        </w:rPr>
        <w:t xml:space="preserve"> % en </w:t>
      </w:r>
      <w:r w:rsidRPr="00C316A8">
        <w:rPr>
          <w:rFonts w:ascii="Times New Roman" w:hAnsi="Times New Roman"/>
          <w:i w:val="0"/>
          <w:noProof/>
          <w:color w:val="auto"/>
          <w:sz w:val="24"/>
        </w:rPr>
        <w:t>2021</w:t>
      </w:r>
      <w:r>
        <w:rPr>
          <w:rFonts w:ascii="Times New Roman" w:hAnsi="Times New Roman"/>
          <w:i w:val="0"/>
          <w:noProof/>
          <w:color w:val="auto"/>
          <w:sz w:val="24"/>
        </w:rPr>
        <w:t xml:space="preserve"> par rapport à </w:t>
      </w:r>
      <w:r w:rsidRPr="00C316A8">
        <w:rPr>
          <w:rFonts w:ascii="Times New Roman" w:hAnsi="Times New Roman"/>
          <w:i w:val="0"/>
          <w:noProof/>
          <w:color w:val="auto"/>
          <w:sz w:val="24"/>
        </w:rPr>
        <w:t>2019</w:t>
      </w:r>
      <w:r>
        <w:rPr>
          <w:rFonts w:ascii="Times New Roman" w:hAnsi="Times New Roman"/>
          <w:i w:val="0"/>
          <w:noProof/>
          <w:color w:val="auto"/>
          <w:sz w:val="24"/>
        </w:rPr>
        <w:t>. La reprise des investissements de création étrangers est en revanche plus lente.</w:t>
      </w:r>
    </w:p>
    <w:p w14:paraId="29A417C2" w14:textId="77777777" w:rsidR="004641DD" w:rsidRDefault="004641DD" w:rsidP="00CF76DC">
      <w:pPr>
        <w:pStyle w:val="Caption"/>
        <w:jc w:val="both"/>
        <w:rPr>
          <w:rFonts w:ascii="Times New Roman" w:hAnsi="Times New Roman" w:cs="Times New Roman"/>
          <w:i w:val="0"/>
          <w:noProof/>
          <w:color w:val="auto"/>
          <w:sz w:val="24"/>
          <w:szCs w:val="24"/>
        </w:rPr>
      </w:pPr>
      <w:r>
        <w:rPr>
          <w:rFonts w:ascii="Times New Roman" w:hAnsi="Times New Roman"/>
          <w:i w:val="0"/>
          <w:noProof/>
          <w:color w:val="auto"/>
          <w:sz w:val="24"/>
        </w:rPr>
        <w:t xml:space="preserve">Sauf dans le secteur de l’hébergement et de la restauration, les investissements de création en </w:t>
      </w:r>
      <w:r w:rsidRPr="00C316A8">
        <w:rPr>
          <w:rFonts w:ascii="Times New Roman" w:hAnsi="Times New Roman"/>
          <w:i w:val="0"/>
          <w:noProof/>
          <w:color w:val="auto"/>
          <w:sz w:val="24"/>
        </w:rPr>
        <w:t>2021</w:t>
      </w:r>
      <w:r>
        <w:rPr>
          <w:rFonts w:ascii="Times New Roman" w:hAnsi="Times New Roman"/>
          <w:i w:val="0"/>
          <w:noProof/>
          <w:color w:val="auto"/>
          <w:sz w:val="24"/>
        </w:rPr>
        <w:t xml:space="preserve"> n’atteignent pas les niveaux de </w:t>
      </w:r>
      <w:r w:rsidRPr="00C316A8">
        <w:rPr>
          <w:rFonts w:ascii="Times New Roman" w:hAnsi="Times New Roman"/>
          <w:i w:val="0"/>
          <w:noProof/>
          <w:color w:val="auto"/>
          <w:sz w:val="24"/>
        </w:rPr>
        <w:t>2019</w:t>
      </w:r>
      <w:r>
        <w:rPr>
          <w:rFonts w:ascii="Times New Roman" w:hAnsi="Times New Roman"/>
          <w:i w:val="0"/>
          <w:noProof/>
          <w:color w:val="auto"/>
          <w:sz w:val="24"/>
        </w:rPr>
        <w:t xml:space="preserve">, même s’ils s’inscrivent dans une tendance positive après la chute de </w:t>
      </w:r>
      <w:r w:rsidRPr="00C316A8">
        <w:rPr>
          <w:rFonts w:ascii="Times New Roman" w:hAnsi="Times New Roman"/>
          <w:i w:val="0"/>
          <w:noProof/>
          <w:color w:val="auto"/>
          <w:sz w:val="24"/>
        </w:rPr>
        <w:t>2020</w:t>
      </w:r>
      <w:r>
        <w:rPr>
          <w:rFonts w:ascii="Times New Roman" w:hAnsi="Times New Roman"/>
          <w:i w:val="0"/>
          <w:noProof/>
          <w:color w:val="auto"/>
          <w:sz w:val="24"/>
        </w:rPr>
        <w:t>.</w:t>
      </w:r>
    </w:p>
    <w:p w14:paraId="2DA65438" w14:textId="77777777" w:rsidR="004641DD" w:rsidRPr="00194FD9" w:rsidRDefault="004641DD" w:rsidP="00CF76DC">
      <w:pPr>
        <w:pStyle w:val="Caption"/>
        <w:keepNext/>
        <w:jc w:val="center"/>
        <w:rPr>
          <w:rFonts w:ascii="Times New Roman" w:hAnsi="Times New Roman" w:cs="Times New Roman"/>
          <w:noProof/>
          <w:color w:val="auto"/>
          <w:sz w:val="24"/>
          <w:szCs w:val="24"/>
        </w:rPr>
      </w:pPr>
      <w:r>
        <w:rPr>
          <w:rFonts w:ascii="Times New Roman" w:hAnsi="Times New Roman"/>
          <w:noProof/>
          <w:color w:val="auto"/>
          <w:sz w:val="24"/>
        </w:rPr>
        <w:t xml:space="preserve">Figure </w:t>
      </w:r>
      <w:r>
        <w:rPr>
          <w:rFonts w:ascii="Times New Roman" w:hAnsi="Times New Roman" w:cs="Times New Roman"/>
          <w:noProof/>
          <w:sz w:val="24"/>
        </w:rPr>
        <w:fldChar w:fldCharType="begin"/>
      </w:r>
      <w:r>
        <w:rPr>
          <w:rFonts w:ascii="Times New Roman" w:hAnsi="Times New Roman" w:cs="Times New Roman"/>
          <w:noProof/>
          <w:color w:val="auto"/>
          <w:sz w:val="24"/>
        </w:rPr>
        <w:instrText xml:space="preserve"> SEQ Figure \* ARABIC </w:instrText>
      </w:r>
      <w:r>
        <w:rPr>
          <w:rFonts w:ascii="Times New Roman" w:hAnsi="Times New Roman" w:cs="Times New Roman"/>
          <w:noProof/>
          <w:sz w:val="24"/>
        </w:rPr>
        <w:fldChar w:fldCharType="separate"/>
      </w:r>
      <w:r w:rsidRPr="00C316A8">
        <w:rPr>
          <w:rFonts w:ascii="Times New Roman" w:hAnsi="Times New Roman" w:cs="Times New Roman"/>
          <w:noProof/>
          <w:color w:val="auto"/>
          <w:sz w:val="24"/>
        </w:rPr>
        <w:t>5</w:t>
      </w:r>
      <w:r>
        <w:rPr>
          <w:rFonts w:ascii="Times New Roman" w:hAnsi="Times New Roman" w:cs="Times New Roman"/>
          <w:noProof/>
          <w:sz w:val="24"/>
        </w:rPr>
        <w:fldChar w:fldCharType="end"/>
      </w:r>
      <w:bookmarkEnd w:id="6"/>
      <w:r>
        <w:rPr>
          <w:rFonts w:ascii="Times New Roman" w:hAnsi="Times New Roman"/>
          <w:noProof/>
          <w:color w:val="auto"/>
          <w:sz w:val="24"/>
        </w:rPr>
        <w:t>: Nombre d’acquisitions (à gauche) et d’investissements de création (à droite) en </w:t>
      </w:r>
      <w:r w:rsidRPr="00C316A8">
        <w:rPr>
          <w:rFonts w:ascii="Times New Roman" w:hAnsi="Times New Roman"/>
          <w:noProof/>
          <w:color w:val="auto"/>
          <w:sz w:val="24"/>
        </w:rPr>
        <w:t>2021</w:t>
      </w:r>
      <w:r>
        <w:rPr>
          <w:rFonts w:ascii="Times New Roman" w:hAnsi="Times New Roman"/>
          <w:noProof/>
          <w:color w:val="auto"/>
          <w:sz w:val="24"/>
        </w:rPr>
        <w:t xml:space="preserve"> et </w:t>
      </w:r>
      <w:r w:rsidRPr="00C316A8">
        <w:rPr>
          <w:rFonts w:ascii="Times New Roman" w:hAnsi="Times New Roman"/>
          <w:noProof/>
          <w:color w:val="auto"/>
          <w:sz w:val="24"/>
        </w:rPr>
        <w:t>2020</w:t>
      </w:r>
      <w:r>
        <w:rPr>
          <w:rFonts w:ascii="Times New Roman" w:hAnsi="Times New Roman"/>
          <w:noProof/>
          <w:color w:val="auto"/>
          <w:sz w:val="24"/>
        </w:rPr>
        <w:t xml:space="preserve"> — par secteur de la NACE (cinq principales catégories)</w:t>
      </w:r>
    </w:p>
    <w:tbl>
      <w:tblPr>
        <w:tblStyle w:val="TableGrid"/>
        <w:tblW w:w="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88"/>
        <w:gridCol w:w="4888"/>
      </w:tblGrid>
      <w:tr w:rsidR="004641DD" w14:paraId="36DD151F" w14:textId="77777777" w:rsidTr="003706C8">
        <w:trPr>
          <w:trHeight w:val="3188"/>
        </w:trPr>
        <w:tc>
          <w:tcPr>
            <w:tcW w:w="4888" w:type="dxa"/>
            <w:hideMark/>
          </w:tcPr>
          <w:p w14:paraId="60F9A688" w14:textId="613FB100" w:rsidR="004641DD" w:rsidRDefault="002B2E5C" w:rsidP="00CF76DC">
            <w:pPr>
              <w:jc w:val="both"/>
              <w:rPr>
                <w:rFonts w:ascii="Times New Roman" w:hAnsi="Times New Roman" w:cs="Times New Roman"/>
                <w:noProof/>
                <w:sz w:val="24"/>
                <w:szCs w:val="24"/>
              </w:rPr>
            </w:pPr>
            <w:r>
              <w:rPr>
                <w:noProof/>
                <w:lang w:val="en-GB" w:eastAsia="en-GB"/>
              </w:rPr>
              <w:drawing>
                <wp:inline distT="0" distB="0" distL="0" distR="0" wp14:anchorId="63763AB1" wp14:editId="49B69581">
                  <wp:extent cx="2966720" cy="1801495"/>
                  <wp:effectExtent l="0" t="0" r="508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966720" cy="1801495"/>
                          </a:xfrm>
                          <a:prstGeom prst="rect">
                            <a:avLst/>
                          </a:prstGeom>
                        </pic:spPr>
                      </pic:pic>
                    </a:graphicData>
                  </a:graphic>
                </wp:inline>
              </w:drawing>
            </w:r>
          </w:p>
        </w:tc>
        <w:tc>
          <w:tcPr>
            <w:tcW w:w="4888" w:type="dxa"/>
            <w:hideMark/>
          </w:tcPr>
          <w:p w14:paraId="6476A677" w14:textId="2C256FAA" w:rsidR="004641DD" w:rsidRDefault="002B2E5C" w:rsidP="00CF76DC">
            <w:pPr>
              <w:keepNext/>
              <w:jc w:val="both"/>
              <w:rPr>
                <w:rFonts w:ascii="Times New Roman" w:hAnsi="Times New Roman" w:cs="Times New Roman"/>
                <w:noProof/>
                <w:sz w:val="24"/>
                <w:szCs w:val="24"/>
              </w:rPr>
            </w:pPr>
            <w:r>
              <w:rPr>
                <w:noProof/>
                <w:lang w:val="en-GB" w:eastAsia="en-GB"/>
              </w:rPr>
              <w:drawing>
                <wp:inline distT="0" distB="0" distL="0" distR="0" wp14:anchorId="33399D88" wp14:editId="445D3CE7">
                  <wp:extent cx="2966720" cy="1916430"/>
                  <wp:effectExtent l="0" t="0" r="508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966720" cy="1916430"/>
                          </a:xfrm>
                          <a:prstGeom prst="rect">
                            <a:avLst/>
                          </a:prstGeom>
                        </pic:spPr>
                      </pic:pic>
                    </a:graphicData>
                  </a:graphic>
                </wp:inline>
              </w:drawing>
            </w:r>
          </w:p>
        </w:tc>
      </w:tr>
    </w:tbl>
    <w:p w14:paraId="5A8023B2" w14:textId="77777777" w:rsidR="004641DD" w:rsidRDefault="004641DD" w:rsidP="00CF76DC">
      <w:pPr>
        <w:pStyle w:val="Caption"/>
        <w:jc w:val="both"/>
        <w:rPr>
          <w:rFonts w:ascii="Times New Roman" w:hAnsi="Times New Roman" w:cs="Times New Roman"/>
          <w:i w:val="0"/>
          <w:noProof/>
          <w:color w:val="auto"/>
          <w:sz w:val="16"/>
          <w:szCs w:val="16"/>
        </w:rPr>
      </w:pPr>
      <w:r>
        <w:rPr>
          <w:rFonts w:ascii="Times New Roman" w:hAnsi="Times New Roman"/>
          <w:i w:val="0"/>
          <w:noProof/>
          <w:color w:val="auto"/>
          <w:sz w:val="16"/>
        </w:rPr>
        <w:t xml:space="preserve">Source: calculs du JRC à partir des données du Bureau van Dijk extraites le </w:t>
      </w:r>
      <w:r w:rsidRPr="00C316A8">
        <w:rPr>
          <w:rFonts w:ascii="Times New Roman" w:hAnsi="Times New Roman"/>
          <w:i w:val="0"/>
          <w:noProof/>
          <w:color w:val="auto"/>
          <w:sz w:val="16"/>
        </w:rPr>
        <w:t>22</w:t>
      </w:r>
      <w:r>
        <w:rPr>
          <w:rFonts w:ascii="Times New Roman" w:hAnsi="Times New Roman"/>
          <w:i w:val="0"/>
          <w:noProof/>
          <w:color w:val="auto"/>
          <w:sz w:val="16"/>
        </w:rPr>
        <w:t xml:space="preserve"> février </w:t>
      </w:r>
      <w:r w:rsidRPr="00C316A8">
        <w:rPr>
          <w:rFonts w:ascii="Times New Roman" w:hAnsi="Times New Roman"/>
          <w:i w:val="0"/>
          <w:noProof/>
          <w:color w:val="auto"/>
          <w:sz w:val="16"/>
        </w:rPr>
        <w:t>2022</w:t>
      </w:r>
      <w:r>
        <w:rPr>
          <w:rFonts w:ascii="Times New Roman" w:hAnsi="Times New Roman"/>
          <w:i w:val="0"/>
          <w:noProof/>
          <w:color w:val="auto"/>
          <w:sz w:val="16"/>
        </w:rPr>
        <w:t>. SST désigne les activités spécialisées, scientifiques et techniques (NACE, Rév. </w:t>
      </w:r>
      <w:r w:rsidRPr="00C316A8">
        <w:rPr>
          <w:rFonts w:ascii="Times New Roman" w:hAnsi="Times New Roman"/>
          <w:i w:val="0"/>
          <w:noProof/>
          <w:color w:val="auto"/>
          <w:sz w:val="16"/>
        </w:rPr>
        <w:t>2</w:t>
      </w:r>
      <w:r>
        <w:rPr>
          <w:rFonts w:ascii="Times New Roman" w:hAnsi="Times New Roman"/>
          <w:i w:val="0"/>
          <w:noProof/>
          <w:color w:val="auto"/>
          <w:sz w:val="16"/>
        </w:rPr>
        <w:t>, section M), elle englobe entre autres les installations de recherche-développement. TIC désigne l’information et la communication (NACE, Rév. </w:t>
      </w:r>
      <w:r w:rsidRPr="00C316A8">
        <w:rPr>
          <w:rFonts w:ascii="Times New Roman" w:hAnsi="Times New Roman"/>
          <w:i w:val="0"/>
          <w:noProof/>
          <w:color w:val="auto"/>
          <w:sz w:val="16"/>
        </w:rPr>
        <w:t>2</w:t>
      </w:r>
      <w:r>
        <w:rPr>
          <w:rFonts w:ascii="Times New Roman" w:hAnsi="Times New Roman"/>
          <w:i w:val="0"/>
          <w:noProof/>
          <w:color w:val="auto"/>
          <w:sz w:val="16"/>
        </w:rPr>
        <w:t>, section J).</w:t>
      </w:r>
    </w:p>
    <w:p w14:paraId="1EBACE0B" w14:textId="77777777" w:rsidR="004641DD" w:rsidRDefault="004641DD" w:rsidP="00CF76DC">
      <w:pPr>
        <w:pStyle w:val="Default"/>
        <w:spacing w:before="220" w:after="40"/>
        <w:jc w:val="both"/>
        <w:rPr>
          <w:rFonts w:ascii="Times New Roman" w:hAnsi="Times New Roman" w:cs="Times New Roman"/>
          <w:noProof/>
          <w:color w:val="56575A"/>
        </w:rPr>
      </w:pPr>
      <w:r>
        <w:rPr>
          <w:rFonts w:ascii="Times New Roman" w:hAnsi="Times New Roman"/>
          <w:b/>
          <w:noProof/>
          <w:color w:val="56575A"/>
        </w:rPr>
        <w:t>Informations complémentaires</w:t>
      </w:r>
    </w:p>
    <w:p w14:paraId="7F7F35D7" w14:textId="38815B63" w:rsidR="004641DD" w:rsidRDefault="00BF1910" w:rsidP="00CF76DC">
      <w:pPr>
        <w:spacing w:line="240" w:lineRule="auto"/>
        <w:jc w:val="both"/>
        <w:rPr>
          <w:rFonts w:ascii="Times New Roman" w:hAnsi="Times New Roman" w:cs="Times New Roman"/>
          <w:noProof/>
          <w:sz w:val="24"/>
          <w:szCs w:val="24"/>
        </w:rPr>
      </w:pPr>
      <w:r>
        <w:rPr>
          <w:rFonts w:ascii="Times New Roman" w:hAnsi="Times New Roman"/>
          <w:noProof/>
          <w:color w:val="000000"/>
          <w:sz w:val="24"/>
        </w:rPr>
        <w:t>De plus amples informations sur les chiffres donnés ci-dessus sont fournies à la section </w:t>
      </w:r>
      <w:r w:rsidRPr="00C316A8">
        <w:rPr>
          <w:rFonts w:ascii="Times New Roman" w:hAnsi="Times New Roman"/>
          <w:noProof/>
          <w:color w:val="000000"/>
          <w:sz w:val="24"/>
        </w:rPr>
        <w:t>1</w:t>
      </w:r>
      <w:r>
        <w:rPr>
          <w:rFonts w:ascii="Times New Roman" w:hAnsi="Times New Roman"/>
          <w:noProof/>
          <w:color w:val="000000"/>
          <w:sz w:val="24"/>
        </w:rPr>
        <w:t xml:space="preserve"> du document de travail des services de la Commission qui accompagne le présent rapport. Des données supplémentaires sont fournies sur l’incidence et la reprise par État membre et par secteur, sur l’origine des investisseurs étrangers dans l’UE et sur la participation d’États étrangers dans les investisseurs étrangers dans l’UE.</w:t>
      </w:r>
    </w:p>
    <w:p w14:paraId="4E416723" w14:textId="77777777" w:rsidR="004641DD" w:rsidRDefault="004641DD">
      <w:pPr>
        <w:rPr>
          <w:rFonts w:ascii="Times New Roman" w:eastAsiaTheme="majorEastAsia" w:hAnsi="Times New Roman" w:cstheme="majorBidi"/>
          <w:b/>
          <w:noProof/>
          <w:color w:val="000000" w:themeColor="text1"/>
          <w:sz w:val="24"/>
          <w:szCs w:val="26"/>
        </w:rPr>
      </w:pPr>
      <w:r>
        <w:rPr>
          <w:noProof/>
        </w:rPr>
        <w:br w:type="page"/>
      </w:r>
    </w:p>
    <w:p w14:paraId="3E1E8CD8" w14:textId="77777777" w:rsidR="004641DD" w:rsidRPr="0071780E" w:rsidRDefault="004641DD" w:rsidP="004641DD">
      <w:pPr>
        <w:pStyle w:val="FrameContents"/>
        <w:rPr>
          <w:rFonts w:ascii="Times New Roman" w:hAnsi="Times New Roman" w:cs="Times New Roman"/>
          <w:b/>
          <w:noProof/>
        </w:rPr>
      </w:pPr>
      <w:r>
        <w:rPr>
          <w:rFonts w:ascii="Times New Roman" w:hAnsi="Times New Roman"/>
          <w:b/>
          <w:noProof/>
        </w:rPr>
        <w:t xml:space="preserve">CHAPITRE </w:t>
      </w:r>
      <w:r w:rsidRPr="00C316A8">
        <w:rPr>
          <w:rFonts w:ascii="Times New Roman" w:hAnsi="Times New Roman"/>
          <w:b/>
          <w:noProof/>
        </w:rPr>
        <w:t>2</w:t>
      </w:r>
      <w:r>
        <w:rPr>
          <w:rFonts w:ascii="Times New Roman" w:hAnsi="Times New Roman"/>
          <w:b/>
          <w:noProof/>
        </w:rPr>
        <w:t xml:space="preserve"> – ÉVOLUTIONS LÉGISLATIVES DANS LES ÉTATS MEMBRES EN </w:t>
      </w:r>
      <w:r w:rsidRPr="00C316A8">
        <w:rPr>
          <w:rFonts w:ascii="Times New Roman" w:hAnsi="Times New Roman"/>
          <w:b/>
          <w:noProof/>
        </w:rPr>
        <w:t>2021</w:t>
      </w:r>
    </w:p>
    <w:p w14:paraId="350E2039" w14:textId="77777777" w:rsidR="004641DD" w:rsidRPr="00276736" w:rsidRDefault="004641DD" w:rsidP="004641DD">
      <w:pPr>
        <w:jc w:val="both"/>
        <w:rPr>
          <w:rFonts w:ascii="Times New Roman" w:hAnsi="Times New Roman" w:cs="Times New Roman"/>
          <w:b/>
          <w:noProof/>
          <w:sz w:val="24"/>
          <w:szCs w:val="24"/>
          <w:lang w:val="fr-BE"/>
        </w:rPr>
      </w:pPr>
    </w:p>
    <w:p w14:paraId="79F6F7CE" w14:textId="77777777" w:rsidR="004B4461" w:rsidRPr="00A13B21" w:rsidRDefault="004B4461" w:rsidP="00CF76DC">
      <w:pPr>
        <w:keepNext/>
        <w:spacing w:line="240" w:lineRule="auto"/>
        <w:jc w:val="both"/>
        <w:rPr>
          <w:rFonts w:ascii="Times New Roman" w:hAnsi="Times New Roman" w:cs="Times New Roman"/>
          <w:b/>
          <w:noProof/>
          <w:sz w:val="24"/>
          <w:szCs w:val="24"/>
        </w:rPr>
      </w:pPr>
      <w:r>
        <w:rPr>
          <w:rFonts w:ascii="Times New Roman" w:hAnsi="Times New Roman"/>
          <w:b/>
          <w:noProof/>
          <w:sz w:val="24"/>
        </w:rPr>
        <w:t>Le règlement de l’UE sur le filtrage des IDE et les mécanismes de filtrage des IDE des États membres de l’UE</w:t>
      </w:r>
    </w:p>
    <w:p w14:paraId="128D9685" w14:textId="77777777" w:rsidR="00BA2DAA" w:rsidRDefault="008D2041" w:rsidP="00CF76DC">
      <w:pPr>
        <w:spacing w:line="240" w:lineRule="auto"/>
        <w:jc w:val="both"/>
        <w:rPr>
          <w:rFonts w:ascii="Times New Roman" w:hAnsi="Times New Roman" w:cs="Times New Roman"/>
          <w:noProof/>
          <w:sz w:val="24"/>
          <w:szCs w:val="24"/>
        </w:rPr>
      </w:pPr>
      <w:r>
        <w:rPr>
          <w:rFonts w:ascii="Times New Roman" w:hAnsi="Times New Roman"/>
          <w:noProof/>
          <w:sz w:val="24"/>
        </w:rPr>
        <w:t>Bien que le règlement de l’UE sur le filtrage des IDE n’impose pas aux États membres de mettre en place un mécanisme de filtrage national</w:t>
      </w:r>
      <w:r>
        <w:rPr>
          <w:rStyle w:val="FootnoteReference"/>
          <w:rFonts w:ascii="Times New Roman" w:hAnsi="Times New Roman" w:cs="Times New Roman"/>
          <w:noProof/>
          <w:sz w:val="24"/>
          <w:szCs w:val="24"/>
        </w:rPr>
        <w:footnoteReference w:id="13"/>
      </w:r>
      <w:r>
        <w:rPr>
          <w:rFonts w:ascii="Times New Roman" w:hAnsi="Times New Roman"/>
          <w:noProof/>
          <w:sz w:val="24"/>
        </w:rPr>
        <w:t xml:space="preserve">, la Commission européenne continue d’encourager les États membres, à l’échelon tant politique que technique, à adopter, adapter et appliquer des mécanismes de filtrage nationaux. Plus récemment, la Commission européenne a invité les États membres à mettre en place un mécanisme de filtrage à part entière dans les orientations de </w:t>
      </w:r>
      <w:r w:rsidRPr="00C316A8">
        <w:rPr>
          <w:rFonts w:ascii="Times New Roman" w:hAnsi="Times New Roman"/>
          <w:noProof/>
          <w:sz w:val="24"/>
        </w:rPr>
        <w:t>2020</w:t>
      </w:r>
      <w:r>
        <w:rPr>
          <w:rFonts w:ascii="Times New Roman" w:hAnsi="Times New Roman"/>
          <w:noProof/>
          <w:sz w:val="24"/>
        </w:rPr>
        <w:t xml:space="preserve"> à l’intention des États membres concernant la manière d’utiliser le filtrage des IDE en période de crise de santé publique et de vulnérabilité économique dans l’UE</w:t>
      </w:r>
      <w:r>
        <w:rPr>
          <w:rStyle w:val="FootnoteReference"/>
          <w:rFonts w:ascii="Times New Roman" w:hAnsi="Times New Roman" w:cs="Times New Roman"/>
          <w:noProof/>
          <w:sz w:val="24"/>
          <w:szCs w:val="24"/>
        </w:rPr>
        <w:footnoteReference w:id="14"/>
      </w:r>
      <w:r>
        <w:rPr>
          <w:rFonts w:ascii="Times New Roman" w:hAnsi="Times New Roman"/>
          <w:noProof/>
          <w:sz w:val="24"/>
        </w:rPr>
        <w:t xml:space="preserve"> et dans les orientations de </w:t>
      </w:r>
      <w:r w:rsidRPr="00C316A8">
        <w:rPr>
          <w:rFonts w:ascii="Times New Roman" w:hAnsi="Times New Roman"/>
          <w:noProof/>
          <w:sz w:val="24"/>
        </w:rPr>
        <w:t>2022</w:t>
      </w:r>
      <w:r>
        <w:rPr>
          <w:rFonts w:ascii="Times New Roman" w:hAnsi="Times New Roman"/>
          <w:noProof/>
          <w:sz w:val="24"/>
        </w:rPr>
        <w:t xml:space="preserve"> à l’intention des États membres concernant les IDE en provenance de Russie et de Biélorussie</w:t>
      </w:r>
      <w:r>
        <w:rPr>
          <w:rStyle w:val="FootnoteReference"/>
          <w:rFonts w:ascii="Times New Roman" w:hAnsi="Times New Roman" w:cs="Times New Roman"/>
          <w:noProof/>
          <w:sz w:val="24"/>
          <w:szCs w:val="24"/>
        </w:rPr>
        <w:footnoteReference w:id="15"/>
      </w:r>
      <w:r>
        <w:rPr>
          <w:rFonts w:ascii="Times New Roman" w:hAnsi="Times New Roman"/>
          <w:noProof/>
          <w:sz w:val="24"/>
        </w:rPr>
        <w:t>.</w:t>
      </w:r>
    </w:p>
    <w:p w14:paraId="5CD42962" w14:textId="77777777" w:rsidR="004B4461" w:rsidRDefault="004B4461" w:rsidP="00CF76DC">
      <w:pPr>
        <w:spacing w:line="240" w:lineRule="auto"/>
        <w:jc w:val="both"/>
        <w:rPr>
          <w:rFonts w:ascii="Times New Roman" w:hAnsi="Times New Roman" w:cs="Times New Roman"/>
          <w:noProof/>
          <w:sz w:val="24"/>
          <w:szCs w:val="24"/>
        </w:rPr>
      </w:pPr>
      <w:r>
        <w:rPr>
          <w:rFonts w:ascii="Times New Roman" w:hAnsi="Times New Roman"/>
          <w:noProof/>
          <w:sz w:val="24"/>
        </w:rPr>
        <w:t xml:space="preserve">La Commission européenne encourage activement cette évolution dans tous les États membres, en facilitant les progrès et le rapprochement des processus législatifs nationaux. Tout au long de l’année </w:t>
      </w:r>
      <w:r w:rsidRPr="00C316A8">
        <w:rPr>
          <w:rFonts w:ascii="Times New Roman" w:hAnsi="Times New Roman"/>
          <w:noProof/>
          <w:sz w:val="24"/>
        </w:rPr>
        <w:t>2021</w:t>
      </w:r>
      <w:r>
        <w:rPr>
          <w:rFonts w:ascii="Times New Roman" w:hAnsi="Times New Roman"/>
          <w:noProof/>
          <w:sz w:val="24"/>
        </w:rPr>
        <w:t>, la Commission européenne a aidé les États membres en leur fournissant des orientations techniques et stratégiques et en organisant des réunions techniques et des échanges d’informations, y compris des échanges de bonnes pratiques.</w:t>
      </w:r>
    </w:p>
    <w:p w14:paraId="52446FDD" w14:textId="59AE110A" w:rsidR="004B4461" w:rsidRDefault="004B4461" w:rsidP="00CF76DC">
      <w:pPr>
        <w:spacing w:line="240" w:lineRule="auto"/>
        <w:jc w:val="both"/>
        <w:rPr>
          <w:rFonts w:ascii="Times New Roman" w:hAnsi="Times New Roman" w:cs="Times New Roman"/>
          <w:noProof/>
          <w:sz w:val="24"/>
          <w:szCs w:val="24"/>
        </w:rPr>
      </w:pPr>
      <w:r>
        <w:rPr>
          <w:rFonts w:ascii="Times New Roman" w:hAnsi="Times New Roman"/>
          <w:noProof/>
          <w:sz w:val="24"/>
        </w:rPr>
        <w:t xml:space="preserve">Néanmoins, malgré cette coopération régulière et un certain nombre de similitudes importantes entre les mécanismes de filtrage nationaux, ces derniers présentent également des degrés de variation considérables en ce qui concerne la définition du filtrage formel d’un IDE, les délais applicables, les secteurs concernés, les exigences en matière de notification et d’autres éléments. Par conséquent, la Commission européenne reste déterminée à concourir au rapprochement des mécanismes de filtrage nationaux et espère que les vingt-sept États membres de l’UE disposeront bientôt tous d’un mécanisme national de filtrage des IDE. </w:t>
      </w:r>
    </w:p>
    <w:p w14:paraId="26845444" w14:textId="329DD2B5" w:rsidR="004B4461" w:rsidRPr="009B2E55" w:rsidRDefault="004B4461" w:rsidP="008B1F48">
      <w:pPr>
        <w:spacing w:after="0" w:line="240" w:lineRule="auto"/>
        <w:jc w:val="both"/>
        <w:rPr>
          <w:rFonts w:ascii="Times New Roman" w:hAnsi="Times New Roman" w:cs="Times New Roman"/>
          <w:noProof/>
          <w:sz w:val="24"/>
          <w:szCs w:val="24"/>
        </w:rPr>
      </w:pPr>
      <w:r>
        <w:rPr>
          <w:rFonts w:ascii="Times New Roman" w:hAnsi="Times New Roman"/>
          <w:noProof/>
          <w:sz w:val="24"/>
        </w:rPr>
        <w:t>Il est nécessaire que les vingt-sept États membres disposent d’un mécanisme national de filtrage pour protéger l’Union contre les investissements étrangers potentiellement risqués en provenance de pays tiers. Cela permettrait aux vingt-sept États membres et la Commission européenne de procéder à un filtrage des IDE pertinents et de protéger ainsi la sécurité collective des États membres et de l’Union, ainsi que la sécurité du marché unique et le niveau très élevé d’intégration économique qu’il rend possible.</w:t>
      </w:r>
    </w:p>
    <w:p w14:paraId="3DA18C85" w14:textId="77777777" w:rsidR="004641DD" w:rsidRDefault="008017CF" w:rsidP="00CF76DC">
      <w:pPr>
        <w:spacing w:line="240" w:lineRule="auto"/>
        <w:jc w:val="both"/>
        <w:rPr>
          <w:rFonts w:ascii="Times New Roman" w:hAnsi="Times New Roman" w:cs="Times New Roman"/>
          <w:b/>
          <w:noProof/>
          <w:sz w:val="24"/>
          <w:szCs w:val="24"/>
        </w:rPr>
      </w:pPr>
      <w:r>
        <w:rPr>
          <w:rFonts w:ascii="Times New Roman" w:hAnsi="Times New Roman"/>
          <w:b/>
          <w:noProof/>
          <w:sz w:val="24"/>
        </w:rPr>
        <w:t>Aperçu des États membres ayant ou instaurant un mécanisme de filtrage</w:t>
      </w:r>
    </w:p>
    <w:p w14:paraId="79989FA8" w14:textId="77777777" w:rsidR="00C757BB" w:rsidRDefault="00EB11FF" w:rsidP="00CF76DC">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La pandémie mondiale et les récentes perturbations des chaînes d’approvisionnement mondiales ont attiré l’attention sur le caractère critique de certains secteurs clés, tels que les soins de santé et l’énergie. Cela a incité de nombreux États membres de l’UE à adopter de nouveaux mécanismes de filtrage nationaux ou à mettre à jour et à étendre les mécanismes existants. En </w:t>
      </w:r>
      <w:r w:rsidRPr="00C316A8">
        <w:rPr>
          <w:rFonts w:ascii="Times New Roman" w:hAnsi="Times New Roman"/>
          <w:noProof/>
          <w:sz w:val="24"/>
        </w:rPr>
        <w:t>2021</w:t>
      </w:r>
      <w:r>
        <w:rPr>
          <w:rFonts w:ascii="Times New Roman" w:hAnsi="Times New Roman"/>
          <w:noProof/>
          <w:sz w:val="24"/>
        </w:rPr>
        <w:t xml:space="preserve">, trois États membres ont adopté un mécanisme de filtrage et six États membres ont modifié leur mécanisme existant. À la fin de </w:t>
      </w:r>
      <w:r w:rsidRPr="00C316A8">
        <w:rPr>
          <w:rFonts w:ascii="Times New Roman" w:hAnsi="Times New Roman"/>
          <w:noProof/>
          <w:sz w:val="24"/>
        </w:rPr>
        <w:t>2021</w:t>
      </w:r>
      <w:r>
        <w:rPr>
          <w:rFonts w:ascii="Times New Roman" w:hAnsi="Times New Roman"/>
          <w:noProof/>
          <w:sz w:val="24"/>
        </w:rPr>
        <w:t xml:space="preserve">, sept États membres avaient déjà engagé des processus consultatifs ou législatifs en vue d’établir un mécanisme de filtrage national. Au total, en </w:t>
      </w:r>
      <w:r w:rsidRPr="00C316A8">
        <w:rPr>
          <w:rFonts w:ascii="Times New Roman" w:hAnsi="Times New Roman"/>
          <w:noProof/>
          <w:sz w:val="24"/>
        </w:rPr>
        <w:t>2021</w:t>
      </w:r>
      <w:r>
        <w:rPr>
          <w:rFonts w:ascii="Times New Roman" w:hAnsi="Times New Roman"/>
          <w:noProof/>
          <w:sz w:val="24"/>
        </w:rPr>
        <w:t xml:space="preserve">, deux tiers des États membres de l’UE disposaient d’une législation sur le filtrage des IDE. Le filtrage des IDE s’accélère dans l’UE. </w:t>
      </w:r>
    </w:p>
    <w:p w14:paraId="6F31EBF6" w14:textId="65F186C5" w:rsidR="008E6311" w:rsidRPr="00870C9B" w:rsidRDefault="08019866" w:rsidP="00CF76DC">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La carte ci-dessous donne un aperçu de la situation législative dans les États membres de l’UE. </w:t>
      </w:r>
    </w:p>
    <w:p w14:paraId="5D82A408" w14:textId="56CBA6C4" w:rsidR="00A53E77" w:rsidRDefault="002B2E5C" w:rsidP="0083583F">
      <w:pPr>
        <w:jc w:val="center"/>
        <w:rPr>
          <w:rFonts w:ascii="Times New Roman" w:hAnsi="Times New Roman" w:cs="Times New Roman"/>
          <w:b/>
          <w:bCs/>
          <w:noProof/>
          <w:sz w:val="24"/>
          <w:szCs w:val="24"/>
        </w:rPr>
      </w:pPr>
      <w:r>
        <w:rPr>
          <w:rFonts w:ascii="Times New Roman" w:hAnsi="Times New Roman" w:cs="Times New Roman"/>
          <w:b/>
          <w:bCs/>
          <w:noProof/>
          <w:sz w:val="24"/>
          <w:szCs w:val="24"/>
          <w:lang w:val="en-GB" w:eastAsia="en-GB"/>
        </w:rPr>
        <w:drawing>
          <wp:inline distT="0" distB="0" distL="0" distR="0" wp14:anchorId="7FAC866C" wp14:editId="0A115A8E">
            <wp:extent cx="4596765" cy="5755005"/>
            <wp:effectExtent l="0" t="0" r="0" b="0"/>
            <wp:docPr id="1991147439" name="Picture 1991147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96765" cy="5755005"/>
                    </a:xfrm>
                    <a:prstGeom prst="rect">
                      <a:avLst/>
                    </a:prstGeom>
                    <a:noFill/>
                  </pic:spPr>
                </pic:pic>
              </a:graphicData>
            </a:graphic>
          </wp:inline>
        </w:drawing>
      </w:r>
    </w:p>
    <w:p w14:paraId="25304175" w14:textId="77777777" w:rsidR="009D65C4" w:rsidRDefault="009D65C4" w:rsidP="004641DD">
      <w:pPr>
        <w:jc w:val="both"/>
        <w:rPr>
          <w:rFonts w:ascii="Times New Roman" w:hAnsi="Times New Roman" w:cs="Times New Roman"/>
          <w:b/>
          <w:noProof/>
          <w:sz w:val="24"/>
          <w:szCs w:val="24"/>
        </w:rPr>
      </w:pPr>
    </w:p>
    <w:p w14:paraId="77DBA4DD" w14:textId="7FA4B3B1" w:rsidR="004641DD" w:rsidRPr="006D4576" w:rsidRDefault="004641DD" w:rsidP="004641DD">
      <w:pPr>
        <w:jc w:val="both"/>
        <w:rPr>
          <w:rFonts w:ascii="Times New Roman" w:hAnsi="Times New Roman" w:cs="Times New Roman"/>
          <w:b/>
          <w:noProof/>
          <w:sz w:val="24"/>
          <w:szCs w:val="24"/>
        </w:rPr>
      </w:pPr>
      <w:r>
        <w:rPr>
          <w:rFonts w:ascii="Times New Roman" w:hAnsi="Times New Roman"/>
          <w:b/>
          <w:noProof/>
          <w:sz w:val="24"/>
        </w:rPr>
        <w:t xml:space="preserve">Évolution dans les États membres de l’UE en </w:t>
      </w:r>
      <w:r w:rsidRPr="00C316A8">
        <w:rPr>
          <w:rFonts w:ascii="Times New Roman" w:hAnsi="Times New Roman"/>
          <w:b/>
          <w:noProof/>
          <w:sz w:val="24"/>
        </w:rPr>
        <w:t>2021</w:t>
      </w:r>
      <w:r>
        <w:rPr>
          <w:rFonts w:ascii="Times New Roman" w:hAnsi="Times New Roman"/>
          <w:b/>
          <w:noProof/>
          <w:sz w:val="24"/>
        </w:rPr>
        <w:t xml:space="preserve"> — Mécanismes de filtrage des IDE</w:t>
      </w:r>
    </w:p>
    <w:p w14:paraId="4050A9F2" w14:textId="77777777" w:rsidR="004641DD" w:rsidRPr="00B13C5B" w:rsidRDefault="00A04569" w:rsidP="004641DD">
      <w:pPr>
        <w:jc w:val="both"/>
        <w:rPr>
          <w:rFonts w:ascii="Times New Roman" w:hAnsi="Times New Roman" w:cs="Times New Roman"/>
          <w:noProof/>
          <w:sz w:val="24"/>
          <w:szCs w:val="24"/>
          <w:u w:val="single"/>
        </w:rPr>
      </w:pPr>
      <w:r>
        <w:rPr>
          <w:rFonts w:ascii="Times New Roman" w:hAnsi="Times New Roman"/>
          <w:noProof/>
          <w:sz w:val="24"/>
        </w:rPr>
        <w:t xml:space="preserve">Cette année-là, </w:t>
      </w:r>
      <w:r w:rsidRPr="00C316A8">
        <w:rPr>
          <w:rFonts w:ascii="Times New Roman" w:hAnsi="Times New Roman"/>
          <w:noProof/>
          <w:sz w:val="24"/>
          <w:u w:val="single"/>
        </w:rPr>
        <w:t>25</w:t>
      </w:r>
      <w:r>
        <w:rPr>
          <w:rFonts w:ascii="Times New Roman" w:hAnsi="Times New Roman"/>
          <w:noProof/>
          <w:sz w:val="24"/>
          <w:u w:val="single"/>
        </w:rPr>
        <w:t xml:space="preserve"> des </w:t>
      </w:r>
      <w:r w:rsidRPr="00C316A8">
        <w:rPr>
          <w:rFonts w:ascii="Times New Roman" w:hAnsi="Times New Roman"/>
          <w:noProof/>
          <w:sz w:val="24"/>
          <w:u w:val="single"/>
        </w:rPr>
        <w:t>27</w:t>
      </w:r>
      <w:r>
        <w:rPr>
          <w:rFonts w:ascii="Times New Roman" w:hAnsi="Times New Roman"/>
          <w:noProof/>
          <w:sz w:val="24"/>
          <w:u w:val="single"/>
        </w:rPr>
        <w:t xml:space="preserve"> États membres de l’UE</w:t>
      </w:r>
      <w:r>
        <w:rPr>
          <w:rFonts w:ascii="Times New Roman" w:hAnsi="Times New Roman"/>
          <w:noProof/>
          <w:sz w:val="24"/>
        </w:rPr>
        <w:t>:</w:t>
      </w:r>
    </w:p>
    <w:p w14:paraId="719485E6" w14:textId="77777777" w:rsidR="00A04569" w:rsidRDefault="00A04569" w:rsidP="004641DD">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disposaient d’un mécanisme national de filtrage des IDE,</w:t>
      </w:r>
    </w:p>
    <w:p w14:paraId="69E1B25A" w14:textId="77777777" w:rsidR="004641DD" w:rsidRPr="00E87866" w:rsidRDefault="004641DD" w:rsidP="004641DD">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ont adopté un nouveau mécanisme national de filtrage des IDE,</w:t>
      </w:r>
    </w:p>
    <w:p w14:paraId="128412D2" w14:textId="77777777" w:rsidR="004641DD" w:rsidRPr="00E87866" w:rsidRDefault="004641DD" w:rsidP="004641DD">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ont modifié un mécanisme de filtrage existant, ou</w:t>
      </w:r>
    </w:p>
    <w:p w14:paraId="6FD2B9E2" w14:textId="77777777" w:rsidR="004641DD" w:rsidRDefault="004641DD" w:rsidP="004641DD">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ont engagé un processus consultatif ou législatif devant aboutir à l’adoption d’un nouveau mécanisme ou à la modification d’un mécanisme existant.</w:t>
      </w:r>
    </w:p>
    <w:p w14:paraId="02320AC4" w14:textId="5E1AABD9" w:rsidR="00070908" w:rsidRDefault="004318BF" w:rsidP="00CF76DC">
      <w:pPr>
        <w:spacing w:line="240" w:lineRule="auto"/>
        <w:jc w:val="both"/>
        <w:rPr>
          <w:rFonts w:ascii="Times New Roman" w:hAnsi="Times New Roman" w:cs="Times New Roman"/>
          <w:noProof/>
          <w:sz w:val="24"/>
          <w:szCs w:val="24"/>
        </w:rPr>
      </w:pPr>
      <w:r>
        <w:rPr>
          <w:rFonts w:ascii="Times New Roman" w:hAnsi="Times New Roman"/>
          <w:noProof/>
          <w:sz w:val="24"/>
        </w:rPr>
        <w:t xml:space="preserve">Le tableau suivant donne un aperçu de la situation et de l’évolution de la législation des </w:t>
      </w:r>
      <w:r w:rsidRPr="00C316A8">
        <w:rPr>
          <w:rFonts w:ascii="Times New Roman" w:hAnsi="Times New Roman"/>
          <w:noProof/>
          <w:sz w:val="24"/>
        </w:rPr>
        <w:t>27</w:t>
      </w:r>
      <w:r>
        <w:rPr>
          <w:rFonts w:ascii="Times New Roman" w:hAnsi="Times New Roman"/>
          <w:noProof/>
          <w:sz w:val="24"/>
        </w:rPr>
        <w:t xml:space="preserve"> États membres en </w:t>
      </w:r>
      <w:r w:rsidRPr="00C316A8">
        <w:rPr>
          <w:rFonts w:ascii="Times New Roman" w:hAnsi="Times New Roman"/>
          <w:noProof/>
          <w:sz w:val="24"/>
        </w:rPr>
        <w:t>2021</w:t>
      </w:r>
      <w:r>
        <w:rPr>
          <w:rStyle w:val="FootnoteReference"/>
          <w:rFonts w:ascii="Times New Roman" w:hAnsi="Times New Roman" w:cs="Times New Roman"/>
          <w:noProof/>
          <w:sz w:val="24"/>
          <w:szCs w:val="24"/>
        </w:rPr>
        <w:footnoteReference w:id="16"/>
      </w:r>
      <w:r>
        <w:rPr>
          <w:rFonts w:ascii="Times New Roman" w:hAnsi="Times New Roman"/>
          <w:noProof/>
          <w:sz w:val="24"/>
        </w:rPr>
        <w:t>.</w:t>
      </w:r>
    </w:p>
    <w:tbl>
      <w:tblPr>
        <w:tblStyle w:val="TableGrid"/>
        <w:tblW w:w="0" w:type="auto"/>
        <w:tblLook w:val="04A0" w:firstRow="1" w:lastRow="0" w:firstColumn="1" w:lastColumn="0" w:noHBand="0" w:noVBand="1"/>
      </w:tblPr>
      <w:tblGrid>
        <w:gridCol w:w="4621"/>
        <w:gridCol w:w="4621"/>
      </w:tblGrid>
      <w:tr w:rsidR="00A04569" w:rsidRPr="00655927" w14:paraId="07D155E8" w14:textId="77777777" w:rsidTr="00277F3E">
        <w:tc>
          <w:tcPr>
            <w:tcW w:w="4621" w:type="dxa"/>
          </w:tcPr>
          <w:p w14:paraId="54D3B7D3" w14:textId="77777777" w:rsidR="00A04569" w:rsidRPr="0083583F" w:rsidRDefault="00A6058B" w:rsidP="00A6058B">
            <w:pPr>
              <w:jc w:val="both"/>
              <w:rPr>
                <w:rFonts w:ascii="Times New Roman" w:hAnsi="Times New Roman" w:cs="Times New Roman"/>
                <w:b/>
                <w:noProof/>
                <w:sz w:val="24"/>
                <w:szCs w:val="24"/>
              </w:rPr>
            </w:pPr>
            <w:r>
              <w:rPr>
                <w:rFonts w:ascii="Times New Roman" w:hAnsi="Times New Roman"/>
                <w:b/>
                <w:noProof/>
                <w:sz w:val="24"/>
              </w:rPr>
              <w:t>Disposaient d’un mécanisme national de filtrage des IDE</w:t>
            </w:r>
          </w:p>
        </w:tc>
        <w:tc>
          <w:tcPr>
            <w:tcW w:w="4621" w:type="dxa"/>
          </w:tcPr>
          <w:p w14:paraId="59400374" w14:textId="77777777" w:rsidR="00A04569" w:rsidRPr="000F4BBD" w:rsidRDefault="00A04569" w:rsidP="00CF76DC">
            <w:pPr>
              <w:jc w:val="both"/>
              <w:rPr>
                <w:rFonts w:ascii="Times New Roman" w:hAnsi="Times New Roman" w:cs="Times New Roman"/>
                <w:noProof/>
                <w:sz w:val="24"/>
                <w:szCs w:val="24"/>
              </w:rPr>
            </w:pPr>
            <w:r>
              <w:rPr>
                <w:rFonts w:ascii="Times New Roman" w:hAnsi="Times New Roman"/>
                <w:noProof/>
                <w:sz w:val="24"/>
              </w:rPr>
              <w:t>Espagne, Malte, Autriche, Pologne, Portugal, Slovénie, Finlande</w:t>
            </w:r>
          </w:p>
        </w:tc>
      </w:tr>
      <w:tr w:rsidR="009B485A" w:rsidRPr="00E87866" w14:paraId="2F992A69" w14:textId="77777777" w:rsidTr="00D92EE0">
        <w:tc>
          <w:tcPr>
            <w:tcW w:w="4621" w:type="dxa"/>
          </w:tcPr>
          <w:p w14:paraId="04D953D1" w14:textId="77777777" w:rsidR="009B485A" w:rsidRPr="001909C3" w:rsidRDefault="00A6058B" w:rsidP="00CF76DC">
            <w:pPr>
              <w:jc w:val="both"/>
              <w:rPr>
                <w:rFonts w:ascii="Times New Roman" w:hAnsi="Times New Roman" w:cs="Times New Roman"/>
                <w:b/>
                <w:noProof/>
                <w:sz w:val="24"/>
                <w:szCs w:val="24"/>
              </w:rPr>
            </w:pPr>
            <w:r>
              <w:rPr>
                <w:rFonts w:ascii="Times New Roman" w:hAnsi="Times New Roman"/>
                <w:b/>
                <w:noProof/>
                <w:sz w:val="24"/>
              </w:rPr>
              <w:t>Ont modifié un mécanisme existant</w:t>
            </w:r>
          </w:p>
        </w:tc>
        <w:tc>
          <w:tcPr>
            <w:tcW w:w="4621" w:type="dxa"/>
          </w:tcPr>
          <w:p w14:paraId="207124B0" w14:textId="77777777" w:rsidR="009B485A" w:rsidRPr="00E87866" w:rsidRDefault="009B485A" w:rsidP="00C400C4">
            <w:pPr>
              <w:jc w:val="both"/>
              <w:rPr>
                <w:rFonts w:ascii="Times New Roman" w:hAnsi="Times New Roman" w:cs="Times New Roman"/>
                <w:noProof/>
                <w:sz w:val="24"/>
                <w:szCs w:val="24"/>
              </w:rPr>
            </w:pPr>
            <w:r>
              <w:rPr>
                <w:rFonts w:ascii="Times New Roman" w:hAnsi="Times New Roman"/>
                <w:noProof/>
                <w:sz w:val="24"/>
              </w:rPr>
              <w:t>Allemagne, France, Italie, Lettonie, Lituanie, Hongrie</w:t>
            </w:r>
          </w:p>
        </w:tc>
      </w:tr>
      <w:tr w:rsidR="000D62ED" w:rsidRPr="008A59B4" w14:paraId="634058C7" w14:textId="77777777" w:rsidTr="00CE0D23">
        <w:tc>
          <w:tcPr>
            <w:tcW w:w="4621" w:type="dxa"/>
          </w:tcPr>
          <w:p w14:paraId="21FCDA02" w14:textId="1EB6A3CF" w:rsidR="000D62ED" w:rsidRDefault="00A6058B" w:rsidP="00E87459">
            <w:pPr>
              <w:jc w:val="both"/>
              <w:rPr>
                <w:rFonts w:ascii="Times New Roman" w:hAnsi="Times New Roman" w:cs="Times New Roman"/>
                <w:b/>
                <w:noProof/>
                <w:sz w:val="24"/>
                <w:szCs w:val="24"/>
              </w:rPr>
            </w:pPr>
            <w:r>
              <w:rPr>
                <w:rFonts w:ascii="Times New Roman" w:hAnsi="Times New Roman"/>
                <w:b/>
                <w:noProof/>
                <w:sz w:val="24"/>
              </w:rPr>
              <w:t>Ont engagé un processus consultatif ou législatif devant aboutir à la modernisation d’un mécanisme existant</w:t>
            </w:r>
          </w:p>
        </w:tc>
        <w:tc>
          <w:tcPr>
            <w:tcW w:w="4621" w:type="dxa"/>
          </w:tcPr>
          <w:p w14:paraId="7C444CB9" w14:textId="7946259E" w:rsidR="000D62ED" w:rsidRPr="000F4BBD" w:rsidRDefault="000D62ED" w:rsidP="00BD66EB">
            <w:pPr>
              <w:jc w:val="both"/>
              <w:rPr>
                <w:rFonts w:ascii="Times New Roman" w:hAnsi="Times New Roman" w:cs="Times New Roman"/>
                <w:noProof/>
                <w:sz w:val="24"/>
                <w:szCs w:val="24"/>
              </w:rPr>
            </w:pPr>
            <w:r>
              <w:rPr>
                <w:rFonts w:ascii="Times New Roman" w:hAnsi="Times New Roman"/>
                <w:noProof/>
                <w:sz w:val="24"/>
              </w:rPr>
              <w:t>Pays-Bas, Roumanie</w:t>
            </w:r>
          </w:p>
        </w:tc>
      </w:tr>
      <w:tr w:rsidR="000D62ED" w:rsidRPr="00E87866" w14:paraId="6F1E07C6" w14:textId="77777777" w:rsidTr="00CE0D23">
        <w:tc>
          <w:tcPr>
            <w:tcW w:w="4621" w:type="dxa"/>
          </w:tcPr>
          <w:p w14:paraId="369AC8FF" w14:textId="77777777" w:rsidR="000D62ED" w:rsidRPr="00E87866" w:rsidRDefault="00A6058B" w:rsidP="00A6058B">
            <w:pPr>
              <w:jc w:val="both"/>
              <w:rPr>
                <w:rFonts w:ascii="Times New Roman" w:hAnsi="Times New Roman" w:cs="Times New Roman"/>
                <w:b/>
                <w:noProof/>
                <w:sz w:val="24"/>
                <w:szCs w:val="24"/>
              </w:rPr>
            </w:pPr>
            <w:r>
              <w:rPr>
                <w:rFonts w:ascii="Times New Roman" w:hAnsi="Times New Roman"/>
                <w:b/>
                <w:noProof/>
                <w:sz w:val="24"/>
              </w:rPr>
              <w:t>Ont adopté un nouveau mécanisme national de filtrage des IDE</w:t>
            </w:r>
          </w:p>
        </w:tc>
        <w:tc>
          <w:tcPr>
            <w:tcW w:w="4621" w:type="dxa"/>
          </w:tcPr>
          <w:p w14:paraId="6B1DBE65" w14:textId="748A458D" w:rsidR="000D62ED" w:rsidRPr="00E87866" w:rsidRDefault="000D62ED" w:rsidP="00CF76DC">
            <w:pPr>
              <w:jc w:val="both"/>
              <w:rPr>
                <w:rFonts w:ascii="Times New Roman" w:hAnsi="Times New Roman" w:cs="Times New Roman"/>
                <w:noProof/>
                <w:sz w:val="24"/>
                <w:szCs w:val="24"/>
              </w:rPr>
            </w:pPr>
            <w:r>
              <w:rPr>
                <w:rFonts w:ascii="Times New Roman" w:hAnsi="Times New Roman"/>
                <w:noProof/>
                <w:sz w:val="24"/>
              </w:rPr>
              <w:t>Tchéquie, Danemark, Slovaquie</w:t>
            </w:r>
          </w:p>
        </w:tc>
      </w:tr>
      <w:tr w:rsidR="009B485A" w:rsidRPr="0043624E" w14:paraId="3EFCC049" w14:textId="77777777" w:rsidTr="00D92EE0">
        <w:tc>
          <w:tcPr>
            <w:tcW w:w="4621" w:type="dxa"/>
          </w:tcPr>
          <w:p w14:paraId="6E1D2419" w14:textId="3CFD3ECB" w:rsidR="009B485A" w:rsidRPr="00E87866" w:rsidRDefault="00A6058B" w:rsidP="00E30107">
            <w:pPr>
              <w:jc w:val="both"/>
              <w:rPr>
                <w:rFonts w:ascii="Times New Roman" w:hAnsi="Times New Roman" w:cs="Times New Roman"/>
                <w:noProof/>
                <w:sz w:val="24"/>
                <w:szCs w:val="24"/>
              </w:rPr>
            </w:pPr>
            <w:r>
              <w:rPr>
                <w:rFonts w:ascii="Times New Roman" w:hAnsi="Times New Roman"/>
                <w:b/>
                <w:noProof/>
                <w:sz w:val="24"/>
              </w:rPr>
              <w:t>Ont engagé un processus consultatif ou législatif devant aboutir à l’adoption d’un nouveau mécanisme</w:t>
            </w:r>
          </w:p>
        </w:tc>
        <w:tc>
          <w:tcPr>
            <w:tcW w:w="4621" w:type="dxa"/>
          </w:tcPr>
          <w:p w14:paraId="6EFEC5F2" w14:textId="77777777" w:rsidR="009B485A" w:rsidRPr="000D62ED" w:rsidRDefault="009B485A" w:rsidP="00095D48">
            <w:pPr>
              <w:jc w:val="both"/>
              <w:rPr>
                <w:rFonts w:ascii="Times New Roman" w:hAnsi="Times New Roman" w:cs="Times New Roman"/>
                <w:noProof/>
                <w:sz w:val="24"/>
                <w:szCs w:val="24"/>
              </w:rPr>
            </w:pPr>
            <w:r>
              <w:rPr>
                <w:rFonts w:ascii="Times New Roman" w:hAnsi="Times New Roman"/>
                <w:noProof/>
                <w:sz w:val="24"/>
              </w:rPr>
              <w:t xml:space="preserve">Belgique, Estonie, Irlande, Grèce, Croatie, Luxembourg, Suède </w:t>
            </w:r>
          </w:p>
        </w:tc>
      </w:tr>
      <w:tr w:rsidR="009B485A" w:rsidRPr="00926CC0" w14:paraId="19DFD947" w14:textId="77777777" w:rsidTr="0083583F">
        <w:trPr>
          <w:trHeight w:val="369"/>
        </w:trPr>
        <w:tc>
          <w:tcPr>
            <w:tcW w:w="4621" w:type="dxa"/>
          </w:tcPr>
          <w:p w14:paraId="4A9CE9B2" w14:textId="7E2F67DB" w:rsidR="00DC2D19" w:rsidRPr="00E87866" w:rsidRDefault="00A6058B" w:rsidP="00CF76DC">
            <w:pPr>
              <w:rPr>
                <w:rFonts w:ascii="Times New Roman" w:hAnsi="Times New Roman" w:cs="Times New Roman"/>
                <w:b/>
                <w:noProof/>
                <w:sz w:val="24"/>
                <w:szCs w:val="24"/>
              </w:rPr>
            </w:pPr>
            <w:r>
              <w:rPr>
                <w:rFonts w:ascii="Times New Roman" w:hAnsi="Times New Roman"/>
                <w:b/>
                <w:noProof/>
                <w:sz w:val="24"/>
              </w:rPr>
              <w:t>Aucune notification publique concernant une initiative en cours n’a été faite</w:t>
            </w:r>
          </w:p>
        </w:tc>
        <w:tc>
          <w:tcPr>
            <w:tcW w:w="4621" w:type="dxa"/>
          </w:tcPr>
          <w:p w14:paraId="00BE26B7" w14:textId="77777777" w:rsidR="009B485A" w:rsidRPr="00F11D64" w:rsidRDefault="009B485A" w:rsidP="00CF76DC">
            <w:pPr>
              <w:jc w:val="both"/>
              <w:rPr>
                <w:rFonts w:ascii="Times New Roman" w:hAnsi="Times New Roman" w:cs="Times New Roman"/>
                <w:noProof/>
                <w:sz w:val="24"/>
                <w:szCs w:val="24"/>
              </w:rPr>
            </w:pPr>
            <w:r>
              <w:rPr>
                <w:rFonts w:ascii="Times New Roman" w:hAnsi="Times New Roman"/>
                <w:noProof/>
                <w:sz w:val="24"/>
              </w:rPr>
              <w:t>Bulgarie, Chypre</w:t>
            </w:r>
          </w:p>
        </w:tc>
      </w:tr>
    </w:tbl>
    <w:p w14:paraId="3B9F455F" w14:textId="3D7B4F2F" w:rsidR="004641DD" w:rsidRDefault="004641DD" w:rsidP="008B1F48">
      <w:pPr>
        <w:spacing w:before="160" w:line="240" w:lineRule="auto"/>
        <w:jc w:val="both"/>
        <w:rPr>
          <w:rFonts w:ascii="Times New Roman" w:hAnsi="Times New Roman" w:cs="Times New Roman"/>
          <w:noProof/>
          <w:sz w:val="24"/>
          <w:szCs w:val="24"/>
        </w:rPr>
      </w:pPr>
      <w:r>
        <w:rPr>
          <w:rFonts w:ascii="Times New Roman" w:hAnsi="Times New Roman"/>
          <w:noProof/>
          <w:sz w:val="24"/>
        </w:rPr>
        <w:t xml:space="preserve">La plupart des modifications apportées à la législation nationale portaient sur trois thèmes: améliorer les procédures de filtrage, étendre les secteurs concernés et prolonger la validité des mécanismes nationaux. Par exemple, la </w:t>
      </w:r>
      <w:r>
        <w:rPr>
          <w:rFonts w:ascii="Times New Roman" w:hAnsi="Times New Roman"/>
          <w:b/>
          <w:noProof/>
          <w:sz w:val="24"/>
        </w:rPr>
        <w:t>France</w:t>
      </w:r>
      <w:r>
        <w:rPr>
          <w:rFonts w:ascii="Times New Roman" w:hAnsi="Times New Roman"/>
          <w:noProof/>
          <w:sz w:val="24"/>
        </w:rPr>
        <w:t xml:space="preserve"> a abaissé le seuil à partir duquel les investissements des investisseurs non-UE sont examinés et demande désormais également aux investisseurs de soumettre le «formulaire B»</w:t>
      </w:r>
      <w:r>
        <w:rPr>
          <w:rStyle w:val="FootnoteReference"/>
          <w:rFonts w:ascii="Times New Roman" w:hAnsi="Times New Roman" w:cs="Times New Roman"/>
          <w:noProof/>
          <w:sz w:val="24"/>
          <w:szCs w:val="24"/>
        </w:rPr>
        <w:footnoteReference w:id="17"/>
      </w:r>
      <w:r>
        <w:rPr>
          <w:rFonts w:ascii="Times New Roman" w:hAnsi="Times New Roman"/>
          <w:noProof/>
          <w:sz w:val="24"/>
        </w:rPr>
        <w:t xml:space="preserve"> de notification de l’UE en même temps que les autres documents. L’</w:t>
      </w:r>
      <w:r>
        <w:rPr>
          <w:rFonts w:ascii="Times New Roman" w:hAnsi="Times New Roman"/>
          <w:b/>
          <w:noProof/>
          <w:sz w:val="24"/>
        </w:rPr>
        <w:t>Allemagne</w:t>
      </w:r>
      <w:r>
        <w:rPr>
          <w:rFonts w:ascii="Times New Roman" w:hAnsi="Times New Roman"/>
          <w:noProof/>
          <w:sz w:val="24"/>
        </w:rPr>
        <w:t xml:space="preserve"> a introduit une série de modifications procédurales (par exemple, l’ajout de seize nouveaux groupes de cas</w:t>
      </w:r>
      <w:r>
        <w:rPr>
          <w:rStyle w:val="FootnoteReference"/>
          <w:rFonts w:ascii="Times New Roman" w:hAnsi="Times New Roman" w:cs="Times New Roman"/>
          <w:noProof/>
          <w:sz w:val="24"/>
          <w:szCs w:val="24"/>
        </w:rPr>
        <w:footnoteReference w:id="18"/>
      </w:r>
      <w:r>
        <w:rPr>
          <w:rFonts w:ascii="Times New Roman" w:hAnsi="Times New Roman"/>
          <w:noProof/>
          <w:sz w:val="24"/>
        </w:rPr>
        <w:t xml:space="preserve"> liés aux technologies émergentes/sensibles), appliqué de nouveaux seuils pour l’acquisition de capitaux et de droits de vote qui nécessitent une notification et introduit de nouvelles exigences pour les investisseurs. L’</w:t>
      </w:r>
      <w:r>
        <w:rPr>
          <w:rFonts w:ascii="Times New Roman" w:hAnsi="Times New Roman"/>
          <w:b/>
          <w:noProof/>
          <w:sz w:val="24"/>
        </w:rPr>
        <w:t>Italie</w:t>
      </w:r>
      <w:r>
        <w:rPr>
          <w:rFonts w:ascii="Times New Roman" w:hAnsi="Times New Roman"/>
          <w:noProof/>
          <w:sz w:val="24"/>
        </w:rPr>
        <w:t xml:space="preserve"> a étendu l’applicabilité de son mécanisme de filtrage existant. La </w:t>
      </w:r>
      <w:r>
        <w:rPr>
          <w:rFonts w:ascii="Times New Roman" w:hAnsi="Times New Roman"/>
          <w:b/>
          <w:noProof/>
          <w:sz w:val="24"/>
        </w:rPr>
        <w:t>Lettonie</w:t>
      </w:r>
      <w:r>
        <w:rPr>
          <w:rFonts w:ascii="Times New Roman" w:hAnsi="Times New Roman"/>
          <w:noProof/>
          <w:sz w:val="24"/>
        </w:rPr>
        <w:t xml:space="preserve"> a, entre autres, étendu le pouvoir des autorités nationales de demander des informations complémentaires aux investisseurs.</w:t>
      </w:r>
      <w:r>
        <w:rPr>
          <w:noProof/>
        </w:rPr>
        <w:t xml:space="preserve"> </w:t>
      </w:r>
      <w:r>
        <w:rPr>
          <w:rFonts w:ascii="Times New Roman" w:hAnsi="Times New Roman"/>
          <w:noProof/>
          <w:sz w:val="24"/>
        </w:rPr>
        <w:t xml:space="preserve">La </w:t>
      </w:r>
      <w:r>
        <w:rPr>
          <w:rFonts w:ascii="Times New Roman" w:hAnsi="Times New Roman"/>
          <w:b/>
          <w:noProof/>
          <w:sz w:val="24"/>
        </w:rPr>
        <w:t>Lituanie</w:t>
      </w:r>
      <w:r>
        <w:rPr>
          <w:rFonts w:ascii="Times New Roman" w:hAnsi="Times New Roman"/>
          <w:noProof/>
          <w:sz w:val="24"/>
        </w:rPr>
        <w:t xml:space="preserve"> a, entre autres, adapté sa liste des entreprises et des infrastructures stratégiques qu’elle juge importantes. La </w:t>
      </w:r>
      <w:r>
        <w:rPr>
          <w:rFonts w:ascii="Times New Roman" w:hAnsi="Times New Roman"/>
          <w:b/>
          <w:noProof/>
          <w:sz w:val="24"/>
        </w:rPr>
        <w:t>Hongrie</w:t>
      </w:r>
      <w:r>
        <w:rPr>
          <w:rFonts w:ascii="Times New Roman" w:hAnsi="Times New Roman"/>
          <w:noProof/>
          <w:sz w:val="24"/>
        </w:rPr>
        <w:t xml:space="preserve"> a ajouté à sa législation d’autres activités des entreprises cibles qui exigent une notification des transactions prévues. Enfin, plusieurs autres États membres ont indiqué qu’ils envisageaient actuellement de modifier leurs mécanismes existants. </w:t>
      </w:r>
    </w:p>
    <w:p w14:paraId="683524EA" w14:textId="3C840B76" w:rsidR="004641DD" w:rsidRDefault="004641DD" w:rsidP="00CF76DC">
      <w:pPr>
        <w:spacing w:line="240" w:lineRule="auto"/>
        <w:jc w:val="both"/>
        <w:rPr>
          <w:rFonts w:ascii="Times New Roman" w:hAnsi="Times New Roman" w:cs="Times New Roman"/>
          <w:noProof/>
          <w:sz w:val="24"/>
          <w:szCs w:val="24"/>
        </w:rPr>
      </w:pPr>
      <w:r>
        <w:rPr>
          <w:rFonts w:ascii="Times New Roman" w:hAnsi="Times New Roman"/>
          <w:noProof/>
          <w:sz w:val="24"/>
        </w:rPr>
        <w:t>Des informations plus détaillées sur l’évolution législative des législations nationales des États membres en matière de filtrage sont disponibles dans le document de travail des services de la Commission joint au présent rapport. En outre, la Commission européenne actualise la liste des mises à jour législatives nationales</w:t>
      </w:r>
      <w:r>
        <w:rPr>
          <w:rStyle w:val="FootnoteReference"/>
          <w:rFonts w:ascii="Times New Roman" w:hAnsi="Times New Roman" w:cs="Times New Roman"/>
          <w:noProof/>
          <w:sz w:val="24"/>
          <w:szCs w:val="24"/>
        </w:rPr>
        <w:footnoteReference w:id="19"/>
      </w:r>
      <w:r>
        <w:rPr>
          <w:rFonts w:ascii="Times New Roman" w:hAnsi="Times New Roman"/>
          <w:noProof/>
          <w:sz w:val="24"/>
        </w:rPr>
        <w:t>.</w:t>
      </w:r>
    </w:p>
    <w:p w14:paraId="191656B7" w14:textId="77777777" w:rsidR="004641DD" w:rsidRPr="001909C3" w:rsidRDefault="004641DD" w:rsidP="004641DD">
      <w:pPr>
        <w:pStyle w:val="FrameContents"/>
        <w:rPr>
          <w:rFonts w:ascii="Times New Roman" w:hAnsi="Times New Roman" w:cs="Times New Roman"/>
          <w:b/>
          <w:noProof/>
        </w:rPr>
      </w:pPr>
      <w:r>
        <w:rPr>
          <w:rFonts w:ascii="Times New Roman" w:hAnsi="Times New Roman"/>
          <w:b/>
          <w:noProof/>
        </w:rPr>
        <w:t xml:space="preserve">CHAPITRE </w:t>
      </w:r>
      <w:r w:rsidRPr="00C316A8">
        <w:rPr>
          <w:rFonts w:ascii="Times New Roman" w:hAnsi="Times New Roman"/>
          <w:b/>
          <w:noProof/>
        </w:rPr>
        <w:t>3</w:t>
      </w:r>
      <w:r>
        <w:rPr>
          <w:rFonts w:ascii="Times New Roman" w:hAnsi="Times New Roman"/>
          <w:b/>
          <w:noProof/>
        </w:rPr>
        <w:t xml:space="preserve"> — ACTIVITÉS DE FILTRAGE DES IDE DES ÉTATS MEMBRES</w:t>
      </w:r>
    </w:p>
    <w:p w14:paraId="090975C9" w14:textId="77777777" w:rsidR="004641DD" w:rsidRPr="00276736" w:rsidRDefault="004641DD" w:rsidP="004641DD">
      <w:pPr>
        <w:pStyle w:val="FrameContents"/>
        <w:rPr>
          <w:rFonts w:ascii="Times New Roman" w:hAnsi="Times New Roman" w:cs="Times New Roman"/>
          <w:b/>
          <w:noProof/>
          <w:sz w:val="28"/>
          <w:lang w:val="fr-BE"/>
        </w:rPr>
      </w:pPr>
    </w:p>
    <w:p w14:paraId="4AF8688D" w14:textId="2213D3CC" w:rsidR="004641DD" w:rsidRPr="00CF01A5" w:rsidRDefault="004641DD" w:rsidP="00CF76DC">
      <w:pPr>
        <w:spacing w:line="240" w:lineRule="auto"/>
        <w:jc w:val="both"/>
        <w:rPr>
          <w:rFonts w:ascii="Times New Roman" w:hAnsi="Times New Roman" w:cs="Times New Roman"/>
          <w:noProof/>
          <w:sz w:val="24"/>
        </w:rPr>
      </w:pPr>
      <w:r>
        <w:rPr>
          <w:rFonts w:ascii="Times New Roman" w:hAnsi="Times New Roman"/>
          <w:noProof/>
          <w:sz w:val="24"/>
        </w:rPr>
        <w:t xml:space="preserve">Le règlement sur le filtrage des IDE établit un mécanisme de coopération pour le filtrage des IDE entre la Commission européenne et les États membres de l’UE. Toutefois, la décision relative aux investissements à filtrer, à approuver, à soumettre à des conditions ou à bloquer est prise par les États membres dans lesquels l’investissement a lieu. Le présent chapitre utilise et agrège les données fournies par les États membres sur les dossiers ayant fait l’objet d’un filtrage dans le cadre de leur législation et de leurs mécanismes de filtrage durant l’année </w:t>
      </w:r>
      <w:r w:rsidRPr="00C316A8">
        <w:rPr>
          <w:rFonts w:ascii="Times New Roman" w:hAnsi="Times New Roman"/>
          <w:noProof/>
          <w:sz w:val="24"/>
        </w:rPr>
        <w:t>2021</w:t>
      </w:r>
      <w:r>
        <w:rPr>
          <w:rFonts w:ascii="Times New Roman" w:hAnsi="Times New Roman"/>
          <w:noProof/>
          <w:sz w:val="24"/>
        </w:rPr>
        <w:t xml:space="preserve">. </w:t>
      </w:r>
    </w:p>
    <w:p w14:paraId="36CFBC78" w14:textId="77777777" w:rsidR="004641DD" w:rsidRPr="00CF01A5" w:rsidRDefault="004641DD" w:rsidP="00CF76DC">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Dans l’ensemble, un nombre considérable de demandes d’autorisation ont été reçues en </w:t>
      </w:r>
      <w:r w:rsidRPr="00C316A8">
        <w:rPr>
          <w:rFonts w:ascii="Times New Roman" w:hAnsi="Times New Roman"/>
          <w:noProof/>
          <w:sz w:val="24"/>
        </w:rPr>
        <w:t>2021</w:t>
      </w:r>
      <w:r>
        <w:rPr>
          <w:rFonts w:ascii="Times New Roman" w:hAnsi="Times New Roman"/>
          <w:noProof/>
          <w:sz w:val="24"/>
        </w:rPr>
        <w:t xml:space="preserve"> à l’échelon national</w:t>
      </w:r>
      <w:r>
        <w:rPr>
          <w:rStyle w:val="FootnoteReference"/>
          <w:rFonts w:ascii="Times New Roman" w:hAnsi="Times New Roman" w:cs="Times New Roman"/>
          <w:noProof/>
          <w:sz w:val="24"/>
          <w:szCs w:val="24"/>
          <w:lang w:val="en-IE"/>
        </w:rPr>
        <w:footnoteReference w:id="20"/>
      </w:r>
      <w:r>
        <w:rPr>
          <w:rFonts w:ascii="Times New Roman" w:hAnsi="Times New Roman"/>
          <w:noProof/>
          <w:sz w:val="24"/>
        </w:rPr>
        <w:t>. Conformément à l’article </w:t>
      </w:r>
      <w:r w:rsidRPr="00C316A8">
        <w:rPr>
          <w:rFonts w:ascii="Times New Roman" w:hAnsi="Times New Roman"/>
          <w:noProof/>
          <w:sz w:val="24"/>
        </w:rPr>
        <w:t>5</w:t>
      </w:r>
      <w:r>
        <w:rPr>
          <w:rFonts w:ascii="Times New Roman" w:hAnsi="Times New Roman"/>
          <w:noProof/>
          <w:sz w:val="24"/>
        </w:rPr>
        <w:t xml:space="preserve"> du règlement, qui détermine les modalités d’établissement et de communication de leur rapport annuel, les États membres ont signalé </w:t>
      </w:r>
      <w:r w:rsidRPr="00C316A8">
        <w:rPr>
          <w:rFonts w:ascii="Times New Roman" w:hAnsi="Times New Roman"/>
          <w:noProof/>
          <w:sz w:val="24"/>
        </w:rPr>
        <w:t>1</w:t>
      </w:r>
      <w:r>
        <w:rPr>
          <w:rFonts w:ascii="Times New Roman" w:hAnsi="Times New Roman"/>
          <w:noProof/>
          <w:sz w:val="24"/>
        </w:rPr>
        <w:t> </w:t>
      </w:r>
      <w:r w:rsidRPr="00C316A8">
        <w:rPr>
          <w:rFonts w:ascii="Times New Roman" w:hAnsi="Times New Roman"/>
          <w:noProof/>
          <w:sz w:val="24"/>
        </w:rPr>
        <w:t>563</w:t>
      </w:r>
      <w:r>
        <w:rPr>
          <w:rFonts w:ascii="Times New Roman" w:hAnsi="Times New Roman"/>
          <w:noProof/>
          <w:sz w:val="24"/>
        </w:rPr>
        <w:t xml:space="preserve"> demandes d’autorisation et cas entraînant d’office une action en </w:t>
      </w:r>
      <w:r w:rsidRPr="00C316A8">
        <w:rPr>
          <w:rFonts w:ascii="Times New Roman" w:hAnsi="Times New Roman"/>
          <w:noProof/>
          <w:sz w:val="24"/>
        </w:rPr>
        <w:t>2021</w:t>
      </w:r>
      <w:r>
        <w:rPr>
          <w:rStyle w:val="FootnoteReference"/>
          <w:rFonts w:ascii="Times New Roman" w:hAnsi="Times New Roman" w:cs="Times New Roman"/>
          <w:noProof/>
          <w:sz w:val="24"/>
          <w:szCs w:val="24"/>
          <w:lang w:val="en-IE"/>
        </w:rPr>
        <w:footnoteReference w:id="21"/>
      </w:r>
      <w:r>
        <w:rPr>
          <w:rFonts w:ascii="Times New Roman" w:hAnsi="Times New Roman"/>
          <w:noProof/>
          <w:sz w:val="24"/>
        </w:rPr>
        <w:t>.</w:t>
      </w:r>
    </w:p>
    <w:p w14:paraId="5A7E19DD" w14:textId="77777777" w:rsidR="40856CAB" w:rsidRDefault="40856CAB" w:rsidP="003C3503">
      <w:pPr>
        <w:spacing w:after="120" w:line="240" w:lineRule="auto"/>
        <w:jc w:val="center"/>
        <w:rPr>
          <w:rFonts w:ascii="Times New Roman" w:hAnsi="Times New Roman" w:cs="Times New Roman"/>
          <w:i/>
          <w:iCs/>
          <w:noProof/>
          <w:sz w:val="24"/>
          <w:szCs w:val="24"/>
        </w:rPr>
      </w:pPr>
      <w:r>
        <w:rPr>
          <w:rFonts w:ascii="Times New Roman" w:hAnsi="Times New Roman"/>
          <w:i/>
          <w:noProof/>
          <w:sz w:val="24"/>
        </w:rPr>
        <w:t xml:space="preserve">Figure </w:t>
      </w:r>
      <w:r w:rsidRPr="00C316A8">
        <w:rPr>
          <w:rFonts w:ascii="Times New Roman" w:hAnsi="Times New Roman"/>
          <w:i/>
          <w:noProof/>
          <w:sz w:val="24"/>
        </w:rPr>
        <w:t>6</w:t>
      </w:r>
      <w:r>
        <w:rPr>
          <w:rFonts w:ascii="Times New Roman" w:hAnsi="Times New Roman"/>
          <w:i/>
          <w:noProof/>
          <w:sz w:val="24"/>
        </w:rPr>
        <w:t xml:space="preserve"> — Activités de filtrage des IDE des États membres</w:t>
      </w:r>
    </w:p>
    <w:p w14:paraId="32B31E0F" w14:textId="7E39B094" w:rsidR="00F86CE4" w:rsidRPr="00E85965" w:rsidRDefault="0D17FCA7" w:rsidP="00CF76DC">
      <w:pPr>
        <w:spacing w:after="0" w:line="240" w:lineRule="auto"/>
        <w:jc w:val="center"/>
        <w:rPr>
          <w:noProof/>
          <w:lang w:val="fr-BE"/>
        </w:rPr>
      </w:pPr>
      <w:r>
        <w:rPr>
          <w:noProof/>
        </w:rPr>
        <w:t xml:space="preserve"> </w:t>
      </w:r>
      <w:r w:rsidR="00E85965" w:rsidRPr="00E85965">
        <w:rPr>
          <w:noProof/>
          <w:lang w:val="en-GB" w:eastAsia="en-GB"/>
        </w:rPr>
        <w:drawing>
          <wp:inline distT="0" distB="0" distL="0" distR="0" wp14:anchorId="063818BA" wp14:editId="0C53A5DF">
            <wp:extent cx="3454784" cy="1998921"/>
            <wp:effectExtent l="0" t="0" r="12700" b="1905"/>
            <wp:docPr id="1991147440" name="Chart 19911474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C94F912" w14:textId="77777777" w:rsidR="00403AB8" w:rsidRDefault="00403AB8" w:rsidP="00403AB8">
      <w:pPr>
        <w:spacing w:after="120" w:line="240" w:lineRule="auto"/>
        <w:jc w:val="both"/>
        <w:rPr>
          <w:rFonts w:ascii="Times New Roman" w:hAnsi="Times New Roman" w:cs="Times New Roman"/>
          <w:noProof/>
          <w:sz w:val="24"/>
          <w:szCs w:val="24"/>
        </w:rPr>
      </w:pPr>
      <w:r>
        <w:rPr>
          <w:rFonts w:ascii="Times New Roman" w:hAnsi="Times New Roman"/>
          <w:noProof/>
          <w:color w:val="000000"/>
          <w:sz w:val="16"/>
        </w:rPr>
        <w:t>Source: rapports des États membres.</w:t>
      </w:r>
    </w:p>
    <w:p w14:paraId="1A23F64B" w14:textId="4EA04D50" w:rsidR="004641DD" w:rsidRDefault="004641DD" w:rsidP="00CF76DC">
      <w:pPr>
        <w:spacing w:before="120" w:line="240" w:lineRule="auto"/>
        <w:jc w:val="both"/>
        <w:rPr>
          <w:rFonts w:ascii="Times New Roman" w:hAnsi="Times New Roman" w:cs="Times New Roman"/>
          <w:noProof/>
          <w:sz w:val="24"/>
          <w:szCs w:val="24"/>
        </w:rPr>
      </w:pPr>
      <w:r>
        <w:rPr>
          <w:rFonts w:ascii="Times New Roman" w:hAnsi="Times New Roman"/>
          <w:noProof/>
          <w:sz w:val="24"/>
        </w:rPr>
        <w:t xml:space="preserve">L’examen formel des dossiers semble gagner du terrain. En effet, sur les </w:t>
      </w:r>
      <w:r w:rsidRPr="00C316A8">
        <w:rPr>
          <w:rFonts w:ascii="Times New Roman" w:hAnsi="Times New Roman"/>
          <w:noProof/>
          <w:sz w:val="24"/>
        </w:rPr>
        <w:t>1</w:t>
      </w:r>
      <w:r>
        <w:rPr>
          <w:rFonts w:ascii="Times New Roman" w:hAnsi="Times New Roman"/>
          <w:noProof/>
          <w:sz w:val="24"/>
        </w:rPr>
        <w:t> </w:t>
      </w:r>
      <w:r w:rsidRPr="00C316A8">
        <w:rPr>
          <w:rFonts w:ascii="Times New Roman" w:hAnsi="Times New Roman"/>
          <w:noProof/>
          <w:sz w:val="24"/>
        </w:rPr>
        <w:t>563</w:t>
      </w:r>
      <w:r>
        <w:rPr>
          <w:rFonts w:ascii="Times New Roman" w:hAnsi="Times New Roman"/>
          <w:noProof/>
          <w:sz w:val="24"/>
        </w:rPr>
        <w:t xml:space="preserve"> demandes d’autorisation et cas entraînant d’office une action, environ </w:t>
      </w:r>
      <w:r w:rsidRPr="00C316A8">
        <w:rPr>
          <w:rFonts w:ascii="Times New Roman" w:hAnsi="Times New Roman"/>
          <w:noProof/>
          <w:sz w:val="24"/>
        </w:rPr>
        <w:t>29</w:t>
      </w:r>
      <w:r>
        <w:rPr>
          <w:rFonts w:ascii="Times New Roman" w:hAnsi="Times New Roman"/>
          <w:noProof/>
          <w:sz w:val="24"/>
        </w:rPr>
        <w:t xml:space="preserve"> % ont fait l’objet d’un filtrage formel. Cela semble indiquer une augmentation de la proportion de dossiers ayant fait l’objet d’un examen formel par rapport à </w:t>
      </w:r>
      <w:r w:rsidRPr="00C316A8">
        <w:rPr>
          <w:rFonts w:ascii="Times New Roman" w:hAnsi="Times New Roman"/>
          <w:noProof/>
          <w:sz w:val="24"/>
        </w:rPr>
        <w:t>2020</w:t>
      </w:r>
      <w:r>
        <w:rPr>
          <w:rStyle w:val="FootnoteReference"/>
          <w:rFonts w:ascii="Times New Roman" w:hAnsi="Times New Roman" w:cs="Times New Roman"/>
          <w:noProof/>
          <w:sz w:val="24"/>
          <w:szCs w:val="24"/>
          <w:lang w:val="en-IE"/>
        </w:rPr>
        <w:footnoteReference w:id="22"/>
      </w:r>
      <w:r>
        <w:rPr>
          <w:rFonts w:ascii="Times New Roman" w:hAnsi="Times New Roman"/>
          <w:noProof/>
          <w:sz w:val="24"/>
        </w:rPr>
        <w:t xml:space="preserve">. Cela pourrait s’expliquer par une plus grande attention accordée à ce que les autorités nationales considèrent comme potentiellement «critiques», ainsi que par une modification des tendances générales en matière d’investissement. Environ </w:t>
      </w:r>
      <w:r w:rsidRPr="00C316A8">
        <w:rPr>
          <w:rFonts w:ascii="Times New Roman" w:hAnsi="Times New Roman"/>
          <w:noProof/>
          <w:sz w:val="24"/>
        </w:rPr>
        <w:t>71</w:t>
      </w:r>
      <w:r>
        <w:rPr>
          <w:rFonts w:ascii="Times New Roman" w:hAnsi="Times New Roman"/>
          <w:noProof/>
          <w:sz w:val="24"/>
        </w:rPr>
        <w:t xml:space="preserve"> % de l’ensemble des demandes ont été jugées non admissibles ou ne nécessitaient pas de filtrage formel en raison d’un manque évident d’incidence sur la sécurité et l’ordre public. </w:t>
      </w:r>
    </w:p>
    <w:p w14:paraId="70AC4B0C" w14:textId="2D487563" w:rsidR="00DC22D1" w:rsidRDefault="00DC22D1" w:rsidP="00CF76DC">
      <w:pPr>
        <w:spacing w:line="240" w:lineRule="auto"/>
        <w:jc w:val="both"/>
        <w:rPr>
          <w:rFonts w:ascii="Times New Roman" w:hAnsi="Times New Roman" w:cs="Times New Roman"/>
          <w:noProof/>
          <w:sz w:val="24"/>
          <w:szCs w:val="24"/>
        </w:rPr>
      </w:pPr>
      <w:r>
        <w:rPr>
          <w:rFonts w:ascii="Times New Roman" w:hAnsi="Times New Roman"/>
          <w:noProof/>
          <w:sz w:val="24"/>
        </w:rPr>
        <w:t xml:space="preserve">Le nombre de demandes d’autorisation est également très inégalement réparti entre les États membres de l’UE. En effet, quatre États membres prenaient à leur compte environ </w:t>
      </w:r>
      <w:r w:rsidRPr="00C316A8">
        <w:rPr>
          <w:rFonts w:ascii="Times New Roman" w:hAnsi="Times New Roman"/>
          <w:noProof/>
          <w:sz w:val="24"/>
        </w:rPr>
        <w:t>70</w:t>
      </w:r>
      <w:r>
        <w:rPr>
          <w:rFonts w:ascii="Times New Roman" w:hAnsi="Times New Roman"/>
          <w:noProof/>
          <w:sz w:val="24"/>
        </w:rPr>
        <w:t xml:space="preserve"> % de l’ensemble des demandes d’autorisation et des cas entraînant d’office une action en </w:t>
      </w:r>
      <w:r w:rsidRPr="00C316A8">
        <w:rPr>
          <w:rFonts w:ascii="Times New Roman" w:hAnsi="Times New Roman"/>
          <w:noProof/>
          <w:sz w:val="24"/>
        </w:rPr>
        <w:t>2021</w:t>
      </w:r>
      <w:r>
        <w:rPr>
          <w:rFonts w:ascii="Times New Roman" w:hAnsi="Times New Roman"/>
          <w:noProof/>
          <w:sz w:val="24"/>
        </w:rPr>
        <w:t xml:space="preserve">. </w:t>
      </w:r>
    </w:p>
    <w:p w14:paraId="1CC80738" w14:textId="77777777" w:rsidR="004641DD" w:rsidRPr="00722958" w:rsidRDefault="001825BB" w:rsidP="00CF76DC">
      <w:pPr>
        <w:spacing w:line="240" w:lineRule="auto"/>
        <w:jc w:val="both"/>
        <w:rPr>
          <w:rFonts w:ascii="Times New Roman" w:hAnsi="Times New Roman" w:cs="Times New Roman"/>
          <w:noProof/>
          <w:sz w:val="24"/>
          <w:szCs w:val="24"/>
        </w:rPr>
      </w:pPr>
      <w:r>
        <w:rPr>
          <w:rFonts w:ascii="Times New Roman" w:hAnsi="Times New Roman"/>
          <w:noProof/>
          <w:sz w:val="24"/>
        </w:rPr>
        <w:t xml:space="preserve">Parmi les dossiers ayant fait l’objet d’un filtrage formel en </w:t>
      </w:r>
      <w:r w:rsidRPr="00C316A8">
        <w:rPr>
          <w:rFonts w:ascii="Times New Roman" w:hAnsi="Times New Roman"/>
          <w:noProof/>
          <w:sz w:val="24"/>
        </w:rPr>
        <w:t>2021</w:t>
      </w:r>
      <w:r>
        <w:rPr>
          <w:rFonts w:ascii="Times New Roman" w:hAnsi="Times New Roman"/>
          <w:noProof/>
          <w:sz w:val="24"/>
        </w:rPr>
        <w:t xml:space="preserve"> et pour lesquels les États membres ont fait état d’une décision</w:t>
      </w:r>
      <w:r>
        <w:rPr>
          <w:rStyle w:val="FootnoteReference"/>
          <w:rFonts w:ascii="Times New Roman" w:hAnsi="Times New Roman" w:cs="Times New Roman"/>
          <w:noProof/>
          <w:sz w:val="24"/>
          <w:szCs w:val="24"/>
          <w:lang w:val="en-IE"/>
        </w:rPr>
        <w:footnoteReference w:id="23"/>
      </w:r>
      <w:r>
        <w:rPr>
          <w:rFonts w:ascii="Times New Roman" w:hAnsi="Times New Roman"/>
          <w:noProof/>
          <w:sz w:val="24"/>
        </w:rPr>
        <w:t>, la majorité (</w:t>
      </w:r>
      <w:r w:rsidRPr="00C316A8">
        <w:rPr>
          <w:rFonts w:ascii="Times New Roman" w:hAnsi="Times New Roman"/>
          <w:noProof/>
          <w:sz w:val="24"/>
        </w:rPr>
        <w:t>73</w:t>
      </w:r>
      <w:r>
        <w:rPr>
          <w:rFonts w:ascii="Times New Roman" w:hAnsi="Times New Roman"/>
          <w:noProof/>
          <w:sz w:val="24"/>
        </w:rPr>
        <w:t> %) a été autorisée sans conditions, ce qui signifie que la transaction a été approuvée sans qu’aucune mesure supplémentaire ne soit imposée à l’investisseur.</w:t>
      </w:r>
    </w:p>
    <w:p w14:paraId="40C9AC8F" w14:textId="2F511EA1" w:rsidR="001825BB" w:rsidRDefault="004641DD" w:rsidP="00CF76DC">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Toutefois, </w:t>
      </w:r>
      <w:r w:rsidRPr="00C316A8">
        <w:rPr>
          <w:rFonts w:ascii="Times New Roman" w:hAnsi="Times New Roman"/>
          <w:noProof/>
          <w:sz w:val="24"/>
        </w:rPr>
        <w:t>23</w:t>
      </w:r>
      <w:r>
        <w:rPr>
          <w:rFonts w:ascii="Times New Roman" w:hAnsi="Times New Roman"/>
          <w:noProof/>
          <w:sz w:val="24"/>
        </w:rPr>
        <w:t xml:space="preserve"> % des décisions impliquaient une approbation assortie de conditions ou de mesures d’atténuation. Dans ces dossiers, les autorités nationales de filtrage ont négocié certaines actions, garanties et engagements de la part des investisseurs avant d’approuver l’investissement direct étranger prévu. </w:t>
      </w:r>
    </w:p>
    <w:p w14:paraId="13EDD327" w14:textId="77777777" w:rsidR="00DC22D1" w:rsidRPr="00CF01A5" w:rsidRDefault="004641DD" w:rsidP="00CF76DC">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Enfin, les autorités nationales n’ont bloqué les transactions que dans </w:t>
      </w:r>
      <w:r w:rsidRPr="00C316A8">
        <w:rPr>
          <w:rFonts w:ascii="Times New Roman" w:hAnsi="Times New Roman"/>
          <w:noProof/>
          <w:sz w:val="24"/>
        </w:rPr>
        <w:t>1</w:t>
      </w:r>
      <w:r>
        <w:rPr>
          <w:rFonts w:ascii="Times New Roman" w:hAnsi="Times New Roman"/>
          <w:noProof/>
          <w:sz w:val="24"/>
        </w:rPr>
        <w:t xml:space="preserve"> % de l’ensemble des dossiers ayant fait l’objet d’une décision, tandis que les parties ont renoncé à la transaction dans </w:t>
      </w:r>
      <w:r w:rsidRPr="00C316A8">
        <w:rPr>
          <w:rFonts w:ascii="Times New Roman" w:hAnsi="Times New Roman"/>
          <w:noProof/>
          <w:sz w:val="24"/>
        </w:rPr>
        <w:t>3</w:t>
      </w:r>
      <w:r>
        <w:rPr>
          <w:rFonts w:ascii="Times New Roman" w:hAnsi="Times New Roman"/>
          <w:noProof/>
          <w:sz w:val="24"/>
        </w:rPr>
        <w:t> % supplémentaires des dossiers.</w:t>
      </w:r>
    </w:p>
    <w:p w14:paraId="25CA338B" w14:textId="5BAA5D51" w:rsidR="40856CAB" w:rsidRDefault="40856CAB" w:rsidP="00DF5152">
      <w:pPr>
        <w:spacing w:line="240" w:lineRule="auto"/>
        <w:jc w:val="center"/>
        <w:rPr>
          <w:rFonts w:ascii="Times New Roman" w:hAnsi="Times New Roman" w:cs="Times New Roman"/>
          <w:i/>
          <w:iCs/>
          <w:noProof/>
          <w:sz w:val="24"/>
          <w:szCs w:val="24"/>
        </w:rPr>
      </w:pPr>
      <w:r>
        <w:rPr>
          <w:rFonts w:ascii="Times New Roman" w:hAnsi="Times New Roman"/>
          <w:i/>
          <w:noProof/>
          <w:sz w:val="24"/>
        </w:rPr>
        <w:t xml:space="preserve">Figure </w:t>
      </w:r>
      <w:r w:rsidRPr="00C316A8">
        <w:rPr>
          <w:rFonts w:ascii="Times New Roman" w:hAnsi="Times New Roman"/>
          <w:i/>
          <w:noProof/>
          <w:sz w:val="24"/>
        </w:rPr>
        <w:t>7</w:t>
      </w:r>
      <w:r>
        <w:rPr>
          <w:rFonts w:ascii="Times New Roman" w:hAnsi="Times New Roman"/>
          <w:i/>
          <w:noProof/>
          <w:sz w:val="24"/>
        </w:rPr>
        <w:t xml:space="preserve"> — Décisions notifiées concernant des dossiers d’IDE</w:t>
      </w:r>
    </w:p>
    <w:p w14:paraId="5928340F" w14:textId="4E68973D" w:rsidR="40856CAB" w:rsidRDefault="00E85965" w:rsidP="00DF5152">
      <w:pPr>
        <w:spacing w:line="240" w:lineRule="auto"/>
        <w:jc w:val="center"/>
        <w:rPr>
          <w:noProof/>
        </w:rPr>
      </w:pPr>
      <w:r w:rsidRPr="00E85965">
        <w:rPr>
          <w:noProof/>
          <w:lang w:val="en-GB" w:eastAsia="en-GB"/>
        </w:rPr>
        <w:drawing>
          <wp:inline distT="0" distB="0" distL="0" distR="0" wp14:anchorId="1D7EE990" wp14:editId="5C88AD97">
            <wp:extent cx="4396795" cy="2743200"/>
            <wp:effectExtent l="0" t="0" r="3810" b="0"/>
            <wp:docPr id="1991147441" name="Chart 19911474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662181C" w14:textId="77777777" w:rsidR="00403AB8" w:rsidRDefault="00403AB8" w:rsidP="00403AB8">
      <w:pPr>
        <w:spacing w:after="120" w:line="240" w:lineRule="auto"/>
        <w:jc w:val="both"/>
        <w:rPr>
          <w:rFonts w:ascii="Times New Roman" w:hAnsi="Times New Roman" w:cs="Times New Roman"/>
          <w:noProof/>
          <w:sz w:val="24"/>
          <w:szCs w:val="24"/>
        </w:rPr>
      </w:pPr>
      <w:r>
        <w:rPr>
          <w:rFonts w:ascii="Times New Roman" w:hAnsi="Times New Roman"/>
          <w:noProof/>
          <w:color w:val="000000"/>
          <w:sz w:val="16"/>
        </w:rPr>
        <w:t>Source: rapports des États membres.</w:t>
      </w:r>
    </w:p>
    <w:p w14:paraId="2C43E342" w14:textId="77777777" w:rsidR="004641DD" w:rsidRPr="002109F4" w:rsidRDefault="004641DD" w:rsidP="00CF76DC">
      <w:pPr>
        <w:spacing w:before="120"/>
        <w:jc w:val="both"/>
        <w:rPr>
          <w:rFonts w:ascii="Times New Roman" w:hAnsi="Times New Roman" w:cs="Times New Roman"/>
          <w:noProof/>
          <w:sz w:val="24"/>
        </w:rPr>
      </w:pPr>
      <w:r>
        <w:rPr>
          <w:rFonts w:ascii="Times New Roman" w:hAnsi="Times New Roman"/>
          <w:noProof/>
          <w:sz w:val="24"/>
        </w:rPr>
        <w:t>En résumé, les constatations faites ci-dessus permettent de tirer les grands enseignements énoncés ci-après.</w:t>
      </w:r>
    </w:p>
    <w:p w14:paraId="437222D5" w14:textId="4FE336C8" w:rsidR="004641DD" w:rsidRPr="002109F4" w:rsidRDefault="004641DD" w:rsidP="004641DD">
      <w:pPr>
        <w:pStyle w:val="ListParagraph"/>
        <w:numPr>
          <w:ilvl w:val="0"/>
          <w:numId w:val="21"/>
        </w:numPr>
        <w:jc w:val="both"/>
        <w:rPr>
          <w:rFonts w:ascii="Times New Roman" w:hAnsi="Times New Roman" w:cs="Times New Roman"/>
          <w:noProof/>
          <w:sz w:val="24"/>
        </w:rPr>
      </w:pPr>
      <w:r>
        <w:rPr>
          <w:rFonts w:ascii="Times New Roman" w:hAnsi="Times New Roman"/>
          <w:noProof/>
          <w:sz w:val="24"/>
        </w:rPr>
        <w:t xml:space="preserve">Par rapport à </w:t>
      </w:r>
      <w:r w:rsidRPr="00C316A8">
        <w:rPr>
          <w:rFonts w:ascii="Times New Roman" w:hAnsi="Times New Roman"/>
          <w:noProof/>
          <w:sz w:val="24"/>
        </w:rPr>
        <w:t>2020</w:t>
      </w:r>
      <w:r>
        <w:rPr>
          <w:rFonts w:ascii="Times New Roman" w:hAnsi="Times New Roman"/>
          <w:noProof/>
          <w:sz w:val="24"/>
        </w:rPr>
        <w:t xml:space="preserve">, les États membres ont considéré que les demandes reçues étaient plus sensibles en </w:t>
      </w:r>
      <w:r w:rsidRPr="00C316A8">
        <w:rPr>
          <w:rFonts w:ascii="Times New Roman" w:hAnsi="Times New Roman"/>
          <w:noProof/>
          <w:sz w:val="24"/>
        </w:rPr>
        <w:t>2021</w:t>
      </w:r>
      <w:r>
        <w:rPr>
          <w:rFonts w:ascii="Times New Roman" w:hAnsi="Times New Roman"/>
          <w:noProof/>
          <w:sz w:val="24"/>
        </w:rPr>
        <w:t>, vu que la proportion de dossiers ayant fait l’objet d’un examen formel a augmenté.</w:t>
      </w:r>
    </w:p>
    <w:p w14:paraId="0CAF26A4" w14:textId="77777777" w:rsidR="004641DD" w:rsidRPr="00D548E7" w:rsidRDefault="004641DD" w:rsidP="167531F5">
      <w:pPr>
        <w:pStyle w:val="ListParagraph"/>
        <w:numPr>
          <w:ilvl w:val="0"/>
          <w:numId w:val="21"/>
        </w:numPr>
        <w:jc w:val="both"/>
        <w:rPr>
          <w:rFonts w:ascii="Times New Roman" w:hAnsi="Times New Roman" w:cs="Times New Roman"/>
          <w:noProof/>
          <w:sz w:val="24"/>
          <w:szCs w:val="24"/>
        </w:rPr>
      </w:pPr>
      <w:r>
        <w:rPr>
          <w:rFonts w:ascii="Times New Roman" w:hAnsi="Times New Roman"/>
          <w:noProof/>
          <w:sz w:val="24"/>
        </w:rPr>
        <w:t xml:space="preserve">Les demandes d’autorisation sont réparties de manière inégale entre les États membres de l’UE, quatre pays cumulant environ </w:t>
      </w:r>
      <w:r w:rsidRPr="00C316A8">
        <w:rPr>
          <w:rFonts w:ascii="Times New Roman" w:hAnsi="Times New Roman"/>
          <w:noProof/>
          <w:sz w:val="24"/>
        </w:rPr>
        <w:t>70</w:t>
      </w:r>
      <w:r>
        <w:rPr>
          <w:rFonts w:ascii="Times New Roman" w:hAnsi="Times New Roman"/>
          <w:noProof/>
          <w:sz w:val="24"/>
        </w:rPr>
        <w:t xml:space="preserve"> % de toutes les demandes reçues. Ce taux atteignait </w:t>
      </w:r>
      <w:r w:rsidRPr="00C316A8">
        <w:rPr>
          <w:rFonts w:ascii="Times New Roman" w:hAnsi="Times New Roman"/>
          <w:noProof/>
          <w:sz w:val="24"/>
        </w:rPr>
        <w:t>86</w:t>
      </w:r>
      <w:r>
        <w:rPr>
          <w:rFonts w:ascii="Times New Roman" w:hAnsi="Times New Roman"/>
          <w:noProof/>
          <w:sz w:val="24"/>
        </w:rPr>
        <w:t>,</w:t>
      </w:r>
      <w:r w:rsidRPr="00C316A8">
        <w:rPr>
          <w:rFonts w:ascii="Times New Roman" w:hAnsi="Times New Roman"/>
          <w:noProof/>
          <w:sz w:val="24"/>
        </w:rPr>
        <w:t>5</w:t>
      </w:r>
      <w:r>
        <w:rPr>
          <w:rFonts w:ascii="Times New Roman" w:hAnsi="Times New Roman"/>
          <w:noProof/>
          <w:sz w:val="24"/>
        </w:rPr>
        <w:t> % dans le premier rapport annuel. Cela plaide en faveur d’une diversification du filtrage entre les États membres.</w:t>
      </w:r>
    </w:p>
    <w:p w14:paraId="4784DA02" w14:textId="77777777" w:rsidR="009D65C4" w:rsidRDefault="004641DD" w:rsidP="004641DD">
      <w:pPr>
        <w:pStyle w:val="ListParagraph"/>
        <w:numPr>
          <w:ilvl w:val="0"/>
          <w:numId w:val="21"/>
        </w:numPr>
        <w:jc w:val="both"/>
        <w:rPr>
          <w:rFonts w:ascii="Times New Roman" w:hAnsi="Times New Roman" w:cs="Times New Roman"/>
          <w:noProof/>
          <w:sz w:val="24"/>
          <w:szCs w:val="24"/>
        </w:rPr>
      </w:pPr>
      <w:r>
        <w:rPr>
          <w:rFonts w:ascii="Times New Roman" w:hAnsi="Times New Roman"/>
          <w:noProof/>
          <w:sz w:val="24"/>
        </w:rPr>
        <w:t xml:space="preserve">En </w:t>
      </w:r>
      <w:r w:rsidRPr="00C316A8">
        <w:rPr>
          <w:rFonts w:ascii="Times New Roman" w:hAnsi="Times New Roman"/>
          <w:noProof/>
          <w:sz w:val="24"/>
        </w:rPr>
        <w:t>2021</w:t>
      </w:r>
      <w:r>
        <w:rPr>
          <w:rFonts w:ascii="Times New Roman" w:hAnsi="Times New Roman"/>
          <w:noProof/>
          <w:sz w:val="24"/>
        </w:rPr>
        <w:t>, la majorité des transactions pour lesquelles une décision a été notifiée ont été autorisées sans aucune condition (</w:t>
      </w:r>
      <w:r w:rsidRPr="00C316A8">
        <w:rPr>
          <w:rFonts w:ascii="Times New Roman" w:hAnsi="Times New Roman"/>
          <w:noProof/>
          <w:sz w:val="24"/>
        </w:rPr>
        <w:t>73</w:t>
      </w:r>
      <w:r>
        <w:rPr>
          <w:rFonts w:ascii="Times New Roman" w:hAnsi="Times New Roman"/>
          <w:noProof/>
          <w:sz w:val="24"/>
        </w:rPr>
        <w:t xml:space="preserve"> %, </w:t>
      </w:r>
      <w:r w:rsidRPr="00C316A8">
        <w:rPr>
          <w:rFonts w:ascii="Times New Roman" w:hAnsi="Times New Roman"/>
          <w:noProof/>
          <w:sz w:val="24"/>
        </w:rPr>
        <w:t>79</w:t>
      </w:r>
      <w:r>
        <w:rPr>
          <w:rFonts w:ascii="Times New Roman" w:hAnsi="Times New Roman"/>
          <w:noProof/>
          <w:sz w:val="24"/>
        </w:rPr>
        <w:t> % dans le premier rapport).</w:t>
      </w:r>
    </w:p>
    <w:p w14:paraId="366A0C37" w14:textId="6A6998EA" w:rsidR="004641DD" w:rsidRPr="002109F4" w:rsidRDefault="00020A69" w:rsidP="004641DD">
      <w:pPr>
        <w:pStyle w:val="ListParagraph"/>
        <w:numPr>
          <w:ilvl w:val="0"/>
          <w:numId w:val="21"/>
        </w:numPr>
        <w:jc w:val="both"/>
        <w:rPr>
          <w:rFonts w:ascii="Times New Roman" w:hAnsi="Times New Roman" w:cs="Times New Roman"/>
          <w:noProof/>
          <w:sz w:val="24"/>
          <w:szCs w:val="24"/>
        </w:rPr>
      </w:pPr>
      <w:r w:rsidRPr="00C316A8">
        <w:rPr>
          <w:rFonts w:ascii="Times New Roman" w:hAnsi="Times New Roman"/>
          <w:noProof/>
          <w:sz w:val="24"/>
        </w:rPr>
        <w:t>23</w:t>
      </w:r>
      <w:r>
        <w:rPr>
          <w:rFonts w:ascii="Times New Roman" w:hAnsi="Times New Roman"/>
          <w:noProof/>
          <w:sz w:val="24"/>
        </w:rPr>
        <w:t xml:space="preserve"> % des dossiers ayant fait l’objet d’une décision nécessitaient des mesures d’atténuation (ce qui représente une augmentation significative en comparaison du rapport précédent, </w:t>
      </w:r>
      <w:r w:rsidRPr="00C316A8">
        <w:rPr>
          <w:rFonts w:ascii="Times New Roman" w:hAnsi="Times New Roman"/>
          <w:noProof/>
          <w:sz w:val="24"/>
        </w:rPr>
        <w:t>12</w:t>
      </w:r>
      <w:r>
        <w:rPr>
          <w:rFonts w:ascii="Times New Roman" w:hAnsi="Times New Roman"/>
          <w:noProof/>
          <w:sz w:val="24"/>
        </w:rPr>
        <w:t> %).</w:t>
      </w:r>
    </w:p>
    <w:p w14:paraId="1D635B05" w14:textId="435AD606" w:rsidR="004641DD" w:rsidRPr="002109F4" w:rsidRDefault="004641DD" w:rsidP="004641DD">
      <w:pPr>
        <w:pStyle w:val="ListParagraph"/>
        <w:numPr>
          <w:ilvl w:val="0"/>
          <w:numId w:val="21"/>
        </w:numPr>
        <w:jc w:val="both"/>
        <w:rPr>
          <w:rFonts w:ascii="Times New Roman" w:hAnsi="Times New Roman" w:cs="Times New Roman"/>
          <w:noProof/>
          <w:sz w:val="24"/>
          <w:szCs w:val="24"/>
        </w:rPr>
      </w:pPr>
      <w:r>
        <w:rPr>
          <w:rFonts w:ascii="Times New Roman" w:hAnsi="Times New Roman"/>
          <w:noProof/>
          <w:sz w:val="24"/>
        </w:rPr>
        <w:t xml:space="preserve">Seulement </w:t>
      </w:r>
      <w:r w:rsidRPr="00C316A8">
        <w:rPr>
          <w:rFonts w:ascii="Times New Roman" w:hAnsi="Times New Roman"/>
          <w:noProof/>
          <w:sz w:val="24"/>
        </w:rPr>
        <w:t>1</w:t>
      </w:r>
      <w:r>
        <w:rPr>
          <w:rFonts w:ascii="Times New Roman" w:hAnsi="Times New Roman"/>
          <w:noProof/>
          <w:sz w:val="24"/>
        </w:rPr>
        <w:t xml:space="preserve"> % des transactions ont été bloquées par les États membres (contre un peu plus auparavant, soit </w:t>
      </w:r>
      <w:r w:rsidRPr="00C316A8">
        <w:rPr>
          <w:rFonts w:ascii="Times New Roman" w:hAnsi="Times New Roman"/>
          <w:noProof/>
          <w:sz w:val="24"/>
        </w:rPr>
        <w:t>2</w:t>
      </w:r>
      <w:r>
        <w:rPr>
          <w:rFonts w:ascii="Times New Roman" w:hAnsi="Times New Roman"/>
          <w:noProof/>
          <w:sz w:val="24"/>
        </w:rPr>
        <w:t xml:space="preserve"> % dans le premier rapport), ce qui confirme que l’Union européenne reste ouverte aux investissements directs étrangers et que les États membres ne rejettent que les dossiers qui font peser des menaces très graves sur la sécurité et l’ordre public. </w:t>
      </w:r>
    </w:p>
    <w:p w14:paraId="07A79BC6" w14:textId="77777777" w:rsidR="00D35B78" w:rsidRDefault="00D35B78" w:rsidP="00D35B78">
      <w:pPr>
        <w:spacing w:before="120" w:after="120" w:line="240" w:lineRule="auto"/>
        <w:jc w:val="both"/>
        <w:rPr>
          <w:rFonts w:ascii="Times New Roman" w:hAnsi="Times New Roman" w:cs="Times New Roman"/>
          <w:noProof/>
          <w:sz w:val="24"/>
          <w:szCs w:val="24"/>
        </w:rPr>
      </w:pPr>
    </w:p>
    <w:p w14:paraId="440F9CF2" w14:textId="77777777" w:rsidR="00D35B78" w:rsidRDefault="00D35B78">
      <w:pPr>
        <w:rPr>
          <w:rFonts w:ascii="Times New Roman" w:eastAsiaTheme="majorEastAsia" w:hAnsi="Times New Roman" w:cstheme="majorBidi"/>
          <w:b/>
          <w:noProof/>
          <w:color w:val="000000" w:themeColor="text1"/>
          <w:sz w:val="24"/>
          <w:szCs w:val="32"/>
        </w:rPr>
      </w:pPr>
      <w:r>
        <w:rPr>
          <w:noProof/>
        </w:rPr>
        <w:br w:type="page"/>
      </w:r>
    </w:p>
    <w:p w14:paraId="2604DB97" w14:textId="77777777" w:rsidR="002F4674" w:rsidRDefault="006B1C91" w:rsidP="009F35E9">
      <w:pPr>
        <w:pStyle w:val="Heading1"/>
        <w:spacing w:line="240" w:lineRule="auto"/>
        <w:jc w:val="both"/>
        <w:rPr>
          <w:noProof/>
        </w:rPr>
      </w:pPr>
      <w:r>
        <w:rPr>
          <w:noProof/>
        </w:rPr>
        <w:t xml:space="preserve">CHAPITRE </w:t>
      </w:r>
      <w:r w:rsidRPr="00C316A8">
        <w:rPr>
          <w:noProof/>
        </w:rPr>
        <w:t>4</w:t>
      </w:r>
      <w:r>
        <w:rPr>
          <w:noProof/>
        </w:rPr>
        <w:t xml:space="preserve"> – MÉCANISME DE COOPÉRATION DE L’UE EN MATIÈRE DE FILTRAGE DES IDE</w:t>
      </w:r>
    </w:p>
    <w:p w14:paraId="2368E402" w14:textId="77777777" w:rsidR="00632260" w:rsidRPr="00632260" w:rsidRDefault="00632260" w:rsidP="00632260">
      <w:pPr>
        <w:rPr>
          <w:noProof/>
        </w:rPr>
      </w:pPr>
    </w:p>
    <w:p w14:paraId="09FFE464" w14:textId="77777777" w:rsidR="00500D50" w:rsidRDefault="004E1E2B" w:rsidP="00AA30CE">
      <w:pPr>
        <w:pStyle w:val="Heading2"/>
        <w:spacing w:line="240" w:lineRule="auto"/>
        <w:rPr>
          <w:noProof/>
        </w:rPr>
      </w:pPr>
      <w:r>
        <w:rPr>
          <w:noProof/>
        </w:rPr>
        <w:t>Notifications et autres mesures adoptées en vertu du règlement sur le filtrage des IDE</w:t>
      </w:r>
    </w:p>
    <w:p w14:paraId="38E984A1" w14:textId="0DCB70E8" w:rsidR="00837787" w:rsidRDefault="00837787" w:rsidP="004641DD">
      <w:pPr>
        <w:spacing w:line="240" w:lineRule="auto"/>
        <w:jc w:val="both"/>
        <w:rPr>
          <w:rFonts w:ascii="Times New Roman" w:hAnsi="Times New Roman" w:cs="Times New Roman"/>
          <w:noProof/>
          <w:sz w:val="24"/>
          <w:szCs w:val="24"/>
        </w:rPr>
      </w:pPr>
      <w:r>
        <w:rPr>
          <w:rFonts w:ascii="Times New Roman" w:hAnsi="Times New Roman"/>
          <w:noProof/>
          <w:sz w:val="24"/>
        </w:rPr>
        <w:t>Le chapitre </w:t>
      </w:r>
      <w:r w:rsidRPr="00C316A8">
        <w:rPr>
          <w:rFonts w:ascii="Times New Roman" w:hAnsi="Times New Roman"/>
          <w:noProof/>
          <w:sz w:val="24"/>
        </w:rPr>
        <w:t>3</w:t>
      </w:r>
      <w:r>
        <w:rPr>
          <w:rFonts w:ascii="Times New Roman" w:hAnsi="Times New Roman"/>
          <w:noProof/>
          <w:sz w:val="24"/>
        </w:rPr>
        <w:t xml:space="preserve"> a brièvement décrit le niveau des activités de filtrage accomplies à l’échelon national. Il a fait état des investissements captés à l’échelon national qui remplissaient les conditions pour être soumis au filtrage en vertu du règlement sur les IDE. </w:t>
      </w:r>
    </w:p>
    <w:p w14:paraId="7191E615" w14:textId="112710A4" w:rsidR="004641DD" w:rsidRPr="00E87866" w:rsidRDefault="00837787" w:rsidP="004641DD">
      <w:pPr>
        <w:spacing w:line="240" w:lineRule="auto"/>
        <w:jc w:val="both"/>
        <w:rPr>
          <w:rFonts w:ascii="Times New Roman" w:hAnsi="Times New Roman" w:cs="Times New Roman"/>
          <w:noProof/>
          <w:sz w:val="24"/>
          <w:szCs w:val="24"/>
        </w:rPr>
      </w:pPr>
      <w:r>
        <w:rPr>
          <w:rFonts w:ascii="Times New Roman" w:hAnsi="Times New Roman"/>
          <w:noProof/>
          <w:sz w:val="24"/>
        </w:rPr>
        <w:t xml:space="preserve">En </w:t>
      </w:r>
      <w:r w:rsidRPr="00C316A8">
        <w:rPr>
          <w:rFonts w:ascii="Times New Roman" w:hAnsi="Times New Roman"/>
          <w:noProof/>
          <w:sz w:val="24"/>
        </w:rPr>
        <w:t>2021</w:t>
      </w:r>
      <w:r>
        <w:rPr>
          <w:rFonts w:ascii="Times New Roman" w:hAnsi="Times New Roman"/>
          <w:noProof/>
          <w:sz w:val="24"/>
        </w:rPr>
        <w:t xml:space="preserve">, </w:t>
      </w:r>
      <w:r w:rsidRPr="00C316A8">
        <w:rPr>
          <w:rFonts w:ascii="Times New Roman" w:hAnsi="Times New Roman"/>
          <w:noProof/>
          <w:sz w:val="24"/>
        </w:rPr>
        <w:t>13</w:t>
      </w:r>
      <w:r>
        <w:rPr>
          <w:rFonts w:ascii="Times New Roman" w:hAnsi="Times New Roman"/>
          <w:noProof/>
          <w:sz w:val="24"/>
        </w:rPr>
        <w:t xml:space="preserve"> États membres ont procédé, conformément à l’article </w:t>
      </w:r>
      <w:r w:rsidRPr="00C316A8">
        <w:rPr>
          <w:rFonts w:ascii="Times New Roman" w:hAnsi="Times New Roman"/>
          <w:noProof/>
          <w:sz w:val="24"/>
        </w:rPr>
        <w:t>6</w:t>
      </w:r>
      <w:r>
        <w:rPr>
          <w:rFonts w:ascii="Times New Roman" w:hAnsi="Times New Roman"/>
          <w:noProof/>
          <w:sz w:val="24"/>
        </w:rPr>
        <w:t xml:space="preserve"> du règlement sur le filtrage des IDE, à </w:t>
      </w:r>
      <w:r w:rsidRPr="00C316A8">
        <w:rPr>
          <w:rFonts w:ascii="Times New Roman" w:hAnsi="Times New Roman"/>
          <w:noProof/>
          <w:sz w:val="24"/>
        </w:rPr>
        <w:t>414</w:t>
      </w:r>
      <w:r>
        <w:rPr>
          <w:rFonts w:ascii="Times New Roman" w:hAnsi="Times New Roman"/>
          <w:noProof/>
          <w:sz w:val="24"/>
        </w:rPr>
        <w:t xml:space="preserve"> notifications</w:t>
      </w:r>
      <w:r>
        <w:rPr>
          <w:rStyle w:val="FootnoteReference"/>
          <w:rFonts w:ascii="Times New Roman" w:hAnsi="Times New Roman" w:cs="Times New Roman"/>
          <w:noProof/>
          <w:sz w:val="24"/>
          <w:szCs w:val="24"/>
        </w:rPr>
        <w:footnoteReference w:id="24"/>
      </w:r>
      <w:r>
        <w:rPr>
          <w:rFonts w:ascii="Times New Roman" w:hAnsi="Times New Roman"/>
          <w:noProof/>
          <w:sz w:val="24"/>
        </w:rPr>
        <w:t xml:space="preserve"> au total, alors qu’ils étaient </w:t>
      </w:r>
      <w:r w:rsidRPr="00C316A8">
        <w:rPr>
          <w:rFonts w:ascii="Times New Roman" w:hAnsi="Times New Roman"/>
          <w:noProof/>
          <w:sz w:val="24"/>
        </w:rPr>
        <w:t>11</w:t>
      </w:r>
      <w:r>
        <w:rPr>
          <w:rFonts w:ascii="Times New Roman" w:hAnsi="Times New Roman"/>
          <w:noProof/>
          <w:sz w:val="24"/>
        </w:rPr>
        <w:t xml:space="preserve"> États membres à avoir fait des notifications au cours de la période couverte par le premier rapport annuel sur le filtrage des IDE</w:t>
      </w:r>
      <w:r>
        <w:rPr>
          <w:rStyle w:val="FootnoteReference"/>
          <w:rFonts w:ascii="Times New Roman" w:hAnsi="Times New Roman" w:cs="Times New Roman"/>
          <w:noProof/>
          <w:sz w:val="24"/>
          <w:szCs w:val="24"/>
        </w:rPr>
        <w:footnoteReference w:id="25"/>
      </w:r>
      <w:r>
        <w:rPr>
          <w:rFonts w:ascii="Times New Roman" w:hAnsi="Times New Roman"/>
          <w:noProof/>
          <w:sz w:val="24"/>
        </w:rPr>
        <w:t xml:space="preserve">. Cinq États membres, à savoir l’Allemagne, l’Espagne, la France, l’Italie et l’Autriche, étaient à l’origine de plus de </w:t>
      </w:r>
      <w:r w:rsidRPr="00C316A8">
        <w:rPr>
          <w:rFonts w:ascii="Times New Roman" w:hAnsi="Times New Roman"/>
          <w:noProof/>
          <w:sz w:val="24"/>
        </w:rPr>
        <w:t>85</w:t>
      </w:r>
      <w:r>
        <w:rPr>
          <w:rFonts w:ascii="Times New Roman" w:hAnsi="Times New Roman"/>
          <w:noProof/>
          <w:sz w:val="24"/>
        </w:rPr>
        <w:t> % de ces notifications. Les transactions notifiées varient considérablement en fonction des secteurs visés par les investissements, des origines de l’investisseur ultime et de la valeur de la transaction.</w:t>
      </w:r>
    </w:p>
    <w:p w14:paraId="0534AC6B" w14:textId="7488E5B6" w:rsidR="004641DD" w:rsidRDefault="004641DD" w:rsidP="004641DD">
      <w:pPr>
        <w:spacing w:line="240" w:lineRule="auto"/>
        <w:jc w:val="both"/>
        <w:rPr>
          <w:rFonts w:ascii="Times New Roman" w:hAnsi="Times New Roman" w:cs="Times New Roman"/>
          <w:noProof/>
          <w:sz w:val="24"/>
          <w:szCs w:val="24"/>
        </w:rPr>
      </w:pPr>
      <w:r>
        <w:rPr>
          <w:rFonts w:ascii="Times New Roman" w:hAnsi="Times New Roman"/>
          <w:noProof/>
          <w:sz w:val="24"/>
        </w:rPr>
        <w:t>Les cinq secteurs ayant enregistré le plus grand nombre de transactions étaient les TIC, l’industrie manufacturière, les activités financières</w:t>
      </w:r>
      <w:bookmarkStart w:id="7" w:name="_Ref106614597"/>
      <w:r>
        <w:rPr>
          <w:rStyle w:val="FootnoteReference"/>
          <w:rFonts w:ascii="Times New Roman" w:hAnsi="Times New Roman" w:cs="Times New Roman"/>
          <w:noProof/>
          <w:sz w:val="24"/>
          <w:szCs w:val="24"/>
        </w:rPr>
        <w:footnoteReference w:id="26"/>
      </w:r>
      <w:bookmarkEnd w:id="7"/>
      <w:r>
        <w:rPr>
          <w:rFonts w:ascii="Times New Roman" w:hAnsi="Times New Roman"/>
          <w:noProof/>
          <w:sz w:val="24"/>
        </w:rPr>
        <w:t>, le commerce de gros et de détail et la construction</w:t>
      </w:r>
      <w:r>
        <w:rPr>
          <w:rStyle w:val="FootnoteReference"/>
          <w:rFonts w:ascii="Times New Roman" w:hAnsi="Times New Roman"/>
          <w:noProof/>
          <w:sz w:val="24"/>
        </w:rPr>
        <w:footnoteReference w:id="27"/>
      </w:r>
      <w:r>
        <w:rPr>
          <w:rFonts w:ascii="Times New Roman" w:hAnsi="Times New Roman"/>
          <w:noProof/>
          <w:sz w:val="24"/>
        </w:rPr>
        <w:t xml:space="preserve"> (dans le premier rapport annuel, la «construction» avait été intégrée dans la catégorie «Autres»). Les trois premiers secteurs sont les mêmes que dans le premier rapport annuel, mais dans un ordre différent.</w:t>
      </w:r>
    </w:p>
    <w:p w14:paraId="04AA0CF1" w14:textId="77777777" w:rsidR="004641DD" w:rsidRPr="0041626A" w:rsidRDefault="004641DD" w:rsidP="004F4237">
      <w:pPr>
        <w:pStyle w:val="Caption"/>
        <w:keepNext/>
        <w:jc w:val="center"/>
        <w:rPr>
          <w:rFonts w:ascii="Times New Roman" w:hAnsi="Times New Roman" w:cs="Times New Roman"/>
          <w:noProof/>
          <w:color w:val="auto"/>
          <w:sz w:val="24"/>
          <w:szCs w:val="24"/>
        </w:rPr>
      </w:pPr>
      <w:r>
        <w:rPr>
          <w:rFonts w:ascii="Times New Roman" w:hAnsi="Times New Roman"/>
          <w:noProof/>
          <w:color w:val="auto"/>
          <w:sz w:val="24"/>
        </w:rPr>
        <w:t xml:space="preserve">Figure </w:t>
      </w:r>
      <w:r w:rsidRPr="00C316A8">
        <w:rPr>
          <w:rFonts w:ascii="Times New Roman" w:hAnsi="Times New Roman"/>
          <w:noProof/>
          <w:color w:val="auto"/>
          <w:sz w:val="24"/>
        </w:rPr>
        <w:t>8</w:t>
      </w:r>
      <w:r>
        <w:rPr>
          <w:rFonts w:ascii="Times New Roman" w:hAnsi="Times New Roman"/>
          <w:noProof/>
          <w:color w:val="auto"/>
          <w:sz w:val="24"/>
        </w:rPr>
        <w:t xml:space="preserve"> — Principaux secteurs ciblés en </w:t>
      </w:r>
      <w:r w:rsidRPr="00C316A8">
        <w:rPr>
          <w:rFonts w:ascii="Times New Roman" w:hAnsi="Times New Roman"/>
          <w:noProof/>
          <w:color w:val="auto"/>
          <w:sz w:val="24"/>
        </w:rPr>
        <w:t>2021</w:t>
      </w:r>
      <w:r>
        <w:rPr>
          <w:rStyle w:val="FootnoteReference"/>
          <w:rFonts w:ascii="Times New Roman" w:hAnsi="Times New Roman" w:cs="Times New Roman"/>
          <w:noProof/>
          <w:sz w:val="24"/>
          <w:szCs w:val="24"/>
        </w:rPr>
        <w:footnoteReference w:id="28"/>
      </w:r>
    </w:p>
    <w:p w14:paraId="0ABF22B1" w14:textId="43DAAC24" w:rsidR="004641DD" w:rsidRDefault="00E85965" w:rsidP="00AF656C">
      <w:pPr>
        <w:spacing w:after="120" w:line="240" w:lineRule="auto"/>
        <w:jc w:val="center"/>
        <w:rPr>
          <w:rFonts w:ascii="Times New Roman" w:hAnsi="Times New Roman" w:cs="Times New Roman"/>
          <w:noProof/>
          <w:sz w:val="24"/>
          <w:szCs w:val="24"/>
        </w:rPr>
      </w:pPr>
      <w:r w:rsidRPr="00E85965">
        <w:rPr>
          <w:rFonts w:ascii="Times New Roman" w:hAnsi="Times New Roman" w:cs="Times New Roman"/>
          <w:noProof/>
          <w:sz w:val="24"/>
          <w:szCs w:val="24"/>
          <w:lang w:val="en-GB" w:eastAsia="en-GB"/>
        </w:rPr>
        <w:drawing>
          <wp:inline distT="0" distB="0" distL="0" distR="0" wp14:anchorId="370AABF8" wp14:editId="15B4D944">
            <wp:extent cx="4572000" cy="2743200"/>
            <wp:effectExtent l="0" t="0" r="0" b="0"/>
            <wp:docPr id="1991147444" name="Chart 199114744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1A2890F" w14:textId="77777777" w:rsidR="004641DD" w:rsidRDefault="004641DD" w:rsidP="004641DD">
      <w:pPr>
        <w:spacing w:after="120" w:line="240" w:lineRule="auto"/>
        <w:jc w:val="both"/>
        <w:rPr>
          <w:rFonts w:ascii="Times New Roman" w:hAnsi="Times New Roman" w:cs="Times New Roman"/>
          <w:noProof/>
          <w:sz w:val="24"/>
          <w:szCs w:val="24"/>
        </w:rPr>
      </w:pPr>
      <w:r>
        <w:rPr>
          <w:rFonts w:ascii="Times New Roman" w:hAnsi="Times New Roman"/>
          <w:noProof/>
          <w:color w:val="000000"/>
          <w:sz w:val="16"/>
        </w:rPr>
        <w:t>Source: notifications des États membres.</w:t>
      </w:r>
    </w:p>
    <w:p w14:paraId="3370FD76" w14:textId="7EC325DF" w:rsidR="004641DD" w:rsidRDefault="004641DD" w:rsidP="004641DD">
      <w:pPr>
        <w:spacing w:line="240" w:lineRule="auto"/>
        <w:jc w:val="both"/>
        <w:rPr>
          <w:rFonts w:ascii="Times New Roman" w:hAnsi="Times New Roman" w:cs="Times New Roman"/>
          <w:noProof/>
          <w:sz w:val="24"/>
          <w:szCs w:val="24"/>
        </w:rPr>
      </w:pPr>
      <w:r>
        <w:rPr>
          <w:rFonts w:ascii="Times New Roman" w:hAnsi="Times New Roman"/>
          <w:noProof/>
          <w:sz w:val="24"/>
        </w:rPr>
        <w:t>Si l’on examine la valeur des transactions, la majorité avait une valeur</w:t>
      </w:r>
      <w:r>
        <w:rPr>
          <w:rStyle w:val="FootnoteReference"/>
          <w:rFonts w:ascii="Times New Roman" w:hAnsi="Times New Roman" w:cs="Times New Roman"/>
          <w:noProof/>
          <w:sz w:val="24"/>
          <w:szCs w:val="24"/>
        </w:rPr>
        <w:footnoteReference w:id="29"/>
      </w:r>
      <w:r>
        <w:rPr>
          <w:rFonts w:ascii="Times New Roman" w:hAnsi="Times New Roman"/>
          <w:noProof/>
          <w:sz w:val="24"/>
        </w:rPr>
        <w:t xml:space="preserve"> inférieure</w:t>
      </w:r>
      <w:r>
        <w:rPr>
          <w:rStyle w:val="FootnoteReference"/>
          <w:rFonts w:ascii="Times New Roman" w:hAnsi="Times New Roman" w:cs="Times New Roman"/>
          <w:noProof/>
          <w:sz w:val="24"/>
          <w:szCs w:val="24"/>
        </w:rPr>
        <w:footnoteReference w:id="30"/>
      </w:r>
      <w:r>
        <w:rPr>
          <w:rFonts w:ascii="Times New Roman" w:hAnsi="Times New Roman"/>
          <w:noProof/>
          <w:sz w:val="24"/>
        </w:rPr>
        <w:t xml:space="preserve"> à </w:t>
      </w:r>
      <w:r w:rsidRPr="00C316A8">
        <w:rPr>
          <w:rFonts w:ascii="Times New Roman" w:hAnsi="Times New Roman"/>
          <w:noProof/>
          <w:sz w:val="24"/>
        </w:rPr>
        <w:t>500</w:t>
      </w:r>
      <w:r>
        <w:rPr>
          <w:rFonts w:ascii="Times New Roman" w:hAnsi="Times New Roman"/>
          <w:noProof/>
          <w:sz w:val="24"/>
        </w:rPr>
        <w:t> millions d’EUR, mais la plus grande partie (</w:t>
      </w:r>
      <w:r w:rsidRPr="00C316A8">
        <w:rPr>
          <w:rFonts w:ascii="Times New Roman" w:hAnsi="Times New Roman"/>
          <w:noProof/>
          <w:sz w:val="24"/>
        </w:rPr>
        <w:t>34</w:t>
      </w:r>
      <w:r>
        <w:rPr>
          <w:rFonts w:ascii="Times New Roman" w:hAnsi="Times New Roman"/>
          <w:noProof/>
          <w:sz w:val="24"/>
        </w:rPr>
        <w:t xml:space="preserve"> %) valait plus de </w:t>
      </w:r>
      <w:r w:rsidRPr="00C316A8">
        <w:rPr>
          <w:rFonts w:ascii="Times New Roman" w:hAnsi="Times New Roman"/>
          <w:noProof/>
          <w:sz w:val="24"/>
        </w:rPr>
        <w:t>500</w:t>
      </w:r>
      <w:r>
        <w:rPr>
          <w:rFonts w:ascii="Times New Roman" w:hAnsi="Times New Roman"/>
          <w:noProof/>
          <w:sz w:val="24"/>
        </w:rPr>
        <w:t> millions d’EUR.</w:t>
      </w:r>
    </w:p>
    <w:p w14:paraId="10B858C2" w14:textId="3D05CA00" w:rsidR="004641DD" w:rsidRPr="0041626A" w:rsidRDefault="0041626A" w:rsidP="004F4237">
      <w:pPr>
        <w:pStyle w:val="Caption"/>
        <w:keepNext/>
        <w:jc w:val="center"/>
        <w:rPr>
          <w:rFonts w:ascii="Times New Roman" w:hAnsi="Times New Roman" w:cs="Times New Roman"/>
          <w:noProof/>
          <w:color w:val="auto"/>
          <w:sz w:val="24"/>
          <w:szCs w:val="24"/>
        </w:rPr>
      </w:pPr>
      <w:r>
        <w:rPr>
          <w:rFonts w:ascii="Times New Roman" w:hAnsi="Times New Roman"/>
          <w:noProof/>
          <w:color w:val="auto"/>
          <w:sz w:val="24"/>
        </w:rPr>
        <w:t xml:space="preserve">Figure </w:t>
      </w:r>
      <w:r w:rsidRPr="00C316A8">
        <w:rPr>
          <w:rFonts w:ascii="Times New Roman" w:hAnsi="Times New Roman"/>
          <w:noProof/>
          <w:color w:val="auto"/>
          <w:sz w:val="24"/>
        </w:rPr>
        <w:t>9</w:t>
      </w:r>
      <w:r>
        <w:rPr>
          <w:rFonts w:ascii="Times New Roman" w:hAnsi="Times New Roman"/>
          <w:noProof/>
          <w:color w:val="auto"/>
          <w:sz w:val="24"/>
        </w:rPr>
        <w:t xml:space="preserve"> — Valeur des transactions d’IDE notifiées en </w:t>
      </w:r>
      <w:r w:rsidRPr="00C316A8">
        <w:rPr>
          <w:rFonts w:ascii="Times New Roman" w:hAnsi="Times New Roman"/>
          <w:noProof/>
          <w:color w:val="auto"/>
          <w:sz w:val="24"/>
        </w:rPr>
        <w:t>2021</w:t>
      </w:r>
      <w:r>
        <w:rPr>
          <w:rStyle w:val="FootnoteReference"/>
          <w:rFonts w:ascii="Times New Roman" w:hAnsi="Times New Roman" w:cs="Times New Roman"/>
          <w:noProof/>
          <w:sz w:val="20"/>
          <w:szCs w:val="20"/>
        </w:rPr>
        <w:footnoteReference w:id="31"/>
      </w:r>
    </w:p>
    <w:p w14:paraId="0B31C97F" w14:textId="6A8C0EE9" w:rsidR="004641DD" w:rsidRDefault="00E85965" w:rsidP="00AF656C">
      <w:pPr>
        <w:spacing w:after="120" w:line="240" w:lineRule="auto"/>
        <w:jc w:val="center"/>
        <w:rPr>
          <w:rFonts w:ascii="Times New Roman" w:hAnsi="Times New Roman" w:cs="Times New Roman"/>
          <w:noProof/>
          <w:sz w:val="24"/>
          <w:szCs w:val="24"/>
        </w:rPr>
      </w:pPr>
      <w:r w:rsidRPr="00E85965">
        <w:rPr>
          <w:rFonts w:ascii="Times New Roman" w:hAnsi="Times New Roman" w:cs="Times New Roman"/>
          <w:noProof/>
          <w:sz w:val="24"/>
          <w:szCs w:val="24"/>
          <w:lang w:val="en-GB" w:eastAsia="en-GB"/>
        </w:rPr>
        <w:drawing>
          <wp:inline distT="0" distB="0" distL="0" distR="0" wp14:anchorId="1A24F576" wp14:editId="139A8CE0">
            <wp:extent cx="4572000" cy="2743200"/>
            <wp:effectExtent l="0" t="0" r="0" b="0"/>
            <wp:docPr id="1991147445" name="Chart 199114744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00BB766" w14:textId="77777777" w:rsidR="004641DD" w:rsidRDefault="004641DD" w:rsidP="004641DD">
      <w:pPr>
        <w:spacing w:after="120" w:line="240" w:lineRule="auto"/>
        <w:jc w:val="both"/>
        <w:rPr>
          <w:rFonts w:ascii="Times New Roman" w:hAnsi="Times New Roman" w:cs="Times New Roman"/>
          <w:noProof/>
          <w:sz w:val="24"/>
          <w:szCs w:val="24"/>
        </w:rPr>
      </w:pPr>
      <w:r>
        <w:rPr>
          <w:rFonts w:ascii="Times New Roman" w:hAnsi="Times New Roman"/>
          <w:noProof/>
          <w:color w:val="000000"/>
          <w:sz w:val="16"/>
        </w:rPr>
        <w:t>Source: notifications des États membres.</w:t>
      </w:r>
    </w:p>
    <w:p w14:paraId="6690D097" w14:textId="1DC3B726" w:rsidR="004641DD" w:rsidRPr="00636721" w:rsidRDefault="004641DD" w:rsidP="004641DD">
      <w:pPr>
        <w:spacing w:line="240" w:lineRule="auto"/>
        <w:jc w:val="both"/>
        <w:rPr>
          <w:rFonts w:ascii="Times New Roman" w:hAnsi="Times New Roman" w:cs="Times New Roman"/>
          <w:noProof/>
          <w:sz w:val="24"/>
          <w:szCs w:val="24"/>
        </w:rPr>
      </w:pPr>
      <w:r>
        <w:rPr>
          <w:rFonts w:ascii="Times New Roman" w:hAnsi="Times New Roman"/>
          <w:noProof/>
          <w:sz w:val="24"/>
        </w:rPr>
        <w:t xml:space="preserve">Les transactions notifiées présentent une large gamme de valeurs, comprises entre </w:t>
      </w:r>
      <w:r w:rsidRPr="00C316A8">
        <w:rPr>
          <w:rFonts w:ascii="Times New Roman" w:hAnsi="Times New Roman"/>
          <w:noProof/>
          <w:sz w:val="24"/>
        </w:rPr>
        <w:t>1</w:t>
      </w:r>
      <w:r>
        <w:rPr>
          <w:rFonts w:ascii="Times New Roman" w:hAnsi="Times New Roman"/>
          <w:noProof/>
          <w:sz w:val="24"/>
        </w:rPr>
        <w:t xml:space="preserve"> EUR et environ </w:t>
      </w:r>
      <w:r w:rsidRPr="00C316A8">
        <w:rPr>
          <w:rFonts w:ascii="Times New Roman" w:hAnsi="Times New Roman"/>
          <w:noProof/>
          <w:sz w:val="24"/>
        </w:rPr>
        <w:t>29</w:t>
      </w:r>
      <w:r>
        <w:rPr>
          <w:rFonts w:ascii="Times New Roman" w:hAnsi="Times New Roman"/>
          <w:noProof/>
          <w:sz w:val="24"/>
        </w:rPr>
        <w:t xml:space="preserve"> à </w:t>
      </w:r>
      <w:r w:rsidRPr="00C316A8">
        <w:rPr>
          <w:rFonts w:ascii="Times New Roman" w:hAnsi="Times New Roman"/>
          <w:noProof/>
          <w:sz w:val="24"/>
        </w:rPr>
        <w:t>31</w:t>
      </w:r>
      <w:r>
        <w:rPr>
          <w:rFonts w:ascii="Times New Roman" w:hAnsi="Times New Roman"/>
          <w:noProof/>
          <w:sz w:val="24"/>
        </w:rPr>
        <w:t xml:space="preserve"> milliards d’EUR. </w:t>
      </w:r>
    </w:p>
    <w:p w14:paraId="5C9F1DBA" w14:textId="14FEF369" w:rsidR="004641DD" w:rsidRDefault="004641DD" w:rsidP="004641DD">
      <w:pPr>
        <w:spacing w:line="240" w:lineRule="auto"/>
        <w:jc w:val="both"/>
        <w:rPr>
          <w:rFonts w:ascii="Times New Roman" w:hAnsi="Times New Roman" w:cs="Times New Roman"/>
          <w:noProof/>
          <w:sz w:val="24"/>
          <w:szCs w:val="24"/>
        </w:rPr>
      </w:pPr>
      <w:r>
        <w:rPr>
          <w:rFonts w:ascii="Times New Roman" w:hAnsi="Times New Roman"/>
          <w:noProof/>
          <w:sz w:val="24"/>
        </w:rPr>
        <w:t>Le règlement sur le filtrage des IDE prévoit que l’évaluation des transactions d’IDE s’effectue éventuellement en deux phases. Toutes les transactions notifiées sont évaluées lors de la phase </w:t>
      </w:r>
      <w:r w:rsidRPr="00C316A8">
        <w:rPr>
          <w:rFonts w:ascii="Times New Roman" w:hAnsi="Times New Roman"/>
          <w:noProof/>
          <w:sz w:val="24"/>
        </w:rPr>
        <w:t>1</w:t>
      </w:r>
      <w:r>
        <w:rPr>
          <w:rFonts w:ascii="Times New Roman" w:hAnsi="Times New Roman"/>
          <w:noProof/>
          <w:sz w:val="24"/>
        </w:rPr>
        <w:t>, mais seul un nombre limité de transactions passent à la phase </w:t>
      </w:r>
      <w:r w:rsidRPr="00C316A8">
        <w:rPr>
          <w:rFonts w:ascii="Times New Roman" w:hAnsi="Times New Roman"/>
          <w:noProof/>
          <w:sz w:val="24"/>
        </w:rPr>
        <w:t>2</w:t>
      </w:r>
      <w:r>
        <w:rPr>
          <w:rFonts w:ascii="Times New Roman" w:hAnsi="Times New Roman"/>
          <w:noProof/>
          <w:sz w:val="24"/>
        </w:rPr>
        <w:t>, qui suppose un examen plus détaillé des dossiers susceptibles de porter atteinte à la sécurité ou à l’ordre public de plusieurs États membres ou risquant de nuire à des projets ou programmes présentant un intérêt pour l’Union. La phase </w:t>
      </w:r>
      <w:r w:rsidRPr="00C316A8">
        <w:rPr>
          <w:rFonts w:ascii="Times New Roman" w:hAnsi="Times New Roman"/>
          <w:noProof/>
          <w:sz w:val="24"/>
        </w:rPr>
        <w:t>2</w:t>
      </w:r>
      <w:r>
        <w:rPr>
          <w:rFonts w:ascii="Times New Roman" w:hAnsi="Times New Roman"/>
          <w:noProof/>
          <w:sz w:val="24"/>
        </w:rPr>
        <w:t xml:space="preserve"> peut en définitive aboutir à l’adoption par la Commission européenne d’un avis sur le dossier en question. </w:t>
      </w:r>
    </w:p>
    <w:p w14:paraId="5F443F7C" w14:textId="77777777" w:rsidR="00EF0ADC" w:rsidRDefault="00EF0ADC">
      <w:pPr>
        <w:rPr>
          <w:rFonts w:ascii="Times New Roman" w:hAnsi="Times New Roman" w:cs="Times New Roman"/>
          <w:noProof/>
          <w:sz w:val="24"/>
          <w:szCs w:val="24"/>
        </w:rPr>
      </w:pPr>
      <w:r>
        <w:rPr>
          <w:noProof/>
        </w:rPr>
        <w:br w:type="page"/>
      </w:r>
    </w:p>
    <w:p w14:paraId="58446CDC" w14:textId="77777777" w:rsidR="004641DD" w:rsidRPr="005C281F" w:rsidRDefault="004641DD" w:rsidP="004641DD">
      <w:pPr>
        <w:spacing w:line="240" w:lineRule="auto"/>
        <w:jc w:val="both"/>
        <w:rPr>
          <w:rFonts w:ascii="Times New Roman" w:hAnsi="Times New Roman" w:cs="Times New Roman"/>
          <w:noProof/>
          <w:sz w:val="24"/>
          <w:szCs w:val="24"/>
          <w:highlight w:val="green"/>
        </w:rPr>
      </w:pPr>
      <w:r>
        <w:rPr>
          <w:rFonts w:ascii="Times New Roman" w:hAnsi="Times New Roman"/>
          <w:noProof/>
          <w:sz w:val="24"/>
        </w:rPr>
        <w:t xml:space="preserve">Sur les </w:t>
      </w:r>
      <w:r w:rsidRPr="00C316A8">
        <w:rPr>
          <w:rFonts w:ascii="Times New Roman" w:hAnsi="Times New Roman"/>
          <w:noProof/>
          <w:sz w:val="24"/>
        </w:rPr>
        <w:t>414</w:t>
      </w:r>
      <w:r>
        <w:rPr>
          <w:rFonts w:ascii="Times New Roman" w:hAnsi="Times New Roman"/>
          <w:noProof/>
          <w:sz w:val="24"/>
        </w:rPr>
        <w:t xml:space="preserve"> dossiers notifiés, </w:t>
      </w:r>
      <w:r w:rsidRPr="00C316A8">
        <w:rPr>
          <w:rFonts w:ascii="Times New Roman" w:hAnsi="Times New Roman"/>
          <w:noProof/>
          <w:sz w:val="24"/>
        </w:rPr>
        <w:t>86</w:t>
      </w:r>
      <w:r>
        <w:rPr>
          <w:rFonts w:ascii="Times New Roman" w:hAnsi="Times New Roman"/>
          <w:noProof/>
          <w:sz w:val="24"/>
        </w:rPr>
        <w:t> % ont été clôturés par la Commission lors de la phase </w:t>
      </w:r>
      <w:r w:rsidRPr="00C316A8">
        <w:rPr>
          <w:rFonts w:ascii="Times New Roman" w:hAnsi="Times New Roman"/>
          <w:noProof/>
          <w:sz w:val="24"/>
        </w:rPr>
        <w:t>1</w:t>
      </w:r>
      <w:r>
        <w:rPr>
          <w:rFonts w:ascii="Times New Roman" w:hAnsi="Times New Roman"/>
          <w:noProof/>
          <w:sz w:val="24"/>
        </w:rPr>
        <w:t xml:space="preserve">, tandis que </w:t>
      </w:r>
      <w:r w:rsidRPr="00C316A8">
        <w:rPr>
          <w:rFonts w:ascii="Times New Roman" w:hAnsi="Times New Roman"/>
          <w:noProof/>
          <w:sz w:val="24"/>
        </w:rPr>
        <w:t>11</w:t>
      </w:r>
      <w:r>
        <w:rPr>
          <w:rFonts w:ascii="Times New Roman" w:hAnsi="Times New Roman"/>
          <w:noProof/>
          <w:sz w:val="24"/>
        </w:rPr>
        <w:t> % (</w:t>
      </w:r>
      <w:r w:rsidRPr="00C316A8">
        <w:rPr>
          <w:rFonts w:ascii="Times New Roman" w:hAnsi="Times New Roman"/>
          <w:noProof/>
          <w:sz w:val="24"/>
        </w:rPr>
        <w:t>14</w:t>
      </w:r>
      <w:r>
        <w:rPr>
          <w:rFonts w:ascii="Times New Roman" w:hAnsi="Times New Roman"/>
          <w:noProof/>
          <w:sz w:val="24"/>
        </w:rPr>
        <w:t xml:space="preserve"> % dans le rapport précédent) sont passés en phase </w:t>
      </w:r>
      <w:r w:rsidRPr="00C316A8">
        <w:rPr>
          <w:rFonts w:ascii="Times New Roman" w:hAnsi="Times New Roman"/>
          <w:noProof/>
          <w:sz w:val="24"/>
        </w:rPr>
        <w:t>2</w:t>
      </w:r>
      <w:r>
        <w:rPr>
          <w:rFonts w:ascii="Times New Roman" w:hAnsi="Times New Roman"/>
          <w:noProof/>
          <w:sz w:val="24"/>
        </w:rPr>
        <w:t xml:space="preserve"> pour laquelle des informations supplémentaires ont été demandées à l’État membre à l’origine de la notification. </w:t>
      </w:r>
      <w:r w:rsidRPr="00C316A8">
        <w:rPr>
          <w:rFonts w:ascii="Times New Roman" w:hAnsi="Times New Roman"/>
          <w:noProof/>
          <w:sz w:val="24"/>
        </w:rPr>
        <w:t>3</w:t>
      </w:r>
      <w:r>
        <w:rPr>
          <w:rFonts w:ascii="Times New Roman" w:hAnsi="Times New Roman"/>
          <w:noProof/>
          <w:sz w:val="24"/>
        </w:rPr>
        <w:t xml:space="preserve"> % de ces dossiers étaient toujours en cours à la date de clôture du présent rapport, ce qui signifie qu’ils n’avaient pas encore été clôturés au cours de la phase </w:t>
      </w:r>
      <w:r w:rsidRPr="00C316A8">
        <w:rPr>
          <w:rFonts w:ascii="Times New Roman" w:hAnsi="Times New Roman"/>
          <w:noProof/>
          <w:sz w:val="24"/>
        </w:rPr>
        <w:t>1</w:t>
      </w:r>
      <w:r>
        <w:rPr>
          <w:rFonts w:ascii="Times New Roman" w:hAnsi="Times New Roman"/>
          <w:noProof/>
          <w:sz w:val="24"/>
        </w:rPr>
        <w:t xml:space="preserve"> ou </w:t>
      </w:r>
      <w:r w:rsidRPr="00C316A8">
        <w:rPr>
          <w:rFonts w:ascii="Times New Roman" w:hAnsi="Times New Roman"/>
          <w:noProof/>
          <w:sz w:val="24"/>
        </w:rPr>
        <w:t>2</w:t>
      </w:r>
      <w:r>
        <w:rPr>
          <w:rStyle w:val="FootnoteReference"/>
          <w:rFonts w:ascii="Times New Roman" w:hAnsi="Times New Roman" w:cs="Times New Roman"/>
          <w:noProof/>
          <w:sz w:val="24"/>
          <w:szCs w:val="24"/>
        </w:rPr>
        <w:footnoteReference w:id="32"/>
      </w:r>
      <w:r>
        <w:rPr>
          <w:rFonts w:ascii="Times New Roman" w:hAnsi="Times New Roman"/>
          <w:noProof/>
          <w:sz w:val="24"/>
        </w:rPr>
        <w:t xml:space="preserve">. </w:t>
      </w:r>
    </w:p>
    <w:p w14:paraId="54111494" w14:textId="77777777" w:rsidR="004641DD" w:rsidRDefault="004641DD" w:rsidP="004641DD">
      <w:pPr>
        <w:spacing w:line="240" w:lineRule="auto"/>
        <w:jc w:val="both"/>
        <w:rPr>
          <w:rFonts w:ascii="Times New Roman" w:hAnsi="Times New Roman" w:cs="Times New Roman"/>
          <w:noProof/>
          <w:sz w:val="24"/>
          <w:szCs w:val="24"/>
        </w:rPr>
      </w:pPr>
      <w:r>
        <w:rPr>
          <w:rFonts w:ascii="Times New Roman" w:hAnsi="Times New Roman"/>
          <w:noProof/>
          <w:sz w:val="24"/>
        </w:rPr>
        <w:t>Les informations supplémentaires demandées par la Commission lors de l’ouverture de la phase </w:t>
      </w:r>
      <w:r w:rsidRPr="00C316A8">
        <w:rPr>
          <w:rFonts w:ascii="Times New Roman" w:hAnsi="Times New Roman"/>
          <w:noProof/>
          <w:sz w:val="24"/>
        </w:rPr>
        <w:t>2</w:t>
      </w:r>
      <w:r>
        <w:rPr>
          <w:rFonts w:ascii="Times New Roman" w:hAnsi="Times New Roman"/>
          <w:noProof/>
          <w:sz w:val="24"/>
        </w:rPr>
        <w:t xml:space="preserve"> varient considérablement, selon la transaction concernée et le niveau de détail et de qualité des informations présentées à l’appui de la notification</w:t>
      </w:r>
      <w:r>
        <w:rPr>
          <w:rStyle w:val="FootnoteReference"/>
          <w:rFonts w:ascii="Times New Roman" w:hAnsi="Times New Roman" w:cs="Times New Roman"/>
          <w:noProof/>
          <w:sz w:val="24"/>
          <w:szCs w:val="24"/>
        </w:rPr>
        <w:footnoteReference w:id="33"/>
      </w:r>
      <w:r>
        <w:rPr>
          <w:rFonts w:ascii="Times New Roman" w:hAnsi="Times New Roman"/>
          <w:noProof/>
          <w:sz w:val="24"/>
        </w:rPr>
        <w:t xml:space="preserve">. </w:t>
      </w:r>
    </w:p>
    <w:p w14:paraId="34E5F608" w14:textId="77777777" w:rsidR="004641DD" w:rsidRPr="0041626A" w:rsidRDefault="0041626A" w:rsidP="004F4237">
      <w:pPr>
        <w:pStyle w:val="Caption"/>
        <w:keepNext/>
        <w:jc w:val="center"/>
        <w:rPr>
          <w:rFonts w:ascii="Times New Roman" w:hAnsi="Times New Roman" w:cs="Times New Roman"/>
          <w:noProof/>
          <w:color w:val="auto"/>
          <w:sz w:val="24"/>
          <w:szCs w:val="24"/>
        </w:rPr>
      </w:pPr>
      <w:r>
        <w:rPr>
          <w:rFonts w:ascii="Times New Roman" w:hAnsi="Times New Roman"/>
          <w:noProof/>
          <w:color w:val="auto"/>
          <w:sz w:val="24"/>
        </w:rPr>
        <w:t xml:space="preserve">Figure </w:t>
      </w:r>
      <w:r w:rsidRPr="00C316A8">
        <w:rPr>
          <w:rFonts w:ascii="Times New Roman" w:hAnsi="Times New Roman"/>
          <w:noProof/>
          <w:color w:val="auto"/>
          <w:sz w:val="24"/>
        </w:rPr>
        <w:t>10</w:t>
      </w:r>
      <w:r>
        <w:rPr>
          <w:rFonts w:ascii="Times New Roman" w:hAnsi="Times New Roman"/>
          <w:noProof/>
          <w:color w:val="auto"/>
          <w:sz w:val="24"/>
        </w:rPr>
        <w:t xml:space="preserve"> — Dossiers clôturés au cours des phases </w:t>
      </w:r>
      <w:r w:rsidRPr="00C316A8">
        <w:rPr>
          <w:rFonts w:ascii="Times New Roman" w:hAnsi="Times New Roman"/>
          <w:noProof/>
          <w:color w:val="auto"/>
          <w:sz w:val="24"/>
        </w:rPr>
        <w:t>1</w:t>
      </w:r>
      <w:r>
        <w:rPr>
          <w:rFonts w:ascii="Times New Roman" w:hAnsi="Times New Roman"/>
          <w:noProof/>
          <w:color w:val="auto"/>
          <w:sz w:val="24"/>
        </w:rPr>
        <w:t xml:space="preserve"> et </w:t>
      </w:r>
      <w:r w:rsidRPr="00C316A8">
        <w:rPr>
          <w:rFonts w:ascii="Times New Roman" w:hAnsi="Times New Roman"/>
          <w:noProof/>
          <w:color w:val="auto"/>
          <w:sz w:val="24"/>
        </w:rPr>
        <w:t>2</w:t>
      </w:r>
      <w:r>
        <w:rPr>
          <w:rFonts w:ascii="Times New Roman" w:hAnsi="Times New Roman"/>
          <w:noProof/>
          <w:color w:val="auto"/>
          <w:sz w:val="24"/>
        </w:rPr>
        <w:t xml:space="preserve"> et en cours</w:t>
      </w:r>
    </w:p>
    <w:p w14:paraId="751C5ADC" w14:textId="5C062E23" w:rsidR="004641DD" w:rsidRDefault="00E85965" w:rsidP="00AF656C">
      <w:pPr>
        <w:spacing w:after="120" w:line="240" w:lineRule="auto"/>
        <w:jc w:val="center"/>
        <w:rPr>
          <w:rFonts w:ascii="Times New Roman" w:hAnsi="Times New Roman" w:cs="Times New Roman"/>
          <w:noProof/>
          <w:sz w:val="24"/>
          <w:szCs w:val="24"/>
        </w:rPr>
      </w:pPr>
      <w:r w:rsidRPr="00E85965">
        <w:rPr>
          <w:rFonts w:ascii="Times New Roman" w:hAnsi="Times New Roman" w:cs="Times New Roman"/>
          <w:noProof/>
          <w:sz w:val="24"/>
          <w:szCs w:val="24"/>
          <w:lang w:val="en-GB" w:eastAsia="en-GB"/>
        </w:rPr>
        <w:drawing>
          <wp:inline distT="0" distB="0" distL="0" distR="0" wp14:anchorId="7424D4C5" wp14:editId="55FFE55D">
            <wp:extent cx="4572000" cy="2743200"/>
            <wp:effectExtent l="0" t="0" r="0" b="0"/>
            <wp:docPr id="1991147446" name="Chart 199114744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BD68E79" w14:textId="2467E39F" w:rsidR="004641DD" w:rsidRPr="004C2B8E" w:rsidRDefault="004641DD" w:rsidP="004641DD">
      <w:pPr>
        <w:pStyle w:val="Caption"/>
        <w:spacing w:after="120"/>
        <w:jc w:val="both"/>
        <w:rPr>
          <w:rFonts w:ascii="Times New Roman" w:hAnsi="Times New Roman" w:cs="Times New Roman"/>
          <w:i w:val="0"/>
          <w:noProof/>
          <w:color w:val="auto"/>
          <w:sz w:val="22"/>
          <w:szCs w:val="24"/>
          <w:highlight w:val="green"/>
        </w:rPr>
      </w:pPr>
      <w:r>
        <w:rPr>
          <w:rFonts w:ascii="Times New Roman" w:hAnsi="Times New Roman"/>
          <w:i w:val="0"/>
          <w:noProof/>
          <w:color w:val="auto"/>
          <w:sz w:val="16"/>
        </w:rPr>
        <w:t>Source: notifications des États membres.</w:t>
      </w:r>
    </w:p>
    <w:p w14:paraId="0760DE17" w14:textId="77777777" w:rsidR="004641DD" w:rsidRPr="005C281F" w:rsidRDefault="004641DD" w:rsidP="004641DD">
      <w:pPr>
        <w:spacing w:line="240" w:lineRule="auto"/>
        <w:jc w:val="both"/>
        <w:rPr>
          <w:rFonts w:ascii="Times New Roman" w:hAnsi="Times New Roman" w:cs="Times New Roman"/>
          <w:noProof/>
          <w:sz w:val="24"/>
          <w:szCs w:val="24"/>
          <w:highlight w:val="green"/>
        </w:rPr>
      </w:pPr>
      <w:r>
        <w:rPr>
          <w:rFonts w:ascii="Times New Roman" w:hAnsi="Times New Roman"/>
          <w:noProof/>
          <w:sz w:val="24"/>
        </w:rPr>
        <w:t xml:space="preserve">Les informations demandées comprennent généralement un ou plusieurs des éléments suivants: des données sur les produits et/ou services de l’entreprise cible; un éventuel classement à double usage de tous les produits concernés; les clients, les fournisseurs de remplacement et les parts de marché; l’influence de l’investisseur sur la société cible après la transaction; le portefeuille de droits de propriété intellectuelle et les activités de recherche-développement de l’entreprise cible; d’autres renseignements définissant l’investisseur et sa stratégie. Ces informations sont demandées afin de mieux évaluer le caractère critique de la cible ou les éventuelles menaces que fait peser l’investisseur. </w:t>
      </w:r>
    </w:p>
    <w:p w14:paraId="2A34C730" w14:textId="77777777" w:rsidR="004641DD" w:rsidRDefault="004641DD" w:rsidP="004641DD">
      <w:pPr>
        <w:spacing w:before="120" w:after="120" w:line="240" w:lineRule="auto"/>
        <w:jc w:val="both"/>
        <w:rPr>
          <w:rFonts w:ascii="Times New Roman" w:hAnsi="Times New Roman" w:cs="Times New Roman"/>
          <w:noProof/>
          <w:sz w:val="24"/>
          <w:szCs w:val="24"/>
        </w:rPr>
      </w:pPr>
      <w:r>
        <w:rPr>
          <w:rFonts w:ascii="Times New Roman" w:hAnsi="Times New Roman"/>
          <w:noProof/>
          <w:sz w:val="24"/>
        </w:rPr>
        <w:t>Les principaux secteurs concernés par la phase </w:t>
      </w:r>
      <w:r w:rsidRPr="00C316A8">
        <w:rPr>
          <w:rFonts w:ascii="Times New Roman" w:hAnsi="Times New Roman"/>
          <w:noProof/>
          <w:sz w:val="24"/>
        </w:rPr>
        <w:t>2</w:t>
      </w:r>
      <w:r>
        <w:rPr>
          <w:rFonts w:ascii="Times New Roman" w:hAnsi="Times New Roman"/>
          <w:noProof/>
          <w:sz w:val="24"/>
        </w:rPr>
        <w:t xml:space="preserve"> étaient l’industrie manufacturière, les TIC et les activités financières. L’industrie manufacturière et les TIC représentaient </w:t>
      </w:r>
      <w:r w:rsidRPr="00C316A8">
        <w:rPr>
          <w:rFonts w:ascii="Times New Roman" w:hAnsi="Times New Roman"/>
          <w:noProof/>
          <w:sz w:val="24"/>
        </w:rPr>
        <w:t>76</w:t>
      </w:r>
      <w:r>
        <w:rPr>
          <w:rFonts w:ascii="Times New Roman" w:hAnsi="Times New Roman"/>
          <w:noProof/>
          <w:sz w:val="24"/>
        </w:rPr>
        <w:t> % de l’ensemble des dossiers en phase </w:t>
      </w:r>
      <w:r w:rsidRPr="00C316A8">
        <w:rPr>
          <w:rFonts w:ascii="Times New Roman" w:hAnsi="Times New Roman"/>
          <w:noProof/>
          <w:sz w:val="24"/>
        </w:rPr>
        <w:t>2</w:t>
      </w:r>
      <w:r>
        <w:rPr>
          <w:rFonts w:ascii="Times New Roman" w:hAnsi="Times New Roman"/>
          <w:noProof/>
          <w:sz w:val="24"/>
        </w:rPr>
        <w:t xml:space="preserve">. Le secteur des TIC a augmenté de manière assez spectaculaire, passant de </w:t>
      </w:r>
      <w:r w:rsidRPr="00C316A8">
        <w:rPr>
          <w:rFonts w:ascii="Times New Roman" w:hAnsi="Times New Roman"/>
          <w:noProof/>
          <w:sz w:val="24"/>
        </w:rPr>
        <w:t>17</w:t>
      </w:r>
      <w:r>
        <w:rPr>
          <w:rFonts w:ascii="Times New Roman" w:hAnsi="Times New Roman"/>
          <w:noProof/>
          <w:sz w:val="24"/>
        </w:rPr>
        <w:t xml:space="preserve"> % dans le rapport précédent à </w:t>
      </w:r>
      <w:r w:rsidRPr="00C316A8">
        <w:rPr>
          <w:rFonts w:ascii="Times New Roman" w:hAnsi="Times New Roman"/>
          <w:noProof/>
          <w:sz w:val="24"/>
        </w:rPr>
        <w:t>32</w:t>
      </w:r>
      <w:r>
        <w:rPr>
          <w:rFonts w:ascii="Times New Roman" w:hAnsi="Times New Roman"/>
          <w:noProof/>
          <w:sz w:val="24"/>
        </w:rPr>
        <w:t> % dans le rapport actuel.</w:t>
      </w:r>
    </w:p>
    <w:p w14:paraId="45CA4412" w14:textId="77777777" w:rsidR="00AF656C" w:rsidRDefault="00AF656C">
      <w:pPr>
        <w:rPr>
          <w:rFonts w:ascii="Times New Roman" w:hAnsi="Times New Roman" w:cs="Times New Roman"/>
          <w:i/>
          <w:noProof/>
          <w:sz w:val="24"/>
        </w:rPr>
      </w:pPr>
      <w:r>
        <w:rPr>
          <w:noProof/>
        </w:rPr>
        <w:br w:type="page"/>
      </w:r>
    </w:p>
    <w:p w14:paraId="7BA232E3" w14:textId="77777777" w:rsidR="004641DD" w:rsidRPr="0041626A" w:rsidRDefault="0041626A" w:rsidP="004F4237">
      <w:pPr>
        <w:spacing w:before="120" w:after="120" w:line="240" w:lineRule="auto"/>
        <w:jc w:val="center"/>
        <w:rPr>
          <w:rFonts w:ascii="Times New Roman" w:hAnsi="Times New Roman" w:cs="Times New Roman"/>
          <w:i/>
          <w:noProof/>
          <w:sz w:val="24"/>
          <w:szCs w:val="24"/>
        </w:rPr>
      </w:pPr>
      <w:r>
        <w:rPr>
          <w:rFonts w:ascii="Times New Roman" w:hAnsi="Times New Roman"/>
          <w:i/>
          <w:noProof/>
          <w:sz w:val="24"/>
        </w:rPr>
        <w:t xml:space="preserve">Figure </w:t>
      </w:r>
      <w:r w:rsidRPr="00C316A8">
        <w:rPr>
          <w:rFonts w:ascii="Times New Roman" w:hAnsi="Times New Roman"/>
          <w:i/>
          <w:noProof/>
          <w:sz w:val="24"/>
        </w:rPr>
        <w:t>11</w:t>
      </w:r>
      <w:r>
        <w:rPr>
          <w:rFonts w:ascii="Times New Roman" w:hAnsi="Times New Roman"/>
          <w:i/>
          <w:noProof/>
          <w:sz w:val="24"/>
        </w:rPr>
        <w:t xml:space="preserve"> — Principaux secteurs ciblés dans les dossiers en phase </w:t>
      </w:r>
      <w:r w:rsidRPr="00C316A8">
        <w:rPr>
          <w:rFonts w:ascii="Times New Roman" w:hAnsi="Times New Roman"/>
          <w:i/>
          <w:noProof/>
          <w:sz w:val="24"/>
        </w:rPr>
        <w:t>2</w:t>
      </w:r>
      <w:r>
        <w:rPr>
          <w:rFonts w:ascii="Times New Roman" w:hAnsi="Times New Roman"/>
          <w:i/>
          <w:noProof/>
          <w:sz w:val="24"/>
        </w:rPr>
        <w:t xml:space="preserve"> en </w:t>
      </w:r>
      <w:r w:rsidRPr="00C316A8">
        <w:rPr>
          <w:rFonts w:ascii="Times New Roman" w:hAnsi="Times New Roman"/>
          <w:i/>
          <w:noProof/>
          <w:sz w:val="24"/>
        </w:rPr>
        <w:t>2021</w:t>
      </w:r>
      <w:r>
        <w:rPr>
          <w:rStyle w:val="FootnoteReference"/>
          <w:rFonts w:ascii="Times New Roman" w:hAnsi="Times New Roman" w:cs="Times New Roman"/>
          <w:i/>
          <w:noProof/>
          <w:sz w:val="24"/>
          <w:szCs w:val="24"/>
        </w:rPr>
        <w:footnoteReference w:id="34"/>
      </w:r>
    </w:p>
    <w:p w14:paraId="18873231" w14:textId="05B9FD45" w:rsidR="004641DD" w:rsidRPr="009D775F" w:rsidRDefault="00E85965" w:rsidP="00EF0ADC">
      <w:pPr>
        <w:keepNext/>
        <w:spacing w:after="0" w:line="240" w:lineRule="auto"/>
        <w:jc w:val="center"/>
        <w:rPr>
          <w:noProof/>
        </w:rPr>
      </w:pPr>
      <w:r w:rsidRPr="00E85965">
        <w:rPr>
          <w:noProof/>
          <w:lang w:val="en-GB" w:eastAsia="en-GB"/>
        </w:rPr>
        <w:drawing>
          <wp:inline distT="0" distB="0" distL="0" distR="0" wp14:anchorId="4B3605E6" wp14:editId="32BE247F">
            <wp:extent cx="4269850" cy="2719346"/>
            <wp:effectExtent l="0" t="0" r="16510" b="5080"/>
            <wp:docPr id="1991147447" name="Chart 199114744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59D41DE" w14:textId="046394AD" w:rsidR="004641DD" w:rsidRDefault="004641DD" w:rsidP="00EF0ADC">
      <w:pPr>
        <w:pStyle w:val="Caption"/>
        <w:spacing w:before="120" w:after="120"/>
        <w:jc w:val="both"/>
        <w:rPr>
          <w:rFonts w:ascii="Times New Roman" w:hAnsi="Times New Roman" w:cs="Times New Roman"/>
          <w:i w:val="0"/>
          <w:noProof/>
          <w:color w:val="auto"/>
          <w:sz w:val="16"/>
        </w:rPr>
      </w:pPr>
      <w:r>
        <w:rPr>
          <w:rFonts w:ascii="Times New Roman" w:hAnsi="Times New Roman"/>
          <w:i w:val="0"/>
          <w:noProof/>
          <w:color w:val="auto"/>
          <w:sz w:val="16"/>
        </w:rPr>
        <w:t>Source: notifications des États membres.</w:t>
      </w:r>
    </w:p>
    <w:p w14:paraId="4CF4A0BD" w14:textId="74097790" w:rsidR="004641DD" w:rsidRPr="005F45B4" w:rsidRDefault="00871AB0" w:rsidP="004641DD">
      <w:pPr>
        <w:jc w:val="both"/>
        <w:rPr>
          <w:noProof/>
        </w:rPr>
      </w:pPr>
      <w:r>
        <w:rPr>
          <w:rFonts w:ascii="Times New Roman" w:hAnsi="Times New Roman"/>
          <w:noProof/>
          <w:sz w:val="24"/>
        </w:rPr>
        <w:t>En tête de classement, l’industrie manufacturière englobe les infrastructures et/ou technologies critiques, à savoir la défense, l’aérospatiale, l’énergie, la santé (y compris l’industrie pharmaceutique) et les équipements semi-conducteurs. La défense et l’aérospatiale représentent près de la moitié des notifications dans ce secteur (</w:t>
      </w:r>
      <w:r w:rsidRPr="00C316A8">
        <w:rPr>
          <w:rFonts w:ascii="Times New Roman" w:hAnsi="Times New Roman"/>
          <w:noProof/>
          <w:sz w:val="24"/>
        </w:rPr>
        <w:t>45</w:t>
      </w:r>
      <w:r>
        <w:rPr>
          <w:rFonts w:ascii="Times New Roman" w:hAnsi="Times New Roman"/>
          <w:noProof/>
          <w:sz w:val="24"/>
        </w:rPr>
        <w:t> %).</w:t>
      </w:r>
    </w:p>
    <w:p w14:paraId="5FC74A40" w14:textId="11650AC1" w:rsidR="004641DD" w:rsidRPr="00B115FB" w:rsidRDefault="004641DD" w:rsidP="004F4237">
      <w:pPr>
        <w:pStyle w:val="Caption"/>
        <w:keepNext/>
        <w:spacing w:after="120"/>
        <w:jc w:val="center"/>
        <w:rPr>
          <w:rFonts w:ascii="Times New Roman" w:hAnsi="Times New Roman" w:cs="Times New Roman"/>
          <w:noProof/>
          <w:color w:val="auto"/>
          <w:sz w:val="24"/>
          <w:szCs w:val="24"/>
        </w:rPr>
      </w:pPr>
      <w:r>
        <w:rPr>
          <w:rFonts w:ascii="Times New Roman" w:hAnsi="Times New Roman"/>
          <w:noProof/>
          <w:color w:val="auto"/>
          <w:sz w:val="24"/>
        </w:rPr>
        <w:t xml:space="preserve">Figure </w:t>
      </w:r>
      <w:r w:rsidRPr="00C316A8">
        <w:rPr>
          <w:rFonts w:ascii="Times New Roman" w:hAnsi="Times New Roman"/>
          <w:noProof/>
          <w:color w:val="auto"/>
          <w:sz w:val="24"/>
        </w:rPr>
        <w:t>12</w:t>
      </w:r>
      <w:r>
        <w:rPr>
          <w:rFonts w:ascii="Times New Roman" w:hAnsi="Times New Roman"/>
          <w:noProof/>
          <w:color w:val="auto"/>
          <w:sz w:val="24"/>
        </w:rPr>
        <w:t xml:space="preserve"> — Sous-secteurs manufacturiers dans les dossiers en phase </w:t>
      </w:r>
      <w:r w:rsidRPr="00C316A8">
        <w:rPr>
          <w:rFonts w:ascii="Times New Roman" w:hAnsi="Times New Roman"/>
          <w:noProof/>
          <w:color w:val="auto"/>
          <w:sz w:val="24"/>
        </w:rPr>
        <w:t>2</w:t>
      </w:r>
      <w:r>
        <w:rPr>
          <w:rFonts w:ascii="Times New Roman" w:hAnsi="Times New Roman"/>
          <w:noProof/>
          <w:color w:val="auto"/>
          <w:sz w:val="24"/>
        </w:rPr>
        <w:t xml:space="preserve"> en </w:t>
      </w:r>
      <w:r w:rsidRPr="00C316A8">
        <w:rPr>
          <w:rFonts w:ascii="Times New Roman" w:hAnsi="Times New Roman"/>
          <w:noProof/>
          <w:color w:val="auto"/>
          <w:sz w:val="24"/>
        </w:rPr>
        <w:t>2021</w:t>
      </w:r>
    </w:p>
    <w:p w14:paraId="7B78600C" w14:textId="69ED5578" w:rsidR="004641DD" w:rsidRDefault="00E85965" w:rsidP="00EF0ADC">
      <w:pPr>
        <w:spacing w:after="0"/>
        <w:jc w:val="center"/>
        <w:rPr>
          <w:noProof/>
          <w:highlight w:val="green"/>
        </w:rPr>
      </w:pPr>
      <w:r w:rsidRPr="00E85965">
        <w:rPr>
          <w:noProof/>
          <w:highlight w:val="green"/>
          <w:lang w:val="en-GB" w:eastAsia="en-GB"/>
        </w:rPr>
        <w:drawing>
          <wp:inline distT="0" distB="0" distL="0" distR="0" wp14:anchorId="50F4C844" wp14:editId="5DEF2F01">
            <wp:extent cx="4791075" cy="2743200"/>
            <wp:effectExtent l="0" t="0" r="9525" b="0"/>
            <wp:docPr id="1991147448" name="Chart 199114744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5409B4A7" w14:textId="77777777" w:rsidR="004641DD" w:rsidRDefault="004641DD" w:rsidP="00EF0ADC">
      <w:pPr>
        <w:pStyle w:val="Caption"/>
        <w:spacing w:before="120" w:after="120"/>
        <w:jc w:val="both"/>
        <w:rPr>
          <w:rFonts w:ascii="Times New Roman" w:hAnsi="Times New Roman" w:cs="Times New Roman"/>
          <w:i w:val="0"/>
          <w:noProof/>
          <w:color w:val="auto"/>
          <w:sz w:val="16"/>
        </w:rPr>
      </w:pPr>
      <w:r>
        <w:rPr>
          <w:rFonts w:ascii="Times New Roman" w:hAnsi="Times New Roman"/>
          <w:i w:val="0"/>
          <w:noProof/>
          <w:color w:val="auto"/>
          <w:sz w:val="16"/>
        </w:rPr>
        <w:t>Source: notifications des États membres</w:t>
      </w:r>
    </w:p>
    <w:p w14:paraId="13645418" w14:textId="77777777" w:rsidR="00EF0ADC" w:rsidRDefault="004641DD" w:rsidP="004641DD">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Neuf États membres ont été à l’origine de </w:t>
      </w:r>
      <w:r w:rsidRPr="00C316A8">
        <w:rPr>
          <w:rFonts w:ascii="Times New Roman" w:hAnsi="Times New Roman"/>
          <w:noProof/>
          <w:sz w:val="24"/>
        </w:rPr>
        <w:t>47</w:t>
      </w:r>
      <w:r>
        <w:rPr>
          <w:rFonts w:ascii="Times New Roman" w:hAnsi="Times New Roman"/>
          <w:noProof/>
          <w:sz w:val="24"/>
        </w:rPr>
        <w:t> dossiers en phase </w:t>
      </w:r>
      <w:r w:rsidRPr="00C316A8">
        <w:rPr>
          <w:rFonts w:ascii="Times New Roman" w:hAnsi="Times New Roman"/>
          <w:noProof/>
          <w:sz w:val="24"/>
        </w:rPr>
        <w:t>2</w:t>
      </w:r>
      <w:r>
        <w:rPr>
          <w:rStyle w:val="FootnoteReference"/>
          <w:rFonts w:ascii="Times New Roman" w:hAnsi="Times New Roman" w:cs="Times New Roman"/>
          <w:noProof/>
          <w:sz w:val="24"/>
          <w:szCs w:val="24"/>
        </w:rPr>
        <w:footnoteReference w:id="35"/>
      </w:r>
      <w:r>
        <w:rPr>
          <w:rFonts w:ascii="Times New Roman" w:hAnsi="Times New Roman"/>
          <w:noProof/>
          <w:sz w:val="24"/>
        </w:rPr>
        <w:t>. En ce qui concerne les dossiers en phase </w:t>
      </w:r>
      <w:r w:rsidRPr="00C316A8">
        <w:rPr>
          <w:rFonts w:ascii="Times New Roman" w:hAnsi="Times New Roman"/>
          <w:noProof/>
          <w:sz w:val="24"/>
        </w:rPr>
        <w:t>2</w:t>
      </w:r>
      <w:r>
        <w:rPr>
          <w:rFonts w:ascii="Times New Roman" w:hAnsi="Times New Roman"/>
          <w:noProof/>
          <w:sz w:val="24"/>
        </w:rPr>
        <w:t xml:space="preserve">, le délai moyen dont les États membres ont eu besoin pour fournir les informations demandées a été de </w:t>
      </w:r>
      <w:r w:rsidRPr="00C316A8">
        <w:rPr>
          <w:rFonts w:ascii="Times New Roman" w:hAnsi="Times New Roman"/>
          <w:noProof/>
          <w:sz w:val="24"/>
        </w:rPr>
        <w:t>22</w:t>
      </w:r>
      <w:r>
        <w:rPr>
          <w:rFonts w:ascii="Times New Roman" w:hAnsi="Times New Roman"/>
          <w:noProof/>
          <w:sz w:val="24"/>
        </w:rPr>
        <w:t xml:space="preserve"> jours civils (contre </w:t>
      </w:r>
      <w:r w:rsidRPr="00C316A8">
        <w:rPr>
          <w:rFonts w:ascii="Times New Roman" w:hAnsi="Times New Roman"/>
          <w:noProof/>
          <w:sz w:val="24"/>
        </w:rPr>
        <w:t>31</w:t>
      </w:r>
      <w:r>
        <w:rPr>
          <w:rFonts w:ascii="Times New Roman" w:hAnsi="Times New Roman"/>
          <w:noProof/>
          <w:sz w:val="24"/>
        </w:rPr>
        <w:t xml:space="preserve"> jours civils dans le premier rapport), avec une fourchette allant de </w:t>
      </w:r>
      <w:r w:rsidRPr="00C316A8">
        <w:rPr>
          <w:rFonts w:ascii="Times New Roman" w:hAnsi="Times New Roman"/>
          <w:noProof/>
          <w:sz w:val="24"/>
        </w:rPr>
        <w:t>3</w:t>
      </w:r>
      <w:r>
        <w:rPr>
          <w:rFonts w:ascii="Times New Roman" w:hAnsi="Times New Roman"/>
          <w:noProof/>
          <w:sz w:val="24"/>
        </w:rPr>
        <w:t xml:space="preserve"> à </w:t>
      </w:r>
      <w:r w:rsidRPr="00C316A8">
        <w:rPr>
          <w:rFonts w:ascii="Times New Roman" w:hAnsi="Times New Roman"/>
          <w:noProof/>
          <w:sz w:val="24"/>
        </w:rPr>
        <w:t>101</w:t>
      </w:r>
      <w:r>
        <w:rPr>
          <w:rFonts w:ascii="Times New Roman" w:hAnsi="Times New Roman"/>
          <w:noProof/>
          <w:sz w:val="24"/>
        </w:rPr>
        <w:t xml:space="preserve"> jours (contre </w:t>
      </w:r>
      <w:r w:rsidRPr="00C316A8">
        <w:rPr>
          <w:rFonts w:ascii="Times New Roman" w:hAnsi="Times New Roman"/>
          <w:noProof/>
          <w:sz w:val="24"/>
        </w:rPr>
        <w:t>2</w:t>
      </w:r>
      <w:r>
        <w:rPr>
          <w:rFonts w:ascii="Times New Roman" w:hAnsi="Times New Roman"/>
          <w:noProof/>
          <w:sz w:val="24"/>
        </w:rPr>
        <w:t xml:space="preserve"> à </w:t>
      </w:r>
      <w:r w:rsidRPr="00C316A8">
        <w:rPr>
          <w:rFonts w:ascii="Times New Roman" w:hAnsi="Times New Roman"/>
          <w:noProof/>
          <w:sz w:val="24"/>
        </w:rPr>
        <w:t>101</w:t>
      </w:r>
      <w:r>
        <w:rPr>
          <w:rFonts w:ascii="Times New Roman" w:hAnsi="Times New Roman"/>
          <w:noProof/>
          <w:sz w:val="24"/>
        </w:rPr>
        <w:t xml:space="preserve"> jours civils dans le premier rapport).</w:t>
      </w:r>
    </w:p>
    <w:p w14:paraId="0AFAE601" w14:textId="77777777" w:rsidR="004641DD" w:rsidRPr="005C281F" w:rsidRDefault="00BE2EAB" w:rsidP="004641DD">
      <w:pPr>
        <w:spacing w:before="120" w:after="120" w:line="240" w:lineRule="auto"/>
        <w:jc w:val="both"/>
        <w:rPr>
          <w:rFonts w:ascii="Times New Roman" w:hAnsi="Times New Roman" w:cs="Times New Roman"/>
          <w:noProof/>
          <w:sz w:val="24"/>
          <w:szCs w:val="24"/>
          <w:highlight w:val="green"/>
        </w:rPr>
      </w:pPr>
      <w:r>
        <w:rPr>
          <w:rFonts w:ascii="Times New Roman" w:hAnsi="Times New Roman"/>
          <w:noProof/>
          <w:sz w:val="24"/>
        </w:rPr>
        <w:t xml:space="preserve">Le règlement sur le filtrage des IDE ne fixe pas de délais précis dans lesquels les États membres doivent répondre, mais les délais prévus par le règlement sont suspendus jusqu’à ce que des informations complètes soient reçues. </w:t>
      </w:r>
    </w:p>
    <w:p w14:paraId="56565A33" w14:textId="45EB6F5A" w:rsidR="004641DD" w:rsidRDefault="004641DD" w:rsidP="004641DD">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Les cinq principaux pays d’origine des investisseurs ultimes concernés par les </w:t>
      </w:r>
      <w:r w:rsidRPr="00C316A8">
        <w:rPr>
          <w:rFonts w:ascii="Times New Roman" w:hAnsi="Times New Roman"/>
          <w:noProof/>
          <w:sz w:val="24"/>
        </w:rPr>
        <w:t>414</w:t>
      </w:r>
      <w:r>
        <w:rPr>
          <w:rFonts w:ascii="Times New Roman" w:hAnsi="Times New Roman"/>
          <w:noProof/>
          <w:sz w:val="24"/>
        </w:rPr>
        <w:t xml:space="preserve"> dossiers notifiés à la Commission européenne en </w:t>
      </w:r>
      <w:r w:rsidRPr="00C316A8">
        <w:rPr>
          <w:rFonts w:ascii="Times New Roman" w:hAnsi="Times New Roman"/>
          <w:noProof/>
          <w:sz w:val="24"/>
        </w:rPr>
        <w:t>2021</w:t>
      </w:r>
      <w:r>
        <w:rPr>
          <w:rFonts w:ascii="Times New Roman" w:hAnsi="Times New Roman"/>
          <w:noProof/>
          <w:sz w:val="24"/>
        </w:rPr>
        <w:t xml:space="preserve"> étaient le Canada, la Chine, les États-Unis, les Îles Caïmans et le Royaume-Uni. La Russie représentait moins de </w:t>
      </w:r>
      <w:r w:rsidRPr="00C316A8">
        <w:rPr>
          <w:rFonts w:ascii="Times New Roman" w:hAnsi="Times New Roman"/>
          <w:noProof/>
          <w:sz w:val="24"/>
        </w:rPr>
        <w:t>1</w:t>
      </w:r>
      <w:r>
        <w:rPr>
          <w:rFonts w:ascii="Times New Roman" w:hAnsi="Times New Roman"/>
          <w:noProof/>
          <w:sz w:val="24"/>
        </w:rPr>
        <w:t>,</w:t>
      </w:r>
      <w:r w:rsidRPr="00C316A8">
        <w:rPr>
          <w:rFonts w:ascii="Times New Roman" w:hAnsi="Times New Roman"/>
          <w:noProof/>
          <w:sz w:val="24"/>
        </w:rPr>
        <w:t>5</w:t>
      </w:r>
      <w:r>
        <w:rPr>
          <w:rFonts w:ascii="Times New Roman" w:hAnsi="Times New Roman"/>
          <w:noProof/>
          <w:sz w:val="24"/>
        </w:rPr>
        <w:t xml:space="preserve"> % des dossiers et la Biélorussie </w:t>
      </w:r>
      <w:r w:rsidRPr="00C316A8">
        <w:rPr>
          <w:rFonts w:ascii="Times New Roman" w:hAnsi="Times New Roman"/>
          <w:noProof/>
          <w:sz w:val="24"/>
        </w:rPr>
        <w:t>0</w:t>
      </w:r>
      <w:r>
        <w:rPr>
          <w:rFonts w:ascii="Times New Roman" w:hAnsi="Times New Roman"/>
          <w:noProof/>
          <w:sz w:val="24"/>
        </w:rPr>
        <w:t>,</w:t>
      </w:r>
      <w:r w:rsidRPr="00C316A8">
        <w:rPr>
          <w:rFonts w:ascii="Times New Roman" w:hAnsi="Times New Roman"/>
          <w:noProof/>
          <w:sz w:val="24"/>
        </w:rPr>
        <w:t>2</w:t>
      </w:r>
      <w:r>
        <w:rPr>
          <w:rFonts w:ascii="Times New Roman" w:hAnsi="Times New Roman"/>
          <w:noProof/>
          <w:sz w:val="24"/>
        </w:rPr>
        <w:t> %.</w:t>
      </w:r>
    </w:p>
    <w:p w14:paraId="741BB838" w14:textId="0F27E369" w:rsidR="004F4237" w:rsidRPr="004F4237" w:rsidRDefault="009D5624" w:rsidP="004F4237">
      <w:pPr>
        <w:pStyle w:val="Caption"/>
        <w:jc w:val="center"/>
        <w:rPr>
          <w:rFonts w:ascii="Times New Roman" w:hAnsi="Times New Roman" w:cs="Times New Roman"/>
          <w:noProof/>
          <w:sz w:val="24"/>
          <w:szCs w:val="24"/>
        </w:rPr>
      </w:pPr>
      <w:r>
        <w:rPr>
          <w:rFonts w:ascii="Times New Roman" w:hAnsi="Times New Roman"/>
          <w:noProof/>
          <w:color w:val="auto"/>
          <w:sz w:val="24"/>
        </w:rPr>
        <w:t xml:space="preserve">Figure </w:t>
      </w:r>
      <w:r w:rsidRPr="00C316A8">
        <w:rPr>
          <w:rFonts w:ascii="Times New Roman" w:hAnsi="Times New Roman"/>
          <w:noProof/>
          <w:color w:val="auto"/>
          <w:sz w:val="24"/>
        </w:rPr>
        <w:t>13</w:t>
      </w:r>
      <w:r>
        <w:rPr>
          <w:rFonts w:ascii="Times New Roman" w:hAnsi="Times New Roman"/>
          <w:noProof/>
          <w:color w:val="auto"/>
          <w:sz w:val="24"/>
        </w:rPr>
        <w:t xml:space="preserve"> — Origine des investisseurs ultimes dans les dossiers de </w:t>
      </w:r>
      <w:r w:rsidRPr="00C316A8">
        <w:rPr>
          <w:rFonts w:ascii="Times New Roman" w:hAnsi="Times New Roman"/>
          <w:noProof/>
          <w:color w:val="auto"/>
          <w:sz w:val="24"/>
        </w:rPr>
        <w:t>2021</w:t>
      </w:r>
    </w:p>
    <w:p w14:paraId="49CF4C50" w14:textId="6E50FB7D" w:rsidR="00A6058B" w:rsidRDefault="00E85965" w:rsidP="00A6058B">
      <w:pPr>
        <w:keepNext/>
        <w:tabs>
          <w:tab w:val="left" w:pos="5103"/>
        </w:tabs>
        <w:spacing w:after="120" w:line="240" w:lineRule="auto"/>
        <w:jc w:val="center"/>
        <w:rPr>
          <w:noProof/>
        </w:rPr>
      </w:pPr>
      <w:r>
        <w:rPr>
          <w:noProof/>
          <w:lang w:val="en-GB" w:eastAsia="en-GB"/>
        </w:rPr>
        <w:drawing>
          <wp:inline distT="0" distB="0" distL="0" distR="0" wp14:anchorId="65AFBB2E" wp14:editId="412CCA12">
            <wp:extent cx="4584700" cy="2749550"/>
            <wp:effectExtent l="0" t="0" r="6350" b="0"/>
            <wp:docPr id="1991147449" name="Picture 1991147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84700" cy="2749550"/>
                    </a:xfrm>
                    <a:prstGeom prst="rect">
                      <a:avLst/>
                    </a:prstGeom>
                    <a:noFill/>
                  </pic:spPr>
                </pic:pic>
              </a:graphicData>
            </a:graphic>
          </wp:inline>
        </w:drawing>
      </w:r>
    </w:p>
    <w:p w14:paraId="30AF8795" w14:textId="5D970C6E" w:rsidR="004641DD" w:rsidRPr="00271443" w:rsidRDefault="004641DD" w:rsidP="00871AB0">
      <w:pPr>
        <w:pStyle w:val="Caption"/>
        <w:spacing w:after="120"/>
        <w:jc w:val="both"/>
        <w:rPr>
          <w:rFonts w:ascii="Times New Roman" w:hAnsi="Times New Roman" w:cs="Times New Roman"/>
          <w:i w:val="0"/>
          <w:noProof/>
          <w:color w:val="auto"/>
          <w:sz w:val="16"/>
        </w:rPr>
      </w:pPr>
      <w:r>
        <w:rPr>
          <w:rFonts w:ascii="Times New Roman" w:hAnsi="Times New Roman"/>
          <w:i w:val="0"/>
          <w:noProof/>
          <w:color w:val="auto"/>
          <w:sz w:val="16"/>
        </w:rPr>
        <w:t>Source: notifications des États membres.</w:t>
      </w:r>
    </w:p>
    <w:p w14:paraId="58F135E5" w14:textId="2FE7F645" w:rsidR="004641DD" w:rsidRDefault="004641DD" w:rsidP="00632260">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Sur l’ensemble des dossiers notifiés en </w:t>
      </w:r>
      <w:r w:rsidRPr="00C316A8">
        <w:rPr>
          <w:rFonts w:ascii="Times New Roman" w:hAnsi="Times New Roman"/>
          <w:noProof/>
          <w:sz w:val="24"/>
        </w:rPr>
        <w:t>2021</w:t>
      </w:r>
      <w:r>
        <w:rPr>
          <w:rFonts w:ascii="Times New Roman" w:hAnsi="Times New Roman"/>
          <w:noProof/>
          <w:sz w:val="24"/>
        </w:rPr>
        <w:t xml:space="preserve">, </w:t>
      </w:r>
      <w:r w:rsidRPr="00C316A8">
        <w:rPr>
          <w:rFonts w:ascii="Times New Roman" w:hAnsi="Times New Roman"/>
          <w:noProof/>
          <w:sz w:val="24"/>
        </w:rPr>
        <w:t>28</w:t>
      </w:r>
      <w:r>
        <w:rPr>
          <w:rFonts w:ascii="Times New Roman" w:hAnsi="Times New Roman"/>
          <w:noProof/>
          <w:sz w:val="24"/>
        </w:rPr>
        <w:t xml:space="preserve"> % (contre </w:t>
      </w:r>
      <w:r w:rsidRPr="00C316A8">
        <w:rPr>
          <w:rFonts w:ascii="Times New Roman" w:hAnsi="Times New Roman"/>
          <w:noProof/>
          <w:sz w:val="24"/>
        </w:rPr>
        <w:t>29</w:t>
      </w:r>
      <w:r>
        <w:rPr>
          <w:rFonts w:ascii="Times New Roman" w:hAnsi="Times New Roman"/>
          <w:noProof/>
          <w:sz w:val="24"/>
        </w:rPr>
        <w:t> % dans le premier rapport) constituaient des transactions d’IDE relevant de plusieurs juridictions parce qu’elles concernaient (et avaient été notifiées par) plusieurs États membres</w:t>
      </w:r>
      <w:r>
        <w:rPr>
          <w:rStyle w:val="FootnoteReference"/>
          <w:rFonts w:ascii="Times New Roman" w:hAnsi="Times New Roman" w:cs="Times New Roman"/>
          <w:noProof/>
          <w:sz w:val="24"/>
          <w:szCs w:val="24"/>
        </w:rPr>
        <w:footnoteReference w:id="36"/>
      </w:r>
      <w:r>
        <w:rPr>
          <w:rFonts w:ascii="Times New Roman" w:hAnsi="Times New Roman"/>
          <w:noProof/>
          <w:sz w:val="24"/>
        </w:rPr>
        <w:t>. Les principaux secteurs ayant fait l’objet de ces notifications étaient les TIC, l’industrie manufacturière, le commerce de gros et le commerce de détail et les activités financières.</w:t>
      </w:r>
    </w:p>
    <w:p w14:paraId="70DF8A68" w14:textId="77777777" w:rsidR="004F4237" w:rsidRDefault="004F4237" w:rsidP="00632260">
      <w:pPr>
        <w:spacing w:before="120" w:after="120" w:line="240" w:lineRule="auto"/>
        <w:jc w:val="both"/>
        <w:rPr>
          <w:rFonts w:ascii="Times New Roman" w:hAnsi="Times New Roman" w:cs="Times New Roman"/>
          <w:noProof/>
          <w:sz w:val="24"/>
          <w:szCs w:val="24"/>
        </w:rPr>
      </w:pPr>
    </w:p>
    <w:p w14:paraId="720A6A13" w14:textId="1261A078" w:rsidR="004641DD" w:rsidRPr="00B115FB" w:rsidRDefault="00A6058B" w:rsidP="004F4237">
      <w:pPr>
        <w:spacing w:before="120" w:after="120" w:line="240" w:lineRule="auto"/>
        <w:jc w:val="center"/>
        <w:rPr>
          <w:rFonts w:ascii="Times New Roman" w:hAnsi="Times New Roman" w:cs="Times New Roman"/>
          <w:noProof/>
          <w:sz w:val="24"/>
          <w:szCs w:val="24"/>
        </w:rPr>
      </w:pPr>
      <w:r>
        <w:rPr>
          <w:rFonts w:ascii="Times New Roman" w:hAnsi="Times New Roman"/>
          <w:i/>
          <w:noProof/>
          <w:sz w:val="24"/>
        </w:rPr>
        <w:t>Tableau — Transactions d’IDE relevant de plusieurs juridictions et principaux secteurs</w:t>
      </w:r>
    </w:p>
    <w:tbl>
      <w:tblPr>
        <w:tblW w:w="6400" w:type="dxa"/>
        <w:jc w:val="center"/>
        <w:tblLook w:val="04A0" w:firstRow="1" w:lastRow="0" w:firstColumn="1" w:lastColumn="0" w:noHBand="0" w:noVBand="1"/>
      </w:tblPr>
      <w:tblGrid>
        <w:gridCol w:w="6400"/>
      </w:tblGrid>
      <w:tr w:rsidR="004641DD" w:rsidRPr="006A469F" w14:paraId="166D1B1E" w14:textId="77777777" w:rsidTr="004F4237">
        <w:trPr>
          <w:trHeight w:val="288"/>
          <w:jc w:val="center"/>
        </w:trPr>
        <w:tc>
          <w:tcPr>
            <w:tcW w:w="6400" w:type="dxa"/>
            <w:tcBorders>
              <w:top w:val="nil"/>
              <w:left w:val="nil"/>
              <w:bottom w:val="nil"/>
              <w:right w:val="nil"/>
            </w:tcBorders>
            <w:shd w:val="clear" w:color="000000" w:fill="F4B084"/>
            <w:noWrap/>
            <w:vAlign w:val="bottom"/>
            <w:hideMark/>
          </w:tcPr>
          <w:p w14:paraId="14944022" w14:textId="77777777" w:rsidR="004641DD" w:rsidRPr="006A469F" w:rsidRDefault="004641DD" w:rsidP="00632260">
            <w:pPr>
              <w:spacing w:after="0" w:line="240" w:lineRule="auto"/>
              <w:rPr>
                <w:rFonts w:ascii="Calibri" w:eastAsia="Times New Roman" w:hAnsi="Calibri" w:cs="Calibri"/>
                <w:noProof/>
                <w:color w:val="000000"/>
              </w:rPr>
            </w:pPr>
            <w:r>
              <w:rPr>
                <w:rFonts w:ascii="Calibri" w:hAnsi="Calibri"/>
                <w:noProof/>
                <w:color w:val="000000"/>
              </w:rPr>
              <w:t xml:space="preserve">TIC </w:t>
            </w:r>
            <w:r w:rsidRPr="00C316A8">
              <w:rPr>
                <w:rFonts w:ascii="Calibri" w:hAnsi="Calibri"/>
                <w:noProof/>
                <w:color w:val="000000"/>
              </w:rPr>
              <w:t>39</w:t>
            </w:r>
            <w:r>
              <w:rPr>
                <w:rFonts w:ascii="Calibri" w:hAnsi="Calibri"/>
                <w:noProof/>
                <w:color w:val="000000"/>
              </w:rPr>
              <w:t> %</w:t>
            </w:r>
          </w:p>
        </w:tc>
      </w:tr>
      <w:tr w:rsidR="004641DD" w:rsidRPr="006A469F" w14:paraId="4A76BC06" w14:textId="77777777" w:rsidTr="004F4237">
        <w:trPr>
          <w:trHeight w:val="288"/>
          <w:jc w:val="center"/>
        </w:trPr>
        <w:tc>
          <w:tcPr>
            <w:tcW w:w="6400" w:type="dxa"/>
            <w:tcBorders>
              <w:top w:val="nil"/>
              <w:left w:val="nil"/>
              <w:bottom w:val="nil"/>
              <w:right w:val="nil"/>
            </w:tcBorders>
            <w:shd w:val="clear" w:color="000000" w:fill="9BC2E6"/>
            <w:noWrap/>
            <w:vAlign w:val="bottom"/>
            <w:hideMark/>
          </w:tcPr>
          <w:p w14:paraId="72B5FB4D" w14:textId="77777777" w:rsidR="004641DD" w:rsidRPr="006A469F" w:rsidRDefault="004641DD" w:rsidP="00632260">
            <w:pPr>
              <w:spacing w:after="0" w:line="240" w:lineRule="auto"/>
              <w:rPr>
                <w:rFonts w:ascii="Calibri" w:eastAsia="Times New Roman" w:hAnsi="Calibri" w:cs="Calibri"/>
                <w:noProof/>
                <w:color w:val="000000"/>
              </w:rPr>
            </w:pPr>
            <w:r>
              <w:rPr>
                <w:rFonts w:ascii="Calibri" w:hAnsi="Calibri"/>
                <w:noProof/>
                <w:color w:val="000000"/>
              </w:rPr>
              <w:t xml:space="preserve">Industrie manufacturière </w:t>
            </w:r>
            <w:r w:rsidRPr="00C316A8">
              <w:rPr>
                <w:rFonts w:ascii="Calibri" w:hAnsi="Calibri"/>
                <w:noProof/>
                <w:color w:val="000000"/>
              </w:rPr>
              <w:t>20</w:t>
            </w:r>
            <w:r>
              <w:rPr>
                <w:rFonts w:ascii="Calibri" w:hAnsi="Calibri"/>
                <w:noProof/>
                <w:color w:val="000000"/>
              </w:rPr>
              <w:t> %</w:t>
            </w:r>
          </w:p>
        </w:tc>
      </w:tr>
      <w:tr w:rsidR="004641DD" w:rsidRPr="006A469F" w14:paraId="5BCBC1EC" w14:textId="77777777" w:rsidTr="004F4237">
        <w:trPr>
          <w:trHeight w:val="288"/>
          <w:jc w:val="center"/>
        </w:trPr>
        <w:tc>
          <w:tcPr>
            <w:tcW w:w="6400" w:type="dxa"/>
            <w:tcBorders>
              <w:top w:val="nil"/>
              <w:left w:val="nil"/>
              <w:bottom w:val="nil"/>
              <w:right w:val="nil"/>
            </w:tcBorders>
            <w:shd w:val="clear" w:color="000000" w:fill="92D050"/>
            <w:noWrap/>
            <w:vAlign w:val="bottom"/>
            <w:hideMark/>
          </w:tcPr>
          <w:p w14:paraId="4818002E" w14:textId="77777777" w:rsidR="004641DD" w:rsidRPr="006A469F" w:rsidRDefault="004641DD" w:rsidP="00632260">
            <w:pPr>
              <w:spacing w:after="0" w:line="240" w:lineRule="auto"/>
              <w:rPr>
                <w:rFonts w:ascii="Calibri" w:eastAsia="Times New Roman" w:hAnsi="Calibri" w:cs="Calibri"/>
                <w:noProof/>
                <w:color w:val="000000"/>
              </w:rPr>
            </w:pPr>
            <w:r>
              <w:rPr>
                <w:rFonts w:ascii="Calibri" w:hAnsi="Calibri"/>
                <w:noProof/>
                <w:color w:val="000000"/>
              </w:rPr>
              <w:t xml:space="preserve">Commerce de gros et de détail </w:t>
            </w:r>
            <w:r w:rsidRPr="00C316A8">
              <w:rPr>
                <w:rFonts w:ascii="Calibri" w:hAnsi="Calibri"/>
                <w:noProof/>
                <w:color w:val="000000"/>
              </w:rPr>
              <w:t>11</w:t>
            </w:r>
            <w:r>
              <w:rPr>
                <w:rFonts w:ascii="Calibri" w:hAnsi="Calibri"/>
                <w:noProof/>
                <w:color w:val="000000"/>
              </w:rPr>
              <w:t> %</w:t>
            </w:r>
          </w:p>
        </w:tc>
      </w:tr>
      <w:tr w:rsidR="004641DD" w:rsidRPr="006A469F" w14:paraId="230EDFAA" w14:textId="77777777" w:rsidTr="004F4237">
        <w:trPr>
          <w:trHeight w:val="288"/>
          <w:jc w:val="center"/>
        </w:trPr>
        <w:tc>
          <w:tcPr>
            <w:tcW w:w="6400" w:type="dxa"/>
            <w:tcBorders>
              <w:top w:val="nil"/>
              <w:left w:val="nil"/>
              <w:bottom w:val="nil"/>
              <w:right w:val="nil"/>
            </w:tcBorders>
            <w:shd w:val="clear" w:color="000000" w:fill="D9D9D9"/>
            <w:noWrap/>
            <w:vAlign w:val="bottom"/>
            <w:hideMark/>
          </w:tcPr>
          <w:p w14:paraId="32DB5313" w14:textId="77777777" w:rsidR="004641DD" w:rsidRPr="006A469F" w:rsidRDefault="004641DD" w:rsidP="00632260">
            <w:pPr>
              <w:spacing w:after="0" w:line="240" w:lineRule="auto"/>
              <w:rPr>
                <w:rFonts w:ascii="Calibri" w:eastAsia="Times New Roman" w:hAnsi="Calibri" w:cs="Calibri"/>
                <w:noProof/>
                <w:color w:val="000000"/>
              </w:rPr>
            </w:pPr>
            <w:r>
              <w:rPr>
                <w:rFonts w:ascii="Calibri" w:hAnsi="Calibri"/>
                <w:noProof/>
                <w:color w:val="000000"/>
              </w:rPr>
              <w:t xml:space="preserve">Activités financières </w:t>
            </w:r>
            <w:r w:rsidRPr="00C316A8">
              <w:rPr>
                <w:rFonts w:ascii="Calibri" w:hAnsi="Calibri"/>
                <w:noProof/>
                <w:color w:val="000000"/>
              </w:rPr>
              <w:t>9</w:t>
            </w:r>
            <w:r>
              <w:rPr>
                <w:rFonts w:ascii="Calibri" w:hAnsi="Calibri"/>
                <w:noProof/>
                <w:color w:val="000000"/>
              </w:rPr>
              <w:t> %</w:t>
            </w:r>
          </w:p>
        </w:tc>
      </w:tr>
      <w:tr w:rsidR="004641DD" w:rsidRPr="006A469F" w14:paraId="05BB766B" w14:textId="77777777" w:rsidTr="004F4237">
        <w:trPr>
          <w:trHeight w:val="288"/>
          <w:jc w:val="center"/>
        </w:trPr>
        <w:tc>
          <w:tcPr>
            <w:tcW w:w="6400" w:type="dxa"/>
            <w:tcBorders>
              <w:top w:val="nil"/>
              <w:left w:val="nil"/>
              <w:bottom w:val="nil"/>
              <w:right w:val="nil"/>
            </w:tcBorders>
            <w:shd w:val="clear" w:color="000000" w:fill="FFD966"/>
            <w:noWrap/>
            <w:vAlign w:val="bottom"/>
            <w:hideMark/>
          </w:tcPr>
          <w:p w14:paraId="0CA7357B" w14:textId="77777777" w:rsidR="004641DD" w:rsidRPr="006A469F" w:rsidRDefault="004641DD" w:rsidP="00632260">
            <w:pPr>
              <w:spacing w:after="0" w:line="240" w:lineRule="auto"/>
              <w:rPr>
                <w:rFonts w:ascii="Calibri" w:eastAsia="Times New Roman" w:hAnsi="Calibri" w:cs="Calibri"/>
                <w:noProof/>
                <w:color w:val="000000"/>
              </w:rPr>
            </w:pPr>
            <w:r>
              <w:rPr>
                <w:rFonts w:ascii="Calibri" w:hAnsi="Calibri"/>
                <w:noProof/>
                <w:color w:val="000000"/>
              </w:rPr>
              <w:t xml:space="preserve">Autres </w:t>
            </w:r>
            <w:r w:rsidRPr="00C316A8">
              <w:rPr>
                <w:rFonts w:ascii="Calibri" w:hAnsi="Calibri"/>
                <w:noProof/>
                <w:color w:val="000000"/>
              </w:rPr>
              <w:t>32</w:t>
            </w:r>
            <w:r>
              <w:rPr>
                <w:rFonts w:ascii="Calibri" w:hAnsi="Calibri"/>
                <w:noProof/>
                <w:color w:val="000000"/>
              </w:rPr>
              <w:t> %</w:t>
            </w:r>
          </w:p>
        </w:tc>
      </w:tr>
    </w:tbl>
    <w:p w14:paraId="03BAAC55" w14:textId="77777777" w:rsidR="00632260" w:rsidRDefault="00632260" w:rsidP="00632260">
      <w:pPr>
        <w:spacing w:before="120" w:after="0" w:line="240" w:lineRule="auto"/>
        <w:jc w:val="both"/>
        <w:rPr>
          <w:rFonts w:ascii="Times New Roman" w:hAnsi="Times New Roman" w:cs="Times New Roman"/>
          <w:noProof/>
          <w:sz w:val="24"/>
          <w:szCs w:val="24"/>
        </w:rPr>
      </w:pPr>
      <w:r>
        <w:rPr>
          <w:noProof/>
          <w:lang w:val="en-GB" w:eastAsia="en-GB"/>
        </w:rPr>
        <mc:AlternateContent>
          <mc:Choice Requires="wps">
            <w:drawing>
              <wp:anchor distT="0" distB="0" distL="114300" distR="114300" simplePos="0" relativeHeight="251660288" behindDoc="0" locked="0" layoutInCell="1" allowOverlap="1" wp14:anchorId="29EA505A" wp14:editId="1D194E09">
                <wp:simplePos x="0" y="0"/>
                <wp:positionH relativeFrom="margin">
                  <wp:posOffset>34290</wp:posOffset>
                </wp:positionH>
                <wp:positionV relativeFrom="paragraph">
                  <wp:posOffset>32440</wp:posOffset>
                </wp:positionV>
                <wp:extent cx="3041015" cy="127000"/>
                <wp:effectExtent l="0" t="0" r="6985" b="6350"/>
                <wp:wrapSquare wrapText="bothSides"/>
                <wp:docPr id="44" name="Text Box 44"/>
                <wp:cNvGraphicFramePr/>
                <a:graphic xmlns:a="http://schemas.openxmlformats.org/drawingml/2006/main">
                  <a:graphicData uri="http://schemas.microsoft.com/office/word/2010/wordprocessingShape">
                    <wps:wsp>
                      <wps:cNvSpPr txBox="1"/>
                      <wps:spPr>
                        <a:xfrm>
                          <a:off x="0" y="0"/>
                          <a:ext cx="3041015" cy="127000"/>
                        </a:xfrm>
                        <a:prstGeom prst="rect">
                          <a:avLst/>
                        </a:prstGeom>
                        <a:solidFill>
                          <a:prstClr val="white"/>
                        </a:solidFill>
                        <a:ln>
                          <a:noFill/>
                        </a:ln>
                      </wps:spPr>
                      <wps:txbx>
                        <w:txbxContent>
                          <w:p w14:paraId="60D1244D" w14:textId="77777777" w:rsidR="00E95A48" w:rsidRPr="009970DC" w:rsidRDefault="00E95A48" w:rsidP="00632260">
                            <w:pPr>
                              <w:pStyle w:val="Caption"/>
                              <w:spacing w:after="0"/>
                              <w:jc w:val="both"/>
                              <w:rPr>
                                <w:rFonts w:ascii="Times New Roman" w:hAnsi="Times New Roman"/>
                                <w:i w:val="0"/>
                                <w:iCs w:val="0"/>
                                <w:color w:val="000000"/>
                                <w:sz w:val="16"/>
                                <w:szCs w:val="22"/>
                              </w:rPr>
                            </w:pPr>
                            <w:r>
                              <w:rPr>
                                <w:rFonts w:ascii="Times New Roman" w:hAnsi="Times New Roman"/>
                                <w:i w:val="0"/>
                                <w:color w:val="000000"/>
                                <w:sz w:val="16"/>
                              </w:rPr>
                              <w:t>Source: notifications des États membres</w:t>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29EA505A" id="_x0000_t202" coordsize="21600,21600" o:spt="202" path="m,l,21600r21600,l21600,xe">
                <v:stroke joinstyle="miter"/>
                <v:path gradientshapeok="t" o:connecttype="rect"/>
              </v:shapetype>
              <v:shape id="Text Box 44" o:spid="_x0000_s1026" type="#_x0000_t202" style="position:absolute;left:0;text-align:left;margin-left:2.7pt;margin-top:2.55pt;width:239.45pt;height:1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" stroked="f">
                <v:textbox inset="0,0,0,0">
                  <w:txbxContent>
                    <w:p w14:paraId="60D1244D" w14:textId="77777777" w:rsidR="00E95A48" w:rsidRPr="009970DC" w:rsidRDefault="00E95A48" w:rsidP="00632260">
                      <w:pPr>
                        <w:pStyle w:val="Caption"/>
                        <w:spacing w:after="0"/>
                        <w:jc w:val="both"/>
                        <w:rPr>
                          <w:rFonts w:ascii="Times New Roman" w:hAnsi="Times New Roman"/>
                          <w:i w:val="0"/>
                          <w:iCs w:val="0"/>
                          <w:color w:val="000000"/>
                          <w:sz w:val="16"/>
                          <w:szCs w:val="22"/>
                        </w:rPr>
                      </w:pPr>
                      <w:r>
                        <w:rPr>
                          <w:rFonts w:ascii="Times New Roman" w:hAnsi="Times New Roman"/>
                          <w:i w:val="0"/>
                          <w:color w:val="000000"/>
                          <w:sz w:val="16"/>
                        </w:rPr>
                        <w:t>Source: notifications des États membres</w:t>
                      </w:r>
                    </w:p>
                  </w:txbxContent>
                </v:textbox>
                <w10:wrap type="square" anchorx="margin"/>
              </v:shape>
            </w:pict>
          </mc:Fallback>
        </mc:AlternateContent>
      </w:r>
    </w:p>
    <w:p w14:paraId="40B80BE0" w14:textId="77777777" w:rsidR="00871AB0" w:rsidRDefault="00871AB0" w:rsidP="00632260">
      <w:pPr>
        <w:spacing w:after="120" w:line="240" w:lineRule="auto"/>
        <w:jc w:val="both"/>
        <w:rPr>
          <w:rFonts w:ascii="Times New Roman" w:hAnsi="Times New Roman" w:cs="Times New Roman"/>
          <w:noProof/>
          <w:sz w:val="24"/>
          <w:szCs w:val="24"/>
        </w:rPr>
      </w:pPr>
    </w:p>
    <w:p w14:paraId="2B71FAF8" w14:textId="3EE2942A" w:rsidR="004641DD" w:rsidRPr="005D48E5" w:rsidRDefault="004641DD" w:rsidP="00632260">
      <w:pPr>
        <w:spacing w:after="120" w:line="240" w:lineRule="auto"/>
        <w:jc w:val="both"/>
        <w:rPr>
          <w:rFonts w:ascii="Times New Roman" w:hAnsi="Times New Roman" w:cs="Times New Roman"/>
          <w:noProof/>
          <w:sz w:val="24"/>
          <w:szCs w:val="24"/>
        </w:rPr>
      </w:pPr>
      <w:r>
        <w:rPr>
          <w:rFonts w:ascii="Times New Roman" w:hAnsi="Times New Roman"/>
          <w:noProof/>
          <w:sz w:val="24"/>
        </w:rPr>
        <w:t>Outre tous les dossiers notifiés en vertu de l’article </w:t>
      </w:r>
      <w:r w:rsidRPr="00C316A8">
        <w:rPr>
          <w:rFonts w:ascii="Times New Roman" w:hAnsi="Times New Roman"/>
          <w:noProof/>
          <w:sz w:val="24"/>
        </w:rPr>
        <w:t>6</w:t>
      </w:r>
      <w:r>
        <w:rPr>
          <w:rFonts w:ascii="Times New Roman" w:hAnsi="Times New Roman"/>
          <w:noProof/>
          <w:sz w:val="24"/>
        </w:rPr>
        <w:t xml:space="preserve"> du règlement, la Commission européenne n’a pas eu recours, en </w:t>
      </w:r>
      <w:r w:rsidRPr="00C316A8">
        <w:rPr>
          <w:rFonts w:ascii="Times New Roman" w:hAnsi="Times New Roman"/>
          <w:noProof/>
          <w:sz w:val="24"/>
        </w:rPr>
        <w:t>2021</w:t>
      </w:r>
      <w:r>
        <w:rPr>
          <w:rFonts w:ascii="Times New Roman" w:hAnsi="Times New Roman"/>
          <w:noProof/>
          <w:sz w:val="24"/>
        </w:rPr>
        <w:t>, à la possibilité prévue à l’article </w:t>
      </w:r>
      <w:r w:rsidRPr="00C316A8">
        <w:rPr>
          <w:rFonts w:ascii="Times New Roman" w:hAnsi="Times New Roman"/>
          <w:noProof/>
          <w:sz w:val="24"/>
        </w:rPr>
        <w:t>7</w:t>
      </w:r>
      <w:r>
        <w:rPr>
          <w:rFonts w:ascii="Times New Roman" w:hAnsi="Times New Roman"/>
          <w:noProof/>
          <w:sz w:val="24"/>
        </w:rPr>
        <w:t xml:space="preserve"> du règlement (mais y avait eu recours auparavant, comme indiqué dans le premier rapport). L’article </w:t>
      </w:r>
      <w:r w:rsidRPr="00C316A8">
        <w:rPr>
          <w:rFonts w:ascii="Times New Roman" w:hAnsi="Times New Roman"/>
          <w:noProof/>
          <w:sz w:val="24"/>
        </w:rPr>
        <w:t>7</w:t>
      </w:r>
      <w:r>
        <w:rPr>
          <w:rFonts w:ascii="Times New Roman" w:hAnsi="Times New Roman"/>
          <w:noProof/>
          <w:sz w:val="24"/>
        </w:rPr>
        <w:t xml:space="preserve"> permet à la Commission européenne de filtrer de droit (d’office) les investissements dont elle a connaissance dans un État membre et, indépendamment de la question de savoir si cet État membre dispose ou non de son propre mécanisme de filtrage. </w:t>
      </w:r>
    </w:p>
    <w:p w14:paraId="4EB5B783" w14:textId="77777777" w:rsidR="004641DD" w:rsidRDefault="004641DD" w:rsidP="00632260">
      <w:pPr>
        <w:tabs>
          <w:tab w:val="left" w:pos="5103"/>
        </w:tabs>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En vertu de l’article </w:t>
      </w:r>
      <w:r w:rsidRPr="00C316A8">
        <w:rPr>
          <w:rFonts w:ascii="Times New Roman" w:hAnsi="Times New Roman"/>
          <w:noProof/>
          <w:sz w:val="24"/>
        </w:rPr>
        <w:t>10</w:t>
      </w:r>
      <w:r>
        <w:rPr>
          <w:rFonts w:ascii="Times New Roman" w:hAnsi="Times New Roman"/>
          <w:noProof/>
          <w:sz w:val="24"/>
        </w:rPr>
        <w:t xml:space="preserve"> du règlement, les avis adoptés par la Commission au titre de l’article </w:t>
      </w:r>
      <w:r w:rsidRPr="00C316A8">
        <w:rPr>
          <w:rFonts w:ascii="Times New Roman" w:hAnsi="Times New Roman"/>
          <w:noProof/>
          <w:sz w:val="24"/>
        </w:rPr>
        <w:t>6</w:t>
      </w:r>
      <w:r>
        <w:rPr>
          <w:rFonts w:ascii="Times New Roman" w:hAnsi="Times New Roman"/>
          <w:noProof/>
          <w:sz w:val="24"/>
        </w:rPr>
        <w:t xml:space="preserve">, </w:t>
      </w:r>
      <w:r w:rsidRPr="00C316A8">
        <w:rPr>
          <w:rFonts w:ascii="Times New Roman" w:hAnsi="Times New Roman"/>
          <w:noProof/>
          <w:sz w:val="24"/>
        </w:rPr>
        <w:t>7</w:t>
      </w:r>
      <w:r>
        <w:rPr>
          <w:rFonts w:ascii="Times New Roman" w:hAnsi="Times New Roman"/>
          <w:noProof/>
          <w:sz w:val="24"/>
        </w:rPr>
        <w:t xml:space="preserve"> ou </w:t>
      </w:r>
      <w:r w:rsidRPr="00C316A8">
        <w:rPr>
          <w:rFonts w:ascii="Times New Roman" w:hAnsi="Times New Roman"/>
          <w:noProof/>
          <w:sz w:val="24"/>
        </w:rPr>
        <w:t>8</w:t>
      </w:r>
      <w:r>
        <w:rPr>
          <w:rFonts w:ascii="Times New Roman" w:hAnsi="Times New Roman"/>
          <w:noProof/>
          <w:sz w:val="24"/>
        </w:rPr>
        <w:t xml:space="preserve"> du règlement restent confidentiels. Par conséquent, aucune information ne peut être publiée sur les avis individuels dans le présent rapport.</w:t>
      </w:r>
    </w:p>
    <w:p w14:paraId="2C4DF801" w14:textId="77777777" w:rsidR="004641DD" w:rsidRPr="005C281F" w:rsidRDefault="004641DD" w:rsidP="00632260">
      <w:pPr>
        <w:spacing w:before="120" w:after="120" w:line="240" w:lineRule="auto"/>
        <w:jc w:val="both"/>
        <w:rPr>
          <w:i/>
          <w:iCs/>
          <w:noProof/>
          <w:highlight w:val="green"/>
        </w:rPr>
      </w:pPr>
      <w:r>
        <w:rPr>
          <w:rFonts w:ascii="Times New Roman" w:hAnsi="Times New Roman"/>
          <w:noProof/>
          <w:sz w:val="24"/>
        </w:rPr>
        <w:t xml:space="preserve">Moins de </w:t>
      </w:r>
      <w:r w:rsidRPr="00C316A8">
        <w:rPr>
          <w:rFonts w:ascii="Times New Roman" w:hAnsi="Times New Roman"/>
          <w:noProof/>
          <w:sz w:val="24"/>
        </w:rPr>
        <w:t>3</w:t>
      </w:r>
      <w:r>
        <w:rPr>
          <w:rFonts w:ascii="Times New Roman" w:hAnsi="Times New Roman"/>
          <w:noProof/>
          <w:sz w:val="24"/>
        </w:rPr>
        <w:t xml:space="preserve"> % de l’ensemble des dossiers notifiés ont fait l’objet d’un avis (le pourcentage est identique à celui du premier rapport annuel), un avis n’étant émis que quand et si le contexte d’un dossier l’exige, notamment le profil de risque de l’investisseur et le caractère critique de la cible de l’investissement. Lorsqu’un avis est émis, toutes les mesures d’atténuation recommandées sont proportionnées et adaptées aux risques recensés et au caractère critique de la situation. </w:t>
      </w:r>
    </w:p>
    <w:p w14:paraId="463008EB" w14:textId="77777777" w:rsidR="004641DD" w:rsidRPr="005D48E5" w:rsidRDefault="004641DD" w:rsidP="00632260">
      <w:pPr>
        <w:spacing w:before="120" w:after="120" w:line="240" w:lineRule="auto"/>
        <w:jc w:val="both"/>
        <w:rPr>
          <w:rFonts w:ascii="Times New Roman" w:hAnsi="Times New Roman" w:cs="Times New Roman"/>
          <w:iCs/>
          <w:noProof/>
          <w:sz w:val="24"/>
        </w:rPr>
      </w:pPr>
      <w:r>
        <w:rPr>
          <w:rFonts w:ascii="Times New Roman" w:hAnsi="Times New Roman"/>
          <w:noProof/>
          <w:sz w:val="24"/>
        </w:rPr>
        <w:t xml:space="preserve">Les avis de la Commission peuvent également se traduire par un partage d’informations pertinentes avec un État membre procédant à un filtrage et suggérer d’éventuelles mesures d’atténuation des risques recensés. </w:t>
      </w:r>
    </w:p>
    <w:p w14:paraId="3BD2EEF2" w14:textId="3FAEA21A" w:rsidR="004641DD" w:rsidRDefault="004641DD" w:rsidP="00632260">
      <w:pPr>
        <w:spacing w:before="120" w:after="120" w:line="240" w:lineRule="auto"/>
        <w:jc w:val="both"/>
        <w:rPr>
          <w:rFonts w:ascii="Times New Roman" w:hAnsi="Times New Roman" w:cs="Times New Roman"/>
          <w:iCs/>
          <w:noProof/>
          <w:sz w:val="24"/>
        </w:rPr>
      </w:pPr>
      <w:r>
        <w:rPr>
          <w:rFonts w:ascii="Times New Roman" w:hAnsi="Times New Roman"/>
          <w:noProof/>
          <w:sz w:val="24"/>
        </w:rPr>
        <w:t>Il appartient en dernier ressort à l’État membre dans lequel l’investissement a lieu de se prononcer sur la transaction, tout en tenant dûment compte de tout avis de la Commission.</w:t>
      </w:r>
    </w:p>
    <w:p w14:paraId="298D8FB2" w14:textId="77777777" w:rsidR="004F4237" w:rsidRPr="00276736" w:rsidRDefault="004F4237" w:rsidP="00632260">
      <w:pPr>
        <w:spacing w:before="120" w:after="120" w:line="240" w:lineRule="auto"/>
        <w:jc w:val="both"/>
        <w:rPr>
          <w:rFonts w:ascii="Times New Roman" w:hAnsi="Times New Roman" w:cs="Times New Roman"/>
          <w:iCs/>
          <w:noProof/>
          <w:sz w:val="24"/>
          <w:lang w:val="fr-BE"/>
        </w:rPr>
      </w:pPr>
    </w:p>
    <w:p w14:paraId="0A126B41" w14:textId="77777777" w:rsidR="005A6F5C" w:rsidRPr="00B709C9" w:rsidRDefault="00EC252D" w:rsidP="00632260">
      <w:pPr>
        <w:spacing w:before="120" w:after="120" w:line="240" w:lineRule="auto"/>
        <w:jc w:val="both"/>
        <w:rPr>
          <w:rFonts w:ascii="Times New Roman" w:hAnsi="Times New Roman" w:cs="Times New Roman"/>
          <w:b/>
          <w:noProof/>
          <w:sz w:val="24"/>
          <w:szCs w:val="24"/>
          <w:u w:val="single"/>
        </w:rPr>
      </w:pPr>
      <w:r>
        <w:rPr>
          <w:rFonts w:ascii="Times New Roman" w:hAnsi="Times New Roman"/>
          <w:b/>
          <w:noProof/>
          <w:sz w:val="24"/>
          <w:u w:val="single"/>
        </w:rPr>
        <w:t>Les données mentionnées ci-dessus conduisent aux mêmes conclusions essentielles que celles tirées dans le premier rapport annuel.</w:t>
      </w:r>
    </w:p>
    <w:p w14:paraId="7FA95DDF" w14:textId="77777777" w:rsidR="004641DD" w:rsidRDefault="004641DD" w:rsidP="00632260">
      <w:pPr>
        <w:spacing w:before="120" w:after="120" w:line="240" w:lineRule="auto"/>
        <w:jc w:val="both"/>
        <w:rPr>
          <w:rFonts w:ascii="Times New Roman" w:hAnsi="Times New Roman" w:cs="Times New Roman"/>
          <w:noProof/>
          <w:sz w:val="24"/>
          <w:szCs w:val="24"/>
        </w:rPr>
      </w:pPr>
      <w:r>
        <w:rPr>
          <w:rFonts w:ascii="Times New Roman" w:hAnsi="Times New Roman"/>
          <w:noProof/>
          <w:sz w:val="24"/>
        </w:rPr>
        <w:t>Tout d’abord, le traitement des dossiers par l’intermédiaire du mécanisme de coopération de l’UE continue de fonctionner correctement. La grande majorité (</w:t>
      </w:r>
      <w:r w:rsidRPr="00C316A8">
        <w:rPr>
          <w:rFonts w:ascii="Times New Roman" w:hAnsi="Times New Roman"/>
          <w:noProof/>
          <w:sz w:val="24"/>
        </w:rPr>
        <w:t>86</w:t>
      </w:r>
      <w:r>
        <w:rPr>
          <w:rFonts w:ascii="Times New Roman" w:hAnsi="Times New Roman"/>
          <w:noProof/>
          <w:sz w:val="24"/>
        </w:rPr>
        <w:t xml:space="preserve"> %) des </w:t>
      </w:r>
      <w:r w:rsidRPr="00C316A8">
        <w:rPr>
          <w:rFonts w:ascii="Times New Roman" w:hAnsi="Times New Roman"/>
          <w:noProof/>
          <w:sz w:val="24"/>
        </w:rPr>
        <w:t>414</w:t>
      </w:r>
      <w:r>
        <w:rPr>
          <w:rFonts w:ascii="Times New Roman" w:hAnsi="Times New Roman"/>
          <w:noProof/>
          <w:sz w:val="24"/>
        </w:rPr>
        <w:t xml:space="preserve"> dossiers notifiés en </w:t>
      </w:r>
      <w:r w:rsidRPr="00C316A8">
        <w:rPr>
          <w:rFonts w:ascii="Times New Roman" w:hAnsi="Times New Roman"/>
          <w:noProof/>
          <w:sz w:val="24"/>
        </w:rPr>
        <w:t>2021</w:t>
      </w:r>
      <w:r>
        <w:rPr>
          <w:rFonts w:ascii="Times New Roman" w:hAnsi="Times New Roman"/>
          <w:noProof/>
          <w:sz w:val="24"/>
        </w:rPr>
        <w:t xml:space="preserve"> a été clôturée au cours de la phase </w:t>
      </w:r>
      <w:r w:rsidRPr="00C316A8">
        <w:rPr>
          <w:rFonts w:ascii="Times New Roman" w:hAnsi="Times New Roman"/>
          <w:noProof/>
          <w:sz w:val="24"/>
        </w:rPr>
        <w:t>1</w:t>
      </w:r>
      <w:r>
        <w:rPr>
          <w:rFonts w:ascii="Times New Roman" w:hAnsi="Times New Roman"/>
          <w:noProof/>
          <w:sz w:val="24"/>
        </w:rPr>
        <w:t xml:space="preserve">, c’est-à-dire très rapidement, tandis que seuls </w:t>
      </w:r>
      <w:r w:rsidRPr="00C316A8">
        <w:rPr>
          <w:rFonts w:ascii="Times New Roman" w:hAnsi="Times New Roman"/>
          <w:noProof/>
          <w:sz w:val="24"/>
        </w:rPr>
        <w:t>11</w:t>
      </w:r>
      <w:r>
        <w:rPr>
          <w:rFonts w:ascii="Times New Roman" w:hAnsi="Times New Roman"/>
          <w:noProof/>
          <w:sz w:val="24"/>
        </w:rPr>
        <w:t xml:space="preserve"> % des dossiers notifiés (contre </w:t>
      </w:r>
      <w:r w:rsidRPr="00C316A8">
        <w:rPr>
          <w:rFonts w:ascii="Times New Roman" w:hAnsi="Times New Roman"/>
          <w:noProof/>
          <w:sz w:val="24"/>
        </w:rPr>
        <w:t>14</w:t>
      </w:r>
      <w:r>
        <w:rPr>
          <w:rFonts w:ascii="Times New Roman" w:hAnsi="Times New Roman"/>
          <w:noProof/>
          <w:sz w:val="24"/>
        </w:rPr>
        <w:t> % au cours de la période couverte par le rapport précédent) ont été clôturés au cours de la phase </w:t>
      </w:r>
      <w:r w:rsidRPr="00C316A8">
        <w:rPr>
          <w:rFonts w:ascii="Times New Roman" w:hAnsi="Times New Roman"/>
          <w:noProof/>
          <w:sz w:val="24"/>
        </w:rPr>
        <w:t>2</w:t>
      </w:r>
      <w:r>
        <w:rPr>
          <w:rFonts w:ascii="Times New Roman" w:hAnsi="Times New Roman"/>
          <w:noProof/>
          <w:sz w:val="24"/>
        </w:rPr>
        <w:t xml:space="preserve">, et moins de </w:t>
      </w:r>
      <w:r w:rsidRPr="00C316A8">
        <w:rPr>
          <w:rFonts w:ascii="Times New Roman" w:hAnsi="Times New Roman"/>
          <w:noProof/>
          <w:sz w:val="24"/>
        </w:rPr>
        <w:t>3</w:t>
      </w:r>
      <w:r>
        <w:rPr>
          <w:rFonts w:ascii="Times New Roman" w:hAnsi="Times New Roman"/>
          <w:noProof/>
          <w:sz w:val="24"/>
        </w:rPr>
        <w:t> % des dossiers ont donné lieu à un avis de la Commission.</w:t>
      </w:r>
    </w:p>
    <w:p w14:paraId="1F833C3C" w14:textId="77777777" w:rsidR="00535ADD" w:rsidRPr="00535ADD" w:rsidRDefault="00535ADD" w:rsidP="00535ADD">
      <w:pPr>
        <w:jc w:val="both"/>
        <w:rPr>
          <w:rFonts w:ascii="Times New Roman" w:hAnsi="Times New Roman" w:cs="Times New Roman"/>
          <w:noProof/>
          <w:sz w:val="24"/>
          <w:szCs w:val="24"/>
        </w:rPr>
      </w:pPr>
      <w:r>
        <w:rPr>
          <w:rFonts w:ascii="Times New Roman" w:hAnsi="Times New Roman"/>
          <w:noProof/>
          <w:sz w:val="24"/>
        </w:rPr>
        <w:t xml:space="preserve">Deuxièmement, on observe une tendance à une plus grande diversification du filtrage parmi les États membres. En effet, quatre États membres ont totalisé environ </w:t>
      </w:r>
      <w:r w:rsidRPr="00C316A8">
        <w:rPr>
          <w:rFonts w:ascii="Times New Roman" w:hAnsi="Times New Roman"/>
          <w:noProof/>
          <w:sz w:val="24"/>
        </w:rPr>
        <w:t>70</w:t>
      </w:r>
      <w:r>
        <w:rPr>
          <w:rFonts w:ascii="Times New Roman" w:hAnsi="Times New Roman"/>
          <w:noProof/>
          <w:sz w:val="24"/>
        </w:rPr>
        <w:t xml:space="preserve"> % de toutes les demandes reçues en </w:t>
      </w:r>
      <w:r w:rsidRPr="00C316A8">
        <w:rPr>
          <w:rFonts w:ascii="Times New Roman" w:hAnsi="Times New Roman"/>
          <w:noProof/>
          <w:sz w:val="24"/>
        </w:rPr>
        <w:t>2021</w:t>
      </w:r>
      <w:r>
        <w:rPr>
          <w:rFonts w:ascii="Times New Roman" w:hAnsi="Times New Roman"/>
          <w:noProof/>
          <w:sz w:val="24"/>
        </w:rPr>
        <w:t xml:space="preserve">, mais ce pourcentage atteignait </w:t>
      </w:r>
      <w:r w:rsidRPr="00C316A8">
        <w:rPr>
          <w:rFonts w:ascii="Times New Roman" w:hAnsi="Times New Roman"/>
          <w:noProof/>
          <w:sz w:val="24"/>
        </w:rPr>
        <w:t>86</w:t>
      </w:r>
      <w:r>
        <w:rPr>
          <w:rFonts w:ascii="Times New Roman" w:hAnsi="Times New Roman"/>
          <w:noProof/>
          <w:sz w:val="24"/>
        </w:rPr>
        <w:t>,</w:t>
      </w:r>
      <w:r w:rsidRPr="00C316A8">
        <w:rPr>
          <w:rFonts w:ascii="Times New Roman" w:hAnsi="Times New Roman"/>
          <w:noProof/>
          <w:sz w:val="24"/>
        </w:rPr>
        <w:t>5</w:t>
      </w:r>
      <w:r>
        <w:rPr>
          <w:rFonts w:ascii="Times New Roman" w:hAnsi="Times New Roman"/>
          <w:noProof/>
          <w:sz w:val="24"/>
        </w:rPr>
        <w:t xml:space="preserve"> % dans le premier rapport annuel. </w:t>
      </w:r>
    </w:p>
    <w:p w14:paraId="08AA85F8" w14:textId="6EADE25B" w:rsidR="004641DD" w:rsidRPr="005D48E5" w:rsidRDefault="00535ADD" w:rsidP="00632260">
      <w:pPr>
        <w:spacing w:before="120" w:after="120" w:line="240" w:lineRule="auto"/>
        <w:jc w:val="both"/>
        <w:rPr>
          <w:rFonts w:ascii="Times New Roman" w:hAnsi="Times New Roman" w:cs="Times New Roman"/>
          <w:noProof/>
          <w:sz w:val="24"/>
          <w:szCs w:val="24"/>
        </w:rPr>
      </w:pPr>
      <w:r>
        <w:rPr>
          <w:rFonts w:ascii="Times New Roman" w:hAnsi="Times New Roman"/>
          <w:noProof/>
          <w:sz w:val="24"/>
        </w:rPr>
        <w:t>Troisièmement, si la plupart des dossiers en phase </w:t>
      </w:r>
      <w:r w:rsidRPr="00C316A8">
        <w:rPr>
          <w:rFonts w:ascii="Times New Roman" w:hAnsi="Times New Roman"/>
          <w:noProof/>
          <w:sz w:val="24"/>
        </w:rPr>
        <w:t>1</w:t>
      </w:r>
      <w:r>
        <w:rPr>
          <w:rFonts w:ascii="Times New Roman" w:hAnsi="Times New Roman"/>
          <w:noProof/>
          <w:sz w:val="24"/>
        </w:rPr>
        <w:t xml:space="preserve"> sont évalués rapidement, à savoir dans les </w:t>
      </w:r>
      <w:r w:rsidRPr="00C316A8">
        <w:rPr>
          <w:rFonts w:ascii="Times New Roman" w:hAnsi="Times New Roman"/>
          <w:noProof/>
          <w:sz w:val="24"/>
        </w:rPr>
        <w:t>15</w:t>
      </w:r>
      <w:r>
        <w:rPr>
          <w:rFonts w:ascii="Times New Roman" w:hAnsi="Times New Roman"/>
          <w:noProof/>
          <w:sz w:val="24"/>
        </w:rPr>
        <w:t> jours civils prescrits, la durée des dossiers qui passent en phase </w:t>
      </w:r>
      <w:r w:rsidRPr="00C316A8">
        <w:rPr>
          <w:rFonts w:ascii="Times New Roman" w:hAnsi="Times New Roman"/>
          <w:noProof/>
          <w:sz w:val="24"/>
        </w:rPr>
        <w:t>2</w:t>
      </w:r>
      <w:r>
        <w:rPr>
          <w:rFonts w:ascii="Times New Roman" w:hAnsi="Times New Roman"/>
          <w:noProof/>
          <w:sz w:val="24"/>
        </w:rPr>
        <w:t xml:space="preserve"> varie énormément selon le délai dont les États membres ont besoin pour répondre à une demande d’informations supplémentaires de la Commission, délai qui dépend souvent de l’investisseur qui détient les informations requises.</w:t>
      </w:r>
    </w:p>
    <w:p w14:paraId="10E2291A" w14:textId="25157AC5" w:rsidR="004641DD" w:rsidRPr="00EC252D" w:rsidRDefault="00535ADD" w:rsidP="00632260">
      <w:pPr>
        <w:spacing w:before="120" w:after="120" w:line="240" w:lineRule="auto"/>
        <w:jc w:val="both"/>
        <w:rPr>
          <w:rFonts w:ascii="Times New Roman" w:hAnsi="Times New Roman" w:cs="Times New Roman"/>
          <w:noProof/>
          <w:sz w:val="24"/>
          <w:szCs w:val="24"/>
        </w:rPr>
      </w:pPr>
      <w:r>
        <w:rPr>
          <w:rFonts w:ascii="Times New Roman" w:hAnsi="Times New Roman"/>
          <w:noProof/>
          <w:sz w:val="24"/>
        </w:rPr>
        <w:t>Quatrièmement, les principaux secteurs en cause (TIC, industrie manufacturière, activités financières et commerce de gros et de détail) et l’origine (Canada, Chine, États-Unis, Îles Caïmans et Royaume-Uni) des investisseurs ultimes concernés par les dossiers notifiés en vertu du règlement reflètent largement les tendances générales en matière d’investissement décrites au chapitre </w:t>
      </w:r>
      <w:r w:rsidRPr="00C316A8">
        <w:rPr>
          <w:rFonts w:ascii="Times New Roman" w:hAnsi="Times New Roman"/>
          <w:noProof/>
          <w:sz w:val="24"/>
        </w:rPr>
        <w:t>1</w:t>
      </w:r>
      <w:r>
        <w:rPr>
          <w:rFonts w:ascii="Times New Roman" w:hAnsi="Times New Roman"/>
          <w:noProof/>
          <w:sz w:val="24"/>
        </w:rPr>
        <w:t xml:space="preserve"> du présent rapport annuel et à la section </w:t>
      </w:r>
      <w:r w:rsidRPr="00C316A8">
        <w:rPr>
          <w:rFonts w:ascii="Times New Roman" w:hAnsi="Times New Roman"/>
          <w:noProof/>
          <w:sz w:val="24"/>
        </w:rPr>
        <w:t>1</w:t>
      </w:r>
      <w:r>
        <w:rPr>
          <w:rFonts w:ascii="Times New Roman" w:hAnsi="Times New Roman"/>
          <w:noProof/>
          <w:sz w:val="24"/>
        </w:rPr>
        <w:t xml:space="preserve"> du document de travail des services de la Commission joint en ce qui concerne les principaux secteurs cibles et l’origine des investisseurs ultimes.</w:t>
      </w:r>
    </w:p>
    <w:p w14:paraId="4F4F9227" w14:textId="078B55FF" w:rsidR="004641DD" w:rsidRDefault="004641DD" w:rsidP="00632260">
      <w:pPr>
        <w:spacing w:before="120" w:after="120" w:line="240" w:lineRule="auto"/>
        <w:jc w:val="both"/>
        <w:rPr>
          <w:rFonts w:ascii="Times New Roman" w:hAnsi="Times New Roman" w:cs="Times New Roman"/>
          <w:noProof/>
          <w:sz w:val="24"/>
          <w:szCs w:val="24"/>
        </w:rPr>
      </w:pPr>
      <w:r>
        <w:rPr>
          <w:rFonts w:ascii="Times New Roman" w:hAnsi="Times New Roman"/>
          <w:noProof/>
          <w:sz w:val="24"/>
        </w:rPr>
        <w:t>Cinquièmement, un nombre significatif de dossiers notifiés par les États membres étaient concernés par un ou plusieurs des facteurs à prendre en considération, énumérés à l’article </w:t>
      </w:r>
      <w:r w:rsidRPr="00C316A8">
        <w:rPr>
          <w:rFonts w:ascii="Times New Roman" w:hAnsi="Times New Roman"/>
          <w:noProof/>
          <w:sz w:val="24"/>
        </w:rPr>
        <w:t>4</w:t>
      </w:r>
      <w:r>
        <w:rPr>
          <w:rFonts w:ascii="Times New Roman" w:hAnsi="Times New Roman"/>
          <w:noProof/>
          <w:sz w:val="24"/>
        </w:rPr>
        <w:t xml:space="preserve"> du règlement. Les facteurs concernés comprenaient notamment les infrastructures critiques, les technologies critiques et les biens à double usage, l’accès à des informations sensibles, ainsi que le fait que l’investisseur étranger puisse être la propriété d’un gouvernement ou être contrôlé ou influencé par un gouvernement.</w:t>
      </w:r>
    </w:p>
    <w:p w14:paraId="3AA6B57D" w14:textId="77777777" w:rsidR="00535ADD" w:rsidRDefault="00535ADD" w:rsidP="00632260">
      <w:pPr>
        <w:spacing w:before="120" w:after="120" w:line="240" w:lineRule="auto"/>
        <w:jc w:val="both"/>
        <w:rPr>
          <w:rFonts w:ascii="Times New Roman" w:hAnsi="Times New Roman" w:cs="Times New Roman"/>
          <w:noProof/>
          <w:sz w:val="24"/>
          <w:szCs w:val="24"/>
          <w:highlight w:val="green"/>
        </w:rPr>
      </w:pPr>
    </w:p>
    <w:p w14:paraId="288D55A7" w14:textId="77777777" w:rsidR="00A8732D" w:rsidRDefault="00C56D8F" w:rsidP="00632260">
      <w:pPr>
        <w:pStyle w:val="Heading2"/>
        <w:spacing w:line="240" w:lineRule="auto"/>
        <w:rPr>
          <w:noProof/>
        </w:rPr>
      </w:pPr>
      <w:r>
        <w:rPr>
          <w:noProof/>
        </w:rPr>
        <w:t xml:space="preserve">Les investissements directs de Russie et de Biélorussie dans le contexte de l’invasion de l’Ukraine par la Russie </w:t>
      </w:r>
    </w:p>
    <w:p w14:paraId="511BA7F5" w14:textId="08C01C3D" w:rsidR="00A8732D" w:rsidRDefault="00A8732D" w:rsidP="00632260">
      <w:pPr>
        <w:spacing w:line="240" w:lineRule="auto"/>
        <w:jc w:val="both"/>
        <w:rPr>
          <w:rFonts w:ascii="Times New Roman" w:hAnsi="Times New Roman" w:cs="Times New Roman"/>
          <w:noProof/>
          <w:sz w:val="24"/>
          <w:szCs w:val="24"/>
        </w:rPr>
      </w:pPr>
      <w:r>
        <w:rPr>
          <w:rFonts w:ascii="Times New Roman" w:hAnsi="Times New Roman"/>
          <w:noProof/>
          <w:sz w:val="24"/>
        </w:rPr>
        <w:t xml:space="preserve">En réponse à l’agression militaire non provoquée et injustifiée de la Russie contre l’Ukraine, soutenue activement par la Biélorussie, l’Union a adopté en </w:t>
      </w:r>
      <w:r w:rsidRPr="00C316A8">
        <w:rPr>
          <w:rFonts w:ascii="Times New Roman" w:hAnsi="Times New Roman"/>
          <w:noProof/>
          <w:sz w:val="24"/>
        </w:rPr>
        <w:t>2022</w:t>
      </w:r>
      <w:r>
        <w:rPr>
          <w:rFonts w:ascii="Times New Roman" w:hAnsi="Times New Roman"/>
          <w:noProof/>
          <w:sz w:val="24"/>
        </w:rPr>
        <w:t xml:space="preserve"> de vastes trains de mesures restrictives («sanctions») contre les deux pays. Les sanctions contre la Russie visent à compromettre la capacité du Kremlin à financer la guerre, à imposer des coûts économiques et politiques évidents aux élites politiques russes responsables de l’invasion et à réduire leur base économique. Compte tenu du soutien matériel apporté par la Biélorussie à l’invasion russe, l’UE a adopté de nouvelles sanctions contre la Biélorussie. Les sanctions contre la Biélorussie visent à avoir des effets analogues aux sanctions prises contre la Russie.</w:t>
      </w:r>
    </w:p>
    <w:p w14:paraId="2D073600" w14:textId="77777777" w:rsidR="00A8732D" w:rsidRDefault="00A8732D" w:rsidP="00632260">
      <w:pPr>
        <w:spacing w:line="240" w:lineRule="auto"/>
        <w:jc w:val="both"/>
        <w:rPr>
          <w:rFonts w:ascii="Times New Roman" w:hAnsi="Times New Roman" w:cs="Times New Roman"/>
          <w:noProof/>
          <w:sz w:val="24"/>
          <w:szCs w:val="24"/>
        </w:rPr>
      </w:pPr>
      <w:r>
        <w:rPr>
          <w:rFonts w:ascii="Times New Roman" w:hAnsi="Times New Roman"/>
          <w:noProof/>
          <w:sz w:val="24"/>
        </w:rPr>
        <w:t>S’il est vrai que le filtrage des IDE et les sanctions sont des instruments juridiques distincts, chacun ayant une finalité différente et une manière de fonctionner différente, l’agression militaire de la Russie contre l’Ukraine appelle néanmoins une plus grande vigilance à l’égard des investissements directs russes et biélorusses dans l’Union. Cela va au-delà des investissements réalisés par des personnes ou des entités faisant l’objet de sanctions. Dans les circonstances actuelles, il existe un risque accru que tout investissement — directement ou indirectement lié à une personne ou à une entité associée au gouvernement russe ou biélorusse, contrôlé par le gouvernement russe ou biélorusse ou soumise à l’influence de l’un ou de l’autre — dans des actifs essentiels au sein de l’Union puisse constituer une menace pour la sécurité ou l’ordre public dans les États membres.</w:t>
      </w:r>
    </w:p>
    <w:p w14:paraId="08AF693B" w14:textId="198B824A" w:rsidR="00A8732D" w:rsidRDefault="00A8732D" w:rsidP="00632260">
      <w:pPr>
        <w:spacing w:line="240" w:lineRule="auto"/>
        <w:jc w:val="both"/>
        <w:rPr>
          <w:rFonts w:ascii="Times New Roman" w:hAnsi="Times New Roman" w:cs="Times New Roman"/>
          <w:iCs/>
          <w:noProof/>
          <w:sz w:val="24"/>
          <w:szCs w:val="24"/>
        </w:rPr>
      </w:pPr>
      <w:r>
        <w:rPr>
          <w:rFonts w:ascii="Times New Roman" w:hAnsi="Times New Roman"/>
          <w:noProof/>
          <w:sz w:val="24"/>
        </w:rPr>
        <w:t xml:space="preserve">Dans ce contexte, la Commission européenne a adopté, en avril </w:t>
      </w:r>
      <w:r w:rsidRPr="00C316A8">
        <w:rPr>
          <w:rFonts w:ascii="Times New Roman" w:hAnsi="Times New Roman"/>
          <w:noProof/>
          <w:sz w:val="24"/>
        </w:rPr>
        <w:t>2022</w:t>
      </w:r>
      <w:r>
        <w:rPr>
          <w:rFonts w:ascii="Times New Roman" w:hAnsi="Times New Roman"/>
          <w:noProof/>
          <w:sz w:val="24"/>
        </w:rPr>
        <w:t>, des orientations</w:t>
      </w:r>
      <w:r>
        <w:rPr>
          <w:rStyle w:val="FootnoteReference"/>
          <w:rFonts w:ascii="Times New Roman" w:hAnsi="Times New Roman" w:cs="Times New Roman"/>
          <w:noProof/>
          <w:sz w:val="24"/>
          <w:szCs w:val="24"/>
        </w:rPr>
        <w:footnoteReference w:id="37"/>
      </w:r>
      <w:r>
        <w:rPr>
          <w:rFonts w:ascii="Times New Roman" w:hAnsi="Times New Roman"/>
          <w:noProof/>
          <w:sz w:val="24"/>
        </w:rPr>
        <w:t xml:space="preserve"> à l’intention des États membres concernant les IDE en provenance de Russie et de Biélorussie, afin de veiller à ce qu’une attention particulière soit accordée aux investissements dans des actifs essentiels de l’UE provenant d’entités ou de personnes liées d’une manière ou d’une autre au gouvernement russe ou biélorusse.</w:t>
      </w:r>
    </w:p>
    <w:p w14:paraId="4FD9B701" w14:textId="77777777" w:rsidR="00A8732D" w:rsidRPr="00841E98" w:rsidRDefault="00A8732D" w:rsidP="00632260">
      <w:pPr>
        <w:pStyle w:val="Heading2"/>
        <w:spacing w:line="240" w:lineRule="auto"/>
        <w:rPr>
          <w:noProof/>
        </w:rPr>
      </w:pPr>
      <w:r>
        <w:rPr>
          <w:noProof/>
        </w:rPr>
        <w:t xml:space="preserve">Mesures prises depuis le </w:t>
      </w:r>
      <w:r w:rsidRPr="00C316A8">
        <w:rPr>
          <w:noProof/>
        </w:rPr>
        <w:t>1</w:t>
      </w:r>
      <w:r>
        <w:rPr>
          <w:noProof/>
          <w:vertAlign w:val="superscript"/>
        </w:rPr>
        <w:t>er</w:t>
      </w:r>
      <w:r>
        <w:rPr>
          <w:noProof/>
        </w:rPr>
        <w:t xml:space="preserve"> janvier </w:t>
      </w:r>
      <w:r w:rsidRPr="00C316A8">
        <w:rPr>
          <w:noProof/>
        </w:rPr>
        <w:t>2021</w:t>
      </w:r>
      <w:r>
        <w:rPr>
          <w:noProof/>
        </w:rPr>
        <w:t xml:space="preserve"> et perspectives à plus long terme</w:t>
      </w:r>
    </w:p>
    <w:p w14:paraId="6E4E7342" w14:textId="63BFF3E4" w:rsidR="00624FA0" w:rsidRDefault="00624FA0" w:rsidP="00632260">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Le présent rapport marque la consolidation d’une politique européenne, essentielle à la protection de la sécurité et de l’ordre public dans l’Union. En effet, la création de mécanismes de filtrage des IDE des États membres et leur amélioration continue, la poursuite du développement du mécanisme de coopération de l’UE en </w:t>
      </w:r>
      <w:r w:rsidRPr="00C316A8">
        <w:rPr>
          <w:rFonts w:ascii="Times New Roman" w:hAnsi="Times New Roman"/>
          <w:noProof/>
          <w:sz w:val="24"/>
        </w:rPr>
        <w:t>2021</w:t>
      </w:r>
      <w:r>
        <w:rPr>
          <w:rFonts w:ascii="Times New Roman" w:hAnsi="Times New Roman"/>
          <w:noProof/>
          <w:sz w:val="24"/>
        </w:rPr>
        <w:t>, ainsi que la coopération en matière d’IDE avec les pays partenaires, y compris avec les États-Unis d’Amérique par l’intermédiaire du groupe de travail sur les IDE du Conseil du commerce et des technologies, ont permis à l’Union de consolider les fondements du système de filtrage de l’UE. L’Union est déjà, à peine plus d’un an et demi après l’entrée en vigueur du règlement, un acteur bien établi et proactif dans le domaine du filtrage des IDE.</w:t>
      </w:r>
    </w:p>
    <w:p w14:paraId="52A89945" w14:textId="21E291FD" w:rsidR="00624FA0" w:rsidRPr="00BA6221" w:rsidRDefault="00B709C9" w:rsidP="00632260">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Le rapport confirme la valeur ajoutée manifeste du règlement sur le filtrage des IDE et du mécanisme de coopération. Il s’agit d’un outil qui s’est révélé précieux et efficace. Aucune fuite n’a été signalée en ce qui concerne les notifications faites, les avis adoptés ou les autres mesures prises en vertu du règlement. Le traitement et la </w:t>
      </w:r>
      <w:r>
        <w:rPr>
          <w:rFonts w:ascii="Times New Roman" w:hAnsi="Times New Roman"/>
          <w:b/>
          <w:noProof/>
          <w:sz w:val="24"/>
        </w:rPr>
        <w:t>protection</w:t>
      </w:r>
      <w:r>
        <w:rPr>
          <w:rFonts w:ascii="Times New Roman" w:hAnsi="Times New Roman"/>
          <w:noProof/>
          <w:sz w:val="24"/>
        </w:rPr>
        <w:t xml:space="preserve"> appropriés </w:t>
      </w:r>
      <w:r>
        <w:rPr>
          <w:rFonts w:ascii="Times New Roman" w:hAnsi="Times New Roman"/>
          <w:b/>
          <w:noProof/>
          <w:sz w:val="24"/>
        </w:rPr>
        <w:t>de toute information communiquée</w:t>
      </w:r>
      <w:r>
        <w:rPr>
          <w:rFonts w:ascii="Times New Roman" w:hAnsi="Times New Roman"/>
          <w:noProof/>
          <w:sz w:val="24"/>
        </w:rPr>
        <w:t xml:space="preserve"> aux fins des articles </w:t>
      </w:r>
      <w:r w:rsidRPr="00C316A8">
        <w:rPr>
          <w:rFonts w:ascii="Times New Roman" w:hAnsi="Times New Roman"/>
          <w:noProof/>
          <w:sz w:val="24"/>
        </w:rPr>
        <w:t>6</w:t>
      </w:r>
      <w:r>
        <w:rPr>
          <w:rFonts w:ascii="Times New Roman" w:hAnsi="Times New Roman"/>
          <w:noProof/>
          <w:sz w:val="24"/>
        </w:rPr>
        <w:t xml:space="preserve">, </w:t>
      </w:r>
      <w:r w:rsidRPr="00C316A8">
        <w:rPr>
          <w:rFonts w:ascii="Times New Roman" w:hAnsi="Times New Roman"/>
          <w:noProof/>
          <w:sz w:val="24"/>
        </w:rPr>
        <w:t>7</w:t>
      </w:r>
      <w:r>
        <w:rPr>
          <w:rFonts w:ascii="Times New Roman" w:hAnsi="Times New Roman"/>
          <w:noProof/>
          <w:sz w:val="24"/>
        </w:rPr>
        <w:t xml:space="preserve"> et </w:t>
      </w:r>
      <w:r w:rsidRPr="00C316A8">
        <w:rPr>
          <w:rFonts w:ascii="Times New Roman" w:hAnsi="Times New Roman"/>
          <w:noProof/>
          <w:sz w:val="24"/>
        </w:rPr>
        <w:t>8</w:t>
      </w:r>
      <w:r>
        <w:rPr>
          <w:rFonts w:ascii="Times New Roman" w:hAnsi="Times New Roman"/>
          <w:noProof/>
          <w:sz w:val="24"/>
        </w:rPr>
        <w:t xml:space="preserve"> du règlement sont </w:t>
      </w:r>
      <w:r>
        <w:rPr>
          <w:rFonts w:ascii="Times New Roman" w:hAnsi="Times New Roman"/>
          <w:b/>
          <w:noProof/>
          <w:sz w:val="24"/>
        </w:rPr>
        <w:t>essentiel</w:t>
      </w:r>
      <w:r>
        <w:rPr>
          <w:rFonts w:ascii="Times New Roman" w:hAnsi="Times New Roman"/>
          <w:noProof/>
          <w:sz w:val="24"/>
        </w:rPr>
        <w:t>s pour garantir la confiance nécessaire entre toutes les parties concernées, à savoir les parties à une transaction, l’État membre notifiant, les vingt-six autres États membres et la Commission européenne.</w:t>
      </w:r>
    </w:p>
    <w:p w14:paraId="290CD44B" w14:textId="77777777" w:rsidR="00624FA0" w:rsidRPr="005C281F" w:rsidRDefault="00624FA0" w:rsidP="00632260">
      <w:pPr>
        <w:spacing w:before="120" w:after="120" w:line="240" w:lineRule="auto"/>
        <w:jc w:val="both"/>
        <w:rPr>
          <w:rFonts w:ascii="Times New Roman" w:hAnsi="Times New Roman" w:cs="Times New Roman"/>
          <w:noProof/>
          <w:sz w:val="24"/>
          <w:szCs w:val="24"/>
          <w:highlight w:val="green"/>
        </w:rPr>
      </w:pPr>
      <w:r>
        <w:rPr>
          <w:rFonts w:ascii="Times New Roman" w:hAnsi="Times New Roman"/>
          <w:noProof/>
          <w:sz w:val="24"/>
        </w:rPr>
        <w:t>Afin de faciliter la mise en œuvre effective du règlement et de garantir un degré plus élevé de conformité et d’exhaustivité des notifications présentées par les États membres conformément à l’article </w:t>
      </w:r>
      <w:r w:rsidRPr="00C316A8">
        <w:rPr>
          <w:rFonts w:ascii="Times New Roman" w:hAnsi="Times New Roman"/>
          <w:noProof/>
          <w:sz w:val="24"/>
        </w:rPr>
        <w:t>6</w:t>
      </w:r>
      <w:r>
        <w:rPr>
          <w:rFonts w:ascii="Times New Roman" w:hAnsi="Times New Roman"/>
          <w:noProof/>
          <w:sz w:val="24"/>
        </w:rPr>
        <w:t xml:space="preserve"> du règlement, la Commission a publié des versions actualisées du </w:t>
      </w:r>
      <w:r>
        <w:rPr>
          <w:rFonts w:ascii="Times New Roman" w:hAnsi="Times New Roman"/>
          <w:b/>
          <w:noProof/>
          <w:sz w:val="24"/>
        </w:rPr>
        <w:t>formulaire de notification</w:t>
      </w:r>
      <w:r>
        <w:rPr>
          <w:rFonts w:ascii="Times New Roman" w:hAnsi="Times New Roman"/>
          <w:noProof/>
          <w:sz w:val="24"/>
        </w:rPr>
        <w:t xml:space="preserve"> réservé aux investisseurs. Elle a également actualisé le document «</w:t>
      </w:r>
      <w:r>
        <w:rPr>
          <w:rFonts w:ascii="Times New Roman" w:hAnsi="Times New Roman"/>
          <w:b/>
          <w:noProof/>
          <w:sz w:val="24"/>
        </w:rPr>
        <w:t>Foires aux questions</w:t>
      </w:r>
      <w:r>
        <w:rPr>
          <w:rFonts w:ascii="Times New Roman" w:hAnsi="Times New Roman"/>
          <w:noProof/>
          <w:sz w:val="24"/>
        </w:rPr>
        <w:t xml:space="preserve">» (en juin </w:t>
      </w:r>
      <w:r w:rsidRPr="00C316A8">
        <w:rPr>
          <w:rFonts w:ascii="Times New Roman" w:hAnsi="Times New Roman"/>
          <w:noProof/>
          <w:sz w:val="24"/>
        </w:rPr>
        <w:t>2021</w:t>
      </w:r>
      <w:r>
        <w:rPr>
          <w:rFonts w:ascii="Times New Roman" w:hAnsi="Times New Roman"/>
          <w:noProof/>
          <w:sz w:val="24"/>
        </w:rPr>
        <w:t xml:space="preserve">). </w:t>
      </w:r>
    </w:p>
    <w:p w14:paraId="6C390E1F" w14:textId="3A9CBAAA" w:rsidR="00624FA0" w:rsidRPr="00667AA1" w:rsidRDefault="00624FA0" w:rsidP="00DF2D3F">
      <w:pPr>
        <w:spacing w:line="240" w:lineRule="auto"/>
        <w:jc w:val="both"/>
        <w:rPr>
          <w:rFonts w:ascii="Times New Roman" w:hAnsi="Times New Roman" w:cs="Times New Roman"/>
          <w:noProof/>
          <w:sz w:val="24"/>
          <w:szCs w:val="24"/>
        </w:rPr>
      </w:pPr>
      <w:r>
        <w:rPr>
          <w:rFonts w:ascii="Times New Roman" w:hAnsi="Times New Roman"/>
          <w:noProof/>
          <w:sz w:val="24"/>
        </w:rPr>
        <w:t xml:space="preserve">En ce qui concerne les </w:t>
      </w:r>
      <w:r>
        <w:rPr>
          <w:rFonts w:ascii="Times New Roman" w:hAnsi="Times New Roman"/>
          <w:b/>
          <w:noProof/>
          <w:sz w:val="24"/>
        </w:rPr>
        <w:t>bonnes pratiques</w:t>
      </w:r>
      <w:r>
        <w:rPr>
          <w:rFonts w:ascii="Times New Roman" w:hAnsi="Times New Roman"/>
          <w:noProof/>
          <w:sz w:val="24"/>
        </w:rPr>
        <w:t xml:space="preserve">, la Commission européenne continue de faciliter leur échange entre les États membres: elle a organisé la toute première réunion en présentiel avec des représentants de tous les États membres en mars </w:t>
      </w:r>
      <w:r w:rsidRPr="00C316A8">
        <w:rPr>
          <w:rFonts w:ascii="Times New Roman" w:hAnsi="Times New Roman"/>
          <w:noProof/>
          <w:sz w:val="24"/>
        </w:rPr>
        <w:t>2022</w:t>
      </w:r>
      <w:r>
        <w:rPr>
          <w:rFonts w:ascii="Times New Roman" w:hAnsi="Times New Roman"/>
          <w:noProof/>
          <w:sz w:val="24"/>
        </w:rPr>
        <w:t>, après des échanges virtuels pendant la pandémie. L’expérience montre que des améliorations peuvent encore être apportées globalement, en particulier dans les domaines recensés par les États membres. Toutefois, tous se sont accordés sur le fait que le fonctionnement de l’instrument et du mécanisme de coopération est très satisfaisant et apporte une forte valeur ajoutée aux autorités nationales dans leurs décisions finales sur les transactions en question et pour la protection des intérêts (projets ou programmes) de l’Union européenne.</w:t>
      </w:r>
    </w:p>
    <w:p w14:paraId="63DFA309" w14:textId="51C8E932" w:rsidR="00624FA0" w:rsidRPr="00E8684C" w:rsidRDefault="00624FA0" w:rsidP="00DF2D3F">
      <w:pPr>
        <w:jc w:val="both"/>
        <w:rPr>
          <w:rFonts w:ascii="Times New Roman" w:hAnsi="Times New Roman" w:cs="Times New Roman"/>
          <w:noProof/>
          <w:sz w:val="24"/>
          <w:szCs w:val="24"/>
        </w:rPr>
      </w:pPr>
      <w:r>
        <w:rPr>
          <w:rFonts w:ascii="Times New Roman" w:hAnsi="Times New Roman"/>
          <w:b/>
          <w:noProof/>
          <w:sz w:val="24"/>
        </w:rPr>
        <w:t>La Commission européenne espère vraiment que d’autres États membres adopteront et renforceront très prochainement leur législation nationale en matière de filtrage des IDE et les mécanismes connexes</w:t>
      </w:r>
      <w:r>
        <w:rPr>
          <w:rFonts w:ascii="Times New Roman" w:hAnsi="Times New Roman"/>
          <w:noProof/>
          <w:sz w:val="24"/>
        </w:rPr>
        <w:t xml:space="preserve"> pour les investissements étrangers potentiellement risqués. La Commission a déjà exprimé cet espoir à plusieurs reprises, notamment dans les orientations de </w:t>
      </w:r>
      <w:r w:rsidRPr="00C316A8">
        <w:rPr>
          <w:rFonts w:ascii="Times New Roman" w:hAnsi="Times New Roman"/>
          <w:noProof/>
          <w:sz w:val="24"/>
        </w:rPr>
        <w:t>2020</w:t>
      </w:r>
      <w:r>
        <w:rPr>
          <w:rFonts w:ascii="Times New Roman" w:hAnsi="Times New Roman"/>
          <w:noProof/>
          <w:sz w:val="24"/>
        </w:rPr>
        <w:t xml:space="preserve"> à l’intention des États membres concernant la manière d’utiliser le filtrage des IDE en période de crise de santé publique et de vulnérabilité économique dans l’UE</w:t>
      </w:r>
      <w:r>
        <w:rPr>
          <w:rStyle w:val="FootnoteReference"/>
          <w:rFonts w:ascii="Times New Roman" w:hAnsi="Times New Roman" w:cs="Times New Roman"/>
          <w:noProof/>
          <w:sz w:val="24"/>
          <w:szCs w:val="24"/>
        </w:rPr>
        <w:footnoteReference w:id="38"/>
      </w:r>
      <w:r>
        <w:rPr>
          <w:rFonts w:ascii="Times New Roman" w:hAnsi="Times New Roman"/>
          <w:noProof/>
          <w:sz w:val="24"/>
        </w:rPr>
        <w:t xml:space="preserve"> et, plus récemment, dans les orientations à l’intention des États membres concernant les IDE en provenance de Russie et de Biélorussie</w:t>
      </w:r>
      <w:r>
        <w:rPr>
          <w:rStyle w:val="FootnoteReference"/>
          <w:rFonts w:ascii="Times New Roman" w:hAnsi="Times New Roman" w:cs="Times New Roman"/>
          <w:noProof/>
          <w:sz w:val="24"/>
          <w:szCs w:val="24"/>
        </w:rPr>
        <w:footnoteReference w:id="39"/>
      </w:r>
      <w:r>
        <w:rPr>
          <w:rFonts w:ascii="Times New Roman" w:hAnsi="Times New Roman"/>
          <w:noProof/>
          <w:sz w:val="24"/>
        </w:rPr>
        <w:t>. Ce ne devrait être qu’une question de temps avant que les vingt-sept États membres ne disposent d’un tel mécanisme et, partant, concourent directement à l’objectif commun de sécurité. L’augmentation du nombre d’États membres disposant d’un mécanisme national de filtrage des IDE devrait conduire à une intensification de la coopération au titre du règlement sur le filtrage des IDE. Cependant, l’environnement économique étant incertain, le nombre et la nature des notifications futures sont difficiles à prévoir.</w:t>
      </w:r>
    </w:p>
    <w:p w14:paraId="157E8024" w14:textId="5FEF6979" w:rsidR="004C3DB9" w:rsidRPr="00624FA0" w:rsidRDefault="00624FA0" w:rsidP="00632260">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En ce qui concerne les </w:t>
      </w:r>
      <w:r>
        <w:rPr>
          <w:rFonts w:ascii="Times New Roman" w:hAnsi="Times New Roman"/>
          <w:b/>
          <w:noProof/>
          <w:sz w:val="24"/>
        </w:rPr>
        <w:t>perspectives d’évolution future</w:t>
      </w:r>
      <w:r>
        <w:rPr>
          <w:rFonts w:ascii="Times New Roman" w:hAnsi="Times New Roman"/>
          <w:noProof/>
          <w:sz w:val="24"/>
        </w:rPr>
        <w:t xml:space="preserve">, la Commission européenne a lancé en </w:t>
      </w:r>
      <w:r w:rsidRPr="00C316A8">
        <w:rPr>
          <w:rFonts w:ascii="Times New Roman" w:hAnsi="Times New Roman"/>
          <w:noProof/>
          <w:sz w:val="24"/>
        </w:rPr>
        <w:t>2021</w:t>
      </w:r>
      <w:r>
        <w:rPr>
          <w:rFonts w:ascii="Times New Roman" w:hAnsi="Times New Roman"/>
          <w:noProof/>
          <w:sz w:val="24"/>
        </w:rPr>
        <w:t xml:space="preserve"> une </w:t>
      </w:r>
      <w:r>
        <w:rPr>
          <w:rFonts w:ascii="Times New Roman" w:hAnsi="Times New Roman"/>
          <w:b/>
          <w:noProof/>
          <w:sz w:val="24"/>
        </w:rPr>
        <w:t>étude sur le mécanisme de coopération en matière d’IDE</w:t>
      </w:r>
      <w:r>
        <w:rPr>
          <w:rFonts w:ascii="Times New Roman" w:hAnsi="Times New Roman"/>
          <w:noProof/>
          <w:sz w:val="24"/>
        </w:rPr>
        <w:t>. Son objectif est d’évaluer l’articulation entre les filtrages effectués par les autorités nationales et la Commission européenne et de déceler tout problème significatif d’efficience ou d’efficacité à la lumière des objectifs stratégiques du règlement sur le filtrage des IDE</w:t>
      </w:r>
      <w:r>
        <w:rPr>
          <w:rStyle w:val="FootnoteReference"/>
          <w:rFonts w:ascii="Times New Roman" w:hAnsi="Times New Roman" w:cs="Times New Roman"/>
          <w:noProof/>
          <w:sz w:val="24"/>
          <w:szCs w:val="24"/>
          <w:lang w:val="en-US"/>
        </w:rPr>
        <w:footnoteReference w:id="40"/>
      </w:r>
      <w:r>
        <w:rPr>
          <w:rFonts w:ascii="Times New Roman" w:hAnsi="Times New Roman"/>
          <w:noProof/>
          <w:sz w:val="24"/>
        </w:rPr>
        <w:t xml:space="preserve">. L’étude nourrira la réflexion de la Commission sur la nécessité éventuelle d’une révision du règlement sur le filtrage des IDE en </w:t>
      </w:r>
      <w:r w:rsidRPr="00C316A8">
        <w:rPr>
          <w:rFonts w:ascii="Times New Roman" w:hAnsi="Times New Roman"/>
          <w:noProof/>
          <w:sz w:val="24"/>
        </w:rPr>
        <w:t>2023</w:t>
      </w:r>
      <w:r>
        <w:rPr>
          <w:rFonts w:ascii="Times New Roman" w:hAnsi="Times New Roman"/>
          <w:noProof/>
          <w:sz w:val="24"/>
        </w:rPr>
        <w:t xml:space="preserve">. L’étude doit être achevée à l’été </w:t>
      </w:r>
      <w:r w:rsidRPr="00C316A8">
        <w:rPr>
          <w:rFonts w:ascii="Times New Roman" w:hAnsi="Times New Roman"/>
          <w:noProof/>
          <w:sz w:val="24"/>
        </w:rPr>
        <w:t>2022</w:t>
      </w:r>
      <w:r>
        <w:rPr>
          <w:rFonts w:ascii="Times New Roman" w:hAnsi="Times New Roman"/>
          <w:noProof/>
          <w:sz w:val="24"/>
        </w:rPr>
        <w:t>.</w:t>
      </w:r>
    </w:p>
    <w:sectPr w:rsidR="004C3DB9" w:rsidRPr="00624FA0" w:rsidSect="00AA30CE">
      <w:headerReference w:type="even" r:id="rId37"/>
      <w:headerReference w:type="default" r:id="rId38"/>
      <w:footerReference w:type="even" r:id="rId39"/>
      <w:footerReference w:type="default" r:id="rId40"/>
      <w:headerReference w:type="first" r:id="rId41"/>
      <w:footerReference w:type="first" r:id="rId42"/>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619B0" w16cex:dateUtc="2022-05-23T12:33:00Z"/>
  <w16cex:commentExtensible w16cex:durableId="263642EB" w16cex:dateUtc="2022-05-23T15:29:00Z"/>
  <w16cex:commentExtensible w16cex:durableId="26365E9D" w16cex:dateUtc="2022-05-23T17:27:00Z"/>
  <w16cex:commentExtensible w16cex:durableId="26366066" w16cex:dateUtc="2022-05-23T17:35:00Z"/>
  <w16cex:commentExtensible w16cex:durableId="263660EC" w16cex:dateUtc="2022-05-23T17:37:00Z"/>
  <w16cex:commentExtensible w16cex:durableId="2636614E" w16cex:dateUtc="2022-05-23T17:38:00Z"/>
  <w16cex:commentExtensible w16cex:durableId="263661A0" w16cex:dateUtc="2022-05-23T17:40:00Z"/>
  <w16cex:commentExtensible w16cex:durableId="263661C4" w16cex:dateUtc="2022-05-23T17:40:00Z"/>
  <w16cex:commentExtensible w16cex:durableId="26366236" w16cex:dateUtc="2022-05-23T17:42:00Z"/>
  <w16cex:commentExtensible w16cex:durableId="26366318" w16cex:dateUtc="2022-05-23T17:46:00Z"/>
  <w16cex:commentExtensible w16cex:durableId="26366403" w16cex:dateUtc="2022-05-23T17:50:00Z"/>
  <w16cex:commentExtensible w16cex:durableId="26366466" w16cex:dateUtc="2022-05-23T17:52:00Z"/>
  <w16cex:commentExtensible w16cex:durableId="263664A9" w16cex:dateUtc="2022-05-23T17:53:00Z"/>
  <w16cex:commentExtensible w16cex:durableId="26366548" w16cex:dateUtc="2022-05-23T17:55:00Z"/>
  <w16cex:commentExtensible w16cex:durableId="26366584" w16cex:dateUtc="2022-05-23T17:56:00Z"/>
  <w16cex:commentExtensible w16cex:durableId="26366702" w16cex:dateUtc="2022-05-23T1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B7B9B6" w16cid:durableId="263619B0"/>
  <w16cid:commentId w16cid:paraId="16965EF4" w16cid:durableId="263642EB"/>
  <w16cid:commentId w16cid:paraId="405DF93F" w16cid:durableId="26365E9D"/>
  <w16cid:commentId w16cid:paraId="1E0B7A9E" w16cid:durableId="26366066"/>
  <w16cid:commentId w16cid:paraId="3078668B" w16cid:durableId="263660EC"/>
  <w16cid:commentId w16cid:paraId="7F75E554" w16cid:durableId="2636614E"/>
  <w16cid:commentId w16cid:paraId="22911711" w16cid:durableId="263661A0"/>
  <w16cid:commentId w16cid:paraId="31AB2450" w16cid:durableId="263661C4"/>
  <w16cid:commentId w16cid:paraId="264A3A96" w16cid:durableId="26366236"/>
  <w16cid:commentId w16cid:paraId="5E0B90D8" w16cid:durableId="26366318"/>
  <w16cid:commentId w16cid:paraId="43E9CDB5" w16cid:durableId="26366403"/>
  <w16cid:commentId w16cid:paraId="236A447F" w16cid:durableId="26366466"/>
  <w16cid:commentId w16cid:paraId="2095F805" w16cid:durableId="263664A9"/>
  <w16cid:commentId w16cid:paraId="7C7A6BBB" w16cid:durableId="26366548"/>
  <w16cid:commentId w16cid:paraId="3C792FE8" w16cid:durableId="26366584"/>
  <w16cid:commentId w16cid:paraId="3223E131" w16cid:durableId="263667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C504F" w14:textId="77777777" w:rsidR="00136119" w:rsidRDefault="00136119">
      <w:pPr>
        <w:spacing w:after="0" w:line="240" w:lineRule="auto"/>
      </w:pPr>
      <w:r>
        <w:separator/>
      </w:r>
    </w:p>
  </w:endnote>
  <w:endnote w:type="continuationSeparator" w:id="0">
    <w:p w14:paraId="5579A89A" w14:textId="77777777" w:rsidR="00136119" w:rsidRDefault="00136119">
      <w:pPr>
        <w:spacing w:after="0" w:line="240" w:lineRule="auto"/>
      </w:pPr>
      <w:r>
        <w:continuationSeparator/>
      </w:r>
    </w:p>
  </w:endnote>
  <w:endnote w:type="continuationNotice" w:id="1">
    <w:p w14:paraId="10FE9CB0" w14:textId="77777777" w:rsidR="00136119" w:rsidRDefault="001361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F Square Sans Pro">
    <w:altName w:val="Arial"/>
    <w:charset w:val="00"/>
    <w:family w:val="modern"/>
    <w:pitch w:val="default"/>
    <w:sig w:usb0="00000000" w:usb1="00000000"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S ??">
    <w:altName w:val="MS Gothic"/>
    <w:charset w:val="80"/>
    <w:family w:val="auto"/>
    <w:pitch w:val="default"/>
    <w:sig w:usb0="00000000" w:usb1="00000000" w:usb2="00000010" w:usb3="00000000" w:csb0="00020000" w:csb1="00000000"/>
  </w:font>
  <w:font w:name="Liberation Serif">
    <w:altName w:val="Times New Roman"/>
    <w:charset w:val="01"/>
    <w:family w:val="roman"/>
    <w:pitch w:val="default"/>
    <w:sig w:usb0="E0000AFF" w:usb1="500078FF" w:usb2="00000021" w:usb3="00000000" w:csb0="600001BF" w:csb1="DFF70000"/>
  </w:font>
  <w:font w:name="Noto Serif CJK SC">
    <w:charset w:val="86"/>
    <w:family w:val="roman"/>
    <w:pitch w:val="default"/>
    <w:sig w:usb0="30000083" w:usb1="2BDF3C10" w:usb2="00000016" w:usb3="00000000" w:csb0="602E0107" w:csb1="00000000"/>
  </w:font>
  <w:font w:name="Lohit Devanagari">
    <w:altName w:val="Times New Roman"/>
    <w:charset w:val="00"/>
    <w:family w:val="roman"/>
    <w:pitch w:val="default"/>
    <w:sig w:usb0="80008023" w:usb1="00002042" w:usb2="00000000" w:usb3="00000000" w:csb0="00000001" w:csb1="00000000"/>
  </w:font>
  <w:font w:name="EC Square Sans Pro">
    <w:charset w:val="00"/>
    <w:family w:val="swiss"/>
    <w:pitch w:val="variable"/>
    <w:sig w:usb0="A00002BF" w:usb1="5000E0F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879F2" w14:textId="77777777" w:rsidR="00E67286" w:rsidRPr="00E67286" w:rsidRDefault="00E67286" w:rsidP="00E672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8C20F" w14:textId="536B5BD0" w:rsidR="00E95A48" w:rsidRPr="00E67286" w:rsidRDefault="00E67286" w:rsidP="00E67286">
    <w:pPr>
      <w:pStyle w:val="FooterCoverPage"/>
      <w:rPr>
        <w:rFonts w:ascii="Arial" w:hAnsi="Arial" w:cs="Arial"/>
        <w:b/>
        <w:sz w:val="48"/>
      </w:rPr>
    </w:pPr>
    <w:r w:rsidRPr="00E67286">
      <w:rPr>
        <w:rFonts w:ascii="Arial" w:hAnsi="Arial" w:cs="Arial"/>
        <w:b/>
        <w:sz w:val="48"/>
      </w:rPr>
      <w:t>FR</w:t>
    </w:r>
    <w:r w:rsidRPr="00E67286">
      <w:rPr>
        <w:rFonts w:ascii="Arial" w:hAnsi="Arial" w:cs="Arial"/>
        <w:b/>
        <w:sz w:val="48"/>
      </w:rPr>
      <w:tab/>
    </w:r>
    <w:r w:rsidRPr="00E67286">
      <w:rPr>
        <w:rFonts w:ascii="Arial" w:hAnsi="Arial" w:cs="Arial"/>
        <w:b/>
        <w:sz w:val="48"/>
      </w:rPr>
      <w:tab/>
    </w:r>
    <w:r w:rsidRPr="00E67286">
      <w:tab/>
    </w:r>
    <w:r w:rsidRPr="00E67286">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C0D06" w14:textId="77777777" w:rsidR="00E67286" w:rsidRPr="00E67286" w:rsidRDefault="00E67286" w:rsidP="00E67286">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24535" w14:textId="77777777" w:rsidR="00E95A48" w:rsidRDefault="00E95A4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2279420"/>
      <w:docPartObj>
        <w:docPartGallery w:val="Page Numbers (Bottom of Page)"/>
        <w:docPartUnique/>
      </w:docPartObj>
    </w:sdtPr>
    <w:sdtEndPr>
      <w:rPr>
        <w:noProof/>
      </w:rPr>
    </w:sdtEndPr>
    <w:sdtContent>
      <w:sdt>
        <w:sdtPr>
          <w:id w:val="-1949154673"/>
        </w:sdtPr>
        <w:sdtEndPr/>
        <w:sdtContent>
          <w:p w14:paraId="223629FB" w14:textId="66D3599B" w:rsidR="00E95A48" w:rsidRDefault="00E95A48">
            <w:pPr>
              <w:pStyle w:val="Footer"/>
              <w:jc w:val="right"/>
            </w:pPr>
            <w:r>
              <w:fldChar w:fldCharType="begin"/>
            </w:r>
            <w:r>
              <w:instrText xml:space="preserve"> PAGE   \* MERGEFORMAT </w:instrText>
            </w:r>
            <w:r>
              <w:fldChar w:fldCharType="separate"/>
            </w:r>
            <w:r w:rsidR="00E67286">
              <w:rPr>
                <w:noProof/>
              </w:rPr>
              <w:t>25</w:t>
            </w:r>
            <w:r>
              <w:fldChar w:fldCharType="end"/>
            </w:r>
          </w:p>
        </w:sdtContent>
      </w:sdt>
      <w:p w14:paraId="12F53DFB" w14:textId="77777777" w:rsidR="00E95A48" w:rsidRDefault="00E67286">
        <w:pPr>
          <w:pStyle w:val="Footer"/>
        </w:pP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1617704"/>
      <w:docPartObj>
        <w:docPartGallery w:val="Page Numbers (Bottom of Page)"/>
        <w:docPartUnique/>
      </w:docPartObj>
    </w:sdtPr>
    <w:sdtEndPr>
      <w:rPr>
        <w:noProof/>
      </w:rPr>
    </w:sdtEndPr>
    <w:sdtContent>
      <w:p w14:paraId="04797EA2" w14:textId="0CE28C72" w:rsidR="00E95A48" w:rsidRDefault="00E95A48">
        <w:pPr>
          <w:pStyle w:val="Footer"/>
          <w:jc w:val="right"/>
        </w:pPr>
        <w:r>
          <w:fldChar w:fldCharType="begin"/>
        </w:r>
        <w:r>
          <w:instrText xml:space="preserve"> PAGE   \* MERGEFORMAT </w:instrText>
        </w:r>
        <w:r>
          <w:fldChar w:fldCharType="separate"/>
        </w:r>
        <w:r w:rsidR="00E67286">
          <w:rPr>
            <w:noProof/>
          </w:rPr>
          <w:t>1</w:t>
        </w:r>
        <w:r>
          <w:fldChar w:fldCharType="end"/>
        </w:r>
      </w:p>
    </w:sdtContent>
  </w:sdt>
  <w:p w14:paraId="43FBC114" w14:textId="77777777" w:rsidR="00E95A48" w:rsidRDefault="00E95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9B0BA" w14:textId="77777777" w:rsidR="00136119" w:rsidRDefault="00136119">
      <w:pPr>
        <w:spacing w:after="0" w:line="240" w:lineRule="auto"/>
      </w:pPr>
      <w:r>
        <w:separator/>
      </w:r>
    </w:p>
  </w:footnote>
  <w:footnote w:type="continuationSeparator" w:id="0">
    <w:p w14:paraId="474684EC" w14:textId="77777777" w:rsidR="00136119" w:rsidRDefault="00136119">
      <w:pPr>
        <w:spacing w:after="0" w:line="240" w:lineRule="auto"/>
      </w:pPr>
      <w:r>
        <w:continuationSeparator/>
      </w:r>
    </w:p>
  </w:footnote>
  <w:footnote w:type="continuationNotice" w:id="1">
    <w:p w14:paraId="25CAB644" w14:textId="77777777" w:rsidR="00136119" w:rsidRDefault="00136119">
      <w:pPr>
        <w:spacing w:after="0" w:line="240" w:lineRule="auto"/>
      </w:pPr>
    </w:p>
  </w:footnote>
  <w:footnote w:id="2">
    <w:p w14:paraId="6E90BF44" w14:textId="2F2B1B7E" w:rsidR="00E95A48" w:rsidRPr="00867219" w:rsidRDefault="00E95A48" w:rsidP="00867219">
      <w:pPr>
        <w:pStyle w:val="FootnoteText"/>
        <w:ind w:left="426" w:hanging="426"/>
        <w:rPr>
          <w:rStyle w:val="FootnoteReference"/>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Le premier rapport annuel couvrait une période plus courte, comprise entre le </w:t>
      </w:r>
      <w:r w:rsidRPr="00C316A8">
        <w:rPr>
          <w:rFonts w:ascii="Times New Roman" w:hAnsi="Times New Roman"/>
        </w:rPr>
        <w:t>11</w:t>
      </w:r>
      <w:r>
        <w:rPr>
          <w:rFonts w:ascii="Times New Roman" w:hAnsi="Times New Roman"/>
        </w:rPr>
        <w:t xml:space="preserve"> octobre </w:t>
      </w:r>
      <w:r w:rsidRPr="00C316A8">
        <w:rPr>
          <w:rFonts w:ascii="Times New Roman" w:hAnsi="Times New Roman"/>
        </w:rPr>
        <w:t>2020</w:t>
      </w:r>
      <w:r>
        <w:rPr>
          <w:rFonts w:ascii="Times New Roman" w:hAnsi="Times New Roman"/>
        </w:rPr>
        <w:t xml:space="preserve"> et le </w:t>
      </w:r>
      <w:r w:rsidRPr="00C316A8">
        <w:rPr>
          <w:rFonts w:ascii="Times New Roman" w:hAnsi="Times New Roman"/>
        </w:rPr>
        <w:t>30</w:t>
      </w:r>
      <w:r>
        <w:rPr>
          <w:rFonts w:ascii="Times New Roman" w:hAnsi="Times New Roman"/>
        </w:rPr>
        <w:t xml:space="preserve"> juin </w:t>
      </w:r>
      <w:r w:rsidRPr="00C316A8">
        <w:rPr>
          <w:rFonts w:ascii="Times New Roman" w:hAnsi="Times New Roman"/>
        </w:rPr>
        <w:t>2021</w:t>
      </w:r>
      <w:r>
        <w:rPr>
          <w:rFonts w:ascii="Times New Roman" w:hAnsi="Times New Roman"/>
        </w:rPr>
        <w:t xml:space="preserve">. Il existe donc un chevauchement avec le présent rapport, qui couvre également la période allant du </w:t>
      </w:r>
      <w:r w:rsidRPr="00C316A8">
        <w:rPr>
          <w:rFonts w:ascii="Times New Roman" w:hAnsi="Times New Roman"/>
        </w:rPr>
        <w:t>1</w:t>
      </w:r>
      <w:r>
        <w:rPr>
          <w:rFonts w:ascii="Times New Roman" w:hAnsi="Times New Roman"/>
          <w:vertAlign w:val="superscript"/>
        </w:rPr>
        <w:t>er</w:t>
      </w:r>
      <w:r>
        <w:rPr>
          <w:rFonts w:ascii="Times New Roman" w:hAnsi="Times New Roman"/>
        </w:rPr>
        <w:t xml:space="preserve"> au </w:t>
      </w:r>
      <w:r w:rsidRPr="00C316A8">
        <w:rPr>
          <w:rFonts w:ascii="Times New Roman" w:hAnsi="Times New Roman"/>
        </w:rPr>
        <w:t>30</w:t>
      </w:r>
      <w:r>
        <w:rPr>
          <w:rFonts w:ascii="Times New Roman" w:hAnsi="Times New Roman"/>
        </w:rPr>
        <w:t> juin.</w:t>
      </w:r>
    </w:p>
  </w:footnote>
  <w:footnote w:id="3">
    <w:p w14:paraId="420688F7" w14:textId="77777777" w:rsidR="00E95A48" w:rsidRPr="008E32B0" w:rsidRDefault="00E95A48" w:rsidP="008E32B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OCDE, </w:t>
      </w:r>
      <w:r>
        <w:t>«</w:t>
      </w:r>
      <w:hyperlink r:id="rId1" w:history="1">
        <w:r>
          <w:rPr>
            <w:rStyle w:val="Hyperlink"/>
            <w:rFonts w:ascii="Times New Roman" w:hAnsi="Times New Roman"/>
          </w:rPr>
          <w:t>FDI IN FIGURES</w:t>
        </w:r>
      </w:hyperlink>
      <w:r>
        <w:t>»</w:t>
      </w:r>
      <w:r>
        <w:rPr>
          <w:rFonts w:ascii="Times New Roman" w:hAnsi="Times New Roman"/>
        </w:rPr>
        <w:t xml:space="preserve">, avril </w:t>
      </w:r>
      <w:r w:rsidRPr="00C316A8">
        <w:rPr>
          <w:rFonts w:ascii="Times New Roman" w:hAnsi="Times New Roman"/>
        </w:rPr>
        <w:t>2022</w:t>
      </w:r>
      <w:r>
        <w:rPr>
          <w:rFonts w:ascii="Times New Roman" w:hAnsi="Times New Roman"/>
        </w:rPr>
        <w:t>.</w:t>
      </w:r>
    </w:p>
  </w:footnote>
  <w:footnote w:id="4">
    <w:p w14:paraId="0FC14FEA" w14:textId="77777777" w:rsidR="00E95A48" w:rsidRPr="00276736" w:rsidRDefault="00E95A48" w:rsidP="00BF1910">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sidRPr="00276736">
        <w:rPr>
          <w:rFonts w:ascii="Times New Roman" w:hAnsi="Times New Roman"/>
          <w:lang w:val="en-IE"/>
        </w:rPr>
        <w:t xml:space="preserve"> Pitchbook, </w:t>
      </w:r>
      <w:r w:rsidRPr="00276736">
        <w:rPr>
          <w:lang w:val="en-IE"/>
        </w:rPr>
        <w:t>«</w:t>
      </w:r>
      <w:hyperlink r:id="rId2" w:history="1">
        <w:r w:rsidRPr="00276736">
          <w:rPr>
            <w:rStyle w:val="Hyperlink"/>
            <w:rFonts w:ascii="Times New Roman" w:hAnsi="Times New Roman"/>
            <w:lang w:val="en-IE"/>
          </w:rPr>
          <w:t>Global M&amp;A report</w:t>
        </w:r>
      </w:hyperlink>
      <w:r w:rsidRPr="00276736">
        <w:rPr>
          <w:lang w:val="en-IE"/>
        </w:rPr>
        <w:t>»</w:t>
      </w:r>
      <w:r w:rsidRPr="00276736">
        <w:rPr>
          <w:rFonts w:ascii="Times New Roman" w:hAnsi="Times New Roman"/>
          <w:lang w:val="en-IE"/>
        </w:rPr>
        <w:t xml:space="preserve">, </w:t>
      </w:r>
      <w:r w:rsidRPr="00C316A8">
        <w:rPr>
          <w:rFonts w:ascii="Times New Roman" w:hAnsi="Times New Roman"/>
          <w:lang w:val="en-IE"/>
        </w:rPr>
        <w:t>2021</w:t>
      </w:r>
      <w:r w:rsidRPr="00276736">
        <w:rPr>
          <w:rFonts w:ascii="Times New Roman" w:hAnsi="Times New Roman"/>
          <w:lang w:val="en-IE"/>
        </w:rPr>
        <w:t>.</w:t>
      </w:r>
    </w:p>
  </w:footnote>
  <w:footnote w:id="5">
    <w:p w14:paraId="062371DE" w14:textId="366DE865" w:rsidR="00E95A48" w:rsidRDefault="00E95A48" w:rsidP="004641D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GLOSSAIRE: Nous employons le terme «investisseur étranger» pour désigner les entités (sociétés ou personnes) non-UE qui acquièrent des participations ou lancent des projets d’investissement de création («investissements de création» ou «IC») dans l’UE. Les termes «étranger» et «non-UE» sont interchangeables. Dans l’ensemble du texte, le terme «acquisitions» désigne les acquisitions de participations au capital d’entreprises de l’UE, qu’il s’agisse de «F&amp;A» ou de participations inférieures à </w:t>
      </w:r>
      <w:r w:rsidRPr="00C316A8">
        <w:rPr>
          <w:rFonts w:ascii="Times New Roman" w:hAnsi="Times New Roman"/>
        </w:rPr>
        <w:t>50</w:t>
      </w:r>
      <w:r>
        <w:rPr>
          <w:rFonts w:ascii="Times New Roman" w:hAnsi="Times New Roman"/>
        </w:rPr>
        <w:t xml:space="preserve"> % mais supérieures à </w:t>
      </w:r>
      <w:r w:rsidRPr="00C316A8">
        <w:rPr>
          <w:rFonts w:ascii="Times New Roman" w:hAnsi="Times New Roman"/>
        </w:rPr>
        <w:t>10</w:t>
      </w:r>
      <w:r>
        <w:rPr>
          <w:rFonts w:ascii="Times New Roman" w:hAnsi="Times New Roman"/>
        </w:rPr>
        <w:t xml:space="preserve"> % du capital, et le terme «transactions» se rapporte à la somme des acquisitions et des investissements de création. Les «transactions étrangères» désignent les opérations dans lesquelles l’investisseur a un propriétaire ultime en dehors de l’UE. Le propriétaire ultime est une entité détenant, directement ou indirectement, au moins </w:t>
      </w:r>
      <w:r w:rsidRPr="00C316A8">
        <w:rPr>
          <w:rFonts w:ascii="Times New Roman" w:hAnsi="Times New Roman"/>
        </w:rPr>
        <w:t>50</w:t>
      </w:r>
      <w:r>
        <w:rPr>
          <w:rFonts w:ascii="Times New Roman" w:hAnsi="Times New Roman"/>
        </w:rPr>
        <w:t>,</w:t>
      </w:r>
      <w:r w:rsidRPr="00C316A8">
        <w:rPr>
          <w:rFonts w:ascii="Times New Roman" w:hAnsi="Times New Roman"/>
        </w:rPr>
        <w:t>01</w:t>
      </w:r>
      <w:r>
        <w:rPr>
          <w:rFonts w:ascii="Times New Roman" w:hAnsi="Times New Roman"/>
        </w:rPr>
        <w:t> % des actions de l’investisseur direct.</w:t>
      </w:r>
    </w:p>
  </w:footnote>
  <w:footnote w:id="6">
    <w:p w14:paraId="18D40B6C" w14:textId="77777777" w:rsidR="00E95A48" w:rsidRDefault="00E95A48" w:rsidP="004641D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Voir l’analyse des investissements chinois, </w:t>
      </w:r>
      <w:hyperlink r:id="rId3" w:history="1">
        <w:r>
          <w:rPr>
            <w:rStyle w:val="Hyperlink"/>
            <w:rFonts w:ascii="Times New Roman" w:hAnsi="Times New Roman"/>
          </w:rPr>
          <w:t>Rhodium</w:t>
        </w:r>
      </w:hyperlink>
      <w:r>
        <w:rPr>
          <w:rFonts w:ascii="Times New Roman" w:hAnsi="Times New Roman"/>
        </w:rPr>
        <w:t xml:space="preserve">, </w:t>
      </w:r>
      <w:r w:rsidRPr="00C316A8">
        <w:rPr>
          <w:rFonts w:ascii="Times New Roman" w:hAnsi="Times New Roman"/>
        </w:rPr>
        <w:t>2022</w:t>
      </w:r>
      <w:r>
        <w:rPr>
          <w:rFonts w:ascii="Times New Roman" w:hAnsi="Times New Roman"/>
        </w:rPr>
        <w:t>.</w:t>
      </w:r>
    </w:p>
  </w:footnote>
  <w:footnote w:id="7">
    <w:p w14:paraId="19C6E370" w14:textId="77777777" w:rsidR="00E95A48" w:rsidRDefault="00E95A48" w:rsidP="004641DD">
      <w:pPr>
        <w:pStyle w:val="FootnoteText"/>
      </w:pPr>
      <w:r>
        <w:rPr>
          <w:rStyle w:val="FootnoteReference"/>
          <w:rFonts w:ascii="Times New Roman" w:hAnsi="Times New Roman" w:cs="Times New Roman"/>
        </w:rPr>
        <w:footnoteRef/>
      </w:r>
      <w:r>
        <w:t xml:space="preserve"> </w:t>
      </w:r>
      <w:r>
        <w:rPr>
          <w:rFonts w:ascii="Times New Roman" w:hAnsi="Times New Roman"/>
        </w:rPr>
        <w:t>C’est le cas, par exemple, des États-Unis, des centres offshore, du Canada et de la Norvège.</w:t>
      </w:r>
    </w:p>
  </w:footnote>
  <w:footnote w:id="8">
    <w:p w14:paraId="7E0FF1D0" w14:textId="46EA2656" w:rsidR="00E95A48" w:rsidRDefault="00E95A48" w:rsidP="00B8726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Les principaux centres offshore par nombre de F&amp;A ou d’investissements de création sont (par ordre alphabétique): les Bermudes, les îles Anglo-Normandes du Royaume-Uni, les Îles Caïmans, les Îles Vierges britanniques et Maurice. Pour la liste complète des centres financiers offshore, voir, par exemple, le document de travail des services de la Commission — Following up on the Commission Communication «Welcoming Foreign Direct Investment while Protecting Essential Interests» — SWD(</w:t>
      </w:r>
      <w:r w:rsidRPr="00C316A8">
        <w:rPr>
          <w:rFonts w:ascii="Times New Roman" w:hAnsi="Times New Roman"/>
        </w:rPr>
        <w:t>2019</w:t>
      </w:r>
      <w:r>
        <w:rPr>
          <w:rFonts w:ascii="Times New Roman" w:hAnsi="Times New Roman"/>
        </w:rPr>
        <w:t>) </w:t>
      </w:r>
      <w:r w:rsidRPr="00C316A8">
        <w:rPr>
          <w:rFonts w:ascii="Times New Roman" w:hAnsi="Times New Roman"/>
        </w:rPr>
        <w:t>108</w:t>
      </w:r>
      <w:r>
        <w:rPr>
          <w:rFonts w:ascii="Times New Roman" w:hAnsi="Times New Roman"/>
        </w:rPr>
        <w:t xml:space="preserve"> final — </w:t>
      </w:r>
      <w:r w:rsidRPr="00C316A8">
        <w:rPr>
          <w:rFonts w:ascii="Times New Roman" w:hAnsi="Times New Roman"/>
        </w:rPr>
        <w:t>13</w:t>
      </w:r>
      <w:r>
        <w:rPr>
          <w:rFonts w:ascii="Times New Roman" w:hAnsi="Times New Roman"/>
        </w:rPr>
        <w:t xml:space="preserve"> mars </w:t>
      </w:r>
      <w:r w:rsidRPr="00C316A8">
        <w:rPr>
          <w:rFonts w:ascii="Times New Roman" w:hAnsi="Times New Roman"/>
        </w:rPr>
        <w:t>2019</w:t>
      </w:r>
      <w:r>
        <w:rPr>
          <w:rFonts w:ascii="Times New Roman" w:hAnsi="Times New Roman"/>
        </w:rPr>
        <w:t>.</w:t>
      </w:r>
    </w:p>
  </w:footnote>
  <w:footnote w:id="9">
    <w:p w14:paraId="44BCA642" w14:textId="77777777" w:rsidR="00E95A48" w:rsidRPr="0025141E" w:rsidRDefault="00E95A48" w:rsidP="00B87265">
      <w:pPr>
        <w:pStyle w:val="FootnoteText"/>
        <w:jc w:val="both"/>
      </w:pPr>
      <w:r>
        <w:rPr>
          <w:rStyle w:val="FootnoteReference"/>
        </w:rPr>
        <w:footnoteRef/>
      </w:r>
      <w:r>
        <w:rPr>
          <w:rFonts w:ascii="Times New Roman" w:hAnsi="Times New Roman"/>
        </w:rPr>
        <w:t xml:space="preserve"> Pour de plus amples informations, voir le document de travail des services de la Commission «Russian shareholding in Europe (EU</w:t>
      </w:r>
      <w:r w:rsidRPr="00C316A8">
        <w:rPr>
          <w:rFonts w:ascii="Times New Roman" w:hAnsi="Times New Roman"/>
        </w:rPr>
        <w:t>27</w:t>
      </w:r>
      <w:r>
        <w:rPr>
          <w:rFonts w:ascii="Times New Roman" w:hAnsi="Times New Roman"/>
        </w:rPr>
        <w:t>)» qui accompagne le présent rapport.</w:t>
      </w:r>
    </w:p>
  </w:footnote>
  <w:footnote w:id="10">
    <w:p w14:paraId="144308D2" w14:textId="77777777" w:rsidR="00E95A48" w:rsidRDefault="00E95A48" w:rsidP="004641D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Voir la note de bas de page </w:t>
      </w:r>
      <w:r w:rsidRPr="00C316A8">
        <w:rPr>
          <w:rFonts w:ascii="Times New Roman" w:hAnsi="Times New Roman"/>
        </w:rPr>
        <w:t>7</w:t>
      </w:r>
      <w:r>
        <w:rPr>
          <w:rFonts w:ascii="Times New Roman" w:hAnsi="Times New Roman"/>
        </w:rPr>
        <w:t>.</w:t>
      </w:r>
    </w:p>
  </w:footnote>
  <w:footnote w:id="11">
    <w:p w14:paraId="6AB627C5" w14:textId="77777777" w:rsidR="00E95A48" w:rsidRPr="00E77956" w:rsidRDefault="00E95A48" w:rsidP="0025141E">
      <w:pPr>
        <w:pStyle w:val="FootnoteText"/>
        <w:jc w:val="both"/>
      </w:pPr>
      <w:r>
        <w:rPr>
          <w:rStyle w:val="FootnoteReference"/>
        </w:rPr>
        <w:footnoteRef/>
      </w:r>
      <w:r>
        <w:t xml:space="preserve"> </w:t>
      </w:r>
      <w:r>
        <w:rPr>
          <w:rFonts w:ascii="Times New Roman" w:hAnsi="Times New Roman"/>
        </w:rPr>
        <w:t xml:space="preserve">La Hongrie, la Tchéquie et la Grèce ont été les principaux bénéficiaires du rebond des investissements de création dans le «reste de l’UE». La Hongrie a accueilli </w:t>
      </w:r>
      <w:r w:rsidRPr="00C316A8">
        <w:rPr>
          <w:rFonts w:ascii="Times New Roman" w:hAnsi="Times New Roman"/>
        </w:rPr>
        <w:t>2</w:t>
      </w:r>
      <w:r>
        <w:rPr>
          <w:rFonts w:ascii="Times New Roman" w:hAnsi="Times New Roman"/>
        </w:rPr>
        <w:t>,</w:t>
      </w:r>
      <w:r w:rsidRPr="00C316A8">
        <w:rPr>
          <w:rFonts w:ascii="Times New Roman" w:hAnsi="Times New Roman"/>
        </w:rPr>
        <w:t>4</w:t>
      </w:r>
      <w:r>
        <w:rPr>
          <w:rFonts w:ascii="Times New Roman" w:hAnsi="Times New Roman"/>
        </w:rPr>
        <w:t xml:space="preserve"> % de l’ensemble des investissements de création étrangers dans l’UE en </w:t>
      </w:r>
      <w:r w:rsidRPr="00C316A8">
        <w:rPr>
          <w:rFonts w:ascii="Times New Roman" w:hAnsi="Times New Roman"/>
        </w:rPr>
        <w:t>2021</w:t>
      </w:r>
      <w:r>
        <w:rPr>
          <w:rFonts w:ascii="Times New Roman" w:hAnsi="Times New Roman"/>
        </w:rPr>
        <w:t xml:space="preserve">, ce qui correspondait à une augmentation de </w:t>
      </w:r>
      <w:r w:rsidRPr="00C316A8">
        <w:rPr>
          <w:rFonts w:ascii="Times New Roman" w:hAnsi="Times New Roman"/>
        </w:rPr>
        <w:t>38</w:t>
      </w:r>
      <w:r>
        <w:rPr>
          <w:rFonts w:ascii="Times New Roman" w:hAnsi="Times New Roman"/>
        </w:rPr>
        <w:t xml:space="preserve"> % par rapport à </w:t>
      </w:r>
      <w:r w:rsidRPr="00C316A8">
        <w:rPr>
          <w:rFonts w:ascii="Times New Roman" w:hAnsi="Times New Roman"/>
        </w:rPr>
        <w:t>2020</w:t>
      </w:r>
      <w:r>
        <w:rPr>
          <w:rFonts w:ascii="Times New Roman" w:hAnsi="Times New Roman"/>
        </w:rPr>
        <w:t xml:space="preserve">. En attirant </w:t>
      </w:r>
      <w:r w:rsidRPr="00C316A8">
        <w:rPr>
          <w:rFonts w:ascii="Times New Roman" w:hAnsi="Times New Roman"/>
        </w:rPr>
        <w:t>1</w:t>
      </w:r>
      <w:r>
        <w:rPr>
          <w:rFonts w:ascii="Times New Roman" w:hAnsi="Times New Roman"/>
        </w:rPr>
        <w:t>,</w:t>
      </w:r>
      <w:r w:rsidRPr="00C316A8">
        <w:rPr>
          <w:rFonts w:ascii="Times New Roman" w:hAnsi="Times New Roman"/>
        </w:rPr>
        <w:t>5</w:t>
      </w:r>
      <w:r>
        <w:rPr>
          <w:rFonts w:ascii="Times New Roman" w:hAnsi="Times New Roman"/>
        </w:rPr>
        <w:t> % de l’ensemble des investissements de création étrangers, la Tchéquie a enregistré une augmentation de </w:t>
      </w:r>
      <w:r w:rsidRPr="00C316A8">
        <w:rPr>
          <w:rFonts w:ascii="Times New Roman" w:hAnsi="Times New Roman"/>
        </w:rPr>
        <w:t>50</w:t>
      </w:r>
      <w:r>
        <w:rPr>
          <w:rFonts w:ascii="Times New Roman" w:hAnsi="Times New Roman"/>
        </w:rPr>
        <w:t xml:space="preserve"> % de ces investissements en </w:t>
      </w:r>
      <w:r w:rsidRPr="00C316A8">
        <w:rPr>
          <w:rFonts w:ascii="Times New Roman" w:hAnsi="Times New Roman"/>
        </w:rPr>
        <w:t>2021</w:t>
      </w:r>
      <w:r>
        <w:rPr>
          <w:rFonts w:ascii="Times New Roman" w:hAnsi="Times New Roman"/>
        </w:rPr>
        <w:t xml:space="preserve"> par rapport à </w:t>
      </w:r>
      <w:r w:rsidRPr="00C316A8">
        <w:rPr>
          <w:rFonts w:ascii="Times New Roman" w:hAnsi="Times New Roman"/>
        </w:rPr>
        <w:t>2020</w:t>
      </w:r>
      <w:r>
        <w:rPr>
          <w:rFonts w:ascii="Times New Roman" w:hAnsi="Times New Roman"/>
        </w:rPr>
        <w:t xml:space="preserve"> et la Grèce a, elle, enregistré une augmentation de </w:t>
      </w:r>
      <w:r w:rsidRPr="00C316A8">
        <w:rPr>
          <w:rFonts w:ascii="Times New Roman" w:hAnsi="Times New Roman"/>
        </w:rPr>
        <w:t>63</w:t>
      </w:r>
      <w:r>
        <w:rPr>
          <w:rFonts w:ascii="Times New Roman" w:hAnsi="Times New Roman"/>
        </w:rPr>
        <w:t xml:space="preserve"> % en attirant </w:t>
      </w:r>
      <w:r w:rsidRPr="00C316A8">
        <w:rPr>
          <w:rFonts w:ascii="Times New Roman" w:hAnsi="Times New Roman"/>
        </w:rPr>
        <w:t>1</w:t>
      </w:r>
      <w:r>
        <w:rPr>
          <w:rFonts w:ascii="Times New Roman" w:hAnsi="Times New Roman"/>
        </w:rPr>
        <w:t>,</w:t>
      </w:r>
      <w:r w:rsidRPr="00C316A8">
        <w:rPr>
          <w:rFonts w:ascii="Times New Roman" w:hAnsi="Times New Roman"/>
        </w:rPr>
        <w:t>4</w:t>
      </w:r>
      <w:r>
        <w:rPr>
          <w:rFonts w:ascii="Times New Roman" w:hAnsi="Times New Roman"/>
        </w:rPr>
        <w:t> % de l’ensemble des investissements de création étrangers.</w:t>
      </w:r>
    </w:p>
  </w:footnote>
  <w:footnote w:id="12">
    <w:p w14:paraId="69209558" w14:textId="77777777" w:rsidR="00E95A48" w:rsidRDefault="00E95A48" w:rsidP="004641DD">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Les catégories mentionnées se réfèrent à la structure générale de la NACE Rév. </w:t>
      </w:r>
      <w:r w:rsidRPr="00C316A8">
        <w:rPr>
          <w:rFonts w:ascii="Times New Roman" w:hAnsi="Times New Roman"/>
        </w:rPr>
        <w:t>2</w:t>
      </w:r>
      <w:r>
        <w:rPr>
          <w:rFonts w:ascii="Times New Roman" w:hAnsi="Times New Roman"/>
        </w:rPr>
        <w:t xml:space="preserve">; voir: </w:t>
      </w:r>
      <w:hyperlink r:id="rId4" w:history="1">
        <w:r>
          <w:rPr>
            <w:rStyle w:val="Hyperlink"/>
            <w:rFonts w:ascii="Times New Roman" w:hAnsi="Times New Roman"/>
          </w:rPr>
          <w:t>https://ec.europa.eu/eurostat/web/nace-rev</w:t>
        </w:r>
        <w:r w:rsidRPr="00C316A8">
          <w:rPr>
            <w:rStyle w:val="Hyperlink"/>
            <w:rFonts w:ascii="Times New Roman" w:hAnsi="Times New Roman"/>
          </w:rPr>
          <w:t>2</w:t>
        </w:r>
      </w:hyperlink>
      <w:r>
        <w:rPr>
          <w:rFonts w:ascii="Times New Roman" w:hAnsi="Times New Roman"/>
        </w:rPr>
        <w:t xml:space="preserve">. </w:t>
      </w:r>
    </w:p>
  </w:footnote>
  <w:footnote w:id="13">
    <w:p w14:paraId="220E3693" w14:textId="77777777" w:rsidR="00E95A48" w:rsidRPr="008B1F48" w:rsidRDefault="00E95A48" w:rsidP="004B4461">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Néanmoins, l’article </w:t>
      </w:r>
      <w:r w:rsidRPr="00C316A8">
        <w:rPr>
          <w:rFonts w:ascii="Times New Roman" w:hAnsi="Times New Roman"/>
        </w:rPr>
        <w:t>3</w:t>
      </w:r>
      <w:r>
        <w:rPr>
          <w:rFonts w:ascii="Times New Roman" w:hAnsi="Times New Roman"/>
        </w:rPr>
        <w:t xml:space="preserve"> du règlement sur le filtrage des IDE impose à tout État membre de l’UE disposant d’un mécanisme de filtrage des IDE de veiller à ce que ce mécanisme: </w:t>
      </w:r>
    </w:p>
    <w:p w14:paraId="16506492" w14:textId="77777777" w:rsidR="00E95A48" w:rsidRPr="008B1F48" w:rsidRDefault="00E95A48" w:rsidP="004B4461">
      <w:pPr>
        <w:pStyle w:val="FootnoteText"/>
        <w:jc w:val="both"/>
        <w:rPr>
          <w:rFonts w:ascii="Times New Roman" w:hAnsi="Times New Roman" w:cs="Times New Roman"/>
        </w:rPr>
      </w:pPr>
      <w:r>
        <w:rPr>
          <w:rFonts w:ascii="Times New Roman" w:hAnsi="Times New Roman"/>
        </w:rPr>
        <w:t xml:space="preserve">• ait des délais définis, </w:t>
      </w:r>
    </w:p>
    <w:p w14:paraId="252EED3D" w14:textId="77777777" w:rsidR="00E95A48" w:rsidRPr="008B1F48" w:rsidRDefault="00E95A48" w:rsidP="004B4461">
      <w:pPr>
        <w:pStyle w:val="FootnoteText"/>
        <w:jc w:val="both"/>
        <w:rPr>
          <w:rFonts w:ascii="Times New Roman" w:hAnsi="Times New Roman" w:cs="Times New Roman"/>
        </w:rPr>
      </w:pPr>
      <w:r>
        <w:rPr>
          <w:rFonts w:ascii="Times New Roman" w:hAnsi="Times New Roman"/>
        </w:rPr>
        <w:t xml:space="preserve">• soit transparent et ne crée pas de discrimination, </w:t>
      </w:r>
    </w:p>
    <w:p w14:paraId="144FF97B" w14:textId="77777777" w:rsidR="00E95A48" w:rsidRPr="008B1F48" w:rsidRDefault="00E95A48" w:rsidP="004B4461">
      <w:pPr>
        <w:pStyle w:val="FootnoteText"/>
        <w:jc w:val="both"/>
        <w:rPr>
          <w:rFonts w:ascii="Times New Roman" w:hAnsi="Times New Roman" w:cs="Times New Roman"/>
        </w:rPr>
      </w:pPr>
      <w:r>
        <w:rPr>
          <w:rFonts w:ascii="Times New Roman" w:hAnsi="Times New Roman"/>
        </w:rPr>
        <w:t xml:space="preserve">• permette de tenir compte des commentaires des autres États membres et de l’avis de la Commission, </w:t>
      </w:r>
    </w:p>
    <w:p w14:paraId="5B229FA0" w14:textId="77777777" w:rsidR="00E95A48" w:rsidRPr="008B1F48" w:rsidRDefault="00E95A48" w:rsidP="004B4461">
      <w:pPr>
        <w:pStyle w:val="FootnoteText"/>
        <w:jc w:val="both"/>
        <w:rPr>
          <w:rFonts w:ascii="Times New Roman" w:hAnsi="Times New Roman" w:cs="Times New Roman"/>
        </w:rPr>
      </w:pPr>
      <w:r>
        <w:rPr>
          <w:rFonts w:ascii="Times New Roman" w:hAnsi="Times New Roman"/>
        </w:rPr>
        <w:t xml:space="preserve">• donne la possibilité aux parties concernées de former un recours contre une décision défavorable prise par une autorité de filtrage des IDE, </w:t>
      </w:r>
    </w:p>
    <w:p w14:paraId="5A52A2F4" w14:textId="77777777" w:rsidR="00E95A48" w:rsidRPr="008B1F48" w:rsidRDefault="00E95A48" w:rsidP="004B4461">
      <w:pPr>
        <w:pStyle w:val="FootnoteText"/>
        <w:jc w:val="both"/>
        <w:rPr>
          <w:rFonts w:ascii="Times New Roman" w:hAnsi="Times New Roman" w:cs="Times New Roman"/>
        </w:rPr>
      </w:pPr>
      <w:r>
        <w:rPr>
          <w:rFonts w:ascii="Times New Roman" w:hAnsi="Times New Roman"/>
        </w:rPr>
        <w:t>• maintienne les mesures nécessaires pour éviter le contournement des mécanismes de filtrage des IDE et des décisions en découlant.</w:t>
      </w:r>
    </w:p>
  </w:footnote>
  <w:footnote w:id="14">
    <w:p w14:paraId="2F423EB6" w14:textId="77777777" w:rsidR="00E95A48" w:rsidRPr="00BA6221" w:rsidRDefault="00E95A48" w:rsidP="008B1F48">
      <w:pPr>
        <w:pStyle w:val="FootnoteText"/>
        <w:jc w:val="both"/>
        <w:rPr>
          <w:rFonts w:ascii="Times New Roman" w:hAnsi="Times New Roman" w:cs="Times New Roman"/>
          <w:i/>
        </w:rPr>
      </w:pPr>
      <w:r>
        <w:rPr>
          <w:rStyle w:val="FootnoteReference"/>
          <w:rFonts w:ascii="Times New Roman" w:hAnsi="Times New Roman" w:cs="Times New Roman"/>
        </w:rPr>
        <w:footnoteRef/>
      </w:r>
      <w:r>
        <w:t xml:space="preserve"> </w:t>
      </w:r>
      <w:r>
        <w:rPr>
          <w:rFonts w:ascii="Times New Roman" w:hAnsi="Times New Roman"/>
        </w:rPr>
        <w:t xml:space="preserve">Communication de la Commission — Orientations à l’intention des États membres concernant les investissements directs étrangers et la libre circulation des capitaux provenant de pays tiers ainsi que la protection des actifs stratégiques européens, dans la perspective de l’application du règlement (UE) </w:t>
      </w:r>
      <w:r w:rsidRPr="00C316A8">
        <w:rPr>
          <w:rFonts w:ascii="Times New Roman" w:hAnsi="Times New Roman"/>
        </w:rPr>
        <w:t>2019</w:t>
      </w:r>
      <w:r>
        <w:rPr>
          <w:rFonts w:ascii="Times New Roman" w:hAnsi="Times New Roman"/>
        </w:rPr>
        <w:t>/</w:t>
      </w:r>
      <w:r w:rsidRPr="00C316A8">
        <w:rPr>
          <w:rFonts w:ascii="Times New Roman" w:hAnsi="Times New Roman"/>
        </w:rPr>
        <w:t>452</w:t>
      </w:r>
      <w:r>
        <w:rPr>
          <w:rFonts w:ascii="Times New Roman" w:hAnsi="Times New Roman"/>
        </w:rPr>
        <w:t xml:space="preserve"> (règlement sur le filtrage des IDE) (JO C </w:t>
      </w:r>
      <w:r w:rsidRPr="00C316A8">
        <w:rPr>
          <w:rFonts w:ascii="Times New Roman" w:hAnsi="Times New Roman"/>
        </w:rPr>
        <w:t>99</w:t>
      </w:r>
      <w:r>
        <w:rPr>
          <w:rFonts w:ascii="Times New Roman" w:hAnsi="Times New Roman"/>
        </w:rPr>
        <w:t xml:space="preserve"> I du </w:t>
      </w:r>
      <w:r w:rsidRPr="00C316A8">
        <w:rPr>
          <w:rFonts w:ascii="Times New Roman" w:hAnsi="Times New Roman"/>
        </w:rPr>
        <w:t>26</w:t>
      </w:r>
      <w:r>
        <w:rPr>
          <w:rFonts w:ascii="Times New Roman" w:hAnsi="Times New Roman"/>
        </w:rPr>
        <w:t>.</w:t>
      </w:r>
      <w:r w:rsidRPr="00C316A8">
        <w:rPr>
          <w:rFonts w:ascii="Times New Roman" w:hAnsi="Times New Roman"/>
        </w:rPr>
        <w:t>3</w:t>
      </w:r>
      <w:r>
        <w:rPr>
          <w:rFonts w:ascii="Times New Roman" w:hAnsi="Times New Roman"/>
        </w:rPr>
        <w:t>.</w:t>
      </w:r>
      <w:r w:rsidRPr="00C316A8">
        <w:rPr>
          <w:rFonts w:ascii="Times New Roman" w:hAnsi="Times New Roman"/>
        </w:rPr>
        <w:t>2020</w:t>
      </w:r>
      <w:r>
        <w:rPr>
          <w:rFonts w:ascii="Times New Roman" w:hAnsi="Times New Roman"/>
        </w:rPr>
        <w:t>, p. </w:t>
      </w:r>
      <w:r w:rsidRPr="00C316A8">
        <w:rPr>
          <w:rFonts w:ascii="Times New Roman" w:hAnsi="Times New Roman"/>
        </w:rPr>
        <w:t>1</w:t>
      </w:r>
      <w:r>
        <w:rPr>
          <w:rFonts w:ascii="Times New Roman" w:hAnsi="Times New Roman"/>
        </w:rPr>
        <w:t>): «</w:t>
      </w:r>
      <w:r>
        <w:rPr>
          <w:rFonts w:ascii="Times New Roman" w:hAnsi="Times New Roman"/>
          <w:i/>
        </w:rPr>
        <w:t>(...) la Commission européenne invite les États membres:</w:t>
      </w:r>
    </w:p>
    <w:p w14:paraId="1B6C9E51" w14:textId="77777777" w:rsidR="00E95A48" w:rsidRPr="00BA6221" w:rsidRDefault="00E95A48" w:rsidP="008B1F48">
      <w:pPr>
        <w:pStyle w:val="FootnoteText"/>
        <w:jc w:val="both"/>
        <w:rPr>
          <w:rFonts w:ascii="Times New Roman" w:hAnsi="Times New Roman" w:cs="Times New Roman"/>
          <w:i/>
        </w:rPr>
      </w:pPr>
      <w:r>
        <w:rPr>
          <w:rFonts w:ascii="Times New Roman" w:hAnsi="Times New Roman"/>
          <w:i/>
        </w:rPr>
        <w:t>– à faire, dès à présent, pleinement usage de leurs mécanismes de filtrage des IDE, de manière à tenir dûment compte des risques représentés pour les infrastructures critiques de soins de santé, la fourniture d’intrants critiques et d’autres secteurs essentiels, comme le prévoit le cadre juridique de l’UE;</w:t>
      </w:r>
    </w:p>
    <w:p w14:paraId="310246DE" w14:textId="77777777" w:rsidR="00E95A48" w:rsidRPr="008B1F48" w:rsidRDefault="00E95A48" w:rsidP="008B1F48">
      <w:pPr>
        <w:pStyle w:val="FootnoteText"/>
        <w:jc w:val="both"/>
        <w:rPr>
          <w:rFonts w:ascii="Times New Roman" w:hAnsi="Times New Roman" w:cs="Times New Roman"/>
        </w:rPr>
      </w:pPr>
      <w:r>
        <w:rPr>
          <w:rFonts w:ascii="Times New Roman" w:hAnsi="Times New Roman"/>
          <w:i/>
        </w:rPr>
        <w:t>– pour les États membres qui ne disposent pas actuellement d’un mécanisme de filtrage, ou dont les mécanismes de filtrage ne couvrent pas toutes les opérations pertinentes, à mettre en place un mécanisme complet de filtrage et, dans l’intervalle, à utiliser toutes les autres options disponibles pour traiter les situations où l’acquisition ou la prise de contrôle d’une entreprise, d’une infrastructure ou d’une technologie donnée risque d’engendrer un risque pour la sécurité ou l’ordre public dans l’UE, notamment un risque pour les infrastructures sanitaires critiques et la fourniture d’intrants essentiels.</w:t>
      </w:r>
      <w:r>
        <w:rPr>
          <w:rFonts w:ascii="Times New Roman" w:hAnsi="Times New Roman"/>
        </w:rPr>
        <w:t>»</w:t>
      </w:r>
    </w:p>
  </w:footnote>
  <w:footnote w:id="15">
    <w:p w14:paraId="3F658A64" w14:textId="77777777" w:rsidR="00E95A48" w:rsidRPr="008B1F48" w:rsidRDefault="00E95A48" w:rsidP="008B1F48">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Communication de la Commission — Orientations à l’intention des États membres concernant les investissements directs étrangers en provenance de Russie et de Biélorussie compte tenu de l’agression militaire contre de l’Ukraine et des mesures restrictives prévues dans les récents règlements du Conseil relatifs aux sanctions (JO C </w:t>
      </w:r>
      <w:r w:rsidRPr="00C316A8">
        <w:rPr>
          <w:rFonts w:ascii="Times New Roman" w:hAnsi="Times New Roman"/>
        </w:rPr>
        <w:t>151</w:t>
      </w:r>
      <w:r>
        <w:rPr>
          <w:rFonts w:ascii="Times New Roman" w:hAnsi="Times New Roman"/>
        </w:rPr>
        <w:t xml:space="preserve"> I du </w:t>
      </w:r>
      <w:r w:rsidRPr="00C316A8">
        <w:rPr>
          <w:rFonts w:ascii="Times New Roman" w:hAnsi="Times New Roman"/>
        </w:rPr>
        <w:t>6</w:t>
      </w:r>
      <w:r>
        <w:rPr>
          <w:rFonts w:ascii="Times New Roman" w:hAnsi="Times New Roman"/>
        </w:rPr>
        <w:t>.</w:t>
      </w:r>
      <w:r w:rsidRPr="00C316A8">
        <w:rPr>
          <w:rFonts w:ascii="Times New Roman" w:hAnsi="Times New Roman"/>
        </w:rPr>
        <w:t>4</w:t>
      </w:r>
      <w:r>
        <w:rPr>
          <w:rFonts w:ascii="Times New Roman" w:hAnsi="Times New Roman"/>
        </w:rPr>
        <w:t>.</w:t>
      </w:r>
      <w:r w:rsidRPr="00C316A8">
        <w:rPr>
          <w:rFonts w:ascii="Times New Roman" w:hAnsi="Times New Roman"/>
        </w:rPr>
        <w:t>2022</w:t>
      </w:r>
      <w:r>
        <w:rPr>
          <w:rFonts w:ascii="Times New Roman" w:hAnsi="Times New Roman"/>
        </w:rPr>
        <w:t>, p. </w:t>
      </w:r>
      <w:r w:rsidRPr="00C316A8">
        <w:rPr>
          <w:rFonts w:ascii="Times New Roman" w:hAnsi="Times New Roman"/>
        </w:rPr>
        <w:t>1</w:t>
      </w:r>
      <w:r>
        <w:rPr>
          <w:rFonts w:ascii="Times New Roman" w:hAnsi="Times New Roman"/>
        </w:rPr>
        <w:t>).</w:t>
      </w:r>
    </w:p>
    <w:p w14:paraId="357AECB4" w14:textId="77777777" w:rsidR="00E95A48" w:rsidRPr="00276736" w:rsidRDefault="00E95A48" w:rsidP="00BA2DAA">
      <w:pPr>
        <w:pStyle w:val="FootnoteText"/>
        <w:rPr>
          <w:rFonts w:ascii="Times New Roman" w:hAnsi="Times New Roman" w:cs="Times New Roman"/>
          <w:lang w:val="fr-BE"/>
        </w:rPr>
      </w:pPr>
    </w:p>
  </w:footnote>
  <w:footnote w:id="16">
    <w:p w14:paraId="403F7D26" w14:textId="31B67F12" w:rsidR="00E95A48" w:rsidRPr="001E5FF3" w:rsidRDefault="00E95A48">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Pour plus de détails, voir le document de travail des services de la Commission qui accompagne le présent rapport.</w:t>
      </w:r>
    </w:p>
  </w:footnote>
  <w:footnote w:id="17">
    <w:p w14:paraId="47D78F14" w14:textId="77777777" w:rsidR="00E95A48" w:rsidRPr="00C757BB" w:rsidRDefault="00E95A48" w:rsidP="00C757BB">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Le formulaire de notification de l’UE est un instrument proposé aux États membres pour notifier des transactions au mécanisme de coopération de l’UE. </w:t>
      </w:r>
    </w:p>
  </w:footnote>
  <w:footnote w:id="18">
    <w:p w14:paraId="3398DC5D" w14:textId="77777777" w:rsidR="00E95A48" w:rsidRPr="00C757BB" w:rsidRDefault="00E95A48" w:rsidP="00C757BB">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Dans la législation allemande, les groupes de cas décrivent les secteurs. Si l’entreprise concernée par une transaction relève de l’un de ces secteurs, les investisseurs sont tenus de notifier la transaction aux autorités et l’exécution de la transaction («clôture») n’est validée qu’à son approbation par les autorités allemandes. </w:t>
      </w:r>
    </w:p>
  </w:footnote>
  <w:footnote w:id="19">
    <w:p w14:paraId="0A4ABD6C" w14:textId="77777777" w:rsidR="00E95A48" w:rsidRPr="00C757BB" w:rsidRDefault="00E95A48" w:rsidP="00C757BB">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La liste des mécanismes de filtrage notifiés par les États membres est disponible à l’adresse suivante:</w:t>
      </w:r>
      <w:r>
        <w:t xml:space="preserve"> </w:t>
      </w:r>
      <w:hyperlink r:id="rId5" w:history="1">
        <w:r>
          <w:rPr>
            <w:rStyle w:val="Hyperlink"/>
            <w:rFonts w:ascii="Times New Roman" w:hAnsi="Times New Roman"/>
          </w:rPr>
          <w:t>https://trade.ec.europa.eu/doclib/docs/</w:t>
        </w:r>
        <w:r w:rsidRPr="00C316A8">
          <w:rPr>
            <w:rStyle w:val="Hyperlink"/>
            <w:rFonts w:ascii="Times New Roman" w:hAnsi="Times New Roman"/>
          </w:rPr>
          <w:t>2019</w:t>
        </w:r>
        <w:r>
          <w:rPr>
            <w:rStyle w:val="Hyperlink"/>
            <w:rFonts w:ascii="Times New Roman" w:hAnsi="Times New Roman"/>
          </w:rPr>
          <w:t>/june/tradoc_</w:t>
        </w:r>
        <w:r w:rsidRPr="00C316A8">
          <w:rPr>
            <w:rStyle w:val="Hyperlink"/>
            <w:rFonts w:ascii="Times New Roman" w:hAnsi="Times New Roman"/>
          </w:rPr>
          <w:t>157946</w:t>
        </w:r>
        <w:r>
          <w:rPr>
            <w:rStyle w:val="Hyperlink"/>
            <w:rFonts w:ascii="Times New Roman" w:hAnsi="Times New Roman"/>
          </w:rPr>
          <w:t>.pdf</w:t>
        </w:r>
      </w:hyperlink>
      <w:r>
        <w:rPr>
          <w:rFonts w:ascii="Times New Roman" w:hAnsi="Times New Roman"/>
        </w:rPr>
        <w:t xml:space="preserve"> </w:t>
      </w:r>
    </w:p>
  </w:footnote>
  <w:footnote w:id="20">
    <w:p w14:paraId="70517F58" w14:textId="77777777" w:rsidR="00E95A48" w:rsidRPr="002D0C1A" w:rsidRDefault="00E95A48" w:rsidP="00C757BB">
      <w:pPr>
        <w:pStyle w:val="FootnoteText"/>
        <w:jc w:val="both"/>
      </w:pPr>
      <w:r>
        <w:rPr>
          <w:rStyle w:val="FootnoteReference"/>
          <w:rFonts w:ascii="Times New Roman" w:hAnsi="Times New Roman" w:cs="Times New Roman"/>
        </w:rPr>
        <w:footnoteRef/>
      </w:r>
      <w:r>
        <w:t xml:space="preserve"> </w:t>
      </w:r>
      <w:r>
        <w:rPr>
          <w:rFonts w:ascii="Times New Roman" w:hAnsi="Times New Roman"/>
        </w:rPr>
        <w:t xml:space="preserve">Plusieurs États membres n’ont signalé aucun cas relevant de leur législation sur le filtrage. En outre, un État membre a communiqué un chiffre général pour le nombre de demandes d’autorisation et deux chiffres (partiels) pour les résultats. Un autre État membre a communiqué un nombre nettement inférieur de dossiers ayant fait l’objet d’un filtrage en </w:t>
      </w:r>
      <w:r w:rsidRPr="00C316A8">
        <w:rPr>
          <w:rFonts w:ascii="Times New Roman" w:hAnsi="Times New Roman"/>
        </w:rPr>
        <w:t>2021</w:t>
      </w:r>
      <w:r>
        <w:rPr>
          <w:rFonts w:ascii="Times New Roman" w:hAnsi="Times New Roman"/>
        </w:rPr>
        <w:t xml:space="preserve"> — par rapport aux chiffres communiqués dans le premier rapport — car il a procédé à une évaluation préalable des dossiers avant l’entrée en vigueur de sa législation. Plusieurs États membres ont également fait état de «consultations» sur l’admissibilité des dossiers, qui sont inclus dans ce nombre.</w:t>
      </w:r>
    </w:p>
  </w:footnote>
  <w:footnote w:id="21">
    <w:p w14:paraId="018F4C22" w14:textId="77777777" w:rsidR="00E95A48" w:rsidRPr="00914213" w:rsidRDefault="00E95A48" w:rsidP="004641DD">
      <w:pPr>
        <w:pStyle w:val="FootnoteText"/>
        <w:jc w:val="both"/>
      </w:pPr>
      <w:r>
        <w:rPr>
          <w:rStyle w:val="FootnoteReference"/>
        </w:rPr>
        <w:footnoteRef/>
      </w:r>
      <w:r>
        <w:t xml:space="preserve"> </w:t>
      </w:r>
      <w:r>
        <w:rPr>
          <w:rFonts w:ascii="Times New Roman" w:hAnsi="Times New Roman"/>
        </w:rPr>
        <w:t>Il est important de noter que les États membres ont mis en place des procédures de filtrage différentes, ce qui signifie que les dossiers signalés le sont sur la base des procédures nationales (champ d’application, contrôle d’admissibilité préalable ou ultérieur, etc.). C’est ainsi que certains États membres déclarent des dossiers non admissibles avant d’avoir accompli une procédure formelle de filtrage, tandis que d’autres filtrent formellement les dossiers et ne les déclarent non admissibles qu’après. Par conséquent, les graphiques et les nombres indiqués dans le présent chapitre visent à refléter avec précision les activités de filtrage des États membres telles qu’elles sont déclarées par ces derniers, quel que soit leur système national.</w:t>
      </w:r>
    </w:p>
  </w:footnote>
  <w:footnote w:id="22">
    <w:p w14:paraId="71685CE3" w14:textId="77777777" w:rsidR="00E95A48" w:rsidRPr="00864E5B" w:rsidRDefault="00E95A48">
      <w:pPr>
        <w:pStyle w:val="FootnoteText"/>
      </w:pPr>
      <w:r>
        <w:rPr>
          <w:rStyle w:val="FootnoteReference"/>
        </w:rPr>
        <w:footnoteRef/>
      </w:r>
      <w:r>
        <w:t xml:space="preserve"> </w:t>
      </w:r>
      <w:r>
        <w:rPr>
          <w:rFonts w:ascii="Times New Roman" w:hAnsi="Times New Roman"/>
        </w:rPr>
        <w:t xml:space="preserve">Elle était de </w:t>
      </w:r>
      <w:r w:rsidRPr="00C316A8">
        <w:rPr>
          <w:rFonts w:ascii="Times New Roman" w:hAnsi="Times New Roman"/>
        </w:rPr>
        <w:t>20</w:t>
      </w:r>
      <w:r>
        <w:rPr>
          <w:rFonts w:ascii="Times New Roman" w:hAnsi="Times New Roman"/>
        </w:rPr>
        <w:t xml:space="preserve"> % dans le premier rapport annuel portant sur l’ensemble de l’année </w:t>
      </w:r>
      <w:r w:rsidRPr="00C316A8">
        <w:rPr>
          <w:rFonts w:ascii="Times New Roman" w:hAnsi="Times New Roman"/>
        </w:rPr>
        <w:t>2020</w:t>
      </w:r>
      <w:r>
        <w:rPr>
          <w:rFonts w:ascii="Times New Roman" w:hAnsi="Times New Roman"/>
        </w:rPr>
        <w:t>.</w:t>
      </w:r>
    </w:p>
  </w:footnote>
  <w:footnote w:id="23">
    <w:p w14:paraId="4BC05492" w14:textId="084A24B3" w:rsidR="00E95A48" w:rsidRPr="00D548E7" w:rsidRDefault="00E95A48" w:rsidP="00992088">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Sur le nombre total de dossiers déclarés qui ont fait l’objet d’un filtrage formel, un certain nombre de dossiers ont été soustraits pour produire les données présentées dans la figure </w:t>
      </w:r>
      <w:r w:rsidRPr="00C316A8">
        <w:rPr>
          <w:rFonts w:ascii="Times New Roman" w:hAnsi="Times New Roman"/>
        </w:rPr>
        <w:t>7</w:t>
      </w:r>
      <w:r>
        <w:rPr>
          <w:rFonts w:ascii="Times New Roman" w:hAnsi="Times New Roman"/>
        </w:rPr>
        <w:t xml:space="preserve">. En effet, les États membres ont communiqué le résultat des décisions dans </w:t>
      </w:r>
      <w:r w:rsidRPr="00C316A8">
        <w:rPr>
          <w:rFonts w:ascii="Times New Roman" w:hAnsi="Times New Roman"/>
        </w:rPr>
        <w:t>68</w:t>
      </w:r>
      <w:r>
        <w:rPr>
          <w:rFonts w:ascii="Times New Roman" w:hAnsi="Times New Roman"/>
        </w:rPr>
        <w:t>,</w:t>
      </w:r>
      <w:r w:rsidRPr="00C316A8">
        <w:rPr>
          <w:rFonts w:ascii="Times New Roman" w:hAnsi="Times New Roman"/>
        </w:rPr>
        <w:t>5</w:t>
      </w:r>
      <w:r>
        <w:rPr>
          <w:rFonts w:ascii="Times New Roman" w:hAnsi="Times New Roman"/>
        </w:rPr>
        <w:t xml:space="preserve"> % des cas. En outre, certains dossiers ont été reportés en </w:t>
      </w:r>
      <w:r w:rsidRPr="00C316A8">
        <w:rPr>
          <w:rFonts w:ascii="Times New Roman" w:hAnsi="Times New Roman"/>
        </w:rPr>
        <w:t>2022</w:t>
      </w:r>
      <w:r>
        <w:rPr>
          <w:rFonts w:ascii="Times New Roman" w:hAnsi="Times New Roman"/>
        </w:rPr>
        <w:t xml:space="preserve"> et leur résultat n’était donc pas connu en </w:t>
      </w:r>
      <w:r w:rsidRPr="00C316A8">
        <w:rPr>
          <w:rFonts w:ascii="Times New Roman" w:hAnsi="Times New Roman"/>
        </w:rPr>
        <w:t>2021</w:t>
      </w:r>
      <w:r>
        <w:rPr>
          <w:rFonts w:ascii="Times New Roman" w:hAnsi="Times New Roman"/>
        </w:rPr>
        <w:t>. Par ailleurs, les dossiers soustraits ont été signalés par un État membre, qui n’a indiqué que deux des quatre résultats possibles concernant ces dossiers.</w:t>
      </w:r>
    </w:p>
  </w:footnote>
  <w:footnote w:id="24">
    <w:p w14:paraId="2C793DD5" w14:textId="77777777" w:rsidR="00E95A48" w:rsidRPr="00EF0ADC" w:rsidRDefault="00E95A48" w:rsidP="00EF0ADC">
      <w:pPr>
        <w:pStyle w:val="FootnoteText"/>
        <w:ind w:left="426" w:hanging="426"/>
        <w:jc w:val="both"/>
        <w:rPr>
          <w:rStyle w:val="FootnoteReference"/>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Elles englobent </w:t>
      </w:r>
      <w:r w:rsidRPr="00C316A8">
        <w:rPr>
          <w:rFonts w:ascii="Times New Roman" w:hAnsi="Times New Roman"/>
        </w:rPr>
        <w:t>5</w:t>
      </w:r>
      <w:r>
        <w:rPr>
          <w:rFonts w:ascii="Times New Roman" w:hAnsi="Times New Roman"/>
        </w:rPr>
        <w:t xml:space="preserve"> dossiers prénotifiés en </w:t>
      </w:r>
      <w:r w:rsidRPr="00C316A8">
        <w:rPr>
          <w:rFonts w:ascii="Times New Roman" w:hAnsi="Times New Roman"/>
        </w:rPr>
        <w:t>2020</w:t>
      </w:r>
      <w:r>
        <w:rPr>
          <w:rFonts w:ascii="Times New Roman" w:hAnsi="Times New Roman"/>
        </w:rPr>
        <w:t xml:space="preserve"> mais traités en </w:t>
      </w:r>
      <w:r w:rsidRPr="00C316A8">
        <w:rPr>
          <w:rFonts w:ascii="Times New Roman" w:hAnsi="Times New Roman"/>
        </w:rPr>
        <w:t>2021</w:t>
      </w:r>
      <w:r>
        <w:rPr>
          <w:rFonts w:ascii="Times New Roman" w:hAnsi="Times New Roman"/>
        </w:rPr>
        <w:t>.</w:t>
      </w:r>
    </w:p>
  </w:footnote>
  <w:footnote w:id="25">
    <w:p w14:paraId="4245D139" w14:textId="77777777" w:rsidR="00E95A48" w:rsidRPr="00EF0ADC" w:rsidRDefault="00E95A48" w:rsidP="00EF0ADC">
      <w:pPr>
        <w:pStyle w:val="FootnoteText"/>
        <w:ind w:left="426" w:hanging="426"/>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 xml:space="preserve">Voir </w:t>
      </w:r>
      <w:hyperlink r:id="rId6" w:history="1">
        <w:r>
          <w:rPr>
            <w:rStyle w:val="Hyperlink"/>
            <w:rFonts w:ascii="Times New Roman" w:hAnsi="Times New Roman"/>
          </w:rPr>
          <w:t>https://trade.ec.europa.eu/doclib/docs/</w:t>
        </w:r>
        <w:r w:rsidRPr="00C316A8">
          <w:rPr>
            <w:rStyle w:val="Hyperlink"/>
            <w:rFonts w:ascii="Times New Roman" w:hAnsi="Times New Roman"/>
          </w:rPr>
          <w:t>2021</w:t>
        </w:r>
        <w:r>
          <w:rPr>
            <w:rStyle w:val="Hyperlink"/>
            <w:rFonts w:ascii="Times New Roman" w:hAnsi="Times New Roman"/>
          </w:rPr>
          <w:t>/november/tradoc_</w:t>
        </w:r>
        <w:r w:rsidRPr="00C316A8">
          <w:rPr>
            <w:rStyle w:val="Hyperlink"/>
            <w:rFonts w:ascii="Times New Roman" w:hAnsi="Times New Roman"/>
          </w:rPr>
          <w:t>159935</w:t>
        </w:r>
        <w:r>
          <w:rPr>
            <w:rStyle w:val="Hyperlink"/>
            <w:rFonts w:ascii="Times New Roman" w:hAnsi="Times New Roman"/>
          </w:rPr>
          <w:t>.pdf</w:t>
        </w:r>
      </w:hyperlink>
    </w:p>
  </w:footnote>
  <w:footnote w:id="26">
    <w:p w14:paraId="0B783E11" w14:textId="77777777" w:rsidR="00E95A48" w:rsidRPr="001407C2" w:rsidRDefault="00E95A48" w:rsidP="00273415">
      <w:pPr>
        <w:pStyle w:val="FootnoteText"/>
        <w:ind w:left="426" w:hanging="426"/>
        <w:jc w:val="both"/>
        <w:rPr>
          <w:rFonts w:ascii="Times New Roman" w:hAnsi="Times New Roman" w:cs="Times New Roman"/>
        </w:rPr>
      </w:pPr>
      <w:r>
        <w:rPr>
          <w:rStyle w:val="FootnoteReference"/>
        </w:rPr>
        <w:footnoteRef/>
      </w:r>
      <w:r>
        <w:tab/>
      </w:r>
      <w:r>
        <w:rPr>
          <w:rFonts w:ascii="Times New Roman" w:hAnsi="Times New Roman"/>
        </w:rPr>
        <w:t>Les activités financières englobent les activités exercées par (ou imputables à) des holdings, des fonds ou des acteurs similaires du secteur financier qui visent à acquérir une participation (au capital) ou un contrôle spécifique dans une entreprise cible.</w:t>
      </w:r>
    </w:p>
  </w:footnote>
  <w:footnote w:id="27">
    <w:p w14:paraId="1EF1DB29" w14:textId="77777777" w:rsidR="00E95A48" w:rsidRPr="00EF0ADC" w:rsidRDefault="00E95A48" w:rsidP="00EF0ADC">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Dans le premier rapport annuel, il s’agissait de l’industrie manufacturière, des TIC et du commerce de gros et de détail, classés respectivement aux sections C, J et G de la NACE.</w:t>
      </w:r>
    </w:p>
  </w:footnote>
  <w:footnote w:id="28">
    <w:p w14:paraId="3F716439" w14:textId="170D2480" w:rsidR="00E95A48" w:rsidRPr="00EF0ADC" w:rsidRDefault="00E95A48" w:rsidP="00EF0ADC">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Étant donné que les dossiers peuvent porter sur plusieurs secteurs (sections de la NACE), le total figurant dans le graphique est supérieur au nombre total de dossiers notifiés en </w:t>
      </w:r>
      <w:r w:rsidRPr="00C316A8">
        <w:rPr>
          <w:rFonts w:ascii="Times New Roman" w:hAnsi="Times New Roman"/>
        </w:rPr>
        <w:t>2021</w:t>
      </w:r>
      <w:r>
        <w:rPr>
          <w:rFonts w:ascii="Times New Roman" w:hAnsi="Times New Roman"/>
        </w:rPr>
        <w:t xml:space="preserve">. La catégorie «Autres» englobe tous les autres secteurs qui représentent moins de </w:t>
      </w:r>
      <w:r w:rsidRPr="00C316A8">
        <w:rPr>
          <w:rFonts w:ascii="Times New Roman" w:hAnsi="Times New Roman"/>
        </w:rPr>
        <w:t>4</w:t>
      </w:r>
      <w:r>
        <w:rPr>
          <w:rFonts w:ascii="Times New Roman" w:hAnsi="Times New Roman"/>
        </w:rPr>
        <w:t> % des transactions, par exemple la production et la distribution d’électricité, de gaz, de vapeur et d’air conditionné; les transports et l’entreposage.</w:t>
      </w:r>
    </w:p>
  </w:footnote>
  <w:footnote w:id="29">
    <w:p w14:paraId="7C1EBE9D" w14:textId="77777777" w:rsidR="00E95A48" w:rsidRPr="009C0266" w:rsidRDefault="00E95A48" w:rsidP="004641DD">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La valeur, lorsqu’elle est connue, se rapporte à l’entreprise cible, qui peut être la filiale européenne d’une société cible plus large.</w:t>
      </w:r>
    </w:p>
  </w:footnote>
  <w:footnote w:id="30">
    <w:p w14:paraId="42837A0E" w14:textId="77777777" w:rsidR="00E95A48" w:rsidRPr="00636721" w:rsidRDefault="00E95A48" w:rsidP="004641DD">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 xml:space="preserve">Dans le premier rapport annuel, la majorité des transactions avait une valeur inférieure, comprise entre </w:t>
      </w:r>
      <w:r w:rsidRPr="00C316A8">
        <w:rPr>
          <w:rFonts w:ascii="Times New Roman" w:hAnsi="Times New Roman"/>
        </w:rPr>
        <w:t>10</w:t>
      </w:r>
      <w:r>
        <w:rPr>
          <w:rFonts w:ascii="Times New Roman" w:hAnsi="Times New Roman"/>
        </w:rPr>
        <w:t xml:space="preserve"> et </w:t>
      </w:r>
      <w:r w:rsidRPr="00C316A8">
        <w:rPr>
          <w:rFonts w:ascii="Times New Roman" w:hAnsi="Times New Roman"/>
        </w:rPr>
        <w:t>100</w:t>
      </w:r>
      <w:r>
        <w:rPr>
          <w:rFonts w:ascii="Times New Roman" w:hAnsi="Times New Roman"/>
        </w:rPr>
        <w:t> millions d’EUR, les valeurs les plus élevées correspondant aux transactions dans le secteur des TIC, et les valeurs les plus faibles aux transactions dans le secteur intitulé «Autres activités de services».</w:t>
      </w:r>
    </w:p>
  </w:footnote>
  <w:footnote w:id="31">
    <w:p w14:paraId="48EE5004" w14:textId="77777777" w:rsidR="00E95A48" w:rsidRPr="007B1929" w:rsidRDefault="00E95A48" w:rsidP="00403AB8">
      <w:pPr>
        <w:pStyle w:val="FootnoteText"/>
        <w:ind w:left="426" w:hanging="426"/>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La mention «Inconnue» comprend les notifications sans montant, les valeurs non disponibles/non divulguées et les valeurs non pertinentes.</w:t>
      </w:r>
    </w:p>
  </w:footnote>
  <w:footnote w:id="32">
    <w:p w14:paraId="798076A0" w14:textId="4B42C2ED" w:rsidR="00E95A48" w:rsidRPr="009C0266" w:rsidRDefault="00E95A48" w:rsidP="004641DD">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Au </w:t>
      </w:r>
      <w:r w:rsidRPr="00C316A8">
        <w:rPr>
          <w:rFonts w:ascii="Times New Roman" w:hAnsi="Times New Roman"/>
        </w:rPr>
        <w:t>31</w:t>
      </w:r>
      <w:r>
        <w:rPr>
          <w:rFonts w:ascii="Times New Roman" w:hAnsi="Times New Roman"/>
        </w:rPr>
        <w:t xml:space="preserve"> décembre </w:t>
      </w:r>
      <w:r w:rsidRPr="00C316A8">
        <w:rPr>
          <w:rFonts w:ascii="Times New Roman" w:hAnsi="Times New Roman"/>
        </w:rPr>
        <w:t>2021</w:t>
      </w:r>
      <w:r>
        <w:rPr>
          <w:rFonts w:ascii="Times New Roman" w:hAnsi="Times New Roman"/>
        </w:rPr>
        <w:t xml:space="preserve">, </w:t>
      </w:r>
      <w:r w:rsidRPr="00C316A8">
        <w:rPr>
          <w:rFonts w:ascii="Times New Roman" w:hAnsi="Times New Roman"/>
        </w:rPr>
        <w:t>11</w:t>
      </w:r>
      <w:r>
        <w:rPr>
          <w:rFonts w:ascii="Times New Roman" w:hAnsi="Times New Roman"/>
        </w:rPr>
        <w:t xml:space="preserve"> des </w:t>
      </w:r>
      <w:r w:rsidRPr="00C316A8">
        <w:rPr>
          <w:rFonts w:ascii="Times New Roman" w:hAnsi="Times New Roman"/>
        </w:rPr>
        <w:t>414</w:t>
      </w:r>
      <w:r>
        <w:rPr>
          <w:rFonts w:ascii="Times New Roman" w:hAnsi="Times New Roman"/>
        </w:rPr>
        <w:t xml:space="preserve"> dossiers notifiés étaient toujours en cours à la date de clôture du présent rapport.</w:t>
      </w:r>
    </w:p>
  </w:footnote>
  <w:footnote w:id="33">
    <w:p w14:paraId="5053DBC6" w14:textId="77777777" w:rsidR="00E95A48" w:rsidRPr="004641DD" w:rsidRDefault="00E95A48" w:rsidP="004641DD">
      <w:pPr>
        <w:pStyle w:val="FootnoteText"/>
        <w:ind w:left="426" w:hanging="426"/>
        <w:jc w:val="both"/>
        <w:rPr>
          <w:rFonts w:ascii="Times New Roman" w:hAnsi="Times New Roman" w:cs="Times New Roman"/>
          <w:highlight w:val="yellow"/>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Le formulaire de notification, qui comporte les informations recueillies auprès d’un investisseur aux fins d’une notification au titre de l’article </w:t>
      </w:r>
      <w:r w:rsidRPr="00C316A8">
        <w:rPr>
          <w:rFonts w:ascii="Times New Roman" w:hAnsi="Times New Roman"/>
        </w:rPr>
        <w:t>6</w:t>
      </w:r>
      <w:r>
        <w:rPr>
          <w:rFonts w:ascii="Times New Roman" w:hAnsi="Times New Roman"/>
        </w:rPr>
        <w:t xml:space="preserve"> du règlement, et un document «Foire aux questions» mis à jour servent à garantir un certain degré d’homogénéité et à veiller à ce que les notifications faites au titre du règlement contiennent suffisamment d’informations sur l’investisseur et la cible de l’investissement. Ces deux documents sont disponibles à l’adresse suivante: </w:t>
      </w:r>
      <w:hyperlink r:id="rId7" w:history="1">
        <w:r>
          <w:rPr>
            <w:rStyle w:val="Hyperlink"/>
            <w:rFonts w:ascii="Times New Roman" w:hAnsi="Times New Roman"/>
          </w:rPr>
          <w:t>http://trade.ec.europa.eu/doclib/press/index.cfm?id=</w:t>
        </w:r>
        <w:r w:rsidRPr="00C316A8">
          <w:rPr>
            <w:rStyle w:val="Hyperlink"/>
            <w:rFonts w:ascii="Times New Roman" w:hAnsi="Times New Roman"/>
          </w:rPr>
          <w:t>2006</w:t>
        </w:r>
      </w:hyperlink>
    </w:p>
  </w:footnote>
  <w:footnote w:id="34">
    <w:p w14:paraId="3C231A50" w14:textId="2FD6F80A" w:rsidR="00E95A48" w:rsidRPr="008B3375" w:rsidRDefault="00E95A48" w:rsidP="00EF0AD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Voir la note de bas de page </w:t>
      </w:r>
      <w:r w:rsidRPr="00C316A8">
        <w:rPr>
          <w:rFonts w:ascii="Times New Roman" w:hAnsi="Times New Roman"/>
        </w:rPr>
        <w:t>25</w:t>
      </w:r>
      <w:r>
        <w:rPr>
          <w:rFonts w:ascii="Times New Roman" w:hAnsi="Times New Roman"/>
        </w:rPr>
        <w:t>.</w:t>
      </w:r>
    </w:p>
  </w:footnote>
  <w:footnote w:id="35">
    <w:p w14:paraId="29B551AB" w14:textId="77777777" w:rsidR="00E95A48" w:rsidRPr="008B3375" w:rsidRDefault="00E95A48" w:rsidP="00EF0ADC">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Dans le premier rapport, six États membres étaient à l’origine des </w:t>
      </w:r>
      <w:r w:rsidRPr="00C316A8">
        <w:rPr>
          <w:rFonts w:ascii="Times New Roman" w:hAnsi="Times New Roman"/>
        </w:rPr>
        <w:t>36</w:t>
      </w:r>
      <w:r>
        <w:rPr>
          <w:rFonts w:ascii="Times New Roman" w:hAnsi="Times New Roman"/>
        </w:rPr>
        <w:t xml:space="preserve"> dossiers en phase </w:t>
      </w:r>
      <w:r w:rsidRPr="00C316A8">
        <w:rPr>
          <w:rFonts w:ascii="Times New Roman" w:hAnsi="Times New Roman"/>
        </w:rPr>
        <w:t>2</w:t>
      </w:r>
      <w:r>
        <w:t>.</w:t>
      </w:r>
    </w:p>
  </w:footnote>
  <w:footnote w:id="36">
    <w:p w14:paraId="3984BA74" w14:textId="3FD2CBE0" w:rsidR="00E95A48" w:rsidRPr="00E87866" w:rsidRDefault="00E95A48" w:rsidP="004641DD">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Dans ce contexte, le terme «transactions d’IDE relevant de plusieurs juridictions» renvoie aux transactions d’IDE qui visent un groupe d’entreprises présent dans plusieurs États membres (et éventuellement dans des pays tiers), du fait, par exemple, que le groupe possède des filiales dans plusieurs États membres. Selon les circonstances, ainsi que les particularités du mécanisme de filtrage des États membres concernés, ces opérations sont </w:t>
      </w:r>
      <w:r>
        <w:rPr>
          <w:rFonts w:ascii="Times New Roman" w:hAnsi="Times New Roman"/>
          <w:b/>
        </w:rPr>
        <w:t>notifiées par plusieurs États membres</w:t>
      </w:r>
      <w:r>
        <w:rPr>
          <w:rFonts w:ascii="Times New Roman" w:hAnsi="Times New Roman"/>
        </w:rPr>
        <w:t>, bien que rarement de manière coordonnée et synchronisée.</w:t>
      </w:r>
    </w:p>
  </w:footnote>
  <w:footnote w:id="37">
    <w:p w14:paraId="33F1C7D6" w14:textId="3D7C813D" w:rsidR="00E95A48" w:rsidRPr="00633ED0" w:rsidRDefault="00E95A48" w:rsidP="00A8732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Voir la note de bas de page </w:t>
      </w:r>
      <w:r w:rsidRPr="00C316A8">
        <w:rPr>
          <w:rFonts w:ascii="Times New Roman" w:hAnsi="Times New Roman"/>
        </w:rPr>
        <w:t>14</w:t>
      </w:r>
      <w:r>
        <w:rPr>
          <w:rFonts w:ascii="Times New Roman" w:hAnsi="Times New Roman"/>
        </w:rPr>
        <w:t>.</w:t>
      </w:r>
    </w:p>
  </w:footnote>
  <w:footnote w:id="38">
    <w:p w14:paraId="5D8C3275" w14:textId="77777777" w:rsidR="00E95A48" w:rsidRPr="00BA6221" w:rsidRDefault="00E95A48" w:rsidP="00624FA0">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Voir la note de bas de page </w:t>
      </w:r>
      <w:r w:rsidRPr="00C316A8">
        <w:rPr>
          <w:rFonts w:ascii="Times New Roman" w:hAnsi="Times New Roman"/>
        </w:rPr>
        <w:t>13</w:t>
      </w:r>
      <w:r>
        <w:rPr>
          <w:rFonts w:ascii="Times New Roman" w:hAnsi="Times New Roman"/>
        </w:rPr>
        <w:t>.</w:t>
      </w:r>
    </w:p>
  </w:footnote>
  <w:footnote w:id="39">
    <w:p w14:paraId="6678AAE9" w14:textId="77777777" w:rsidR="00E95A48" w:rsidRPr="00B21651" w:rsidRDefault="00E95A48" w:rsidP="00624FA0">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Voir la note de bas de page </w:t>
      </w:r>
      <w:r w:rsidRPr="00C316A8">
        <w:rPr>
          <w:rFonts w:ascii="Times New Roman" w:hAnsi="Times New Roman"/>
        </w:rPr>
        <w:t>14</w:t>
      </w:r>
      <w:r>
        <w:rPr>
          <w:rFonts w:ascii="Times New Roman" w:hAnsi="Times New Roman"/>
        </w:rPr>
        <w:t>.</w:t>
      </w:r>
    </w:p>
  </w:footnote>
  <w:footnote w:id="40">
    <w:p w14:paraId="3E41A8E0" w14:textId="77777777" w:rsidR="00E95A48" w:rsidRPr="00EF0E5C" w:rsidRDefault="00E95A48" w:rsidP="00624FA0">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L’étude vise spécifiquement à, primo, donner un aperçu de la législation existante des États membres qui ont un mécanisme de filtrage, secundo, examiner la manière dont les législations nationales et le règlement sur le filtrage des IDE régissent l’interaction des autorités nationales et de la Commission européenne dans le cadre du mécanisme de coopération prévu par le règlement sur le filtrage des IDE, tertio, déceler tout problème important dans l’arsenal actuel des lois nationales et le règlement sur le filtrage des IDE qui peut nuire à l’efficacité et à l’efficience des résultats à la lumière des objectifs stratégiques du règlement sur le filtrage des IDE et, quarto, examiner la nécessité de maintenir la charge administrative pesant sur les investisseurs et les autres parties prenantes à un niveau proportionné aux objectifs stratégiques et aux préoccupations de sécurité ou d’ordre public.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2339C" w14:textId="77777777" w:rsidR="00E67286" w:rsidRPr="00E67286" w:rsidRDefault="00E67286" w:rsidP="00E672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5510A" w14:textId="77777777" w:rsidR="00E67286" w:rsidRPr="00E67286" w:rsidRDefault="00E67286" w:rsidP="00E67286">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F7D96" w14:textId="77777777" w:rsidR="00E67286" w:rsidRPr="00E67286" w:rsidRDefault="00E67286" w:rsidP="00E67286">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D3E44" w14:textId="77777777" w:rsidR="00E95A48" w:rsidRDefault="00E95A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939A5" w14:textId="77777777" w:rsidR="00E95A48" w:rsidRPr="00D56F97" w:rsidRDefault="00E95A48" w:rsidP="00D56F9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85D6D" w14:textId="77777777" w:rsidR="00E95A48" w:rsidRDefault="00E95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166E3"/>
    <w:multiLevelType w:val="hybridMultilevel"/>
    <w:tmpl w:val="CE7052FA"/>
    <w:lvl w:ilvl="0" w:tplc="B02C34E2">
      <w:start w:val="1"/>
      <w:numFmt w:val="bullet"/>
      <w:lvlText w:val="•"/>
      <w:lvlJc w:val="left"/>
      <w:pPr>
        <w:tabs>
          <w:tab w:val="num" w:pos="720"/>
        </w:tabs>
        <w:ind w:left="720" w:hanging="360"/>
      </w:pPr>
      <w:rPr>
        <w:rFonts w:ascii="Arial" w:hAnsi="Arial" w:hint="default"/>
      </w:rPr>
    </w:lvl>
    <w:lvl w:ilvl="1" w:tplc="42C02BA2" w:tentative="1">
      <w:start w:val="1"/>
      <w:numFmt w:val="bullet"/>
      <w:lvlText w:val="•"/>
      <w:lvlJc w:val="left"/>
      <w:pPr>
        <w:tabs>
          <w:tab w:val="num" w:pos="1440"/>
        </w:tabs>
        <w:ind w:left="1440" w:hanging="360"/>
      </w:pPr>
      <w:rPr>
        <w:rFonts w:ascii="Arial" w:hAnsi="Arial" w:hint="default"/>
      </w:rPr>
    </w:lvl>
    <w:lvl w:ilvl="2" w:tplc="5BAE791C" w:tentative="1">
      <w:start w:val="1"/>
      <w:numFmt w:val="bullet"/>
      <w:lvlText w:val="•"/>
      <w:lvlJc w:val="left"/>
      <w:pPr>
        <w:tabs>
          <w:tab w:val="num" w:pos="2160"/>
        </w:tabs>
        <w:ind w:left="2160" w:hanging="360"/>
      </w:pPr>
      <w:rPr>
        <w:rFonts w:ascii="Arial" w:hAnsi="Arial" w:hint="default"/>
      </w:rPr>
    </w:lvl>
    <w:lvl w:ilvl="3" w:tplc="87F2B8C2" w:tentative="1">
      <w:start w:val="1"/>
      <w:numFmt w:val="bullet"/>
      <w:lvlText w:val="•"/>
      <w:lvlJc w:val="left"/>
      <w:pPr>
        <w:tabs>
          <w:tab w:val="num" w:pos="2880"/>
        </w:tabs>
        <w:ind w:left="2880" w:hanging="360"/>
      </w:pPr>
      <w:rPr>
        <w:rFonts w:ascii="Arial" w:hAnsi="Arial" w:hint="default"/>
      </w:rPr>
    </w:lvl>
    <w:lvl w:ilvl="4" w:tplc="8ED89350" w:tentative="1">
      <w:start w:val="1"/>
      <w:numFmt w:val="bullet"/>
      <w:lvlText w:val="•"/>
      <w:lvlJc w:val="left"/>
      <w:pPr>
        <w:tabs>
          <w:tab w:val="num" w:pos="3600"/>
        </w:tabs>
        <w:ind w:left="3600" w:hanging="360"/>
      </w:pPr>
      <w:rPr>
        <w:rFonts w:ascii="Arial" w:hAnsi="Arial" w:hint="default"/>
      </w:rPr>
    </w:lvl>
    <w:lvl w:ilvl="5" w:tplc="CE9CCDB8" w:tentative="1">
      <w:start w:val="1"/>
      <w:numFmt w:val="bullet"/>
      <w:lvlText w:val="•"/>
      <w:lvlJc w:val="left"/>
      <w:pPr>
        <w:tabs>
          <w:tab w:val="num" w:pos="4320"/>
        </w:tabs>
        <w:ind w:left="4320" w:hanging="360"/>
      </w:pPr>
      <w:rPr>
        <w:rFonts w:ascii="Arial" w:hAnsi="Arial" w:hint="default"/>
      </w:rPr>
    </w:lvl>
    <w:lvl w:ilvl="6" w:tplc="C464A3FE" w:tentative="1">
      <w:start w:val="1"/>
      <w:numFmt w:val="bullet"/>
      <w:lvlText w:val="•"/>
      <w:lvlJc w:val="left"/>
      <w:pPr>
        <w:tabs>
          <w:tab w:val="num" w:pos="5040"/>
        </w:tabs>
        <w:ind w:left="5040" w:hanging="360"/>
      </w:pPr>
      <w:rPr>
        <w:rFonts w:ascii="Arial" w:hAnsi="Arial" w:hint="default"/>
      </w:rPr>
    </w:lvl>
    <w:lvl w:ilvl="7" w:tplc="C31ED4F0" w:tentative="1">
      <w:start w:val="1"/>
      <w:numFmt w:val="bullet"/>
      <w:lvlText w:val="•"/>
      <w:lvlJc w:val="left"/>
      <w:pPr>
        <w:tabs>
          <w:tab w:val="num" w:pos="5760"/>
        </w:tabs>
        <w:ind w:left="5760" w:hanging="360"/>
      </w:pPr>
      <w:rPr>
        <w:rFonts w:ascii="Arial" w:hAnsi="Arial" w:hint="default"/>
      </w:rPr>
    </w:lvl>
    <w:lvl w:ilvl="8" w:tplc="9BAED7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EB01F2"/>
    <w:multiLevelType w:val="hybridMultilevel"/>
    <w:tmpl w:val="6402088C"/>
    <w:lvl w:ilvl="0" w:tplc="18090001">
      <w:start w:val="1"/>
      <w:numFmt w:val="bullet"/>
      <w:lvlText w:val=""/>
      <w:lvlJc w:val="left"/>
      <w:pPr>
        <w:ind w:left="773" w:hanging="360"/>
      </w:pPr>
      <w:rPr>
        <w:rFonts w:ascii="Symbol" w:hAnsi="Symbol" w:hint="default"/>
      </w:rPr>
    </w:lvl>
    <w:lvl w:ilvl="1" w:tplc="18090003" w:tentative="1">
      <w:start w:val="1"/>
      <w:numFmt w:val="bullet"/>
      <w:lvlText w:val="o"/>
      <w:lvlJc w:val="left"/>
      <w:pPr>
        <w:ind w:left="1493" w:hanging="360"/>
      </w:pPr>
      <w:rPr>
        <w:rFonts w:ascii="Courier New" w:hAnsi="Courier New" w:cs="Courier New" w:hint="default"/>
      </w:rPr>
    </w:lvl>
    <w:lvl w:ilvl="2" w:tplc="18090005" w:tentative="1">
      <w:start w:val="1"/>
      <w:numFmt w:val="bullet"/>
      <w:lvlText w:val=""/>
      <w:lvlJc w:val="left"/>
      <w:pPr>
        <w:ind w:left="2213" w:hanging="360"/>
      </w:pPr>
      <w:rPr>
        <w:rFonts w:ascii="Wingdings" w:hAnsi="Wingdings" w:hint="default"/>
      </w:rPr>
    </w:lvl>
    <w:lvl w:ilvl="3" w:tplc="18090001" w:tentative="1">
      <w:start w:val="1"/>
      <w:numFmt w:val="bullet"/>
      <w:lvlText w:val=""/>
      <w:lvlJc w:val="left"/>
      <w:pPr>
        <w:ind w:left="2933" w:hanging="360"/>
      </w:pPr>
      <w:rPr>
        <w:rFonts w:ascii="Symbol" w:hAnsi="Symbol" w:hint="default"/>
      </w:rPr>
    </w:lvl>
    <w:lvl w:ilvl="4" w:tplc="18090003" w:tentative="1">
      <w:start w:val="1"/>
      <w:numFmt w:val="bullet"/>
      <w:lvlText w:val="o"/>
      <w:lvlJc w:val="left"/>
      <w:pPr>
        <w:ind w:left="3653" w:hanging="360"/>
      </w:pPr>
      <w:rPr>
        <w:rFonts w:ascii="Courier New" w:hAnsi="Courier New" w:cs="Courier New" w:hint="default"/>
      </w:rPr>
    </w:lvl>
    <w:lvl w:ilvl="5" w:tplc="18090005" w:tentative="1">
      <w:start w:val="1"/>
      <w:numFmt w:val="bullet"/>
      <w:lvlText w:val=""/>
      <w:lvlJc w:val="left"/>
      <w:pPr>
        <w:ind w:left="4373" w:hanging="360"/>
      </w:pPr>
      <w:rPr>
        <w:rFonts w:ascii="Wingdings" w:hAnsi="Wingdings" w:hint="default"/>
      </w:rPr>
    </w:lvl>
    <w:lvl w:ilvl="6" w:tplc="18090001" w:tentative="1">
      <w:start w:val="1"/>
      <w:numFmt w:val="bullet"/>
      <w:lvlText w:val=""/>
      <w:lvlJc w:val="left"/>
      <w:pPr>
        <w:ind w:left="5093" w:hanging="360"/>
      </w:pPr>
      <w:rPr>
        <w:rFonts w:ascii="Symbol" w:hAnsi="Symbol" w:hint="default"/>
      </w:rPr>
    </w:lvl>
    <w:lvl w:ilvl="7" w:tplc="18090003" w:tentative="1">
      <w:start w:val="1"/>
      <w:numFmt w:val="bullet"/>
      <w:lvlText w:val="o"/>
      <w:lvlJc w:val="left"/>
      <w:pPr>
        <w:ind w:left="5813" w:hanging="360"/>
      </w:pPr>
      <w:rPr>
        <w:rFonts w:ascii="Courier New" w:hAnsi="Courier New" w:cs="Courier New" w:hint="default"/>
      </w:rPr>
    </w:lvl>
    <w:lvl w:ilvl="8" w:tplc="18090005" w:tentative="1">
      <w:start w:val="1"/>
      <w:numFmt w:val="bullet"/>
      <w:lvlText w:val=""/>
      <w:lvlJc w:val="left"/>
      <w:pPr>
        <w:ind w:left="6533" w:hanging="360"/>
      </w:pPr>
      <w:rPr>
        <w:rFonts w:ascii="Wingdings" w:hAnsi="Wingdings" w:hint="default"/>
      </w:rPr>
    </w:lvl>
  </w:abstractNum>
  <w:abstractNum w:abstractNumId="2" w15:restartNumberingAfterBreak="0">
    <w:nsid w:val="138B7D5C"/>
    <w:multiLevelType w:val="hybridMultilevel"/>
    <w:tmpl w:val="B0A8A4D4"/>
    <w:lvl w:ilvl="0" w:tplc="40DE171A">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1ABB2DE7"/>
    <w:multiLevelType w:val="hybridMultilevel"/>
    <w:tmpl w:val="D0C006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4120FBF"/>
    <w:multiLevelType w:val="hybridMultilevel"/>
    <w:tmpl w:val="7626306E"/>
    <w:lvl w:ilvl="0" w:tplc="08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4EC37D9"/>
    <w:multiLevelType w:val="multilevel"/>
    <w:tmpl w:val="24EC37D9"/>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1D0E55"/>
    <w:multiLevelType w:val="hybridMultilevel"/>
    <w:tmpl w:val="B0DA1CC6"/>
    <w:lvl w:ilvl="0" w:tplc="35544990">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D0853DC"/>
    <w:multiLevelType w:val="hybridMultilevel"/>
    <w:tmpl w:val="E950274A"/>
    <w:lvl w:ilvl="0" w:tplc="AE14E940">
      <w:start w:val="1"/>
      <w:numFmt w:val="bullet"/>
      <w:lvlText w:val="•"/>
      <w:lvlJc w:val="left"/>
      <w:pPr>
        <w:tabs>
          <w:tab w:val="num" w:pos="720"/>
        </w:tabs>
        <w:ind w:left="720" w:hanging="360"/>
      </w:pPr>
      <w:rPr>
        <w:rFonts w:ascii="Arial" w:hAnsi="Arial" w:hint="default"/>
      </w:rPr>
    </w:lvl>
    <w:lvl w:ilvl="1" w:tplc="BE404BA2">
      <w:start w:val="1"/>
      <w:numFmt w:val="bullet"/>
      <w:lvlText w:val="•"/>
      <w:lvlJc w:val="left"/>
      <w:pPr>
        <w:tabs>
          <w:tab w:val="num" w:pos="1440"/>
        </w:tabs>
        <w:ind w:left="1440" w:hanging="360"/>
      </w:pPr>
      <w:rPr>
        <w:rFonts w:ascii="Arial" w:hAnsi="Arial" w:hint="default"/>
      </w:rPr>
    </w:lvl>
    <w:lvl w:ilvl="2" w:tplc="EAF67F72" w:tentative="1">
      <w:start w:val="1"/>
      <w:numFmt w:val="bullet"/>
      <w:lvlText w:val="•"/>
      <w:lvlJc w:val="left"/>
      <w:pPr>
        <w:tabs>
          <w:tab w:val="num" w:pos="2160"/>
        </w:tabs>
        <w:ind w:left="2160" w:hanging="360"/>
      </w:pPr>
      <w:rPr>
        <w:rFonts w:ascii="Arial" w:hAnsi="Arial" w:hint="default"/>
      </w:rPr>
    </w:lvl>
    <w:lvl w:ilvl="3" w:tplc="AB1E2A2E" w:tentative="1">
      <w:start w:val="1"/>
      <w:numFmt w:val="bullet"/>
      <w:lvlText w:val="•"/>
      <w:lvlJc w:val="left"/>
      <w:pPr>
        <w:tabs>
          <w:tab w:val="num" w:pos="2880"/>
        </w:tabs>
        <w:ind w:left="2880" w:hanging="360"/>
      </w:pPr>
      <w:rPr>
        <w:rFonts w:ascii="Arial" w:hAnsi="Arial" w:hint="default"/>
      </w:rPr>
    </w:lvl>
    <w:lvl w:ilvl="4" w:tplc="8D06B140" w:tentative="1">
      <w:start w:val="1"/>
      <w:numFmt w:val="bullet"/>
      <w:lvlText w:val="•"/>
      <w:lvlJc w:val="left"/>
      <w:pPr>
        <w:tabs>
          <w:tab w:val="num" w:pos="3600"/>
        </w:tabs>
        <w:ind w:left="3600" w:hanging="360"/>
      </w:pPr>
      <w:rPr>
        <w:rFonts w:ascii="Arial" w:hAnsi="Arial" w:hint="default"/>
      </w:rPr>
    </w:lvl>
    <w:lvl w:ilvl="5" w:tplc="9AFC45F6" w:tentative="1">
      <w:start w:val="1"/>
      <w:numFmt w:val="bullet"/>
      <w:lvlText w:val="•"/>
      <w:lvlJc w:val="left"/>
      <w:pPr>
        <w:tabs>
          <w:tab w:val="num" w:pos="4320"/>
        </w:tabs>
        <w:ind w:left="4320" w:hanging="360"/>
      </w:pPr>
      <w:rPr>
        <w:rFonts w:ascii="Arial" w:hAnsi="Arial" w:hint="default"/>
      </w:rPr>
    </w:lvl>
    <w:lvl w:ilvl="6" w:tplc="766C877C" w:tentative="1">
      <w:start w:val="1"/>
      <w:numFmt w:val="bullet"/>
      <w:lvlText w:val="•"/>
      <w:lvlJc w:val="left"/>
      <w:pPr>
        <w:tabs>
          <w:tab w:val="num" w:pos="5040"/>
        </w:tabs>
        <w:ind w:left="5040" w:hanging="360"/>
      </w:pPr>
      <w:rPr>
        <w:rFonts w:ascii="Arial" w:hAnsi="Arial" w:hint="default"/>
      </w:rPr>
    </w:lvl>
    <w:lvl w:ilvl="7" w:tplc="2D84B072" w:tentative="1">
      <w:start w:val="1"/>
      <w:numFmt w:val="bullet"/>
      <w:lvlText w:val="•"/>
      <w:lvlJc w:val="left"/>
      <w:pPr>
        <w:tabs>
          <w:tab w:val="num" w:pos="5760"/>
        </w:tabs>
        <w:ind w:left="5760" w:hanging="360"/>
      </w:pPr>
      <w:rPr>
        <w:rFonts w:ascii="Arial" w:hAnsi="Arial" w:hint="default"/>
      </w:rPr>
    </w:lvl>
    <w:lvl w:ilvl="8" w:tplc="9EF6AC4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40855C9"/>
    <w:multiLevelType w:val="hybridMultilevel"/>
    <w:tmpl w:val="04021580"/>
    <w:lvl w:ilvl="0" w:tplc="F6722A4C">
      <w:start w:val="30"/>
      <w:numFmt w:val="bullet"/>
      <w:lvlText w:val="-"/>
      <w:lvlJc w:val="left"/>
      <w:pPr>
        <w:ind w:left="410" w:hanging="360"/>
      </w:pPr>
      <w:rPr>
        <w:rFonts w:ascii="Calibri" w:eastAsiaTheme="minorHAnsi" w:hAnsi="Calibri" w:cs="Calibri" w:hint="default"/>
      </w:rPr>
    </w:lvl>
    <w:lvl w:ilvl="1" w:tplc="18090003" w:tentative="1">
      <w:start w:val="1"/>
      <w:numFmt w:val="bullet"/>
      <w:lvlText w:val="o"/>
      <w:lvlJc w:val="left"/>
      <w:pPr>
        <w:ind w:left="1130" w:hanging="360"/>
      </w:pPr>
      <w:rPr>
        <w:rFonts w:ascii="Courier New" w:hAnsi="Courier New" w:cs="Courier New" w:hint="default"/>
      </w:rPr>
    </w:lvl>
    <w:lvl w:ilvl="2" w:tplc="18090005" w:tentative="1">
      <w:start w:val="1"/>
      <w:numFmt w:val="bullet"/>
      <w:lvlText w:val=""/>
      <w:lvlJc w:val="left"/>
      <w:pPr>
        <w:ind w:left="1850" w:hanging="360"/>
      </w:pPr>
      <w:rPr>
        <w:rFonts w:ascii="Wingdings" w:hAnsi="Wingdings" w:hint="default"/>
      </w:rPr>
    </w:lvl>
    <w:lvl w:ilvl="3" w:tplc="18090001" w:tentative="1">
      <w:start w:val="1"/>
      <w:numFmt w:val="bullet"/>
      <w:lvlText w:val=""/>
      <w:lvlJc w:val="left"/>
      <w:pPr>
        <w:ind w:left="2570" w:hanging="360"/>
      </w:pPr>
      <w:rPr>
        <w:rFonts w:ascii="Symbol" w:hAnsi="Symbol" w:hint="default"/>
      </w:rPr>
    </w:lvl>
    <w:lvl w:ilvl="4" w:tplc="18090003" w:tentative="1">
      <w:start w:val="1"/>
      <w:numFmt w:val="bullet"/>
      <w:lvlText w:val="o"/>
      <w:lvlJc w:val="left"/>
      <w:pPr>
        <w:ind w:left="3290" w:hanging="360"/>
      </w:pPr>
      <w:rPr>
        <w:rFonts w:ascii="Courier New" w:hAnsi="Courier New" w:cs="Courier New" w:hint="default"/>
      </w:rPr>
    </w:lvl>
    <w:lvl w:ilvl="5" w:tplc="18090005" w:tentative="1">
      <w:start w:val="1"/>
      <w:numFmt w:val="bullet"/>
      <w:lvlText w:val=""/>
      <w:lvlJc w:val="left"/>
      <w:pPr>
        <w:ind w:left="4010" w:hanging="360"/>
      </w:pPr>
      <w:rPr>
        <w:rFonts w:ascii="Wingdings" w:hAnsi="Wingdings" w:hint="default"/>
      </w:rPr>
    </w:lvl>
    <w:lvl w:ilvl="6" w:tplc="18090001" w:tentative="1">
      <w:start w:val="1"/>
      <w:numFmt w:val="bullet"/>
      <w:lvlText w:val=""/>
      <w:lvlJc w:val="left"/>
      <w:pPr>
        <w:ind w:left="4730" w:hanging="360"/>
      </w:pPr>
      <w:rPr>
        <w:rFonts w:ascii="Symbol" w:hAnsi="Symbol" w:hint="default"/>
      </w:rPr>
    </w:lvl>
    <w:lvl w:ilvl="7" w:tplc="18090003" w:tentative="1">
      <w:start w:val="1"/>
      <w:numFmt w:val="bullet"/>
      <w:lvlText w:val="o"/>
      <w:lvlJc w:val="left"/>
      <w:pPr>
        <w:ind w:left="5450" w:hanging="360"/>
      </w:pPr>
      <w:rPr>
        <w:rFonts w:ascii="Courier New" w:hAnsi="Courier New" w:cs="Courier New" w:hint="default"/>
      </w:rPr>
    </w:lvl>
    <w:lvl w:ilvl="8" w:tplc="18090005" w:tentative="1">
      <w:start w:val="1"/>
      <w:numFmt w:val="bullet"/>
      <w:lvlText w:val=""/>
      <w:lvlJc w:val="left"/>
      <w:pPr>
        <w:ind w:left="6170" w:hanging="360"/>
      </w:pPr>
      <w:rPr>
        <w:rFonts w:ascii="Wingdings" w:hAnsi="Wingdings" w:hint="default"/>
      </w:rPr>
    </w:lvl>
  </w:abstractNum>
  <w:abstractNum w:abstractNumId="9" w15:restartNumberingAfterBreak="0">
    <w:nsid w:val="343B66B2"/>
    <w:multiLevelType w:val="hybridMultilevel"/>
    <w:tmpl w:val="2D92878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9912E07"/>
    <w:multiLevelType w:val="hybridMultilevel"/>
    <w:tmpl w:val="15EA2B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B1E2917"/>
    <w:multiLevelType w:val="hybridMultilevel"/>
    <w:tmpl w:val="EABA6D20"/>
    <w:lvl w:ilvl="0" w:tplc="1876D6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C65185"/>
    <w:multiLevelType w:val="hybridMultilevel"/>
    <w:tmpl w:val="5EECEB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5BF04E3"/>
    <w:multiLevelType w:val="hybridMultilevel"/>
    <w:tmpl w:val="558060C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46B8516F"/>
    <w:multiLevelType w:val="hybridMultilevel"/>
    <w:tmpl w:val="BCE2ADFC"/>
    <w:lvl w:ilvl="0" w:tplc="C3C2897C">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55804DE1"/>
    <w:multiLevelType w:val="hybridMultilevel"/>
    <w:tmpl w:val="946091D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B5058DC"/>
    <w:multiLevelType w:val="hybridMultilevel"/>
    <w:tmpl w:val="90CEB562"/>
    <w:lvl w:ilvl="0" w:tplc="18090001">
      <w:start w:val="1"/>
      <w:numFmt w:val="bullet"/>
      <w:lvlText w:val=""/>
      <w:lvlJc w:val="left"/>
      <w:pPr>
        <w:ind w:left="643"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1037A80"/>
    <w:multiLevelType w:val="hybridMultilevel"/>
    <w:tmpl w:val="933CF6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E3A6B6B"/>
    <w:multiLevelType w:val="hybridMultilevel"/>
    <w:tmpl w:val="C8E20620"/>
    <w:lvl w:ilvl="0" w:tplc="F4E6BEA4">
      <w:start w:val="1"/>
      <w:numFmt w:val="decimal"/>
      <w:pStyle w:val="Heading2"/>
      <w:lvlText w:val="%1."/>
      <w:lvlJc w:val="left"/>
      <w:pPr>
        <w:ind w:left="643" w:hanging="360"/>
      </w:pPr>
      <w:rPr>
        <w:b/>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9" w15:restartNumberingAfterBreak="0">
    <w:nsid w:val="73D46268"/>
    <w:multiLevelType w:val="hybridMultilevel"/>
    <w:tmpl w:val="DB445B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5952FDE"/>
    <w:multiLevelType w:val="hybridMultilevel"/>
    <w:tmpl w:val="0A5A6A3C"/>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1" w15:restartNumberingAfterBreak="0">
    <w:nsid w:val="7F356F0E"/>
    <w:multiLevelType w:val="hybridMultilevel"/>
    <w:tmpl w:val="2FDA2F74"/>
    <w:lvl w:ilvl="0" w:tplc="ECB0BE40">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7"/>
  </w:num>
  <w:num w:numId="4">
    <w:abstractNumId w:val="2"/>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8"/>
  </w:num>
  <w:num w:numId="10">
    <w:abstractNumId w:val="16"/>
  </w:num>
  <w:num w:numId="11">
    <w:abstractNumId w:val="10"/>
  </w:num>
  <w:num w:numId="12">
    <w:abstractNumId w:val="19"/>
  </w:num>
  <w:num w:numId="13">
    <w:abstractNumId w:val="15"/>
  </w:num>
  <w:num w:numId="14">
    <w:abstractNumId w:val="11"/>
  </w:num>
  <w:num w:numId="15">
    <w:abstractNumId w:val="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1"/>
  </w:num>
  <w:num w:numId="19">
    <w:abstractNumId w:val="14"/>
  </w:num>
  <w:num w:numId="20">
    <w:abstractNumId w:val="6"/>
  </w:num>
  <w:num w:numId="21">
    <w:abstractNumId w:val="13"/>
  </w:num>
  <w:num w:numId="22">
    <w:abstractNumId w:val="20"/>
  </w:num>
  <w:num w:numId="23">
    <w:abstractNumId w:val="18"/>
    <w:lvlOverride w:ilvl="0">
      <w:startOverride w:val="1"/>
    </w:lvlOverride>
  </w:num>
  <w:num w:numId="24">
    <w:abstractNumId w:val="7"/>
  </w:num>
  <w:num w:numId="25">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B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fr-FR" w:vendorID="64" w:dllVersion="131078" w:nlCheck="1" w:checkStyle="0"/>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8D6D731E-56EB-4360-8B06-94120796FF32"/>
    <w:docVar w:name="LW_COVERPAGE_TYPE" w:val="1"/>
    <w:docVar w:name="LW_CROSSREFERENCE" w:val="{SWD(2022) 219 final}"/>
    <w:docVar w:name="LW_DocType" w:val="NORMAL"/>
    <w:docVar w:name="LW_EMISSION" w:val="1.9.2022"/>
    <w:docVar w:name="LW_EMISSION_ISODATE" w:val="2022-09-01"/>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2) 4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Deuxième rapport annuel sur le filtrage des investissements directs étrangers dans l'Union&lt;/FMT&gt;"/>
    <w:docVar w:name="LW_TYPE.DOC.CP" w:val="RAPPORT DE LA COMMISSION AU PARLEMENT EUROPÉEN ET AU CONSEIL"/>
    <w:docVar w:name="LwApiVersions" w:val="LW4CoDe 1.23.2.0; LW 8.0, Build 20211117"/>
  </w:docVars>
  <w:rsids>
    <w:rsidRoot w:val="00E733DD"/>
    <w:rsid w:val="BFE93AFA"/>
    <w:rsid w:val="C5FE6172"/>
    <w:rsid w:val="C71F3EEC"/>
    <w:rsid w:val="CB7C25B1"/>
    <w:rsid w:val="DCDF5647"/>
    <w:rsid w:val="EDD96202"/>
    <w:rsid w:val="FBCFAE09"/>
    <w:rsid w:val="FF5FAC88"/>
    <w:rsid w:val="FFE6A58E"/>
    <w:rsid w:val="FFFC30C4"/>
    <w:rsid w:val="00000072"/>
    <w:rsid w:val="00002940"/>
    <w:rsid w:val="00002BF7"/>
    <w:rsid w:val="00002E8D"/>
    <w:rsid w:val="000043A4"/>
    <w:rsid w:val="00005302"/>
    <w:rsid w:val="00007216"/>
    <w:rsid w:val="00010522"/>
    <w:rsid w:val="00010601"/>
    <w:rsid w:val="00010D8B"/>
    <w:rsid w:val="00011D28"/>
    <w:rsid w:val="00012D25"/>
    <w:rsid w:val="00014AEC"/>
    <w:rsid w:val="00016590"/>
    <w:rsid w:val="00016A3A"/>
    <w:rsid w:val="00017E32"/>
    <w:rsid w:val="00020A2A"/>
    <w:rsid w:val="00020A69"/>
    <w:rsid w:val="00022A13"/>
    <w:rsid w:val="000231F8"/>
    <w:rsid w:val="0002339C"/>
    <w:rsid w:val="00023C65"/>
    <w:rsid w:val="00024876"/>
    <w:rsid w:val="0002560B"/>
    <w:rsid w:val="0002649F"/>
    <w:rsid w:val="00026948"/>
    <w:rsid w:val="00026A7C"/>
    <w:rsid w:val="00026C06"/>
    <w:rsid w:val="00026C0F"/>
    <w:rsid w:val="0002712B"/>
    <w:rsid w:val="0003064D"/>
    <w:rsid w:val="00031351"/>
    <w:rsid w:val="00031372"/>
    <w:rsid w:val="000320CB"/>
    <w:rsid w:val="00032200"/>
    <w:rsid w:val="000327EE"/>
    <w:rsid w:val="00032D50"/>
    <w:rsid w:val="00034488"/>
    <w:rsid w:val="000350CD"/>
    <w:rsid w:val="00035A10"/>
    <w:rsid w:val="000362A9"/>
    <w:rsid w:val="00037A66"/>
    <w:rsid w:val="0004090E"/>
    <w:rsid w:val="0004161A"/>
    <w:rsid w:val="00041B50"/>
    <w:rsid w:val="00042BC9"/>
    <w:rsid w:val="00042CF1"/>
    <w:rsid w:val="000433C5"/>
    <w:rsid w:val="000434DE"/>
    <w:rsid w:val="00043EA5"/>
    <w:rsid w:val="00044322"/>
    <w:rsid w:val="00044B25"/>
    <w:rsid w:val="00044F8D"/>
    <w:rsid w:val="00045759"/>
    <w:rsid w:val="000465B3"/>
    <w:rsid w:val="00046F58"/>
    <w:rsid w:val="00047049"/>
    <w:rsid w:val="00047781"/>
    <w:rsid w:val="0005014F"/>
    <w:rsid w:val="00050316"/>
    <w:rsid w:val="0005086D"/>
    <w:rsid w:val="00050B8B"/>
    <w:rsid w:val="00051576"/>
    <w:rsid w:val="00051FFE"/>
    <w:rsid w:val="00052B2F"/>
    <w:rsid w:val="00053178"/>
    <w:rsid w:val="000540C8"/>
    <w:rsid w:val="0005410D"/>
    <w:rsid w:val="00054608"/>
    <w:rsid w:val="00054B72"/>
    <w:rsid w:val="00054DD6"/>
    <w:rsid w:val="00055168"/>
    <w:rsid w:val="00055894"/>
    <w:rsid w:val="00055C0C"/>
    <w:rsid w:val="00055F67"/>
    <w:rsid w:val="000573E3"/>
    <w:rsid w:val="00060001"/>
    <w:rsid w:val="000605E2"/>
    <w:rsid w:val="00060EEE"/>
    <w:rsid w:val="0006291F"/>
    <w:rsid w:val="000638E1"/>
    <w:rsid w:val="000644D8"/>
    <w:rsid w:val="00065531"/>
    <w:rsid w:val="00065600"/>
    <w:rsid w:val="00065EC1"/>
    <w:rsid w:val="000666FA"/>
    <w:rsid w:val="00066D64"/>
    <w:rsid w:val="0006767E"/>
    <w:rsid w:val="000679FE"/>
    <w:rsid w:val="00067C70"/>
    <w:rsid w:val="00067CCE"/>
    <w:rsid w:val="00067E1A"/>
    <w:rsid w:val="000700D5"/>
    <w:rsid w:val="00070492"/>
    <w:rsid w:val="00070908"/>
    <w:rsid w:val="00070A8E"/>
    <w:rsid w:val="00070ADD"/>
    <w:rsid w:val="00071A97"/>
    <w:rsid w:val="00072CA4"/>
    <w:rsid w:val="00073140"/>
    <w:rsid w:val="00075925"/>
    <w:rsid w:val="000762A4"/>
    <w:rsid w:val="00077012"/>
    <w:rsid w:val="00080448"/>
    <w:rsid w:val="0008077F"/>
    <w:rsid w:val="00080AFA"/>
    <w:rsid w:val="0008226F"/>
    <w:rsid w:val="0008548A"/>
    <w:rsid w:val="00085A1D"/>
    <w:rsid w:val="00086463"/>
    <w:rsid w:val="00086938"/>
    <w:rsid w:val="00086F84"/>
    <w:rsid w:val="00087DCC"/>
    <w:rsid w:val="0009000E"/>
    <w:rsid w:val="00090888"/>
    <w:rsid w:val="00090EA7"/>
    <w:rsid w:val="00091632"/>
    <w:rsid w:val="000922F7"/>
    <w:rsid w:val="00093AEF"/>
    <w:rsid w:val="0009443C"/>
    <w:rsid w:val="00094E5D"/>
    <w:rsid w:val="00095494"/>
    <w:rsid w:val="00095D48"/>
    <w:rsid w:val="00096E5C"/>
    <w:rsid w:val="0009701C"/>
    <w:rsid w:val="00097F20"/>
    <w:rsid w:val="000A1185"/>
    <w:rsid w:val="000A19C9"/>
    <w:rsid w:val="000A2AD5"/>
    <w:rsid w:val="000A2FB6"/>
    <w:rsid w:val="000A3A13"/>
    <w:rsid w:val="000A4E95"/>
    <w:rsid w:val="000A5190"/>
    <w:rsid w:val="000A632A"/>
    <w:rsid w:val="000B078B"/>
    <w:rsid w:val="000B1000"/>
    <w:rsid w:val="000B1FA3"/>
    <w:rsid w:val="000B274D"/>
    <w:rsid w:val="000B2BB4"/>
    <w:rsid w:val="000B3165"/>
    <w:rsid w:val="000B3E9C"/>
    <w:rsid w:val="000B3F25"/>
    <w:rsid w:val="000B50E7"/>
    <w:rsid w:val="000B5226"/>
    <w:rsid w:val="000B538C"/>
    <w:rsid w:val="000B5B91"/>
    <w:rsid w:val="000B5F3B"/>
    <w:rsid w:val="000B6675"/>
    <w:rsid w:val="000B6DC8"/>
    <w:rsid w:val="000B7145"/>
    <w:rsid w:val="000B72D3"/>
    <w:rsid w:val="000B79B7"/>
    <w:rsid w:val="000C0C65"/>
    <w:rsid w:val="000C0E0B"/>
    <w:rsid w:val="000C0E7E"/>
    <w:rsid w:val="000C25C5"/>
    <w:rsid w:val="000C3AA0"/>
    <w:rsid w:val="000C4078"/>
    <w:rsid w:val="000C4CD7"/>
    <w:rsid w:val="000C4FC2"/>
    <w:rsid w:val="000C5537"/>
    <w:rsid w:val="000C5943"/>
    <w:rsid w:val="000C5B87"/>
    <w:rsid w:val="000C61D3"/>
    <w:rsid w:val="000C705B"/>
    <w:rsid w:val="000C7102"/>
    <w:rsid w:val="000C76F5"/>
    <w:rsid w:val="000C791E"/>
    <w:rsid w:val="000C7EA0"/>
    <w:rsid w:val="000D041D"/>
    <w:rsid w:val="000D08D6"/>
    <w:rsid w:val="000D1A21"/>
    <w:rsid w:val="000D2843"/>
    <w:rsid w:val="000D3152"/>
    <w:rsid w:val="000D3C55"/>
    <w:rsid w:val="000D3C7B"/>
    <w:rsid w:val="000D4DF5"/>
    <w:rsid w:val="000D59AD"/>
    <w:rsid w:val="000D5E7F"/>
    <w:rsid w:val="000D62ED"/>
    <w:rsid w:val="000D6A11"/>
    <w:rsid w:val="000D6F56"/>
    <w:rsid w:val="000D7733"/>
    <w:rsid w:val="000D79D6"/>
    <w:rsid w:val="000E0BCB"/>
    <w:rsid w:val="000E0E24"/>
    <w:rsid w:val="000E1341"/>
    <w:rsid w:val="000E1537"/>
    <w:rsid w:val="000E2E94"/>
    <w:rsid w:val="000E3D85"/>
    <w:rsid w:val="000E4F30"/>
    <w:rsid w:val="000E5E72"/>
    <w:rsid w:val="000E620B"/>
    <w:rsid w:val="000E763A"/>
    <w:rsid w:val="000F0A41"/>
    <w:rsid w:val="000F0DA1"/>
    <w:rsid w:val="000F1C4D"/>
    <w:rsid w:val="000F40E1"/>
    <w:rsid w:val="000F4348"/>
    <w:rsid w:val="000F4BBD"/>
    <w:rsid w:val="000F5E54"/>
    <w:rsid w:val="000F6568"/>
    <w:rsid w:val="000F70CA"/>
    <w:rsid w:val="0010154D"/>
    <w:rsid w:val="00101C6D"/>
    <w:rsid w:val="001021B9"/>
    <w:rsid w:val="0010262F"/>
    <w:rsid w:val="00103227"/>
    <w:rsid w:val="00103773"/>
    <w:rsid w:val="001049D5"/>
    <w:rsid w:val="001059BF"/>
    <w:rsid w:val="00105D5C"/>
    <w:rsid w:val="00107AEA"/>
    <w:rsid w:val="00107CE6"/>
    <w:rsid w:val="00110194"/>
    <w:rsid w:val="00110904"/>
    <w:rsid w:val="001110FD"/>
    <w:rsid w:val="001113A3"/>
    <w:rsid w:val="0011157D"/>
    <w:rsid w:val="00111B82"/>
    <w:rsid w:val="00111E10"/>
    <w:rsid w:val="0011267B"/>
    <w:rsid w:val="001137FA"/>
    <w:rsid w:val="001144FC"/>
    <w:rsid w:val="00114E31"/>
    <w:rsid w:val="00115620"/>
    <w:rsid w:val="001169E9"/>
    <w:rsid w:val="00116A1E"/>
    <w:rsid w:val="00116D70"/>
    <w:rsid w:val="00116EBC"/>
    <w:rsid w:val="0011768A"/>
    <w:rsid w:val="001179EC"/>
    <w:rsid w:val="00120C50"/>
    <w:rsid w:val="00121103"/>
    <w:rsid w:val="00121146"/>
    <w:rsid w:val="00121C0C"/>
    <w:rsid w:val="001240CD"/>
    <w:rsid w:val="00124F08"/>
    <w:rsid w:val="00125CD8"/>
    <w:rsid w:val="00126A74"/>
    <w:rsid w:val="00130E05"/>
    <w:rsid w:val="00132C3D"/>
    <w:rsid w:val="00134864"/>
    <w:rsid w:val="00134B1A"/>
    <w:rsid w:val="0013503F"/>
    <w:rsid w:val="00135408"/>
    <w:rsid w:val="00135A52"/>
    <w:rsid w:val="00136119"/>
    <w:rsid w:val="001365D7"/>
    <w:rsid w:val="001368CD"/>
    <w:rsid w:val="00141200"/>
    <w:rsid w:val="001418A5"/>
    <w:rsid w:val="00142CE3"/>
    <w:rsid w:val="00142FC2"/>
    <w:rsid w:val="001432F1"/>
    <w:rsid w:val="001438A3"/>
    <w:rsid w:val="00146C6E"/>
    <w:rsid w:val="0015014F"/>
    <w:rsid w:val="0015241A"/>
    <w:rsid w:val="00153C63"/>
    <w:rsid w:val="00153C88"/>
    <w:rsid w:val="00154EA0"/>
    <w:rsid w:val="0015542F"/>
    <w:rsid w:val="001565B9"/>
    <w:rsid w:val="00156FEE"/>
    <w:rsid w:val="0015736E"/>
    <w:rsid w:val="00160774"/>
    <w:rsid w:val="001612D9"/>
    <w:rsid w:val="0016263C"/>
    <w:rsid w:val="00162A17"/>
    <w:rsid w:val="00162D9E"/>
    <w:rsid w:val="00164745"/>
    <w:rsid w:val="0016571F"/>
    <w:rsid w:val="001668E4"/>
    <w:rsid w:val="00166C92"/>
    <w:rsid w:val="001705EA"/>
    <w:rsid w:val="001707CF"/>
    <w:rsid w:val="00170D82"/>
    <w:rsid w:val="00171667"/>
    <w:rsid w:val="00171D7D"/>
    <w:rsid w:val="00174BC5"/>
    <w:rsid w:val="001752E1"/>
    <w:rsid w:val="00177F69"/>
    <w:rsid w:val="00180143"/>
    <w:rsid w:val="001807B1"/>
    <w:rsid w:val="00181000"/>
    <w:rsid w:val="001812AA"/>
    <w:rsid w:val="001825BB"/>
    <w:rsid w:val="00182F8D"/>
    <w:rsid w:val="00185687"/>
    <w:rsid w:val="001861C7"/>
    <w:rsid w:val="00186494"/>
    <w:rsid w:val="0018673A"/>
    <w:rsid w:val="00186E90"/>
    <w:rsid w:val="00187338"/>
    <w:rsid w:val="001908B6"/>
    <w:rsid w:val="00191B0D"/>
    <w:rsid w:val="00192BFA"/>
    <w:rsid w:val="00194753"/>
    <w:rsid w:val="00194FD9"/>
    <w:rsid w:val="00195AE9"/>
    <w:rsid w:val="00196352"/>
    <w:rsid w:val="00196F98"/>
    <w:rsid w:val="00197746"/>
    <w:rsid w:val="00197A9F"/>
    <w:rsid w:val="001A0535"/>
    <w:rsid w:val="001A0D2C"/>
    <w:rsid w:val="001A1A08"/>
    <w:rsid w:val="001A214C"/>
    <w:rsid w:val="001A2314"/>
    <w:rsid w:val="001A36B8"/>
    <w:rsid w:val="001A43C5"/>
    <w:rsid w:val="001A4EE0"/>
    <w:rsid w:val="001A517B"/>
    <w:rsid w:val="001A5411"/>
    <w:rsid w:val="001A585E"/>
    <w:rsid w:val="001A5A19"/>
    <w:rsid w:val="001A5BFD"/>
    <w:rsid w:val="001B030A"/>
    <w:rsid w:val="001B0704"/>
    <w:rsid w:val="001B1512"/>
    <w:rsid w:val="001B2239"/>
    <w:rsid w:val="001B5CB3"/>
    <w:rsid w:val="001B6E21"/>
    <w:rsid w:val="001B7577"/>
    <w:rsid w:val="001C095D"/>
    <w:rsid w:val="001C17E9"/>
    <w:rsid w:val="001C2222"/>
    <w:rsid w:val="001C3CBE"/>
    <w:rsid w:val="001C4027"/>
    <w:rsid w:val="001C45A4"/>
    <w:rsid w:val="001C45F3"/>
    <w:rsid w:val="001C495B"/>
    <w:rsid w:val="001C4D78"/>
    <w:rsid w:val="001C51CB"/>
    <w:rsid w:val="001C53B7"/>
    <w:rsid w:val="001C6A1B"/>
    <w:rsid w:val="001C6AD9"/>
    <w:rsid w:val="001C7303"/>
    <w:rsid w:val="001D000D"/>
    <w:rsid w:val="001D2111"/>
    <w:rsid w:val="001D46C4"/>
    <w:rsid w:val="001D499F"/>
    <w:rsid w:val="001D5296"/>
    <w:rsid w:val="001D633F"/>
    <w:rsid w:val="001D6B38"/>
    <w:rsid w:val="001D6E10"/>
    <w:rsid w:val="001D7654"/>
    <w:rsid w:val="001E026A"/>
    <w:rsid w:val="001E073F"/>
    <w:rsid w:val="001E2437"/>
    <w:rsid w:val="001E2A1E"/>
    <w:rsid w:val="001E2DA7"/>
    <w:rsid w:val="001E4039"/>
    <w:rsid w:val="001E49C1"/>
    <w:rsid w:val="001E58AA"/>
    <w:rsid w:val="001E5FF3"/>
    <w:rsid w:val="001E65D0"/>
    <w:rsid w:val="001E6E15"/>
    <w:rsid w:val="001F12C7"/>
    <w:rsid w:val="001F1731"/>
    <w:rsid w:val="001F1FC2"/>
    <w:rsid w:val="001F3D9A"/>
    <w:rsid w:val="001F4151"/>
    <w:rsid w:val="001F52C5"/>
    <w:rsid w:val="001F55FF"/>
    <w:rsid w:val="001F608F"/>
    <w:rsid w:val="001F6804"/>
    <w:rsid w:val="001F7358"/>
    <w:rsid w:val="001F777A"/>
    <w:rsid w:val="001F783A"/>
    <w:rsid w:val="001F7B44"/>
    <w:rsid w:val="001F7C28"/>
    <w:rsid w:val="002030A5"/>
    <w:rsid w:val="002067D6"/>
    <w:rsid w:val="00207F09"/>
    <w:rsid w:val="00210C80"/>
    <w:rsid w:val="00211138"/>
    <w:rsid w:val="00212071"/>
    <w:rsid w:val="002125A0"/>
    <w:rsid w:val="00212ADA"/>
    <w:rsid w:val="00213177"/>
    <w:rsid w:val="00215E69"/>
    <w:rsid w:val="0021609A"/>
    <w:rsid w:val="00216661"/>
    <w:rsid w:val="00217263"/>
    <w:rsid w:val="002173D9"/>
    <w:rsid w:val="0021741E"/>
    <w:rsid w:val="0021796A"/>
    <w:rsid w:val="002213AA"/>
    <w:rsid w:val="002215BF"/>
    <w:rsid w:val="002226A8"/>
    <w:rsid w:val="00222BBE"/>
    <w:rsid w:val="002248C5"/>
    <w:rsid w:val="00224EC7"/>
    <w:rsid w:val="002254AA"/>
    <w:rsid w:val="00225635"/>
    <w:rsid w:val="0022589F"/>
    <w:rsid w:val="00225A96"/>
    <w:rsid w:val="002268E4"/>
    <w:rsid w:val="00226BB1"/>
    <w:rsid w:val="00226E2B"/>
    <w:rsid w:val="00227785"/>
    <w:rsid w:val="00227B79"/>
    <w:rsid w:val="00227E3A"/>
    <w:rsid w:val="00230B26"/>
    <w:rsid w:val="002317EB"/>
    <w:rsid w:val="002329AF"/>
    <w:rsid w:val="00234F05"/>
    <w:rsid w:val="002359E5"/>
    <w:rsid w:val="00235DCB"/>
    <w:rsid w:val="0023666F"/>
    <w:rsid w:val="00236901"/>
    <w:rsid w:val="0023761C"/>
    <w:rsid w:val="00237ADD"/>
    <w:rsid w:val="0024044B"/>
    <w:rsid w:val="00240B51"/>
    <w:rsid w:val="00240C7D"/>
    <w:rsid w:val="002434B7"/>
    <w:rsid w:val="0024393A"/>
    <w:rsid w:val="00244275"/>
    <w:rsid w:val="00247D58"/>
    <w:rsid w:val="0025141E"/>
    <w:rsid w:val="0025322A"/>
    <w:rsid w:val="00254813"/>
    <w:rsid w:val="00255287"/>
    <w:rsid w:val="00255C6C"/>
    <w:rsid w:val="0025644F"/>
    <w:rsid w:val="0025701E"/>
    <w:rsid w:val="002575C1"/>
    <w:rsid w:val="00257949"/>
    <w:rsid w:val="00260785"/>
    <w:rsid w:val="00261B56"/>
    <w:rsid w:val="00262839"/>
    <w:rsid w:val="00264BC6"/>
    <w:rsid w:val="00265A30"/>
    <w:rsid w:val="00265B50"/>
    <w:rsid w:val="00266507"/>
    <w:rsid w:val="00266690"/>
    <w:rsid w:val="0026767E"/>
    <w:rsid w:val="0027034B"/>
    <w:rsid w:val="00270E66"/>
    <w:rsid w:val="00271374"/>
    <w:rsid w:val="00271443"/>
    <w:rsid w:val="002719F5"/>
    <w:rsid w:val="002724E1"/>
    <w:rsid w:val="00272E90"/>
    <w:rsid w:val="00273415"/>
    <w:rsid w:val="0027395E"/>
    <w:rsid w:val="00275357"/>
    <w:rsid w:val="002759E2"/>
    <w:rsid w:val="00275F89"/>
    <w:rsid w:val="00276736"/>
    <w:rsid w:val="00276A3E"/>
    <w:rsid w:val="002776AC"/>
    <w:rsid w:val="00277F3E"/>
    <w:rsid w:val="00280047"/>
    <w:rsid w:val="00281E49"/>
    <w:rsid w:val="0028283D"/>
    <w:rsid w:val="0028283F"/>
    <w:rsid w:val="00282B34"/>
    <w:rsid w:val="00282BEE"/>
    <w:rsid w:val="00282D8A"/>
    <w:rsid w:val="002835EB"/>
    <w:rsid w:val="00284326"/>
    <w:rsid w:val="00286B45"/>
    <w:rsid w:val="00286D90"/>
    <w:rsid w:val="00286F14"/>
    <w:rsid w:val="0028737C"/>
    <w:rsid w:val="0028763C"/>
    <w:rsid w:val="00287BAB"/>
    <w:rsid w:val="0029030F"/>
    <w:rsid w:val="002904AC"/>
    <w:rsid w:val="00291BB5"/>
    <w:rsid w:val="0029298B"/>
    <w:rsid w:val="00293183"/>
    <w:rsid w:val="0029318F"/>
    <w:rsid w:val="00293C24"/>
    <w:rsid w:val="00293EC9"/>
    <w:rsid w:val="002941F1"/>
    <w:rsid w:val="0029513C"/>
    <w:rsid w:val="00296465"/>
    <w:rsid w:val="00296FED"/>
    <w:rsid w:val="00297319"/>
    <w:rsid w:val="00297F45"/>
    <w:rsid w:val="002A05C3"/>
    <w:rsid w:val="002A0729"/>
    <w:rsid w:val="002A0A6E"/>
    <w:rsid w:val="002A0BAB"/>
    <w:rsid w:val="002A2246"/>
    <w:rsid w:val="002A226A"/>
    <w:rsid w:val="002A27EE"/>
    <w:rsid w:val="002A2D29"/>
    <w:rsid w:val="002A2E36"/>
    <w:rsid w:val="002A3322"/>
    <w:rsid w:val="002A3337"/>
    <w:rsid w:val="002A4165"/>
    <w:rsid w:val="002A4BB8"/>
    <w:rsid w:val="002A56C0"/>
    <w:rsid w:val="002A59A5"/>
    <w:rsid w:val="002A6407"/>
    <w:rsid w:val="002A64BD"/>
    <w:rsid w:val="002A6F61"/>
    <w:rsid w:val="002A72F0"/>
    <w:rsid w:val="002A73B6"/>
    <w:rsid w:val="002B0899"/>
    <w:rsid w:val="002B0B7A"/>
    <w:rsid w:val="002B1186"/>
    <w:rsid w:val="002B168F"/>
    <w:rsid w:val="002B1C73"/>
    <w:rsid w:val="002B269E"/>
    <w:rsid w:val="002B2E5C"/>
    <w:rsid w:val="002B4029"/>
    <w:rsid w:val="002B43BC"/>
    <w:rsid w:val="002B496F"/>
    <w:rsid w:val="002B6628"/>
    <w:rsid w:val="002B6A68"/>
    <w:rsid w:val="002C032D"/>
    <w:rsid w:val="002C0C24"/>
    <w:rsid w:val="002C1C40"/>
    <w:rsid w:val="002C37B6"/>
    <w:rsid w:val="002C3EA9"/>
    <w:rsid w:val="002C46AF"/>
    <w:rsid w:val="002C4A43"/>
    <w:rsid w:val="002C7841"/>
    <w:rsid w:val="002D0C1A"/>
    <w:rsid w:val="002D145C"/>
    <w:rsid w:val="002D1750"/>
    <w:rsid w:val="002D515D"/>
    <w:rsid w:val="002D5E94"/>
    <w:rsid w:val="002D69BA"/>
    <w:rsid w:val="002D6E6E"/>
    <w:rsid w:val="002D75CF"/>
    <w:rsid w:val="002D7A3E"/>
    <w:rsid w:val="002D7A6C"/>
    <w:rsid w:val="002E012A"/>
    <w:rsid w:val="002E096F"/>
    <w:rsid w:val="002E0ADF"/>
    <w:rsid w:val="002E1FFA"/>
    <w:rsid w:val="002E200F"/>
    <w:rsid w:val="002E2C33"/>
    <w:rsid w:val="002E40F4"/>
    <w:rsid w:val="002E54B4"/>
    <w:rsid w:val="002E5AA6"/>
    <w:rsid w:val="002E6BE5"/>
    <w:rsid w:val="002E6DC9"/>
    <w:rsid w:val="002E76BA"/>
    <w:rsid w:val="002F020B"/>
    <w:rsid w:val="002F0B69"/>
    <w:rsid w:val="002F1782"/>
    <w:rsid w:val="002F1E65"/>
    <w:rsid w:val="002F23A2"/>
    <w:rsid w:val="002F2B0F"/>
    <w:rsid w:val="002F31DE"/>
    <w:rsid w:val="002F3755"/>
    <w:rsid w:val="002F4674"/>
    <w:rsid w:val="002F5E00"/>
    <w:rsid w:val="002F6D79"/>
    <w:rsid w:val="002F75C7"/>
    <w:rsid w:val="00300072"/>
    <w:rsid w:val="00302266"/>
    <w:rsid w:val="003024FA"/>
    <w:rsid w:val="0030264C"/>
    <w:rsid w:val="00302992"/>
    <w:rsid w:val="003037A6"/>
    <w:rsid w:val="00303A0C"/>
    <w:rsid w:val="003047DB"/>
    <w:rsid w:val="003051D7"/>
    <w:rsid w:val="00305B68"/>
    <w:rsid w:val="00306748"/>
    <w:rsid w:val="003067C5"/>
    <w:rsid w:val="00306946"/>
    <w:rsid w:val="00306C96"/>
    <w:rsid w:val="0030765D"/>
    <w:rsid w:val="00311A08"/>
    <w:rsid w:val="0031356B"/>
    <w:rsid w:val="00314B1B"/>
    <w:rsid w:val="00314B75"/>
    <w:rsid w:val="00315251"/>
    <w:rsid w:val="00315542"/>
    <w:rsid w:val="00316483"/>
    <w:rsid w:val="0031661E"/>
    <w:rsid w:val="00316698"/>
    <w:rsid w:val="00316925"/>
    <w:rsid w:val="0031728E"/>
    <w:rsid w:val="00317D13"/>
    <w:rsid w:val="00320419"/>
    <w:rsid w:val="003208F8"/>
    <w:rsid w:val="0032113B"/>
    <w:rsid w:val="0032127E"/>
    <w:rsid w:val="003217EE"/>
    <w:rsid w:val="00321D57"/>
    <w:rsid w:val="00321F3C"/>
    <w:rsid w:val="00321FCB"/>
    <w:rsid w:val="00322194"/>
    <w:rsid w:val="00323C7F"/>
    <w:rsid w:val="00325DFB"/>
    <w:rsid w:val="003265B0"/>
    <w:rsid w:val="00326EAF"/>
    <w:rsid w:val="00327712"/>
    <w:rsid w:val="00330817"/>
    <w:rsid w:val="00330BC2"/>
    <w:rsid w:val="00331600"/>
    <w:rsid w:val="00331BBC"/>
    <w:rsid w:val="00331F4C"/>
    <w:rsid w:val="00332896"/>
    <w:rsid w:val="00333507"/>
    <w:rsid w:val="003336B7"/>
    <w:rsid w:val="003339DC"/>
    <w:rsid w:val="00334E82"/>
    <w:rsid w:val="00335197"/>
    <w:rsid w:val="00335DB4"/>
    <w:rsid w:val="003362CB"/>
    <w:rsid w:val="0033661A"/>
    <w:rsid w:val="00337E59"/>
    <w:rsid w:val="00341037"/>
    <w:rsid w:val="00341A3C"/>
    <w:rsid w:val="003426FA"/>
    <w:rsid w:val="00342B7A"/>
    <w:rsid w:val="00343141"/>
    <w:rsid w:val="003432CA"/>
    <w:rsid w:val="00344E3C"/>
    <w:rsid w:val="003463E9"/>
    <w:rsid w:val="0034682C"/>
    <w:rsid w:val="003473B4"/>
    <w:rsid w:val="003479DD"/>
    <w:rsid w:val="003504C3"/>
    <w:rsid w:val="00350EF4"/>
    <w:rsid w:val="00351053"/>
    <w:rsid w:val="00351526"/>
    <w:rsid w:val="00351A29"/>
    <w:rsid w:val="003558AF"/>
    <w:rsid w:val="00356794"/>
    <w:rsid w:val="00357073"/>
    <w:rsid w:val="003572A2"/>
    <w:rsid w:val="00360151"/>
    <w:rsid w:val="00360E00"/>
    <w:rsid w:val="00361FCF"/>
    <w:rsid w:val="003622A8"/>
    <w:rsid w:val="0036258F"/>
    <w:rsid w:val="003627EF"/>
    <w:rsid w:val="003629AB"/>
    <w:rsid w:val="00362AF8"/>
    <w:rsid w:val="00362B51"/>
    <w:rsid w:val="0036415D"/>
    <w:rsid w:val="0036592C"/>
    <w:rsid w:val="00367830"/>
    <w:rsid w:val="003706C8"/>
    <w:rsid w:val="00370995"/>
    <w:rsid w:val="00371FA4"/>
    <w:rsid w:val="00374623"/>
    <w:rsid w:val="00376BF0"/>
    <w:rsid w:val="00377BD2"/>
    <w:rsid w:val="00380848"/>
    <w:rsid w:val="00381279"/>
    <w:rsid w:val="003812F9"/>
    <w:rsid w:val="0038139A"/>
    <w:rsid w:val="00383042"/>
    <w:rsid w:val="00385183"/>
    <w:rsid w:val="003851CD"/>
    <w:rsid w:val="003857D4"/>
    <w:rsid w:val="00385A98"/>
    <w:rsid w:val="00385C1E"/>
    <w:rsid w:val="00386489"/>
    <w:rsid w:val="00390862"/>
    <w:rsid w:val="00391453"/>
    <w:rsid w:val="0039239C"/>
    <w:rsid w:val="00392E3D"/>
    <w:rsid w:val="00393239"/>
    <w:rsid w:val="00393BB8"/>
    <w:rsid w:val="003947EB"/>
    <w:rsid w:val="00394BB8"/>
    <w:rsid w:val="00395916"/>
    <w:rsid w:val="003962B3"/>
    <w:rsid w:val="003966DD"/>
    <w:rsid w:val="00396B5A"/>
    <w:rsid w:val="00397C69"/>
    <w:rsid w:val="003A1457"/>
    <w:rsid w:val="003A14CE"/>
    <w:rsid w:val="003A16A8"/>
    <w:rsid w:val="003A19C4"/>
    <w:rsid w:val="003A2743"/>
    <w:rsid w:val="003A281A"/>
    <w:rsid w:val="003A347A"/>
    <w:rsid w:val="003A39B0"/>
    <w:rsid w:val="003A4270"/>
    <w:rsid w:val="003A4B80"/>
    <w:rsid w:val="003A7327"/>
    <w:rsid w:val="003A7C9E"/>
    <w:rsid w:val="003B0099"/>
    <w:rsid w:val="003B078F"/>
    <w:rsid w:val="003B1E85"/>
    <w:rsid w:val="003B2754"/>
    <w:rsid w:val="003B5665"/>
    <w:rsid w:val="003B693A"/>
    <w:rsid w:val="003B70CA"/>
    <w:rsid w:val="003B7ADF"/>
    <w:rsid w:val="003B7B1C"/>
    <w:rsid w:val="003C10C8"/>
    <w:rsid w:val="003C1A9D"/>
    <w:rsid w:val="003C1FB3"/>
    <w:rsid w:val="003C2578"/>
    <w:rsid w:val="003C2616"/>
    <w:rsid w:val="003C2761"/>
    <w:rsid w:val="003C3503"/>
    <w:rsid w:val="003C37EA"/>
    <w:rsid w:val="003C4215"/>
    <w:rsid w:val="003C4651"/>
    <w:rsid w:val="003C56B9"/>
    <w:rsid w:val="003C5E62"/>
    <w:rsid w:val="003C6643"/>
    <w:rsid w:val="003C7265"/>
    <w:rsid w:val="003C756F"/>
    <w:rsid w:val="003C7A5C"/>
    <w:rsid w:val="003C7FAA"/>
    <w:rsid w:val="003D03BF"/>
    <w:rsid w:val="003D15DB"/>
    <w:rsid w:val="003D1CF4"/>
    <w:rsid w:val="003D2432"/>
    <w:rsid w:val="003D24F2"/>
    <w:rsid w:val="003D24FA"/>
    <w:rsid w:val="003D2D6D"/>
    <w:rsid w:val="003D34A7"/>
    <w:rsid w:val="003D3D5A"/>
    <w:rsid w:val="003D4386"/>
    <w:rsid w:val="003D4AA8"/>
    <w:rsid w:val="003E001C"/>
    <w:rsid w:val="003E02A7"/>
    <w:rsid w:val="003E2AB3"/>
    <w:rsid w:val="003E3665"/>
    <w:rsid w:val="003E3BE8"/>
    <w:rsid w:val="003E41C3"/>
    <w:rsid w:val="003E4B4F"/>
    <w:rsid w:val="003E5890"/>
    <w:rsid w:val="003E765C"/>
    <w:rsid w:val="003F08F3"/>
    <w:rsid w:val="003F1F82"/>
    <w:rsid w:val="003F31E2"/>
    <w:rsid w:val="003F3756"/>
    <w:rsid w:val="003F3DCE"/>
    <w:rsid w:val="003F5202"/>
    <w:rsid w:val="003F62A1"/>
    <w:rsid w:val="003F67CB"/>
    <w:rsid w:val="003F6A50"/>
    <w:rsid w:val="003F6EFB"/>
    <w:rsid w:val="003F7927"/>
    <w:rsid w:val="003F7958"/>
    <w:rsid w:val="003F7C1A"/>
    <w:rsid w:val="003F7D0E"/>
    <w:rsid w:val="0040017E"/>
    <w:rsid w:val="0040222F"/>
    <w:rsid w:val="00403843"/>
    <w:rsid w:val="00403A0A"/>
    <w:rsid w:val="00403AB8"/>
    <w:rsid w:val="00404B8F"/>
    <w:rsid w:val="00404D09"/>
    <w:rsid w:val="00405BA6"/>
    <w:rsid w:val="00405D74"/>
    <w:rsid w:val="00406425"/>
    <w:rsid w:val="00406FFA"/>
    <w:rsid w:val="00410BAF"/>
    <w:rsid w:val="0041128F"/>
    <w:rsid w:val="00411505"/>
    <w:rsid w:val="00411CDF"/>
    <w:rsid w:val="00412494"/>
    <w:rsid w:val="00412FC6"/>
    <w:rsid w:val="004145BF"/>
    <w:rsid w:val="00414DE3"/>
    <w:rsid w:val="00415F50"/>
    <w:rsid w:val="0041626A"/>
    <w:rsid w:val="004165A0"/>
    <w:rsid w:val="004167CD"/>
    <w:rsid w:val="00417BE8"/>
    <w:rsid w:val="004203E8"/>
    <w:rsid w:val="00420982"/>
    <w:rsid w:val="0042136E"/>
    <w:rsid w:val="004215C2"/>
    <w:rsid w:val="00421AB3"/>
    <w:rsid w:val="00421CF5"/>
    <w:rsid w:val="004223F3"/>
    <w:rsid w:val="0042246F"/>
    <w:rsid w:val="0042256D"/>
    <w:rsid w:val="0042295F"/>
    <w:rsid w:val="00422C7C"/>
    <w:rsid w:val="004230C5"/>
    <w:rsid w:val="00423F65"/>
    <w:rsid w:val="004255F1"/>
    <w:rsid w:val="0042590C"/>
    <w:rsid w:val="00425FA4"/>
    <w:rsid w:val="004260F7"/>
    <w:rsid w:val="0042774F"/>
    <w:rsid w:val="00427D98"/>
    <w:rsid w:val="00427FDC"/>
    <w:rsid w:val="00430445"/>
    <w:rsid w:val="0043074F"/>
    <w:rsid w:val="00430A0E"/>
    <w:rsid w:val="00430AB2"/>
    <w:rsid w:val="004310B3"/>
    <w:rsid w:val="004318BF"/>
    <w:rsid w:val="00431C51"/>
    <w:rsid w:val="00431E0D"/>
    <w:rsid w:val="004321DF"/>
    <w:rsid w:val="00432B13"/>
    <w:rsid w:val="00433CCD"/>
    <w:rsid w:val="00434B8D"/>
    <w:rsid w:val="00434CD7"/>
    <w:rsid w:val="00435EC7"/>
    <w:rsid w:val="0043624E"/>
    <w:rsid w:val="004403D6"/>
    <w:rsid w:val="004430F8"/>
    <w:rsid w:val="0044322D"/>
    <w:rsid w:val="00444215"/>
    <w:rsid w:val="00444690"/>
    <w:rsid w:val="00444D7F"/>
    <w:rsid w:val="0044597F"/>
    <w:rsid w:val="00446736"/>
    <w:rsid w:val="00446D6B"/>
    <w:rsid w:val="00450EA9"/>
    <w:rsid w:val="00451CDE"/>
    <w:rsid w:val="004528BE"/>
    <w:rsid w:val="00453D19"/>
    <w:rsid w:val="00453E1D"/>
    <w:rsid w:val="0045424E"/>
    <w:rsid w:val="004542A6"/>
    <w:rsid w:val="00454373"/>
    <w:rsid w:val="004552C3"/>
    <w:rsid w:val="004562D6"/>
    <w:rsid w:val="0045753D"/>
    <w:rsid w:val="00461F94"/>
    <w:rsid w:val="00462573"/>
    <w:rsid w:val="00463A66"/>
    <w:rsid w:val="00463B16"/>
    <w:rsid w:val="00464072"/>
    <w:rsid w:val="004641DD"/>
    <w:rsid w:val="004659F2"/>
    <w:rsid w:val="00467871"/>
    <w:rsid w:val="00467E41"/>
    <w:rsid w:val="004701E1"/>
    <w:rsid w:val="004702A7"/>
    <w:rsid w:val="00472787"/>
    <w:rsid w:val="00472FBF"/>
    <w:rsid w:val="004734D1"/>
    <w:rsid w:val="00474AEF"/>
    <w:rsid w:val="00474CE6"/>
    <w:rsid w:val="00474E4C"/>
    <w:rsid w:val="004757A7"/>
    <w:rsid w:val="004770FC"/>
    <w:rsid w:val="00482AE2"/>
    <w:rsid w:val="00483FA6"/>
    <w:rsid w:val="0048478A"/>
    <w:rsid w:val="00484933"/>
    <w:rsid w:val="00485D26"/>
    <w:rsid w:val="00486DD1"/>
    <w:rsid w:val="00487869"/>
    <w:rsid w:val="00491A58"/>
    <w:rsid w:val="00491DAA"/>
    <w:rsid w:val="00492056"/>
    <w:rsid w:val="004922E5"/>
    <w:rsid w:val="004967E2"/>
    <w:rsid w:val="00497050"/>
    <w:rsid w:val="004973F9"/>
    <w:rsid w:val="004A05AD"/>
    <w:rsid w:val="004A06DA"/>
    <w:rsid w:val="004A08D9"/>
    <w:rsid w:val="004A1006"/>
    <w:rsid w:val="004A16D2"/>
    <w:rsid w:val="004A22E7"/>
    <w:rsid w:val="004A2CEE"/>
    <w:rsid w:val="004A35E7"/>
    <w:rsid w:val="004A3A0E"/>
    <w:rsid w:val="004A4897"/>
    <w:rsid w:val="004A50CB"/>
    <w:rsid w:val="004A57A9"/>
    <w:rsid w:val="004A5C01"/>
    <w:rsid w:val="004A7DC3"/>
    <w:rsid w:val="004B3344"/>
    <w:rsid w:val="004B3F24"/>
    <w:rsid w:val="004B407E"/>
    <w:rsid w:val="004B4461"/>
    <w:rsid w:val="004B46E3"/>
    <w:rsid w:val="004B4EAC"/>
    <w:rsid w:val="004B5FA8"/>
    <w:rsid w:val="004B651D"/>
    <w:rsid w:val="004B6993"/>
    <w:rsid w:val="004B7122"/>
    <w:rsid w:val="004B78A6"/>
    <w:rsid w:val="004B7E86"/>
    <w:rsid w:val="004C045A"/>
    <w:rsid w:val="004C05BB"/>
    <w:rsid w:val="004C1518"/>
    <w:rsid w:val="004C20DC"/>
    <w:rsid w:val="004C21BD"/>
    <w:rsid w:val="004C2B8E"/>
    <w:rsid w:val="004C2FDA"/>
    <w:rsid w:val="004C3BC8"/>
    <w:rsid w:val="004C3DB9"/>
    <w:rsid w:val="004C43DF"/>
    <w:rsid w:val="004C4D2B"/>
    <w:rsid w:val="004C568B"/>
    <w:rsid w:val="004C59A3"/>
    <w:rsid w:val="004C6338"/>
    <w:rsid w:val="004C670E"/>
    <w:rsid w:val="004C6C13"/>
    <w:rsid w:val="004C74AF"/>
    <w:rsid w:val="004D24E5"/>
    <w:rsid w:val="004D281C"/>
    <w:rsid w:val="004D2C6B"/>
    <w:rsid w:val="004D2E6A"/>
    <w:rsid w:val="004D3641"/>
    <w:rsid w:val="004D3DC1"/>
    <w:rsid w:val="004D5C1A"/>
    <w:rsid w:val="004E0A62"/>
    <w:rsid w:val="004E0AF0"/>
    <w:rsid w:val="004E0DDE"/>
    <w:rsid w:val="004E10B8"/>
    <w:rsid w:val="004E1577"/>
    <w:rsid w:val="004E1C17"/>
    <w:rsid w:val="004E1E2B"/>
    <w:rsid w:val="004E47B8"/>
    <w:rsid w:val="004E4E13"/>
    <w:rsid w:val="004E5567"/>
    <w:rsid w:val="004E5DC0"/>
    <w:rsid w:val="004E63DA"/>
    <w:rsid w:val="004E6ADC"/>
    <w:rsid w:val="004F07D9"/>
    <w:rsid w:val="004F28A5"/>
    <w:rsid w:val="004F3613"/>
    <w:rsid w:val="004F3CCE"/>
    <w:rsid w:val="004F4237"/>
    <w:rsid w:val="004F4F24"/>
    <w:rsid w:val="004F5B65"/>
    <w:rsid w:val="004F668F"/>
    <w:rsid w:val="004F7865"/>
    <w:rsid w:val="004F78AB"/>
    <w:rsid w:val="00500259"/>
    <w:rsid w:val="00500D50"/>
    <w:rsid w:val="005029D9"/>
    <w:rsid w:val="00503FAE"/>
    <w:rsid w:val="00504874"/>
    <w:rsid w:val="00504E2E"/>
    <w:rsid w:val="00504F08"/>
    <w:rsid w:val="005056BD"/>
    <w:rsid w:val="0050600C"/>
    <w:rsid w:val="0050660F"/>
    <w:rsid w:val="00507950"/>
    <w:rsid w:val="005100FD"/>
    <w:rsid w:val="00510245"/>
    <w:rsid w:val="00511A8C"/>
    <w:rsid w:val="0051208C"/>
    <w:rsid w:val="005124C8"/>
    <w:rsid w:val="005142EB"/>
    <w:rsid w:val="00516C24"/>
    <w:rsid w:val="00520EAD"/>
    <w:rsid w:val="00522213"/>
    <w:rsid w:val="005227FC"/>
    <w:rsid w:val="00524E53"/>
    <w:rsid w:val="0052640D"/>
    <w:rsid w:val="005266E7"/>
    <w:rsid w:val="0052694C"/>
    <w:rsid w:val="0052752C"/>
    <w:rsid w:val="00527B78"/>
    <w:rsid w:val="00530574"/>
    <w:rsid w:val="00532314"/>
    <w:rsid w:val="005326FB"/>
    <w:rsid w:val="0053386F"/>
    <w:rsid w:val="005350FD"/>
    <w:rsid w:val="00535ADD"/>
    <w:rsid w:val="00535F30"/>
    <w:rsid w:val="005401AA"/>
    <w:rsid w:val="00540429"/>
    <w:rsid w:val="005411F2"/>
    <w:rsid w:val="00542291"/>
    <w:rsid w:val="00542C80"/>
    <w:rsid w:val="0054348A"/>
    <w:rsid w:val="005444B1"/>
    <w:rsid w:val="00545663"/>
    <w:rsid w:val="00546E5C"/>
    <w:rsid w:val="00547726"/>
    <w:rsid w:val="00547CE9"/>
    <w:rsid w:val="005511D5"/>
    <w:rsid w:val="00552274"/>
    <w:rsid w:val="005532E1"/>
    <w:rsid w:val="00553C3F"/>
    <w:rsid w:val="00553EA6"/>
    <w:rsid w:val="00554993"/>
    <w:rsid w:val="00555D8E"/>
    <w:rsid w:val="00556855"/>
    <w:rsid w:val="00556D5C"/>
    <w:rsid w:val="0055741B"/>
    <w:rsid w:val="0055774B"/>
    <w:rsid w:val="00557FB5"/>
    <w:rsid w:val="005607BF"/>
    <w:rsid w:val="00561759"/>
    <w:rsid w:val="00561D0E"/>
    <w:rsid w:val="005624D2"/>
    <w:rsid w:val="0056262B"/>
    <w:rsid w:val="00562947"/>
    <w:rsid w:val="005639BF"/>
    <w:rsid w:val="005652FB"/>
    <w:rsid w:val="00565381"/>
    <w:rsid w:val="005655FD"/>
    <w:rsid w:val="00565AD4"/>
    <w:rsid w:val="0056607E"/>
    <w:rsid w:val="00567546"/>
    <w:rsid w:val="005704D5"/>
    <w:rsid w:val="00571B25"/>
    <w:rsid w:val="00572A7F"/>
    <w:rsid w:val="00574193"/>
    <w:rsid w:val="00575179"/>
    <w:rsid w:val="00575565"/>
    <w:rsid w:val="0057577B"/>
    <w:rsid w:val="005776F1"/>
    <w:rsid w:val="0057788A"/>
    <w:rsid w:val="00580C27"/>
    <w:rsid w:val="00581FF1"/>
    <w:rsid w:val="0058298E"/>
    <w:rsid w:val="005856B0"/>
    <w:rsid w:val="00585BD0"/>
    <w:rsid w:val="00585C32"/>
    <w:rsid w:val="00585C8B"/>
    <w:rsid w:val="00585EE7"/>
    <w:rsid w:val="005864B9"/>
    <w:rsid w:val="00586A1F"/>
    <w:rsid w:val="00587092"/>
    <w:rsid w:val="005873EB"/>
    <w:rsid w:val="00591248"/>
    <w:rsid w:val="00592434"/>
    <w:rsid w:val="00592F6C"/>
    <w:rsid w:val="005933BF"/>
    <w:rsid w:val="005946A8"/>
    <w:rsid w:val="0059470D"/>
    <w:rsid w:val="00594E17"/>
    <w:rsid w:val="00594E68"/>
    <w:rsid w:val="00595A47"/>
    <w:rsid w:val="00596BBB"/>
    <w:rsid w:val="00596F65"/>
    <w:rsid w:val="005977AA"/>
    <w:rsid w:val="005A0059"/>
    <w:rsid w:val="005A1B57"/>
    <w:rsid w:val="005A2EA0"/>
    <w:rsid w:val="005A383B"/>
    <w:rsid w:val="005A39A9"/>
    <w:rsid w:val="005A3C0C"/>
    <w:rsid w:val="005A3D54"/>
    <w:rsid w:val="005A4E98"/>
    <w:rsid w:val="005A6F5C"/>
    <w:rsid w:val="005A7B60"/>
    <w:rsid w:val="005B08E3"/>
    <w:rsid w:val="005B1523"/>
    <w:rsid w:val="005B1F5D"/>
    <w:rsid w:val="005B21E4"/>
    <w:rsid w:val="005B24CC"/>
    <w:rsid w:val="005B5072"/>
    <w:rsid w:val="005B5909"/>
    <w:rsid w:val="005B6358"/>
    <w:rsid w:val="005C0409"/>
    <w:rsid w:val="005C0DA2"/>
    <w:rsid w:val="005C1990"/>
    <w:rsid w:val="005C2147"/>
    <w:rsid w:val="005C2667"/>
    <w:rsid w:val="005C281F"/>
    <w:rsid w:val="005C40EA"/>
    <w:rsid w:val="005C4235"/>
    <w:rsid w:val="005C4839"/>
    <w:rsid w:val="005C4B09"/>
    <w:rsid w:val="005C798E"/>
    <w:rsid w:val="005C7CB9"/>
    <w:rsid w:val="005D123C"/>
    <w:rsid w:val="005D1F1E"/>
    <w:rsid w:val="005D2DF1"/>
    <w:rsid w:val="005D339D"/>
    <w:rsid w:val="005D48E5"/>
    <w:rsid w:val="005D4BC9"/>
    <w:rsid w:val="005D551F"/>
    <w:rsid w:val="005D5CBA"/>
    <w:rsid w:val="005D6A3E"/>
    <w:rsid w:val="005D7A49"/>
    <w:rsid w:val="005D7BF8"/>
    <w:rsid w:val="005E11E8"/>
    <w:rsid w:val="005E2FE8"/>
    <w:rsid w:val="005E3860"/>
    <w:rsid w:val="005E3DA3"/>
    <w:rsid w:val="005E4424"/>
    <w:rsid w:val="005E5E37"/>
    <w:rsid w:val="005E6E4A"/>
    <w:rsid w:val="005F02AF"/>
    <w:rsid w:val="005F087E"/>
    <w:rsid w:val="005F13E3"/>
    <w:rsid w:val="005F281C"/>
    <w:rsid w:val="005F2B88"/>
    <w:rsid w:val="005F3768"/>
    <w:rsid w:val="005F4316"/>
    <w:rsid w:val="005F45B4"/>
    <w:rsid w:val="005F49B1"/>
    <w:rsid w:val="005F5951"/>
    <w:rsid w:val="005F6968"/>
    <w:rsid w:val="0060092E"/>
    <w:rsid w:val="006014F6"/>
    <w:rsid w:val="0060213E"/>
    <w:rsid w:val="006045A4"/>
    <w:rsid w:val="00604AF5"/>
    <w:rsid w:val="00604BBB"/>
    <w:rsid w:val="0060560E"/>
    <w:rsid w:val="00605899"/>
    <w:rsid w:val="006067F7"/>
    <w:rsid w:val="00606C22"/>
    <w:rsid w:val="0060751E"/>
    <w:rsid w:val="00607906"/>
    <w:rsid w:val="00607EFF"/>
    <w:rsid w:val="00611C02"/>
    <w:rsid w:val="0061406B"/>
    <w:rsid w:val="006149F2"/>
    <w:rsid w:val="00615D08"/>
    <w:rsid w:val="00616808"/>
    <w:rsid w:val="0062004E"/>
    <w:rsid w:val="00620932"/>
    <w:rsid w:val="0062112F"/>
    <w:rsid w:val="00621F9B"/>
    <w:rsid w:val="006220F7"/>
    <w:rsid w:val="00622403"/>
    <w:rsid w:val="00622D7C"/>
    <w:rsid w:val="0062327A"/>
    <w:rsid w:val="0062377F"/>
    <w:rsid w:val="006241C2"/>
    <w:rsid w:val="006247B6"/>
    <w:rsid w:val="0062481F"/>
    <w:rsid w:val="00624FA0"/>
    <w:rsid w:val="00625DBB"/>
    <w:rsid w:val="006300E5"/>
    <w:rsid w:val="0063061B"/>
    <w:rsid w:val="00631D59"/>
    <w:rsid w:val="00631E68"/>
    <w:rsid w:val="00632260"/>
    <w:rsid w:val="00633904"/>
    <w:rsid w:val="00633F5F"/>
    <w:rsid w:val="00635047"/>
    <w:rsid w:val="00635066"/>
    <w:rsid w:val="00635960"/>
    <w:rsid w:val="00636721"/>
    <w:rsid w:val="006371B4"/>
    <w:rsid w:val="0063735E"/>
    <w:rsid w:val="00637BAF"/>
    <w:rsid w:val="00640C45"/>
    <w:rsid w:val="00641F70"/>
    <w:rsid w:val="00641FC0"/>
    <w:rsid w:val="00646D14"/>
    <w:rsid w:val="00647175"/>
    <w:rsid w:val="006509E5"/>
    <w:rsid w:val="00651760"/>
    <w:rsid w:val="00651766"/>
    <w:rsid w:val="00651A51"/>
    <w:rsid w:val="00651B75"/>
    <w:rsid w:val="006523C5"/>
    <w:rsid w:val="0065326C"/>
    <w:rsid w:val="00654EE6"/>
    <w:rsid w:val="00655927"/>
    <w:rsid w:val="006561B3"/>
    <w:rsid w:val="00656A4D"/>
    <w:rsid w:val="00657875"/>
    <w:rsid w:val="00657B66"/>
    <w:rsid w:val="006631E0"/>
    <w:rsid w:val="006636D2"/>
    <w:rsid w:val="006642E4"/>
    <w:rsid w:val="00664B2C"/>
    <w:rsid w:val="00665E1B"/>
    <w:rsid w:val="00665F40"/>
    <w:rsid w:val="00666778"/>
    <w:rsid w:val="0066687A"/>
    <w:rsid w:val="00667AA1"/>
    <w:rsid w:val="00670235"/>
    <w:rsid w:val="006708C6"/>
    <w:rsid w:val="0067122E"/>
    <w:rsid w:val="00671989"/>
    <w:rsid w:val="0067230D"/>
    <w:rsid w:val="0067277D"/>
    <w:rsid w:val="00672A86"/>
    <w:rsid w:val="00673AE5"/>
    <w:rsid w:val="0067437C"/>
    <w:rsid w:val="0067474F"/>
    <w:rsid w:val="00675B58"/>
    <w:rsid w:val="006767E4"/>
    <w:rsid w:val="00676B5C"/>
    <w:rsid w:val="006776E9"/>
    <w:rsid w:val="00681639"/>
    <w:rsid w:val="00681F82"/>
    <w:rsid w:val="00682885"/>
    <w:rsid w:val="006834AE"/>
    <w:rsid w:val="00684567"/>
    <w:rsid w:val="00685A98"/>
    <w:rsid w:val="00685BED"/>
    <w:rsid w:val="00685D41"/>
    <w:rsid w:val="006901CD"/>
    <w:rsid w:val="00695B72"/>
    <w:rsid w:val="006A1546"/>
    <w:rsid w:val="006A1B05"/>
    <w:rsid w:val="006A3110"/>
    <w:rsid w:val="006A469F"/>
    <w:rsid w:val="006A4926"/>
    <w:rsid w:val="006A5032"/>
    <w:rsid w:val="006A56B9"/>
    <w:rsid w:val="006A6CFB"/>
    <w:rsid w:val="006B05FA"/>
    <w:rsid w:val="006B0E6D"/>
    <w:rsid w:val="006B13E1"/>
    <w:rsid w:val="006B15CF"/>
    <w:rsid w:val="006B1AC1"/>
    <w:rsid w:val="006B1C91"/>
    <w:rsid w:val="006B1F53"/>
    <w:rsid w:val="006B4B3C"/>
    <w:rsid w:val="006B4C92"/>
    <w:rsid w:val="006B4DF6"/>
    <w:rsid w:val="006B607C"/>
    <w:rsid w:val="006B6233"/>
    <w:rsid w:val="006B644A"/>
    <w:rsid w:val="006B669B"/>
    <w:rsid w:val="006B7351"/>
    <w:rsid w:val="006B7AC9"/>
    <w:rsid w:val="006C0100"/>
    <w:rsid w:val="006C2CB6"/>
    <w:rsid w:val="006C6F82"/>
    <w:rsid w:val="006C7FD0"/>
    <w:rsid w:val="006D0F5E"/>
    <w:rsid w:val="006D1F86"/>
    <w:rsid w:val="006D22B8"/>
    <w:rsid w:val="006D2D9E"/>
    <w:rsid w:val="006D2F79"/>
    <w:rsid w:val="006D3457"/>
    <w:rsid w:val="006D3836"/>
    <w:rsid w:val="006D443F"/>
    <w:rsid w:val="006D47A3"/>
    <w:rsid w:val="006D5E16"/>
    <w:rsid w:val="006E1DB7"/>
    <w:rsid w:val="006E25F5"/>
    <w:rsid w:val="006E3FFC"/>
    <w:rsid w:val="006E4737"/>
    <w:rsid w:val="006E63F5"/>
    <w:rsid w:val="006E73B3"/>
    <w:rsid w:val="006E7B47"/>
    <w:rsid w:val="006E7E02"/>
    <w:rsid w:val="006F0806"/>
    <w:rsid w:val="006F0845"/>
    <w:rsid w:val="006F18FC"/>
    <w:rsid w:val="006F25D5"/>
    <w:rsid w:val="006F3337"/>
    <w:rsid w:val="006F3770"/>
    <w:rsid w:val="006F4E74"/>
    <w:rsid w:val="006F4F11"/>
    <w:rsid w:val="006F4FFD"/>
    <w:rsid w:val="006F54B0"/>
    <w:rsid w:val="006F6E97"/>
    <w:rsid w:val="006F6F87"/>
    <w:rsid w:val="006F743F"/>
    <w:rsid w:val="006F7966"/>
    <w:rsid w:val="00700A16"/>
    <w:rsid w:val="00701F60"/>
    <w:rsid w:val="00702235"/>
    <w:rsid w:val="00702FAE"/>
    <w:rsid w:val="007032BD"/>
    <w:rsid w:val="00705B98"/>
    <w:rsid w:val="0070674F"/>
    <w:rsid w:val="00707156"/>
    <w:rsid w:val="00710C26"/>
    <w:rsid w:val="00711890"/>
    <w:rsid w:val="0071232B"/>
    <w:rsid w:val="0071324B"/>
    <w:rsid w:val="0071346C"/>
    <w:rsid w:val="00713481"/>
    <w:rsid w:val="00713D0D"/>
    <w:rsid w:val="00713F3A"/>
    <w:rsid w:val="0071551F"/>
    <w:rsid w:val="007172DC"/>
    <w:rsid w:val="00717992"/>
    <w:rsid w:val="00717FC3"/>
    <w:rsid w:val="00720EEA"/>
    <w:rsid w:val="007212F3"/>
    <w:rsid w:val="00721484"/>
    <w:rsid w:val="00721920"/>
    <w:rsid w:val="007222BC"/>
    <w:rsid w:val="00722958"/>
    <w:rsid w:val="00722CDD"/>
    <w:rsid w:val="00723CD7"/>
    <w:rsid w:val="00723DDD"/>
    <w:rsid w:val="00724B3E"/>
    <w:rsid w:val="00724B51"/>
    <w:rsid w:val="00724FEF"/>
    <w:rsid w:val="0072561B"/>
    <w:rsid w:val="00726774"/>
    <w:rsid w:val="007267D0"/>
    <w:rsid w:val="007274EF"/>
    <w:rsid w:val="00727A4F"/>
    <w:rsid w:val="007303E1"/>
    <w:rsid w:val="0073057D"/>
    <w:rsid w:val="007317A6"/>
    <w:rsid w:val="007319AB"/>
    <w:rsid w:val="00731A0E"/>
    <w:rsid w:val="00732719"/>
    <w:rsid w:val="007328A5"/>
    <w:rsid w:val="00733587"/>
    <w:rsid w:val="007346BE"/>
    <w:rsid w:val="00735D7A"/>
    <w:rsid w:val="00737148"/>
    <w:rsid w:val="0073758E"/>
    <w:rsid w:val="0074205E"/>
    <w:rsid w:val="00743406"/>
    <w:rsid w:val="00743F56"/>
    <w:rsid w:val="007441CE"/>
    <w:rsid w:val="00744DDD"/>
    <w:rsid w:val="0074509A"/>
    <w:rsid w:val="00745446"/>
    <w:rsid w:val="00745A9A"/>
    <w:rsid w:val="007468E5"/>
    <w:rsid w:val="007479A5"/>
    <w:rsid w:val="007517F2"/>
    <w:rsid w:val="007520B0"/>
    <w:rsid w:val="00752416"/>
    <w:rsid w:val="007529B9"/>
    <w:rsid w:val="00752DEB"/>
    <w:rsid w:val="00752F23"/>
    <w:rsid w:val="007537C1"/>
    <w:rsid w:val="00755222"/>
    <w:rsid w:val="00755312"/>
    <w:rsid w:val="007559B7"/>
    <w:rsid w:val="00756FC6"/>
    <w:rsid w:val="0075734A"/>
    <w:rsid w:val="00760B74"/>
    <w:rsid w:val="00761294"/>
    <w:rsid w:val="00761DAC"/>
    <w:rsid w:val="0076231A"/>
    <w:rsid w:val="00762C84"/>
    <w:rsid w:val="00763639"/>
    <w:rsid w:val="00766493"/>
    <w:rsid w:val="007669A6"/>
    <w:rsid w:val="007671FF"/>
    <w:rsid w:val="00770541"/>
    <w:rsid w:val="007707D1"/>
    <w:rsid w:val="00770E89"/>
    <w:rsid w:val="00773725"/>
    <w:rsid w:val="00773AA3"/>
    <w:rsid w:val="00773ED8"/>
    <w:rsid w:val="0077400D"/>
    <w:rsid w:val="00776BC8"/>
    <w:rsid w:val="00777691"/>
    <w:rsid w:val="00777C4C"/>
    <w:rsid w:val="0078178B"/>
    <w:rsid w:val="00781F81"/>
    <w:rsid w:val="0078218B"/>
    <w:rsid w:val="007825B3"/>
    <w:rsid w:val="00783606"/>
    <w:rsid w:val="00783BA5"/>
    <w:rsid w:val="007840C0"/>
    <w:rsid w:val="0078670C"/>
    <w:rsid w:val="0078792A"/>
    <w:rsid w:val="00790B3E"/>
    <w:rsid w:val="00790DC0"/>
    <w:rsid w:val="00791E6F"/>
    <w:rsid w:val="00792E0F"/>
    <w:rsid w:val="00793B4A"/>
    <w:rsid w:val="007943F6"/>
    <w:rsid w:val="00795D41"/>
    <w:rsid w:val="00795FB7"/>
    <w:rsid w:val="00796662"/>
    <w:rsid w:val="00797B0C"/>
    <w:rsid w:val="00797EF9"/>
    <w:rsid w:val="007A15A5"/>
    <w:rsid w:val="007A1931"/>
    <w:rsid w:val="007A20C6"/>
    <w:rsid w:val="007A31D7"/>
    <w:rsid w:val="007A6ECD"/>
    <w:rsid w:val="007B040E"/>
    <w:rsid w:val="007B12C6"/>
    <w:rsid w:val="007B1929"/>
    <w:rsid w:val="007B3BBF"/>
    <w:rsid w:val="007B42BB"/>
    <w:rsid w:val="007B42EE"/>
    <w:rsid w:val="007B433F"/>
    <w:rsid w:val="007B473E"/>
    <w:rsid w:val="007B4FC1"/>
    <w:rsid w:val="007B52ED"/>
    <w:rsid w:val="007B5D81"/>
    <w:rsid w:val="007B722A"/>
    <w:rsid w:val="007B79B4"/>
    <w:rsid w:val="007B7D9D"/>
    <w:rsid w:val="007B7E43"/>
    <w:rsid w:val="007C1A01"/>
    <w:rsid w:val="007C2C58"/>
    <w:rsid w:val="007C3C04"/>
    <w:rsid w:val="007C4193"/>
    <w:rsid w:val="007C4978"/>
    <w:rsid w:val="007C588C"/>
    <w:rsid w:val="007C7B69"/>
    <w:rsid w:val="007D0825"/>
    <w:rsid w:val="007D1D04"/>
    <w:rsid w:val="007D2182"/>
    <w:rsid w:val="007D2A5D"/>
    <w:rsid w:val="007D4DB4"/>
    <w:rsid w:val="007D6AC8"/>
    <w:rsid w:val="007D77CF"/>
    <w:rsid w:val="007D7E23"/>
    <w:rsid w:val="007E0304"/>
    <w:rsid w:val="007E08E4"/>
    <w:rsid w:val="007E0BA9"/>
    <w:rsid w:val="007E17CF"/>
    <w:rsid w:val="007E271C"/>
    <w:rsid w:val="007E4396"/>
    <w:rsid w:val="007E4A08"/>
    <w:rsid w:val="007E5914"/>
    <w:rsid w:val="007E60F0"/>
    <w:rsid w:val="007E6F41"/>
    <w:rsid w:val="007E790E"/>
    <w:rsid w:val="007E794E"/>
    <w:rsid w:val="007F01ED"/>
    <w:rsid w:val="007F0943"/>
    <w:rsid w:val="007F0BF0"/>
    <w:rsid w:val="007F1AFE"/>
    <w:rsid w:val="007F2588"/>
    <w:rsid w:val="007F32C8"/>
    <w:rsid w:val="007F3B1F"/>
    <w:rsid w:val="007F3DAB"/>
    <w:rsid w:val="007F429E"/>
    <w:rsid w:val="007F5131"/>
    <w:rsid w:val="007F6288"/>
    <w:rsid w:val="007F64FE"/>
    <w:rsid w:val="007F66C0"/>
    <w:rsid w:val="008001A8"/>
    <w:rsid w:val="00800BC5"/>
    <w:rsid w:val="00801697"/>
    <w:rsid w:val="0080174A"/>
    <w:rsid w:val="008017CF"/>
    <w:rsid w:val="008021EA"/>
    <w:rsid w:val="0080237E"/>
    <w:rsid w:val="00802681"/>
    <w:rsid w:val="008034B1"/>
    <w:rsid w:val="008037C7"/>
    <w:rsid w:val="0080397B"/>
    <w:rsid w:val="00804CC4"/>
    <w:rsid w:val="00805148"/>
    <w:rsid w:val="008051F0"/>
    <w:rsid w:val="00806844"/>
    <w:rsid w:val="00806E69"/>
    <w:rsid w:val="00806F81"/>
    <w:rsid w:val="008071AB"/>
    <w:rsid w:val="00810A3D"/>
    <w:rsid w:val="008118FE"/>
    <w:rsid w:val="00811B3C"/>
    <w:rsid w:val="00811EA6"/>
    <w:rsid w:val="00812CDB"/>
    <w:rsid w:val="008154E6"/>
    <w:rsid w:val="0081662A"/>
    <w:rsid w:val="0081763D"/>
    <w:rsid w:val="00821225"/>
    <w:rsid w:val="00822316"/>
    <w:rsid w:val="00822D97"/>
    <w:rsid w:val="00823225"/>
    <w:rsid w:val="00824491"/>
    <w:rsid w:val="008246F7"/>
    <w:rsid w:val="00824B56"/>
    <w:rsid w:val="0082623F"/>
    <w:rsid w:val="008267B4"/>
    <w:rsid w:val="00826C83"/>
    <w:rsid w:val="008273DB"/>
    <w:rsid w:val="008315B9"/>
    <w:rsid w:val="008338E5"/>
    <w:rsid w:val="00834A9D"/>
    <w:rsid w:val="0083583F"/>
    <w:rsid w:val="00836387"/>
    <w:rsid w:val="0083710D"/>
    <w:rsid w:val="0083750D"/>
    <w:rsid w:val="00837787"/>
    <w:rsid w:val="00837A3A"/>
    <w:rsid w:val="00837CEB"/>
    <w:rsid w:val="00840240"/>
    <w:rsid w:val="00841A35"/>
    <w:rsid w:val="00841E98"/>
    <w:rsid w:val="00843040"/>
    <w:rsid w:val="008439E1"/>
    <w:rsid w:val="00844104"/>
    <w:rsid w:val="008442DD"/>
    <w:rsid w:val="00845006"/>
    <w:rsid w:val="0084635E"/>
    <w:rsid w:val="0085132D"/>
    <w:rsid w:val="00853D82"/>
    <w:rsid w:val="00854C99"/>
    <w:rsid w:val="00855076"/>
    <w:rsid w:val="008555C2"/>
    <w:rsid w:val="00855708"/>
    <w:rsid w:val="00855B53"/>
    <w:rsid w:val="00856DB0"/>
    <w:rsid w:val="00856EB7"/>
    <w:rsid w:val="008576FC"/>
    <w:rsid w:val="008603F4"/>
    <w:rsid w:val="00860984"/>
    <w:rsid w:val="008615AD"/>
    <w:rsid w:val="00861773"/>
    <w:rsid w:val="00861A77"/>
    <w:rsid w:val="00861F88"/>
    <w:rsid w:val="008626FB"/>
    <w:rsid w:val="00863529"/>
    <w:rsid w:val="00864562"/>
    <w:rsid w:val="00864A6C"/>
    <w:rsid w:val="00864E5B"/>
    <w:rsid w:val="00865348"/>
    <w:rsid w:val="0086560A"/>
    <w:rsid w:val="00865680"/>
    <w:rsid w:val="00866625"/>
    <w:rsid w:val="00866895"/>
    <w:rsid w:val="00866E54"/>
    <w:rsid w:val="008671AF"/>
    <w:rsid w:val="00867219"/>
    <w:rsid w:val="0086739B"/>
    <w:rsid w:val="008674DE"/>
    <w:rsid w:val="00870C9B"/>
    <w:rsid w:val="0087114E"/>
    <w:rsid w:val="00871AB0"/>
    <w:rsid w:val="00872B30"/>
    <w:rsid w:val="00872F32"/>
    <w:rsid w:val="00873045"/>
    <w:rsid w:val="008731B7"/>
    <w:rsid w:val="00874C1C"/>
    <w:rsid w:val="00876110"/>
    <w:rsid w:val="008762E5"/>
    <w:rsid w:val="0087708A"/>
    <w:rsid w:val="008778AE"/>
    <w:rsid w:val="008779A8"/>
    <w:rsid w:val="008804D5"/>
    <w:rsid w:val="00880D32"/>
    <w:rsid w:val="00880D76"/>
    <w:rsid w:val="00881692"/>
    <w:rsid w:val="008821E4"/>
    <w:rsid w:val="008822B0"/>
    <w:rsid w:val="0088276E"/>
    <w:rsid w:val="008838C5"/>
    <w:rsid w:val="00883B88"/>
    <w:rsid w:val="00883DF7"/>
    <w:rsid w:val="00883E44"/>
    <w:rsid w:val="00884DC7"/>
    <w:rsid w:val="00884E38"/>
    <w:rsid w:val="0088542B"/>
    <w:rsid w:val="00886E70"/>
    <w:rsid w:val="00887B0F"/>
    <w:rsid w:val="0089222D"/>
    <w:rsid w:val="00892EA9"/>
    <w:rsid w:val="008936C6"/>
    <w:rsid w:val="00893C73"/>
    <w:rsid w:val="00893EDC"/>
    <w:rsid w:val="0089509A"/>
    <w:rsid w:val="00895881"/>
    <w:rsid w:val="00895AA6"/>
    <w:rsid w:val="00897EB3"/>
    <w:rsid w:val="008A28AC"/>
    <w:rsid w:val="008A2F94"/>
    <w:rsid w:val="008A3D45"/>
    <w:rsid w:val="008A59B4"/>
    <w:rsid w:val="008A5E56"/>
    <w:rsid w:val="008B0A0C"/>
    <w:rsid w:val="008B1F48"/>
    <w:rsid w:val="008B3375"/>
    <w:rsid w:val="008B4995"/>
    <w:rsid w:val="008B5193"/>
    <w:rsid w:val="008B52B9"/>
    <w:rsid w:val="008B5607"/>
    <w:rsid w:val="008B570A"/>
    <w:rsid w:val="008B57C2"/>
    <w:rsid w:val="008B5A12"/>
    <w:rsid w:val="008B6523"/>
    <w:rsid w:val="008B7739"/>
    <w:rsid w:val="008B79E3"/>
    <w:rsid w:val="008B7A8F"/>
    <w:rsid w:val="008C0AAD"/>
    <w:rsid w:val="008C50C2"/>
    <w:rsid w:val="008C6174"/>
    <w:rsid w:val="008C6951"/>
    <w:rsid w:val="008C6DB0"/>
    <w:rsid w:val="008C703F"/>
    <w:rsid w:val="008D2041"/>
    <w:rsid w:val="008D2600"/>
    <w:rsid w:val="008D2AEF"/>
    <w:rsid w:val="008D2C3C"/>
    <w:rsid w:val="008D2EA2"/>
    <w:rsid w:val="008D33E0"/>
    <w:rsid w:val="008D47A9"/>
    <w:rsid w:val="008D5F18"/>
    <w:rsid w:val="008D72DA"/>
    <w:rsid w:val="008E0120"/>
    <w:rsid w:val="008E06A5"/>
    <w:rsid w:val="008E2076"/>
    <w:rsid w:val="008E2699"/>
    <w:rsid w:val="008E2759"/>
    <w:rsid w:val="008E32B0"/>
    <w:rsid w:val="008E3BE5"/>
    <w:rsid w:val="008E6311"/>
    <w:rsid w:val="008E745E"/>
    <w:rsid w:val="008E7D9B"/>
    <w:rsid w:val="008F03F6"/>
    <w:rsid w:val="008F0591"/>
    <w:rsid w:val="008F077A"/>
    <w:rsid w:val="008F1031"/>
    <w:rsid w:val="008F1789"/>
    <w:rsid w:val="008F20AE"/>
    <w:rsid w:val="008F3155"/>
    <w:rsid w:val="008F3B69"/>
    <w:rsid w:val="008F4964"/>
    <w:rsid w:val="008F7146"/>
    <w:rsid w:val="008F7F32"/>
    <w:rsid w:val="0090032C"/>
    <w:rsid w:val="00900801"/>
    <w:rsid w:val="00900DDF"/>
    <w:rsid w:val="0090264B"/>
    <w:rsid w:val="009057B8"/>
    <w:rsid w:val="00905A7E"/>
    <w:rsid w:val="00910EAF"/>
    <w:rsid w:val="00910F0F"/>
    <w:rsid w:val="00910F88"/>
    <w:rsid w:val="00911C04"/>
    <w:rsid w:val="00911C84"/>
    <w:rsid w:val="009121DD"/>
    <w:rsid w:val="009154E4"/>
    <w:rsid w:val="00916CAC"/>
    <w:rsid w:val="00916CE4"/>
    <w:rsid w:val="00917EC0"/>
    <w:rsid w:val="00921927"/>
    <w:rsid w:val="00921BC7"/>
    <w:rsid w:val="009235D5"/>
    <w:rsid w:val="00923767"/>
    <w:rsid w:val="00924C94"/>
    <w:rsid w:val="00924FEF"/>
    <w:rsid w:val="00925C5D"/>
    <w:rsid w:val="00926054"/>
    <w:rsid w:val="00926B84"/>
    <w:rsid w:val="00926CC0"/>
    <w:rsid w:val="009274C2"/>
    <w:rsid w:val="0092769C"/>
    <w:rsid w:val="00927AEF"/>
    <w:rsid w:val="0093131E"/>
    <w:rsid w:val="00931407"/>
    <w:rsid w:val="00931A47"/>
    <w:rsid w:val="00932445"/>
    <w:rsid w:val="00933937"/>
    <w:rsid w:val="00933AD2"/>
    <w:rsid w:val="00934E3D"/>
    <w:rsid w:val="009351BF"/>
    <w:rsid w:val="00936052"/>
    <w:rsid w:val="00936415"/>
    <w:rsid w:val="00936CE7"/>
    <w:rsid w:val="00936E25"/>
    <w:rsid w:val="00940705"/>
    <w:rsid w:val="009410D6"/>
    <w:rsid w:val="009430B4"/>
    <w:rsid w:val="00943BE2"/>
    <w:rsid w:val="00943DF1"/>
    <w:rsid w:val="00944579"/>
    <w:rsid w:val="0094470B"/>
    <w:rsid w:val="00944DA6"/>
    <w:rsid w:val="00945803"/>
    <w:rsid w:val="009460EF"/>
    <w:rsid w:val="00946219"/>
    <w:rsid w:val="00946C84"/>
    <w:rsid w:val="00950964"/>
    <w:rsid w:val="00952577"/>
    <w:rsid w:val="00953539"/>
    <w:rsid w:val="009540ED"/>
    <w:rsid w:val="009544A2"/>
    <w:rsid w:val="00956BEC"/>
    <w:rsid w:val="00957BAB"/>
    <w:rsid w:val="0096114F"/>
    <w:rsid w:val="009616D9"/>
    <w:rsid w:val="00963128"/>
    <w:rsid w:val="0096323E"/>
    <w:rsid w:val="00963691"/>
    <w:rsid w:val="0096419D"/>
    <w:rsid w:val="0096527C"/>
    <w:rsid w:val="00967307"/>
    <w:rsid w:val="00967D4B"/>
    <w:rsid w:val="0097052C"/>
    <w:rsid w:val="00970A26"/>
    <w:rsid w:val="00971127"/>
    <w:rsid w:val="00971169"/>
    <w:rsid w:val="009722D3"/>
    <w:rsid w:val="009731D0"/>
    <w:rsid w:val="0097337D"/>
    <w:rsid w:val="00973A2F"/>
    <w:rsid w:val="00973AD8"/>
    <w:rsid w:val="009767A0"/>
    <w:rsid w:val="009777B1"/>
    <w:rsid w:val="009800A9"/>
    <w:rsid w:val="00980F6A"/>
    <w:rsid w:val="0098137E"/>
    <w:rsid w:val="009827A3"/>
    <w:rsid w:val="00982F64"/>
    <w:rsid w:val="0098343E"/>
    <w:rsid w:val="0098535F"/>
    <w:rsid w:val="00985CD9"/>
    <w:rsid w:val="0098640C"/>
    <w:rsid w:val="009868A0"/>
    <w:rsid w:val="00986CE6"/>
    <w:rsid w:val="00987A69"/>
    <w:rsid w:val="00991090"/>
    <w:rsid w:val="00991580"/>
    <w:rsid w:val="00991D53"/>
    <w:rsid w:val="00992088"/>
    <w:rsid w:val="009940F0"/>
    <w:rsid w:val="00994F2E"/>
    <w:rsid w:val="00995549"/>
    <w:rsid w:val="009970DC"/>
    <w:rsid w:val="00997293"/>
    <w:rsid w:val="00997A5E"/>
    <w:rsid w:val="009A0D5F"/>
    <w:rsid w:val="009A0DBE"/>
    <w:rsid w:val="009A13F7"/>
    <w:rsid w:val="009A22B0"/>
    <w:rsid w:val="009A305B"/>
    <w:rsid w:val="009A35FC"/>
    <w:rsid w:val="009A3FB0"/>
    <w:rsid w:val="009A5BBE"/>
    <w:rsid w:val="009A6088"/>
    <w:rsid w:val="009A61E5"/>
    <w:rsid w:val="009A6B2F"/>
    <w:rsid w:val="009A6DB5"/>
    <w:rsid w:val="009A783A"/>
    <w:rsid w:val="009A7E2C"/>
    <w:rsid w:val="009B067B"/>
    <w:rsid w:val="009B0709"/>
    <w:rsid w:val="009B2AB5"/>
    <w:rsid w:val="009B2E55"/>
    <w:rsid w:val="009B485A"/>
    <w:rsid w:val="009B4AB7"/>
    <w:rsid w:val="009B5023"/>
    <w:rsid w:val="009B50F1"/>
    <w:rsid w:val="009B58B8"/>
    <w:rsid w:val="009B5D51"/>
    <w:rsid w:val="009B5E6A"/>
    <w:rsid w:val="009B7843"/>
    <w:rsid w:val="009B7A86"/>
    <w:rsid w:val="009B7DA6"/>
    <w:rsid w:val="009B7EB5"/>
    <w:rsid w:val="009C0266"/>
    <w:rsid w:val="009C2793"/>
    <w:rsid w:val="009C3BD0"/>
    <w:rsid w:val="009C5C2A"/>
    <w:rsid w:val="009C67F5"/>
    <w:rsid w:val="009C6E8A"/>
    <w:rsid w:val="009C7015"/>
    <w:rsid w:val="009C72FC"/>
    <w:rsid w:val="009C7BBE"/>
    <w:rsid w:val="009D173E"/>
    <w:rsid w:val="009D2DED"/>
    <w:rsid w:val="009D3238"/>
    <w:rsid w:val="009D32EB"/>
    <w:rsid w:val="009D3818"/>
    <w:rsid w:val="009D4965"/>
    <w:rsid w:val="009D5222"/>
    <w:rsid w:val="009D5624"/>
    <w:rsid w:val="009D65C4"/>
    <w:rsid w:val="009D6A38"/>
    <w:rsid w:val="009D775F"/>
    <w:rsid w:val="009D792C"/>
    <w:rsid w:val="009E17AF"/>
    <w:rsid w:val="009E20E1"/>
    <w:rsid w:val="009E32C4"/>
    <w:rsid w:val="009E4FA1"/>
    <w:rsid w:val="009E5D65"/>
    <w:rsid w:val="009E6B8D"/>
    <w:rsid w:val="009E7D13"/>
    <w:rsid w:val="009E7DD4"/>
    <w:rsid w:val="009F009C"/>
    <w:rsid w:val="009F0B6F"/>
    <w:rsid w:val="009F2BF2"/>
    <w:rsid w:val="009F2DB6"/>
    <w:rsid w:val="009F35E9"/>
    <w:rsid w:val="009F40BF"/>
    <w:rsid w:val="009F4E94"/>
    <w:rsid w:val="009F5E61"/>
    <w:rsid w:val="009F5FB0"/>
    <w:rsid w:val="009F6135"/>
    <w:rsid w:val="009F6526"/>
    <w:rsid w:val="009F6861"/>
    <w:rsid w:val="009F6A8E"/>
    <w:rsid w:val="009F7A77"/>
    <w:rsid w:val="009F7F28"/>
    <w:rsid w:val="00A00238"/>
    <w:rsid w:val="00A008C1"/>
    <w:rsid w:val="00A00C06"/>
    <w:rsid w:val="00A01459"/>
    <w:rsid w:val="00A01D94"/>
    <w:rsid w:val="00A02470"/>
    <w:rsid w:val="00A02E7C"/>
    <w:rsid w:val="00A02E8D"/>
    <w:rsid w:val="00A0314F"/>
    <w:rsid w:val="00A03FEA"/>
    <w:rsid w:val="00A04569"/>
    <w:rsid w:val="00A0468C"/>
    <w:rsid w:val="00A05650"/>
    <w:rsid w:val="00A078E7"/>
    <w:rsid w:val="00A07BB1"/>
    <w:rsid w:val="00A10498"/>
    <w:rsid w:val="00A1055C"/>
    <w:rsid w:val="00A11006"/>
    <w:rsid w:val="00A1229D"/>
    <w:rsid w:val="00A12D87"/>
    <w:rsid w:val="00A13311"/>
    <w:rsid w:val="00A13BEA"/>
    <w:rsid w:val="00A15E3F"/>
    <w:rsid w:val="00A163A2"/>
    <w:rsid w:val="00A169A0"/>
    <w:rsid w:val="00A1712F"/>
    <w:rsid w:val="00A17209"/>
    <w:rsid w:val="00A175DB"/>
    <w:rsid w:val="00A20B38"/>
    <w:rsid w:val="00A223A2"/>
    <w:rsid w:val="00A22B31"/>
    <w:rsid w:val="00A2436B"/>
    <w:rsid w:val="00A255F8"/>
    <w:rsid w:val="00A256BE"/>
    <w:rsid w:val="00A25A93"/>
    <w:rsid w:val="00A27130"/>
    <w:rsid w:val="00A2737F"/>
    <w:rsid w:val="00A3029F"/>
    <w:rsid w:val="00A30F3E"/>
    <w:rsid w:val="00A31362"/>
    <w:rsid w:val="00A31648"/>
    <w:rsid w:val="00A31B55"/>
    <w:rsid w:val="00A32769"/>
    <w:rsid w:val="00A340D6"/>
    <w:rsid w:val="00A35C52"/>
    <w:rsid w:val="00A35DE8"/>
    <w:rsid w:val="00A3682E"/>
    <w:rsid w:val="00A36CE1"/>
    <w:rsid w:val="00A376BF"/>
    <w:rsid w:val="00A3776B"/>
    <w:rsid w:val="00A40673"/>
    <w:rsid w:val="00A40D47"/>
    <w:rsid w:val="00A40EDA"/>
    <w:rsid w:val="00A41510"/>
    <w:rsid w:val="00A423FB"/>
    <w:rsid w:val="00A43D3D"/>
    <w:rsid w:val="00A446D2"/>
    <w:rsid w:val="00A456BE"/>
    <w:rsid w:val="00A45DD4"/>
    <w:rsid w:val="00A465FF"/>
    <w:rsid w:val="00A4775C"/>
    <w:rsid w:val="00A50872"/>
    <w:rsid w:val="00A509CB"/>
    <w:rsid w:val="00A50A9E"/>
    <w:rsid w:val="00A519CF"/>
    <w:rsid w:val="00A51B6A"/>
    <w:rsid w:val="00A5248F"/>
    <w:rsid w:val="00A53E77"/>
    <w:rsid w:val="00A5408D"/>
    <w:rsid w:val="00A541C3"/>
    <w:rsid w:val="00A56C4C"/>
    <w:rsid w:val="00A6058B"/>
    <w:rsid w:val="00A61AEF"/>
    <w:rsid w:val="00A61C87"/>
    <w:rsid w:val="00A61CF1"/>
    <w:rsid w:val="00A62911"/>
    <w:rsid w:val="00A634CF"/>
    <w:rsid w:val="00A6439A"/>
    <w:rsid w:val="00A65111"/>
    <w:rsid w:val="00A6534E"/>
    <w:rsid w:val="00A65370"/>
    <w:rsid w:val="00A660C0"/>
    <w:rsid w:val="00A66153"/>
    <w:rsid w:val="00A66E9A"/>
    <w:rsid w:val="00A670D9"/>
    <w:rsid w:val="00A67B0D"/>
    <w:rsid w:val="00A708B3"/>
    <w:rsid w:val="00A71034"/>
    <w:rsid w:val="00A71AE3"/>
    <w:rsid w:val="00A7211C"/>
    <w:rsid w:val="00A72C11"/>
    <w:rsid w:val="00A7386A"/>
    <w:rsid w:val="00A745AC"/>
    <w:rsid w:val="00A76208"/>
    <w:rsid w:val="00A768BF"/>
    <w:rsid w:val="00A77432"/>
    <w:rsid w:val="00A77F65"/>
    <w:rsid w:val="00A80AE9"/>
    <w:rsid w:val="00A82479"/>
    <w:rsid w:val="00A83A0F"/>
    <w:rsid w:val="00A8422C"/>
    <w:rsid w:val="00A84404"/>
    <w:rsid w:val="00A85885"/>
    <w:rsid w:val="00A87031"/>
    <w:rsid w:val="00A8732D"/>
    <w:rsid w:val="00A873CF"/>
    <w:rsid w:val="00A9021A"/>
    <w:rsid w:val="00A902D4"/>
    <w:rsid w:val="00A90D66"/>
    <w:rsid w:val="00A90EB5"/>
    <w:rsid w:val="00A919A8"/>
    <w:rsid w:val="00A92A81"/>
    <w:rsid w:val="00A92EE4"/>
    <w:rsid w:val="00A93309"/>
    <w:rsid w:val="00A9461A"/>
    <w:rsid w:val="00A946A2"/>
    <w:rsid w:val="00A959DB"/>
    <w:rsid w:val="00A95D5B"/>
    <w:rsid w:val="00A9645C"/>
    <w:rsid w:val="00A96AB7"/>
    <w:rsid w:val="00A96EC6"/>
    <w:rsid w:val="00A971EE"/>
    <w:rsid w:val="00A97959"/>
    <w:rsid w:val="00A97F77"/>
    <w:rsid w:val="00AA0088"/>
    <w:rsid w:val="00AA0C88"/>
    <w:rsid w:val="00AA0C90"/>
    <w:rsid w:val="00AA0DAA"/>
    <w:rsid w:val="00AA1FB2"/>
    <w:rsid w:val="00AA22CC"/>
    <w:rsid w:val="00AA30CE"/>
    <w:rsid w:val="00AA3344"/>
    <w:rsid w:val="00AA3CE3"/>
    <w:rsid w:val="00AA3D85"/>
    <w:rsid w:val="00AA3EA2"/>
    <w:rsid w:val="00AA5EFE"/>
    <w:rsid w:val="00AB0504"/>
    <w:rsid w:val="00AB09CE"/>
    <w:rsid w:val="00AB1C71"/>
    <w:rsid w:val="00AB266D"/>
    <w:rsid w:val="00AB27C0"/>
    <w:rsid w:val="00AB289E"/>
    <w:rsid w:val="00AB3175"/>
    <w:rsid w:val="00AB3214"/>
    <w:rsid w:val="00AB334C"/>
    <w:rsid w:val="00AB33EF"/>
    <w:rsid w:val="00AB4353"/>
    <w:rsid w:val="00AB51AE"/>
    <w:rsid w:val="00AC0B06"/>
    <w:rsid w:val="00AC11FA"/>
    <w:rsid w:val="00AC216C"/>
    <w:rsid w:val="00AC38F6"/>
    <w:rsid w:val="00AC4153"/>
    <w:rsid w:val="00AC51B6"/>
    <w:rsid w:val="00AC5CD9"/>
    <w:rsid w:val="00AC7037"/>
    <w:rsid w:val="00AC78EA"/>
    <w:rsid w:val="00AD0FC4"/>
    <w:rsid w:val="00AD1B58"/>
    <w:rsid w:val="00AD295A"/>
    <w:rsid w:val="00AD4149"/>
    <w:rsid w:val="00AD48FC"/>
    <w:rsid w:val="00AD54D7"/>
    <w:rsid w:val="00AD5F6E"/>
    <w:rsid w:val="00AD63B5"/>
    <w:rsid w:val="00AD6606"/>
    <w:rsid w:val="00AD6946"/>
    <w:rsid w:val="00AD7A28"/>
    <w:rsid w:val="00AD7DBE"/>
    <w:rsid w:val="00AE3585"/>
    <w:rsid w:val="00AE3B1E"/>
    <w:rsid w:val="00AE4631"/>
    <w:rsid w:val="00AE50E8"/>
    <w:rsid w:val="00AE53B2"/>
    <w:rsid w:val="00AE559A"/>
    <w:rsid w:val="00AE638F"/>
    <w:rsid w:val="00AE7A25"/>
    <w:rsid w:val="00AF01F5"/>
    <w:rsid w:val="00AF0EC5"/>
    <w:rsid w:val="00AF2815"/>
    <w:rsid w:val="00AF4491"/>
    <w:rsid w:val="00AF656C"/>
    <w:rsid w:val="00AF6581"/>
    <w:rsid w:val="00AF66C3"/>
    <w:rsid w:val="00AF762F"/>
    <w:rsid w:val="00AF7969"/>
    <w:rsid w:val="00B02ACF"/>
    <w:rsid w:val="00B02B17"/>
    <w:rsid w:val="00B03B83"/>
    <w:rsid w:val="00B04638"/>
    <w:rsid w:val="00B04958"/>
    <w:rsid w:val="00B04BBB"/>
    <w:rsid w:val="00B0517E"/>
    <w:rsid w:val="00B06284"/>
    <w:rsid w:val="00B07C30"/>
    <w:rsid w:val="00B115FB"/>
    <w:rsid w:val="00B124D1"/>
    <w:rsid w:val="00B12CE7"/>
    <w:rsid w:val="00B1309A"/>
    <w:rsid w:val="00B13479"/>
    <w:rsid w:val="00B138E3"/>
    <w:rsid w:val="00B1442A"/>
    <w:rsid w:val="00B149D8"/>
    <w:rsid w:val="00B1555E"/>
    <w:rsid w:val="00B15A8A"/>
    <w:rsid w:val="00B15C4E"/>
    <w:rsid w:val="00B1629D"/>
    <w:rsid w:val="00B16A97"/>
    <w:rsid w:val="00B16E4D"/>
    <w:rsid w:val="00B17191"/>
    <w:rsid w:val="00B17434"/>
    <w:rsid w:val="00B20A37"/>
    <w:rsid w:val="00B20F04"/>
    <w:rsid w:val="00B21D74"/>
    <w:rsid w:val="00B222A5"/>
    <w:rsid w:val="00B234A4"/>
    <w:rsid w:val="00B23741"/>
    <w:rsid w:val="00B23833"/>
    <w:rsid w:val="00B23F49"/>
    <w:rsid w:val="00B2736B"/>
    <w:rsid w:val="00B32176"/>
    <w:rsid w:val="00B32223"/>
    <w:rsid w:val="00B33930"/>
    <w:rsid w:val="00B341E0"/>
    <w:rsid w:val="00B342B4"/>
    <w:rsid w:val="00B34477"/>
    <w:rsid w:val="00B347BD"/>
    <w:rsid w:val="00B34893"/>
    <w:rsid w:val="00B3625A"/>
    <w:rsid w:val="00B3668D"/>
    <w:rsid w:val="00B400AB"/>
    <w:rsid w:val="00B41DA5"/>
    <w:rsid w:val="00B42F64"/>
    <w:rsid w:val="00B442DA"/>
    <w:rsid w:val="00B44B4C"/>
    <w:rsid w:val="00B44CC8"/>
    <w:rsid w:val="00B45FD1"/>
    <w:rsid w:val="00B478F3"/>
    <w:rsid w:val="00B50133"/>
    <w:rsid w:val="00B50315"/>
    <w:rsid w:val="00B50DEB"/>
    <w:rsid w:val="00B51075"/>
    <w:rsid w:val="00B525FC"/>
    <w:rsid w:val="00B53133"/>
    <w:rsid w:val="00B537FE"/>
    <w:rsid w:val="00B53DBB"/>
    <w:rsid w:val="00B54B5F"/>
    <w:rsid w:val="00B55A47"/>
    <w:rsid w:val="00B563D1"/>
    <w:rsid w:val="00B5640C"/>
    <w:rsid w:val="00B565FF"/>
    <w:rsid w:val="00B56DCE"/>
    <w:rsid w:val="00B57595"/>
    <w:rsid w:val="00B57AC4"/>
    <w:rsid w:val="00B61159"/>
    <w:rsid w:val="00B61E72"/>
    <w:rsid w:val="00B623D8"/>
    <w:rsid w:val="00B62937"/>
    <w:rsid w:val="00B63CF5"/>
    <w:rsid w:val="00B63D18"/>
    <w:rsid w:val="00B64731"/>
    <w:rsid w:val="00B65728"/>
    <w:rsid w:val="00B66ACF"/>
    <w:rsid w:val="00B676E4"/>
    <w:rsid w:val="00B67AF6"/>
    <w:rsid w:val="00B709C9"/>
    <w:rsid w:val="00B715C8"/>
    <w:rsid w:val="00B71BDA"/>
    <w:rsid w:val="00B7346F"/>
    <w:rsid w:val="00B734A8"/>
    <w:rsid w:val="00B73943"/>
    <w:rsid w:val="00B739D9"/>
    <w:rsid w:val="00B73D52"/>
    <w:rsid w:val="00B74FD0"/>
    <w:rsid w:val="00B7503C"/>
    <w:rsid w:val="00B75469"/>
    <w:rsid w:val="00B75A4D"/>
    <w:rsid w:val="00B75BAC"/>
    <w:rsid w:val="00B760D8"/>
    <w:rsid w:val="00B76997"/>
    <w:rsid w:val="00B77180"/>
    <w:rsid w:val="00B772F1"/>
    <w:rsid w:val="00B77B48"/>
    <w:rsid w:val="00B77F21"/>
    <w:rsid w:val="00B80341"/>
    <w:rsid w:val="00B80660"/>
    <w:rsid w:val="00B8101F"/>
    <w:rsid w:val="00B8196D"/>
    <w:rsid w:val="00B81E60"/>
    <w:rsid w:val="00B823A9"/>
    <w:rsid w:val="00B8273D"/>
    <w:rsid w:val="00B82F7D"/>
    <w:rsid w:val="00B8363E"/>
    <w:rsid w:val="00B836E3"/>
    <w:rsid w:val="00B83F47"/>
    <w:rsid w:val="00B85187"/>
    <w:rsid w:val="00B85CFE"/>
    <w:rsid w:val="00B86183"/>
    <w:rsid w:val="00B86A8A"/>
    <w:rsid w:val="00B86C6A"/>
    <w:rsid w:val="00B87265"/>
    <w:rsid w:val="00B87499"/>
    <w:rsid w:val="00B8795C"/>
    <w:rsid w:val="00B91A4D"/>
    <w:rsid w:val="00B91ED0"/>
    <w:rsid w:val="00B93474"/>
    <w:rsid w:val="00B9428A"/>
    <w:rsid w:val="00B94428"/>
    <w:rsid w:val="00B94BF1"/>
    <w:rsid w:val="00B9500F"/>
    <w:rsid w:val="00B953F4"/>
    <w:rsid w:val="00B9778D"/>
    <w:rsid w:val="00BA03E1"/>
    <w:rsid w:val="00BA0A7E"/>
    <w:rsid w:val="00BA1586"/>
    <w:rsid w:val="00BA2DAA"/>
    <w:rsid w:val="00BA3E70"/>
    <w:rsid w:val="00BA4218"/>
    <w:rsid w:val="00BA484B"/>
    <w:rsid w:val="00BA5294"/>
    <w:rsid w:val="00BA5ADF"/>
    <w:rsid w:val="00BA7DC9"/>
    <w:rsid w:val="00BB00A0"/>
    <w:rsid w:val="00BB0714"/>
    <w:rsid w:val="00BB0820"/>
    <w:rsid w:val="00BB2737"/>
    <w:rsid w:val="00BB2921"/>
    <w:rsid w:val="00BB32B6"/>
    <w:rsid w:val="00BB7C9B"/>
    <w:rsid w:val="00BC0E99"/>
    <w:rsid w:val="00BC1350"/>
    <w:rsid w:val="00BC2BA1"/>
    <w:rsid w:val="00BC37BB"/>
    <w:rsid w:val="00BC3C96"/>
    <w:rsid w:val="00BC5546"/>
    <w:rsid w:val="00BC6ADE"/>
    <w:rsid w:val="00BC6BF3"/>
    <w:rsid w:val="00BC6C51"/>
    <w:rsid w:val="00BD01EC"/>
    <w:rsid w:val="00BD0A27"/>
    <w:rsid w:val="00BD11E9"/>
    <w:rsid w:val="00BD1949"/>
    <w:rsid w:val="00BD206B"/>
    <w:rsid w:val="00BD27BD"/>
    <w:rsid w:val="00BD4312"/>
    <w:rsid w:val="00BD4729"/>
    <w:rsid w:val="00BD4733"/>
    <w:rsid w:val="00BD50FE"/>
    <w:rsid w:val="00BD66EB"/>
    <w:rsid w:val="00BD7869"/>
    <w:rsid w:val="00BE03FD"/>
    <w:rsid w:val="00BE0B1B"/>
    <w:rsid w:val="00BE27AE"/>
    <w:rsid w:val="00BE2EAB"/>
    <w:rsid w:val="00BE3294"/>
    <w:rsid w:val="00BE4572"/>
    <w:rsid w:val="00BE50AC"/>
    <w:rsid w:val="00BE518F"/>
    <w:rsid w:val="00BE6040"/>
    <w:rsid w:val="00BE6440"/>
    <w:rsid w:val="00BE70B8"/>
    <w:rsid w:val="00BE7795"/>
    <w:rsid w:val="00BF02E1"/>
    <w:rsid w:val="00BF1910"/>
    <w:rsid w:val="00BF25D6"/>
    <w:rsid w:val="00BF2ACE"/>
    <w:rsid w:val="00BF2B2B"/>
    <w:rsid w:val="00BF4668"/>
    <w:rsid w:val="00BF50F4"/>
    <w:rsid w:val="00BF5A51"/>
    <w:rsid w:val="00BF6DCC"/>
    <w:rsid w:val="00C00643"/>
    <w:rsid w:val="00C00930"/>
    <w:rsid w:val="00C01109"/>
    <w:rsid w:val="00C01EDF"/>
    <w:rsid w:val="00C01F0F"/>
    <w:rsid w:val="00C02AAF"/>
    <w:rsid w:val="00C03D17"/>
    <w:rsid w:val="00C0560A"/>
    <w:rsid w:val="00C06385"/>
    <w:rsid w:val="00C0674E"/>
    <w:rsid w:val="00C0687C"/>
    <w:rsid w:val="00C06BC2"/>
    <w:rsid w:val="00C0713E"/>
    <w:rsid w:val="00C07229"/>
    <w:rsid w:val="00C07F1B"/>
    <w:rsid w:val="00C104FE"/>
    <w:rsid w:val="00C10501"/>
    <w:rsid w:val="00C12167"/>
    <w:rsid w:val="00C12EBB"/>
    <w:rsid w:val="00C13031"/>
    <w:rsid w:val="00C13290"/>
    <w:rsid w:val="00C15029"/>
    <w:rsid w:val="00C150AC"/>
    <w:rsid w:val="00C1520E"/>
    <w:rsid w:val="00C179DD"/>
    <w:rsid w:val="00C2131C"/>
    <w:rsid w:val="00C21DB7"/>
    <w:rsid w:val="00C22A11"/>
    <w:rsid w:val="00C23171"/>
    <w:rsid w:val="00C25D78"/>
    <w:rsid w:val="00C316A8"/>
    <w:rsid w:val="00C317E9"/>
    <w:rsid w:val="00C32927"/>
    <w:rsid w:val="00C34130"/>
    <w:rsid w:val="00C35C3E"/>
    <w:rsid w:val="00C35D1C"/>
    <w:rsid w:val="00C36530"/>
    <w:rsid w:val="00C36F13"/>
    <w:rsid w:val="00C400C4"/>
    <w:rsid w:val="00C40AD3"/>
    <w:rsid w:val="00C42DC3"/>
    <w:rsid w:val="00C451DD"/>
    <w:rsid w:val="00C454AF"/>
    <w:rsid w:val="00C459CC"/>
    <w:rsid w:val="00C45B30"/>
    <w:rsid w:val="00C46EEB"/>
    <w:rsid w:val="00C47953"/>
    <w:rsid w:val="00C500C5"/>
    <w:rsid w:val="00C50116"/>
    <w:rsid w:val="00C501B3"/>
    <w:rsid w:val="00C514AC"/>
    <w:rsid w:val="00C5198F"/>
    <w:rsid w:val="00C52B6C"/>
    <w:rsid w:val="00C53250"/>
    <w:rsid w:val="00C535E8"/>
    <w:rsid w:val="00C560E4"/>
    <w:rsid w:val="00C56779"/>
    <w:rsid w:val="00C56D05"/>
    <w:rsid w:val="00C56D8F"/>
    <w:rsid w:val="00C572AB"/>
    <w:rsid w:val="00C573C4"/>
    <w:rsid w:val="00C57C90"/>
    <w:rsid w:val="00C6263F"/>
    <w:rsid w:val="00C63C10"/>
    <w:rsid w:val="00C63F3C"/>
    <w:rsid w:val="00C65035"/>
    <w:rsid w:val="00C655AB"/>
    <w:rsid w:val="00C65C86"/>
    <w:rsid w:val="00C667AB"/>
    <w:rsid w:val="00C67D05"/>
    <w:rsid w:val="00C70CF0"/>
    <w:rsid w:val="00C7112E"/>
    <w:rsid w:val="00C71E41"/>
    <w:rsid w:val="00C73D44"/>
    <w:rsid w:val="00C73FE1"/>
    <w:rsid w:val="00C74596"/>
    <w:rsid w:val="00C74C07"/>
    <w:rsid w:val="00C757BB"/>
    <w:rsid w:val="00C76DE7"/>
    <w:rsid w:val="00C771DE"/>
    <w:rsid w:val="00C7754B"/>
    <w:rsid w:val="00C77C1B"/>
    <w:rsid w:val="00C80BBE"/>
    <w:rsid w:val="00C8161B"/>
    <w:rsid w:val="00C826C9"/>
    <w:rsid w:val="00C845AB"/>
    <w:rsid w:val="00C850B8"/>
    <w:rsid w:val="00C85501"/>
    <w:rsid w:val="00C85F75"/>
    <w:rsid w:val="00C86217"/>
    <w:rsid w:val="00C869C3"/>
    <w:rsid w:val="00C87C86"/>
    <w:rsid w:val="00C908BD"/>
    <w:rsid w:val="00C90F52"/>
    <w:rsid w:val="00C91CCC"/>
    <w:rsid w:val="00C92486"/>
    <w:rsid w:val="00C92828"/>
    <w:rsid w:val="00C952F0"/>
    <w:rsid w:val="00C97CC9"/>
    <w:rsid w:val="00CA06EE"/>
    <w:rsid w:val="00CA1FE2"/>
    <w:rsid w:val="00CA3534"/>
    <w:rsid w:val="00CA4CDE"/>
    <w:rsid w:val="00CA54B3"/>
    <w:rsid w:val="00CA56A6"/>
    <w:rsid w:val="00CA5F4D"/>
    <w:rsid w:val="00CA6D50"/>
    <w:rsid w:val="00CA7CD5"/>
    <w:rsid w:val="00CB0762"/>
    <w:rsid w:val="00CB2552"/>
    <w:rsid w:val="00CB389D"/>
    <w:rsid w:val="00CB5417"/>
    <w:rsid w:val="00CB569E"/>
    <w:rsid w:val="00CB5874"/>
    <w:rsid w:val="00CB6CEF"/>
    <w:rsid w:val="00CB7032"/>
    <w:rsid w:val="00CC1B31"/>
    <w:rsid w:val="00CC3549"/>
    <w:rsid w:val="00CC3DAD"/>
    <w:rsid w:val="00CC3F78"/>
    <w:rsid w:val="00CC40B4"/>
    <w:rsid w:val="00CC4AE6"/>
    <w:rsid w:val="00CC5373"/>
    <w:rsid w:val="00CC574C"/>
    <w:rsid w:val="00CC7755"/>
    <w:rsid w:val="00CD0E7D"/>
    <w:rsid w:val="00CD1C46"/>
    <w:rsid w:val="00CD1E84"/>
    <w:rsid w:val="00CD21CE"/>
    <w:rsid w:val="00CD26A2"/>
    <w:rsid w:val="00CD28C9"/>
    <w:rsid w:val="00CD3913"/>
    <w:rsid w:val="00CD40E1"/>
    <w:rsid w:val="00CD41BA"/>
    <w:rsid w:val="00CD4558"/>
    <w:rsid w:val="00CD54B8"/>
    <w:rsid w:val="00CD676F"/>
    <w:rsid w:val="00CE0D23"/>
    <w:rsid w:val="00CE2F85"/>
    <w:rsid w:val="00CE4875"/>
    <w:rsid w:val="00CE5991"/>
    <w:rsid w:val="00CE7189"/>
    <w:rsid w:val="00CF0817"/>
    <w:rsid w:val="00CF0E55"/>
    <w:rsid w:val="00CF233D"/>
    <w:rsid w:val="00CF2411"/>
    <w:rsid w:val="00CF319A"/>
    <w:rsid w:val="00CF3270"/>
    <w:rsid w:val="00CF38D9"/>
    <w:rsid w:val="00CF3E84"/>
    <w:rsid w:val="00CF42AD"/>
    <w:rsid w:val="00CF5608"/>
    <w:rsid w:val="00CF6287"/>
    <w:rsid w:val="00CF76DC"/>
    <w:rsid w:val="00D000DD"/>
    <w:rsid w:val="00D007F3"/>
    <w:rsid w:val="00D01100"/>
    <w:rsid w:val="00D0183A"/>
    <w:rsid w:val="00D01B2F"/>
    <w:rsid w:val="00D01FF6"/>
    <w:rsid w:val="00D02C8B"/>
    <w:rsid w:val="00D02E55"/>
    <w:rsid w:val="00D03885"/>
    <w:rsid w:val="00D057C1"/>
    <w:rsid w:val="00D05BE3"/>
    <w:rsid w:val="00D06743"/>
    <w:rsid w:val="00D072B7"/>
    <w:rsid w:val="00D10058"/>
    <w:rsid w:val="00D10167"/>
    <w:rsid w:val="00D1053D"/>
    <w:rsid w:val="00D10A79"/>
    <w:rsid w:val="00D13C30"/>
    <w:rsid w:val="00D15AF0"/>
    <w:rsid w:val="00D15B1F"/>
    <w:rsid w:val="00D15E73"/>
    <w:rsid w:val="00D16579"/>
    <w:rsid w:val="00D17CC8"/>
    <w:rsid w:val="00D2114E"/>
    <w:rsid w:val="00D211F0"/>
    <w:rsid w:val="00D2152E"/>
    <w:rsid w:val="00D21F7D"/>
    <w:rsid w:val="00D23B6C"/>
    <w:rsid w:val="00D25D5A"/>
    <w:rsid w:val="00D2609E"/>
    <w:rsid w:val="00D26817"/>
    <w:rsid w:val="00D2687F"/>
    <w:rsid w:val="00D30B19"/>
    <w:rsid w:val="00D316CE"/>
    <w:rsid w:val="00D319A6"/>
    <w:rsid w:val="00D31E83"/>
    <w:rsid w:val="00D32287"/>
    <w:rsid w:val="00D32B29"/>
    <w:rsid w:val="00D32CD3"/>
    <w:rsid w:val="00D32FD9"/>
    <w:rsid w:val="00D3397A"/>
    <w:rsid w:val="00D34E60"/>
    <w:rsid w:val="00D35B78"/>
    <w:rsid w:val="00D364AC"/>
    <w:rsid w:val="00D36500"/>
    <w:rsid w:val="00D36F9E"/>
    <w:rsid w:val="00D4297C"/>
    <w:rsid w:val="00D42D2D"/>
    <w:rsid w:val="00D42DC4"/>
    <w:rsid w:val="00D432BF"/>
    <w:rsid w:val="00D438D8"/>
    <w:rsid w:val="00D43ED6"/>
    <w:rsid w:val="00D445A3"/>
    <w:rsid w:val="00D44CA9"/>
    <w:rsid w:val="00D44E34"/>
    <w:rsid w:val="00D464B2"/>
    <w:rsid w:val="00D467A1"/>
    <w:rsid w:val="00D467AD"/>
    <w:rsid w:val="00D47E0E"/>
    <w:rsid w:val="00D5014D"/>
    <w:rsid w:val="00D51926"/>
    <w:rsid w:val="00D521C8"/>
    <w:rsid w:val="00D5222C"/>
    <w:rsid w:val="00D52BE5"/>
    <w:rsid w:val="00D5481E"/>
    <w:rsid w:val="00D548E7"/>
    <w:rsid w:val="00D5495E"/>
    <w:rsid w:val="00D54CBD"/>
    <w:rsid w:val="00D55641"/>
    <w:rsid w:val="00D55E1D"/>
    <w:rsid w:val="00D56F97"/>
    <w:rsid w:val="00D573E4"/>
    <w:rsid w:val="00D63378"/>
    <w:rsid w:val="00D63BAA"/>
    <w:rsid w:val="00D658DD"/>
    <w:rsid w:val="00D6629C"/>
    <w:rsid w:val="00D66386"/>
    <w:rsid w:val="00D667F0"/>
    <w:rsid w:val="00D673BB"/>
    <w:rsid w:val="00D67D0D"/>
    <w:rsid w:val="00D67DC6"/>
    <w:rsid w:val="00D67F00"/>
    <w:rsid w:val="00D70EF7"/>
    <w:rsid w:val="00D7201F"/>
    <w:rsid w:val="00D72458"/>
    <w:rsid w:val="00D73E19"/>
    <w:rsid w:val="00D73F80"/>
    <w:rsid w:val="00D7401F"/>
    <w:rsid w:val="00D746B8"/>
    <w:rsid w:val="00D74F75"/>
    <w:rsid w:val="00D7664B"/>
    <w:rsid w:val="00D767BB"/>
    <w:rsid w:val="00D770BF"/>
    <w:rsid w:val="00D772FB"/>
    <w:rsid w:val="00D77998"/>
    <w:rsid w:val="00D77A7E"/>
    <w:rsid w:val="00D813CD"/>
    <w:rsid w:val="00D81D96"/>
    <w:rsid w:val="00D8276F"/>
    <w:rsid w:val="00D82948"/>
    <w:rsid w:val="00D831E9"/>
    <w:rsid w:val="00D83DBA"/>
    <w:rsid w:val="00D844F7"/>
    <w:rsid w:val="00D85253"/>
    <w:rsid w:val="00D857C3"/>
    <w:rsid w:val="00D85B39"/>
    <w:rsid w:val="00D869EF"/>
    <w:rsid w:val="00D87306"/>
    <w:rsid w:val="00D8747C"/>
    <w:rsid w:val="00D9161F"/>
    <w:rsid w:val="00D91A97"/>
    <w:rsid w:val="00D9200C"/>
    <w:rsid w:val="00D92EE0"/>
    <w:rsid w:val="00D93601"/>
    <w:rsid w:val="00D95185"/>
    <w:rsid w:val="00D96120"/>
    <w:rsid w:val="00DA0D71"/>
    <w:rsid w:val="00DA10E8"/>
    <w:rsid w:val="00DA1307"/>
    <w:rsid w:val="00DA1308"/>
    <w:rsid w:val="00DA1594"/>
    <w:rsid w:val="00DA224B"/>
    <w:rsid w:val="00DA27D5"/>
    <w:rsid w:val="00DA292D"/>
    <w:rsid w:val="00DA2C81"/>
    <w:rsid w:val="00DA2ECA"/>
    <w:rsid w:val="00DA4A40"/>
    <w:rsid w:val="00DA6BEF"/>
    <w:rsid w:val="00DA7E59"/>
    <w:rsid w:val="00DB1B62"/>
    <w:rsid w:val="00DB20CD"/>
    <w:rsid w:val="00DB21BE"/>
    <w:rsid w:val="00DB36DF"/>
    <w:rsid w:val="00DB43F6"/>
    <w:rsid w:val="00DB4EEB"/>
    <w:rsid w:val="00DB5349"/>
    <w:rsid w:val="00DB684C"/>
    <w:rsid w:val="00DB6880"/>
    <w:rsid w:val="00DC1A22"/>
    <w:rsid w:val="00DC1E0E"/>
    <w:rsid w:val="00DC207E"/>
    <w:rsid w:val="00DC22D1"/>
    <w:rsid w:val="00DC2D19"/>
    <w:rsid w:val="00DC3D61"/>
    <w:rsid w:val="00DC48B7"/>
    <w:rsid w:val="00DC4C28"/>
    <w:rsid w:val="00DC5E1D"/>
    <w:rsid w:val="00DC6457"/>
    <w:rsid w:val="00DC6989"/>
    <w:rsid w:val="00DC747F"/>
    <w:rsid w:val="00DC7F12"/>
    <w:rsid w:val="00DD1185"/>
    <w:rsid w:val="00DD34DF"/>
    <w:rsid w:val="00DD3BE8"/>
    <w:rsid w:val="00DD4932"/>
    <w:rsid w:val="00DD5B1B"/>
    <w:rsid w:val="00DD65C7"/>
    <w:rsid w:val="00DD6D68"/>
    <w:rsid w:val="00DD6EB9"/>
    <w:rsid w:val="00DE05FC"/>
    <w:rsid w:val="00DE067C"/>
    <w:rsid w:val="00DE1284"/>
    <w:rsid w:val="00DE13F4"/>
    <w:rsid w:val="00DE1589"/>
    <w:rsid w:val="00DE1BB7"/>
    <w:rsid w:val="00DE1FF7"/>
    <w:rsid w:val="00DE20C8"/>
    <w:rsid w:val="00DE4BFD"/>
    <w:rsid w:val="00DE5002"/>
    <w:rsid w:val="00DE5284"/>
    <w:rsid w:val="00DE54F5"/>
    <w:rsid w:val="00DE5702"/>
    <w:rsid w:val="00DF0FE6"/>
    <w:rsid w:val="00DF2D3F"/>
    <w:rsid w:val="00DF348A"/>
    <w:rsid w:val="00DF3A8E"/>
    <w:rsid w:val="00DF3FC2"/>
    <w:rsid w:val="00DF46D8"/>
    <w:rsid w:val="00DF5152"/>
    <w:rsid w:val="00DF58D0"/>
    <w:rsid w:val="00DF6A47"/>
    <w:rsid w:val="00E00EC0"/>
    <w:rsid w:val="00E03275"/>
    <w:rsid w:val="00E0343C"/>
    <w:rsid w:val="00E0365D"/>
    <w:rsid w:val="00E05002"/>
    <w:rsid w:val="00E05B28"/>
    <w:rsid w:val="00E06D52"/>
    <w:rsid w:val="00E104BE"/>
    <w:rsid w:val="00E10B19"/>
    <w:rsid w:val="00E115BA"/>
    <w:rsid w:val="00E11942"/>
    <w:rsid w:val="00E11F50"/>
    <w:rsid w:val="00E12033"/>
    <w:rsid w:val="00E15FDC"/>
    <w:rsid w:val="00E17A4D"/>
    <w:rsid w:val="00E20538"/>
    <w:rsid w:val="00E24245"/>
    <w:rsid w:val="00E24F85"/>
    <w:rsid w:val="00E2588A"/>
    <w:rsid w:val="00E25EBA"/>
    <w:rsid w:val="00E2670D"/>
    <w:rsid w:val="00E2686B"/>
    <w:rsid w:val="00E26C29"/>
    <w:rsid w:val="00E272DD"/>
    <w:rsid w:val="00E30107"/>
    <w:rsid w:val="00E30C61"/>
    <w:rsid w:val="00E315BF"/>
    <w:rsid w:val="00E316BB"/>
    <w:rsid w:val="00E3228F"/>
    <w:rsid w:val="00E32582"/>
    <w:rsid w:val="00E336F4"/>
    <w:rsid w:val="00E337F7"/>
    <w:rsid w:val="00E338A8"/>
    <w:rsid w:val="00E33D6A"/>
    <w:rsid w:val="00E34B5B"/>
    <w:rsid w:val="00E34CC2"/>
    <w:rsid w:val="00E35032"/>
    <w:rsid w:val="00E35C05"/>
    <w:rsid w:val="00E361AE"/>
    <w:rsid w:val="00E36A5B"/>
    <w:rsid w:val="00E36C8B"/>
    <w:rsid w:val="00E37094"/>
    <w:rsid w:val="00E41335"/>
    <w:rsid w:val="00E43174"/>
    <w:rsid w:val="00E4374B"/>
    <w:rsid w:val="00E43CE4"/>
    <w:rsid w:val="00E43EC1"/>
    <w:rsid w:val="00E44823"/>
    <w:rsid w:val="00E46417"/>
    <w:rsid w:val="00E465AD"/>
    <w:rsid w:val="00E467A8"/>
    <w:rsid w:val="00E46C55"/>
    <w:rsid w:val="00E47A4F"/>
    <w:rsid w:val="00E47ECA"/>
    <w:rsid w:val="00E47F31"/>
    <w:rsid w:val="00E502D6"/>
    <w:rsid w:val="00E507D0"/>
    <w:rsid w:val="00E513F8"/>
    <w:rsid w:val="00E51505"/>
    <w:rsid w:val="00E51DBC"/>
    <w:rsid w:val="00E52542"/>
    <w:rsid w:val="00E52F26"/>
    <w:rsid w:val="00E533EA"/>
    <w:rsid w:val="00E53D88"/>
    <w:rsid w:val="00E54813"/>
    <w:rsid w:val="00E54FA4"/>
    <w:rsid w:val="00E55C49"/>
    <w:rsid w:val="00E562D2"/>
    <w:rsid w:val="00E5720F"/>
    <w:rsid w:val="00E57590"/>
    <w:rsid w:val="00E57CE0"/>
    <w:rsid w:val="00E60233"/>
    <w:rsid w:val="00E60436"/>
    <w:rsid w:val="00E60986"/>
    <w:rsid w:val="00E60F65"/>
    <w:rsid w:val="00E61219"/>
    <w:rsid w:val="00E62127"/>
    <w:rsid w:val="00E622E2"/>
    <w:rsid w:val="00E62366"/>
    <w:rsid w:val="00E6303C"/>
    <w:rsid w:val="00E63226"/>
    <w:rsid w:val="00E639DF"/>
    <w:rsid w:val="00E64184"/>
    <w:rsid w:val="00E64985"/>
    <w:rsid w:val="00E64D22"/>
    <w:rsid w:val="00E65231"/>
    <w:rsid w:val="00E653E6"/>
    <w:rsid w:val="00E65517"/>
    <w:rsid w:val="00E6587F"/>
    <w:rsid w:val="00E66EF2"/>
    <w:rsid w:val="00E67286"/>
    <w:rsid w:val="00E67AA0"/>
    <w:rsid w:val="00E70A02"/>
    <w:rsid w:val="00E71154"/>
    <w:rsid w:val="00E717EC"/>
    <w:rsid w:val="00E733DD"/>
    <w:rsid w:val="00E7353C"/>
    <w:rsid w:val="00E7490F"/>
    <w:rsid w:val="00E74F56"/>
    <w:rsid w:val="00E7751C"/>
    <w:rsid w:val="00E77869"/>
    <w:rsid w:val="00E77956"/>
    <w:rsid w:val="00E77DCB"/>
    <w:rsid w:val="00E77F27"/>
    <w:rsid w:val="00E81011"/>
    <w:rsid w:val="00E81F0F"/>
    <w:rsid w:val="00E8257E"/>
    <w:rsid w:val="00E826E8"/>
    <w:rsid w:val="00E82DC3"/>
    <w:rsid w:val="00E85107"/>
    <w:rsid w:val="00E85965"/>
    <w:rsid w:val="00E8684C"/>
    <w:rsid w:val="00E86D23"/>
    <w:rsid w:val="00E87459"/>
    <w:rsid w:val="00E87866"/>
    <w:rsid w:val="00E9109E"/>
    <w:rsid w:val="00E91F9A"/>
    <w:rsid w:val="00E921D6"/>
    <w:rsid w:val="00E92294"/>
    <w:rsid w:val="00E93CCB"/>
    <w:rsid w:val="00E93D7A"/>
    <w:rsid w:val="00E94304"/>
    <w:rsid w:val="00E94F2F"/>
    <w:rsid w:val="00E9595C"/>
    <w:rsid w:val="00E95A48"/>
    <w:rsid w:val="00E96D88"/>
    <w:rsid w:val="00E97F13"/>
    <w:rsid w:val="00EA1B31"/>
    <w:rsid w:val="00EA1C7C"/>
    <w:rsid w:val="00EA1D04"/>
    <w:rsid w:val="00EA20E8"/>
    <w:rsid w:val="00EA2117"/>
    <w:rsid w:val="00EA2B90"/>
    <w:rsid w:val="00EA2C75"/>
    <w:rsid w:val="00EA3746"/>
    <w:rsid w:val="00EA4306"/>
    <w:rsid w:val="00EA6167"/>
    <w:rsid w:val="00EA7381"/>
    <w:rsid w:val="00EA77A0"/>
    <w:rsid w:val="00EB0B62"/>
    <w:rsid w:val="00EB11FF"/>
    <w:rsid w:val="00EB1D44"/>
    <w:rsid w:val="00EB1D51"/>
    <w:rsid w:val="00EB2BED"/>
    <w:rsid w:val="00EB32BF"/>
    <w:rsid w:val="00EB334B"/>
    <w:rsid w:val="00EB3955"/>
    <w:rsid w:val="00EB4978"/>
    <w:rsid w:val="00EB4CFD"/>
    <w:rsid w:val="00EB4D51"/>
    <w:rsid w:val="00EB614A"/>
    <w:rsid w:val="00EB7435"/>
    <w:rsid w:val="00EB7A24"/>
    <w:rsid w:val="00EB7CDF"/>
    <w:rsid w:val="00EC0710"/>
    <w:rsid w:val="00EC0C34"/>
    <w:rsid w:val="00EC21B7"/>
    <w:rsid w:val="00EC252D"/>
    <w:rsid w:val="00EC25AF"/>
    <w:rsid w:val="00EC35BE"/>
    <w:rsid w:val="00EC408F"/>
    <w:rsid w:val="00EC6269"/>
    <w:rsid w:val="00EC672C"/>
    <w:rsid w:val="00EC6AC2"/>
    <w:rsid w:val="00EC717F"/>
    <w:rsid w:val="00EC741A"/>
    <w:rsid w:val="00EC7F6A"/>
    <w:rsid w:val="00ED1677"/>
    <w:rsid w:val="00ED3B13"/>
    <w:rsid w:val="00ED4327"/>
    <w:rsid w:val="00ED4731"/>
    <w:rsid w:val="00ED56DF"/>
    <w:rsid w:val="00ED5772"/>
    <w:rsid w:val="00ED5A01"/>
    <w:rsid w:val="00ED62F8"/>
    <w:rsid w:val="00ED7DFC"/>
    <w:rsid w:val="00EE0AC9"/>
    <w:rsid w:val="00EE10B1"/>
    <w:rsid w:val="00EE1EAF"/>
    <w:rsid w:val="00EE21A0"/>
    <w:rsid w:val="00EE4CF6"/>
    <w:rsid w:val="00EE5232"/>
    <w:rsid w:val="00EE5575"/>
    <w:rsid w:val="00EE5958"/>
    <w:rsid w:val="00EE7DF0"/>
    <w:rsid w:val="00EF0ADC"/>
    <w:rsid w:val="00EF0BA5"/>
    <w:rsid w:val="00EF15D0"/>
    <w:rsid w:val="00EF27A2"/>
    <w:rsid w:val="00EF30B0"/>
    <w:rsid w:val="00EF4295"/>
    <w:rsid w:val="00EF536B"/>
    <w:rsid w:val="00EF559F"/>
    <w:rsid w:val="00EF5923"/>
    <w:rsid w:val="00F00D0E"/>
    <w:rsid w:val="00F00F29"/>
    <w:rsid w:val="00F01077"/>
    <w:rsid w:val="00F012F6"/>
    <w:rsid w:val="00F02B85"/>
    <w:rsid w:val="00F04425"/>
    <w:rsid w:val="00F04A17"/>
    <w:rsid w:val="00F0619D"/>
    <w:rsid w:val="00F0771C"/>
    <w:rsid w:val="00F102BF"/>
    <w:rsid w:val="00F10424"/>
    <w:rsid w:val="00F10E2C"/>
    <w:rsid w:val="00F1141B"/>
    <w:rsid w:val="00F11D64"/>
    <w:rsid w:val="00F11FDF"/>
    <w:rsid w:val="00F12380"/>
    <w:rsid w:val="00F130D5"/>
    <w:rsid w:val="00F13449"/>
    <w:rsid w:val="00F13B3A"/>
    <w:rsid w:val="00F13D25"/>
    <w:rsid w:val="00F14257"/>
    <w:rsid w:val="00F1498A"/>
    <w:rsid w:val="00F15C14"/>
    <w:rsid w:val="00F17452"/>
    <w:rsid w:val="00F201C9"/>
    <w:rsid w:val="00F203C5"/>
    <w:rsid w:val="00F204AD"/>
    <w:rsid w:val="00F2063B"/>
    <w:rsid w:val="00F22BBF"/>
    <w:rsid w:val="00F22CE8"/>
    <w:rsid w:val="00F23BA2"/>
    <w:rsid w:val="00F24317"/>
    <w:rsid w:val="00F24DF7"/>
    <w:rsid w:val="00F254EF"/>
    <w:rsid w:val="00F26396"/>
    <w:rsid w:val="00F26B4F"/>
    <w:rsid w:val="00F27269"/>
    <w:rsid w:val="00F30699"/>
    <w:rsid w:val="00F320D1"/>
    <w:rsid w:val="00F324F4"/>
    <w:rsid w:val="00F330A9"/>
    <w:rsid w:val="00F3360E"/>
    <w:rsid w:val="00F33DF1"/>
    <w:rsid w:val="00F349F8"/>
    <w:rsid w:val="00F34E97"/>
    <w:rsid w:val="00F34ECF"/>
    <w:rsid w:val="00F358C9"/>
    <w:rsid w:val="00F35983"/>
    <w:rsid w:val="00F35FCC"/>
    <w:rsid w:val="00F36236"/>
    <w:rsid w:val="00F362F6"/>
    <w:rsid w:val="00F376F4"/>
    <w:rsid w:val="00F379BF"/>
    <w:rsid w:val="00F40DA3"/>
    <w:rsid w:val="00F41309"/>
    <w:rsid w:val="00F41F9F"/>
    <w:rsid w:val="00F426F8"/>
    <w:rsid w:val="00F43C66"/>
    <w:rsid w:val="00F43FF1"/>
    <w:rsid w:val="00F44463"/>
    <w:rsid w:val="00F44DD7"/>
    <w:rsid w:val="00F46BE9"/>
    <w:rsid w:val="00F46C5E"/>
    <w:rsid w:val="00F47089"/>
    <w:rsid w:val="00F47AE1"/>
    <w:rsid w:val="00F47CBF"/>
    <w:rsid w:val="00F519BE"/>
    <w:rsid w:val="00F530CC"/>
    <w:rsid w:val="00F53D28"/>
    <w:rsid w:val="00F5514A"/>
    <w:rsid w:val="00F5590C"/>
    <w:rsid w:val="00F561BE"/>
    <w:rsid w:val="00F5661A"/>
    <w:rsid w:val="00F56675"/>
    <w:rsid w:val="00F56A85"/>
    <w:rsid w:val="00F57A2F"/>
    <w:rsid w:val="00F57B0E"/>
    <w:rsid w:val="00F61059"/>
    <w:rsid w:val="00F61329"/>
    <w:rsid w:val="00F61356"/>
    <w:rsid w:val="00F61D90"/>
    <w:rsid w:val="00F644C9"/>
    <w:rsid w:val="00F64A7E"/>
    <w:rsid w:val="00F65034"/>
    <w:rsid w:val="00F66346"/>
    <w:rsid w:val="00F66CA4"/>
    <w:rsid w:val="00F66D32"/>
    <w:rsid w:val="00F70745"/>
    <w:rsid w:val="00F712A4"/>
    <w:rsid w:val="00F75499"/>
    <w:rsid w:val="00F756BF"/>
    <w:rsid w:val="00F75885"/>
    <w:rsid w:val="00F75E34"/>
    <w:rsid w:val="00F764D8"/>
    <w:rsid w:val="00F7676F"/>
    <w:rsid w:val="00F76DDF"/>
    <w:rsid w:val="00F7720C"/>
    <w:rsid w:val="00F7793F"/>
    <w:rsid w:val="00F80399"/>
    <w:rsid w:val="00F80A4F"/>
    <w:rsid w:val="00F80C6E"/>
    <w:rsid w:val="00F81174"/>
    <w:rsid w:val="00F82251"/>
    <w:rsid w:val="00F83395"/>
    <w:rsid w:val="00F8355E"/>
    <w:rsid w:val="00F83800"/>
    <w:rsid w:val="00F84FB8"/>
    <w:rsid w:val="00F859D6"/>
    <w:rsid w:val="00F86CE4"/>
    <w:rsid w:val="00F9182F"/>
    <w:rsid w:val="00F92FA0"/>
    <w:rsid w:val="00F9372D"/>
    <w:rsid w:val="00F9487C"/>
    <w:rsid w:val="00F94AB1"/>
    <w:rsid w:val="00F952BB"/>
    <w:rsid w:val="00F963C7"/>
    <w:rsid w:val="00F967B9"/>
    <w:rsid w:val="00F97BBC"/>
    <w:rsid w:val="00FA1FD0"/>
    <w:rsid w:val="00FA2098"/>
    <w:rsid w:val="00FA36BB"/>
    <w:rsid w:val="00FA42E9"/>
    <w:rsid w:val="00FA4BEB"/>
    <w:rsid w:val="00FA51AA"/>
    <w:rsid w:val="00FA6241"/>
    <w:rsid w:val="00FA6408"/>
    <w:rsid w:val="00FA65C7"/>
    <w:rsid w:val="00FA72A6"/>
    <w:rsid w:val="00FB0A83"/>
    <w:rsid w:val="00FB0D6F"/>
    <w:rsid w:val="00FB1CA1"/>
    <w:rsid w:val="00FB2644"/>
    <w:rsid w:val="00FB413A"/>
    <w:rsid w:val="00FB46F9"/>
    <w:rsid w:val="00FB5799"/>
    <w:rsid w:val="00FB588F"/>
    <w:rsid w:val="00FB72B1"/>
    <w:rsid w:val="00FC170D"/>
    <w:rsid w:val="00FC1DF1"/>
    <w:rsid w:val="00FC2257"/>
    <w:rsid w:val="00FC28F0"/>
    <w:rsid w:val="00FC39CC"/>
    <w:rsid w:val="00FC4142"/>
    <w:rsid w:val="00FC45FD"/>
    <w:rsid w:val="00FC744B"/>
    <w:rsid w:val="00FD1245"/>
    <w:rsid w:val="00FD1C03"/>
    <w:rsid w:val="00FD41CD"/>
    <w:rsid w:val="00FD4360"/>
    <w:rsid w:val="00FD6863"/>
    <w:rsid w:val="00FD6A1D"/>
    <w:rsid w:val="00FD6A52"/>
    <w:rsid w:val="00FD79D9"/>
    <w:rsid w:val="00FE038A"/>
    <w:rsid w:val="00FE17A7"/>
    <w:rsid w:val="00FE1898"/>
    <w:rsid w:val="00FE1EC2"/>
    <w:rsid w:val="00FE3820"/>
    <w:rsid w:val="00FE4242"/>
    <w:rsid w:val="00FE45DE"/>
    <w:rsid w:val="00FE4918"/>
    <w:rsid w:val="00FE491B"/>
    <w:rsid w:val="00FE4BAF"/>
    <w:rsid w:val="00FE4CAE"/>
    <w:rsid w:val="00FE5D04"/>
    <w:rsid w:val="00FE5D48"/>
    <w:rsid w:val="00FE5F8D"/>
    <w:rsid w:val="00FE650B"/>
    <w:rsid w:val="00FE72A9"/>
    <w:rsid w:val="00FF03C4"/>
    <w:rsid w:val="00FF06C5"/>
    <w:rsid w:val="00FF103C"/>
    <w:rsid w:val="00FF13EA"/>
    <w:rsid w:val="00FF1453"/>
    <w:rsid w:val="00FF23D9"/>
    <w:rsid w:val="00FF245A"/>
    <w:rsid w:val="00FF387C"/>
    <w:rsid w:val="00FF3D2F"/>
    <w:rsid w:val="00FF3FC2"/>
    <w:rsid w:val="00FF40A8"/>
    <w:rsid w:val="00FF450E"/>
    <w:rsid w:val="00FF5203"/>
    <w:rsid w:val="017A6231"/>
    <w:rsid w:val="019FF942"/>
    <w:rsid w:val="02D3E0FB"/>
    <w:rsid w:val="03EBC497"/>
    <w:rsid w:val="05EAC754"/>
    <w:rsid w:val="0601BE0E"/>
    <w:rsid w:val="08019866"/>
    <w:rsid w:val="09857416"/>
    <w:rsid w:val="09C1281A"/>
    <w:rsid w:val="09C80773"/>
    <w:rsid w:val="0D17FCA7"/>
    <w:rsid w:val="0D32E829"/>
    <w:rsid w:val="0EBD7DB3"/>
    <w:rsid w:val="10F953A3"/>
    <w:rsid w:val="1420194F"/>
    <w:rsid w:val="15134DEA"/>
    <w:rsid w:val="151D031E"/>
    <w:rsid w:val="167531F5"/>
    <w:rsid w:val="16D917A3"/>
    <w:rsid w:val="17E69F22"/>
    <w:rsid w:val="197CEC39"/>
    <w:rsid w:val="19DF396A"/>
    <w:rsid w:val="19FF7D8E"/>
    <w:rsid w:val="1A3A47AE"/>
    <w:rsid w:val="1C549634"/>
    <w:rsid w:val="1CEE6F36"/>
    <w:rsid w:val="1CFDD844"/>
    <w:rsid w:val="1E461C37"/>
    <w:rsid w:val="1EBEE6D4"/>
    <w:rsid w:val="1F0F3F88"/>
    <w:rsid w:val="216ACEC0"/>
    <w:rsid w:val="217DBCF9"/>
    <w:rsid w:val="23313F4F"/>
    <w:rsid w:val="248377A2"/>
    <w:rsid w:val="2497296B"/>
    <w:rsid w:val="26F21C56"/>
    <w:rsid w:val="293B06C2"/>
    <w:rsid w:val="2AF271BE"/>
    <w:rsid w:val="2BC2AC90"/>
    <w:rsid w:val="2CA0D588"/>
    <w:rsid w:val="312BAAFC"/>
    <w:rsid w:val="315C8416"/>
    <w:rsid w:val="346C7E92"/>
    <w:rsid w:val="37B7BB54"/>
    <w:rsid w:val="38032247"/>
    <w:rsid w:val="38FD6C5D"/>
    <w:rsid w:val="393122D6"/>
    <w:rsid w:val="3A4F92EF"/>
    <w:rsid w:val="3CD6936A"/>
    <w:rsid w:val="3F087F36"/>
    <w:rsid w:val="3F31C36D"/>
    <w:rsid w:val="3FA0645A"/>
    <w:rsid w:val="3FFA890F"/>
    <w:rsid w:val="3FFFBB5D"/>
    <w:rsid w:val="40856CAB"/>
    <w:rsid w:val="4149C82C"/>
    <w:rsid w:val="43C16C91"/>
    <w:rsid w:val="43E4950B"/>
    <w:rsid w:val="4739DBF6"/>
    <w:rsid w:val="47B05E90"/>
    <w:rsid w:val="48BF7D56"/>
    <w:rsid w:val="490B929C"/>
    <w:rsid w:val="49C0FA14"/>
    <w:rsid w:val="4AA762FD"/>
    <w:rsid w:val="4C54B83A"/>
    <w:rsid w:val="4D4B528B"/>
    <w:rsid w:val="4D7989AE"/>
    <w:rsid w:val="4DCF3F50"/>
    <w:rsid w:val="4E542444"/>
    <w:rsid w:val="4EC8C605"/>
    <w:rsid w:val="4EC99116"/>
    <w:rsid w:val="4ED2C6B2"/>
    <w:rsid w:val="4F0E7AB6"/>
    <w:rsid w:val="519F195C"/>
    <w:rsid w:val="52C23F9F"/>
    <w:rsid w:val="54AAD5DE"/>
    <w:rsid w:val="5595D20A"/>
    <w:rsid w:val="5C4992B9"/>
    <w:rsid w:val="5DA9C50F"/>
    <w:rsid w:val="5EB15A0C"/>
    <w:rsid w:val="5EDBEA98"/>
    <w:rsid w:val="5F1A1662"/>
    <w:rsid w:val="60A1049D"/>
    <w:rsid w:val="60C67A4F"/>
    <w:rsid w:val="61C5EACC"/>
    <w:rsid w:val="626BFB5B"/>
    <w:rsid w:val="6336D9D8"/>
    <w:rsid w:val="690C161D"/>
    <w:rsid w:val="6948C672"/>
    <w:rsid w:val="6F21E3DF"/>
    <w:rsid w:val="6F3066CC"/>
    <w:rsid w:val="727A5092"/>
    <w:rsid w:val="73FB155C"/>
    <w:rsid w:val="750E328E"/>
    <w:rsid w:val="755D14F3"/>
    <w:rsid w:val="7682CC9B"/>
    <w:rsid w:val="78EF9D84"/>
    <w:rsid w:val="7A308616"/>
    <w:rsid w:val="7A761C8B"/>
    <w:rsid w:val="7B46E3F0"/>
    <w:rsid w:val="7B7BF2D4"/>
    <w:rsid w:val="7BBA49AD"/>
    <w:rsid w:val="7C199100"/>
    <w:rsid w:val="7E006FD7"/>
    <w:rsid w:val="7FFF1F74"/>
    <w:rsid w:val="7FFF69D6"/>
    <w:rsid w:val="7FFFF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CA6090"/>
  <w15:docId w15:val="{A9CE784B-44F5-47E3-A62D-A5D5E62C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Normal"/>
    <w:link w:val="Heading1Char"/>
    <w:uiPriority w:val="9"/>
    <w:qFormat/>
    <w:rsid w:val="002329AF"/>
    <w:pPr>
      <w:keepNext/>
      <w:keepLines/>
      <w:spacing w:before="120" w:after="120" w:line="276" w:lineRule="auto"/>
      <w:outlineLvl w:val="0"/>
    </w:pPr>
    <w:rPr>
      <w:rFonts w:ascii="Times New Roman" w:eastAsiaTheme="majorEastAsia" w:hAnsi="Times New Roman" w:cstheme="majorBidi"/>
      <w:b/>
      <w:color w:val="000000" w:themeColor="text1"/>
      <w:sz w:val="24"/>
      <w:szCs w:val="32"/>
    </w:rPr>
  </w:style>
  <w:style w:type="paragraph" w:styleId="Heading2">
    <w:name w:val="heading 2"/>
    <w:basedOn w:val="Heading1"/>
    <w:next w:val="Normal"/>
    <w:link w:val="Heading2Char"/>
    <w:uiPriority w:val="9"/>
    <w:unhideWhenUsed/>
    <w:qFormat/>
    <w:rsid w:val="00A541C3"/>
    <w:pPr>
      <w:numPr>
        <w:numId w:val="17"/>
      </w:numPr>
      <w:outlineLvl w:val="1"/>
    </w:pPr>
    <w:rPr>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2329AF"/>
    <w:pPr>
      <w:spacing w:after="0" w:line="240" w:lineRule="auto"/>
    </w:pPr>
    <w:rPr>
      <w:rFonts w:ascii="Segoe UI" w:hAnsi="Segoe UI" w:cs="Segoe UI"/>
      <w:sz w:val="18"/>
      <w:szCs w:val="18"/>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CommentText">
    <w:name w:val="annotation text"/>
    <w:basedOn w:val="Normal"/>
    <w:link w:val="CommentTextChar"/>
    <w:uiPriority w:val="99"/>
    <w:unhideWhenUsed/>
    <w:qFormat/>
    <w:rsid w:val="002329AF"/>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2329AF"/>
    <w:rPr>
      <w:b/>
      <w:bCs/>
    </w:rPr>
  </w:style>
  <w:style w:type="paragraph" w:styleId="Footer">
    <w:name w:val="footer"/>
    <w:basedOn w:val="Normal"/>
    <w:link w:val="FooterChar"/>
    <w:uiPriority w:val="99"/>
    <w:unhideWhenUsed/>
    <w:qFormat/>
    <w:rsid w:val="002329AF"/>
    <w:pPr>
      <w:tabs>
        <w:tab w:val="center" w:pos="4680"/>
        <w:tab w:val="right" w:pos="9360"/>
      </w:tabs>
      <w:spacing w:after="0" w:line="240" w:lineRule="auto"/>
    </w:pPr>
  </w:style>
  <w:style w:type="paragraph" w:styleId="FootnoteText">
    <w:name w:val="footnote text"/>
    <w:basedOn w:val="Normal"/>
    <w:link w:val="FootnoteTextChar"/>
    <w:uiPriority w:val="99"/>
    <w:unhideWhenUsed/>
    <w:qFormat/>
    <w:rsid w:val="002329AF"/>
    <w:pPr>
      <w:spacing w:after="0" w:line="240" w:lineRule="auto"/>
    </w:pPr>
    <w:rPr>
      <w:sz w:val="20"/>
      <w:szCs w:val="20"/>
    </w:rPr>
  </w:style>
  <w:style w:type="paragraph" w:styleId="Header">
    <w:name w:val="header"/>
    <w:basedOn w:val="Normal"/>
    <w:link w:val="HeaderChar"/>
    <w:uiPriority w:val="99"/>
    <w:unhideWhenUsed/>
    <w:qFormat/>
    <w:rsid w:val="002329AF"/>
    <w:pPr>
      <w:tabs>
        <w:tab w:val="center" w:pos="4680"/>
        <w:tab w:val="right" w:pos="9360"/>
      </w:tabs>
      <w:spacing w:after="0" w:line="240" w:lineRule="auto"/>
    </w:pPr>
  </w:style>
  <w:style w:type="paragraph" w:styleId="NormalWeb">
    <w:name w:val="Normal (Web)"/>
    <w:basedOn w:val="Normal"/>
    <w:uiPriority w:val="99"/>
    <w:semiHidden/>
    <w:unhideWhenUsed/>
    <w:qFormat/>
    <w:rsid w:val="002329AF"/>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qFormat/>
    <w:rsid w:val="002329AF"/>
    <w:rPr>
      <w:sz w:val="16"/>
      <w:szCs w:val="16"/>
    </w:rPr>
  </w:style>
  <w:style w:type="character" w:styleId="FollowedHyperlink">
    <w:name w:val="FollowedHyperlink"/>
    <w:basedOn w:val="DefaultParagraphFont"/>
    <w:uiPriority w:val="99"/>
    <w:semiHidden/>
    <w:unhideWhenUsed/>
    <w:qFormat/>
    <w:rsid w:val="002329AF"/>
    <w:rPr>
      <w:color w:val="954F72" w:themeColor="followedHyperlink"/>
      <w:u w:val="single"/>
    </w:rPr>
  </w:style>
  <w:style w:type="character" w:styleId="FootnoteReference">
    <w:name w:val="footnote reference"/>
    <w:basedOn w:val="DefaultParagraphFont"/>
    <w:uiPriority w:val="99"/>
    <w:unhideWhenUsed/>
    <w:qFormat/>
    <w:rsid w:val="002329AF"/>
    <w:rPr>
      <w:vertAlign w:val="superscript"/>
    </w:rPr>
  </w:style>
  <w:style w:type="character" w:styleId="Hyperlink">
    <w:name w:val="Hyperlink"/>
    <w:basedOn w:val="DefaultParagraphFont"/>
    <w:uiPriority w:val="99"/>
    <w:unhideWhenUsed/>
    <w:qFormat/>
    <w:rsid w:val="002329AF"/>
    <w:rPr>
      <w:color w:val="0563C1" w:themeColor="hyperlink"/>
      <w:u w:val="single"/>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qFormat/>
    <w:rPr>
      <w:lang w:val="fr-FR"/>
    </w:rPr>
  </w:style>
  <w:style w:type="character" w:customStyle="1" w:styleId="CommentTextChar">
    <w:name w:val="Comment Text Char"/>
    <w:basedOn w:val="DefaultParagraphFont"/>
    <w:link w:val="CommentText"/>
    <w:uiPriority w:val="99"/>
    <w:qFormat/>
    <w:rPr>
      <w:lang w:val="fr-FR"/>
    </w:rPr>
  </w:style>
  <w:style w:type="character" w:customStyle="1" w:styleId="CommentSubjectChar">
    <w:name w:val="Comment Subject Char"/>
    <w:basedOn w:val="CommentTextChar"/>
    <w:link w:val="CommentSubject"/>
    <w:uiPriority w:val="99"/>
    <w:semiHidden/>
    <w:qFormat/>
    <w:rPr>
      <w:b/>
      <w:bCs/>
      <w:lang w:val="fr-FR"/>
    </w:rPr>
  </w:style>
  <w:style w:type="character" w:customStyle="1" w:styleId="BalloonTextChar">
    <w:name w:val="Balloon Text Char"/>
    <w:basedOn w:val="DefaultParagraphFont"/>
    <w:link w:val="BalloonText"/>
    <w:uiPriority w:val="99"/>
    <w:semiHidden/>
    <w:qFormat/>
    <w:rPr>
      <w:rFonts w:ascii="Segoe UI" w:hAnsi="Segoe UI" w:cs="Segoe UI"/>
      <w:sz w:val="18"/>
      <w:szCs w:val="18"/>
      <w:lang w:val="fr-FR"/>
    </w:rPr>
  </w:style>
  <w:style w:type="character" w:customStyle="1" w:styleId="HeaderChar">
    <w:name w:val="Header Char"/>
    <w:basedOn w:val="DefaultParagraphFont"/>
    <w:link w:val="Header"/>
    <w:uiPriority w:val="99"/>
    <w:qFormat/>
    <w:rPr>
      <w:sz w:val="22"/>
      <w:szCs w:val="22"/>
      <w:lang w:val="fr-FR"/>
    </w:rPr>
  </w:style>
  <w:style w:type="character" w:customStyle="1" w:styleId="FooterChar">
    <w:name w:val="Footer Char"/>
    <w:basedOn w:val="DefaultParagraphFont"/>
    <w:link w:val="Footer"/>
    <w:uiPriority w:val="99"/>
    <w:qFormat/>
    <w:rPr>
      <w:sz w:val="22"/>
      <w:szCs w:val="22"/>
      <w:lang w:val="fr-FR"/>
    </w:rPr>
  </w:style>
  <w:style w:type="paragraph" w:customStyle="1" w:styleId="TextblackText">
    <w:name w:val="Text black (Text)"/>
    <w:basedOn w:val="Normal"/>
    <w:uiPriority w:val="99"/>
    <w:qFormat/>
    <w:rsid w:val="002329AF"/>
    <w:pPr>
      <w:autoSpaceDE w:val="0"/>
      <w:autoSpaceDN w:val="0"/>
      <w:adjustRightInd w:val="0"/>
      <w:spacing w:after="0" w:line="240" w:lineRule="atLeast"/>
      <w:jc w:val="both"/>
      <w:textAlignment w:val="center"/>
    </w:pPr>
    <w:rPr>
      <w:rFonts w:ascii="PF Square Sans Pro" w:eastAsia="MS Mincho" w:hAnsi="PF Square Sans Pro" w:cs="PF Square Sans Pro"/>
      <w:color w:val="000000"/>
      <w:sz w:val="18"/>
      <w:szCs w:val="18"/>
      <w:lang w:eastAsia="en-GB"/>
    </w:rPr>
  </w:style>
  <w:style w:type="character" w:customStyle="1" w:styleId="IntenseEmphasis1">
    <w:name w:val="Intense Emphasis1"/>
    <w:basedOn w:val="DefaultParagraphFont"/>
    <w:qFormat/>
    <w:rPr>
      <w:b/>
      <w:bCs/>
      <w:i/>
      <w:iCs/>
      <w:color w:val="5B9BD5" w:themeColor="accent1"/>
    </w:rPr>
  </w:style>
  <w:style w:type="paragraph" w:customStyle="1" w:styleId="SectionsTitle">
    <w:name w:val="Sections Title"/>
    <w:basedOn w:val="Normal"/>
    <w:link w:val="SectionsTitleChar"/>
    <w:qFormat/>
    <w:rsid w:val="000B5B91"/>
    <w:pPr>
      <w:autoSpaceDE w:val="0"/>
      <w:autoSpaceDN w:val="0"/>
      <w:spacing w:before="120" w:after="120" w:line="276" w:lineRule="auto"/>
    </w:pPr>
    <w:rPr>
      <w:rFonts w:ascii="Times New Roman" w:eastAsia="MS ??" w:hAnsi="Times New Roman" w:cs="Times New Roman"/>
      <w:b/>
      <w:sz w:val="24"/>
      <w:szCs w:val="24"/>
    </w:rPr>
  </w:style>
  <w:style w:type="character" w:customStyle="1" w:styleId="SectionsTitleChar">
    <w:name w:val="Sections Title Char"/>
    <w:basedOn w:val="DefaultParagraphFont"/>
    <w:link w:val="SectionsTitle"/>
    <w:qFormat/>
    <w:rsid w:val="000B5B91"/>
    <w:rPr>
      <w:rFonts w:ascii="Times New Roman" w:eastAsia="MS ??" w:hAnsi="Times New Roman" w:cs="Times New Roman"/>
      <w:b/>
      <w:sz w:val="24"/>
      <w:szCs w:val="24"/>
      <w:lang w:val="fr-FR"/>
    </w:rPr>
  </w:style>
  <w:style w:type="character" w:customStyle="1" w:styleId="Heading1Char">
    <w:name w:val="Heading 1 Char"/>
    <w:basedOn w:val="DefaultParagraphFont"/>
    <w:link w:val="Heading1"/>
    <w:uiPriority w:val="9"/>
    <w:qFormat/>
    <w:rsid w:val="000B5B91"/>
    <w:rPr>
      <w:rFonts w:ascii="Times New Roman" w:eastAsiaTheme="majorEastAsia" w:hAnsi="Times New Roman" w:cstheme="majorBidi"/>
      <w:b/>
      <w:color w:val="000000" w:themeColor="text1"/>
      <w:sz w:val="24"/>
      <w:szCs w:val="32"/>
      <w:lang w:val="fr-FR"/>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fr-FR"/>
    </w:rPr>
  </w:style>
  <w:style w:type="table" w:customStyle="1" w:styleId="PlainTable31">
    <w:name w:val="Plain Table 31"/>
    <w:basedOn w:val="TableNormal"/>
    <w:uiPriority w:val="43"/>
    <w:pPr>
      <w:spacing w:after="0" w:line="240" w:lineRule="auto"/>
    </w:p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5Dark-Accent11">
    <w:name w:val="Grid Table 5 Dark - Accent 11"/>
    <w:basedOn w:val="TableNormal"/>
    <w:uiPriority w:val="50"/>
    <w:pPr>
      <w:spacing w:after="0" w:line="240" w:lineRule="auto"/>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51">
    <w:name w:val="Grid Table 5 Dark - Accent 51"/>
    <w:basedOn w:val="TableNormal"/>
    <w:uiPriority w:val="50"/>
    <w:pPr>
      <w:spacing w:after="0" w:line="240" w:lineRule="auto"/>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FrameContents">
    <w:name w:val="Frame Contents"/>
    <w:basedOn w:val="Normal"/>
    <w:qFormat/>
    <w:pPr>
      <w:suppressAutoHyphens/>
      <w:spacing w:after="0" w:line="240" w:lineRule="auto"/>
    </w:pPr>
    <w:rPr>
      <w:rFonts w:ascii="Liberation Serif" w:eastAsia="Noto Serif CJK SC" w:hAnsi="Liberation Serif" w:cs="Lohit Devanagari"/>
      <w:kern w:val="2"/>
      <w:sz w:val="24"/>
      <w:szCs w:val="24"/>
      <w:lang w:eastAsia="zh-CN" w:bidi="hi-IN"/>
    </w:rPr>
  </w:style>
  <w:style w:type="paragraph" w:styleId="ListParagraph">
    <w:name w:val="List Paragraph"/>
    <w:basedOn w:val="Normal"/>
    <w:uiPriority w:val="34"/>
    <w:qFormat/>
    <w:rsid w:val="002F4674"/>
    <w:pPr>
      <w:ind w:left="720"/>
      <w:contextualSpacing/>
    </w:pPr>
  </w:style>
  <w:style w:type="paragraph" w:styleId="Revision">
    <w:name w:val="Revision"/>
    <w:hidden/>
    <w:uiPriority w:val="99"/>
    <w:semiHidden/>
    <w:rsid w:val="0070674F"/>
    <w:pPr>
      <w:spacing w:after="0" w:line="240" w:lineRule="auto"/>
    </w:pPr>
    <w:rPr>
      <w:sz w:val="22"/>
      <w:szCs w:val="22"/>
    </w:rPr>
  </w:style>
  <w:style w:type="table" w:styleId="GridTable5Dark-Accent5">
    <w:name w:val="Grid Table 5 Dark Accent 5"/>
    <w:basedOn w:val="TableNormal"/>
    <w:uiPriority w:val="50"/>
    <w:rsid w:val="000D284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OCHeading">
    <w:name w:val="TOC Heading"/>
    <w:basedOn w:val="Heading1"/>
    <w:next w:val="Normal"/>
    <w:uiPriority w:val="39"/>
    <w:unhideWhenUsed/>
    <w:qFormat/>
    <w:rsid w:val="00F27269"/>
    <w:pPr>
      <w:spacing w:before="240" w:after="0" w:line="259" w:lineRule="auto"/>
      <w:outlineLvl w:val="9"/>
    </w:pPr>
    <w:rPr>
      <w:rFonts w:asciiTheme="majorHAnsi" w:hAnsiTheme="majorHAnsi"/>
      <w:b w:val="0"/>
      <w:color w:val="2E74B5" w:themeColor="accent1" w:themeShade="BF"/>
      <w:sz w:val="32"/>
    </w:rPr>
  </w:style>
  <w:style w:type="paragraph" w:styleId="TOC1">
    <w:name w:val="toc 1"/>
    <w:basedOn w:val="Normal"/>
    <w:next w:val="Normal"/>
    <w:uiPriority w:val="39"/>
    <w:unhideWhenUsed/>
    <w:qFormat/>
    <w:rsid w:val="002329AF"/>
    <w:pPr>
      <w:spacing w:after="100"/>
    </w:pPr>
  </w:style>
  <w:style w:type="character" w:customStyle="1" w:styleId="Heading2Char">
    <w:name w:val="Heading 2 Char"/>
    <w:basedOn w:val="DefaultParagraphFont"/>
    <w:link w:val="Heading2"/>
    <w:uiPriority w:val="9"/>
    <w:qFormat/>
    <w:rsid w:val="00A541C3"/>
    <w:rPr>
      <w:rFonts w:ascii="Times New Roman" w:eastAsiaTheme="majorEastAsia" w:hAnsi="Times New Roman" w:cstheme="majorBidi"/>
      <w:b/>
      <w:color w:val="000000" w:themeColor="text1"/>
      <w:sz w:val="24"/>
      <w:szCs w:val="26"/>
      <w:lang w:val="fr-FR"/>
    </w:rPr>
  </w:style>
  <w:style w:type="character" w:customStyle="1" w:styleId="Marker">
    <w:name w:val="Marker"/>
    <w:basedOn w:val="DefaultParagraphFont"/>
    <w:qFormat/>
    <w:rsid w:val="002329AF"/>
    <w:rPr>
      <w:color w:val="0000FF"/>
      <w:shd w:val="clear" w:color="auto" w:fill="auto"/>
    </w:rPr>
  </w:style>
  <w:style w:type="paragraph" w:customStyle="1" w:styleId="Pagedecouverture">
    <w:name w:val="Page de couverture"/>
    <w:basedOn w:val="Normal"/>
    <w:next w:val="Normal"/>
    <w:qFormat/>
    <w:rsid w:val="002329AF"/>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qFormat/>
    <w:rsid w:val="002329AF"/>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Heading1Char"/>
    <w:link w:val="FooterCoverPage"/>
    <w:qFormat/>
    <w:rsid w:val="00AA30CE"/>
    <w:rPr>
      <w:rFonts w:ascii="Times New Roman" w:eastAsiaTheme="majorEastAsia" w:hAnsi="Times New Roman" w:cs="Times New Roman"/>
      <w:b w:val="0"/>
      <w:color w:val="000000" w:themeColor="text1"/>
      <w:sz w:val="24"/>
      <w:szCs w:val="22"/>
      <w:lang w:val="fr-FR"/>
    </w:rPr>
  </w:style>
  <w:style w:type="paragraph" w:customStyle="1" w:styleId="FooterSensitivity">
    <w:name w:val="Footer Sensitivity"/>
    <w:basedOn w:val="Normal"/>
    <w:link w:val="FooterSensitivityChar"/>
    <w:qFormat/>
    <w:rsid w:val="002329AF"/>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Heading1Char"/>
    <w:link w:val="FooterSensitivity"/>
    <w:qFormat/>
    <w:rsid w:val="00AA30CE"/>
    <w:rPr>
      <w:rFonts w:ascii="Times New Roman" w:eastAsiaTheme="majorEastAsia" w:hAnsi="Times New Roman" w:cs="Times New Roman"/>
      <w:b/>
      <w:color w:val="000000" w:themeColor="text1"/>
      <w:sz w:val="32"/>
      <w:szCs w:val="22"/>
      <w:lang w:val="fr-FR"/>
    </w:rPr>
  </w:style>
  <w:style w:type="paragraph" w:customStyle="1" w:styleId="HeaderCoverPage">
    <w:name w:val="Header Cover Page"/>
    <w:basedOn w:val="Normal"/>
    <w:link w:val="HeaderCoverPageChar"/>
    <w:qFormat/>
    <w:rsid w:val="002329AF"/>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Heading1Char"/>
    <w:link w:val="HeaderCoverPage"/>
    <w:qFormat/>
    <w:rsid w:val="00AA30CE"/>
    <w:rPr>
      <w:rFonts w:ascii="Times New Roman" w:eastAsiaTheme="majorEastAsia" w:hAnsi="Times New Roman" w:cs="Times New Roman"/>
      <w:b w:val="0"/>
      <w:color w:val="000000" w:themeColor="text1"/>
      <w:sz w:val="24"/>
      <w:szCs w:val="22"/>
      <w:lang w:val="fr-FR"/>
    </w:rPr>
  </w:style>
  <w:style w:type="paragraph" w:customStyle="1" w:styleId="HeaderSensitivity">
    <w:name w:val="Header Sensitivity"/>
    <w:basedOn w:val="Normal"/>
    <w:link w:val="HeaderSensitivityChar"/>
    <w:qFormat/>
    <w:rsid w:val="002329AF"/>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Heading1Char"/>
    <w:link w:val="HeaderSensitivity"/>
    <w:qFormat/>
    <w:rsid w:val="00AA30CE"/>
    <w:rPr>
      <w:rFonts w:ascii="Times New Roman" w:eastAsiaTheme="majorEastAsia" w:hAnsi="Times New Roman" w:cs="Times New Roman"/>
      <w:b/>
      <w:color w:val="000000" w:themeColor="text1"/>
      <w:sz w:val="32"/>
      <w:szCs w:val="22"/>
      <w:lang w:val="fr-FR"/>
    </w:rPr>
  </w:style>
  <w:style w:type="paragraph" w:customStyle="1" w:styleId="HeaderSensitivityRight">
    <w:name w:val="Header Sensitivity Right"/>
    <w:basedOn w:val="Normal"/>
    <w:link w:val="HeaderSensitivityRightChar"/>
    <w:qFormat/>
    <w:rsid w:val="002329AF"/>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Heading1Char"/>
    <w:link w:val="HeaderSensitivityRight"/>
    <w:rsid w:val="00AA30CE"/>
    <w:rPr>
      <w:rFonts w:ascii="Times New Roman" w:eastAsiaTheme="majorEastAsia" w:hAnsi="Times New Roman" w:cs="Times New Roman"/>
      <w:b w:val="0"/>
      <w:color w:val="000000" w:themeColor="text1"/>
      <w:sz w:val="28"/>
      <w:szCs w:val="22"/>
      <w:lang w:val="fr-FR"/>
    </w:rPr>
  </w:style>
  <w:style w:type="table" w:styleId="GridTable2-Accent1">
    <w:name w:val="Grid Table 2 Accent 1"/>
    <w:basedOn w:val="TableNormal"/>
    <w:uiPriority w:val="47"/>
    <w:rsid w:val="00406425"/>
    <w:pPr>
      <w:spacing w:after="0" w:line="240" w:lineRule="auto"/>
    </w:pPr>
    <w:rPr>
      <w:sz w:val="22"/>
      <w:szCs w:val="22"/>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1">
    <w:name w:val="Revision1"/>
    <w:hidden/>
    <w:uiPriority w:val="99"/>
    <w:semiHidden/>
    <w:qFormat/>
    <w:rsid w:val="002329AF"/>
    <w:pPr>
      <w:spacing w:after="0" w:line="240" w:lineRule="auto"/>
    </w:pPr>
    <w:rPr>
      <w:sz w:val="22"/>
      <w:szCs w:val="22"/>
    </w:rPr>
  </w:style>
  <w:style w:type="table" w:customStyle="1" w:styleId="GridTable5Dark-Accent52">
    <w:name w:val="Grid Table 5 Dark - Accent 52"/>
    <w:basedOn w:val="TableNormal"/>
    <w:uiPriority w:val="50"/>
    <w:qFormat/>
    <w:rsid w:val="002329AF"/>
    <w:pPr>
      <w:spacing w:after="0" w:line="240" w:lineRule="auto"/>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TOCHeading1">
    <w:name w:val="TOC Heading1"/>
    <w:basedOn w:val="Heading1"/>
    <w:next w:val="Normal"/>
    <w:uiPriority w:val="39"/>
    <w:unhideWhenUsed/>
    <w:qFormat/>
    <w:rsid w:val="002329AF"/>
    <w:pPr>
      <w:spacing w:before="240" w:after="0" w:line="259" w:lineRule="auto"/>
      <w:outlineLvl w:val="9"/>
    </w:pPr>
    <w:rPr>
      <w:rFonts w:asciiTheme="majorHAnsi" w:hAnsiTheme="majorHAnsi"/>
      <w:b w:val="0"/>
      <w:color w:val="2E74B5" w:themeColor="accent1" w:themeShade="BF"/>
      <w:sz w:val="32"/>
    </w:rPr>
  </w:style>
  <w:style w:type="table" w:customStyle="1" w:styleId="GridTable2-Accent11">
    <w:name w:val="Grid Table 2 - Accent 11"/>
    <w:basedOn w:val="TableNormal"/>
    <w:uiPriority w:val="47"/>
    <w:qFormat/>
    <w:rsid w:val="002329AF"/>
    <w:pPr>
      <w:spacing w:after="0" w:line="240" w:lineRule="auto"/>
    </w:pPr>
    <w:rPr>
      <w:sz w:val="22"/>
      <w:szCs w:val="22"/>
    </w:rPr>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rsid w:val="00D35B78"/>
    <w:pPr>
      <w:autoSpaceDE w:val="0"/>
      <w:autoSpaceDN w:val="0"/>
      <w:adjustRightInd w:val="0"/>
      <w:spacing w:after="0" w:line="240" w:lineRule="auto"/>
    </w:pPr>
    <w:rPr>
      <w:rFonts w:ascii="EC Square Sans Pro" w:hAnsi="EC Square Sans Pro" w:cs="EC Square Sans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1246">
      <w:bodyDiv w:val="1"/>
      <w:marLeft w:val="0"/>
      <w:marRight w:val="0"/>
      <w:marTop w:val="0"/>
      <w:marBottom w:val="0"/>
      <w:divBdr>
        <w:top w:val="none" w:sz="0" w:space="0" w:color="auto"/>
        <w:left w:val="none" w:sz="0" w:space="0" w:color="auto"/>
        <w:bottom w:val="none" w:sz="0" w:space="0" w:color="auto"/>
        <w:right w:val="none" w:sz="0" w:space="0" w:color="auto"/>
      </w:divBdr>
    </w:div>
    <w:div w:id="44792759">
      <w:bodyDiv w:val="1"/>
      <w:marLeft w:val="0"/>
      <w:marRight w:val="0"/>
      <w:marTop w:val="0"/>
      <w:marBottom w:val="0"/>
      <w:divBdr>
        <w:top w:val="none" w:sz="0" w:space="0" w:color="auto"/>
        <w:left w:val="none" w:sz="0" w:space="0" w:color="auto"/>
        <w:bottom w:val="none" w:sz="0" w:space="0" w:color="auto"/>
        <w:right w:val="none" w:sz="0" w:space="0" w:color="auto"/>
      </w:divBdr>
    </w:div>
    <w:div w:id="142896988">
      <w:bodyDiv w:val="1"/>
      <w:marLeft w:val="0"/>
      <w:marRight w:val="0"/>
      <w:marTop w:val="0"/>
      <w:marBottom w:val="0"/>
      <w:divBdr>
        <w:top w:val="none" w:sz="0" w:space="0" w:color="auto"/>
        <w:left w:val="none" w:sz="0" w:space="0" w:color="auto"/>
        <w:bottom w:val="none" w:sz="0" w:space="0" w:color="auto"/>
        <w:right w:val="none" w:sz="0" w:space="0" w:color="auto"/>
      </w:divBdr>
    </w:div>
    <w:div w:id="324557003">
      <w:bodyDiv w:val="1"/>
      <w:marLeft w:val="0"/>
      <w:marRight w:val="0"/>
      <w:marTop w:val="0"/>
      <w:marBottom w:val="0"/>
      <w:divBdr>
        <w:top w:val="none" w:sz="0" w:space="0" w:color="auto"/>
        <w:left w:val="none" w:sz="0" w:space="0" w:color="auto"/>
        <w:bottom w:val="none" w:sz="0" w:space="0" w:color="auto"/>
        <w:right w:val="none" w:sz="0" w:space="0" w:color="auto"/>
      </w:divBdr>
    </w:div>
    <w:div w:id="536433888">
      <w:bodyDiv w:val="1"/>
      <w:marLeft w:val="0"/>
      <w:marRight w:val="0"/>
      <w:marTop w:val="0"/>
      <w:marBottom w:val="0"/>
      <w:divBdr>
        <w:top w:val="none" w:sz="0" w:space="0" w:color="auto"/>
        <w:left w:val="none" w:sz="0" w:space="0" w:color="auto"/>
        <w:bottom w:val="none" w:sz="0" w:space="0" w:color="auto"/>
        <w:right w:val="none" w:sz="0" w:space="0" w:color="auto"/>
      </w:divBdr>
      <w:divsChild>
        <w:div w:id="2084254577">
          <w:marLeft w:val="274"/>
          <w:marRight w:val="0"/>
          <w:marTop w:val="86"/>
          <w:marBottom w:val="0"/>
          <w:divBdr>
            <w:top w:val="none" w:sz="0" w:space="0" w:color="auto"/>
            <w:left w:val="none" w:sz="0" w:space="0" w:color="auto"/>
            <w:bottom w:val="none" w:sz="0" w:space="0" w:color="auto"/>
            <w:right w:val="none" w:sz="0" w:space="0" w:color="auto"/>
          </w:divBdr>
        </w:div>
      </w:divsChild>
    </w:div>
    <w:div w:id="821778604">
      <w:bodyDiv w:val="1"/>
      <w:marLeft w:val="0"/>
      <w:marRight w:val="0"/>
      <w:marTop w:val="0"/>
      <w:marBottom w:val="0"/>
      <w:divBdr>
        <w:top w:val="none" w:sz="0" w:space="0" w:color="auto"/>
        <w:left w:val="none" w:sz="0" w:space="0" w:color="auto"/>
        <w:bottom w:val="none" w:sz="0" w:space="0" w:color="auto"/>
        <w:right w:val="none" w:sz="0" w:space="0" w:color="auto"/>
      </w:divBdr>
    </w:div>
    <w:div w:id="1389526102">
      <w:bodyDiv w:val="1"/>
      <w:marLeft w:val="0"/>
      <w:marRight w:val="0"/>
      <w:marTop w:val="0"/>
      <w:marBottom w:val="0"/>
      <w:divBdr>
        <w:top w:val="none" w:sz="0" w:space="0" w:color="auto"/>
        <w:left w:val="none" w:sz="0" w:space="0" w:color="auto"/>
        <w:bottom w:val="none" w:sz="0" w:space="0" w:color="auto"/>
        <w:right w:val="none" w:sz="0" w:space="0" w:color="auto"/>
      </w:divBdr>
    </w:div>
    <w:div w:id="1528368216">
      <w:bodyDiv w:val="1"/>
      <w:marLeft w:val="0"/>
      <w:marRight w:val="0"/>
      <w:marTop w:val="0"/>
      <w:marBottom w:val="0"/>
      <w:divBdr>
        <w:top w:val="none" w:sz="0" w:space="0" w:color="auto"/>
        <w:left w:val="none" w:sz="0" w:space="0" w:color="auto"/>
        <w:bottom w:val="none" w:sz="0" w:space="0" w:color="auto"/>
        <w:right w:val="none" w:sz="0" w:space="0" w:color="auto"/>
      </w:divBdr>
    </w:div>
    <w:div w:id="1646617648">
      <w:bodyDiv w:val="1"/>
      <w:marLeft w:val="0"/>
      <w:marRight w:val="0"/>
      <w:marTop w:val="0"/>
      <w:marBottom w:val="0"/>
      <w:divBdr>
        <w:top w:val="none" w:sz="0" w:space="0" w:color="auto"/>
        <w:left w:val="none" w:sz="0" w:space="0" w:color="auto"/>
        <w:bottom w:val="none" w:sz="0" w:space="0" w:color="auto"/>
        <w:right w:val="none" w:sz="0" w:space="0" w:color="auto"/>
      </w:divBdr>
    </w:div>
    <w:div w:id="1747920964">
      <w:bodyDiv w:val="1"/>
      <w:marLeft w:val="0"/>
      <w:marRight w:val="0"/>
      <w:marTop w:val="0"/>
      <w:marBottom w:val="0"/>
      <w:divBdr>
        <w:top w:val="none" w:sz="0" w:space="0" w:color="auto"/>
        <w:left w:val="none" w:sz="0" w:space="0" w:color="auto"/>
        <w:bottom w:val="none" w:sz="0" w:space="0" w:color="auto"/>
        <w:right w:val="none" w:sz="0" w:space="0" w:color="auto"/>
      </w:divBdr>
    </w:div>
    <w:div w:id="1884366587">
      <w:bodyDiv w:val="1"/>
      <w:marLeft w:val="0"/>
      <w:marRight w:val="0"/>
      <w:marTop w:val="0"/>
      <w:marBottom w:val="0"/>
      <w:divBdr>
        <w:top w:val="none" w:sz="0" w:space="0" w:color="auto"/>
        <w:left w:val="none" w:sz="0" w:space="0" w:color="auto"/>
        <w:bottom w:val="none" w:sz="0" w:space="0" w:color="auto"/>
        <w:right w:val="none" w:sz="0" w:space="0" w:color="auto"/>
      </w:divBdr>
      <w:divsChild>
        <w:div w:id="1761297249">
          <w:marLeft w:val="994"/>
          <w:marRight w:val="0"/>
          <w:marTop w:val="86"/>
          <w:marBottom w:val="0"/>
          <w:divBdr>
            <w:top w:val="none" w:sz="0" w:space="0" w:color="auto"/>
            <w:left w:val="none" w:sz="0" w:space="0" w:color="auto"/>
            <w:bottom w:val="none" w:sz="0" w:space="0" w:color="auto"/>
            <w:right w:val="none" w:sz="0" w:space="0" w:color="auto"/>
          </w:divBdr>
        </w:div>
      </w:divsChild>
    </w:div>
    <w:div w:id="1928803404">
      <w:bodyDiv w:val="1"/>
      <w:marLeft w:val="0"/>
      <w:marRight w:val="0"/>
      <w:marTop w:val="0"/>
      <w:marBottom w:val="0"/>
      <w:divBdr>
        <w:top w:val="none" w:sz="0" w:space="0" w:color="auto"/>
        <w:left w:val="none" w:sz="0" w:space="0" w:color="auto"/>
        <w:bottom w:val="none" w:sz="0" w:space="0" w:color="auto"/>
        <w:right w:val="none" w:sz="0" w:space="0" w:color="auto"/>
      </w:divBdr>
    </w:div>
    <w:div w:id="1988850274">
      <w:bodyDiv w:val="1"/>
      <w:marLeft w:val="0"/>
      <w:marRight w:val="0"/>
      <w:marTop w:val="0"/>
      <w:marBottom w:val="0"/>
      <w:divBdr>
        <w:top w:val="none" w:sz="0" w:space="0" w:color="auto"/>
        <w:left w:val="none" w:sz="0" w:space="0" w:color="auto"/>
        <w:bottom w:val="none" w:sz="0" w:space="0" w:color="auto"/>
        <w:right w:val="none" w:sz="0" w:space="0" w:color="auto"/>
      </w:divBdr>
    </w:div>
    <w:div w:id="2000232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6.png"/><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chart" Target="charts/chart2.xml"/><Relationship Id="rId34" Type="http://schemas.openxmlformats.org/officeDocument/2006/relationships/chart" Target="charts/chart8.xml"/><Relationship Id="rId42" Type="http://schemas.openxmlformats.org/officeDocument/2006/relationships/footer" Target="footer6.xml"/><Relationship Id="rId50" Type="http://schemas.microsoft.com/office/2016/09/relationships/commentsIds" Target="commentsIds.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5.png"/><Relationship Id="rId33" Type="http://schemas.openxmlformats.org/officeDocument/2006/relationships/chart" Target="charts/chart7.xml"/><Relationship Id="rId38"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stats.oecd.org/Index.aspx?DataSetCode=FDI_CTRY_IND_SUMM" TargetMode="External"/><Relationship Id="rId29" Type="http://schemas.openxmlformats.org/officeDocument/2006/relationships/chart" Target="charts/chart3.xm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png"/><Relationship Id="rId32" Type="http://schemas.openxmlformats.org/officeDocument/2006/relationships/chart" Target="charts/chart6.xml"/><Relationship Id="rId37" Type="http://schemas.openxmlformats.org/officeDocument/2006/relationships/header" Target="header4.xml"/><Relationship Id="rId40"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image" Target="media/image9.png"/><Relationship Id="rId49"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chart" Target="charts/chart1.xml"/><Relationship Id="rId31" Type="http://schemas.openxmlformats.org/officeDocument/2006/relationships/chart" Target="charts/chart5.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chart" Target="charts/chart4.xml"/><Relationship Id="rId35" Type="http://schemas.openxmlformats.org/officeDocument/2006/relationships/chart" Target="charts/chart9.xm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hg.com/research-topic/china/?msclkid=a134a238ac1411ecb81d672853b573f3" TargetMode="External"/><Relationship Id="rId7" Type="http://schemas.openxmlformats.org/officeDocument/2006/relationships/hyperlink" Target="http://trade.ec.europa.eu/doclib/press/index.cfm?id=2006" TargetMode="External"/><Relationship Id="rId2" Type="http://schemas.openxmlformats.org/officeDocument/2006/relationships/hyperlink" Target="https://pitchbook.com/news/reports/2021-annual-global-ma-report?msclkid=0e2939b5a92111ecad316eed4d49f8a8" TargetMode="External"/><Relationship Id="rId1" Type="http://schemas.openxmlformats.org/officeDocument/2006/relationships/hyperlink" Target="https://www.oecd.org/investment/investment-policy/FDI-in-Figures-April-2022.pdf?utm_source=Adestra&amp;utm_medium=email&amp;utm_content=Download%20the%20full%20report&amp;utm_campaign=Global%20FDI%20flows%20surge%2088%25%20in%202021%2C%20rising%20above%20pre-pandemic%20levels&amp;utm_term=daf" TargetMode="External"/><Relationship Id="rId6" Type="http://schemas.openxmlformats.org/officeDocument/2006/relationships/hyperlink" Target="https://trade.ec.europa.eu/doclib/docs/2021/november/tradoc_159935.pdf" TargetMode="External"/><Relationship Id="rId5" Type="http://schemas.openxmlformats.org/officeDocument/2006/relationships/hyperlink" Target="https://trade.ec.europa.eu/doclib/docs/2019/june/tradoc_157946.pdf" TargetMode="External"/><Relationship Id="rId4" Type="http://schemas.openxmlformats.org/officeDocument/2006/relationships/hyperlink" Target="https://ec.europa.eu/eurostat/web/nace-rev2"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cremasa\AppData\Local\CATE\DGT\Dossiers\TRADE\TRADE-2022-80216\TRADE-2022-80216-00-00-FR-SRC-00.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remasa\AppData\Local\CATE\DGT\Dossiers\TRADE\TRADE-2022-80216\TRADE-2022-80216-00-00-FR-SRC-0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cremasa\AppData\Local\CATE\DGT\Dossiers\TRADE\TRADE-2022-80216\TRADE-2022-80216-00-00-FR-SRC-0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cremasa\AppData\Local\CATE\DGT\Dossiers\TRADE\TRADE-2022-80216\TRADE-2022-80216-00-00-FR-SRC-0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cremasa\AppData\Local\CATE\DGT\Dossiers\TRADE\TRADE-2022-80216\TRADE-2022-80216-00-00-FR-SRC-0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cremasa\AppData\Local\CATE\DGT\Dossiers\TRADE\TRADE-2022-80216\TRADE-2022-80216-00-00-FR-SRC-0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cremasa\AppData\Local\CATE\DGT\Dossiers\TRADE\TRADE-2022-80216\TRADE-2022-80216-00-00-FR-SRC-0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cremasa\AppData\Local\CATE\DGT\Dossiers\TRADE\TRADE-2022-80216\TRADE-2022-80216-00-00-FR-SRC-00.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cremasa\AppData\Local\CATE\DGT\Dossiers\TRADE\TRADE-2022-80216\TRADE-2022-80216-00-00-FR-SRC-00.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'Chap1 Figure1'!$D$3</c:f>
              <c:strCache>
                <c:ptCount val="1"/>
                <c:pt idx="0">
                  <c:v>Total des flux d’IDE dans le monde</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'Chap1 Figure1'!$B$4:$B$12</c:f>
              <c:numCache>
                <c:formatCode>General</c:formatCode>
                <c:ptCount val="6"/>
                <c:pt idx="0">
                  <c:v>2016</c:v>
                </c:pt>
                <c:pt idx="1">
                  <c:v>2017</c:v>
                </c:pt>
                <c:pt idx="2">
                  <c:v>2018</c:v>
                </c:pt>
                <c:pt idx="3">
                  <c:v>2019</c:v>
                </c:pt>
                <c:pt idx="4">
                  <c:v>2020</c:v>
                </c:pt>
                <c:pt idx="5">
                  <c:v>2021</c:v>
                </c:pt>
              </c:numCache>
              <c:extLst/>
            </c:numRef>
          </c:cat>
          <c:val>
            <c:numRef>
              <c:f>'Chap1 Figure1'!$D$4:$D$12</c:f>
              <c:numCache>
                <c:formatCode>#\ ##0_ ;\-#\ ##0\ </c:formatCode>
                <c:ptCount val="6"/>
                <c:pt idx="0">
                  <c:v>1848.9581836633768</c:v>
                </c:pt>
                <c:pt idx="1">
                  <c:v>1496.4463482041492</c:v>
                </c:pt>
                <c:pt idx="2">
                  <c:v>1268.9773141779706</c:v>
                </c:pt>
                <c:pt idx="3">
                  <c:v>1352.7225029367814</c:v>
                </c:pt>
                <c:pt idx="4">
                  <c:v>992.18690610712429</c:v>
                </c:pt>
                <c:pt idx="5">
                  <c:v>1504.0626466954195</c:v>
                </c:pt>
              </c:numCache>
              <c:extLst/>
            </c:numRef>
          </c:val>
          <c:smooth val="0"/>
          <c:extLst>
            <c:ext xmlns:c16="http://schemas.microsoft.com/office/drawing/2014/chart" uri="{C3380CC4-5D6E-409C-BE32-E72D297353CC}">
              <c16:uniqueId val="{00000000-8424-4658-8E6B-1F79D6DC5F2B}"/>
            </c:ext>
          </c:extLst>
        </c:ser>
        <c:ser>
          <c:idx val="1"/>
          <c:order val="1"/>
          <c:tx>
            <c:strRef>
              <c:f>'Chap1 Figure1'!$C$3</c:f>
              <c:strCache>
                <c:ptCount val="1"/>
                <c:pt idx="0">
                  <c:v>Total des flux d’IDE dans l'EU27</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'Chap1 Figure1'!$B$4:$B$12</c:f>
              <c:numCache>
                <c:formatCode>General</c:formatCode>
                <c:ptCount val="6"/>
                <c:pt idx="0">
                  <c:v>2016</c:v>
                </c:pt>
                <c:pt idx="1">
                  <c:v>2017</c:v>
                </c:pt>
                <c:pt idx="2">
                  <c:v>2018</c:v>
                </c:pt>
                <c:pt idx="3">
                  <c:v>2019</c:v>
                </c:pt>
                <c:pt idx="4">
                  <c:v>2020</c:v>
                </c:pt>
                <c:pt idx="5">
                  <c:v>2021</c:v>
                </c:pt>
              </c:numCache>
              <c:extLst/>
            </c:numRef>
          </c:cat>
          <c:val>
            <c:numRef>
              <c:f>'Chap1 Figure1'!$C$4:$C$12</c:f>
              <c:numCache>
                <c:formatCode>#\ ##0_ ;\-#\ ##0\ </c:formatCode>
                <c:ptCount val="6"/>
                <c:pt idx="0">
                  <c:v>314.88883864104224</c:v>
                </c:pt>
                <c:pt idx="1">
                  <c:v>241.00873511617561</c:v>
                </c:pt>
                <c:pt idx="2">
                  <c:v>302.47492224994886</c:v>
                </c:pt>
                <c:pt idx="3">
                  <c:v>362.42223927833004</c:v>
                </c:pt>
                <c:pt idx="4">
                  <c:v>170.35864973784567</c:v>
                </c:pt>
                <c:pt idx="5">
                  <c:v>116.92346501928748</c:v>
                </c:pt>
              </c:numCache>
              <c:extLst/>
            </c:numRef>
          </c:val>
          <c:smooth val="0"/>
          <c:extLst>
            <c:ext xmlns:c16="http://schemas.microsoft.com/office/drawing/2014/chart" uri="{C3380CC4-5D6E-409C-BE32-E72D297353CC}">
              <c16:uniqueId val="{00000001-8424-4658-8E6B-1F79D6DC5F2B}"/>
            </c:ext>
          </c:extLst>
        </c:ser>
        <c:dLbls>
          <c:showLegendKey val="0"/>
          <c:showVal val="0"/>
          <c:showCatName val="0"/>
          <c:showSerName val="0"/>
          <c:showPercent val="0"/>
          <c:showBubbleSize val="0"/>
        </c:dLbls>
        <c:marker val="1"/>
        <c:smooth val="0"/>
        <c:axId val="1717803728"/>
        <c:axId val="1717801232"/>
      </c:lineChart>
      <c:catAx>
        <c:axId val="17178037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717801232"/>
        <c:crosses val="autoZero"/>
        <c:auto val="1"/>
        <c:lblAlgn val="ctr"/>
        <c:lblOffset val="100"/>
        <c:noMultiLvlLbl val="0"/>
      </c:catAx>
      <c:valAx>
        <c:axId val="1717801232"/>
        <c:scaling>
          <c:orientation val="minMax"/>
        </c:scaling>
        <c:delete val="0"/>
        <c:axPos val="l"/>
        <c:title>
          <c:tx>
            <c:strRef>
              <c:f>'Chap1 Figure1'!$B$15</c:f>
              <c:strCache>
                <c:ptCount val="1"/>
                <c:pt idx="0">
                  <c:v>En milliards d'EUR</c:v>
                </c:pt>
              </c:strCache>
            </c:strRef>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 ##0_ ;\-#\ ##0\ "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80372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'Chap1 Figure2'!$B$12</c:f>
              <c:strCache>
                <c:ptCount val="1"/>
                <c:pt idx="0">
                  <c:v>Fusions-acquisitions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numRef>
              <c:f>'Chap1 Figure2'!$C$11:$I$11</c:f>
              <c:numCache>
                <c:formatCode>General</c:formatCode>
                <c:ptCount val="7"/>
                <c:pt idx="0">
                  <c:v>2015</c:v>
                </c:pt>
                <c:pt idx="1">
                  <c:v>2016</c:v>
                </c:pt>
                <c:pt idx="2">
                  <c:v>2017</c:v>
                </c:pt>
                <c:pt idx="3">
                  <c:v>2018</c:v>
                </c:pt>
                <c:pt idx="4">
                  <c:v>2019</c:v>
                </c:pt>
                <c:pt idx="5">
                  <c:v>2020</c:v>
                </c:pt>
                <c:pt idx="6">
                  <c:v>2021</c:v>
                </c:pt>
              </c:numCache>
            </c:numRef>
          </c:cat>
          <c:val>
            <c:numRef>
              <c:f>'Chap1 Figure2'!$C$12:$I$12</c:f>
              <c:numCache>
                <c:formatCode>#,##0</c:formatCode>
                <c:ptCount val="7"/>
                <c:pt idx="0">
                  <c:v>2382</c:v>
                </c:pt>
                <c:pt idx="1">
                  <c:v>5075</c:v>
                </c:pt>
                <c:pt idx="2">
                  <c:v>7568</c:v>
                </c:pt>
                <c:pt idx="3">
                  <c:v>10023</c:v>
                </c:pt>
                <c:pt idx="4">
                  <c:v>12179</c:v>
                </c:pt>
                <c:pt idx="5">
                  <c:v>13657</c:v>
                </c:pt>
                <c:pt idx="6">
                  <c:v>15610</c:v>
                </c:pt>
              </c:numCache>
            </c:numRef>
          </c:val>
          <c:extLst>
            <c:ext xmlns:c16="http://schemas.microsoft.com/office/drawing/2014/chart" uri="{C3380CC4-5D6E-409C-BE32-E72D297353CC}">
              <c16:uniqueId val="{00000000-619F-4695-BB20-D78C4EAB1EF8}"/>
            </c:ext>
          </c:extLst>
        </c:ser>
        <c:ser>
          <c:idx val="1"/>
          <c:order val="1"/>
          <c:tx>
            <c:strRef>
              <c:f>'Chap1 Figure2'!$B$13</c:f>
              <c:strCache>
                <c:ptCount val="1"/>
                <c:pt idx="0">
                  <c:v>Investissements de création</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cat>
            <c:numRef>
              <c:f>'Chap1 Figure2'!$C$11:$I$11</c:f>
              <c:numCache>
                <c:formatCode>General</c:formatCode>
                <c:ptCount val="7"/>
                <c:pt idx="0">
                  <c:v>2015</c:v>
                </c:pt>
                <c:pt idx="1">
                  <c:v>2016</c:v>
                </c:pt>
                <c:pt idx="2">
                  <c:v>2017</c:v>
                </c:pt>
                <c:pt idx="3">
                  <c:v>2018</c:v>
                </c:pt>
                <c:pt idx="4">
                  <c:v>2019</c:v>
                </c:pt>
                <c:pt idx="5">
                  <c:v>2020</c:v>
                </c:pt>
                <c:pt idx="6">
                  <c:v>2021</c:v>
                </c:pt>
              </c:numCache>
            </c:numRef>
          </c:cat>
          <c:val>
            <c:numRef>
              <c:f>'Chap1 Figure2'!$C$13:$I$13</c:f>
              <c:numCache>
                <c:formatCode>#,##0</c:formatCode>
                <c:ptCount val="7"/>
                <c:pt idx="0">
                  <c:v>2969</c:v>
                </c:pt>
                <c:pt idx="1">
                  <c:v>5318</c:v>
                </c:pt>
                <c:pt idx="2">
                  <c:v>9006</c:v>
                </c:pt>
                <c:pt idx="3">
                  <c:v>13581</c:v>
                </c:pt>
                <c:pt idx="4">
                  <c:v>17213</c:v>
                </c:pt>
                <c:pt idx="5">
                  <c:v>19202</c:v>
                </c:pt>
                <c:pt idx="6">
                  <c:v>21427</c:v>
                </c:pt>
              </c:numCache>
            </c:numRef>
          </c:val>
          <c:extLst>
            <c:ext xmlns:c16="http://schemas.microsoft.com/office/drawing/2014/chart" uri="{C3380CC4-5D6E-409C-BE32-E72D297353CC}">
              <c16:uniqueId val="{00000001-619F-4695-BB20-D78C4EAB1EF8}"/>
            </c:ext>
          </c:extLst>
        </c:ser>
        <c:dLbls>
          <c:showLegendKey val="0"/>
          <c:showVal val="0"/>
          <c:showCatName val="0"/>
          <c:showSerName val="0"/>
          <c:showPercent val="0"/>
          <c:showBubbleSize val="0"/>
        </c:dLbls>
        <c:gapWidth val="100"/>
        <c:overlap val="-24"/>
        <c:axId val="637649520"/>
        <c:axId val="637643696"/>
      </c:barChart>
      <c:catAx>
        <c:axId val="63764952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637643696"/>
        <c:crosses val="autoZero"/>
        <c:auto val="1"/>
        <c:lblAlgn val="ctr"/>
        <c:lblOffset val="100"/>
        <c:noMultiLvlLbl val="0"/>
      </c:catAx>
      <c:valAx>
        <c:axId val="637643696"/>
        <c:scaling>
          <c:orientation val="minMax"/>
        </c:scaling>
        <c:delete val="0"/>
        <c:axPos val="l"/>
        <c:majorGridlines>
          <c:spPr>
            <a:ln w="9525" cap="flat" cmpd="sng" algn="ctr">
              <a:solidFill>
                <a:schemeClr val="tx2">
                  <a:lumMod val="15000"/>
                  <a:lumOff val="85000"/>
                </a:schemeClr>
              </a:solidFill>
              <a:round/>
            </a:ln>
            <a:effectLst/>
          </c:spPr>
        </c:majorGridlines>
        <c:title>
          <c:tx>
            <c:strRef>
              <c:f>'Chap1 Figure2'!$B$8</c:f>
              <c:strCache>
                <c:ptCount val="1"/>
                <c:pt idx="0">
                  <c:v>Nombre de transactions</c:v>
                </c:pt>
              </c:strCache>
            </c:strRef>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637649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F36-4475-BD56-4F497A87A03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F36-4475-BD56-4F497A87A032}"/>
              </c:ext>
            </c:extLst>
          </c:dPt>
          <c:dLbls>
            <c:dLbl>
              <c:idx val="1"/>
              <c:layout>
                <c:manualLayout>
                  <c:x val="-3.5656979853806413E-3"/>
                  <c:y val="1.5300118543933539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1"/>
              <c:showVal val="0"/>
              <c:showCatName val="1"/>
              <c:showSerName val="0"/>
              <c:showPercent val="0"/>
              <c:showBubbleSize val="0"/>
              <c:extLst>
                <c:ext xmlns:c15="http://schemas.microsoft.com/office/drawing/2012/chart" uri="{CE6537A1-D6FC-4f65-9D91-7224C49458BB}">
                  <c15:layout>
                    <c:manualLayout>
                      <c:w val="0.26743268341234488"/>
                      <c:h val="0.25064283580219548"/>
                    </c:manualLayout>
                  </c15:layout>
                </c:ext>
                <c:ext xmlns:c16="http://schemas.microsoft.com/office/drawing/2014/chart" uri="{C3380CC4-5D6E-409C-BE32-E72D297353CC}">
                  <c16:uniqueId val="{00000003-FF36-4475-BD56-4F497A87A0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1"/>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'Chap3 Figure6'!$B$4:$B$5</c:f>
              <c:strCache>
                <c:ptCount val="2"/>
                <c:pt idx="0">
                  <c:v>Ne nécessitaient pas de filtrage formel: 71 %</c:v>
                </c:pt>
                <c:pt idx="1">
                  <c:v>Dossiers formellement filtrés: 29 %</c:v>
                </c:pt>
              </c:strCache>
            </c:strRef>
          </c:cat>
          <c:val>
            <c:numRef>
              <c:f>'Chap3 Figure6'!$C$4:$C$5</c:f>
              <c:numCache>
                <c:formatCode>General</c:formatCode>
                <c:ptCount val="2"/>
                <c:pt idx="0">
                  <c:v>1106</c:v>
                </c:pt>
                <c:pt idx="1">
                  <c:v>457</c:v>
                </c:pt>
              </c:numCache>
            </c:numRef>
          </c:val>
          <c:extLst>
            <c:ext xmlns:c16="http://schemas.microsoft.com/office/drawing/2014/chart" uri="{C3380CC4-5D6E-409C-BE32-E72D297353CC}">
              <c16:uniqueId val="{00000004-FF36-4475-BD56-4F497A87A032}"/>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255-4031-B983-975FEAD4031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255-4031-B983-975FEAD4031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255-4031-B983-975FEAD4031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255-4031-B983-975FEAD40319}"/>
              </c:ext>
            </c:extLst>
          </c:dPt>
          <c:dLbls>
            <c:dLbl>
              <c:idx val="0"/>
              <c:layout>
                <c:manualLayout>
                  <c:x val="-3.072017529563488E-2"/>
                  <c:y val="0"/>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1"/>
              <c:showVal val="0"/>
              <c:showCatName val="1"/>
              <c:showSerName val="0"/>
              <c:showPercent val="0"/>
              <c:showBubbleSize val="0"/>
              <c:extLst>
                <c:ext xmlns:c15="http://schemas.microsoft.com/office/drawing/2012/chart" uri="{CE6537A1-D6FC-4f65-9D91-7224C49458BB}">
                  <c15:layout>
                    <c:manualLayout>
                      <c:w val="0.16117187313388509"/>
                      <c:h val="0.21113968886106158"/>
                    </c:manualLayout>
                  </c15:layout>
                </c:ext>
                <c:ext xmlns:c16="http://schemas.microsoft.com/office/drawing/2014/chart" uri="{C3380CC4-5D6E-409C-BE32-E72D297353CC}">
                  <c16:uniqueId val="{00000001-9255-4031-B983-975FEAD40319}"/>
                </c:ext>
              </c:extLst>
            </c:dLbl>
            <c:dLbl>
              <c:idx val="2"/>
              <c:layout>
                <c:manualLayout>
                  <c:x val="-2.684563190918313E-2"/>
                  <c:y val="4.1436468594908829E-3"/>
                </c:manualLayout>
              </c:layout>
              <c:dLblPos val="bestFit"/>
              <c:showLegendKey val="1"/>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255-4031-B983-975FEAD40319}"/>
                </c:ext>
              </c:extLst>
            </c:dLbl>
            <c:dLbl>
              <c:idx val="3"/>
              <c:layout>
                <c:manualLayout>
                  <c:x val="0.15451468487772871"/>
                  <c:y val="0"/>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1"/>
              <c:showVal val="0"/>
              <c:showCatName val="1"/>
              <c:showSerName val="0"/>
              <c:showPercent val="0"/>
              <c:showBubbleSize val="0"/>
              <c:extLst>
                <c:ext xmlns:c15="http://schemas.microsoft.com/office/drawing/2012/chart" uri="{CE6537A1-D6FC-4f65-9D91-7224C49458BB}">
                  <c15:layout>
                    <c:manualLayout>
                      <c:w val="0.1818791561847157"/>
                      <c:h val="0.13570443464832674"/>
                    </c:manualLayout>
                  </c15:layout>
                </c:ext>
                <c:ext xmlns:c16="http://schemas.microsoft.com/office/drawing/2014/chart" uri="{C3380CC4-5D6E-409C-BE32-E72D297353CC}">
                  <c16:uniqueId val="{00000007-9255-4031-B983-975FEAD4031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1"/>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'Chap3 Figure7'!$B$8:$B$11</c:f>
              <c:strCache>
                <c:ptCount val="4"/>
                <c:pt idx="0">
                  <c:v>Autorisés sans conditions:    73 %</c:v>
                </c:pt>
                <c:pt idx="1">
                  <c:v>Autorisés moyennant conditions ou mesures d’atténuation:       23 %</c:v>
                </c:pt>
                <c:pt idx="2">
                  <c:v>Interdits: 1%</c:v>
                </c:pt>
                <c:pt idx="3">
                  <c:v>Retirés par les parties: 3 %</c:v>
                </c:pt>
              </c:strCache>
            </c:strRef>
          </c:cat>
          <c:val>
            <c:numRef>
              <c:f>'Chap3 Figure7'!$C$8:$C$11</c:f>
              <c:numCache>
                <c:formatCode>General</c:formatCode>
                <c:ptCount val="4"/>
                <c:pt idx="0">
                  <c:v>319</c:v>
                </c:pt>
                <c:pt idx="1">
                  <c:v>100</c:v>
                </c:pt>
                <c:pt idx="2">
                  <c:v>6</c:v>
                </c:pt>
                <c:pt idx="3">
                  <c:v>12</c:v>
                </c:pt>
              </c:numCache>
            </c:numRef>
          </c:val>
          <c:extLst>
            <c:ext xmlns:c16="http://schemas.microsoft.com/office/drawing/2014/chart" uri="{C3380CC4-5D6E-409C-BE32-E72D297353CC}">
              <c16:uniqueId val="{00000008-9255-4031-B983-975FEAD40319}"/>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BA2-481B-9D43-86FD674C2C6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BA2-481B-9D43-86FD674C2C6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BA2-481B-9D43-86FD674C2C6C}"/>
              </c:ext>
            </c:extLst>
          </c:dPt>
          <c:dPt>
            <c:idx val="3"/>
            <c:bubble3D val="0"/>
            <c:spPr>
              <a:solidFill>
                <a:schemeClr val="accent6"/>
              </a:solidFill>
              <a:ln w="19050">
                <a:solidFill>
                  <a:schemeClr val="lt1"/>
                </a:solidFill>
              </a:ln>
              <a:effectLst/>
            </c:spPr>
            <c:extLst>
              <c:ext xmlns:c16="http://schemas.microsoft.com/office/drawing/2014/chart" uri="{C3380CC4-5D6E-409C-BE32-E72D297353CC}">
                <c16:uniqueId val="{00000007-FBA2-481B-9D43-86FD674C2C6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BA2-481B-9D43-86FD674C2C6C}"/>
              </c:ext>
            </c:extLst>
          </c:dPt>
          <c:dPt>
            <c:idx val="5"/>
            <c:bubble3D val="0"/>
            <c:spPr>
              <a:solidFill>
                <a:schemeClr val="accent4"/>
              </a:solidFill>
              <a:ln w="19050">
                <a:solidFill>
                  <a:schemeClr val="lt1"/>
                </a:solidFill>
              </a:ln>
              <a:effectLst/>
            </c:spPr>
            <c:extLst>
              <c:ext xmlns:c16="http://schemas.microsoft.com/office/drawing/2014/chart" uri="{C3380CC4-5D6E-409C-BE32-E72D297353CC}">
                <c16:uniqueId val="{0000000B-FBA2-481B-9D43-86FD674C2C6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1"/>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'Chap4 Figure8'!$B$8:$B$13</c:f>
              <c:strCache>
                <c:ptCount val="6"/>
                <c:pt idx="0">
                  <c:v>Indus. manufacturière: 25 %</c:v>
                </c:pt>
                <c:pt idx="1">
                  <c:v>TIC: 36 %</c:v>
                </c:pt>
                <c:pt idx="2">
                  <c:v>Activités financières: 9,5 %</c:v>
                </c:pt>
                <c:pt idx="3">
                  <c:v>Commerce de gros et de détail: 8,5 %</c:v>
                </c:pt>
                <c:pt idx="4">
                  <c:v>Construction: 4 %</c:v>
                </c:pt>
                <c:pt idx="5">
                  <c:v>Autres: 17 %</c:v>
                </c:pt>
              </c:strCache>
            </c:strRef>
          </c:cat>
          <c:val>
            <c:numRef>
              <c:f>'Chap4 Figure8'!$C$8:$C$13</c:f>
              <c:numCache>
                <c:formatCode>General</c:formatCode>
                <c:ptCount val="6"/>
                <c:pt idx="0">
                  <c:v>178</c:v>
                </c:pt>
                <c:pt idx="1">
                  <c:v>254</c:v>
                </c:pt>
                <c:pt idx="2">
                  <c:v>66</c:v>
                </c:pt>
                <c:pt idx="3">
                  <c:v>59</c:v>
                </c:pt>
                <c:pt idx="4">
                  <c:v>29</c:v>
                </c:pt>
                <c:pt idx="5">
                  <c:v>120</c:v>
                </c:pt>
              </c:numCache>
            </c:numRef>
          </c:val>
          <c:extLst>
            <c:ext xmlns:c16="http://schemas.microsoft.com/office/drawing/2014/chart" uri="{C3380CC4-5D6E-409C-BE32-E72D297353CC}">
              <c16:uniqueId val="{0000000C-FBA2-481B-9D43-86FD674C2C6C}"/>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50C-4A34-8719-F23892A5F79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50C-4A34-8719-F23892A5F79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50C-4A34-8719-F23892A5F79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50C-4A34-8719-F23892A5F79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50C-4A34-8719-F23892A5F79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1"/>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'Chap4 Figure9'!$A$5:$A$9</c:f>
              <c:strCache>
                <c:ptCount val="5"/>
                <c:pt idx="0">
                  <c:v>&lt; 10 millions d’EUR: 14 %</c:v>
                </c:pt>
                <c:pt idx="1">
                  <c:v>&gt; 500 millions d’EUR: 34 %</c:v>
                </c:pt>
                <c:pt idx="2">
                  <c:v>10 - 100 millions d’EUR: 27 %</c:v>
                </c:pt>
                <c:pt idx="3">
                  <c:v>100 - 500 millions d’EUR: 21 %</c:v>
                </c:pt>
                <c:pt idx="4">
                  <c:v>Inconnue: 4 %</c:v>
                </c:pt>
              </c:strCache>
            </c:strRef>
          </c:cat>
          <c:val>
            <c:numRef>
              <c:f>'Chap4 Figure9'!$B$5:$B$9</c:f>
              <c:numCache>
                <c:formatCode>General</c:formatCode>
                <c:ptCount val="5"/>
                <c:pt idx="0">
                  <c:v>56</c:v>
                </c:pt>
                <c:pt idx="1">
                  <c:v>142</c:v>
                </c:pt>
                <c:pt idx="2">
                  <c:v>113</c:v>
                </c:pt>
                <c:pt idx="3">
                  <c:v>85</c:v>
                </c:pt>
                <c:pt idx="4">
                  <c:v>18</c:v>
                </c:pt>
              </c:numCache>
            </c:numRef>
          </c:val>
          <c:extLst>
            <c:ext xmlns:c16="http://schemas.microsoft.com/office/drawing/2014/chart" uri="{C3380CC4-5D6E-409C-BE32-E72D297353CC}">
              <c16:uniqueId val="{0000000A-350C-4A34-8719-F23892A5F79D}"/>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6E0-4599-8A07-B2532D3CC9C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6E0-4599-8A07-B2532D3CC9C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6E0-4599-8A07-B2532D3CC9CA}"/>
              </c:ext>
            </c:extLst>
          </c:dPt>
          <c:dLbls>
            <c:dLbl>
              <c:idx val="1"/>
              <c:layout>
                <c:manualLayout>
                  <c:x val="-4.4444444444444467E-2"/>
                  <c:y val="-1.060944534001666E-17"/>
                </c:manualLayout>
              </c:layout>
              <c:dLblPos val="bestFit"/>
              <c:showLegendKey val="1"/>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6E0-4599-8A07-B2532D3CC9CA}"/>
                </c:ext>
              </c:extLst>
            </c:dLbl>
            <c:dLbl>
              <c:idx val="2"/>
              <c:layout>
                <c:manualLayout>
                  <c:x val="0.20555555555555555"/>
                  <c:y val="1.8518518518518517E-2"/>
                </c:manualLayout>
              </c:layout>
              <c:dLblPos val="bestFit"/>
              <c:showLegendKey val="1"/>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6E0-4599-8A07-B2532D3CC9C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1"/>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'Chap4 Figure10'!$A$13:$A$15</c:f>
              <c:strCache>
                <c:ptCount val="3"/>
                <c:pt idx="0">
                  <c:v>Clôturés en phase 1: 86 %</c:v>
                </c:pt>
                <c:pt idx="1">
                  <c:v>Clôturés en phase 2: 11 %</c:v>
                </c:pt>
                <c:pt idx="2">
                  <c:v>En cours au 31/12: 3 %</c:v>
                </c:pt>
              </c:strCache>
            </c:strRef>
          </c:cat>
          <c:val>
            <c:numRef>
              <c:f>'Chap4 Figure10'!$B$13:$B$15</c:f>
              <c:numCache>
                <c:formatCode>General</c:formatCode>
                <c:ptCount val="3"/>
                <c:pt idx="0">
                  <c:v>356</c:v>
                </c:pt>
                <c:pt idx="1">
                  <c:v>47</c:v>
                </c:pt>
                <c:pt idx="2">
                  <c:v>11</c:v>
                </c:pt>
              </c:numCache>
            </c:numRef>
          </c:val>
          <c:extLst>
            <c:ext xmlns:c16="http://schemas.microsoft.com/office/drawing/2014/chart" uri="{C3380CC4-5D6E-409C-BE32-E72D297353CC}">
              <c16:uniqueId val="{00000006-F6E0-4599-8A07-B2532D3CC9CA}"/>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5AC-4005-8F64-66EDA70E18F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5AC-4005-8F64-66EDA70E18F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5AC-4005-8F64-66EDA70E18F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5AC-4005-8F64-66EDA70E18F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1"/>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'Chap4 Figure11'!$B$2:$B$5</c:f>
              <c:strCache>
                <c:ptCount val="4"/>
                <c:pt idx="0">
                  <c:v>Industrie manufacturière: 44 %</c:v>
                </c:pt>
                <c:pt idx="1">
                  <c:v>TIC: 32 %</c:v>
                </c:pt>
                <c:pt idx="2">
                  <c:v>Activités financières: 10 %</c:v>
                </c:pt>
                <c:pt idx="3">
                  <c:v>Autres: 14 %</c:v>
                </c:pt>
              </c:strCache>
            </c:strRef>
          </c:cat>
          <c:val>
            <c:numRef>
              <c:f>'Chap4 Figure11'!$C$2:$C$5</c:f>
              <c:numCache>
                <c:formatCode>General</c:formatCode>
                <c:ptCount val="4"/>
                <c:pt idx="0">
                  <c:v>36</c:v>
                </c:pt>
                <c:pt idx="1">
                  <c:v>26</c:v>
                </c:pt>
                <c:pt idx="2">
                  <c:v>8</c:v>
                </c:pt>
                <c:pt idx="3">
                  <c:v>12</c:v>
                </c:pt>
              </c:numCache>
            </c:numRef>
          </c:val>
          <c:extLst>
            <c:ext xmlns:c16="http://schemas.microsoft.com/office/drawing/2014/chart" uri="{C3380CC4-5D6E-409C-BE32-E72D297353CC}">
              <c16:uniqueId val="{00000008-95AC-4005-8F64-66EDA70E18FE}"/>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A4B2-4D38-926A-74F1003C2802}"/>
              </c:ext>
            </c:extLst>
          </c:dPt>
          <c:dPt>
            <c:idx val="1"/>
            <c:bubble3D val="0"/>
            <c:spPr>
              <a:solidFill>
                <a:schemeClr val="accent2">
                  <a:lumMod val="75000"/>
                </a:schemeClr>
              </a:solidFill>
              <a:ln w="19050">
                <a:solidFill>
                  <a:schemeClr val="lt1"/>
                </a:solidFill>
              </a:ln>
              <a:effectLst/>
            </c:spPr>
            <c:extLst>
              <c:ext xmlns:c16="http://schemas.microsoft.com/office/drawing/2014/chart" uri="{C3380CC4-5D6E-409C-BE32-E72D297353CC}">
                <c16:uniqueId val="{00000003-A4B2-4D38-926A-74F1003C2802}"/>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A4B2-4D38-926A-74F1003C280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4B2-4D38-926A-74F1003C2802}"/>
              </c:ext>
            </c:extLst>
          </c:dPt>
          <c:dPt>
            <c:idx val="4"/>
            <c:bubble3D val="0"/>
            <c:spPr>
              <a:solidFill>
                <a:schemeClr val="bg1">
                  <a:lumMod val="65000"/>
                </a:schemeClr>
              </a:solidFill>
              <a:ln w="19050">
                <a:solidFill>
                  <a:schemeClr val="lt1"/>
                </a:solidFill>
              </a:ln>
              <a:effectLst/>
            </c:spPr>
            <c:extLst>
              <c:ext xmlns:c16="http://schemas.microsoft.com/office/drawing/2014/chart" uri="{C3380CC4-5D6E-409C-BE32-E72D297353CC}">
                <c16:uniqueId val="{00000009-A4B2-4D38-926A-74F1003C2802}"/>
              </c:ext>
            </c:extLst>
          </c:dPt>
          <c:dPt>
            <c:idx val="5"/>
            <c:bubble3D val="0"/>
            <c:spPr>
              <a:noFill/>
              <a:ln w="3175">
                <a:solidFill>
                  <a:schemeClr val="bg2">
                    <a:lumMod val="90000"/>
                  </a:schemeClr>
                </a:solidFill>
              </a:ln>
              <a:effectLst/>
            </c:spPr>
            <c:extLst>
              <c:ext xmlns:c16="http://schemas.microsoft.com/office/drawing/2014/chart" uri="{C3380CC4-5D6E-409C-BE32-E72D297353CC}">
                <c16:uniqueId val="{0000000B-A4B2-4D38-926A-74F1003C280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1"/>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'Chap4 Figure12'!$D$3:$D$8</c:f>
              <c:strCache>
                <c:ptCount val="6"/>
                <c:pt idx="0">
                  <c:v>Énergie: 21 %</c:v>
                </c:pt>
                <c:pt idx="1">
                  <c:v>Défense: 25 %</c:v>
                </c:pt>
                <c:pt idx="2">
                  <c:v>Semi-conducteurs: 18 %</c:v>
                </c:pt>
                <c:pt idx="3">
                  <c:v>Aérospatiale: 20 %</c:v>
                </c:pt>
                <c:pt idx="4">
                  <c:v>Pharma: 6 %</c:v>
                </c:pt>
                <c:pt idx="5">
                  <c:v>Autres: 10 %</c:v>
                </c:pt>
              </c:strCache>
            </c:strRef>
          </c:cat>
          <c:val>
            <c:numRef>
              <c:f>'Chap4 Figure12'!$E$3:$E$8</c:f>
              <c:numCache>
                <c:formatCode>General</c:formatCode>
                <c:ptCount val="6"/>
                <c:pt idx="0">
                  <c:v>11</c:v>
                </c:pt>
                <c:pt idx="1">
                  <c:v>13</c:v>
                </c:pt>
                <c:pt idx="2">
                  <c:v>9</c:v>
                </c:pt>
                <c:pt idx="3">
                  <c:v>10</c:v>
                </c:pt>
                <c:pt idx="4">
                  <c:v>3</c:v>
                </c:pt>
                <c:pt idx="5">
                  <c:v>5</c:v>
                </c:pt>
              </c:numCache>
            </c:numRef>
          </c:val>
          <c:extLst>
            <c:ext xmlns:c16="http://schemas.microsoft.com/office/drawing/2014/chart" uri="{C3380CC4-5D6E-409C-BE32-E72D297353CC}">
              <c16:uniqueId val="{0000000C-A4B2-4D38-926A-74F1003C2802}"/>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0.84444</cdr:x>
      <cdr:y>0.20255</cdr:y>
    </cdr:from>
    <cdr:to>
      <cdr:x>0.96528</cdr:x>
      <cdr:y>0.53588</cdr:y>
    </cdr:to>
    <cdr:sp macro="" textlink="">
      <cdr:nvSpPr>
        <cdr:cNvPr id="2" name="TextBox 1"/>
        <cdr:cNvSpPr txBox="1"/>
      </cdr:nvSpPr>
      <cdr:spPr>
        <a:xfrm xmlns:a="http://schemas.openxmlformats.org/drawingml/2006/main">
          <a:off x="3860794" y="555625"/>
          <a:ext cx="552456"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A6791DDFFC024DAA4136D92359EB10" ma:contentTypeVersion="4" ma:contentTypeDescription="Create a new document." ma:contentTypeScope="" ma:versionID="bdc1d713da434c398caa65d15e69a3f5">
  <xsd:schema xmlns:xsd="http://www.w3.org/2001/XMLSchema" xmlns:xs="http://www.w3.org/2001/XMLSchema" xmlns:p="http://schemas.microsoft.com/office/2006/metadata/properties" xmlns:ns2="cce4269c-1bca-4c47-bcbd-0ca0cb14aa6e" targetNamespace="http://schemas.microsoft.com/office/2006/metadata/properties" ma:root="true" ma:fieldsID="725d604370b903992ed91019680ed2a7" ns2:_="">
    <xsd:import namespace="cce4269c-1bca-4c47-bcbd-0ca0cb14aa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4269c-1bca-4c47-bcbd-0ca0cb14a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88704-B6AD-42A6-8405-8F012A0E0D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909007-3CA6-4D77-89AF-49BFCFC5D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4269c-1bca-4c47-bcbd-0ca0cb14a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97B3B51-3C56-43C1-9557-66255C4D9198}">
  <ds:schemaRefs>
    <ds:schemaRef ds:uri="http://schemas.microsoft.com/sharepoint/v3/contenttype/forms"/>
  </ds:schemaRefs>
</ds:datastoreItem>
</file>

<file path=customXml/itemProps5.xml><?xml version="1.0" encoding="utf-8"?>
<ds:datastoreItem xmlns:ds="http://schemas.openxmlformats.org/officeDocument/2006/customXml" ds:itemID="{30D89F81-B414-4A7B-A577-8A68F79D4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26</Pages>
  <Words>6082</Words>
  <Characters>33151</Characters>
  <Application>Microsoft Office Word</Application>
  <DocSecurity>0</DocSecurity>
  <Lines>526</Lines>
  <Paragraphs>165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40</cp:revision>
  <cp:lastPrinted>2021-06-25T08:36:00Z</cp:lastPrinted>
  <dcterms:created xsi:type="dcterms:W3CDTF">2022-06-29T14:54:00Z</dcterms:created>
  <dcterms:modified xsi:type="dcterms:W3CDTF">2022-08-25T06:19:00Z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1033-10.1.0.6757</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CP-006</vt:lpwstr>
  </property>
  <property fmtid="{D5CDD505-2E9C-101B-9397-08002B2CF9AE}" pid="8" name="Last edited using">
    <vt:lpwstr>LW 8.0.1, Build 20220429</vt:lpwstr>
  </property>
  <property fmtid="{D5CDD505-2E9C-101B-9397-08002B2CF9AE}" pid="9" name="Created using">
    <vt:lpwstr>LW 7.0.1, Build 20200226</vt:lpwstr>
  </property>
  <property fmtid="{D5CDD505-2E9C-101B-9397-08002B2CF9AE}" pid="10" name="_LW_INVALIDATED__LW_INVALIDATED__LW_INVALIDATED__LW_INVALIDATED__LW_INVALIDATED_ContentTypeId">
    <vt:lpwstr>0x010100258AA79CEB83498886A3A0868112325000B545D68B97D7274E938B06C1831B834D</vt:lpwstr>
  </property>
  <property fmtid="{D5CDD505-2E9C-101B-9397-08002B2CF9AE}" pid="11" name="ContentTypeId">
    <vt:lpwstr>0x0101008BA6791DDFFC024DAA4136D92359EB10</vt:lpwstr>
  </property>
  <property fmtid="{D5CDD505-2E9C-101B-9397-08002B2CF9AE}" pid="12" name="MSIP_Label_6bd9ddd1-4d20-43f6-abfa-fc3c07406f94_Enabled">
    <vt:lpwstr>true</vt:lpwstr>
  </property>
  <property fmtid="{D5CDD505-2E9C-101B-9397-08002B2CF9AE}" pid="13" name="MSIP_Label_6bd9ddd1-4d20-43f6-abfa-fc3c07406f94_SetDate">
    <vt:lpwstr>2022-05-11T16:07:37Z</vt:lpwstr>
  </property>
  <property fmtid="{D5CDD505-2E9C-101B-9397-08002B2CF9AE}" pid="14" name="MSIP_Label_6bd9ddd1-4d20-43f6-abfa-fc3c07406f94_Method">
    <vt:lpwstr>Standard</vt:lpwstr>
  </property>
  <property fmtid="{D5CDD505-2E9C-101B-9397-08002B2CF9AE}" pid="15" name="MSIP_Label_6bd9ddd1-4d20-43f6-abfa-fc3c07406f94_Name">
    <vt:lpwstr>Commission Use</vt:lpwstr>
  </property>
  <property fmtid="{D5CDD505-2E9C-101B-9397-08002B2CF9AE}" pid="16" name="MSIP_Label_6bd9ddd1-4d20-43f6-abfa-fc3c07406f94_SiteId">
    <vt:lpwstr>b24c8b06-522c-46fe-9080-70926f8dddb1</vt:lpwstr>
  </property>
  <property fmtid="{D5CDD505-2E9C-101B-9397-08002B2CF9AE}" pid="17" name="MSIP_Label_6bd9ddd1-4d20-43f6-abfa-fc3c07406f94_ActionId">
    <vt:lpwstr>0bde5ecb-9d58-46ab-9108-5f8e26b806a0</vt:lpwstr>
  </property>
  <property fmtid="{D5CDD505-2E9C-101B-9397-08002B2CF9AE}" pid="18" name="MSIP_Label_6bd9ddd1-4d20-43f6-abfa-fc3c07406f94_ContentBits">
    <vt:lpwstr>0</vt:lpwstr>
  </property>
</Properties>
</file>