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0A6B4" w14:textId="16BB21B7" w:rsidR="00593F6B" w:rsidRDefault="00FC56A0" w:rsidP="00FC56A0">
      <w:pPr>
        <w:pStyle w:val="Pagedecouverture"/>
        <w:rPr>
          <w:noProof/>
        </w:rPr>
      </w:pPr>
      <w:bookmarkStart w:id="0" w:name="LW_BM_COVERPAGE"/>
      <w:r>
        <w:rPr>
          <w:noProof/>
        </w:rPr>
        <w:pict w14:anchorId="4F581B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4F2184A0-712A-434F-A671-14EFDE519084" style="width:455.25pt;height:324pt">
            <v:imagedata r:id="rId8" o:title=""/>
          </v:shape>
        </w:pict>
      </w:r>
    </w:p>
    <w:bookmarkEnd w:id="0"/>
    <w:p w14:paraId="6DD839BB" w14:textId="77777777" w:rsidR="00AA655D" w:rsidRDefault="00AA655D" w:rsidP="00AA655D">
      <w:pPr>
        <w:rPr>
          <w:noProof/>
        </w:rPr>
        <w:sectPr w:rsidR="00AA655D" w:rsidSect="00FC56A0">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379AE0DD" w14:textId="61E72370" w:rsidR="00162755" w:rsidRPr="00162755" w:rsidRDefault="00162755" w:rsidP="00162755">
      <w:pPr>
        <w:pStyle w:val="Typedudocument"/>
        <w:rPr>
          <w:noProof/>
        </w:rPr>
      </w:pPr>
      <w:bookmarkStart w:id="1" w:name="_GoBack"/>
      <w:bookmarkEnd w:id="1"/>
      <w:r w:rsidRPr="00162755">
        <w:rPr>
          <w:noProof/>
        </w:rPr>
        <w:lastRenderedPageBreak/>
        <w:t>REPORT FROM THE COMMISSION TO THE EUROPEAN PARLIAMENT AND THE COUNCIL</w:t>
      </w:r>
    </w:p>
    <w:p w14:paraId="5845A185" w14:textId="41FD78DB" w:rsidR="00162755" w:rsidRPr="00162755" w:rsidRDefault="00162755" w:rsidP="00162755">
      <w:pPr>
        <w:pStyle w:val="Titreobjet"/>
        <w:rPr>
          <w:noProof/>
        </w:rPr>
      </w:pPr>
      <w:r w:rsidRPr="00162755">
        <w:rPr>
          <w:noProof/>
        </w:rPr>
        <w:t>on the implementation of Regulation (EU) 2021/821 setting up a Union regime for the control of exports, brokering, technical assistance, transit and transfer of dual-use items</w:t>
      </w:r>
    </w:p>
    <w:p w14:paraId="337A4BEE" w14:textId="17BA11B2" w:rsidR="00AA655D" w:rsidRDefault="00AA655D" w:rsidP="00AA655D">
      <w:pPr>
        <w:keepNext/>
        <w:tabs>
          <w:tab w:val="left" w:pos="850"/>
        </w:tabs>
        <w:spacing w:after="120"/>
        <w:ind w:left="850" w:hanging="850"/>
        <w:jc w:val="both"/>
        <w:outlineLvl w:val="0"/>
        <w:rPr>
          <w:rFonts w:eastAsia="Times New Roman"/>
          <w:b/>
          <w:smallCaps/>
          <w:noProof/>
          <w:lang w:eastAsia="en-GB"/>
        </w:rPr>
      </w:pPr>
      <w:r>
        <w:rPr>
          <w:rFonts w:eastAsia="Times New Roman"/>
          <w:b/>
          <w:smallCaps/>
          <w:noProof/>
          <w:lang w:eastAsia="en-GB"/>
        </w:rPr>
        <w:t>1.</w:t>
      </w:r>
      <w:r>
        <w:rPr>
          <w:rFonts w:eastAsia="Times New Roman"/>
          <w:b/>
          <w:smallCaps/>
          <w:noProof/>
          <w:lang w:eastAsia="en-GB"/>
        </w:rPr>
        <w:tab/>
        <w:t>Introduction</w:t>
      </w:r>
    </w:p>
    <w:p w14:paraId="75BFB06A" w14:textId="7361D179" w:rsidR="00566F87" w:rsidRDefault="00AA655D" w:rsidP="001322C7">
      <w:pPr>
        <w:autoSpaceDE w:val="0"/>
        <w:autoSpaceDN w:val="0"/>
        <w:adjustRightInd w:val="0"/>
        <w:spacing w:before="200" w:after="200"/>
        <w:jc w:val="both"/>
        <w:rPr>
          <w:rFonts w:eastAsia="Times New Roman"/>
          <w:noProof/>
          <w:lang w:eastAsia="en-GB"/>
        </w:rPr>
      </w:pPr>
      <w:r>
        <w:rPr>
          <w:rFonts w:eastAsia="Times New Roman"/>
          <w:noProof/>
          <w:lang w:eastAsia="en-GB"/>
        </w:rPr>
        <w:t>This report</w:t>
      </w:r>
      <w:r w:rsidR="00C514AA">
        <w:rPr>
          <w:rFonts w:eastAsia="Times New Roman"/>
          <w:noProof/>
          <w:lang w:eastAsia="en-GB"/>
        </w:rPr>
        <w:t xml:space="preserve"> </w:t>
      </w:r>
      <w:r w:rsidR="00B823D9" w:rsidRPr="00B823D9">
        <w:rPr>
          <w:rFonts w:eastAsia="Times New Roman"/>
          <w:noProof/>
          <w:lang w:eastAsia="en-GB"/>
        </w:rPr>
        <w:t>provides information on the implementation of EU export control</w:t>
      </w:r>
      <w:r w:rsidR="00251899">
        <w:rPr>
          <w:rFonts w:eastAsia="Times New Roman"/>
          <w:noProof/>
          <w:lang w:eastAsia="en-GB"/>
        </w:rPr>
        <w:t>s</w:t>
      </w:r>
      <w:r w:rsidR="00B823D9" w:rsidRPr="00B823D9">
        <w:rPr>
          <w:rFonts w:eastAsia="Times New Roman"/>
          <w:noProof/>
          <w:lang w:eastAsia="en-GB"/>
        </w:rPr>
        <w:t xml:space="preserve"> f</w:t>
      </w:r>
      <w:r w:rsidR="00251899">
        <w:rPr>
          <w:rFonts w:eastAsia="Times New Roman"/>
          <w:noProof/>
          <w:lang w:eastAsia="en-GB"/>
        </w:rPr>
        <w:t xml:space="preserve">or </w:t>
      </w:r>
      <w:r w:rsidR="00B823D9" w:rsidRPr="00B823D9">
        <w:rPr>
          <w:rFonts w:eastAsia="Times New Roman"/>
          <w:noProof/>
          <w:lang w:eastAsia="en-GB"/>
        </w:rPr>
        <w:t>dual-use items in 2021</w:t>
      </w:r>
      <w:r w:rsidR="005C3629">
        <w:rPr>
          <w:rFonts w:eastAsia="Times New Roman"/>
          <w:noProof/>
          <w:lang w:eastAsia="en-GB"/>
        </w:rPr>
        <w:t xml:space="preserve"> </w:t>
      </w:r>
      <w:r w:rsidR="00B823D9" w:rsidRPr="00B823D9">
        <w:rPr>
          <w:rFonts w:eastAsia="Times New Roman"/>
          <w:noProof/>
          <w:lang w:eastAsia="en-GB"/>
        </w:rPr>
        <w:t xml:space="preserve">and </w:t>
      </w:r>
      <w:r w:rsidR="00FC16D0">
        <w:rPr>
          <w:rFonts w:eastAsia="Times New Roman"/>
          <w:noProof/>
          <w:lang w:eastAsia="en-GB"/>
        </w:rPr>
        <w:t xml:space="preserve">provides </w:t>
      </w:r>
      <w:r w:rsidR="00B823D9" w:rsidRPr="00B823D9">
        <w:rPr>
          <w:rFonts w:eastAsia="Times New Roman"/>
          <w:noProof/>
          <w:lang w:eastAsia="en-GB"/>
        </w:rPr>
        <w:t>aggregated</w:t>
      </w:r>
      <w:r w:rsidR="001B2FA5">
        <w:rPr>
          <w:rFonts w:eastAsia="Times New Roman"/>
          <w:noProof/>
          <w:lang w:eastAsia="en-GB"/>
        </w:rPr>
        <w:t xml:space="preserve"> export control data for 2020. </w:t>
      </w:r>
      <w:r w:rsidR="00B823D9">
        <w:rPr>
          <w:rFonts w:eastAsia="Times New Roman"/>
          <w:noProof/>
          <w:lang w:eastAsia="en-GB"/>
        </w:rPr>
        <w:t xml:space="preserve">It was </w:t>
      </w:r>
      <w:r>
        <w:rPr>
          <w:rFonts w:eastAsia="Times New Roman"/>
          <w:noProof/>
          <w:lang w:eastAsia="en-GB"/>
        </w:rPr>
        <w:t>prepared by the Commission with input from Member States</w:t>
      </w:r>
      <w:r>
        <w:rPr>
          <w:rFonts w:eastAsia="Times New Roman"/>
          <w:noProof/>
          <w:vertAlign w:val="superscript"/>
          <w:lang w:eastAsia="en-GB"/>
        </w:rPr>
        <w:footnoteReference w:id="1"/>
      </w:r>
      <w:r>
        <w:rPr>
          <w:rFonts w:eastAsia="Times New Roman"/>
          <w:noProof/>
          <w:lang w:eastAsia="en-GB"/>
        </w:rPr>
        <w:t xml:space="preserve"> in the D</w:t>
      </w:r>
      <w:r w:rsidR="003C2B4A">
        <w:rPr>
          <w:rFonts w:eastAsia="Times New Roman"/>
          <w:noProof/>
          <w:lang w:eastAsia="en-GB"/>
        </w:rPr>
        <w:t xml:space="preserve">ual </w:t>
      </w:r>
      <w:r>
        <w:rPr>
          <w:rFonts w:eastAsia="Times New Roman"/>
          <w:noProof/>
          <w:lang w:eastAsia="en-GB"/>
        </w:rPr>
        <w:t>U</w:t>
      </w:r>
      <w:r w:rsidR="003C2B4A">
        <w:rPr>
          <w:rFonts w:eastAsia="Times New Roman"/>
          <w:noProof/>
          <w:lang w:eastAsia="en-GB"/>
        </w:rPr>
        <w:t xml:space="preserve">se </w:t>
      </w:r>
      <w:r>
        <w:rPr>
          <w:rFonts w:eastAsia="Times New Roman"/>
          <w:noProof/>
          <w:lang w:eastAsia="en-GB"/>
        </w:rPr>
        <w:t>C</w:t>
      </w:r>
      <w:r w:rsidR="00F517AC">
        <w:rPr>
          <w:rFonts w:eastAsia="Times New Roman"/>
          <w:noProof/>
          <w:lang w:eastAsia="en-GB"/>
        </w:rPr>
        <w:t>o</w:t>
      </w:r>
      <w:r w:rsidR="00AF0EAE">
        <w:rPr>
          <w:rFonts w:eastAsia="Times New Roman"/>
          <w:noProof/>
          <w:lang w:eastAsia="en-GB"/>
        </w:rPr>
        <w:t>ordination</w:t>
      </w:r>
      <w:r w:rsidR="003C2B4A">
        <w:rPr>
          <w:rFonts w:eastAsia="Times New Roman"/>
          <w:noProof/>
          <w:lang w:eastAsia="en-GB"/>
        </w:rPr>
        <w:t xml:space="preserve"> </w:t>
      </w:r>
      <w:r>
        <w:rPr>
          <w:rFonts w:eastAsia="Times New Roman"/>
          <w:noProof/>
          <w:lang w:eastAsia="en-GB"/>
        </w:rPr>
        <w:t>G</w:t>
      </w:r>
      <w:r w:rsidR="003C2B4A">
        <w:rPr>
          <w:rFonts w:eastAsia="Times New Roman"/>
          <w:noProof/>
          <w:lang w:eastAsia="en-GB"/>
        </w:rPr>
        <w:t>roup</w:t>
      </w:r>
      <w:r w:rsidR="00D94BA7">
        <w:rPr>
          <w:rFonts w:eastAsia="Times New Roman"/>
          <w:noProof/>
          <w:lang w:eastAsia="en-GB"/>
        </w:rPr>
        <w:t xml:space="preserve"> (DUCG)</w:t>
      </w:r>
      <w:r w:rsidR="00B823D9">
        <w:rPr>
          <w:rFonts w:eastAsia="Times New Roman"/>
          <w:noProof/>
          <w:lang w:eastAsia="en-GB"/>
        </w:rPr>
        <w:t>.</w:t>
      </w:r>
      <w:r>
        <w:rPr>
          <w:rFonts w:eastAsia="Times New Roman"/>
          <w:noProof/>
          <w:lang w:eastAsia="en-GB"/>
        </w:rPr>
        <w:t xml:space="preserve"> </w:t>
      </w:r>
      <w:r w:rsidR="001B2FA5">
        <w:rPr>
          <w:rFonts w:eastAsia="Times New Roman"/>
          <w:noProof/>
          <w:lang w:eastAsia="en-GB"/>
        </w:rPr>
        <w:t xml:space="preserve">2021 </w:t>
      </w:r>
      <w:r w:rsidR="00FC16D0">
        <w:rPr>
          <w:rFonts w:eastAsia="Times New Roman"/>
          <w:noProof/>
          <w:lang w:eastAsia="en-GB"/>
        </w:rPr>
        <w:t xml:space="preserve">saw </w:t>
      </w:r>
      <w:r w:rsidR="005C3629">
        <w:rPr>
          <w:rFonts w:eastAsia="Times New Roman"/>
          <w:noProof/>
          <w:lang w:eastAsia="en-GB"/>
        </w:rPr>
        <w:t xml:space="preserve">the adoption of a new </w:t>
      </w:r>
      <w:r w:rsidR="001647A0">
        <w:rPr>
          <w:rFonts w:eastAsia="Times New Roman"/>
          <w:noProof/>
          <w:lang w:eastAsia="en-GB"/>
        </w:rPr>
        <w:t xml:space="preserve">Export Control </w:t>
      </w:r>
      <w:r w:rsidR="005C3629">
        <w:rPr>
          <w:rFonts w:eastAsia="Times New Roman"/>
          <w:noProof/>
          <w:lang w:eastAsia="en-GB"/>
        </w:rPr>
        <w:t>Regulation</w:t>
      </w:r>
      <w:r w:rsidR="001647A0">
        <w:rPr>
          <w:rFonts w:eastAsia="Times New Roman"/>
          <w:noProof/>
          <w:lang w:eastAsia="en-GB"/>
        </w:rPr>
        <w:t>, which marks an important milestone in the development of EU export control policy</w:t>
      </w:r>
      <w:r w:rsidR="005C3629">
        <w:rPr>
          <w:rFonts w:eastAsia="Times New Roman"/>
          <w:noProof/>
          <w:lang w:eastAsia="en-GB"/>
        </w:rPr>
        <w:t>.</w:t>
      </w:r>
      <w:r w:rsidR="005C3629">
        <w:rPr>
          <w:rStyle w:val="FootnoteReference"/>
          <w:rFonts w:eastAsia="Times New Roman"/>
          <w:noProof/>
          <w:lang w:eastAsia="en-GB"/>
        </w:rPr>
        <w:footnoteReference w:id="2"/>
      </w:r>
    </w:p>
    <w:p w14:paraId="55DFD33C" w14:textId="77777777" w:rsidR="00672FC3" w:rsidRDefault="00B823D9" w:rsidP="00AA655D">
      <w:pPr>
        <w:spacing w:before="100" w:beforeAutospacing="1" w:after="100" w:afterAutospacing="1"/>
        <w:jc w:val="both"/>
        <w:rPr>
          <w:rFonts w:eastAsia="Times New Roman"/>
          <w:noProof/>
          <w:lang w:eastAsia="en-GB"/>
        </w:rPr>
      </w:pPr>
      <w:r>
        <w:rPr>
          <w:rFonts w:eastAsia="Times New Roman"/>
          <w:noProof/>
          <w:lang w:eastAsia="en-GB"/>
        </w:rPr>
        <w:t>T</w:t>
      </w:r>
      <w:r w:rsidR="00AD004D">
        <w:rPr>
          <w:rFonts w:eastAsia="Times New Roman"/>
          <w:noProof/>
          <w:lang w:eastAsia="en-GB"/>
        </w:rPr>
        <w:t xml:space="preserve">his report is adopted </w:t>
      </w:r>
      <w:r w:rsidR="00FC16D0">
        <w:rPr>
          <w:rFonts w:eastAsia="Times New Roman"/>
          <w:noProof/>
          <w:lang w:eastAsia="en-GB"/>
        </w:rPr>
        <w:t xml:space="preserve">together </w:t>
      </w:r>
      <w:r w:rsidR="00AD004D">
        <w:rPr>
          <w:rFonts w:eastAsia="Times New Roman"/>
          <w:noProof/>
          <w:lang w:eastAsia="en-GB"/>
        </w:rPr>
        <w:t xml:space="preserve">with the </w:t>
      </w:r>
      <w:r w:rsidR="00FC16D0">
        <w:rPr>
          <w:rFonts w:eastAsia="Times New Roman"/>
          <w:noProof/>
          <w:lang w:eastAsia="en-GB"/>
        </w:rPr>
        <w:t>A</w:t>
      </w:r>
      <w:r w:rsidR="00AD004D">
        <w:rPr>
          <w:rFonts w:eastAsia="Times New Roman"/>
          <w:noProof/>
          <w:lang w:eastAsia="en-GB"/>
        </w:rPr>
        <w:t xml:space="preserve">nnual </w:t>
      </w:r>
      <w:r w:rsidR="00FC16D0">
        <w:rPr>
          <w:rFonts w:eastAsia="Times New Roman"/>
          <w:noProof/>
          <w:lang w:eastAsia="en-GB"/>
        </w:rPr>
        <w:t>R</w:t>
      </w:r>
      <w:r w:rsidR="00AD004D">
        <w:rPr>
          <w:rFonts w:eastAsia="Times New Roman"/>
          <w:noProof/>
          <w:lang w:eastAsia="en-GB"/>
        </w:rPr>
        <w:t xml:space="preserve">eport on FDI Screening as </w:t>
      </w:r>
      <w:r w:rsidR="00A17440">
        <w:rPr>
          <w:rFonts w:eastAsia="Times New Roman"/>
          <w:noProof/>
          <w:lang w:eastAsia="en-GB"/>
        </w:rPr>
        <w:t xml:space="preserve">export control and FDI screening both </w:t>
      </w:r>
      <w:r w:rsidR="00FC16D0">
        <w:rPr>
          <w:rFonts w:eastAsia="Times New Roman"/>
          <w:noProof/>
          <w:lang w:eastAsia="en-GB"/>
        </w:rPr>
        <w:t xml:space="preserve">provide </w:t>
      </w:r>
      <w:r w:rsidR="00A17440" w:rsidRPr="00A17440">
        <w:rPr>
          <w:rFonts w:eastAsia="Times New Roman"/>
          <w:noProof/>
          <w:lang w:eastAsia="en-GB"/>
        </w:rPr>
        <w:t>strategic trade and investment controls to ensure security in the European Union</w:t>
      </w:r>
      <w:r w:rsidR="00AD004D">
        <w:rPr>
          <w:rFonts w:eastAsia="Times New Roman"/>
          <w:noProof/>
          <w:lang w:eastAsia="en-GB"/>
        </w:rPr>
        <w:t>.</w:t>
      </w:r>
      <w:r w:rsidR="005A7045" w:rsidRPr="005A7045">
        <w:rPr>
          <w:rFonts w:eastAsia="Times New Roman"/>
          <w:noProof/>
          <w:lang w:eastAsia="en-GB"/>
        </w:rPr>
        <w:t xml:space="preserve"> </w:t>
      </w:r>
    </w:p>
    <w:p w14:paraId="06B7810A" w14:textId="3CE1C9ED" w:rsidR="00DE7589" w:rsidRPr="00971BC1" w:rsidRDefault="00DE7589" w:rsidP="00AA655D">
      <w:pPr>
        <w:spacing w:before="100" w:beforeAutospacing="1" w:after="100" w:afterAutospacing="1"/>
        <w:jc w:val="both"/>
        <w:rPr>
          <w:rFonts w:eastAsia="Times New Roman"/>
          <w:noProof/>
          <w:lang w:eastAsia="en-GB"/>
        </w:rPr>
      </w:pPr>
      <w:r>
        <w:rPr>
          <w:rFonts w:eastAsia="Times New Roman"/>
          <w:noProof/>
          <w:lang w:eastAsia="en-GB"/>
        </w:rPr>
        <w:t>The report covers activities in 2021 and therefore does not cover aspects of export controls touched by, or measures taken in the form of export restrictions in response to, Russia’s war of agression in Ukraine. Those events have brought the issue of Russian and Belarusian access to dual use technologies into sharp political focus, albeit in the context of the application of sanctions</w:t>
      </w:r>
      <w:r w:rsidR="007B6F8D">
        <w:rPr>
          <w:rFonts w:eastAsia="Times New Roman"/>
          <w:noProof/>
          <w:lang w:eastAsia="en-GB"/>
        </w:rPr>
        <w:t>, including export bans and restrictions,</w:t>
      </w:r>
      <w:r>
        <w:rPr>
          <w:rFonts w:eastAsia="Times New Roman"/>
          <w:noProof/>
          <w:lang w:eastAsia="en-GB"/>
        </w:rPr>
        <w:t xml:space="preserve"> by the European Union. </w:t>
      </w:r>
    </w:p>
    <w:p w14:paraId="48DE00BF" w14:textId="77777777" w:rsidR="00AA655D" w:rsidRDefault="00AA655D" w:rsidP="00AA655D">
      <w:pPr>
        <w:keepNext/>
        <w:tabs>
          <w:tab w:val="left" w:pos="850"/>
        </w:tabs>
        <w:spacing w:after="120"/>
        <w:ind w:left="850" w:hanging="850"/>
        <w:jc w:val="both"/>
        <w:outlineLvl w:val="0"/>
        <w:rPr>
          <w:rFonts w:eastAsia="Times New Roman"/>
          <w:b/>
          <w:smallCaps/>
          <w:noProof/>
          <w:lang w:eastAsia="en-GB"/>
        </w:rPr>
      </w:pPr>
      <w:bookmarkStart w:id="2" w:name="_Toc368065771"/>
      <w:r>
        <w:rPr>
          <w:rFonts w:eastAsia="Times New Roman"/>
          <w:b/>
          <w:smallCaps/>
          <w:noProof/>
          <w:lang w:eastAsia="en-GB"/>
        </w:rPr>
        <w:t>2.</w:t>
      </w:r>
      <w:r>
        <w:rPr>
          <w:rFonts w:eastAsia="Times New Roman"/>
          <w:b/>
          <w:smallCaps/>
          <w:noProof/>
          <w:lang w:eastAsia="en-GB"/>
        </w:rPr>
        <w:tab/>
        <w:t>Evolution of the policy &amp; regulatory framework</w:t>
      </w:r>
      <w:bookmarkEnd w:id="2"/>
    </w:p>
    <w:p w14:paraId="07CF8E5C" w14:textId="77777777" w:rsidR="00AA655D" w:rsidRDefault="00AA655D" w:rsidP="00AA655D">
      <w:pPr>
        <w:keepNext/>
        <w:tabs>
          <w:tab w:val="left" w:pos="850"/>
        </w:tabs>
        <w:spacing w:after="120"/>
        <w:ind w:left="850" w:hanging="850"/>
        <w:jc w:val="both"/>
        <w:outlineLvl w:val="1"/>
        <w:rPr>
          <w:rFonts w:eastAsia="Times New Roman"/>
          <w:b/>
          <w:noProof/>
          <w:lang w:eastAsia="en-GB"/>
        </w:rPr>
      </w:pPr>
      <w:bookmarkStart w:id="3" w:name="_Toc368065772"/>
      <w:r>
        <w:rPr>
          <w:rFonts w:eastAsia="Times New Roman"/>
          <w:b/>
          <w:noProof/>
          <w:lang w:eastAsia="en-GB"/>
        </w:rPr>
        <w:t>2.1</w:t>
      </w:r>
      <w:r w:rsidR="00617132">
        <w:rPr>
          <w:rFonts w:eastAsia="Times New Roman"/>
          <w:b/>
          <w:noProof/>
          <w:lang w:eastAsia="en-GB"/>
        </w:rPr>
        <w:t>.</w:t>
      </w:r>
      <w:r>
        <w:rPr>
          <w:rFonts w:eastAsia="Times New Roman"/>
          <w:b/>
          <w:noProof/>
          <w:lang w:eastAsia="en-GB"/>
        </w:rPr>
        <w:tab/>
        <w:t xml:space="preserve">Export control policy </w:t>
      </w:r>
    </w:p>
    <w:p w14:paraId="40951346" w14:textId="77777777" w:rsidR="00FC2A23" w:rsidRDefault="00FC2A23" w:rsidP="00ED213C">
      <w:pPr>
        <w:pStyle w:val="Briefingtext"/>
        <w:rPr>
          <w:rFonts w:ascii="Times New Roman" w:hAnsi="Times New Roman" w:cs="Times New Roman"/>
          <w:noProof/>
          <w:sz w:val="24"/>
          <w:lang w:eastAsia="en-GB"/>
        </w:rPr>
      </w:pPr>
      <w:r>
        <w:rPr>
          <w:rFonts w:ascii="Times New Roman" w:hAnsi="Times New Roman" w:cs="Times New Roman"/>
          <w:noProof/>
          <w:sz w:val="24"/>
          <w:lang w:eastAsia="en-GB"/>
        </w:rPr>
        <w:t>2.1.1.</w:t>
      </w:r>
      <w:r>
        <w:rPr>
          <w:rFonts w:ascii="Times New Roman" w:hAnsi="Times New Roman" w:cs="Times New Roman"/>
          <w:noProof/>
          <w:sz w:val="24"/>
          <w:lang w:eastAsia="en-GB"/>
        </w:rPr>
        <w:tab/>
      </w:r>
      <w:r w:rsidR="00234D91">
        <w:rPr>
          <w:rFonts w:ascii="Times New Roman" w:hAnsi="Times New Roman" w:cs="Times New Roman"/>
          <w:noProof/>
          <w:sz w:val="24"/>
          <w:lang w:eastAsia="en-GB"/>
        </w:rPr>
        <w:t>M</w:t>
      </w:r>
      <w:r>
        <w:rPr>
          <w:rFonts w:ascii="Times New Roman" w:hAnsi="Times New Roman" w:cs="Times New Roman"/>
          <w:noProof/>
          <w:sz w:val="24"/>
          <w:lang w:eastAsia="en-GB"/>
        </w:rPr>
        <w:t>odernisation</w:t>
      </w:r>
      <w:r w:rsidR="00234D91">
        <w:rPr>
          <w:rFonts w:ascii="Times New Roman" w:hAnsi="Times New Roman" w:cs="Times New Roman"/>
          <w:noProof/>
          <w:sz w:val="24"/>
          <w:lang w:eastAsia="en-GB"/>
        </w:rPr>
        <w:t xml:space="preserve"> of EU export controls - new Export Control Regulation</w:t>
      </w:r>
    </w:p>
    <w:p w14:paraId="32113295" w14:textId="1ECE91B2" w:rsidR="00D94BA7" w:rsidRPr="00ED213C" w:rsidRDefault="00234D91" w:rsidP="00ED213C">
      <w:pPr>
        <w:pStyle w:val="Briefingtext"/>
        <w:rPr>
          <w:rFonts w:ascii="Times New Roman" w:eastAsiaTheme="minorHAnsi" w:hAnsi="Times New Roman" w:cs="Times New Roman"/>
          <w:noProof/>
          <w:sz w:val="24"/>
        </w:rPr>
      </w:pPr>
      <w:r>
        <w:rPr>
          <w:rFonts w:ascii="Times New Roman" w:hAnsi="Times New Roman" w:cs="Times New Roman"/>
          <w:noProof/>
          <w:sz w:val="24"/>
          <w:lang w:eastAsia="en-GB"/>
        </w:rPr>
        <w:t xml:space="preserve">Further to the adoption of a new Export Control Regulation on 19 May </w:t>
      </w:r>
      <w:r w:rsidR="0003416D">
        <w:rPr>
          <w:rFonts w:ascii="Times New Roman" w:hAnsi="Times New Roman" w:cs="Times New Roman"/>
          <w:noProof/>
          <w:sz w:val="24"/>
          <w:lang w:eastAsia="en-GB"/>
        </w:rPr>
        <w:t>2021</w:t>
      </w:r>
      <w:r>
        <w:rPr>
          <w:rFonts w:ascii="Times New Roman" w:hAnsi="Times New Roman" w:cs="Times New Roman"/>
          <w:noProof/>
          <w:sz w:val="24"/>
          <w:lang w:eastAsia="en-GB"/>
        </w:rPr>
        <w:t xml:space="preserve"> and its entry into force on 9 September 2021</w:t>
      </w:r>
      <w:r w:rsidR="00D94BA7">
        <w:rPr>
          <w:rFonts w:ascii="Times New Roman" w:hAnsi="Times New Roman" w:cs="Times New Roman"/>
          <w:noProof/>
          <w:sz w:val="24"/>
          <w:lang w:eastAsia="en-GB"/>
        </w:rPr>
        <w:t>,</w:t>
      </w:r>
      <w:r w:rsidR="0003416D">
        <w:rPr>
          <w:rFonts w:ascii="Times New Roman" w:hAnsi="Times New Roman" w:cs="Times New Roman"/>
          <w:noProof/>
          <w:sz w:val="24"/>
          <w:lang w:eastAsia="en-GB"/>
        </w:rPr>
        <w:t xml:space="preserve"> the Commission and </w:t>
      </w:r>
      <w:r w:rsidR="00EC19E7">
        <w:rPr>
          <w:rFonts w:ascii="Times New Roman" w:hAnsi="Times New Roman" w:cs="Times New Roman"/>
          <w:noProof/>
          <w:sz w:val="24"/>
          <w:lang w:eastAsia="en-GB"/>
        </w:rPr>
        <w:t xml:space="preserve">the </w:t>
      </w:r>
      <w:r w:rsidR="0003416D">
        <w:rPr>
          <w:rFonts w:ascii="Times New Roman" w:hAnsi="Times New Roman" w:cs="Times New Roman"/>
          <w:noProof/>
          <w:sz w:val="24"/>
          <w:lang w:eastAsia="en-GB"/>
        </w:rPr>
        <w:t>M</w:t>
      </w:r>
      <w:r w:rsidR="00D94BA7">
        <w:rPr>
          <w:rFonts w:ascii="Times New Roman" w:hAnsi="Times New Roman" w:cs="Times New Roman"/>
          <w:noProof/>
          <w:sz w:val="24"/>
          <w:lang w:eastAsia="en-GB"/>
        </w:rPr>
        <w:t xml:space="preserve">ember </w:t>
      </w:r>
      <w:r w:rsidR="0003416D">
        <w:rPr>
          <w:rFonts w:ascii="Times New Roman" w:hAnsi="Times New Roman" w:cs="Times New Roman"/>
          <w:noProof/>
          <w:sz w:val="24"/>
          <w:lang w:eastAsia="en-GB"/>
        </w:rPr>
        <w:t>S</w:t>
      </w:r>
      <w:r w:rsidR="00D94BA7">
        <w:rPr>
          <w:rFonts w:ascii="Times New Roman" w:hAnsi="Times New Roman" w:cs="Times New Roman"/>
          <w:noProof/>
          <w:sz w:val="24"/>
          <w:lang w:eastAsia="en-GB"/>
        </w:rPr>
        <w:t>tates</w:t>
      </w:r>
      <w:r w:rsidR="0003416D">
        <w:rPr>
          <w:rFonts w:ascii="Times New Roman" w:hAnsi="Times New Roman" w:cs="Times New Roman"/>
          <w:noProof/>
          <w:sz w:val="24"/>
          <w:lang w:eastAsia="en-GB"/>
        </w:rPr>
        <w:t xml:space="preserve"> have </w:t>
      </w:r>
      <w:r>
        <w:rPr>
          <w:rFonts w:ascii="Times New Roman" w:hAnsi="Times New Roman" w:cs="Times New Roman"/>
          <w:noProof/>
          <w:sz w:val="24"/>
          <w:lang w:eastAsia="en-GB"/>
        </w:rPr>
        <w:t xml:space="preserve">initiated </w:t>
      </w:r>
      <w:r w:rsidR="00603CAF">
        <w:rPr>
          <w:rFonts w:ascii="Times New Roman" w:hAnsi="Times New Roman" w:cs="Times New Roman"/>
          <w:noProof/>
          <w:sz w:val="24"/>
          <w:lang w:eastAsia="en-GB"/>
        </w:rPr>
        <w:t xml:space="preserve">its </w:t>
      </w:r>
      <w:r>
        <w:rPr>
          <w:rFonts w:ascii="Times New Roman" w:hAnsi="Times New Roman" w:cs="Times New Roman"/>
          <w:noProof/>
          <w:sz w:val="24"/>
          <w:lang w:eastAsia="en-GB"/>
        </w:rPr>
        <w:t>effective implementation</w:t>
      </w:r>
      <w:r w:rsidR="0003416D">
        <w:rPr>
          <w:rStyle w:val="FootnoteReference"/>
          <w:rFonts w:ascii="Times New Roman" w:hAnsi="Times New Roman" w:cs="Times New Roman"/>
          <w:noProof/>
          <w:sz w:val="24"/>
          <w:lang w:eastAsia="en-GB"/>
        </w:rPr>
        <w:footnoteReference w:id="3"/>
      </w:r>
      <w:r>
        <w:rPr>
          <w:rFonts w:ascii="Times New Roman" w:hAnsi="Times New Roman" w:cs="Times New Roman"/>
          <w:noProof/>
          <w:sz w:val="24"/>
          <w:lang w:eastAsia="en-GB"/>
        </w:rPr>
        <w:t xml:space="preserve">, </w:t>
      </w:r>
      <w:r w:rsidR="00603CAF">
        <w:rPr>
          <w:rFonts w:ascii="Times New Roman" w:hAnsi="Times New Roman" w:cs="Times New Roman"/>
          <w:noProof/>
          <w:sz w:val="24"/>
          <w:lang w:eastAsia="en-GB"/>
        </w:rPr>
        <w:t xml:space="preserve">in </w:t>
      </w:r>
      <w:r>
        <w:rPr>
          <w:rFonts w:ascii="Times New Roman" w:hAnsi="Times New Roman" w:cs="Times New Roman"/>
          <w:noProof/>
          <w:sz w:val="24"/>
          <w:lang w:eastAsia="en-GB"/>
        </w:rPr>
        <w:t>a number of new areas - e.g. transparency, enforcement, capacity-building</w:t>
      </w:r>
      <w:r w:rsidR="00603CAF">
        <w:rPr>
          <w:rFonts w:ascii="Times New Roman" w:hAnsi="Times New Roman" w:cs="Times New Roman"/>
          <w:noProof/>
          <w:sz w:val="24"/>
          <w:lang w:eastAsia="en-GB"/>
        </w:rPr>
        <w:t xml:space="preserve">. </w:t>
      </w:r>
      <w:r w:rsidR="002957E0">
        <w:rPr>
          <w:rFonts w:ascii="Times New Roman" w:hAnsi="Times New Roman" w:cs="Times New Roman"/>
          <w:noProof/>
          <w:sz w:val="24"/>
          <w:lang w:eastAsia="en-GB"/>
        </w:rPr>
        <w:t>The DUCG</w:t>
      </w:r>
      <w:r>
        <w:rPr>
          <w:rFonts w:ascii="Times New Roman" w:hAnsi="Times New Roman" w:cs="Times New Roman"/>
          <w:noProof/>
          <w:sz w:val="24"/>
          <w:lang w:eastAsia="en-GB"/>
        </w:rPr>
        <w:t xml:space="preserve"> </w:t>
      </w:r>
      <w:r w:rsidR="002957E0">
        <w:rPr>
          <w:rFonts w:ascii="Times New Roman" w:hAnsi="Times New Roman" w:cs="Times New Roman"/>
          <w:noProof/>
          <w:sz w:val="24"/>
          <w:lang w:eastAsia="en-GB"/>
        </w:rPr>
        <w:t xml:space="preserve"> </w:t>
      </w:r>
      <w:r w:rsidR="005C3629">
        <w:rPr>
          <w:rFonts w:ascii="Times New Roman" w:hAnsi="Times New Roman" w:cs="Times New Roman"/>
          <w:noProof/>
          <w:sz w:val="24"/>
          <w:lang w:eastAsia="en-GB"/>
        </w:rPr>
        <w:t xml:space="preserve">played a key </w:t>
      </w:r>
      <w:r w:rsidR="002957E0">
        <w:rPr>
          <w:rFonts w:ascii="Times New Roman" w:hAnsi="Times New Roman" w:cs="Times New Roman"/>
          <w:noProof/>
          <w:sz w:val="24"/>
          <w:lang w:eastAsia="en-GB"/>
        </w:rPr>
        <w:t>role</w:t>
      </w:r>
      <w:r w:rsidR="00603CAF">
        <w:rPr>
          <w:rFonts w:ascii="Times New Roman" w:hAnsi="Times New Roman" w:cs="Times New Roman"/>
          <w:noProof/>
          <w:sz w:val="24"/>
          <w:lang w:eastAsia="en-GB"/>
        </w:rPr>
        <w:t>,</w:t>
      </w:r>
      <w:r w:rsidR="002957E0">
        <w:rPr>
          <w:rFonts w:ascii="Times New Roman" w:hAnsi="Times New Roman" w:cs="Times New Roman"/>
          <w:noProof/>
          <w:sz w:val="24"/>
          <w:lang w:eastAsia="en-GB"/>
        </w:rPr>
        <w:t xml:space="preserve"> </w:t>
      </w:r>
      <w:r w:rsidR="005C3629">
        <w:rPr>
          <w:rFonts w:ascii="Times New Roman" w:hAnsi="Times New Roman" w:cs="Times New Roman"/>
          <w:noProof/>
          <w:sz w:val="24"/>
          <w:lang w:eastAsia="en-GB"/>
        </w:rPr>
        <w:t xml:space="preserve">as </w:t>
      </w:r>
      <w:r w:rsidR="002957E0">
        <w:rPr>
          <w:rFonts w:ascii="Times New Roman" w:hAnsi="Times New Roman" w:cs="Times New Roman"/>
          <w:noProof/>
          <w:sz w:val="24"/>
          <w:lang w:eastAsia="en-GB"/>
        </w:rPr>
        <w:t xml:space="preserve">described </w:t>
      </w:r>
      <w:r w:rsidR="005C3629">
        <w:rPr>
          <w:rFonts w:ascii="Times New Roman" w:hAnsi="Times New Roman" w:cs="Times New Roman"/>
          <w:noProof/>
          <w:sz w:val="24"/>
          <w:lang w:eastAsia="en-GB"/>
        </w:rPr>
        <w:t xml:space="preserve">in </w:t>
      </w:r>
      <w:r w:rsidR="002957E0">
        <w:rPr>
          <w:rFonts w:ascii="Times New Roman" w:hAnsi="Times New Roman" w:cs="Times New Roman"/>
          <w:noProof/>
          <w:sz w:val="24"/>
          <w:lang w:eastAsia="en-GB"/>
        </w:rPr>
        <w:t>chapter 3</w:t>
      </w:r>
      <w:r w:rsidR="005C3629">
        <w:rPr>
          <w:rFonts w:ascii="Times New Roman" w:hAnsi="Times New Roman" w:cs="Times New Roman"/>
          <w:noProof/>
          <w:sz w:val="24"/>
          <w:lang w:eastAsia="en-GB"/>
        </w:rPr>
        <w:t xml:space="preserve"> below</w:t>
      </w:r>
      <w:r>
        <w:rPr>
          <w:rFonts w:ascii="Times New Roman" w:hAnsi="Times New Roman" w:cs="Times New Roman"/>
          <w:noProof/>
          <w:sz w:val="24"/>
          <w:lang w:eastAsia="en-GB"/>
        </w:rPr>
        <w:t xml:space="preserve">, and expanded the EU export control </w:t>
      </w:r>
      <w:r w:rsidR="00603CAF">
        <w:rPr>
          <w:rFonts w:ascii="Times New Roman" w:hAnsi="Times New Roman" w:cs="Times New Roman"/>
          <w:noProof/>
          <w:sz w:val="24"/>
          <w:lang w:eastAsia="en-GB"/>
        </w:rPr>
        <w:t xml:space="preserve">“institutional </w:t>
      </w:r>
      <w:r>
        <w:rPr>
          <w:rFonts w:ascii="Times New Roman" w:hAnsi="Times New Roman" w:cs="Times New Roman"/>
          <w:noProof/>
          <w:sz w:val="24"/>
          <w:lang w:eastAsia="en-GB"/>
        </w:rPr>
        <w:t>infrastructure</w:t>
      </w:r>
      <w:r w:rsidR="00603CAF">
        <w:rPr>
          <w:rFonts w:ascii="Times New Roman" w:hAnsi="Times New Roman" w:cs="Times New Roman"/>
          <w:noProof/>
          <w:sz w:val="24"/>
          <w:lang w:eastAsia="en-GB"/>
        </w:rPr>
        <w:t>”</w:t>
      </w:r>
      <w:r w:rsidR="00FC16D0">
        <w:rPr>
          <w:rFonts w:ascii="Times New Roman" w:hAnsi="Times New Roman" w:cs="Times New Roman"/>
          <w:noProof/>
          <w:sz w:val="24"/>
          <w:lang w:eastAsia="en-GB"/>
        </w:rPr>
        <w:t xml:space="preserve"> through the creation of </w:t>
      </w:r>
      <w:r w:rsidR="00F9435B">
        <w:rPr>
          <w:rFonts w:ascii="Times New Roman" w:hAnsi="Times New Roman" w:cs="Times New Roman"/>
          <w:noProof/>
          <w:sz w:val="24"/>
          <w:lang w:eastAsia="en-GB"/>
        </w:rPr>
        <w:t>a number of expert groups to develop new policies, guidelines, procedures, etc.</w:t>
      </w:r>
      <w:r w:rsidR="00B930EF">
        <w:rPr>
          <w:rFonts w:ascii="Times New Roman" w:hAnsi="Times New Roman" w:cs="Times New Roman"/>
          <w:noProof/>
          <w:sz w:val="24"/>
          <w:lang w:eastAsia="en-GB"/>
        </w:rPr>
        <w:t xml:space="preserve"> The annex to this report sets out the various work strands and related indicative timelines.</w:t>
      </w:r>
    </w:p>
    <w:p w14:paraId="58CE42E9" w14:textId="77777777" w:rsidR="00FC2A23" w:rsidRDefault="00FC2A23" w:rsidP="00AA655D">
      <w:pPr>
        <w:adjustRightInd w:val="0"/>
        <w:jc w:val="both"/>
        <w:rPr>
          <w:rFonts w:eastAsia="Calibri"/>
          <w:noProof/>
        </w:rPr>
      </w:pPr>
      <w:r>
        <w:rPr>
          <w:rFonts w:eastAsia="Calibri"/>
          <w:noProof/>
        </w:rPr>
        <w:t>2.1.2</w:t>
      </w:r>
      <w:r>
        <w:rPr>
          <w:rFonts w:eastAsia="Calibri"/>
          <w:noProof/>
        </w:rPr>
        <w:tab/>
        <w:t>Consultations and outreach</w:t>
      </w:r>
    </w:p>
    <w:p w14:paraId="7BE9DB1A" w14:textId="77777777" w:rsidR="00FC2A23" w:rsidRDefault="00FC2A23" w:rsidP="00AA655D">
      <w:pPr>
        <w:adjustRightInd w:val="0"/>
        <w:jc w:val="both"/>
        <w:rPr>
          <w:rFonts w:eastAsia="Calibri"/>
          <w:noProof/>
        </w:rPr>
      </w:pPr>
    </w:p>
    <w:p w14:paraId="55877B51" w14:textId="77777777" w:rsidR="00F840E8" w:rsidRDefault="00AE4F8A" w:rsidP="00F840E8">
      <w:pPr>
        <w:adjustRightInd w:val="0"/>
        <w:jc w:val="both"/>
        <w:rPr>
          <w:rFonts w:eastAsia="Calibri"/>
          <w:noProof/>
        </w:rPr>
      </w:pPr>
      <w:r>
        <w:rPr>
          <w:rFonts w:eastAsia="Calibri"/>
          <w:noProof/>
        </w:rPr>
        <w:t xml:space="preserve">In 2021, </w:t>
      </w:r>
      <w:r w:rsidR="00A14C82">
        <w:rPr>
          <w:rFonts w:eastAsia="Calibri"/>
          <w:noProof/>
        </w:rPr>
        <w:t>t</w:t>
      </w:r>
      <w:r w:rsidR="00AA655D">
        <w:rPr>
          <w:rFonts w:eastAsia="Calibri"/>
          <w:noProof/>
        </w:rPr>
        <w:t xml:space="preserve">he Commission conducted a series of targeted consultations </w:t>
      </w:r>
      <w:r w:rsidR="00FC16D0">
        <w:rPr>
          <w:rFonts w:eastAsia="Calibri"/>
          <w:noProof/>
        </w:rPr>
        <w:t xml:space="preserve">of </w:t>
      </w:r>
      <w:r w:rsidR="00AA655D">
        <w:rPr>
          <w:rFonts w:eastAsia="Calibri"/>
          <w:noProof/>
        </w:rPr>
        <w:t>industry and civil society stakeholders</w:t>
      </w:r>
      <w:r w:rsidR="00FC2A23">
        <w:rPr>
          <w:rStyle w:val="FootnoteReference"/>
          <w:rFonts w:eastAsia="Calibri"/>
          <w:noProof/>
        </w:rPr>
        <w:footnoteReference w:id="4"/>
      </w:r>
      <w:r w:rsidR="0082087D">
        <w:rPr>
          <w:rFonts w:eastAsia="Calibri"/>
          <w:noProof/>
        </w:rPr>
        <w:t xml:space="preserve"> including </w:t>
      </w:r>
      <w:r w:rsidR="00FC16D0">
        <w:rPr>
          <w:rFonts w:eastAsia="Calibri"/>
          <w:noProof/>
        </w:rPr>
        <w:t xml:space="preserve">on priorities for </w:t>
      </w:r>
      <w:r w:rsidR="00596033">
        <w:rPr>
          <w:rFonts w:eastAsia="Calibri"/>
          <w:noProof/>
        </w:rPr>
        <w:t xml:space="preserve">the newly established </w:t>
      </w:r>
      <w:r>
        <w:rPr>
          <w:rFonts w:eastAsia="Calibri"/>
          <w:noProof/>
        </w:rPr>
        <w:t xml:space="preserve">EU-US </w:t>
      </w:r>
      <w:r w:rsidR="0082087D">
        <w:rPr>
          <w:rFonts w:eastAsia="Calibri"/>
          <w:noProof/>
        </w:rPr>
        <w:t>Trade and Technology Council (</w:t>
      </w:r>
      <w:r>
        <w:rPr>
          <w:rFonts w:eastAsia="Calibri"/>
          <w:noProof/>
        </w:rPr>
        <w:t>“</w:t>
      </w:r>
      <w:r w:rsidR="0082087D">
        <w:rPr>
          <w:rFonts w:eastAsia="Calibri"/>
          <w:noProof/>
        </w:rPr>
        <w:t>TTC</w:t>
      </w:r>
      <w:r>
        <w:rPr>
          <w:rFonts w:eastAsia="Calibri"/>
          <w:noProof/>
        </w:rPr>
        <w:t>”</w:t>
      </w:r>
      <w:r w:rsidR="00FC16D0">
        <w:rPr>
          <w:rFonts w:eastAsia="Calibri"/>
          <w:noProof/>
        </w:rPr>
        <w:t>)</w:t>
      </w:r>
      <w:r w:rsidR="00596033">
        <w:rPr>
          <w:rFonts w:eastAsia="Calibri"/>
          <w:noProof/>
        </w:rPr>
        <w:t xml:space="preserve"> - See section 2.1.3</w:t>
      </w:r>
      <w:r w:rsidR="0082087D">
        <w:rPr>
          <w:rFonts w:eastAsia="Calibri"/>
          <w:noProof/>
        </w:rPr>
        <w:t>.</w:t>
      </w:r>
      <w:r w:rsidR="00AA655D">
        <w:rPr>
          <w:rFonts w:eastAsia="Calibri"/>
          <w:noProof/>
        </w:rPr>
        <w:t xml:space="preserve"> </w:t>
      </w:r>
      <w:r w:rsidR="00FC16D0">
        <w:rPr>
          <w:rFonts w:eastAsia="Calibri"/>
          <w:noProof/>
        </w:rPr>
        <w:t>T</w:t>
      </w:r>
      <w:r w:rsidR="00234D91">
        <w:rPr>
          <w:rFonts w:eastAsia="Calibri"/>
          <w:noProof/>
        </w:rPr>
        <w:t xml:space="preserve">he Commission </w:t>
      </w:r>
      <w:r w:rsidR="00FC16D0">
        <w:rPr>
          <w:rFonts w:eastAsia="Calibri"/>
          <w:noProof/>
        </w:rPr>
        <w:t xml:space="preserve">also </w:t>
      </w:r>
      <w:r w:rsidR="00234D91" w:rsidRPr="002150CE">
        <w:rPr>
          <w:rFonts w:eastAsia="Calibri"/>
          <w:noProof/>
        </w:rPr>
        <w:t>organised</w:t>
      </w:r>
      <w:r w:rsidR="002150CE" w:rsidRPr="002150CE">
        <w:rPr>
          <w:rFonts w:eastAsia="Calibri"/>
          <w:noProof/>
        </w:rPr>
        <w:t>,</w:t>
      </w:r>
      <w:r w:rsidR="00F840E8" w:rsidRPr="00F840E8">
        <w:rPr>
          <w:noProof/>
        </w:rPr>
        <w:t xml:space="preserve"> </w:t>
      </w:r>
      <w:r w:rsidR="00F840E8" w:rsidRPr="00F840E8">
        <w:rPr>
          <w:rFonts w:eastAsia="Calibri"/>
          <w:noProof/>
        </w:rPr>
        <w:t>jointly with the Slovenian Presidency of the Council of the EU</w:t>
      </w:r>
      <w:r>
        <w:rPr>
          <w:rFonts w:eastAsia="Calibri"/>
          <w:noProof/>
        </w:rPr>
        <w:t>,</w:t>
      </w:r>
      <w:r w:rsidR="002150CE" w:rsidRPr="002150CE">
        <w:rPr>
          <w:rFonts w:eastAsia="Calibri"/>
          <w:noProof/>
        </w:rPr>
        <w:t xml:space="preserve"> </w:t>
      </w:r>
      <w:r w:rsidR="00625D02">
        <w:rPr>
          <w:rFonts w:eastAsia="Calibri"/>
          <w:noProof/>
        </w:rPr>
        <w:t>the annual</w:t>
      </w:r>
      <w:r w:rsidR="002150CE" w:rsidRPr="002150CE">
        <w:rPr>
          <w:rFonts w:eastAsia="Calibri"/>
          <w:noProof/>
        </w:rPr>
        <w:t xml:space="preserve"> Export Control Forum on </w:t>
      </w:r>
      <w:r w:rsidR="00A65F1C">
        <w:rPr>
          <w:rFonts w:eastAsia="Calibri"/>
          <w:noProof/>
        </w:rPr>
        <w:t>8</w:t>
      </w:r>
      <w:r w:rsidR="002150CE" w:rsidRPr="002150CE">
        <w:rPr>
          <w:rFonts w:eastAsia="Calibri"/>
          <w:noProof/>
        </w:rPr>
        <w:t xml:space="preserve"> December 202</w:t>
      </w:r>
      <w:r w:rsidR="00A65F1C">
        <w:rPr>
          <w:rFonts w:eastAsia="Calibri"/>
          <w:noProof/>
        </w:rPr>
        <w:t>1</w:t>
      </w:r>
      <w:r w:rsidR="00F840E8">
        <w:rPr>
          <w:rFonts w:eastAsia="Calibri"/>
          <w:noProof/>
        </w:rPr>
        <w:t>.</w:t>
      </w:r>
      <w:r w:rsidR="002150CE" w:rsidRPr="002150CE">
        <w:rPr>
          <w:rFonts w:eastAsia="Calibri"/>
          <w:noProof/>
        </w:rPr>
        <w:t xml:space="preserve"> </w:t>
      </w:r>
      <w:r w:rsidR="00F840E8" w:rsidRPr="00F840E8">
        <w:rPr>
          <w:rFonts w:eastAsia="Calibri"/>
          <w:noProof/>
        </w:rPr>
        <w:t>This provided an opportunity to exchange views on the implementation of EU export controls and the modernis</w:t>
      </w:r>
      <w:r>
        <w:rPr>
          <w:rFonts w:eastAsia="Calibri"/>
          <w:noProof/>
        </w:rPr>
        <w:t xml:space="preserve">ed </w:t>
      </w:r>
      <w:r w:rsidR="00F840E8" w:rsidRPr="00F840E8">
        <w:rPr>
          <w:rFonts w:eastAsia="Calibri"/>
          <w:noProof/>
        </w:rPr>
        <w:t xml:space="preserve">EU export controls </w:t>
      </w:r>
      <w:r>
        <w:rPr>
          <w:rFonts w:eastAsia="Calibri"/>
          <w:noProof/>
        </w:rPr>
        <w:t xml:space="preserve">regime </w:t>
      </w:r>
      <w:r w:rsidR="00F840E8" w:rsidRPr="00F840E8">
        <w:rPr>
          <w:rFonts w:eastAsia="Calibri"/>
          <w:noProof/>
        </w:rPr>
        <w:t>with more than 800 industry and civil society stakeholders</w:t>
      </w:r>
      <w:r w:rsidR="00F840E8">
        <w:rPr>
          <w:rStyle w:val="FootnoteReference"/>
          <w:rFonts w:eastAsia="Calibri"/>
          <w:noProof/>
        </w:rPr>
        <w:footnoteReference w:id="5"/>
      </w:r>
      <w:r w:rsidR="00F840E8">
        <w:rPr>
          <w:rFonts w:eastAsia="Calibri"/>
          <w:noProof/>
        </w:rPr>
        <w:t xml:space="preserve">. </w:t>
      </w:r>
    </w:p>
    <w:p w14:paraId="4992AA77" w14:textId="77777777" w:rsidR="003B2BCC" w:rsidRPr="00F840E8" w:rsidRDefault="003B2BCC" w:rsidP="00F840E8">
      <w:pPr>
        <w:adjustRightInd w:val="0"/>
        <w:jc w:val="both"/>
        <w:rPr>
          <w:rFonts w:eastAsia="Calibri"/>
          <w:noProof/>
        </w:rPr>
      </w:pPr>
    </w:p>
    <w:p w14:paraId="1AA2817B" w14:textId="665ACBF2" w:rsidR="00BA7E94" w:rsidRDefault="00C52F45" w:rsidP="00AE4F8A">
      <w:pPr>
        <w:keepNext/>
        <w:adjustRightInd w:val="0"/>
        <w:jc w:val="both"/>
        <w:rPr>
          <w:rFonts w:eastAsia="Calibri"/>
          <w:noProof/>
        </w:rPr>
      </w:pPr>
      <w:r>
        <w:rPr>
          <w:rFonts w:eastAsia="Calibri"/>
          <w:noProof/>
        </w:rPr>
        <w:t>2.1.3</w:t>
      </w:r>
      <w:r>
        <w:rPr>
          <w:rFonts w:eastAsia="Calibri"/>
          <w:noProof/>
        </w:rPr>
        <w:tab/>
      </w:r>
      <w:r w:rsidR="00BA7E94" w:rsidRPr="00B4777D">
        <w:rPr>
          <w:rFonts w:eastAsia="Calibri"/>
          <w:noProof/>
        </w:rPr>
        <w:t xml:space="preserve">Cooperation with third countries </w:t>
      </w:r>
    </w:p>
    <w:p w14:paraId="674E14E3" w14:textId="77777777" w:rsidR="006B5489" w:rsidRDefault="006B5489" w:rsidP="00AA655D">
      <w:pPr>
        <w:adjustRightInd w:val="0"/>
        <w:jc w:val="both"/>
        <w:rPr>
          <w:rFonts w:eastAsia="Calibri"/>
          <w:noProof/>
        </w:rPr>
      </w:pPr>
    </w:p>
    <w:p w14:paraId="39843410" w14:textId="43F96FB0" w:rsidR="00D00286" w:rsidRDefault="00AD489D" w:rsidP="00611E09">
      <w:pPr>
        <w:adjustRightInd w:val="0"/>
        <w:jc w:val="both"/>
        <w:rPr>
          <w:rFonts w:eastAsia="Calibri"/>
          <w:noProof/>
        </w:rPr>
      </w:pPr>
      <w:r>
        <w:rPr>
          <w:rFonts w:eastAsia="Calibri"/>
          <w:noProof/>
        </w:rPr>
        <w:t xml:space="preserve">In </w:t>
      </w:r>
      <w:r w:rsidR="00D00286">
        <w:rPr>
          <w:rFonts w:eastAsia="Calibri"/>
          <w:noProof/>
        </w:rPr>
        <w:t xml:space="preserve">June </w:t>
      </w:r>
      <w:r>
        <w:rPr>
          <w:rFonts w:eastAsia="Calibri"/>
          <w:noProof/>
        </w:rPr>
        <w:t>2021</w:t>
      </w:r>
      <w:r w:rsidR="00596033">
        <w:rPr>
          <w:rFonts w:eastAsia="Calibri"/>
          <w:noProof/>
        </w:rPr>
        <w:t>, the EU and the U</w:t>
      </w:r>
      <w:r w:rsidR="001322C7">
        <w:rPr>
          <w:rFonts w:eastAsia="Calibri"/>
          <w:noProof/>
        </w:rPr>
        <w:t>.</w:t>
      </w:r>
      <w:r w:rsidR="00596033">
        <w:rPr>
          <w:rFonts w:eastAsia="Calibri"/>
          <w:noProof/>
        </w:rPr>
        <w:t>S</w:t>
      </w:r>
      <w:r w:rsidR="001322C7">
        <w:rPr>
          <w:rFonts w:eastAsia="Calibri"/>
          <w:noProof/>
        </w:rPr>
        <w:t>.</w:t>
      </w:r>
      <w:r w:rsidR="00596033">
        <w:rPr>
          <w:rFonts w:eastAsia="Calibri"/>
          <w:noProof/>
        </w:rPr>
        <w:t xml:space="preserve"> established </w:t>
      </w:r>
      <w:r w:rsidR="00234D91">
        <w:rPr>
          <w:rFonts w:eastAsia="Calibri"/>
          <w:noProof/>
        </w:rPr>
        <w:t>the</w:t>
      </w:r>
      <w:r w:rsidRPr="00AD489D">
        <w:rPr>
          <w:rFonts w:eastAsia="Calibri"/>
          <w:noProof/>
        </w:rPr>
        <w:t xml:space="preserve"> </w:t>
      </w:r>
      <w:r w:rsidR="00095C42">
        <w:rPr>
          <w:rFonts w:eastAsia="Calibri"/>
          <w:noProof/>
        </w:rPr>
        <w:t>T</w:t>
      </w:r>
      <w:r w:rsidR="00D00286">
        <w:rPr>
          <w:rFonts w:eastAsia="Calibri"/>
          <w:noProof/>
        </w:rPr>
        <w:t xml:space="preserve">rade and </w:t>
      </w:r>
      <w:r w:rsidR="00095C42">
        <w:rPr>
          <w:rFonts w:eastAsia="Calibri"/>
          <w:noProof/>
        </w:rPr>
        <w:t>T</w:t>
      </w:r>
      <w:r w:rsidR="00D00286">
        <w:rPr>
          <w:rFonts w:eastAsia="Calibri"/>
          <w:noProof/>
        </w:rPr>
        <w:t xml:space="preserve">echnology </w:t>
      </w:r>
      <w:r w:rsidR="00095C42">
        <w:rPr>
          <w:rFonts w:eastAsia="Calibri"/>
          <w:noProof/>
        </w:rPr>
        <w:t>C</w:t>
      </w:r>
      <w:r w:rsidR="00D00286">
        <w:rPr>
          <w:rFonts w:eastAsia="Calibri"/>
          <w:noProof/>
        </w:rPr>
        <w:t>ouncil</w:t>
      </w:r>
      <w:r w:rsidR="00596033">
        <w:rPr>
          <w:rFonts w:eastAsia="Calibri"/>
          <w:noProof/>
        </w:rPr>
        <w:t xml:space="preserve">, which </w:t>
      </w:r>
      <w:r w:rsidR="00095C42" w:rsidRPr="00095C42">
        <w:rPr>
          <w:rFonts w:eastAsia="Calibri"/>
          <w:noProof/>
        </w:rPr>
        <w:t>met for the first time in Pit</w:t>
      </w:r>
      <w:r w:rsidR="001742D8">
        <w:rPr>
          <w:rFonts w:eastAsia="Calibri"/>
          <w:noProof/>
        </w:rPr>
        <w:t>tsburgh on 29 September 2021</w:t>
      </w:r>
      <w:r w:rsidR="00596033">
        <w:rPr>
          <w:rFonts w:eastAsia="Calibri"/>
          <w:noProof/>
        </w:rPr>
        <w:t xml:space="preserve"> and agreed on a</w:t>
      </w:r>
      <w:r w:rsidR="00234D91">
        <w:rPr>
          <w:rFonts w:eastAsia="Calibri"/>
          <w:noProof/>
        </w:rPr>
        <w:t xml:space="preserve">n ambitious </w:t>
      </w:r>
      <w:r w:rsidR="00596033">
        <w:rPr>
          <w:rFonts w:eastAsia="Calibri"/>
          <w:noProof/>
        </w:rPr>
        <w:t>Joint Statement</w:t>
      </w:r>
      <w:r w:rsidR="00D00286">
        <w:rPr>
          <w:rFonts w:eastAsia="Calibri"/>
          <w:noProof/>
        </w:rPr>
        <w:t>, including cooperation</w:t>
      </w:r>
      <w:r w:rsidR="00596033">
        <w:rPr>
          <w:rFonts w:eastAsia="Calibri"/>
          <w:noProof/>
        </w:rPr>
        <w:t xml:space="preserve"> on export control</w:t>
      </w:r>
      <w:r w:rsidR="00625D02">
        <w:rPr>
          <w:rStyle w:val="FootnoteReference"/>
          <w:rFonts w:eastAsia="Calibri"/>
          <w:noProof/>
        </w:rPr>
        <w:footnoteReference w:id="6"/>
      </w:r>
      <w:r w:rsidR="00933503">
        <w:rPr>
          <w:rFonts w:eastAsia="Calibri"/>
          <w:noProof/>
        </w:rPr>
        <w:t>.</w:t>
      </w:r>
      <w:r w:rsidR="00596033">
        <w:rPr>
          <w:rFonts w:eastAsia="Calibri"/>
          <w:noProof/>
        </w:rPr>
        <w:t xml:space="preserve"> </w:t>
      </w:r>
      <w:r w:rsidR="003F48E9" w:rsidRPr="003F48E9">
        <w:rPr>
          <w:rFonts w:eastAsia="Calibri"/>
          <w:noProof/>
        </w:rPr>
        <w:t>One of the ten Working Groups is dedicated to export controls</w:t>
      </w:r>
      <w:r w:rsidR="00D00286">
        <w:rPr>
          <w:rFonts w:eastAsia="Calibri"/>
          <w:noProof/>
        </w:rPr>
        <w:t>, sharing information and working on themes like</w:t>
      </w:r>
      <w:r w:rsidR="00EC19E7">
        <w:rPr>
          <w:rFonts w:eastAsia="Calibri"/>
          <w:noProof/>
        </w:rPr>
        <w:t xml:space="preserve"> </w:t>
      </w:r>
      <w:r w:rsidR="003F48E9" w:rsidRPr="003F48E9">
        <w:rPr>
          <w:rFonts w:eastAsia="Calibri"/>
          <w:noProof/>
        </w:rPr>
        <w:t>legislative and regulatory developments</w:t>
      </w:r>
      <w:r w:rsidR="00D00286">
        <w:rPr>
          <w:rFonts w:eastAsia="Calibri"/>
          <w:noProof/>
        </w:rPr>
        <w:t>,</w:t>
      </w:r>
      <w:r w:rsidR="003F48E9" w:rsidRPr="003F48E9">
        <w:rPr>
          <w:rFonts w:eastAsia="Calibri"/>
          <w:noProof/>
        </w:rPr>
        <w:t xml:space="preserve"> risk assessments and licensing good practices, as well as on </w:t>
      </w:r>
      <w:r w:rsidR="00CB2510" w:rsidRPr="003F48E9">
        <w:rPr>
          <w:rFonts w:eastAsia="Calibri"/>
          <w:noProof/>
        </w:rPr>
        <w:t xml:space="preserve">approaches </w:t>
      </w:r>
      <w:r w:rsidR="00CB2510">
        <w:rPr>
          <w:rFonts w:eastAsia="Calibri"/>
          <w:noProof/>
        </w:rPr>
        <w:t xml:space="preserve">to industry </w:t>
      </w:r>
      <w:r w:rsidR="003F48E9" w:rsidRPr="003F48E9">
        <w:rPr>
          <w:rFonts w:eastAsia="Calibri"/>
          <w:noProof/>
        </w:rPr>
        <w:t>compliance and enforcement. Furthermore</w:t>
      </w:r>
      <w:r w:rsidR="00AE4F8A">
        <w:rPr>
          <w:rFonts w:eastAsia="Calibri"/>
          <w:noProof/>
        </w:rPr>
        <w:t>,</w:t>
      </w:r>
      <w:r w:rsidR="003F48E9" w:rsidRPr="003F48E9">
        <w:rPr>
          <w:rFonts w:eastAsia="Calibri"/>
          <w:noProof/>
        </w:rPr>
        <w:t xml:space="preserve"> </w:t>
      </w:r>
      <w:r w:rsidR="003B2BCC">
        <w:rPr>
          <w:rFonts w:eastAsia="Calibri"/>
          <w:noProof/>
        </w:rPr>
        <w:t xml:space="preserve">this working group </w:t>
      </w:r>
      <w:r w:rsidR="00CB2510">
        <w:rPr>
          <w:rFonts w:eastAsia="Calibri"/>
          <w:noProof/>
        </w:rPr>
        <w:t>aims at</w:t>
      </w:r>
      <w:r w:rsidR="003F48E9" w:rsidRPr="003F48E9">
        <w:rPr>
          <w:rFonts w:eastAsia="Calibri"/>
          <w:noProof/>
        </w:rPr>
        <w:t xml:space="preserve"> </w:t>
      </w:r>
      <w:r w:rsidR="00CB2510" w:rsidRPr="003F48E9">
        <w:rPr>
          <w:rFonts w:eastAsia="Calibri"/>
          <w:noProof/>
        </w:rPr>
        <w:t>promot</w:t>
      </w:r>
      <w:r w:rsidR="00CB2510">
        <w:rPr>
          <w:rFonts w:eastAsia="Calibri"/>
          <w:noProof/>
        </w:rPr>
        <w:t>ing</w:t>
      </w:r>
      <w:r w:rsidR="00CB2510" w:rsidRPr="003F48E9">
        <w:rPr>
          <w:rFonts w:eastAsia="Calibri"/>
          <w:noProof/>
        </w:rPr>
        <w:t xml:space="preserve"> </w:t>
      </w:r>
      <w:r w:rsidR="003F48E9" w:rsidRPr="003F48E9">
        <w:rPr>
          <w:rFonts w:eastAsia="Calibri"/>
          <w:noProof/>
        </w:rPr>
        <w:t>convergent control approaches on sensitive dual-use technologies, and perform joint industry outreach on dual-use export controls</w:t>
      </w:r>
      <w:r w:rsidR="003F48E9">
        <w:rPr>
          <w:rFonts w:eastAsia="Calibri"/>
          <w:noProof/>
        </w:rPr>
        <w:t>.</w:t>
      </w:r>
      <w:r w:rsidR="00D00286">
        <w:rPr>
          <w:rFonts w:eastAsia="Calibri"/>
          <w:noProof/>
        </w:rPr>
        <w:t xml:space="preserve"> </w:t>
      </w:r>
    </w:p>
    <w:p w14:paraId="1FCE1D5C" w14:textId="77777777" w:rsidR="00D00286" w:rsidRDefault="00D00286" w:rsidP="00611E09">
      <w:pPr>
        <w:adjustRightInd w:val="0"/>
        <w:jc w:val="both"/>
        <w:rPr>
          <w:rFonts w:eastAsia="Calibri"/>
          <w:noProof/>
        </w:rPr>
      </w:pPr>
    </w:p>
    <w:p w14:paraId="41491A34" w14:textId="77777777" w:rsidR="003F48E9" w:rsidRDefault="00D00286" w:rsidP="00611E09">
      <w:pPr>
        <w:adjustRightInd w:val="0"/>
        <w:jc w:val="both"/>
        <w:rPr>
          <w:rFonts w:eastAsia="Calibri"/>
          <w:noProof/>
        </w:rPr>
      </w:pPr>
      <w:r>
        <w:rPr>
          <w:rFonts w:eastAsia="Calibri"/>
          <w:noProof/>
        </w:rPr>
        <w:t xml:space="preserve">The TTC aims to ensure greater coordination in approaches on trade and technology issues, so that a holistic approach is taken across different work strands. In that context, aspects of other groups such as those on secure supply chains, and particularly, semi-conductors, or on the screening of foreign investment are also impacted by export controls. </w:t>
      </w:r>
    </w:p>
    <w:p w14:paraId="2C7F172E" w14:textId="77777777" w:rsidR="00EE54F5" w:rsidRPr="003F48E9" w:rsidRDefault="00EE54F5" w:rsidP="003F48E9">
      <w:pPr>
        <w:adjustRightInd w:val="0"/>
        <w:jc w:val="both"/>
        <w:rPr>
          <w:rFonts w:eastAsia="Calibri"/>
          <w:noProof/>
        </w:rPr>
      </w:pPr>
    </w:p>
    <w:p w14:paraId="22A914D5" w14:textId="77777777" w:rsidR="004F028A" w:rsidRDefault="00AE4F8A" w:rsidP="00611E09">
      <w:pPr>
        <w:adjustRightInd w:val="0"/>
        <w:jc w:val="both"/>
        <w:rPr>
          <w:rFonts w:eastAsia="Calibri"/>
          <w:noProof/>
        </w:rPr>
      </w:pPr>
      <w:r>
        <w:rPr>
          <w:rFonts w:eastAsia="Calibri"/>
          <w:noProof/>
        </w:rPr>
        <w:t>G</w:t>
      </w:r>
      <w:r w:rsidR="00EE54F5" w:rsidRPr="00EE54F5">
        <w:rPr>
          <w:rFonts w:eastAsia="Calibri"/>
          <w:noProof/>
        </w:rPr>
        <w:t>eneral</w:t>
      </w:r>
      <w:r>
        <w:rPr>
          <w:rFonts w:eastAsia="Calibri"/>
          <w:noProof/>
        </w:rPr>
        <w:t>ly</w:t>
      </w:r>
      <w:r w:rsidR="00EE54F5" w:rsidRPr="00EE54F5">
        <w:rPr>
          <w:rFonts w:eastAsia="Calibri"/>
          <w:noProof/>
        </w:rPr>
        <w:t xml:space="preserve">, the EU and U.S. agreed </w:t>
      </w:r>
      <w:r w:rsidR="00D00286">
        <w:rPr>
          <w:rFonts w:eastAsia="Calibri"/>
          <w:noProof/>
        </w:rPr>
        <w:t xml:space="preserve">in Pittsburgh </w:t>
      </w:r>
      <w:r w:rsidR="00CB2510">
        <w:rPr>
          <w:rFonts w:eastAsia="Calibri"/>
          <w:noProof/>
        </w:rPr>
        <w:t xml:space="preserve">to </w:t>
      </w:r>
      <w:r w:rsidR="004F028A" w:rsidRPr="004F028A">
        <w:rPr>
          <w:rFonts w:eastAsia="Calibri"/>
          <w:noProof/>
        </w:rPr>
        <w:t>enhance cooperation in the following areas:</w:t>
      </w:r>
    </w:p>
    <w:p w14:paraId="4B90F00B" w14:textId="77777777" w:rsidR="00AE4F8A" w:rsidRPr="004F028A" w:rsidRDefault="00AE4F8A" w:rsidP="00611E09">
      <w:pPr>
        <w:adjustRightInd w:val="0"/>
        <w:jc w:val="both"/>
        <w:rPr>
          <w:rFonts w:eastAsia="Calibri"/>
          <w:noProof/>
        </w:rPr>
      </w:pPr>
    </w:p>
    <w:p w14:paraId="1255A679" w14:textId="46EA0891" w:rsidR="004F028A" w:rsidRPr="00E22496" w:rsidRDefault="004F028A" w:rsidP="00E22496">
      <w:pPr>
        <w:pStyle w:val="ListParagraph"/>
        <w:numPr>
          <w:ilvl w:val="0"/>
          <w:numId w:val="5"/>
        </w:numPr>
        <w:adjustRightInd w:val="0"/>
        <w:jc w:val="both"/>
        <w:rPr>
          <w:rFonts w:ascii="Times New Roman" w:hAnsi="Times New Roman" w:cs="Times New Roman"/>
          <w:noProof/>
          <w:sz w:val="24"/>
        </w:rPr>
      </w:pPr>
      <w:r w:rsidRPr="00E22496">
        <w:rPr>
          <w:rFonts w:ascii="Times New Roman" w:hAnsi="Times New Roman" w:cs="Times New Roman"/>
          <w:noProof/>
          <w:sz w:val="24"/>
        </w:rPr>
        <w:t>Technical consultations on current and upcoming legislative and regulatory developments, including regular adjustments to control lists and specific license exceptions/General Export Authorisations, development of guidelines;</w:t>
      </w:r>
    </w:p>
    <w:p w14:paraId="7AE02694" w14:textId="77777777" w:rsidR="004F028A" w:rsidRPr="00E22496" w:rsidRDefault="004F028A" w:rsidP="00E22496">
      <w:pPr>
        <w:pStyle w:val="ListParagraph"/>
        <w:numPr>
          <w:ilvl w:val="0"/>
          <w:numId w:val="5"/>
        </w:numPr>
        <w:adjustRightInd w:val="0"/>
        <w:jc w:val="both"/>
        <w:rPr>
          <w:rFonts w:ascii="Times New Roman" w:hAnsi="Times New Roman" w:cs="Times New Roman"/>
          <w:noProof/>
          <w:sz w:val="24"/>
        </w:rPr>
      </w:pPr>
      <w:r w:rsidRPr="00E22496">
        <w:rPr>
          <w:rFonts w:ascii="Times New Roman" w:hAnsi="Times New Roman" w:cs="Times New Roman"/>
          <w:noProof/>
          <w:sz w:val="24"/>
        </w:rPr>
        <w:t xml:space="preserve">Technical consultations and development of convergent control approaches on sensitive dual-use technologies, </w:t>
      </w:r>
      <w:r w:rsidR="00CB2510" w:rsidRPr="00E22496">
        <w:rPr>
          <w:rFonts w:ascii="Times New Roman" w:hAnsi="Times New Roman" w:cs="Times New Roman"/>
          <w:noProof/>
          <w:sz w:val="24"/>
        </w:rPr>
        <w:t>and i</w:t>
      </w:r>
      <w:r w:rsidRPr="00E22496">
        <w:rPr>
          <w:rFonts w:ascii="Times New Roman" w:hAnsi="Times New Roman" w:cs="Times New Roman"/>
          <w:noProof/>
          <w:sz w:val="24"/>
        </w:rPr>
        <w:t>nformation exchange on risks associated with the export</w:t>
      </w:r>
      <w:r w:rsidR="00CB2510" w:rsidRPr="00E22496">
        <w:rPr>
          <w:rFonts w:ascii="Times New Roman" w:hAnsi="Times New Roman" w:cs="Times New Roman"/>
          <w:noProof/>
          <w:sz w:val="24"/>
        </w:rPr>
        <w:t xml:space="preserve"> or transfer</w:t>
      </w:r>
      <w:r w:rsidRPr="00E22496">
        <w:rPr>
          <w:rFonts w:ascii="Times New Roman" w:hAnsi="Times New Roman" w:cs="Times New Roman"/>
          <w:noProof/>
          <w:sz w:val="24"/>
        </w:rPr>
        <w:t xml:space="preserve"> of sensitive technologies to destinations and entities of concern</w:t>
      </w:r>
      <w:r w:rsidR="00CB2510" w:rsidRPr="00E22496">
        <w:rPr>
          <w:rFonts w:ascii="Times New Roman" w:hAnsi="Times New Roman" w:cs="Times New Roman"/>
          <w:noProof/>
          <w:sz w:val="24"/>
        </w:rPr>
        <w:t>;</w:t>
      </w:r>
    </w:p>
    <w:p w14:paraId="0434E591" w14:textId="77777777" w:rsidR="004F028A" w:rsidRPr="00E22496" w:rsidRDefault="004F028A" w:rsidP="00E22496">
      <w:pPr>
        <w:pStyle w:val="ListParagraph"/>
        <w:numPr>
          <w:ilvl w:val="0"/>
          <w:numId w:val="5"/>
        </w:numPr>
        <w:adjustRightInd w:val="0"/>
        <w:jc w:val="both"/>
        <w:rPr>
          <w:rFonts w:ascii="Times New Roman" w:hAnsi="Times New Roman" w:cs="Times New Roman"/>
          <w:noProof/>
          <w:sz w:val="24"/>
        </w:rPr>
      </w:pPr>
      <w:r w:rsidRPr="00E22496">
        <w:rPr>
          <w:rFonts w:ascii="Times New Roman" w:hAnsi="Times New Roman" w:cs="Times New Roman"/>
          <w:noProof/>
          <w:sz w:val="24"/>
        </w:rPr>
        <w:t>Technical consultations on compliance and enforcement approaches and actions;</w:t>
      </w:r>
    </w:p>
    <w:p w14:paraId="7C57B16E" w14:textId="1B5782BD" w:rsidR="004F028A" w:rsidRPr="00E22496" w:rsidRDefault="004F028A" w:rsidP="00E22496">
      <w:pPr>
        <w:pStyle w:val="ListParagraph"/>
        <w:numPr>
          <w:ilvl w:val="0"/>
          <w:numId w:val="5"/>
        </w:numPr>
        <w:adjustRightInd w:val="0"/>
        <w:jc w:val="both"/>
        <w:rPr>
          <w:rFonts w:ascii="Times New Roman" w:hAnsi="Times New Roman" w:cs="Times New Roman"/>
          <w:noProof/>
          <w:sz w:val="24"/>
        </w:rPr>
      </w:pPr>
      <w:r w:rsidRPr="00E22496">
        <w:rPr>
          <w:rFonts w:ascii="Times New Roman" w:hAnsi="Times New Roman" w:cs="Times New Roman"/>
          <w:noProof/>
          <w:sz w:val="24"/>
        </w:rPr>
        <w:t>Capacity building assistance to third countries to develop</w:t>
      </w:r>
      <w:r w:rsidR="00CB2510" w:rsidRPr="00E22496">
        <w:rPr>
          <w:rFonts w:ascii="Times New Roman" w:hAnsi="Times New Roman" w:cs="Times New Roman"/>
          <w:noProof/>
          <w:sz w:val="24"/>
        </w:rPr>
        <w:t xml:space="preserve"> their legal frameworks support their capacity to implement and enforce control</w:t>
      </w:r>
      <w:r w:rsidRPr="00E22496">
        <w:rPr>
          <w:rFonts w:ascii="Times New Roman" w:hAnsi="Times New Roman" w:cs="Times New Roman"/>
          <w:noProof/>
          <w:sz w:val="24"/>
        </w:rPr>
        <w:t>; and</w:t>
      </w:r>
    </w:p>
    <w:p w14:paraId="4B3ECD49" w14:textId="77777777" w:rsidR="008C1E2F" w:rsidRPr="00E22496" w:rsidRDefault="004F028A" w:rsidP="00E22496">
      <w:pPr>
        <w:pStyle w:val="ListParagraph"/>
        <w:numPr>
          <w:ilvl w:val="0"/>
          <w:numId w:val="5"/>
        </w:numPr>
        <w:adjustRightInd w:val="0"/>
        <w:jc w:val="both"/>
        <w:rPr>
          <w:rFonts w:ascii="Times New Roman" w:hAnsi="Times New Roman" w:cs="Times New Roman"/>
          <w:noProof/>
          <w:sz w:val="24"/>
        </w:rPr>
      </w:pPr>
      <w:r w:rsidRPr="00E22496">
        <w:rPr>
          <w:rFonts w:ascii="Times New Roman" w:hAnsi="Times New Roman" w:cs="Times New Roman"/>
          <w:noProof/>
          <w:sz w:val="24"/>
        </w:rPr>
        <w:t xml:space="preserve">Technical consultations regarding multilateral and international cooperation, including </w:t>
      </w:r>
      <w:r w:rsidR="00CB2510" w:rsidRPr="00E22496">
        <w:rPr>
          <w:rFonts w:ascii="Times New Roman" w:hAnsi="Times New Roman" w:cs="Times New Roman"/>
          <w:noProof/>
          <w:sz w:val="24"/>
        </w:rPr>
        <w:t>in relation to</w:t>
      </w:r>
      <w:r w:rsidRPr="00E22496">
        <w:rPr>
          <w:rFonts w:ascii="Times New Roman" w:hAnsi="Times New Roman" w:cs="Times New Roman"/>
          <w:noProof/>
          <w:sz w:val="24"/>
        </w:rPr>
        <w:t xml:space="preserve"> multilateral </w:t>
      </w:r>
      <w:r w:rsidR="00CB2510" w:rsidRPr="00E22496">
        <w:rPr>
          <w:rFonts w:ascii="Times New Roman" w:hAnsi="Times New Roman" w:cs="Times New Roman"/>
          <w:noProof/>
          <w:sz w:val="24"/>
        </w:rPr>
        <w:t xml:space="preserve">export control </w:t>
      </w:r>
      <w:r w:rsidRPr="00E22496">
        <w:rPr>
          <w:rFonts w:ascii="Times New Roman" w:hAnsi="Times New Roman" w:cs="Times New Roman"/>
          <w:noProof/>
          <w:sz w:val="24"/>
        </w:rPr>
        <w:t>regimes, as appropriate.</w:t>
      </w:r>
    </w:p>
    <w:p w14:paraId="43563AF7" w14:textId="77777777" w:rsidR="00611E09" w:rsidRDefault="00611E09" w:rsidP="00D33243">
      <w:pPr>
        <w:adjustRightInd w:val="0"/>
        <w:jc w:val="both"/>
        <w:rPr>
          <w:rFonts w:eastAsia="Calibri"/>
          <w:noProof/>
        </w:rPr>
      </w:pPr>
    </w:p>
    <w:p w14:paraId="5E210094" w14:textId="77777777" w:rsidR="008A7E98" w:rsidRPr="008A7E98" w:rsidRDefault="00611E09" w:rsidP="00E72244">
      <w:pPr>
        <w:adjustRightInd w:val="0"/>
        <w:jc w:val="both"/>
        <w:rPr>
          <w:rFonts w:eastAsia="Calibri"/>
          <w:noProof/>
        </w:rPr>
      </w:pPr>
      <w:r>
        <w:rPr>
          <w:rFonts w:eastAsia="Calibri"/>
          <w:noProof/>
        </w:rPr>
        <w:t>The</w:t>
      </w:r>
      <w:r w:rsidR="00D00286">
        <w:rPr>
          <w:rFonts w:eastAsia="Calibri"/>
          <w:noProof/>
        </w:rPr>
        <w:t xml:space="preserve"> TTC’s</w:t>
      </w:r>
      <w:r>
        <w:rPr>
          <w:rFonts w:eastAsia="Calibri"/>
          <w:noProof/>
        </w:rPr>
        <w:t xml:space="preserve"> Export Control Working Group </w:t>
      </w:r>
      <w:r w:rsidR="00D00286">
        <w:rPr>
          <w:rFonts w:eastAsia="Calibri"/>
          <w:noProof/>
        </w:rPr>
        <w:t>actively engaged with stakeholders in order to prepare its work</w:t>
      </w:r>
      <w:r w:rsidRPr="001742D8">
        <w:rPr>
          <w:rFonts w:eastAsia="Calibri"/>
          <w:noProof/>
        </w:rPr>
        <w:t>.</w:t>
      </w:r>
      <w:r>
        <w:rPr>
          <w:rFonts w:eastAsia="Calibri"/>
          <w:noProof/>
        </w:rPr>
        <w:t xml:space="preserve"> A </w:t>
      </w:r>
      <w:r w:rsidR="00126B87">
        <w:rPr>
          <w:rFonts w:eastAsia="Calibri"/>
          <w:noProof/>
        </w:rPr>
        <w:t>joint Stakeholder Meeting was held on 27 October</w:t>
      </w:r>
      <w:r w:rsidR="00D33243">
        <w:rPr>
          <w:rFonts w:eastAsia="Calibri"/>
          <w:noProof/>
        </w:rPr>
        <w:t xml:space="preserve"> 2021</w:t>
      </w:r>
      <w:r w:rsidR="00D33243">
        <w:rPr>
          <w:rStyle w:val="FootnoteReference"/>
          <w:rFonts w:eastAsia="Calibri"/>
          <w:noProof/>
        </w:rPr>
        <w:footnoteReference w:id="7"/>
      </w:r>
      <w:r>
        <w:rPr>
          <w:rFonts w:eastAsia="Calibri"/>
          <w:noProof/>
        </w:rPr>
        <w:t xml:space="preserve"> bringing together</w:t>
      </w:r>
      <w:r w:rsidR="00D33243" w:rsidRPr="00D33243">
        <w:rPr>
          <w:rFonts w:eastAsia="Calibri"/>
          <w:noProof/>
        </w:rPr>
        <w:t xml:space="preserve"> more than 200 </w:t>
      </w:r>
      <w:r w:rsidR="00D33243">
        <w:rPr>
          <w:rFonts w:eastAsia="Calibri"/>
          <w:noProof/>
        </w:rPr>
        <w:t xml:space="preserve">representatives </w:t>
      </w:r>
      <w:r w:rsidR="00D33243" w:rsidRPr="00D33243">
        <w:rPr>
          <w:rFonts w:eastAsia="Calibri"/>
          <w:noProof/>
        </w:rPr>
        <w:t>from industry and civil society</w:t>
      </w:r>
      <w:r w:rsidR="00D33243">
        <w:rPr>
          <w:rFonts w:eastAsia="Calibri"/>
          <w:noProof/>
        </w:rPr>
        <w:t xml:space="preserve"> </w:t>
      </w:r>
      <w:r w:rsidRPr="00D33243">
        <w:rPr>
          <w:rFonts w:eastAsia="Calibri"/>
          <w:noProof/>
        </w:rPr>
        <w:t>and academic experts</w:t>
      </w:r>
      <w:r>
        <w:rPr>
          <w:rFonts w:eastAsia="Calibri"/>
          <w:noProof/>
        </w:rPr>
        <w:t xml:space="preserve"> </w:t>
      </w:r>
      <w:r w:rsidR="00D33243">
        <w:rPr>
          <w:rFonts w:eastAsia="Calibri"/>
          <w:noProof/>
        </w:rPr>
        <w:t>to discuss</w:t>
      </w:r>
      <w:r w:rsidR="00D33243" w:rsidRPr="00D33243">
        <w:rPr>
          <w:rFonts w:eastAsia="Calibri"/>
          <w:noProof/>
        </w:rPr>
        <w:t xml:space="preserve"> </w:t>
      </w:r>
      <w:r w:rsidR="00E22496">
        <w:rPr>
          <w:rFonts w:eastAsia="Calibri"/>
          <w:noProof/>
        </w:rPr>
        <w:t xml:space="preserve">its </w:t>
      </w:r>
      <w:r w:rsidR="00D33243" w:rsidRPr="00D33243">
        <w:rPr>
          <w:rFonts w:eastAsia="Calibri"/>
          <w:noProof/>
        </w:rPr>
        <w:t>priorities</w:t>
      </w:r>
      <w:r w:rsidR="00D00286">
        <w:rPr>
          <w:rFonts w:eastAsia="Calibri"/>
          <w:noProof/>
        </w:rPr>
        <w:t xml:space="preserve"> and this was f</w:t>
      </w:r>
      <w:r w:rsidR="003F1FF1">
        <w:rPr>
          <w:rFonts w:eastAsia="Calibri"/>
          <w:noProof/>
        </w:rPr>
        <w:t xml:space="preserve">ollowed </w:t>
      </w:r>
      <w:r w:rsidR="00D00286">
        <w:rPr>
          <w:rFonts w:eastAsia="Calibri"/>
          <w:noProof/>
        </w:rPr>
        <w:t xml:space="preserve">by </w:t>
      </w:r>
      <w:r w:rsidR="008A7E98" w:rsidRPr="008A7E98">
        <w:rPr>
          <w:rFonts w:eastAsia="Calibri"/>
          <w:noProof/>
        </w:rPr>
        <w:t xml:space="preserve">a public consultation </w:t>
      </w:r>
      <w:r w:rsidR="00D00286">
        <w:rPr>
          <w:rFonts w:eastAsia="Calibri"/>
          <w:noProof/>
        </w:rPr>
        <w:t xml:space="preserve">during </w:t>
      </w:r>
      <w:r w:rsidR="008A7E98" w:rsidRPr="008A7E98">
        <w:rPr>
          <w:rFonts w:eastAsia="Calibri"/>
          <w:noProof/>
        </w:rPr>
        <w:t>December 2021</w:t>
      </w:r>
      <w:r w:rsidR="00D00286">
        <w:rPr>
          <w:rFonts w:eastAsia="Calibri"/>
          <w:noProof/>
        </w:rPr>
        <w:t xml:space="preserve"> and </w:t>
      </w:r>
      <w:r w:rsidR="008A7E98" w:rsidRPr="008A7E98">
        <w:rPr>
          <w:rFonts w:eastAsia="Calibri"/>
          <w:noProof/>
        </w:rPr>
        <w:t>January 2022 – in parallel with the US</w:t>
      </w:r>
      <w:r w:rsidR="00D00286">
        <w:rPr>
          <w:rStyle w:val="FootnoteReference"/>
          <w:rFonts w:eastAsia="Calibri"/>
          <w:noProof/>
        </w:rPr>
        <w:footnoteReference w:id="8"/>
      </w:r>
      <w:r w:rsidR="008A7E98" w:rsidRPr="008A7E98">
        <w:rPr>
          <w:rFonts w:eastAsia="Calibri"/>
          <w:noProof/>
        </w:rPr>
        <w:t>.</w:t>
      </w:r>
    </w:p>
    <w:p w14:paraId="3320085B" w14:textId="77777777" w:rsidR="008A7E98" w:rsidRPr="00B4777D" w:rsidRDefault="008A7E98" w:rsidP="00D33243">
      <w:pPr>
        <w:adjustRightInd w:val="0"/>
        <w:jc w:val="both"/>
        <w:rPr>
          <w:rFonts w:eastAsia="Calibri"/>
          <w:noProof/>
        </w:rPr>
      </w:pPr>
    </w:p>
    <w:p w14:paraId="6EED55AF" w14:textId="77777777" w:rsidR="003F48E9" w:rsidRDefault="003F48E9" w:rsidP="003F48E9">
      <w:pPr>
        <w:adjustRightInd w:val="0"/>
        <w:jc w:val="both"/>
        <w:rPr>
          <w:rFonts w:eastAsia="Calibri"/>
          <w:noProof/>
        </w:rPr>
      </w:pPr>
      <w:r>
        <w:rPr>
          <w:rFonts w:eastAsia="Calibri"/>
          <w:noProof/>
        </w:rPr>
        <w:t>On 26 October 2021, the Commission organised an export control dialogue with the six Western Balkan partners</w:t>
      </w:r>
      <w:r>
        <w:rPr>
          <w:rStyle w:val="FootnoteReference"/>
          <w:rFonts w:eastAsia="Calibri"/>
          <w:noProof/>
        </w:rPr>
        <w:footnoteReference w:id="9"/>
      </w:r>
      <w:r>
        <w:rPr>
          <w:rFonts w:eastAsia="Calibri"/>
          <w:noProof/>
        </w:rPr>
        <w:t xml:space="preserve"> to support their efforts to align with the </w:t>
      </w:r>
      <w:r w:rsidRPr="0082087D">
        <w:rPr>
          <w:rFonts w:eastAsia="Calibri"/>
          <w:i/>
          <w:noProof/>
        </w:rPr>
        <w:t>acquis communautaire</w:t>
      </w:r>
      <w:r>
        <w:rPr>
          <w:rFonts w:eastAsia="Calibri"/>
          <w:noProof/>
        </w:rPr>
        <w:t xml:space="preserve"> including EU dual-use export controls. The EU reaffirmed its readiness to continue supporting align</w:t>
      </w:r>
      <w:r w:rsidR="003F1FF1">
        <w:rPr>
          <w:rFonts w:eastAsia="Calibri"/>
          <w:noProof/>
        </w:rPr>
        <w:t xml:space="preserve">ment </w:t>
      </w:r>
      <w:r>
        <w:rPr>
          <w:rFonts w:eastAsia="Calibri"/>
          <w:noProof/>
        </w:rPr>
        <w:t>to EU export controls and offered to make the EU</w:t>
      </w:r>
      <w:r w:rsidR="005F47EB">
        <w:rPr>
          <w:rFonts w:eastAsia="Calibri"/>
          <w:noProof/>
        </w:rPr>
        <w:t>’s</w:t>
      </w:r>
      <w:r>
        <w:rPr>
          <w:rFonts w:eastAsia="Calibri"/>
          <w:noProof/>
        </w:rPr>
        <w:t xml:space="preserve"> electronic licensing tool available to Western Balkan countries at their request. </w:t>
      </w:r>
    </w:p>
    <w:p w14:paraId="21FD177B" w14:textId="77777777" w:rsidR="00BA7E94" w:rsidRDefault="00BA7E94" w:rsidP="00AA655D">
      <w:pPr>
        <w:adjustRightInd w:val="0"/>
        <w:jc w:val="both"/>
        <w:rPr>
          <w:rFonts w:eastAsia="Times New Roman"/>
          <w:noProof/>
          <w:lang w:eastAsia="en-GB"/>
        </w:rPr>
      </w:pPr>
    </w:p>
    <w:p w14:paraId="057A9BBC" w14:textId="77777777" w:rsidR="00AA655D" w:rsidRDefault="00AA655D" w:rsidP="007B799A">
      <w:pPr>
        <w:keepNext/>
        <w:tabs>
          <w:tab w:val="left" w:pos="850"/>
        </w:tabs>
        <w:spacing w:after="120"/>
        <w:ind w:left="850" w:hanging="850"/>
        <w:jc w:val="both"/>
        <w:outlineLvl w:val="1"/>
        <w:rPr>
          <w:rFonts w:eastAsia="Times New Roman"/>
          <w:b/>
          <w:noProof/>
          <w:lang w:eastAsia="en-GB"/>
        </w:rPr>
      </w:pPr>
      <w:r>
        <w:rPr>
          <w:rFonts w:eastAsia="Times New Roman"/>
          <w:b/>
          <w:noProof/>
          <w:lang w:eastAsia="en-GB"/>
        </w:rPr>
        <w:t>2.2</w:t>
      </w:r>
      <w:r w:rsidR="00617132">
        <w:rPr>
          <w:rFonts w:eastAsia="Times New Roman"/>
          <w:b/>
          <w:noProof/>
          <w:lang w:eastAsia="en-GB"/>
        </w:rPr>
        <w:t>.</w:t>
      </w:r>
      <w:r>
        <w:rPr>
          <w:rFonts w:eastAsia="Times New Roman"/>
          <w:b/>
          <w:noProof/>
          <w:lang w:eastAsia="en-GB"/>
        </w:rPr>
        <w:tab/>
        <w:t xml:space="preserve">Amendments </w:t>
      </w:r>
      <w:r w:rsidR="00933503">
        <w:rPr>
          <w:rFonts w:eastAsia="Times New Roman"/>
          <w:b/>
          <w:noProof/>
          <w:lang w:eastAsia="en-GB"/>
        </w:rPr>
        <w:t>under the</w:t>
      </w:r>
      <w:r>
        <w:rPr>
          <w:rFonts w:eastAsia="Times New Roman"/>
          <w:b/>
          <w:noProof/>
          <w:lang w:eastAsia="en-GB"/>
        </w:rPr>
        <w:t xml:space="preserve"> Regulation </w:t>
      </w:r>
      <w:r w:rsidR="00246070">
        <w:rPr>
          <w:rFonts w:eastAsia="Times New Roman"/>
          <w:b/>
          <w:noProof/>
          <w:lang w:eastAsia="en-GB"/>
        </w:rPr>
        <w:t xml:space="preserve">(EU) 2021/821 </w:t>
      </w:r>
      <w:bookmarkEnd w:id="3"/>
    </w:p>
    <w:p w14:paraId="4BB52ACD" w14:textId="67903948" w:rsidR="00AA655D" w:rsidRPr="00D02DF3" w:rsidRDefault="00FC2A23" w:rsidP="007B799A">
      <w:pPr>
        <w:keepNext/>
        <w:contextualSpacing/>
        <w:jc w:val="both"/>
        <w:rPr>
          <w:rFonts w:eastAsia="Times New Roman"/>
          <w:noProof/>
          <w:u w:val="single"/>
        </w:rPr>
      </w:pPr>
      <w:bookmarkStart w:id="4" w:name="DQCNUMB_1"/>
      <w:bookmarkEnd w:id="4"/>
      <w:r>
        <w:rPr>
          <w:rFonts w:eastAsia="Times New Roman"/>
          <w:noProof/>
          <w:u w:val="single"/>
        </w:rPr>
        <w:t xml:space="preserve">2.2.1. </w:t>
      </w:r>
      <w:r w:rsidR="00AA655D" w:rsidRPr="00D02DF3">
        <w:rPr>
          <w:rFonts w:eastAsia="Times New Roman"/>
          <w:noProof/>
          <w:u w:val="single"/>
        </w:rPr>
        <w:t>Update to the EU control list</w:t>
      </w:r>
    </w:p>
    <w:p w14:paraId="0037DA76" w14:textId="77777777" w:rsidR="00AA655D" w:rsidRDefault="00AA655D" w:rsidP="00E4160C">
      <w:pPr>
        <w:keepNext/>
        <w:contextualSpacing/>
        <w:jc w:val="both"/>
        <w:rPr>
          <w:rFonts w:eastAsia="Times New Roman"/>
          <w:noProof/>
        </w:rPr>
      </w:pPr>
    </w:p>
    <w:p w14:paraId="79C48820" w14:textId="62462518" w:rsidR="00AA655D" w:rsidRDefault="00A3660F" w:rsidP="00AA655D">
      <w:pPr>
        <w:contextualSpacing/>
        <w:jc w:val="both"/>
        <w:rPr>
          <w:rFonts w:eastAsia="Times New Roman"/>
          <w:noProof/>
        </w:rPr>
      </w:pPr>
      <w:r>
        <w:rPr>
          <w:rFonts w:eastAsia="Times New Roman"/>
          <w:noProof/>
        </w:rPr>
        <w:t xml:space="preserve">The EU Control List in </w:t>
      </w:r>
      <w:r w:rsidR="00AA655D">
        <w:rPr>
          <w:rFonts w:eastAsia="Times New Roman"/>
          <w:noProof/>
        </w:rPr>
        <w:t>Annex I to the Regulation</w:t>
      </w:r>
      <w:r w:rsidR="00933503">
        <w:rPr>
          <w:rFonts w:eastAsia="Times New Roman"/>
          <w:noProof/>
        </w:rPr>
        <w:t xml:space="preserve"> essentially</w:t>
      </w:r>
      <w:r w:rsidR="00AA655D">
        <w:rPr>
          <w:rFonts w:eastAsia="Times New Roman"/>
          <w:noProof/>
        </w:rPr>
        <w:t xml:space="preserve"> </w:t>
      </w:r>
      <w:r w:rsidR="003C2B4A">
        <w:rPr>
          <w:rFonts w:eastAsia="Times New Roman"/>
          <w:noProof/>
        </w:rPr>
        <w:t xml:space="preserve">provides a list of </w:t>
      </w:r>
      <w:r w:rsidR="00EA7A26">
        <w:rPr>
          <w:rFonts w:eastAsia="Times New Roman"/>
          <w:noProof/>
        </w:rPr>
        <w:t>d</w:t>
      </w:r>
      <w:r w:rsidR="00EA7A26" w:rsidRPr="00EA7A26">
        <w:rPr>
          <w:rFonts w:eastAsia="Times New Roman"/>
          <w:noProof/>
        </w:rPr>
        <w:t>ual-use items</w:t>
      </w:r>
      <w:r w:rsidR="00EA7A26">
        <w:rPr>
          <w:rFonts w:eastAsia="Times New Roman"/>
          <w:noProof/>
        </w:rPr>
        <w:t>,</w:t>
      </w:r>
      <w:r w:rsidR="00EA7A26" w:rsidRPr="00EA7A26">
        <w:rPr>
          <w:rFonts w:eastAsia="Times New Roman"/>
          <w:noProof/>
        </w:rPr>
        <w:t xml:space="preserve"> including software and technology, which </w:t>
      </w:r>
      <w:r w:rsidR="005F47EB">
        <w:rPr>
          <w:rFonts w:eastAsia="Times New Roman"/>
          <w:noProof/>
        </w:rPr>
        <w:t xml:space="preserve">should be subject to controls given that it </w:t>
      </w:r>
      <w:r w:rsidR="00EA7A26" w:rsidRPr="00EA7A26">
        <w:rPr>
          <w:rFonts w:eastAsia="Times New Roman"/>
          <w:noProof/>
        </w:rPr>
        <w:t>can be used for both civil and military purposes</w:t>
      </w:r>
      <w:r w:rsidR="00933503">
        <w:rPr>
          <w:rFonts w:eastAsia="Times New Roman"/>
          <w:noProof/>
        </w:rPr>
        <w:t>.</w:t>
      </w:r>
      <w:r w:rsidR="003B2BCC">
        <w:rPr>
          <w:rFonts w:eastAsia="Times New Roman"/>
          <w:noProof/>
        </w:rPr>
        <w:t xml:space="preserve"> </w:t>
      </w:r>
      <w:r w:rsidR="005F47EB">
        <w:rPr>
          <w:rFonts w:eastAsia="Times New Roman"/>
          <w:noProof/>
        </w:rPr>
        <w:t xml:space="preserve">It is updated on a regular basis to reflect changes in the Multilateral Export Control Regimes. </w:t>
      </w:r>
      <w:r w:rsidR="003C2B4A">
        <w:rPr>
          <w:rFonts w:eastAsia="Times New Roman"/>
          <w:noProof/>
        </w:rPr>
        <w:t xml:space="preserve">It </w:t>
      </w:r>
      <w:r w:rsidR="00AA655D" w:rsidRPr="003C2B4A">
        <w:rPr>
          <w:rFonts w:eastAsia="Times New Roman"/>
          <w:noProof/>
        </w:rPr>
        <w:t>was</w:t>
      </w:r>
      <w:r w:rsidR="00AA655D">
        <w:rPr>
          <w:rFonts w:eastAsia="Times New Roman"/>
          <w:noProof/>
        </w:rPr>
        <w:t xml:space="preserve"> amended once </w:t>
      </w:r>
      <w:r w:rsidR="00FC2A23">
        <w:rPr>
          <w:rFonts w:eastAsia="Times New Roman"/>
          <w:noProof/>
        </w:rPr>
        <w:t>in 202</w:t>
      </w:r>
      <w:r w:rsidR="00246070">
        <w:rPr>
          <w:rFonts w:eastAsia="Times New Roman"/>
          <w:noProof/>
        </w:rPr>
        <w:t>1</w:t>
      </w:r>
      <w:r w:rsidR="003F1C04">
        <w:rPr>
          <w:rFonts w:eastAsia="Times New Roman"/>
          <w:noProof/>
          <w:vertAlign w:val="superscript"/>
          <w:lang w:eastAsia="en-GB"/>
        </w:rPr>
        <w:footnoteReference w:id="10"/>
      </w:r>
      <w:r w:rsidR="007B6F8D">
        <w:rPr>
          <w:rFonts w:eastAsia="Times New Roman"/>
          <w:noProof/>
        </w:rPr>
        <w:t xml:space="preserve"> to </w:t>
      </w:r>
      <w:r w:rsidR="00AA655D">
        <w:rPr>
          <w:rFonts w:eastAsia="Times New Roman"/>
          <w:noProof/>
        </w:rPr>
        <w:t xml:space="preserve">incorporate </w:t>
      </w:r>
      <w:r w:rsidR="00555E88">
        <w:rPr>
          <w:rFonts w:eastAsia="Times New Roman"/>
          <w:noProof/>
        </w:rPr>
        <w:t xml:space="preserve">the </w:t>
      </w:r>
      <w:r w:rsidR="00A14C82">
        <w:rPr>
          <w:rFonts w:eastAsia="Times New Roman"/>
          <w:noProof/>
        </w:rPr>
        <w:t>decisions</w:t>
      </w:r>
      <w:r w:rsidR="00AA655D">
        <w:rPr>
          <w:rFonts w:eastAsia="Times New Roman"/>
          <w:noProof/>
        </w:rPr>
        <w:t xml:space="preserve"> agreed </w:t>
      </w:r>
      <w:r w:rsidR="00A04A29">
        <w:rPr>
          <w:rFonts w:eastAsia="Times New Roman"/>
          <w:noProof/>
        </w:rPr>
        <w:t xml:space="preserve">from March to December </w:t>
      </w:r>
      <w:r w:rsidR="00FC2A23">
        <w:rPr>
          <w:rFonts w:eastAsia="Times New Roman"/>
          <w:noProof/>
        </w:rPr>
        <w:t>20</w:t>
      </w:r>
      <w:r w:rsidR="00246070">
        <w:rPr>
          <w:rFonts w:eastAsia="Times New Roman"/>
          <w:noProof/>
        </w:rPr>
        <w:t xml:space="preserve">20 </w:t>
      </w:r>
      <w:r w:rsidR="00555E88">
        <w:rPr>
          <w:rFonts w:eastAsia="Times New Roman"/>
          <w:noProof/>
        </w:rPr>
        <w:t xml:space="preserve">in the context of </w:t>
      </w:r>
      <w:r w:rsidR="00AA655D">
        <w:rPr>
          <w:rFonts w:eastAsia="Times New Roman"/>
          <w:noProof/>
        </w:rPr>
        <w:t>th</w:t>
      </w:r>
      <w:r w:rsidR="005F47EB">
        <w:rPr>
          <w:rFonts w:eastAsia="Times New Roman"/>
          <w:noProof/>
        </w:rPr>
        <w:t>os</w:t>
      </w:r>
      <w:r w:rsidR="00AA655D">
        <w:rPr>
          <w:rFonts w:eastAsia="Times New Roman"/>
          <w:noProof/>
        </w:rPr>
        <w:t>e regimes</w:t>
      </w:r>
      <w:r w:rsidR="003C2B4A">
        <w:rPr>
          <w:rFonts w:eastAsia="Times New Roman"/>
          <w:noProof/>
        </w:rPr>
        <w:t xml:space="preserve"> </w:t>
      </w:r>
      <w:r w:rsidR="00FC2A23">
        <w:rPr>
          <w:rFonts w:eastAsia="Times New Roman"/>
          <w:noProof/>
        </w:rPr>
        <w:t>(in particular</w:t>
      </w:r>
      <w:r w:rsidR="002112CF">
        <w:rPr>
          <w:rFonts w:eastAsia="Times New Roman"/>
          <w:noProof/>
        </w:rPr>
        <w:t xml:space="preserve"> </w:t>
      </w:r>
      <w:r w:rsidR="005F47EB">
        <w:rPr>
          <w:rFonts w:eastAsia="Times New Roman"/>
          <w:noProof/>
        </w:rPr>
        <w:t xml:space="preserve">under </w:t>
      </w:r>
      <w:r w:rsidR="002112CF">
        <w:rPr>
          <w:rFonts w:eastAsia="Times New Roman"/>
          <w:noProof/>
        </w:rPr>
        <w:t xml:space="preserve">the </w:t>
      </w:r>
      <w:r w:rsidR="002112CF" w:rsidRPr="002112CF">
        <w:rPr>
          <w:rFonts w:eastAsia="Times New Roman"/>
          <w:noProof/>
        </w:rPr>
        <w:t>Wassenaar Agreement</w:t>
      </w:r>
      <w:r w:rsidR="002112CF">
        <w:rPr>
          <w:rFonts w:eastAsia="Times New Roman"/>
          <w:noProof/>
        </w:rPr>
        <w:t xml:space="preserve"> and</w:t>
      </w:r>
      <w:r w:rsidR="002112CF" w:rsidRPr="002112CF">
        <w:rPr>
          <w:noProof/>
        </w:rPr>
        <w:t xml:space="preserve"> </w:t>
      </w:r>
      <w:r w:rsidR="005F47EB">
        <w:rPr>
          <w:noProof/>
        </w:rPr>
        <w:t xml:space="preserve">in </w:t>
      </w:r>
      <w:r w:rsidR="002112CF" w:rsidRPr="002112CF">
        <w:rPr>
          <w:rFonts w:eastAsia="Times New Roman"/>
          <w:noProof/>
        </w:rPr>
        <w:t>the Australia Group</w:t>
      </w:r>
      <w:r w:rsidR="00FC2A23">
        <w:rPr>
          <w:rFonts w:eastAsia="Times New Roman"/>
          <w:noProof/>
        </w:rPr>
        <w:t>)</w:t>
      </w:r>
      <w:r w:rsidR="00AA655D">
        <w:rPr>
          <w:rFonts w:eastAsia="Times New Roman"/>
          <w:noProof/>
        </w:rPr>
        <w:t>.</w:t>
      </w:r>
      <w:r w:rsidR="00AA655D">
        <w:rPr>
          <w:rFonts w:eastAsia="Times New Roman"/>
          <w:noProof/>
          <w:lang w:eastAsia="en-GB"/>
        </w:rPr>
        <w:t xml:space="preserve"> </w:t>
      </w:r>
    </w:p>
    <w:p w14:paraId="03A73ABA" w14:textId="77777777" w:rsidR="00AA655D" w:rsidRDefault="00AA655D" w:rsidP="00AA655D">
      <w:pPr>
        <w:contextualSpacing/>
        <w:jc w:val="both"/>
        <w:rPr>
          <w:rFonts w:eastAsia="Times New Roman"/>
          <w:noProof/>
        </w:rPr>
      </w:pPr>
    </w:p>
    <w:p w14:paraId="4184A040" w14:textId="7FCF8446" w:rsidR="00F517AC" w:rsidRPr="00E35074" w:rsidRDefault="007B6F8D" w:rsidP="00E35074">
      <w:pPr>
        <w:pBdr>
          <w:top w:val="single" w:sz="4" w:space="1" w:color="auto"/>
          <w:left w:val="single" w:sz="4" w:space="4" w:color="auto"/>
          <w:bottom w:val="single" w:sz="4" w:space="1" w:color="auto"/>
          <w:right w:val="single" w:sz="4" w:space="4" w:color="auto"/>
        </w:pBdr>
        <w:jc w:val="both"/>
        <w:rPr>
          <w:rFonts w:eastAsia="Times New Roman"/>
          <w:b/>
          <w:noProof/>
          <w:sz w:val="22"/>
        </w:rPr>
      </w:pPr>
      <w:r>
        <w:rPr>
          <w:rFonts w:eastAsia="Times New Roman"/>
          <w:b/>
          <w:noProof/>
          <w:sz w:val="22"/>
        </w:rPr>
        <w:t>A</w:t>
      </w:r>
      <w:r w:rsidR="00555E88">
        <w:rPr>
          <w:rFonts w:eastAsia="Times New Roman"/>
          <w:b/>
          <w:noProof/>
          <w:sz w:val="22"/>
        </w:rPr>
        <w:t>mendments to the EU control list</w:t>
      </w:r>
      <w:r w:rsidR="00F517AC" w:rsidRPr="00E35074">
        <w:rPr>
          <w:rFonts w:eastAsia="Times New Roman"/>
          <w:b/>
          <w:noProof/>
          <w:sz w:val="22"/>
        </w:rPr>
        <w:t xml:space="preserve"> in 202</w:t>
      </w:r>
      <w:r w:rsidR="005A04DF">
        <w:rPr>
          <w:rFonts w:eastAsia="Times New Roman"/>
          <w:b/>
          <w:noProof/>
          <w:sz w:val="22"/>
        </w:rPr>
        <w:t>1</w:t>
      </w:r>
    </w:p>
    <w:p w14:paraId="18049750" w14:textId="77777777" w:rsidR="005A04DF" w:rsidRDefault="005A04DF" w:rsidP="005A04DF">
      <w:pPr>
        <w:pBdr>
          <w:top w:val="single" w:sz="4" w:space="1" w:color="auto"/>
          <w:left w:val="single" w:sz="4" w:space="4" w:color="auto"/>
          <w:bottom w:val="single" w:sz="4" w:space="1" w:color="auto"/>
          <w:right w:val="single" w:sz="4" w:space="4" w:color="auto"/>
        </w:pBdr>
        <w:jc w:val="both"/>
        <w:rPr>
          <w:rFonts w:eastAsia="Times New Roman"/>
          <w:noProof/>
          <w:sz w:val="22"/>
        </w:rPr>
      </w:pPr>
    </w:p>
    <w:p w14:paraId="1B5109E2" w14:textId="1467A288" w:rsidR="005A04DF" w:rsidRDefault="005A04DF" w:rsidP="00933503">
      <w:pPr>
        <w:pBdr>
          <w:top w:val="single" w:sz="4" w:space="1" w:color="auto"/>
          <w:left w:val="single" w:sz="4" w:space="4" w:color="auto"/>
          <w:bottom w:val="single" w:sz="4" w:space="1" w:color="auto"/>
          <w:right w:val="single" w:sz="4" w:space="4" w:color="auto"/>
        </w:pBdr>
        <w:jc w:val="both"/>
        <w:rPr>
          <w:rFonts w:eastAsia="Times New Roman"/>
          <w:noProof/>
          <w:sz w:val="22"/>
        </w:rPr>
      </w:pPr>
      <w:r w:rsidRPr="005A04DF">
        <w:rPr>
          <w:rFonts w:eastAsia="Times New Roman"/>
          <w:noProof/>
          <w:sz w:val="22"/>
        </w:rPr>
        <w:t xml:space="preserve">The </w:t>
      </w:r>
      <w:r>
        <w:rPr>
          <w:rFonts w:eastAsia="Times New Roman"/>
          <w:noProof/>
          <w:sz w:val="22"/>
        </w:rPr>
        <w:t xml:space="preserve">amendments </w:t>
      </w:r>
      <w:r w:rsidR="00DD5947">
        <w:rPr>
          <w:rFonts w:eastAsia="Times New Roman"/>
          <w:noProof/>
          <w:sz w:val="22"/>
        </w:rPr>
        <w:t>relate</w:t>
      </w:r>
      <w:r w:rsidR="001D53CC">
        <w:rPr>
          <w:rFonts w:eastAsia="Times New Roman"/>
          <w:noProof/>
          <w:sz w:val="22"/>
        </w:rPr>
        <w:t xml:space="preserve"> in particular</w:t>
      </w:r>
      <w:r w:rsidR="00DD5947">
        <w:rPr>
          <w:rFonts w:eastAsia="Times New Roman"/>
          <w:noProof/>
          <w:sz w:val="22"/>
        </w:rPr>
        <w:t xml:space="preserve"> to the </w:t>
      </w:r>
      <w:r w:rsidRPr="005A04DF">
        <w:rPr>
          <w:rFonts w:eastAsia="Times New Roman"/>
          <w:noProof/>
          <w:sz w:val="22"/>
        </w:rPr>
        <w:t>control of biocontainment</w:t>
      </w:r>
      <w:r>
        <w:rPr>
          <w:rFonts w:eastAsia="Times New Roman"/>
          <w:noProof/>
          <w:sz w:val="22"/>
        </w:rPr>
        <w:t xml:space="preserve"> </w:t>
      </w:r>
      <w:r w:rsidRPr="005A04DF">
        <w:rPr>
          <w:rFonts w:eastAsia="Times New Roman"/>
          <w:noProof/>
          <w:sz w:val="22"/>
        </w:rPr>
        <w:t>chambers, isolators, or biological safety cabinets (2B352.f.2 Note 2) in order to include</w:t>
      </w:r>
      <w:r>
        <w:rPr>
          <w:rFonts w:eastAsia="Times New Roman"/>
          <w:noProof/>
          <w:sz w:val="22"/>
        </w:rPr>
        <w:t xml:space="preserve"> </w:t>
      </w:r>
      <w:r w:rsidRPr="005A04DF">
        <w:rPr>
          <w:rFonts w:eastAsia="Times New Roman"/>
          <w:noProof/>
          <w:sz w:val="22"/>
        </w:rPr>
        <w:t xml:space="preserve">any isolator meeting all of the characteristics </w:t>
      </w:r>
      <w:r w:rsidR="001B6299" w:rsidRPr="005A04DF">
        <w:rPr>
          <w:rFonts w:eastAsia="Times New Roman"/>
          <w:noProof/>
          <w:sz w:val="22"/>
        </w:rPr>
        <w:t xml:space="preserve">mentioned </w:t>
      </w:r>
      <w:r w:rsidRPr="005A04DF">
        <w:rPr>
          <w:rFonts w:eastAsia="Times New Roman"/>
          <w:noProof/>
          <w:sz w:val="22"/>
        </w:rPr>
        <w:t>in the description of the item,</w:t>
      </w:r>
      <w:r>
        <w:rPr>
          <w:rFonts w:eastAsia="Times New Roman"/>
          <w:noProof/>
          <w:sz w:val="22"/>
        </w:rPr>
        <w:t xml:space="preserve"> </w:t>
      </w:r>
      <w:r w:rsidRPr="005A04DF">
        <w:rPr>
          <w:rFonts w:eastAsia="Times New Roman"/>
          <w:noProof/>
          <w:sz w:val="22"/>
        </w:rPr>
        <w:t>regardless of its intended use and its designation.</w:t>
      </w:r>
      <w:r w:rsidR="001D53CC">
        <w:rPr>
          <w:rFonts w:eastAsia="Times New Roman"/>
          <w:noProof/>
          <w:sz w:val="22"/>
        </w:rPr>
        <w:t xml:space="preserve"> </w:t>
      </w:r>
      <w:r w:rsidRPr="005A04DF">
        <w:rPr>
          <w:rFonts w:eastAsia="Times New Roman"/>
          <w:noProof/>
          <w:sz w:val="22"/>
        </w:rPr>
        <w:t>The</w:t>
      </w:r>
      <w:r>
        <w:rPr>
          <w:rFonts w:eastAsia="Times New Roman"/>
          <w:noProof/>
          <w:sz w:val="22"/>
        </w:rPr>
        <w:t xml:space="preserve"> 2021 EU control list also introduces</w:t>
      </w:r>
      <w:r w:rsidRPr="005A04DF">
        <w:rPr>
          <w:rFonts w:eastAsia="Times New Roman"/>
          <w:noProof/>
          <w:sz w:val="22"/>
        </w:rPr>
        <w:t xml:space="preserve"> a change to the definition of "superalloys", in</w:t>
      </w:r>
      <w:r>
        <w:rPr>
          <w:rFonts w:eastAsia="Times New Roman"/>
          <w:noProof/>
          <w:sz w:val="22"/>
        </w:rPr>
        <w:t xml:space="preserve"> </w:t>
      </w:r>
      <w:r w:rsidRPr="005A04DF">
        <w:rPr>
          <w:rFonts w:eastAsia="Times New Roman"/>
          <w:noProof/>
          <w:sz w:val="22"/>
        </w:rPr>
        <w:t xml:space="preserve">order to specify the ultimate tensile strength of such materials. </w:t>
      </w:r>
    </w:p>
    <w:p w14:paraId="0EF4EE19" w14:textId="77777777" w:rsidR="005A04DF" w:rsidRPr="005A04DF" w:rsidRDefault="005A04DF" w:rsidP="005A04DF">
      <w:pPr>
        <w:pBdr>
          <w:top w:val="single" w:sz="4" w:space="1" w:color="auto"/>
          <w:left w:val="single" w:sz="4" w:space="4" w:color="auto"/>
          <w:bottom w:val="single" w:sz="4" w:space="1" w:color="auto"/>
          <w:right w:val="single" w:sz="4" w:space="4" w:color="auto"/>
        </w:pBdr>
        <w:jc w:val="both"/>
        <w:rPr>
          <w:rFonts w:eastAsia="Times New Roman"/>
          <w:noProof/>
          <w:sz w:val="22"/>
        </w:rPr>
      </w:pPr>
    </w:p>
    <w:p w14:paraId="655EF8DA" w14:textId="77777777" w:rsidR="00AA655D" w:rsidRDefault="00AA655D" w:rsidP="00AA655D">
      <w:pPr>
        <w:jc w:val="both"/>
        <w:rPr>
          <w:rFonts w:eastAsia="Times New Roman"/>
          <w:noProof/>
        </w:rPr>
      </w:pPr>
    </w:p>
    <w:p w14:paraId="077DBB7F" w14:textId="35A2BE64" w:rsidR="00AA655D" w:rsidRPr="0065536F" w:rsidRDefault="00AA655D" w:rsidP="00AA655D">
      <w:pPr>
        <w:jc w:val="both"/>
        <w:rPr>
          <w:rFonts w:eastAsia="Times New Roman"/>
          <w:noProof/>
          <w:lang w:eastAsia="en-GB"/>
        </w:rPr>
      </w:pPr>
      <w:r>
        <w:rPr>
          <w:rFonts w:eastAsia="Times New Roman"/>
          <w:noProof/>
          <w:lang w:eastAsia="en-GB"/>
        </w:rPr>
        <w:t xml:space="preserve">The updated and consolidated EU Control List </w:t>
      </w:r>
      <w:r w:rsidR="00A14C82">
        <w:rPr>
          <w:rFonts w:eastAsia="Times New Roman"/>
          <w:noProof/>
          <w:lang w:eastAsia="en-GB"/>
        </w:rPr>
        <w:t xml:space="preserve">entered into force </w:t>
      </w:r>
      <w:r>
        <w:rPr>
          <w:rFonts w:eastAsia="Times New Roman"/>
          <w:noProof/>
          <w:lang w:eastAsia="en-GB"/>
        </w:rPr>
        <w:t xml:space="preserve">on </w:t>
      </w:r>
      <w:r w:rsidR="00C5775B">
        <w:rPr>
          <w:rFonts w:eastAsia="Times New Roman"/>
          <w:noProof/>
          <w:lang w:eastAsia="en-GB"/>
        </w:rPr>
        <w:t xml:space="preserve">7 </w:t>
      </w:r>
      <w:r w:rsidR="0020330B">
        <w:rPr>
          <w:rFonts w:eastAsia="Times New Roman"/>
          <w:noProof/>
          <w:lang w:eastAsia="en-GB"/>
        </w:rPr>
        <w:t>January</w:t>
      </w:r>
      <w:r>
        <w:rPr>
          <w:rFonts w:eastAsia="Times New Roman"/>
          <w:noProof/>
          <w:lang w:eastAsia="en-GB"/>
        </w:rPr>
        <w:t xml:space="preserve"> </w:t>
      </w:r>
      <w:r w:rsidR="00C5775B">
        <w:rPr>
          <w:rFonts w:eastAsia="Times New Roman"/>
          <w:noProof/>
          <w:lang w:eastAsia="en-GB"/>
        </w:rPr>
        <w:t>2022</w:t>
      </w:r>
      <w:r>
        <w:rPr>
          <w:rFonts w:eastAsia="Times New Roman"/>
          <w:noProof/>
          <w:lang w:eastAsia="en-GB"/>
        </w:rPr>
        <w:t xml:space="preserve">, thereby allowing the EU to </w:t>
      </w:r>
      <w:r w:rsidR="008F5CD7">
        <w:rPr>
          <w:rFonts w:eastAsia="Times New Roman"/>
          <w:noProof/>
          <w:lang w:eastAsia="en-GB"/>
        </w:rPr>
        <w:t>comply with</w:t>
      </w:r>
      <w:r>
        <w:rPr>
          <w:rFonts w:eastAsia="Times New Roman"/>
          <w:noProof/>
          <w:lang w:eastAsia="en-GB"/>
        </w:rPr>
        <w:t xml:space="preserve"> its international commitments</w:t>
      </w:r>
      <w:r w:rsidR="00F517AC">
        <w:rPr>
          <w:rFonts w:eastAsia="Times New Roman"/>
          <w:noProof/>
          <w:lang w:eastAsia="en-GB"/>
        </w:rPr>
        <w:t>.</w:t>
      </w:r>
      <w:r w:rsidR="00B07E84" w:rsidRPr="00B07E84">
        <w:rPr>
          <w:noProof/>
        </w:rPr>
        <w:t xml:space="preserve"> </w:t>
      </w:r>
      <w:r w:rsidR="001D53CC">
        <w:rPr>
          <w:rFonts w:eastAsia="Times New Roman"/>
          <w:noProof/>
          <w:lang w:eastAsia="en-GB"/>
        </w:rPr>
        <w:t>The Commission</w:t>
      </w:r>
      <w:r w:rsidR="00CA4709" w:rsidRPr="0065536F">
        <w:rPr>
          <w:rFonts w:eastAsia="Times New Roman"/>
          <w:noProof/>
          <w:lang w:eastAsia="en-GB"/>
        </w:rPr>
        <w:t xml:space="preserve"> published guidance providing an overview of all changes to the 20</w:t>
      </w:r>
      <w:r w:rsidR="00CA4709">
        <w:rPr>
          <w:rFonts w:eastAsia="Times New Roman"/>
          <w:noProof/>
          <w:lang w:eastAsia="en-GB"/>
        </w:rPr>
        <w:t>2</w:t>
      </w:r>
      <w:r w:rsidR="0020330B">
        <w:rPr>
          <w:rFonts w:eastAsia="Times New Roman"/>
          <w:noProof/>
          <w:lang w:eastAsia="en-GB"/>
        </w:rPr>
        <w:t>1</w:t>
      </w:r>
      <w:r w:rsidR="00CA4709" w:rsidRPr="0065536F">
        <w:rPr>
          <w:rFonts w:eastAsia="Times New Roman"/>
          <w:noProof/>
          <w:lang w:eastAsia="en-GB"/>
        </w:rPr>
        <w:t xml:space="preserve"> EU Dual-Use Control List</w:t>
      </w:r>
      <w:r w:rsidR="00D91B4C">
        <w:rPr>
          <w:rFonts w:eastAsia="Times New Roman"/>
          <w:noProof/>
          <w:lang w:eastAsia="en-GB"/>
        </w:rPr>
        <w:t xml:space="preserve"> summarised in </w:t>
      </w:r>
      <w:r w:rsidR="001D53CC">
        <w:rPr>
          <w:rFonts w:eastAsia="Times New Roman"/>
          <w:noProof/>
          <w:lang w:eastAsia="en-GB"/>
        </w:rPr>
        <w:t>a "</w:t>
      </w:r>
      <w:r w:rsidR="00D91B4C">
        <w:rPr>
          <w:rFonts w:eastAsia="Times New Roman"/>
          <w:noProof/>
          <w:lang w:eastAsia="en-GB"/>
        </w:rPr>
        <w:t>Summary Note</w:t>
      </w:r>
      <w:r w:rsidR="001D53CC">
        <w:rPr>
          <w:rFonts w:eastAsia="Times New Roman"/>
          <w:noProof/>
          <w:lang w:eastAsia="en-GB"/>
        </w:rPr>
        <w:t>"</w:t>
      </w:r>
      <w:r w:rsidR="00CA4709" w:rsidRPr="006A67E3">
        <w:rPr>
          <w:rFonts w:eastAsia="Times New Roman"/>
          <w:noProof/>
          <w:vertAlign w:val="superscript"/>
          <w:lang w:eastAsia="en-GB"/>
        </w:rPr>
        <w:footnoteReference w:id="11"/>
      </w:r>
      <w:r w:rsidR="00CA4709" w:rsidRPr="0065536F">
        <w:rPr>
          <w:rFonts w:eastAsia="Times New Roman"/>
          <w:noProof/>
          <w:lang w:eastAsia="en-GB"/>
        </w:rPr>
        <w:t>.</w:t>
      </w:r>
    </w:p>
    <w:p w14:paraId="7D8EAF54" w14:textId="77777777" w:rsidR="00AA655D" w:rsidRDefault="00AA655D" w:rsidP="00AA655D">
      <w:pPr>
        <w:jc w:val="both"/>
        <w:rPr>
          <w:rFonts w:eastAsia="Times New Roman"/>
          <w:noProof/>
          <w:lang w:eastAsia="en-GB"/>
        </w:rPr>
      </w:pPr>
    </w:p>
    <w:p w14:paraId="65E9328F" w14:textId="77777777" w:rsidR="00AA655D" w:rsidRDefault="00AA655D" w:rsidP="007B799A">
      <w:pPr>
        <w:keepNext/>
        <w:tabs>
          <w:tab w:val="left" w:pos="850"/>
        </w:tabs>
        <w:spacing w:after="120"/>
        <w:ind w:left="850" w:hanging="850"/>
        <w:jc w:val="both"/>
        <w:outlineLvl w:val="1"/>
        <w:rPr>
          <w:rFonts w:eastAsia="Times New Roman"/>
          <w:b/>
          <w:noProof/>
          <w:lang w:eastAsia="en-GB"/>
        </w:rPr>
      </w:pPr>
      <w:bookmarkStart w:id="5" w:name="_Toc368065773"/>
      <w:r>
        <w:rPr>
          <w:rFonts w:eastAsia="Times New Roman"/>
          <w:b/>
          <w:noProof/>
          <w:lang w:eastAsia="en-GB"/>
        </w:rPr>
        <w:t>2.3</w:t>
      </w:r>
      <w:r w:rsidR="00617132">
        <w:rPr>
          <w:rFonts w:eastAsia="Times New Roman"/>
          <w:b/>
          <w:noProof/>
          <w:lang w:eastAsia="en-GB"/>
        </w:rPr>
        <w:t>.</w:t>
      </w:r>
      <w:r>
        <w:rPr>
          <w:rFonts w:eastAsia="Times New Roman"/>
          <w:b/>
          <w:noProof/>
          <w:lang w:eastAsia="en-GB"/>
        </w:rPr>
        <w:tab/>
        <w:t>National implemention and enforcement measures</w:t>
      </w:r>
      <w:bookmarkEnd w:id="5"/>
    </w:p>
    <w:p w14:paraId="3E457A55" w14:textId="77777777" w:rsidR="00AA655D" w:rsidRPr="00971BC1" w:rsidRDefault="00DF60EB" w:rsidP="007B799A">
      <w:pPr>
        <w:keepNext/>
        <w:spacing w:before="100" w:beforeAutospacing="1" w:after="100" w:afterAutospacing="1"/>
        <w:jc w:val="both"/>
        <w:rPr>
          <w:rFonts w:eastAsia="Times New Roman"/>
          <w:noProof/>
          <w:u w:val="single"/>
          <w:lang w:eastAsia="en-GB"/>
        </w:rPr>
      </w:pPr>
      <w:r>
        <w:rPr>
          <w:rFonts w:eastAsia="Times New Roman"/>
          <w:noProof/>
          <w:u w:val="single"/>
          <w:lang w:eastAsia="en-GB"/>
        </w:rPr>
        <w:t>2</w:t>
      </w:r>
      <w:r w:rsidRPr="00971BC1">
        <w:rPr>
          <w:rFonts w:eastAsia="Times New Roman"/>
          <w:noProof/>
          <w:u w:val="single"/>
          <w:lang w:eastAsia="en-GB"/>
        </w:rPr>
        <w:t xml:space="preserve">.3.1. </w:t>
      </w:r>
      <w:r w:rsidR="00AA655D" w:rsidRPr="00971BC1">
        <w:rPr>
          <w:rFonts w:eastAsia="Times New Roman"/>
          <w:noProof/>
          <w:u w:val="single"/>
          <w:lang w:eastAsia="en-GB"/>
        </w:rPr>
        <w:t xml:space="preserve">Implementation measures </w:t>
      </w:r>
    </w:p>
    <w:p w14:paraId="0A72D551" w14:textId="2B38FCD1" w:rsidR="00A3660F" w:rsidRPr="00971BC1" w:rsidRDefault="00AA655D" w:rsidP="00AA655D">
      <w:pPr>
        <w:spacing w:before="100" w:beforeAutospacing="1" w:after="100" w:afterAutospacing="1"/>
        <w:jc w:val="both"/>
        <w:rPr>
          <w:rFonts w:eastAsia="Times New Roman"/>
          <w:noProof/>
          <w:lang w:eastAsia="en-GB"/>
        </w:rPr>
      </w:pPr>
      <w:r w:rsidRPr="00A45200">
        <w:rPr>
          <w:rFonts w:eastAsia="Times New Roman"/>
          <w:noProof/>
          <w:lang w:eastAsia="en-GB"/>
        </w:rPr>
        <w:t>The Regulation is binding in its entirety and directly applicable in all Member States</w:t>
      </w:r>
      <w:r w:rsidR="00DF60EB" w:rsidRPr="005D3140">
        <w:rPr>
          <w:rFonts w:eastAsia="Times New Roman"/>
          <w:noProof/>
          <w:lang w:eastAsia="en-GB"/>
        </w:rPr>
        <w:t>. However</w:t>
      </w:r>
      <w:r w:rsidRPr="00971BC1">
        <w:rPr>
          <w:rFonts w:eastAsia="Times New Roman"/>
          <w:noProof/>
          <w:lang w:eastAsia="en-GB"/>
        </w:rPr>
        <w:t xml:space="preserve">, </w:t>
      </w:r>
      <w:r w:rsidR="00DF60EB" w:rsidRPr="00971BC1">
        <w:rPr>
          <w:rFonts w:eastAsia="Times New Roman"/>
          <w:noProof/>
          <w:lang w:eastAsia="en-GB"/>
        </w:rPr>
        <w:t xml:space="preserve">it </w:t>
      </w:r>
      <w:r w:rsidRPr="00971BC1">
        <w:rPr>
          <w:rFonts w:eastAsia="Times New Roman"/>
          <w:noProof/>
          <w:lang w:eastAsia="en-GB"/>
        </w:rPr>
        <w:t xml:space="preserve">provides that Member States </w:t>
      </w:r>
      <w:r w:rsidR="00933503">
        <w:rPr>
          <w:rFonts w:eastAsia="Times New Roman"/>
          <w:noProof/>
          <w:lang w:eastAsia="en-GB"/>
        </w:rPr>
        <w:t xml:space="preserve">may </w:t>
      </w:r>
      <w:r w:rsidRPr="00971BC1">
        <w:rPr>
          <w:rFonts w:eastAsia="Times New Roman"/>
          <w:noProof/>
          <w:lang w:eastAsia="en-GB"/>
        </w:rPr>
        <w:t xml:space="preserve">take certain measures for the implementation of specific provisions, </w:t>
      </w:r>
      <w:r w:rsidR="005F47EB">
        <w:rPr>
          <w:rFonts w:eastAsia="Times New Roman"/>
          <w:noProof/>
          <w:lang w:eastAsia="en-GB"/>
        </w:rPr>
        <w:t xml:space="preserve">such as </w:t>
      </w:r>
      <w:r w:rsidR="003E6D18">
        <w:rPr>
          <w:rFonts w:eastAsia="Times New Roman"/>
          <w:noProof/>
          <w:lang w:eastAsia="en-GB"/>
        </w:rPr>
        <w:t xml:space="preserve">whether a licence has to be requested for certain dual use items, where the exporter may suspect that the items are going to used in a way not allowed by the Regulation. It requires </w:t>
      </w:r>
      <w:r w:rsidRPr="00971BC1">
        <w:rPr>
          <w:rFonts w:eastAsia="Times New Roman"/>
          <w:noProof/>
          <w:lang w:eastAsia="en-GB"/>
        </w:rPr>
        <w:t xml:space="preserve">that information on those </w:t>
      </w:r>
      <w:r w:rsidR="000E188C">
        <w:rPr>
          <w:rFonts w:eastAsia="Times New Roman"/>
          <w:noProof/>
          <w:lang w:eastAsia="en-GB"/>
        </w:rPr>
        <w:t xml:space="preserve">national </w:t>
      </w:r>
      <w:r w:rsidRPr="00971BC1">
        <w:rPr>
          <w:rFonts w:eastAsia="Times New Roman"/>
          <w:noProof/>
          <w:lang w:eastAsia="en-GB"/>
        </w:rPr>
        <w:t xml:space="preserve">measures </w:t>
      </w:r>
      <w:r w:rsidR="00EC19E7">
        <w:rPr>
          <w:rFonts w:eastAsia="Times New Roman"/>
          <w:noProof/>
          <w:lang w:eastAsia="en-GB"/>
        </w:rPr>
        <w:t>are</w:t>
      </w:r>
      <w:r w:rsidRPr="00971BC1">
        <w:rPr>
          <w:rFonts w:eastAsia="Times New Roman"/>
          <w:noProof/>
          <w:lang w:eastAsia="en-GB"/>
        </w:rPr>
        <w:t xml:space="preserve"> published in the Official Journal of the European Union</w:t>
      </w:r>
      <w:r w:rsidR="000E188C">
        <w:rPr>
          <w:rFonts w:eastAsia="Times New Roman"/>
          <w:noProof/>
          <w:lang w:eastAsia="en-GB"/>
        </w:rPr>
        <w:t xml:space="preserve">. </w:t>
      </w:r>
      <w:r w:rsidR="007C0123" w:rsidRPr="00387039">
        <w:rPr>
          <w:rFonts w:eastAsia="Times New Roman"/>
          <w:noProof/>
          <w:lang w:eastAsia="en-GB"/>
        </w:rPr>
        <w:t>Accordingly</w:t>
      </w:r>
      <w:r w:rsidR="000E188C">
        <w:rPr>
          <w:rFonts w:eastAsia="Times New Roman"/>
          <w:noProof/>
          <w:lang w:eastAsia="en-GB"/>
        </w:rPr>
        <w:t>,</w:t>
      </w:r>
      <w:r w:rsidR="00FF7F39">
        <w:rPr>
          <w:rFonts w:eastAsia="Times New Roman"/>
          <w:noProof/>
          <w:lang w:eastAsia="en-GB"/>
        </w:rPr>
        <w:t xml:space="preserve"> the Commission published an</w:t>
      </w:r>
      <w:r w:rsidRPr="00971BC1">
        <w:rPr>
          <w:rFonts w:eastAsia="Times New Roman"/>
          <w:noProof/>
          <w:lang w:eastAsia="en-GB"/>
        </w:rPr>
        <w:t xml:space="preserve"> Information Note</w:t>
      </w:r>
      <w:r w:rsidR="003606C3" w:rsidRPr="00387039">
        <w:rPr>
          <w:rFonts w:eastAsia="Times New Roman"/>
          <w:noProof/>
          <w:lang w:eastAsia="en-GB"/>
        </w:rPr>
        <w:t xml:space="preserve"> on </w:t>
      </w:r>
      <w:r w:rsidR="00E22DCD">
        <w:rPr>
          <w:rFonts w:eastAsia="Times New Roman"/>
          <w:noProof/>
          <w:lang w:eastAsia="en-GB"/>
        </w:rPr>
        <w:t>8</w:t>
      </w:r>
      <w:r w:rsidR="003606C3" w:rsidRPr="00387039">
        <w:rPr>
          <w:rFonts w:eastAsia="Times New Roman"/>
          <w:noProof/>
          <w:lang w:eastAsia="en-GB"/>
        </w:rPr>
        <w:t xml:space="preserve"> </w:t>
      </w:r>
      <w:r w:rsidR="00E22DCD">
        <w:rPr>
          <w:rFonts w:eastAsia="Times New Roman"/>
          <w:noProof/>
          <w:lang w:eastAsia="en-GB"/>
        </w:rPr>
        <w:t>February</w:t>
      </w:r>
      <w:r w:rsidR="003606C3" w:rsidRPr="00387039">
        <w:rPr>
          <w:rFonts w:eastAsia="Times New Roman"/>
          <w:noProof/>
          <w:lang w:eastAsia="en-GB"/>
        </w:rPr>
        <w:t xml:space="preserve"> </w:t>
      </w:r>
      <w:r w:rsidRPr="00971BC1">
        <w:rPr>
          <w:rFonts w:eastAsia="Times New Roman"/>
          <w:noProof/>
          <w:lang w:eastAsia="en-GB"/>
        </w:rPr>
        <w:t>20</w:t>
      </w:r>
      <w:r w:rsidR="00266BEE" w:rsidRPr="00971BC1">
        <w:rPr>
          <w:rFonts w:eastAsia="Times New Roman"/>
          <w:noProof/>
          <w:lang w:eastAsia="en-GB"/>
        </w:rPr>
        <w:t>2</w:t>
      </w:r>
      <w:r w:rsidR="00E22DCD">
        <w:rPr>
          <w:rFonts w:eastAsia="Times New Roman"/>
          <w:noProof/>
          <w:lang w:eastAsia="en-GB"/>
        </w:rPr>
        <w:t>1</w:t>
      </w:r>
      <w:r w:rsidRPr="00971BC1">
        <w:rPr>
          <w:rFonts w:eastAsia="Times New Roman"/>
          <w:noProof/>
          <w:vertAlign w:val="superscript"/>
          <w:lang w:eastAsia="en-GB"/>
        </w:rPr>
        <w:footnoteReference w:id="12"/>
      </w:r>
      <w:r w:rsidR="007C0123" w:rsidRPr="00387039">
        <w:rPr>
          <w:rFonts w:eastAsia="Times New Roman"/>
          <w:noProof/>
          <w:lang w:eastAsia="en-GB"/>
        </w:rPr>
        <w:t xml:space="preserve"> which</w:t>
      </w:r>
      <w:r w:rsidRPr="00971BC1">
        <w:rPr>
          <w:rFonts w:eastAsia="Times New Roman"/>
          <w:noProof/>
          <w:lang w:eastAsia="en-GB"/>
        </w:rPr>
        <w:t xml:space="preserve"> provides an</w:t>
      </w:r>
      <w:r w:rsidR="00F72887" w:rsidRPr="00971BC1">
        <w:rPr>
          <w:rFonts w:eastAsia="Times New Roman"/>
          <w:noProof/>
          <w:lang w:eastAsia="en-GB"/>
        </w:rPr>
        <w:t xml:space="preserve"> updated</w:t>
      </w:r>
      <w:r w:rsidRPr="00971BC1">
        <w:rPr>
          <w:rFonts w:eastAsia="Times New Roman"/>
          <w:noProof/>
          <w:lang w:eastAsia="en-GB"/>
        </w:rPr>
        <w:t xml:space="preserve"> overview of measures taken by Member States including, inter alia, the extension of brokering and transit controls, the extension of controls to non-listed items for reasons of public security and human rights considerations, the introduction of national general export authorisations, the application of intra-EU transfer controls for non-listed items. </w:t>
      </w:r>
      <w:r w:rsidR="007C0123" w:rsidRPr="00A45200">
        <w:rPr>
          <w:rFonts w:eastAsia="Times New Roman"/>
          <w:noProof/>
          <w:lang w:eastAsia="en-GB"/>
        </w:rPr>
        <w:t xml:space="preserve">This </w:t>
      </w:r>
      <w:r w:rsidR="003679DC">
        <w:rPr>
          <w:rFonts w:eastAsia="Times New Roman"/>
          <w:noProof/>
          <w:lang w:eastAsia="en-GB"/>
        </w:rPr>
        <w:t xml:space="preserve">Information Note reflects the EU's actions to ensure the transparency of applicable rule and efforts to </w:t>
      </w:r>
      <w:r w:rsidR="007C0123" w:rsidRPr="00971BC1">
        <w:rPr>
          <w:rFonts w:eastAsia="Times New Roman"/>
          <w:noProof/>
          <w:lang w:eastAsia="en-GB"/>
        </w:rPr>
        <w:t>support the consistent and effective implementation of controls</w:t>
      </w:r>
      <w:r w:rsidR="003679DC">
        <w:rPr>
          <w:rFonts w:eastAsia="Times New Roman"/>
          <w:noProof/>
          <w:lang w:eastAsia="en-GB"/>
        </w:rPr>
        <w:t xml:space="preserve"> by exporters</w:t>
      </w:r>
      <w:r w:rsidR="007C0123" w:rsidRPr="00971BC1">
        <w:rPr>
          <w:rFonts w:eastAsia="Times New Roman"/>
          <w:noProof/>
          <w:lang w:eastAsia="en-GB"/>
        </w:rPr>
        <w:t xml:space="preserve"> throughout the EU.</w:t>
      </w:r>
    </w:p>
    <w:p w14:paraId="726E2E02" w14:textId="77777777" w:rsidR="00AA655D" w:rsidRPr="00A45200" w:rsidRDefault="00DF60EB" w:rsidP="008C4021">
      <w:pPr>
        <w:keepNext/>
        <w:spacing w:before="100" w:beforeAutospacing="1" w:after="100" w:afterAutospacing="1"/>
        <w:jc w:val="both"/>
        <w:rPr>
          <w:rFonts w:eastAsia="Times New Roman"/>
          <w:noProof/>
          <w:u w:val="single"/>
          <w:lang w:eastAsia="en-GB"/>
        </w:rPr>
      </w:pPr>
      <w:r w:rsidRPr="00A45200">
        <w:rPr>
          <w:rFonts w:eastAsia="Times New Roman"/>
          <w:noProof/>
          <w:u w:val="single"/>
          <w:lang w:eastAsia="en-GB"/>
        </w:rPr>
        <w:t xml:space="preserve">2.3.2. </w:t>
      </w:r>
      <w:r w:rsidR="00AA655D" w:rsidRPr="00A45200">
        <w:rPr>
          <w:rFonts w:eastAsia="Times New Roman"/>
          <w:noProof/>
          <w:u w:val="single"/>
          <w:lang w:eastAsia="en-GB"/>
        </w:rPr>
        <w:t xml:space="preserve">Enforcement measures </w:t>
      </w:r>
    </w:p>
    <w:p w14:paraId="07E7FBAA" w14:textId="77777777" w:rsidR="00AA655D" w:rsidRDefault="003B2BCC" w:rsidP="00AA655D">
      <w:pPr>
        <w:spacing w:before="100" w:beforeAutospacing="1" w:after="100" w:afterAutospacing="1"/>
        <w:jc w:val="both"/>
        <w:rPr>
          <w:rFonts w:eastAsia="Times New Roman"/>
          <w:noProof/>
          <w:lang w:eastAsia="en-GB"/>
        </w:rPr>
      </w:pPr>
      <w:r>
        <w:rPr>
          <w:rFonts w:eastAsia="Times New Roman"/>
          <w:noProof/>
          <w:lang w:eastAsia="en-GB"/>
        </w:rPr>
        <w:t>T</w:t>
      </w:r>
      <w:r w:rsidR="00183A77">
        <w:rPr>
          <w:rFonts w:eastAsia="Times New Roman"/>
          <w:noProof/>
          <w:lang w:eastAsia="en-GB"/>
        </w:rPr>
        <w:t>he Commission</w:t>
      </w:r>
      <w:r>
        <w:rPr>
          <w:rFonts w:eastAsia="Times New Roman"/>
          <w:noProof/>
          <w:lang w:eastAsia="en-GB"/>
        </w:rPr>
        <w:t xml:space="preserve"> was not informed of any</w:t>
      </w:r>
      <w:r w:rsidR="00183A77">
        <w:rPr>
          <w:rFonts w:eastAsia="Times New Roman"/>
          <w:noProof/>
          <w:lang w:eastAsia="en-GB"/>
        </w:rPr>
        <w:t xml:space="preserve"> new developments in 202</w:t>
      </w:r>
      <w:r w:rsidR="00BA7E94">
        <w:rPr>
          <w:rFonts w:eastAsia="Times New Roman"/>
          <w:noProof/>
          <w:lang w:eastAsia="en-GB"/>
        </w:rPr>
        <w:t>1</w:t>
      </w:r>
      <w:r w:rsidR="00183A77">
        <w:rPr>
          <w:rFonts w:eastAsia="Times New Roman"/>
          <w:noProof/>
          <w:lang w:eastAsia="en-GB"/>
        </w:rPr>
        <w:t>. The</w:t>
      </w:r>
      <w:r w:rsidR="00AA655D" w:rsidRPr="00A45200">
        <w:rPr>
          <w:rFonts w:eastAsia="Times New Roman"/>
          <w:noProof/>
          <w:lang w:eastAsia="en-GB"/>
        </w:rPr>
        <w:t xml:space="preserve"> list of national enforcement measures published together with the 2019 </w:t>
      </w:r>
      <w:r w:rsidR="002B79F2">
        <w:rPr>
          <w:rFonts w:eastAsia="Times New Roman"/>
          <w:noProof/>
          <w:lang w:eastAsia="en-GB"/>
        </w:rPr>
        <w:t>a</w:t>
      </w:r>
      <w:r w:rsidR="00AA655D" w:rsidRPr="00A45200">
        <w:rPr>
          <w:rFonts w:eastAsia="Times New Roman"/>
          <w:noProof/>
          <w:lang w:eastAsia="en-GB"/>
        </w:rPr>
        <w:t xml:space="preserve">nnual </w:t>
      </w:r>
      <w:r w:rsidR="002B79F2">
        <w:rPr>
          <w:rFonts w:eastAsia="Times New Roman"/>
          <w:noProof/>
          <w:lang w:eastAsia="en-GB"/>
        </w:rPr>
        <w:t>e</w:t>
      </w:r>
      <w:r w:rsidR="00AA655D" w:rsidRPr="00A45200">
        <w:rPr>
          <w:rFonts w:eastAsia="Times New Roman"/>
          <w:noProof/>
          <w:lang w:eastAsia="en-GB"/>
        </w:rPr>
        <w:t xml:space="preserve">xport </w:t>
      </w:r>
      <w:r w:rsidR="002B79F2">
        <w:rPr>
          <w:rFonts w:eastAsia="Times New Roman"/>
          <w:noProof/>
          <w:lang w:eastAsia="en-GB"/>
        </w:rPr>
        <w:t>c</w:t>
      </w:r>
      <w:r w:rsidR="00AA655D" w:rsidRPr="00A45200">
        <w:rPr>
          <w:rFonts w:eastAsia="Times New Roman"/>
          <w:noProof/>
          <w:lang w:eastAsia="en-GB"/>
        </w:rPr>
        <w:t xml:space="preserve">ontrol </w:t>
      </w:r>
      <w:r w:rsidR="002B79F2">
        <w:rPr>
          <w:rFonts w:eastAsia="Times New Roman"/>
          <w:noProof/>
          <w:lang w:eastAsia="en-GB"/>
        </w:rPr>
        <w:t>r</w:t>
      </w:r>
      <w:r w:rsidR="00AA655D" w:rsidRPr="00A45200">
        <w:rPr>
          <w:rFonts w:eastAsia="Times New Roman"/>
          <w:noProof/>
          <w:lang w:eastAsia="en-GB"/>
        </w:rPr>
        <w:t>eport</w:t>
      </w:r>
      <w:r w:rsidR="00326187" w:rsidRPr="00A45200">
        <w:rPr>
          <w:rStyle w:val="FootnoteReference"/>
          <w:rFonts w:eastAsia="Times New Roman"/>
          <w:noProof/>
          <w:lang w:eastAsia="en-GB"/>
        </w:rPr>
        <w:footnoteReference w:id="13"/>
      </w:r>
      <w:r w:rsidR="00AA655D" w:rsidRPr="00A45200">
        <w:rPr>
          <w:rFonts w:eastAsia="Times New Roman"/>
          <w:noProof/>
          <w:lang w:eastAsia="en-GB"/>
        </w:rPr>
        <w:t xml:space="preserve"> remains valid</w:t>
      </w:r>
      <w:r w:rsidR="00AA655D" w:rsidRPr="00CD305E">
        <w:rPr>
          <w:rFonts w:eastAsia="Times New Roman"/>
          <w:noProof/>
          <w:lang w:eastAsia="en-GB"/>
        </w:rPr>
        <w:t>.</w:t>
      </w:r>
    </w:p>
    <w:p w14:paraId="69AE62D3" w14:textId="77777777" w:rsidR="00933503" w:rsidRDefault="00933503" w:rsidP="00B50753">
      <w:pPr>
        <w:keepNext/>
        <w:tabs>
          <w:tab w:val="left" w:pos="850"/>
        </w:tabs>
        <w:spacing w:after="120"/>
        <w:ind w:left="850" w:hanging="850"/>
        <w:jc w:val="both"/>
        <w:outlineLvl w:val="1"/>
        <w:rPr>
          <w:rFonts w:eastAsia="Times New Roman"/>
          <w:b/>
          <w:noProof/>
          <w:lang w:eastAsia="en-GB"/>
        </w:rPr>
      </w:pPr>
      <w:r w:rsidRPr="00B50753">
        <w:rPr>
          <w:rFonts w:eastAsia="Times New Roman"/>
          <w:b/>
          <w:noProof/>
          <w:lang w:eastAsia="en-GB"/>
        </w:rPr>
        <w:t>2.4 Exports from Northern Ireland</w:t>
      </w:r>
    </w:p>
    <w:p w14:paraId="62123016" w14:textId="77777777" w:rsidR="00933503" w:rsidRDefault="00933503" w:rsidP="00933503">
      <w:pPr>
        <w:jc w:val="both"/>
        <w:rPr>
          <w:noProof/>
        </w:rPr>
      </w:pPr>
      <w:r>
        <w:rPr>
          <w:noProof/>
        </w:rPr>
        <w:t>E</w:t>
      </w:r>
      <w:r w:rsidRPr="00D06986">
        <w:rPr>
          <w:noProof/>
        </w:rPr>
        <w:t xml:space="preserve">xports of dual-use </w:t>
      </w:r>
      <w:r>
        <w:rPr>
          <w:noProof/>
        </w:rPr>
        <w:t>items from the EU to the UK beca</w:t>
      </w:r>
      <w:r w:rsidRPr="00D06986">
        <w:rPr>
          <w:noProof/>
        </w:rPr>
        <w:t>me subject to control under the Regulation</w:t>
      </w:r>
      <w:r w:rsidR="00435B75" w:rsidRPr="00435B75">
        <w:rPr>
          <w:noProof/>
        </w:rPr>
        <w:t xml:space="preserve"> </w:t>
      </w:r>
      <w:r w:rsidR="003E6D18">
        <w:rPr>
          <w:noProof/>
        </w:rPr>
        <w:t xml:space="preserve">with the UK’s departure from the Union </w:t>
      </w:r>
      <w:r w:rsidR="00435B75">
        <w:rPr>
          <w:noProof/>
        </w:rPr>
        <w:t xml:space="preserve">on </w:t>
      </w:r>
      <w:r w:rsidR="00435B75" w:rsidRPr="00D06986">
        <w:rPr>
          <w:noProof/>
        </w:rPr>
        <w:t>1</w:t>
      </w:r>
      <w:r w:rsidR="00435B75" w:rsidRPr="00103FFA">
        <w:rPr>
          <w:noProof/>
          <w:vertAlign w:val="superscript"/>
        </w:rPr>
        <w:t xml:space="preserve">st </w:t>
      </w:r>
      <w:r w:rsidR="00435B75" w:rsidRPr="00D06986">
        <w:rPr>
          <w:noProof/>
        </w:rPr>
        <w:t>January 2021</w:t>
      </w:r>
      <w:r w:rsidRPr="00D06986">
        <w:rPr>
          <w:noProof/>
        </w:rPr>
        <w:t xml:space="preserve">, </w:t>
      </w:r>
      <w:r w:rsidR="003E6D18">
        <w:rPr>
          <w:noProof/>
        </w:rPr>
        <w:t xml:space="preserve">just </w:t>
      </w:r>
      <w:r w:rsidRPr="00D06986">
        <w:rPr>
          <w:noProof/>
        </w:rPr>
        <w:t>like exp</w:t>
      </w:r>
      <w:r>
        <w:rPr>
          <w:noProof/>
        </w:rPr>
        <w:t>orts to any other third country.</w:t>
      </w:r>
    </w:p>
    <w:p w14:paraId="6ECBAA5C" w14:textId="77777777" w:rsidR="00933503" w:rsidRDefault="00933503" w:rsidP="00933503">
      <w:pPr>
        <w:jc w:val="both"/>
        <w:rPr>
          <w:rFonts w:eastAsia="Times New Roman"/>
          <w:noProof/>
          <w:lang w:eastAsia="en-GB"/>
        </w:rPr>
      </w:pPr>
    </w:p>
    <w:p w14:paraId="16537A9E" w14:textId="711632AA" w:rsidR="00E72244" w:rsidRDefault="00933503" w:rsidP="00933503">
      <w:pPr>
        <w:jc w:val="both"/>
        <w:rPr>
          <w:rFonts w:eastAsia="Times New Roman"/>
          <w:noProof/>
          <w:lang w:eastAsia="en-GB"/>
        </w:rPr>
      </w:pPr>
      <w:r>
        <w:rPr>
          <w:noProof/>
        </w:rPr>
        <w:t xml:space="preserve">Specific arrangements </w:t>
      </w:r>
      <w:r w:rsidR="003F1FF1">
        <w:rPr>
          <w:noProof/>
        </w:rPr>
        <w:t>are</w:t>
      </w:r>
      <w:r>
        <w:rPr>
          <w:noProof/>
        </w:rPr>
        <w:t xml:space="preserve"> </w:t>
      </w:r>
      <w:r w:rsidR="003F1FF1">
        <w:rPr>
          <w:noProof/>
        </w:rPr>
        <w:t xml:space="preserve">set forth in </w:t>
      </w:r>
      <w:r>
        <w:rPr>
          <w:noProof/>
        </w:rPr>
        <w:t>the Northern Ireland (NI) Protocol</w:t>
      </w:r>
      <w:r>
        <w:rPr>
          <w:rStyle w:val="FootnoteReference"/>
          <w:noProof/>
        </w:rPr>
        <w:footnoteReference w:id="14"/>
      </w:r>
      <w:r>
        <w:rPr>
          <w:noProof/>
        </w:rPr>
        <w:t>, which</w:t>
      </w:r>
      <w:r w:rsidRPr="001A7122">
        <w:rPr>
          <w:noProof/>
        </w:rPr>
        <w:t xml:space="preserve"> provides that </w:t>
      </w:r>
      <w:r>
        <w:rPr>
          <w:noProof/>
        </w:rPr>
        <w:t xml:space="preserve">the Regulation </w:t>
      </w:r>
      <w:r w:rsidRPr="001A7122">
        <w:rPr>
          <w:noProof/>
        </w:rPr>
        <w:t>applies to</w:t>
      </w:r>
      <w:r>
        <w:rPr>
          <w:noProof/>
        </w:rPr>
        <w:t>,</w:t>
      </w:r>
      <w:r w:rsidRPr="001A7122">
        <w:rPr>
          <w:noProof/>
        </w:rPr>
        <w:t xml:space="preserve"> and in the United Kingdom in respect of Northern Ireland</w:t>
      </w:r>
      <w:r w:rsidRPr="00873489">
        <w:rPr>
          <w:rStyle w:val="FootnoteReference"/>
          <w:noProof/>
        </w:rPr>
        <w:footnoteReference w:id="15"/>
      </w:r>
      <w:r>
        <w:rPr>
          <w:noProof/>
        </w:rPr>
        <w:t>, with the UK acting as a competent authority under the Regulation</w:t>
      </w:r>
      <w:r w:rsidR="005A0FFA">
        <w:rPr>
          <w:noProof/>
        </w:rPr>
        <w:t xml:space="preserve"> for exports </w:t>
      </w:r>
      <w:r w:rsidR="007B6F8D">
        <w:rPr>
          <w:noProof/>
        </w:rPr>
        <w:t xml:space="preserve">from Northern Ireland </w:t>
      </w:r>
      <w:r w:rsidR="005A0FFA">
        <w:rPr>
          <w:noProof/>
        </w:rPr>
        <w:t>to third countries outside the EU</w:t>
      </w:r>
      <w:r>
        <w:rPr>
          <w:noProof/>
        </w:rPr>
        <w:t>.</w:t>
      </w:r>
      <w:r w:rsidRPr="007F3BFA">
        <w:rPr>
          <w:rFonts w:eastAsia="Times New Roman"/>
          <w:noProof/>
          <w:lang w:eastAsia="en-GB"/>
        </w:rPr>
        <w:t xml:space="preserve"> </w:t>
      </w:r>
      <w:r>
        <w:rPr>
          <w:rFonts w:eastAsia="Times New Roman"/>
          <w:noProof/>
          <w:lang w:eastAsia="en-GB"/>
        </w:rPr>
        <w:t xml:space="preserve">The Commission developed a dedicated secure electronic tool to support the exchange of information with the UK competent authority in charge of applying the Regulation in and from Northern Ireland. This enables </w:t>
      </w:r>
      <w:r w:rsidRPr="000E188C">
        <w:rPr>
          <w:rFonts w:eastAsia="Times New Roman"/>
          <w:noProof/>
          <w:lang w:eastAsia="en-GB"/>
        </w:rPr>
        <w:t>th</w:t>
      </w:r>
      <w:r w:rsidR="005A0FFA">
        <w:rPr>
          <w:rFonts w:eastAsia="Times New Roman"/>
          <w:noProof/>
          <w:lang w:eastAsia="en-GB"/>
        </w:rPr>
        <w:t xml:space="preserve">is </w:t>
      </w:r>
      <w:r w:rsidRPr="000E188C">
        <w:rPr>
          <w:rFonts w:eastAsia="Times New Roman"/>
          <w:noProof/>
          <w:lang w:eastAsia="en-GB"/>
        </w:rPr>
        <w:t>authority to access information</w:t>
      </w:r>
      <w:r w:rsidR="00784CB1">
        <w:rPr>
          <w:rFonts w:eastAsia="Times New Roman"/>
          <w:noProof/>
          <w:lang w:eastAsia="en-GB"/>
        </w:rPr>
        <w:t xml:space="preserve"> on denials for essentially identical transactions issued by the EU </w:t>
      </w:r>
      <w:r w:rsidR="003F1FF1">
        <w:rPr>
          <w:rFonts w:eastAsia="Times New Roman"/>
          <w:noProof/>
          <w:lang w:eastAsia="en-GB"/>
        </w:rPr>
        <w:t>Member State</w:t>
      </w:r>
      <w:r w:rsidR="00784CB1">
        <w:rPr>
          <w:rFonts w:eastAsia="Times New Roman"/>
          <w:noProof/>
          <w:lang w:eastAsia="en-GB"/>
        </w:rPr>
        <w:t>,</w:t>
      </w:r>
      <w:r w:rsidRPr="000E188C">
        <w:rPr>
          <w:rFonts w:eastAsia="Times New Roman"/>
          <w:noProof/>
          <w:lang w:eastAsia="en-GB"/>
        </w:rPr>
        <w:t xml:space="preserve"> </w:t>
      </w:r>
      <w:r w:rsidR="00E72601">
        <w:rPr>
          <w:rFonts w:eastAsia="Times New Roman"/>
          <w:noProof/>
          <w:lang w:eastAsia="en-GB"/>
        </w:rPr>
        <w:t xml:space="preserve">and have bilateral consultation with issuing </w:t>
      </w:r>
      <w:r w:rsidR="003F1FF1">
        <w:rPr>
          <w:rFonts w:eastAsia="Times New Roman"/>
          <w:noProof/>
          <w:lang w:eastAsia="en-GB"/>
        </w:rPr>
        <w:t>Member State</w:t>
      </w:r>
      <w:r w:rsidR="00E72601">
        <w:rPr>
          <w:rFonts w:eastAsia="Times New Roman"/>
          <w:noProof/>
          <w:lang w:eastAsia="en-GB"/>
        </w:rPr>
        <w:t>, as foreseen by the Regulation.</w:t>
      </w:r>
      <w:r w:rsidR="00D529BB">
        <w:rPr>
          <w:rStyle w:val="FootnoteReference"/>
          <w:rFonts w:eastAsia="Times New Roman"/>
          <w:noProof/>
          <w:lang w:eastAsia="en-GB"/>
        </w:rPr>
        <w:footnoteReference w:id="16"/>
      </w:r>
      <w:r>
        <w:rPr>
          <w:rFonts w:eastAsia="Times New Roman"/>
          <w:noProof/>
          <w:lang w:eastAsia="en-GB"/>
        </w:rPr>
        <w:t xml:space="preserve"> </w:t>
      </w:r>
    </w:p>
    <w:p w14:paraId="1B93C828" w14:textId="77777777" w:rsidR="00F72887" w:rsidRDefault="00F72887" w:rsidP="00E72244">
      <w:pPr>
        <w:jc w:val="both"/>
        <w:rPr>
          <w:rFonts w:eastAsia="Times New Roman"/>
          <w:noProof/>
          <w:lang w:eastAsia="en-GB"/>
        </w:rPr>
      </w:pPr>
    </w:p>
    <w:p w14:paraId="0F726852" w14:textId="77777777" w:rsidR="00AA655D" w:rsidRDefault="00AA655D" w:rsidP="00AA655D">
      <w:pPr>
        <w:keepNext/>
        <w:tabs>
          <w:tab w:val="left" w:pos="850"/>
        </w:tabs>
        <w:spacing w:after="120"/>
        <w:ind w:left="850" w:hanging="850"/>
        <w:jc w:val="both"/>
        <w:outlineLvl w:val="0"/>
        <w:rPr>
          <w:rFonts w:eastAsia="Times New Roman"/>
          <w:b/>
          <w:smallCaps/>
          <w:noProof/>
          <w:lang w:eastAsia="en-GB"/>
        </w:rPr>
      </w:pPr>
      <w:bookmarkStart w:id="6" w:name="_Toc368065775"/>
      <w:r>
        <w:rPr>
          <w:rFonts w:eastAsia="Times New Roman"/>
          <w:b/>
          <w:smallCaps/>
          <w:noProof/>
          <w:lang w:eastAsia="en-GB"/>
        </w:rPr>
        <w:t>3.</w:t>
      </w:r>
      <w:r>
        <w:rPr>
          <w:rFonts w:eastAsia="Times New Roman"/>
          <w:b/>
          <w:smallCaps/>
          <w:noProof/>
          <w:lang w:eastAsia="en-GB"/>
        </w:rPr>
        <w:tab/>
        <w:t>Activities of the Dual-Use Coordination Group</w:t>
      </w:r>
      <w:bookmarkEnd w:id="6"/>
    </w:p>
    <w:p w14:paraId="3318D7B3" w14:textId="2566AADD" w:rsidR="00AA655D" w:rsidRDefault="00C6061E" w:rsidP="00AA655D">
      <w:pPr>
        <w:spacing w:before="100" w:beforeAutospacing="1" w:after="100" w:afterAutospacing="1"/>
        <w:jc w:val="both"/>
        <w:rPr>
          <w:rFonts w:eastAsia="Times New Roman"/>
          <w:noProof/>
          <w:lang w:eastAsia="en-GB"/>
        </w:rPr>
      </w:pPr>
      <w:r w:rsidRPr="00C6061E">
        <w:rPr>
          <w:rFonts w:eastAsia="Times New Roman"/>
          <w:noProof/>
          <w:lang w:eastAsia="en-GB"/>
        </w:rPr>
        <w:t>The DUCG brings together experts from the Commission and Member States to examine any issue concerning the application of export controls.</w:t>
      </w:r>
      <w:r w:rsidR="00933503">
        <w:rPr>
          <w:rStyle w:val="FootnoteReference"/>
          <w:rFonts w:eastAsia="Times New Roman"/>
          <w:noProof/>
          <w:lang w:eastAsia="en-GB"/>
        </w:rPr>
        <w:footnoteReference w:id="17"/>
      </w:r>
      <w:r w:rsidR="003F1FF1">
        <w:rPr>
          <w:rFonts w:eastAsia="Times New Roman"/>
          <w:noProof/>
          <w:lang w:eastAsia="en-GB"/>
        </w:rPr>
        <w:t xml:space="preserve"> </w:t>
      </w:r>
      <w:r w:rsidR="007B6F8D">
        <w:rPr>
          <w:rFonts w:eastAsia="Times New Roman"/>
          <w:noProof/>
          <w:lang w:eastAsia="en-GB"/>
        </w:rPr>
        <w:t xml:space="preserve">It </w:t>
      </w:r>
      <w:r w:rsidR="00AA655D" w:rsidRPr="00DC059D">
        <w:rPr>
          <w:rFonts w:eastAsia="Times New Roman"/>
          <w:noProof/>
          <w:lang w:eastAsia="en-GB"/>
        </w:rPr>
        <w:t>held s</w:t>
      </w:r>
      <w:r w:rsidR="001619DD">
        <w:rPr>
          <w:rFonts w:eastAsia="Times New Roman"/>
          <w:noProof/>
          <w:lang w:eastAsia="en-GB"/>
        </w:rPr>
        <w:t>ix</w:t>
      </w:r>
      <w:r w:rsidR="00AA655D" w:rsidRPr="00DC059D">
        <w:rPr>
          <w:rFonts w:eastAsia="Times New Roman"/>
          <w:noProof/>
          <w:lang w:eastAsia="en-GB"/>
        </w:rPr>
        <w:t xml:space="preserve"> meetings</w:t>
      </w:r>
      <w:r w:rsidR="00F72887">
        <w:rPr>
          <w:rFonts w:eastAsia="Times New Roman"/>
          <w:noProof/>
          <w:lang w:eastAsia="en-GB"/>
        </w:rPr>
        <w:t xml:space="preserve"> </w:t>
      </w:r>
      <w:r w:rsidR="00DF60EB">
        <w:rPr>
          <w:rFonts w:eastAsia="Times New Roman"/>
          <w:noProof/>
          <w:lang w:eastAsia="en-GB"/>
        </w:rPr>
        <w:t>in 202</w:t>
      </w:r>
      <w:r w:rsidR="001619DD">
        <w:rPr>
          <w:rFonts w:eastAsia="Times New Roman"/>
          <w:noProof/>
          <w:lang w:eastAsia="en-GB"/>
        </w:rPr>
        <w:t>1</w:t>
      </w:r>
      <w:r w:rsidR="00EA3EA5">
        <w:rPr>
          <w:rFonts w:eastAsia="Times New Roman"/>
          <w:noProof/>
          <w:lang w:eastAsia="en-GB"/>
        </w:rPr>
        <w:t>.</w:t>
      </w:r>
      <w:r w:rsidR="00326187">
        <w:rPr>
          <w:rFonts w:eastAsia="Times New Roman"/>
          <w:noProof/>
          <w:lang w:eastAsia="en-GB"/>
        </w:rPr>
        <w:t xml:space="preserve"> </w:t>
      </w:r>
    </w:p>
    <w:p w14:paraId="5B17B38F" w14:textId="77777777" w:rsidR="00AA655D" w:rsidRDefault="00AA655D" w:rsidP="00AA655D">
      <w:pPr>
        <w:keepNext/>
        <w:tabs>
          <w:tab w:val="left" w:pos="850"/>
        </w:tabs>
        <w:spacing w:after="120"/>
        <w:ind w:left="850" w:hanging="850"/>
        <w:jc w:val="both"/>
        <w:outlineLvl w:val="1"/>
        <w:rPr>
          <w:rFonts w:eastAsia="Times New Roman"/>
          <w:b/>
          <w:noProof/>
          <w:lang w:eastAsia="en-GB"/>
        </w:rPr>
      </w:pPr>
      <w:r>
        <w:rPr>
          <w:rFonts w:eastAsia="Times New Roman"/>
          <w:b/>
          <w:noProof/>
          <w:lang w:eastAsia="en-GB"/>
        </w:rPr>
        <w:t>3.1</w:t>
      </w:r>
      <w:r w:rsidR="00617132">
        <w:rPr>
          <w:rFonts w:eastAsia="Times New Roman"/>
          <w:b/>
          <w:noProof/>
          <w:lang w:eastAsia="en-GB"/>
        </w:rPr>
        <w:t>.</w:t>
      </w:r>
      <w:r>
        <w:rPr>
          <w:rFonts w:eastAsia="Times New Roman"/>
          <w:b/>
          <w:noProof/>
          <w:lang w:eastAsia="en-GB"/>
        </w:rPr>
        <w:tab/>
        <w:t xml:space="preserve">Consultations on implementation issues - </w:t>
      </w:r>
      <w:r>
        <w:rPr>
          <w:rFonts w:eastAsia="Calibri"/>
          <w:b/>
          <w:noProof/>
        </w:rPr>
        <w:t>general information exchange</w:t>
      </w:r>
    </w:p>
    <w:p w14:paraId="3750645E" w14:textId="33AC9241" w:rsidR="00AA655D" w:rsidRDefault="00AA655D" w:rsidP="003A26B9">
      <w:pPr>
        <w:jc w:val="both"/>
        <w:rPr>
          <w:rFonts w:eastAsia="Calibri"/>
          <w:noProof/>
          <w:lang w:eastAsia="en-GB"/>
        </w:rPr>
      </w:pPr>
      <w:r>
        <w:rPr>
          <w:rFonts w:eastAsia="Calibri"/>
          <w:noProof/>
          <w:lang w:eastAsia="en-GB"/>
        </w:rPr>
        <w:t xml:space="preserve">The </w:t>
      </w:r>
      <w:r w:rsidR="003A26B9" w:rsidRPr="003A26B9">
        <w:rPr>
          <w:rFonts w:eastAsia="Calibri"/>
          <w:noProof/>
          <w:lang w:eastAsia="en-GB"/>
        </w:rPr>
        <w:t xml:space="preserve">Commission and Member States’ representatives in the </w:t>
      </w:r>
      <w:r>
        <w:rPr>
          <w:rFonts w:eastAsia="Calibri"/>
          <w:noProof/>
          <w:lang w:eastAsia="en-GB"/>
        </w:rPr>
        <w:t xml:space="preserve">DUCG conducted </w:t>
      </w:r>
      <w:r>
        <w:rPr>
          <w:rFonts w:eastAsia="Calibri"/>
          <w:b/>
          <w:i/>
          <w:noProof/>
          <w:lang w:eastAsia="en-GB"/>
        </w:rPr>
        <w:t>general information exchanges on export control issues</w:t>
      </w:r>
      <w:r>
        <w:rPr>
          <w:rFonts w:eastAsia="Calibri"/>
          <w:noProof/>
          <w:lang w:eastAsia="en-GB"/>
        </w:rPr>
        <w:t xml:space="preserve">, including in support of the </w:t>
      </w:r>
      <w:r w:rsidR="00DF60EB">
        <w:rPr>
          <w:rFonts w:eastAsia="Calibri"/>
          <w:noProof/>
          <w:lang w:eastAsia="en-GB"/>
        </w:rPr>
        <w:t xml:space="preserve">legislative </w:t>
      </w:r>
      <w:r>
        <w:rPr>
          <w:rFonts w:eastAsia="Calibri"/>
          <w:noProof/>
          <w:lang w:eastAsia="en-GB"/>
        </w:rPr>
        <w:t xml:space="preserve">modernisation of EU export controls. </w:t>
      </w:r>
    </w:p>
    <w:p w14:paraId="222747D0" w14:textId="77777777" w:rsidR="00AA655D" w:rsidRDefault="00AA655D" w:rsidP="00AA655D">
      <w:pPr>
        <w:jc w:val="both"/>
        <w:rPr>
          <w:rFonts w:eastAsia="Calibri"/>
          <w:noProof/>
          <w:lang w:eastAsia="en-GB"/>
        </w:rPr>
      </w:pPr>
    </w:p>
    <w:p w14:paraId="57FAABFC" w14:textId="703E5A66" w:rsidR="00AA655D" w:rsidRDefault="001B5C4A" w:rsidP="003A26B9">
      <w:pPr>
        <w:pStyle w:val="Default"/>
        <w:jc w:val="both"/>
        <w:rPr>
          <w:rFonts w:ascii="Times New Roman" w:eastAsia="Calibri" w:hAnsi="Times New Roman" w:cs="Times New Roman"/>
          <w:noProof/>
          <w:color w:val="auto"/>
          <w:lang w:eastAsia="en-GB"/>
        </w:rPr>
      </w:pPr>
      <w:r w:rsidRPr="001B5C4A">
        <w:rPr>
          <w:rFonts w:ascii="Times New Roman" w:eastAsia="Calibri" w:hAnsi="Times New Roman" w:cs="Times New Roman"/>
          <w:noProof/>
          <w:color w:val="auto"/>
          <w:lang w:eastAsia="en-GB"/>
        </w:rPr>
        <w:t xml:space="preserve">The </w:t>
      </w:r>
      <w:r w:rsidR="003A26B9" w:rsidRPr="003A26B9">
        <w:rPr>
          <w:rFonts w:ascii="Times New Roman" w:eastAsia="Calibri" w:hAnsi="Times New Roman" w:cs="Times New Roman"/>
          <w:noProof/>
          <w:color w:val="auto"/>
          <w:lang w:eastAsia="en-GB"/>
        </w:rPr>
        <w:t xml:space="preserve">Commission coordinated an exchange of information among Member States </w:t>
      </w:r>
      <w:r w:rsidR="003A26B9">
        <w:rPr>
          <w:rFonts w:ascii="Times New Roman" w:eastAsia="Calibri" w:hAnsi="Times New Roman" w:cs="Times New Roman"/>
          <w:noProof/>
          <w:color w:val="auto"/>
          <w:lang w:eastAsia="en-GB"/>
        </w:rPr>
        <w:t xml:space="preserve">in the </w:t>
      </w:r>
      <w:r w:rsidRPr="001B5C4A">
        <w:rPr>
          <w:rFonts w:ascii="Times New Roman" w:eastAsia="Calibri" w:hAnsi="Times New Roman" w:cs="Times New Roman"/>
          <w:noProof/>
          <w:color w:val="auto"/>
          <w:lang w:eastAsia="en-GB"/>
        </w:rPr>
        <w:t xml:space="preserve">DUCG regarding </w:t>
      </w:r>
      <w:r w:rsidRPr="00F72887">
        <w:rPr>
          <w:rFonts w:ascii="Times New Roman" w:eastAsia="Calibri" w:hAnsi="Times New Roman" w:cs="Times New Roman"/>
          <w:b/>
          <w:i/>
          <w:noProof/>
          <w:color w:val="auto"/>
          <w:lang w:eastAsia="en-GB"/>
        </w:rPr>
        <w:t>national implementing measures</w:t>
      </w:r>
      <w:r w:rsidRPr="001B5C4A">
        <w:rPr>
          <w:rFonts w:ascii="Times New Roman" w:eastAsia="Calibri" w:hAnsi="Times New Roman" w:cs="Times New Roman"/>
          <w:noProof/>
          <w:color w:val="auto"/>
          <w:lang w:eastAsia="en-GB"/>
        </w:rPr>
        <w:t xml:space="preserve"> and prepared </w:t>
      </w:r>
      <w:r w:rsidR="00473192">
        <w:rPr>
          <w:rFonts w:ascii="Times New Roman" w:eastAsia="Calibri" w:hAnsi="Times New Roman" w:cs="Times New Roman"/>
          <w:noProof/>
          <w:color w:val="auto"/>
          <w:lang w:eastAsia="en-GB"/>
        </w:rPr>
        <w:t xml:space="preserve">the </w:t>
      </w:r>
      <w:r w:rsidRPr="001B5C4A">
        <w:rPr>
          <w:rFonts w:ascii="Times New Roman" w:eastAsia="Calibri" w:hAnsi="Times New Roman" w:cs="Times New Roman"/>
          <w:noProof/>
          <w:color w:val="auto"/>
          <w:lang w:eastAsia="en-GB"/>
        </w:rPr>
        <w:t xml:space="preserve">update of the </w:t>
      </w:r>
      <w:r w:rsidR="000F4317">
        <w:rPr>
          <w:rFonts w:ascii="Times New Roman" w:eastAsia="Calibri" w:hAnsi="Times New Roman" w:cs="Times New Roman"/>
          <w:noProof/>
          <w:color w:val="auto"/>
          <w:lang w:eastAsia="en-GB"/>
        </w:rPr>
        <w:t>I</w:t>
      </w:r>
      <w:r w:rsidRPr="001B5C4A">
        <w:rPr>
          <w:rFonts w:ascii="Times New Roman" w:eastAsia="Calibri" w:hAnsi="Times New Roman" w:cs="Times New Roman"/>
          <w:noProof/>
          <w:color w:val="auto"/>
          <w:lang w:eastAsia="en-GB"/>
        </w:rPr>
        <w:t xml:space="preserve">nformation </w:t>
      </w:r>
      <w:r w:rsidR="000F4317">
        <w:rPr>
          <w:rFonts w:ascii="Times New Roman" w:eastAsia="Calibri" w:hAnsi="Times New Roman" w:cs="Times New Roman"/>
          <w:noProof/>
          <w:color w:val="auto"/>
          <w:lang w:eastAsia="en-GB"/>
        </w:rPr>
        <w:t>N</w:t>
      </w:r>
      <w:r w:rsidRPr="001B5C4A">
        <w:rPr>
          <w:rFonts w:ascii="Times New Roman" w:eastAsia="Calibri" w:hAnsi="Times New Roman" w:cs="Times New Roman"/>
          <w:noProof/>
          <w:color w:val="auto"/>
          <w:lang w:eastAsia="en-GB"/>
        </w:rPr>
        <w:t>ot</w:t>
      </w:r>
      <w:r w:rsidR="000F4317">
        <w:rPr>
          <w:rFonts w:ascii="Times New Roman" w:eastAsia="Calibri" w:hAnsi="Times New Roman" w:cs="Times New Roman"/>
          <w:noProof/>
          <w:color w:val="auto"/>
          <w:lang w:eastAsia="en-GB"/>
        </w:rPr>
        <w:t>e</w:t>
      </w:r>
      <w:r w:rsidRPr="001B5C4A">
        <w:rPr>
          <w:rFonts w:ascii="Times New Roman" w:eastAsia="Calibri" w:hAnsi="Times New Roman" w:cs="Times New Roman"/>
          <w:noProof/>
          <w:color w:val="auto"/>
          <w:lang w:eastAsia="en-GB"/>
        </w:rPr>
        <w:t xml:space="preserve"> on national measures</w:t>
      </w:r>
      <w:r w:rsidR="003A26B9" w:rsidRPr="003A26B9">
        <w:rPr>
          <w:rFonts w:ascii="Times New Roman" w:eastAsia="Calibri" w:hAnsi="Times New Roman" w:cs="Times New Roman"/>
          <w:noProof/>
          <w:color w:val="auto"/>
          <w:lang w:eastAsia="en-GB"/>
        </w:rPr>
        <w:t xml:space="preserve"> with the support of the DUCG</w:t>
      </w:r>
      <w:r w:rsidRPr="001B5C4A">
        <w:rPr>
          <w:rFonts w:ascii="Times New Roman" w:eastAsia="Calibri" w:hAnsi="Times New Roman" w:cs="Times New Roman"/>
          <w:noProof/>
          <w:color w:val="auto"/>
          <w:lang w:eastAsia="en-GB"/>
        </w:rPr>
        <w:t>.</w:t>
      </w:r>
      <w:r w:rsidRPr="001B5C4A">
        <w:rPr>
          <w:rFonts w:ascii="Times New Roman" w:eastAsia="Calibri" w:hAnsi="Times New Roman" w:cs="Times New Roman"/>
          <w:noProof/>
          <w:color w:val="auto"/>
          <w:vertAlign w:val="superscript"/>
          <w:lang w:eastAsia="en-GB"/>
        </w:rPr>
        <w:footnoteReference w:id="18"/>
      </w:r>
    </w:p>
    <w:p w14:paraId="46A4CFF1" w14:textId="77777777" w:rsidR="00FE6013" w:rsidRDefault="00FE6013" w:rsidP="00AA655D">
      <w:pPr>
        <w:pStyle w:val="Default"/>
        <w:jc w:val="both"/>
        <w:rPr>
          <w:rFonts w:ascii="Times New Roman" w:eastAsia="Calibri" w:hAnsi="Times New Roman" w:cs="Times New Roman"/>
          <w:noProof/>
          <w:color w:val="auto"/>
          <w:lang w:eastAsia="en-GB"/>
        </w:rPr>
      </w:pPr>
    </w:p>
    <w:p w14:paraId="3BCA31E2" w14:textId="231EFA96" w:rsidR="00FE6013" w:rsidRDefault="00FE6013" w:rsidP="003A26B9">
      <w:pPr>
        <w:pStyle w:val="Default"/>
        <w:jc w:val="both"/>
        <w:rPr>
          <w:rFonts w:ascii="Times New Roman" w:eastAsia="Calibri" w:hAnsi="Times New Roman" w:cs="Times New Roman"/>
          <w:noProof/>
          <w:color w:val="auto"/>
          <w:lang w:eastAsia="en-GB"/>
        </w:rPr>
      </w:pPr>
      <w:r w:rsidRPr="00FE6013">
        <w:rPr>
          <w:rFonts w:ascii="Times New Roman" w:eastAsia="Calibri" w:hAnsi="Times New Roman" w:cs="Times New Roman"/>
          <w:noProof/>
          <w:color w:val="auto"/>
          <w:lang w:eastAsia="en-GB"/>
        </w:rPr>
        <w:t>With the ent</w:t>
      </w:r>
      <w:r w:rsidR="000F4317">
        <w:rPr>
          <w:rFonts w:ascii="Times New Roman" w:eastAsia="Calibri" w:hAnsi="Times New Roman" w:cs="Times New Roman"/>
          <w:noProof/>
          <w:color w:val="auto"/>
          <w:lang w:eastAsia="en-GB"/>
        </w:rPr>
        <w:t xml:space="preserve">ry </w:t>
      </w:r>
      <w:r w:rsidRPr="00FE6013">
        <w:rPr>
          <w:rFonts w:ascii="Times New Roman" w:eastAsia="Calibri" w:hAnsi="Times New Roman" w:cs="Times New Roman"/>
          <w:noProof/>
          <w:color w:val="auto"/>
          <w:lang w:eastAsia="en-GB"/>
        </w:rPr>
        <w:t>into force of the new Regulation</w:t>
      </w:r>
      <w:r>
        <w:rPr>
          <w:rFonts w:ascii="Times New Roman" w:eastAsia="Calibri" w:hAnsi="Times New Roman" w:cs="Times New Roman"/>
          <w:noProof/>
          <w:color w:val="auto"/>
          <w:lang w:eastAsia="en-GB"/>
        </w:rPr>
        <w:t xml:space="preserve"> in September 202</w:t>
      </w:r>
      <w:r w:rsidR="00D529BB">
        <w:rPr>
          <w:rFonts w:ascii="Times New Roman" w:eastAsia="Calibri" w:hAnsi="Times New Roman" w:cs="Times New Roman"/>
          <w:noProof/>
          <w:color w:val="auto"/>
          <w:lang w:eastAsia="en-GB"/>
        </w:rPr>
        <w:t>1</w:t>
      </w:r>
      <w:r w:rsidRPr="00FE6013">
        <w:rPr>
          <w:rFonts w:ascii="Times New Roman" w:eastAsia="Calibri" w:hAnsi="Times New Roman" w:cs="Times New Roman"/>
          <w:noProof/>
          <w:color w:val="auto"/>
          <w:lang w:eastAsia="en-GB"/>
        </w:rPr>
        <w:t xml:space="preserve">, the DUCG started </w:t>
      </w:r>
      <w:r w:rsidR="000F4317">
        <w:rPr>
          <w:rFonts w:ascii="Times New Roman" w:eastAsia="Calibri" w:hAnsi="Times New Roman" w:cs="Times New Roman"/>
          <w:noProof/>
          <w:color w:val="auto"/>
          <w:lang w:eastAsia="en-GB"/>
        </w:rPr>
        <w:t>to work on its implementation</w:t>
      </w:r>
      <w:r w:rsidRPr="00FE6013">
        <w:rPr>
          <w:rFonts w:ascii="Times New Roman" w:eastAsia="Calibri" w:hAnsi="Times New Roman" w:cs="Times New Roman"/>
          <w:noProof/>
          <w:color w:val="auto"/>
          <w:lang w:eastAsia="en-GB"/>
        </w:rPr>
        <w:t>, agree</w:t>
      </w:r>
      <w:r w:rsidR="000F4317">
        <w:rPr>
          <w:rFonts w:ascii="Times New Roman" w:eastAsia="Calibri" w:hAnsi="Times New Roman" w:cs="Times New Roman"/>
          <w:noProof/>
          <w:color w:val="auto"/>
          <w:lang w:eastAsia="en-GB"/>
        </w:rPr>
        <w:t>ing</w:t>
      </w:r>
      <w:r w:rsidRPr="00FE6013">
        <w:rPr>
          <w:rFonts w:ascii="Times New Roman" w:eastAsia="Calibri" w:hAnsi="Times New Roman" w:cs="Times New Roman"/>
          <w:noProof/>
          <w:color w:val="auto"/>
          <w:lang w:eastAsia="en-GB"/>
        </w:rPr>
        <w:t xml:space="preserve"> </w:t>
      </w:r>
      <w:r w:rsidR="00994681">
        <w:rPr>
          <w:rFonts w:ascii="Times New Roman" w:eastAsia="Calibri" w:hAnsi="Times New Roman" w:cs="Times New Roman"/>
          <w:noProof/>
          <w:color w:val="auto"/>
          <w:lang w:eastAsia="en-GB"/>
        </w:rPr>
        <w:t>to</w:t>
      </w:r>
      <w:r w:rsidR="00994681" w:rsidRPr="00FE6013">
        <w:rPr>
          <w:rFonts w:ascii="Times New Roman" w:eastAsia="Calibri" w:hAnsi="Times New Roman" w:cs="Times New Roman"/>
          <w:noProof/>
          <w:color w:val="auto"/>
          <w:lang w:eastAsia="en-GB"/>
        </w:rPr>
        <w:t xml:space="preserve"> </w:t>
      </w:r>
      <w:r w:rsidRPr="00FE6013">
        <w:rPr>
          <w:rFonts w:ascii="Times New Roman" w:eastAsia="Calibri" w:hAnsi="Times New Roman" w:cs="Times New Roman"/>
          <w:noProof/>
          <w:color w:val="auto"/>
          <w:lang w:eastAsia="en-GB"/>
        </w:rPr>
        <w:t>regularly exchang</w:t>
      </w:r>
      <w:r w:rsidR="000F4317">
        <w:rPr>
          <w:rFonts w:ascii="Times New Roman" w:eastAsia="Calibri" w:hAnsi="Times New Roman" w:cs="Times New Roman"/>
          <w:noProof/>
          <w:color w:val="auto"/>
          <w:lang w:eastAsia="en-GB"/>
        </w:rPr>
        <w:t xml:space="preserve">e </w:t>
      </w:r>
      <w:r w:rsidRPr="00FE6013">
        <w:rPr>
          <w:rFonts w:ascii="Times New Roman" w:eastAsia="Calibri" w:hAnsi="Times New Roman" w:cs="Times New Roman"/>
          <w:noProof/>
          <w:color w:val="auto"/>
          <w:lang w:eastAsia="en-GB"/>
        </w:rPr>
        <w:t>information. For instance,</w:t>
      </w:r>
      <w:r w:rsidR="003A26B9" w:rsidRPr="003A26B9">
        <w:rPr>
          <w:rFonts w:ascii="Times New Roman" w:eastAsia="Calibri" w:hAnsi="Times New Roman" w:cs="Times New Roman"/>
          <w:noProof/>
          <w:color w:val="auto"/>
          <w:lang w:eastAsia="en-GB"/>
        </w:rPr>
        <w:t xml:space="preserve"> </w:t>
      </w:r>
      <w:r w:rsidR="003A26B9">
        <w:rPr>
          <w:rFonts w:ascii="Times New Roman" w:eastAsia="Calibri" w:hAnsi="Times New Roman" w:cs="Times New Roman"/>
          <w:noProof/>
          <w:color w:val="auto"/>
          <w:lang w:eastAsia="en-GB"/>
        </w:rPr>
        <w:t xml:space="preserve">the </w:t>
      </w:r>
      <w:r w:rsidR="003A26B9" w:rsidRPr="003A26B9">
        <w:rPr>
          <w:rFonts w:ascii="Times New Roman" w:eastAsia="Calibri" w:hAnsi="Times New Roman" w:cs="Times New Roman"/>
          <w:noProof/>
          <w:color w:val="auto"/>
          <w:lang w:eastAsia="en-GB"/>
        </w:rPr>
        <w:t>Commission invited Member States in the</w:t>
      </w:r>
      <w:r w:rsidRPr="00FE6013">
        <w:rPr>
          <w:rFonts w:ascii="Times New Roman" w:eastAsia="Calibri" w:hAnsi="Times New Roman" w:cs="Times New Roman"/>
          <w:noProof/>
          <w:color w:val="auto"/>
          <w:lang w:eastAsia="en-GB"/>
        </w:rPr>
        <w:t xml:space="preserve"> the DUCG </w:t>
      </w:r>
      <w:r w:rsidR="003A26B9">
        <w:rPr>
          <w:rFonts w:ascii="Times New Roman" w:eastAsia="Calibri" w:hAnsi="Times New Roman" w:cs="Times New Roman"/>
          <w:noProof/>
          <w:color w:val="auto"/>
          <w:lang w:eastAsia="en-GB"/>
        </w:rPr>
        <w:t xml:space="preserve">to </w:t>
      </w:r>
      <w:r w:rsidRPr="00FE6013">
        <w:rPr>
          <w:rFonts w:ascii="Times New Roman" w:eastAsia="Calibri" w:hAnsi="Times New Roman" w:cs="Times New Roman"/>
          <w:noProof/>
          <w:color w:val="auto"/>
          <w:lang w:eastAsia="en-GB"/>
        </w:rPr>
        <w:t xml:space="preserve">start reflecting on the new provisions of the Regulation, requiring publication of national measures and national control lists </w:t>
      </w:r>
      <w:r w:rsidR="003F1FF1">
        <w:rPr>
          <w:rFonts w:ascii="Times New Roman" w:eastAsia="Calibri" w:hAnsi="Times New Roman" w:cs="Times New Roman"/>
          <w:noProof/>
          <w:color w:val="auto"/>
          <w:lang w:eastAsia="en-GB"/>
        </w:rPr>
        <w:t>(</w:t>
      </w:r>
      <w:r w:rsidRPr="00FE6013">
        <w:rPr>
          <w:rFonts w:ascii="Times New Roman" w:eastAsia="Calibri" w:hAnsi="Times New Roman" w:cs="Times New Roman"/>
          <w:noProof/>
          <w:color w:val="auto"/>
          <w:lang w:eastAsia="en-GB"/>
        </w:rPr>
        <w:t>Article</w:t>
      </w:r>
      <w:r w:rsidR="00D529BB">
        <w:rPr>
          <w:rFonts w:ascii="Times New Roman" w:eastAsia="Calibri" w:hAnsi="Times New Roman" w:cs="Times New Roman"/>
          <w:noProof/>
          <w:color w:val="auto"/>
          <w:lang w:eastAsia="en-GB"/>
        </w:rPr>
        <w:t>s</w:t>
      </w:r>
      <w:r w:rsidRPr="00FE6013">
        <w:rPr>
          <w:rFonts w:ascii="Times New Roman" w:eastAsia="Calibri" w:hAnsi="Times New Roman" w:cs="Times New Roman"/>
          <w:noProof/>
          <w:color w:val="auto"/>
          <w:lang w:eastAsia="en-GB"/>
        </w:rPr>
        <w:t xml:space="preserve"> 9 and 10</w:t>
      </w:r>
      <w:r w:rsidR="003F1FF1">
        <w:rPr>
          <w:rFonts w:ascii="Times New Roman" w:eastAsia="Calibri" w:hAnsi="Times New Roman" w:cs="Times New Roman"/>
          <w:noProof/>
          <w:color w:val="auto"/>
          <w:lang w:eastAsia="en-GB"/>
        </w:rPr>
        <w:t>)</w:t>
      </w:r>
      <w:r w:rsidRPr="00FE6013">
        <w:rPr>
          <w:rFonts w:ascii="Times New Roman" w:eastAsia="Calibri" w:hAnsi="Times New Roman" w:cs="Times New Roman"/>
          <w:noProof/>
          <w:color w:val="auto"/>
          <w:lang w:eastAsia="en-GB"/>
        </w:rPr>
        <w:t>.</w:t>
      </w:r>
    </w:p>
    <w:p w14:paraId="56E88311" w14:textId="77777777" w:rsidR="001B5C4A" w:rsidRDefault="001B5C4A" w:rsidP="00AA655D">
      <w:pPr>
        <w:pStyle w:val="Default"/>
        <w:jc w:val="both"/>
        <w:rPr>
          <w:rFonts w:ascii="Times New Roman" w:eastAsia="Calibri" w:hAnsi="Times New Roman" w:cs="Times New Roman"/>
          <w:noProof/>
          <w:color w:val="auto"/>
          <w:lang w:eastAsia="en-GB"/>
        </w:rPr>
      </w:pPr>
    </w:p>
    <w:p w14:paraId="30F90675" w14:textId="146E56E1" w:rsidR="00AA655D" w:rsidRDefault="00AA655D" w:rsidP="003A26B9">
      <w:pPr>
        <w:pStyle w:val="Default"/>
        <w:jc w:val="both"/>
        <w:rPr>
          <w:rFonts w:ascii="Times New Roman" w:eastAsia="Calibri" w:hAnsi="Times New Roman" w:cs="Times New Roman"/>
          <w:noProof/>
          <w:color w:val="auto"/>
          <w:lang w:eastAsia="en-GB"/>
        </w:rPr>
      </w:pPr>
      <w:r w:rsidRPr="00D529BB">
        <w:rPr>
          <w:rFonts w:ascii="Times New Roman" w:eastAsia="Calibri" w:hAnsi="Times New Roman" w:cs="Times New Roman"/>
          <w:noProof/>
          <w:color w:val="auto"/>
          <w:lang w:eastAsia="en-GB"/>
        </w:rPr>
        <w:t xml:space="preserve">The </w:t>
      </w:r>
      <w:r w:rsidR="00C52F45">
        <w:rPr>
          <w:rFonts w:ascii="Times New Roman" w:eastAsia="Calibri" w:hAnsi="Times New Roman" w:cs="Times New Roman"/>
          <w:noProof/>
          <w:color w:val="auto"/>
          <w:lang w:eastAsia="en-GB"/>
        </w:rPr>
        <w:t>Commission</w:t>
      </w:r>
      <w:r w:rsidR="003A26B9" w:rsidRPr="00D529BB">
        <w:rPr>
          <w:rFonts w:ascii="Times New Roman" w:eastAsia="Calibri" w:hAnsi="Times New Roman" w:cs="Times New Roman"/>
          <w:noProof/>
          <w:color w:val="auto"/>
          <w:lang w:eastAsia="en-GB"/>
        </w:rPr>
        <w:t xml:space="preserve"> </w:t>
      </w:r>
      <w:r w:rsidR="000F4317">
        <w:rPr>
          <w:rFonts w:ascii="Times New Roman" w:eastAsia="Calibri" w:hAnsi="Times New Roman" w:cs="Times New Roman"/>
          <w:noProof/>
          <w:color w:val="auto"/>
          <w:lang w:eastAsia="en-GB"/>
        </w:rPr>
        <w:t>collected information on</w:t>
      </w:r>
      <w:r>
        <w:rPr>
          <w:rFonts w:eastAsia="Calibri"/>
          <w:noProof/>
          <w:lang w:eastAsia="en-GB"/>
        </w:rPr>
        <w:t xml:space="preserve"> </w:t>
      </w:r>
      <w:r w:rsidRPr="00D529BB">
        <w:rPr>
          <w:rFonts w:ascii="Times New Roman" w:eastAsia="Calibri" w:hAnsi="Times New Roman" w:cs="Times New Roman"/>
          <w:b/>
          <w:i/>
          <w:noProof/>
          <w:lang w:eastAsia="en-GB"/>
        </w:rPr>
        <w:t xml:space="preserve">licensing data </w:t>
      </w:r>
      <w:r w:rsidR="003A26B9" w:rsidRPr="0063751B">
        <w:rPr>
          <w:rFonts w:ascii="Times New Roman" w:eastAsia="Calibri" w:hAnsi="Times New Roman" w:cs="Times New Roman"/>
          <w:i/>
          <w:iCs/>
          <w:noProof/>
          <w:lang w:eastAsia="en-GB"/>
        </w:rPr>
        <w:t>with the suppor</w:t>
      </w:r>
      <w:r w:rsidR="00EC19E7">
        <w:rPr>
          <w:rFonts w:ascii="Times New Roman" w:eastAsia="Calibri" w:hAnsi="Times New Roman" w:cs="Times New Roman"/>
          <w:i/>
          <w:iCs/>
          <w:noProof/>
          <w:lang w:eastAsia="en-GB"/>
        </w:rPr>
        <w:t>t</w:t>
      </w:r>
      <w:r w:rsidR="003A26B9" w:rsidRPr="0063751B">
        <w:rPr>
          <w:rFonts w:ascii="Times New Roman" w:eastAsia="Calibri" w:hAnsi="Times New Roman" w:cs="Times New Roman"/>
          <w:i/>
          <w:iCs/>
          <w:noProof/>
          <w:lang w:eastAsia="en-GB"/>
        </w:rPr>
        <w:t xml:space="preserve"> of the DUCG</w:t>
      </w:r>
      <w:r w:rsidR="003A26B9" w:rsidRPr="0063751B">
        <w:rPr>
          <w:rFonts w:ascii="Times New Roman" w:eastAsia="Calibri" w:hAnsi="Times New Roman" w:cs="Times New Roman"/>
          <w:i/>
          <w:noProof/>
          <w:lang w:eastAsia="en-GB"/>
        </w:rPr>
        <w:t xml:space="preserve"> </w:t>
      </w:r>
      <w:r w:rsidRPr="00D529BB">
        <w:rPr>
          <w:rFonts w:ascii="Times New Roman" w:eastAsia="Calibri" w:hAnsi="Times New Roman" w:cs="Times New Roman"/>
          <w:noProof/>
          <w:color w:val="auto"/>
          <w:lang w:eastAsia="en-GB"/>
        </w:rPr>
        <w:t xml:space="preserve">in order to </w:t>
      </w:r>
      <w:r w:rsidR="00847217" w:rsidRPr="00D529BB">
        <w:rPr>
          <w:rFonts w:ascii="Times New Roman" w:eastAsia="Calibri" w:hAnsi="Times New Roman" w:cs="Times New Roman"/>
          <w:noProof/>
          <w:color w:val="auto"/>
          <w:lang w:eastAsia="en-GB"/>
        </w:rPr>
        <w:t xml:space="preserve">provide an overview of the implementation of export controls </w:t>
      </w:r>
      <w:r w:rsidRPr="00D529BB">
        <w:rPr>
          <w:rFonts w:ascii="Times New Roman" w:eastAsia="Calibri" w:hAnsi="Times New Roman" w:cs="Times New Roman"/>
          <w:noProof/>
          <w:color w:val="auto"/>
          <w:lang w:eastAsia="en-GB"/>
        </w:rPr>
        <w:t>and to increase public transparency on EU dual-use export controls (EU 20</w:t>
      </w:r>
      <w:r w:rsidR="008C0D3F" w:rsidRPr="00D529BB">
        <w:rPr>
          <w:rFonts w:ascii="Times New Roman" w:eastAsia="Calibri" w:hAnsi="Times New Roman" w:cs="Times New Roman"/>
          <w:noProof/>
          <w:color w:val="auto"/>
          <w:lang w:eastAsia="en-GB"/>
        </w:rPr>
        <w:t>20</w:t>
      </w:r>
      <w:r w:rsidR="00EC19E7">
        <w:rPr>
          <w:rFonts w:ascii="Times New Roman" w:eastAsia="Calibri" w:hAnsi="Times New Roman" w:cs="Times New Roman"/>
          <w:noProof/>
          <w:color w:val="auto"/>
          <w:lang w:eastAsia="en-GB"/>
        </w:rPr>
        <w:t xml:space="preserve"> aggregated </w:t>
      </w:r>
      <w:r w:rsidRPr="00D529BB">
        <w:rPr>
          <w:rFonts w:ascii="Times New Roman" w:eastAsia="Calibri" w:hAnsi="Times New Roman" w:cs="Times New Roman"/>
          <w:noProof/>
          <w:color w:val="auto"/>
          <w:lang w:eastAsia="en-GB"/>
        </w:rPr>
        <w:t>data was used in the preparation of this annual report).</w:t>
      </w:r>
      <w:r w:rsidR="008C7685" w:rsidRPr="00D529BB">
        <w:rPr>
          <w:rFonts w:ascii="Times New Roman" w:eastAsia="Calibri" w:hAnsi="Times New Roman" w:cs="Times New Roman"/>
          <w:noProof/>
          <w:color w:val="auto"/>
          <w:lang w:eastAsia="en-GB"/>
        </w:rPr>
        <w:t xml:space="preserve"> </w:t>
      </w:r>
    </w:p>
    <w:p w14:paraId="5C7983D4" w14:textId="77777777" w:rsidR="00D529BB" w:rsidRPr="00D529BB" w:rsidRDefault="00D529BB" w:rsidP="00D529BB">
      <w:pPr>
        <w:pStyle w:val="Default"/>
        <w:jc w:val="both"/>
        <w:rPr>
          <w:rFonts w:ascii="Times New Roman" w:eastAsia="Calibri" w:hAnsi="Times New Roman" w:cs="Times New Roman"/>
          <w:noProof/>
          <w:color w:val="auto"/>
          <w:lang w:eastAsia="en-GB"/>
        </w:rPr>
      </w:pPr>
    </w:p>
    <w:p w14:paraId="3CC3473D" w14:textId="52CE8DBD" w:rsidR="00AA655D" w:rsidRDefault="00161E18" w:rsidP="00AA655D">
      <w:pPr>
        <w:jc w:val="both"/>
        <w:rPr>
          <w:rFonts w:eastAsia="Calibri"/>
          <w:noProof/>
        </w:rPr>
      </w:pPr>
      <w:r w:rsidRPr="00A45200">
        <w:rPr>
          <w:rFonts w:eastAsia="Calibri"/>
          <w:noProof/>
        </w:rPr>
        <w:t xml:space="preserve">The DUCG conducted a </w:t>
      </w:r>
      <w:r w:rsidRPr="00A45200">
        <w:rPr>
          <w:rFonts w:eastAsia="Calibri"/>
          <w:b/>
          <w:i/>
          <w:noProof/>
        </w:rPr>
        <w:t>technical exchange of information on the application of controls on cyber-surveillance technologies</w:t>
      </w:r>
      <w:r w:rsidR="0058303A" w:rsidRPr="00A45200">
        <w:rPr>
          <w:rFonts w:eastAsia="Calibri"/>
          <w:noProof/>
        </w:rPr>
        <w:t xml:space="preserve"> in 20</w:t>
      </w:r>
      <w:r w:rsidR="008F4DC2">
        <w:rPr>
          <w:rFonts w:eastAsia="Calibri"/>
          <w:noProof/>
        </w:rPr>
        <w:t>20</w:t>
      </w:r>
      <w:r w:rsidRPr="00A45200">
        <w:rPr>
          <w:rFonts w:eastAsia="Calibri"/>
          <w:noProof/>
        </w:rPr>
        <w:t>.</w:t>
      </w:r>
      <w:r w:rsidR="00277A08" w:rsidRPr="00A45200">
        <w:rPr>
          <w:rFonts w:eastAsia="Calibri"/>
          <w:noProof/>
        </w:rPr>
        <w:t xml:space="preserve"> </w:t>
      </w:r>
      <w:r w:rsidR="00AA655D" w:rsidRPr="00683668">
        <w:rPr>
          <w:rFonts w:eastAsia="Calibri"/>
          <w:noProof/>
        </w:rPr>
        <w:t>The data collected from Member States shows a decrease in the number of licences</w:t>
      </w:r>
      <w:r w:rsidR="000F4317">
        <w:rPr>
          <w:rFonts w:eastAsia="Calibri"/>
          <w:noProof/>
        </w:rPr>
        <w:t xml:space="preserve"> for the export of these technologies</w:t>
      </w:r>
      <w:r w:rsidR="00277A08" w:rsidRPr="00683668">
        <w:rPr>
          <w:rFonts w:eastAsia="Calibri"/>
          <w:noProof/>
        </w:rPr>
        <w:t xml:space="preserve"> (</w:t>
      </w:r>
      <w:r w:rsidR="002B79F2" w:rsidRPr="00683668">
        <w:rPr>
          <w:rFonts w:eastAsia="Calibri"/>
          <w:noProof/>
        </w:rPr>
        <w:t>s</w:t>
      </w:r>
      <w:r w:rsidR="00277A08" w:rsidRPr="00683668">
        <w:rPr>
          <w:rFonts w:eastAsia="Calibri"/>
          <w:noProof/>
        </w:rPr>
        <w:t>ee T</w:t>
      </w:r>
      <w:r w:rsidR="00326187" w:rsidRPr="00683668">
        <w:rPr>
          <w:rFonts w:eastAsia="Calibri"/>
          <w:noProof/>
        </w:rPr>
        <w:t xml:space="preserve">able </w:t>
      </w:r>
      <w:r w:rsidR="00277A08" w:rsidRPr="00683668">
        <w:rPr>
          <w:rFonts w:eastAsia="Calibri"/>
          <w:noProof/>
        </w:rPr>
        <w:t>1</w:t>
      </w:r>
      <w:r w:rsidR="00AA655D" w:rsidRPr="00683668">
        <w:rPr>
          <w:rFonts w:eastAsia="Calibri"/>
          <w:noProof/>
        </w:rPr>
        <w:t>)</w:t>
      </w:r>
      <w:r w:rsidR="001F166C" w:rsidRPr="00683668">
        <w:rPr>
          <w:rFonts w:eastAsia="Calibri"/>
          <w:noProof/>
        </w:rPr>
        <w:t>, with a total of 39</w:t>
      </w:r>
      <w:r w:rsidR="00277A08" w:rsidRPr="00683668">
        <w:rPr>
          <w:rFonts w:eastAsia="Calibri"/>
          <w:noProof/>
        </w:rPr>
        <w:t xml:space="preserve"> licenses for listed cyber-surveillance items</w:t>
      </w:r>
      <w:r w:rsidR="00277A08" w:rsidRPr="00683668">
        <w:rPr>
          <w:rStyle w:val="FootnoteReference"/>
          <w:rFonts w:eastAsia="Calibri"/>
          <w:noProof/>
        </w:rPr>
        <w:footnoteReference w:id="19"/>
      </w:r>
      <w:r w:rsidR="00277A08" w:rsidRPr="00683668">
        <w:rPr>
          <w:rFonts w:eastAsia="Calibri"/>
          <w:noProof/>
        </w:rPr>
        <w:t xml:space="preserve"> issued</w:t>
      </w:r>
      <w:r w:rsidR="001F166C" w:rsidRPr="00683668">
        <w:rPr>
          <w:rFonts w:eastAsia="Calibri"/>
          <w:noProof/>
        </w:rPr>
        <w:t xml:space="preserve"> in 2020</w:t>
      </w:r>
      <w:r w:rsidR="00AA655D" w:rsidRPr="00683668">
        <w:rPr>
          <w:rFonts w:eastAsia="Calibri"/>
          <w:noProof/>
        </w:rPr>
        <w:t xml:space="preserve">. In the same period, </w:t>
      </w:r>
      <w:r w:rsidR="001F166C" w:rsidRPr="00683668">
        <w:rPr>
          <w:rFonts w:eastAsia="Calibri"/>
          <w:noProof/>
        </w:rPr>
        <w:t>32</w:t>
      </w:r>
      <w:r w:rsidR="00AA655D" w:rsidRPr="00683668">
        <w:rPr>
          <w:rFonts w:eastAsia="Calibri"/>
          <w:noProof/>
        </w:rPr>
        <w:t xml:space="preserve"> denials were issued for cyber-surveillance items.</w:t>
      </w:r>
      <w:r w:rsidR="00AA655D" w:rsidRPr="00A45200">
        <w:rPr>
          <w:rFonts w:eastAsia="Calibri"/>
          <w:noProof/>
        </w:rPr>
        <w:t xml:space="preserve"> </w:t>
      </w:r>
    </w:p>
    <w:p w14:paraId="59206A4B" w14:textId="387273BB" w:rsidR="006F4A24" w:rsidRDefault="006F4A24" w:rsidP="00AA655D">
      <w:pPr>
        <w:jc w:val="both"/>
        <w:rPr>
          <w:rFonts w:eastAsia="Calibri"/>
          <w:noProof/>
        </w:rPr>
      </w:pPr>
    </w:p>
    <w:p w14:paraId="19CE9864" w14:textId="66412830" w:rsidR="006F4A24" w:rsidRPr="00F72887" w:rsidRDefault="006F4A24" w:rsidP="00AA655D">
      <w:pPr>
        <w:jc w:val="both"/>
        <w:rPr>
          <w:rFonts w:eastAsia="Calibri"/>
          <w:noProof/>
        </w:rPr>
      </w:pPr>
      <w:r>
        <w:rPr>
          <w:rFonts w:eastAsia="Calibri"/>
          <w:noProof/>
          <w:lang w:eastAsia="en-GB"/>
        </w:rPr>
        <w:drawing>
          <wp:inline distT="0" distB="0" distL="0" distR="0" wp14:anchorId="74B1CB00" wp14:editId="5F796805">
            <wp:extent cx="6009851" cy="2738341"/>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28106" cy="2746659"/>
                    </a:xfrm>
                    <a:prstGeom prst="rect">
                      <a:avLst/>
                    </a:prstGeom>
                    <a:noFill/>
                  </pic:spPr>
                </pic:pic>
              </a:graphicData>
            </a:graphic>
          </wp:inline>
        </w:drawing>
      </w:r>
    </w:p>
    <w:p w14:paraId="0F117B76" w14:textId="6193DD2E" w:rsidR="005A616B" w:rsidRPr="00277A08" w:rsidRDefault="00F72887" w:rsidP="00AA655D">
      <w:pPr>
        <w:jc w:val="both"/>
        <w:rPr>
          <w:rFonts w:eastAsia="Times New Roman"/>
          <w:noProof/>
        </w:rPr>
      </w:pPr>
      <w:r w:rsidRPr="00277A08">
        <w:rPr>
          <w:noProof/>
          <w:lang w:val="en-IE" w:eastAsia="fr-BE"/>
        </w:rPr>
        <w:t xml:space="preserve"> </w:t>
      </w:r>
    </w:p>
    <w:p w14:paraId="2CBA0FEC" w14:textId="77777777" w:rsidR="00277A08" w:rsidRPr="006F4A24" w:rsidRDefault="005A616B" w:rsidP="00AA655D">
      <w:pPr>
        <w:jc w:val="both"/>
        <w:rPr>
          <w:rFonts w:eastAsia="Times New Roman"/>
          <w:i/>
          <w:noProof/>
          <w:sz w:val="20"/>
          <w:szCs w:val="20"/>
          <w:lang w:eastAsia="en-GB"/>
        </w:rPr>
      </w:pPr>
      <w:r w:rsidRPr="006F4A24">
        <w:rPr>
          <w:rFonts w:eastAsia="Times New Roman"/>
          <w:i/>
          <w:noProof/>
          <w:sz w:val="20"/>
          <w:szCs w:val="20"/>
          <w:lang w:eastAsia="en-GB"/>
        </w:rPr>
        <w:t>Table 1: Number of individual licences for listed cyber-surveillance items.</w:t>
      </w:r>
    </w:p>
    <w:p w14:paraId="79019118" w14:textId="77777777" w:rsidR="00F72887" w:rsidRDefault="00F72887" w:rsidP="00AA655D">
      <w:pPr>
        <w:jc w:val="both"/>
        <w:rPr>
          <w:rFonts w:eastAsia="Calibri"/>
          <w:noProof/>
          <w:lang w:eastAsia="en-GB"/>
        </w:rPr>
      </w:pPr>
    </w:p>
    <w:p w14:paraId="4C28470B" w14:textId="77777777" w:rsidR="00AA655D" w:rsidRDefault="00AA655D" w:rsidP="007B799A">
      <w:pPr>
        <w:keepNext/>
        <w:tabs>
          <w:tab w:val="left" w:pos="850"/>
        </w:tabs>
        <w:spacing w:after="120"/>
        <w:ind w:left="850" w:hanging="850"/>
        <w:jc w:val="both"/>
        <w:outlineLvl w:val="1"/>
        <w:rPr>
          <w:rFonts w:eastAsia="Times New Roman"/>
          <w:b/>
          <w:noProof/>
          <w:lang w:eastAsia="en-GB"/>
        </w:rPr>
      </w:pPr>
      <w:r>
        <w:rPr>
          <w:rFonts w:eastAsia="Times New Roman"/>
          <w:b/>
          <w:noProof/>
          <w:lang w:eastAsia="en-GB"/>
        </w:rPr>
        <w:t>3.2</w:t>
      </w:r>
      <w:r w:rsidR="00617132">
        <w:rPr>
          <w:rFonts w:eastAsia="Times New Roman"/>
          <w:b/>
          <w:noProof/>
          <w:lang w:eastAsia="en-GB"/>
        </w:rPr>
        <w:t>.</w:t>
      </w:r>
      <w:r>
        <w:rPr>
          <w:rFonts w:eastAsia="Times New Roman"/>
          <w:b/>
          <w:noProof/>
          <w:lang w:eastAsia="en-GB"/>
        </w:rPr>
        <w:tab/>
        <w:t xml:space="preserve">Technical </w:t>
      </w:r>
      <w:r>
        <w:rPr>
          <w:rFonts w:eastAsia="Calibri"/>
          <w:b/>
          <w:noProof/>
        </w:rPr>
        <w:t xml:space="preserve">exchange of information </w:t>
      </w:r>
      <w:r w:rsidR="00326187">
        <w:rPr>
          <w:rFonts w:eastAsia="Calibri"/>
          <w:b/>
          <w:noProof/>
        </w:rPr>
        <w:t>–</w:t>
      </w:r>
      <w:r>
        <w:rPr>
          <w:rFonts w:eastAsia="Calibri"/>
          <w:b/>
          <w:noProof/>
        </w:rPr>
        <w:t xml:space="preserve"> implementation issues</w:t>
      </w:r>
      <w:r>
        <w:rPr>
          <w:rFonts w:eastAsia="Times New Roman"/>
          <w:b/>
          <w:noProof/>
          <w:lang w:eastAsia="en-GB"/>
        </w:rPr>
        <w:t xml:space="preserve"> </w:t>
      </w:r>
    </w:p>
    <w:p w14:paraId="1A4CA346" w14:textId="44CEF25F" w:rsidR="000813D6" w:rsidRDefault="00E47706" w:rsidP="00E47706">
      <w:pPr>
        <w:pStyle w:val="ListParagraph"/>
        <w:ind w:left="0"/>
        <w:jc w:val="both"/>
        <w:rPr>
          <w:rFonts w:ascii="Times New Roman" w:hAnsi="Times New Roman" w:cs="Times New Roman"/>
          <w:noProof/>
          <w:sz w:val="24"/>
          <w:szCs w:val="24"/>
        </w:rPr>
      </w:pPr>
      <w:bookmarkStart w:id="7" w:name="_Toc368065777"/>
      <w:r>
        <w:rPr>
          <w:rFonts w:ascii="Times New Roman" w:hAnsi="Times New Roman" w:cs="Times New Roman"/>
          <w:noProof/>
          <w:sz w:val="24"/>
          <w:szCs w:val="24"/>
        </w:rPr>
        <w:t>Under coordi</w:t>
      </w:r>
      <w:r w:rsidRPr="00E47706">
        <w:rPr>
          <w:rFonts w:ascii="Times New Roman" w:hAnsi="Times New Roman" w:cs="Times New Roman"/>
          <w:noProof/>
          <w:sz w:val="24"/>
          <w:szCs w:val="24"/>
        </w:rPr>
        <w:t>n</w:t>
      </w:r>
      <w:r>
        <w:rPr>
          <w:rFonts w:ascii="Times New Roman" w:hAnsi="Times New Roman" w:cs="Times New Roman"/>
          <w:noProof/>
          <w:sz w:val="24"/>
          <w:szCs w:val="24"/>
        </w:rPr>
        <w:t>a</w:t>
      </w:r>
      <w:r w:rsidRPr="00E47706">
        <w:rPr>
          <w:rFonts w:ascii="Times New Roman" w:hAnsi="Times New Roman" w:cs="Times New Roman"/>
          <w:noProof/>
          <w:sz w:val="24"/>
          <w:szCs w:val="24"/>
        </w:rPr>
        <w:t>tion of the Commission, the</w:t>
      </w:r>
      <w:r>
        <w:rPr>
          <w:rFonts w:ascii="Times New Roman" w:hAnsi="Times New Roman" w:cs="Times New Roman"/>
          <w:noProof/>
          <w:sz w:val="24"/>
          <w:szCs w:val="24"/>
        </w:rPr>
        <w:t xml:space="preserve"> </w:t>
      </w:r>
      <w:r w:rsidR="005973A5" w:rsidRPr="005973A5">
        <w:rPr>
          <w:rFonts w:ascii="Times New Roman" w:hAnsi="Times New Roman" w:cs="Times New Roman"/>
          <w:noProof/>
          <w:sz w:val="24"/>
          <w:szCs w:val="24"/>
        </w:rPr>
        <w:t xml:space="preserve">DUCG </w:t>
      </w:r>
      <w:r w:rsidR="00553BA1">
        <w:rPr>
          <w:rFonts w:ascii="Times New Roman" w:hAnsi="Times New Roman" w:cs="Times New Roman"/>
          <w:noProof/>
          <w:sz w:val="24"/>
          <w:szCs w:val="24"/>
        </w:rPr>
        <w:t>took initiatives to address certain technical implementation issues and set up dedicated expert groups to implement the requirements of the new Regulation</w:t>
      </w:r>
      <w:r w:rsidR="000813D6">
        <w:rPr>
          <w:rFonts w:ascii="Times New Roman" w:hAnsi="Times New Roman" w:cs="Times New Roman"/>
          <w:noProof/>
          <w:sz w:val="24"/>
          <w:szCs w:val="24"/>
        </w:rPr>
        <w:t>.</w:t>
      </w:r>
    </w:p>
    <w:p w14:paraId="09208009" w14:textId="77777777" w:rsidR="000813D6" w:rsidRDefault="000813D6" w:rsidP="000813D6">
      <w:pPr>
        <w:pStyle w:val="ListParagraph"/>
        <w:ind w:left="0"/>
        <w:jc w:val="both"/>
        <w:rPr>
          <w:rFonts w:ascii="Times New Roman" w:hAnsi="Times New Roman" w:cs="Times New Roman"/>
          <w:noProof/>
          <w:sz w:val="24"/>
          <w:szCs w:val="24"/>
        </w:rPr>
      </w:pPr>
    </w:p>
    <w:p w14:paraId="3EDC9750" w14:textId="555E59BF" w:rsidR="008B1E49" w:rsidRDefault="00E47706" w:rsidP="00E47706">
      <w:pPr>
        <w:pStyle w:val="ListParagraph"/>
        <w:ind w:left="0"/>
        <w:jc w:val="both"/>
        <w:rPr>
          <w:rFonts w:ascii="Times New Roman" w:hAnsi="Times New Roman" w:cs="Times New Roman"/>
          <w:noProof/>
          <w:sz w:val="24"/>
          <w:szCs w:val="24"/>
        </w:rPr>
      </w:pPr>
      <w:r w:rsidRPr="00E47706">
        <w:rPr>
          <w:rFonts w:ascii="Times New Roman" w:hAnsi="Times New Roman" w:cs="Times New Roman"/>
          <w:noProof/>
          <w:sz w:val="24"/>
          <w:szCs w:val="24"/>
        </w:rPr>
        <w:t>Member States’ competent authorities in</w:t>
      </w:r>
      <w:r>
        <w:rPr>
          <w:rFonts w:ascii="Times New Roman" w:hAnsi="Times New Roman" w:cs="Times New Roman"/>
          <w:noProof/>
          <w:sz w:val="24"/>
          <w:szCs w:val="24"/>
        </w:rPr>
        <w:t xml:space="preserve"> the</w:t>
      </w:r>
      <w:r w:rsidR="000813D6">
        <w:rPr>
          <w:rFonts w:ascii="Times New Roman" w:hAnsi="Times New Roman" w:cs="Times New Roman"/>
          <w:noProof/>
          <w:sz w:val="24"/>
          <w:szCs w:val="24"/>
        </w:rPr>
        <w:t xml:space="preserve"> DUCG </w:t>
      </w:r>
      <w:r w:rsidR="00553BA1">
        <w:rPr>
          <w:rFonts w:ascii="Times New Roman" w:hAnsi="Times New Roman" w:cs="Times New Roman"/>
          <w:noProof/>
          <w:sz w:val="24"/>
          <w:szCs w:val="24"/>
        </w:rPr>
        <w:t xml:space="preserve">provided technical expertise </w:t>
      </w:r>
      <w:r w:rsidR="000F4317">
        <w:rPr>
          <w:rFonts w:ascii="Times New Roman" w:hAnsi="Times New Roman" w:cs="Times New Roman"/>
          <w:noProof/>
          <w:sz w:val="24"/>
          <w:szCs w:val="24"/>
        </w:rPr>
        <w:t xml:space="preserve">supporting </w:t>
      </w:r>
      <w:r w:rsidR="000813D6">
        <w:rPr>
          <w:rFonts w:ascii="Times New Roman" w:hAnsi="Times New Roman" w:cs="Times New Roman"/>
          <w:noProof/>
          <w:sz w:val="24"/>
          <w:szCs w:val="24"/>
        </w:rPr>
        <w:t>the</w:t>
      </w:r>
      <w:r w:rsidR="005973A5" w:rsidRPr="005973A5">
        <w:rPr>
          <w:rFonts w:ascii="Times New Roman" w:hAnsi="Times New Roman" w:cs="Times New Roman"/>
          <w:noProof/>
          <w:sz w:val="24"/>
          <w:szCs w:val="24"/>
        </w:rPr>
        <w:t xml:space="preserve"> updates to the EU control list</w:t>
      </w:r>
      <w:r w:rsidR="00553BA1">
        <w:rPr>
          <w:rFonts w:ascii="Times New Roman" w:hAnsi="Times New Roman" w:cs="Times New Roman"/>
          <w:noProof/>
          <w:sz w:val="24"/>
          <w:szCs w:val="24"/>
        </w:rPr>
        <w:t>,</w:t>
      </w:r>
      <w:r w:rsidR="005973A5" w:rsidRPr="005973A5">
        <w:rPr>
          <w:rFonts w:ascii="Times New Roman" w:hAnsi="Times New Roman" w:cs="Times New Roman"/>
          <w:noProof/>
          <w:sz w:val="24"/>
          <w:szCs w:val="24"/>
        </w:rPr>
        <w:t xml:space="preserve"> and engaged in discussions on a number of specific implementation issues such as </w:t>
      </w:r>
      <w:r w:rsidR="00553BA1">
        <w:rPr>
          <w:rFonts w:ascii="Times New Roman" w:hAnsi="Times New Roman" w:cs="Times New Roman"/>
          <w:noProof/>
          <w:sz w:val="24"/>
          <w:szCs w:val="24"/>
        </w:rPr>
        <w:t xml:space="preserve">the need to </w:t>
      </w:r>
      <w:r w:rsidR="005973A5" w:rsidRPr="005973A5">
        <w:rPr>
          <w:rFonts w:ascii="Times New Roman" w:hAnsi="Times New Roman" w:cs="Times New Roman"/>
          <w:noProof/>
          <w:sz w:val="24"/>
          <w:szCs w:val="24"/>
        </w:rPr>
        <w:t>enhance information exchange under EU General Export Authorisations (EUGEAs)</w:t>
      </w:r>
      <w:r w:rsidR="000813D6">
        <w:rPr>
          <w:rFonts w:ascii="Times New Roman" w:hAnsi="Times New Roman" w:cs="Times New Roman"/>
          <w:noProof/>
          <w:sz w:val="24"/>
          <w:szCs w:val="24"/>
        </w:rPr>
        <w:t xml:space="preserve"> and</w:t>
      </w:r>
      <w:r w:rsidR="00553BA1">
        <w:rPr>
          <w:rFonts w:ascii="Times New Roman" w:hAnsi="Times New Roman" w:cs="Times New Roman"/>
          <w:noProof/>
          <w:sz w:val="24"/>
          <w:szCs w:val="24"/>
        </w:rPr>
        <w:t xml:space="preserve"> </w:t>
      </w:r>
      <w:r w:rsidR="005973A5" w:rsidRPr="005973A5">
        <w:rPr>
          <w:rFonts w:ascii="Times New Roman" w:hAnsi="Times New Roman" w:cs="Times New Roman"/>
          <w:noProof/>
          <w:sz w:val="24"/>
          <w:szCs w:val="24"/>
        </w:rPr>
        <w:t>under global licences</w:t>
      </w:r>
      <w:r w:rsidR="00553BA1">
        <w:rPr>
          <w:rFonts w:ascii="Times New Roman" w:hAnsi="Times New Roman" w:cs="Times New Roman"/>
          <w:noProof/>
          <w:sz w:val="24"/>
          <w:szCs w:val="24"/>
        </w:rPr>
        <w:t>,</w:t>
      </w:r>
      <w:r w:rsidR="005973A5" w:rsidRPr="005973A5">
        <w:rPr>
          <w:rFonts w:ascii="Times New Roman" w:hAnsi="Times New Roman" w:cs="Times New Roman"/>
          <w:noProof/>
          <w:sz w:val="24"/>
          <w:szCs w:val="24"/>
        </w:rPr>
        <w:t xml:space="preserve"> or the development of a consultation mechanism between competent authorities concerning information on exporters using global licences</w:t>
      </w:r>
      <w:r w:rsidR="007111EB">
        <w:rPr>
          <w:rFonts w:ascii="Times New Roman" w:hAnsi="Times New Roman" w:cs="Times New Roman"/>
          <w:noProof/>
          <w:sz w:val="24"/>
          <w:szCs w:val="24"/>
        </w:rPr>
        <w:t>.</w:t>
      </w:r>
    </w:p>
    <w:p w14:paraId="2FA59AD3" w14:textId="77777777" w:rsidR="00B8354C" w:rsidRDefault="00B8354C" w:rsidP="00AA655D">
      <w:pPr>
        <w:pStyle w:val="ListParagraph"/>
        <w:ind w:left="0"/>
        <w:jc w:val="both"/>
        <w:rPr>
          <w:rFonts w:ascii="Times New Roman" w:hAnsi="Times New Roman" w:cs="Times New Roman"/>
          <w:noProof/>
          <w:sz w:val="24"/>
          <w:szCs w:val="24"/>
        </w:rPr>
      </w:pPr>
    </w:p>
    <w:p w14:paraId="7F31646B" w14:textId="77777777" w:rsidR="00B8354C" w:rsidRPr="00B8354C" w:rsidRDefault="00553BA1" w:rsidP="00FE3D3A">
      <w:pPr>
        <w:jc w:val="both"/>
        <w:rPr>
          <w:noProof/>
        </w:rPr>
      </w:pPr>
      <w:r>
        <w:rPr>
          <w:noProof/>
        </w:rPr>
        <w:t>With respect to technical expert groups, wh</w:t>
      </w:r>
      <w:r w:rsidR="005530D5">
        <w:rPr>
          <w:noProof/>
        </w:rPr>
        <w:t>ose</w:t>
      </w:r>
      <w:r>
        <w:rPr>
          <w:noProof/>
        </w:rPr>
        <w:t xml:space="preserve"> role is now recognised in the new Regulation, t</w:t>
      </w:r>
      <w:r w:rsidR="00B8354C">
        <w:rPr>
          <w:noProof/>
        </w:rPr>
        <w:t xml:space="preserve">he </w:t>
      </w:r>
      <w:r w:rsidR="00B8354C" w:rsidRPr="007D4749">
        <w:rPr>
          <w:noProof/>
          <w:u w:val="single"/>
        </w:rPr>
        <w:t>Surveillance Technology Expert Group (STEG)</w:t>
      </w:r>
      <w:r w:rsidR="00B8354C" w:rsidRPr="00B8354C">
        <w:rPr>
          <w:noProof/>
        </w:rPr>
        <w:t xml:space="preserve"> was reactivated and its Terms of Reference revised</w:t>
      </w:r>
      <w:r>
        <w:rPr>
          <w:noProof/>
        </w:rPr>
        <w:t xml:space="preserve"> in order to</w:t>
      </w:r>
      <w:r w:rsidR="00B8354C" w:rsidRPr="00B8354C">
        <w:rPr>
          <w:noProof/>
        </w:rPr>
        <w:t xml:space="preserve"> reflect</w:t>
      </w:r>
      <w:r>
        <w:rPr>
          <w:noProof/>
        </w:rPr>
        <w:t xml:space="preserve"> the</w:t>
      </w:r>
      <w:r w:rsidR="00B8354C" w:rsidRPr="00B8354C">
        <w:rPr>
          <w:noProof/>
        </w:rPr>
        <w:t xml:space="preserve"> new provisions of the</w:t>
      </w:r>
      <w:r w:rsidR="00B8354C">
        <w:rPr>
          <w:noProof/>
        </w:rPr>
        <w:t xml:space="preserve"> Regulation</w:t>
      </w:r>
      <w:r>
        <w:rPr>
          <w:noProof/>
        </w:rPr>
        <w:t>. The STEG allow</w:t>
      </w:r>
      <w:r w:rsidR="00926A6C">
        <w:rPr>
          <w:noProof/>
        </w:rPr>
        <w:t>s</w:t>
      </w:r>
      <w:r w:rsidR="000813D6">
        <w:rPr>
          <w:noProof/>
        </w:rPr>
        <w:t xml:space="preserve"> </w:t>
      </w:r>
      <w:r>
        <w:rPr>
          <w:noProof/>
        </w:rPr>
        <w:t xml:space="preserve">experts from </w:t>
      </w:r>
      <w:r w:rsidR="000813D6">
        <w:rPr>
          <w:noProof/>
        </w:rPr>
        <w:t xml:space="preserve">Member States </w:t>
      </w:r>
      <w:r>
        <w:rPr>
          <w:noProof/>
        </w:rPr>
        <w:t xml:space="preserve">to </w:t>
      </w:r>
      <w:r w:rsidR="000813D6">
        <w:rPr>
          <w:noProof/>
        </w:rPr>
        <w:t xml:space="preserve">contribute </w:t>
      </w:r>
      <w:r>
        <w:rPr>
          <w:noProof/>
        </w:rPr>
        <w:t>to the development of EU controls on exports of cybersurveillance technologies</w:t>
      </w:r>
      <w:r w:rsidR="000813D6">
        <w:rPr>
          <w:noProof/>
        </w:rPr>
        <w:t>. The</w:t>
      </w:r>
      <w:r w:rsidR="00613135">
        <w:rPr>
          <w:noProof/>
        </w:rPr>
        <w:t xml:space="preserve"> </w:t>
      </w:r>
      <w:r>
        <w:rPr>
          <w:noProof/>
        </w:rPr>
        <w:t>STEG's mandate involves</w:t>
      </w:r>
      <w:r w:rsidR="00B8354C" w:rsidRPr="00B8354C">
        <w:rPr>
          <w:noProof/>
        </w:rPr>
        <w:t xml:space="preserve"> </w:t>
      </w:r>
      <w:r w:rsidR="001F1D54" w:rsidRPr="00B8354C">
        <w:rPr>
          <w:noProof/>
        </w:rPr>
        <w:t>information exchange on risks associated with expo</w:t>
      </w:r>
      <w:r w:rsidR="001F1D54">
        <w:rPr>
          <w:noProof/>
        </w:rPr>
        <w:t xml:space="preserve">rts of cyber surveillance items and </w:t>
      </w:r>
      <w:r w:rsidR="00B8354C" w:rsidRPr="00B8354C">
        <w:rPr>
          <w:noProof/>
        </w:rPr>
        <w:t>technical discussions o</w:t>
      </w:r>
      <w:r>
        <w:rPr>
          <w:noProof/>
        </w:rPr>
        <w:t>f specific</w:t>
      </w:r>
      <w:r w:rsidR="00B8354C" w:rsidRPr="00B8354C">
        <w:rPr>
          <w:noProof/>
        </w:rPr>
        <w:t xml:space="preserve"> cyber surveillance items</w:t>
      </w:r>
      <w:r w:rsidR="001F1D54">
        <w:rPr>
          <w:noProof/>
        </w:rPr>
        <w:t>, as well as the development of due diligence guidelines for exporters</w:t>
      </w:r>
      <w:r w:rsidR="00B8354C" w:rsidRPr="00B8354C">
        <w:rPr>
          <w:noProof/>
        </w:rPr>
        <w:t xml:space="preserve">. In </w:t>
      </w:r>
      <w:r w:rsidR="001F1D54">
        <w:rPr>
          <w:noProof/>
        </w:rPr>
        <w:t>2021</w:t>
      </w:r>
      <w:r w:rsidR="00B8354C" w:rsidRPr="00B8354C">
        <w:rPr>
          <w:noProof/>
        </w:rPr>
        <w:t xml:space="preserve">, </w:t>
      </w:r>
      <w:r w:rsidR="00A534CB">
        <w:rPr>
          <w:noProof/>
        </w:rPr>
        <w:t xml:space="preserve">experts shared </w:t>
      </w:r>
      <w:r w:rsidR="00B8354C" w:rsidRPr="00B8354C">
        <w:rPr>
          <w:noProof/>
        </w:rPr>
        <w:t xml:space="preserve">information relevant to </w:t>
      </w:r>
      <w:r w:rsidR="001F1D54">
        <w:rPr>
          <w:noProof/>
        </w:rPr>
        <w:t>certain products</w:t>
      </w:r>
      <w:r w:rsidR="00926A6C">
        <w:rPr>
          <w:noProof/>
        </w:rPr>
        <w:t xml:space="preserve">, such as </w:t>
      </w:r>
      <w:r w:rsidR="00FE3D3A" w:rsidRPr="00960956">
        <w:rPr>
          <w:noProof/>
          <w:lang w:val="en-IE" w:eastAsia="it-IT"/>
        </w:rPr>
        <w:t>monitoring centres and data retention solutions (DRS)</w:t>
      </w:r>
      <w:r w:rsidR="00FE3D3A">
        <w:rPr>
          <w:noProof/>
          <w:lang w:val="en-IE" w:eastAsia="it-IT"/>
        </w:rPr>
        <w:t xml:space="preserve">, </w:t>
      </w:r>
      <w:r w:rsidR="00FE3D3A" w:rsidRPr="00960956">
        <w:rPr>
          <w:noProof/>
          <w:lang w:val="en-IE" w:eastAsia="it-IT"/>
        </w:rPr>
        <w:t xml:space="preserve">surveillance vehicles, </w:t>
      </w:r>
      <w:r w:rsidR="00FE3D3A">
        <w:rPr>
          <w:noProof/>
          <w:lang w:val="en-IE" w:eastAsia="it-IT"/>
        </w:rPr>
        <w:t>and</w:t>
      </w:r>
      <w:r w:rsidR="00FE3D3A" w:rsidRPr="00960956">
        <w:rPr>
          <w:noProof/>
          <w:lang w:val="en-IE" w:eastAsia="it-IT"/>
        </w:rPr>
        <w:t xml:space="preserve"> </w:t>
      </w:r>
      <w:r w:rsidR="00926A6C">
        <w:rPr>
          <w:noProof/>
          <w:lang w:val="en-IE" w:eastAsia="it-IT"/>
        </w:rPr>
        <w:t>Voice over the Internet Protocol (</w:t>
      </w:r>
      <w:r w:rsidR="00FE3D3A" w:rsidRPr="00960956">
        <w:rPr>
          <w:noProof/>
          <w:lang w:val="en-IE" w:eastAsia="it-IT"/>
        </w:rPr>
        <w:t>VoIP</w:t>
      </w:r>
      <w:r w:rsidR="00926A6C">
        <w:rPr>
          <w:noProof/>
          <w:lang w:val="en-IE" w:eastAsia="it-IT"/>
        </w:rPr>
        <w:t>)</w:t>
      </w:r>
      <w:r w:rsidR="00FE3D3A" w:rsidRPr="00960956">
        <w:rPr>
          <w:noProof/>
          <w:lang w:val="en-IE" w:eastAsia="it-IT"/>
        </w:rPr>
        <w:t xml:space="preserve"> systems</w:t>
      </w:r>
      <w:r w:rsidR="00FE3D3A">
        <w:rPr>
          <w:noProof/>
          <w:lang w:val="en-IE" w:eastAsia="it-IT"/>
        </w:rPr>
        <w:t xml:space="preserve"> - as part of their </w:t>
      </w:r>
      <w:r w:rsidR="00B8354C" w:rsidRPr="00B8354C">
        <w:rPr>
          <w:noProof/>
        </w:rPr>
        <w:t>technical review</w:t>
      </w:r>
      <w:r w:rsidR="00FE3D3A">
        <w:rPr>
          <w:noProof/>
        </w:rPr>
        <w:t xml:space="preserve"> of potential cybersurveillance technologies</w:t>
      </w:r>
      <w:r w:rsidR="008A7E98">
        <w:rPr>
          <w:noProof/>
        </w:rPr>
        <w:t>.</w:t>
      </w:r>
      <w:r w:rsidR="00B8354C" w:rsidRPr="00B8354C">
        <w:rPr>
          <w:noProof/>
        </w:rPr>
        <w:t xml:space="preserve"> </w:t>
      </w:r>
    </w:p>
    <w:p w14:paraId="24E65FEC" w14:textId="77777777" w:rsidR="00B8354C" w:rsidRPr="00B8354C" w:rsidRDefault="00B8354C" w:rsidP="00B8354C">
      <w:pPr>
        <w:pStyle w:val="ListParagraph"/>
        <w:jc w:val="both"/>
        <w:rPr>
          <w:rFonts w:ascii="Times New Roman" w:hAnsi="Times New Roman" w:cs="Times New Roman"/>
          <w:noProof/>
          <w:sz w:val="24"/>
          <w:szCs w:val="24"/>
        </w:rPr>
      </w:pPr>
    </w:p>
    <w:p w14:paraId="34FAAEBC" w14:textId="63D36BB5" w:rsidR="00B8354C" w:rsidRPr="00613135" w:rsidRDefault="00613135" w:rsidP="00E47706">
      <w:pPr>
        <w:jc w:val="both"/>
        <w:rPr>
          <w:noProof/>
        </w:rPr>
      </w:pPr>
      <w:r>
        <w:rPr>
          <w:noProof/>
        </w:rPr>
        <w:t xml:space="preserve">The </w:t>
      </w:r>
      <w:r w:rsidR="00B8354C" w:rsidRPr="007D4749">
        <w:rPr>
          <w:noProof/>
          <w:u w:val="single"/>
        </w:rPr>
        <w:t>Technical Expert Group on the development of guidelines f</w:t>
      </w:r>
      <w:r w:rsidRPr="007D4749">
        <w:rPr>
          <w:noProof/>
          <w:u w:val="single"/>
        </w:rPr>
        <w:t>or dual use research</w:t>
      </w:r>
      <w:r w:rsidRPr="00613135">
        <w:rPr>
          <w:noProof/>
        </w:rPr>
        <w:t xml:space="preserve"> (TEG-DUR) </w:t>
      </w:r>
      <w:r w:rsidR="00502C45">
        <w:rPr>
          <w:noProof/>
        </w:rPr>
        <w:t xml:space="preserve">finalised </w:t>
      </w:r>
      <w:r w:rsidR="00A534CB">
        <w:rPr>
          <w:noProof/>
        </w:rPr>
        <w:t xml:space="preserve">EU </w:t>
      </w:r>
      <w:r w:rsidR="00B8354C" w:rsidRPr="00613135">
        <w:rPr>
          <w:noProof/>
        </w:rPr>
        <w:t>Guid</w:t>
      </w:r>
      <w:r w:rsidR="000D26B1">
        <w:rPr>
          <w:noProof/>
        </w:rPr>
        <w:t xml:space="preserve">ance </w:t>
      </w:r>
      <w:r w:rsidR="00502C45">
        <w:rPr>
          <w:noProof/>
        </w:rPr>
        <w:t>on internal compliance programmes</w:t>
      </w:r>
      <w:r w:rsidR="00B8354C" w:rsidRPr="00613135">
        <w:rPr>
          <w:noProof/>
        </w:rPr>
        <w:t xml:space="preserve"> </w:t>
      </w:r>
      <w:r w:rsidR="00502C45">
        <w:rPr>
          <w:noProof/>
        </w:rPr>
        <w:t>for research involving dual-use items</w:t>
      </w:r>
      <w:r w:rsidR="00241DC3">
        <w:rPr>
          <w:noProof/>
        </w:rPr>
        <w:t>,</w:t>
      </w:r>
      <w:r w:rsidR="00E47706" w:rsidRPr="00E47706">
        <w:rPr>
          <w:noProof/>
        </w:rPr>
        <w:t xml:space="preserve"> which </w:t>
      </w:r>
      <w:r w:rsidR="00241DC3">
        <w:rPr>
          <w:noProof/>
        </w:rPr>
        <w:t>apply also</w:t>
      </w:r>
      <w:r w:rsidR="00241DC3" w:rsidRPr="00E47706">
        <w:rPr>
          <w:noProof/>
        </w:rPr>
        <w:t xml:space="preserve"> </w:t>
      </w:r>
      <w:r w:rsidR="00241DC3">
        <w:rPr>
          <w:noProof/>
        </w:rPr>
        <w:t>to</w:t>
      </w:r>
      <w:r w:rsidR="00E47706" w:rsidRPr="00E47706">
        <w:rPr>
          <w:noProof/>
        </w:rPr>
        <w:t xml:space="preserve"> the transfer of </w:t>
      </w:r>
      <w:r w:rsidR="00241DC3" w:rsidRPr="00E47706">
        <w:rPr>
          <w:noProof/>
        </w:rPr>
        <w:t xml:space="preserve">technology </w:t>
      </w:r>
      <w:r w:rsidR="00241DC3">
        <w:rPr>
          <w:noProof/>
        </w:rPr>
        <w:t xml:space="preserve">and </w:t>
      </w:r>
      <w:r w:rsidR="00E47706" w:rsidRPr="00E47706">
        <w:rPr>
          <w:noProof/>
        </w:rPr>
        <w:t>knowledge associated with that research</w:t>
      </w:r>
      <w:r w:rsidR="00241DC3">
        <w:rPr>
          <w:noProof/>
        </w:rPr>
        <w:t>.</w:t>
      </w:r>
      <w:r w:rsidR="00502C45">
        <w:rPr>
          <w:noProof/>
        </w:rPr>
        <w:t xml:space="preserve"> </w:t>
      </w:r>
      <w:r w:rsidR="00404DAA">
        <w:rPr>
          <w:noProof/>
        </w:rPr>
        <w:t xml:space="preserve">This </w:t>
      </w:r>
      <w:r w:rsidR="00502C45">
        <w:rPr>
          <w:noProof/>
        </w:rPr>
        <w:t>guid</w:t>
      </w:r>
      <w:r w:rsidR="000D26B1">
        <w:rPr>
          <w:noProof/>
        </w:rPr>
        <w:t>ance</w:t>
      </w:r>
      <w:r w:rsidR="00404DAA">
        <w:rPr>
          <w:noProof/>
        </w:rPr>
        <w:t xml:space="preserve"> </w:t>
      </w:r>
      <w:r w:rsidR="000D26B1">
        <w:rPr>
          <w:noProof/>
        </w:rPr>
        <w:t>was</w:t>
      </w:r>
      <w:r w:rsidR="00B8354C" w:rsidRPr="00613135">
        <w:rPr>
          <w:noProof/>
        </w:rPr>
        <w:t xml:space="preserve"> </w:t>
      </w:r>
      <w:r w:rsidR="00404DAA">
        <w:rPr>
          <w:noProof/>
        </w:rPr>
        <w:t>adopted</w:t>
      </w:r>
      <w:r w:rsidR="00404DAA" w:rsidRPr="00613135">
        <w:rPr>
          <w:noProof/>
        </w:rPr>
        <w:t xml:space="preserve"> </w:t>
      </w:r>
      <w:r w:rsidR="000D26B1">
        <w:rPr>
          <w:noProof/>
        </w:rPr>
        <w:t xml:space="preserve">as a Commission Recommendation </w:t>
      </w:r>
      <w:r w:rsidR="008A7E98">
        <w:rPr>
          <w:noProof/>
        </w:rPr>
        <w:t>in</w:t>
      </w:r>
      <w:r w:rsidR="00435B75">
        <w:rPr>
          <w:noProof/>
        </w:rPr>
        <w:t xml:space="preserve"> Sept</w:t>
      </w:r>
      <w:r w:rsidR="00FE6013">
        <w:rPr>
          <w:noProof/>
        </w:rPr>
        <w:t>ember</w:t>
      </w:r>
      <w:r w:rsidR="00435B75">
        <w:rPr>
          <w:noProof/>
        </w:rPr>
        <w:t xml:space="preserve"> </w:t>
      </w:r>
      <w:r w:rsidR="00B8354C" w:rsidRPr="00613135">
        <w:rPr>
          <w:noProof/>
        </w:rPr>
        <w:t>2021</w:t>
      </w:r>
      <w:r w:rsidR="00FE6013">
        <w:rPr>
          <w:rStyle w:val="FootnoteReference"/>
          <w:noProof/>
        </w:rPr>
        <w:footnoteReference w:id="20"/>
      </w:r>
      <w:r w:rsidR="00404DAA">
        <w:rPr>
          <w:noProof/>
        </w:rPr>
        <w:t xml:space="preserve"> and</w:t>
      </w:r>
      <w:r w:rsidR="000D26B1">
        <w:rPr>
          <w:noProof/>
        </w:rPr>
        <w:t xml:space="preserve"> aim</w:t>
      </w:r>
      <w:r w:rsidR="00404DAA">
        <w:rPr>
          <w:noProof/>
        </w:rPr>
        <w:t>s at</w:t>
      </w:r>
      <w:r w:rsidR="000D26B1">
        <w:rPr>
          <w:noProof/>
        </w:rPr>
        <w:t xml:space="preserve"> </w:t>
      </w:r>
      <w:r w:rsidR="000D26B1" w:rsidRPr="000D26B1">
        <w:rPr>
          <w:noProof/>
        </w:rPr>
        <w:t>help</w:t>
      </w:r>
      <w:r w:rsidR="00404DAA">
        <w:rPr>
          <w:noProof/>
        </w:rPr>
        <w:t>ing</w:t>
      </w:r>
      <w:r w:rsidR="000D26B1" w:rsidRPr="000D26B1">
        <w:rPr>
          <w:noProof/>
        </w:rPr>
        <w:t xml:space="preserve"> researchers, research managers and compliance staff in universities and research organisations to identify, manage and mitigate risks associated with </w:t>
      </w:r>
      <w:r w:rsidR="00DC728C">
        <w:rPr>
          <w:noProof/>
        </w:rPr>
        <w:t xml:space="preserve">collaboration with partners located outside the EU </w:t>
      </w:r>
      <w:r w:rsidR="00BB5308">
        <w:rPr>
          <w:noProof/>
        </w:rPr>
        <w:t xml:space="preserve">(or researchers from outside the EU) </w:t>
      </w:r>
      <w:r w:rsidR="00DC728C">
        <w:rPr>
          <w:noProof/>
        </w:rPr>
        <w:t xml:space="preserve">on research projects which can actually be subject to </w:t>
      </w:r>
      <w:r w:rsidR="000D26B1" w:rsidRPr="000D26B1">
        <w:rPr>
          <w:noProof/>
        </w:rPr>
        <w:t>dual-use export controls. Th</w:t>
      </w:r>
      <w:r w:rsidR="00A534CB">
        <w:rPr>
          <w:noProof/>
        </w:rPr>
        <w:t>e EU</w:t>
      </w:r>
      <w:r w:rsidR="000D26B1">
        <w:rPr>
          <w:noProof/>
        </w:rPr>
        <w:t xml:space="preserve"> guid</w:t>
      </w:r>
      <w:r w:rsidR="000D26B1" w:rsidRPr="000D26B1">
        <w:rPr>
          <w:noProof/>
        </w:rPr>
        <w:t>ance serve</w:t>
      </w:r>
      <w:r w:rsidR="00A534CB">
        <w:rPr>
          <w:noProof/>
        </w:rPr>
        <w:t>s</w:t>
      </w:r>
      <w:r w:rsidR="000D26B1" w:rsidRPr="000D26B1">
        <w:rPr>
          <w:noProof/>
        </w:rPr>
        <w:t xml:space="preserve"> as a common reference tool for Member States competent authorities in the develop</w:t>
      </w:r>
      <w:r w:rsidR="00A534CB">
        <w:rPr>
          <w:noProof/>
        </w:rPr>
        <w:t>ment of</w:t>
      </w:r>
      <w:r w:rsidR="000D26B1" w:rsidRPr="000D26B1">
        <w:rPr>
          <w:noProof/>
        </w:rPr>
        <w:t xml:space="preserve"> specific outreach programmes and for deciding on export authorisations for dual-use items listed in Annex I of the Regulation. The guidance </w:t>
      </w:r>
      <w:r w:rsidR="000D26B1">
        <w:rPr>
          <w:noProof/>
        </w:rPr>
        <w:t xml:space="preserve">is </w:t>
      </w:r>
      <w:r w:rsidR="000D26B1" w:rsidRPr="000D26B1">
        <w:rPr>
          <w:noProof/>
        </w:rPr>
        <w:t>non-binding and research organisations and researchers maintain the responsibility to comply with their obligations under the Regulation</w:t>
      </w:r>
      <w:r w:rsidR="00435B75">
        <w:rPr>
          <w:noProof/>
        </w:rPr>
        <w:t xml:space="preserve">. The DUCG subsequently </w:t>
      </w:r>
      <w:r w:rsidR="000D26B1">
        <w:rPr>
          <w:noProof/>
        </w:rPr>
        <w:t xml:space="preserve">started </w:t>
      </w:r>
      <w:r w:rsidR="00EC19E7">
        <w:rPr>
          <w:noProof/>
        </w:rPr>
        <w:t>develo</w:t>
      </w:r>
      <w:r w:rsidR="000D26B1">
        <w:rPr>
          <w:noProof/>
        </w:rPr>
        <w:t>ping</w:t>
      </w:r>
      <w:r w:rsidR="00B8354C" w:rsidRPr="00613135">
        <w:rPr>
          <w:noProof/>
        </w:rPr>
        <w:t xml:space="preserve"> a</w:t>
      </w:r>
      <w:r w:rsidR="00435B75">
        <w:rPr>
          <w:noProof/>
        </w:rPr>
        <w:t xml:space="preserve"> plan of actions to support the i</w:t>
      </w:r>
      <w:r w:rsidR="00B8354C" w:rsidRPr="00613135">
        <w:rPr>
          <w:noProof/>
        </w:rPr>
        <w:t>mplementation</w:t>
      </w:r>
      <w:r w:rsidR="000D26B1">
        <w:rPr>
          <w:noProof/>
        </w:rPr>
        <w:t xml:space="preserve"> and monitoring of </w:t>
      </w:r>
      <w:r w:rsidR="00A534CB">
        <w:rPr>
          <w:noProof/>
        </w:rPr>
        <w:t>the</w:t>
      </w:r>
      <w:r w:rsidR="000D26B1">
        <w:rPr>
          <w:noProof/>
        </w:rPr>
        <w:t xml:space="preserve"> guidance</w:t>
      </w:r>
      <w:r w:rsidR="00B8354C" w:rsidRPr="00613135">
        <w:rPr>
          <w:noProof/>
        </w:rPr>
        <w:t>.</w:t>
      </w:r>
    </w:p>
    <w:p w14:paraId="100E3F83" w14:textId="77777777" w:rsidR="00B8354C" w:rsidRPr="00B8354C" w:rsidRDefault="00B8354C" w:rsidP="00B8354C">
      <w:pPr>
        <w:pStyle w:val="ListParagraph"/>
        <w:jc w:val="both"/>
        <w:rPr>
          <w:rFonts w:ascii="Times New Roman" w:hAnsi="Times New Roman" w:cs="Times New Roman"/>
          <w:noProof/>
          <w:sz w:val="24"/>
          <w:szCs w:val="24"/>
        </w:rPr>
      </w:pPr>
    </w:p>
    <w:p w14:paraId="0DA73692" w14:textId="1FDA0ED9" w:rsidR="00B8354C" w:rsidRDefault="001E51C4" w:rsidP="00A534CB">
      <w:pPr>
        <w:pStyle w:val="ListParagraph"/>
        <w:ind w:left="0"/>
        <w:jc w:val="both"/>
        <w:rPr>
          <w:rFonts w:ascii="Times New Roman" w:hAnsi="Times New Roman" w:cs="Times New Roman"/>
          <w:noProof/>
          <w:sz w:val="24"/>
          <w:szCs w:val="24"/>
        </w:rPr>
      </w:pPr>
      <w:r>
        <w:rPr>
          <w:rFonts w:ascii="Times New Roman" w:hAnsi="Times New Roman" w:cs="Times New Roman"/>
          <w:noProof/>
          <w:sz w:val="24"/>
          <w:szCs w:val="24"/>
        </w:rPr>
        <w:t>A</w:t>
      </w:r>
      <w:r w:rsidR="000859BC">
        <w:rPr>
          <w:rFonts w:ascii="Times New Roman" w:hAnsi="Times New Roman" w:cs="Times New Roman"/>
          <w:noProof/>
          <w:sz w:val="24"/>
          <w:szCs w:val="24"/>
        </w:rPr>
        <w:t xml:space="preserve"> new</w:t>
      </w:r>
      <w:r w:rsidR="00A534CB" w:rsidRPr="00A534CB">
        <w:rPr>
          <w:rFonts w:ascii="Times New Roman" w:hAnsi="Times New Roman" w:cs="Times New Roman"/>
          <w:noProof/>
          <w:sz w:val="24"/>
          <w:szCs w:val="24"/>
        </w:rPr>
        <w:t xml:space="preserve"> </w:t>
      </w:r>
      <w:r w:rsidR="00A534CB" w:rsidRPr="007D4749">
        <w:rPr>
          <w:rFonts w:ascii="Times New Roman" w:hAnsi="Times New Roman" w:cs="Times New Roman"/>
          <w:noProof/>
          <w:sz w:val="24"/>
          <w:szCs w:val="24"/>
          <w:u w:val="single"/>
        </w:rPr>
        <w:t>Technical Expert Group on emerging technologies</w:t>
      </w:r>
      <w:r w:rsidR="00A534CB">
        <w:rPr>
          <w:rFonts w:ascii="Times New Roman" w:hAnsi="Times New Roman" w:cs="Times New Roman"/>
          <w:noProof/>
          <w:sz w:val="24"/>
          <w:szCs w:val="24"/>
        </w:rPr>
        <w:t xml:space="preserve"> (ETEG)</w:t>
      </w:r>
      <w:r>
        <w:rPr>
          <w:rFonts w:ascii="Times New Roman" w:hAnsi="Times New Roman" w:cs="Times New Roman"/>
          <w:noProof/>
          <w:sz w:val="24"/>
          <w:szCs w:val="24"/>
        </w:rPr>
        <w:t xml:space="preserve"> was launched</w:t>
      </w:r>
      <w:r w:rsidR="00A534CB" w:rsidRPr="00A534CB">
        <w:rPr>
          <w:rFonts w:ascii="Times New Roman" w:hAnsi="Times New Roman" w:cs="Times New Roman"/>
          <w:noProof/>
          <w:sz w:val="24"/>
          <w:szCs w:val="24"/>
        </w:rPr>
        <w:t xml:space="preserve"> </w:t>
      </w:r>
      <w:r w:rsidR="000859BC">
        <w:rPr>
          <w:rFonts w:ascii="Times New Roman" w:hAnsi="Times New Roman" w:cs="Times New Roman"/>
          <w:noProof/>
          <w:sz w:val="24"/>
          <w:szCs w:val="24"/>
        </w:rPr>
        <w:t>as a dedicated forum</w:t>
      </w:r>
      <w:r w:rsidR="00A534CB" w:rsidRPr="00A534CB">
        <w:rPr>
          <w:rFonts w:ascii="Times New Roman" w:hAnsi="Times New Roman" w:cs="Times New Roman"/>
          <w:noProof/>
          <w:sz w:val="24"/>
          <w:szCs w:val="24"/>
        </w:rPr>
        <w:t xml:space="preserve"> </w:t>
      </w:r>
      <w:r w:rsidR="000859BC">
        <w:rPr>
          <w:rFonts w:ascii="Times New Roman" w:hAnsi="Times New Roman" w:cs="Times New Roman"/>
          <w:noProof/>
          <w:sz w:val="24"/>
          <w:szCs w:val="24"/>
        </w:rPr>
        <w:t>for</w:t>
      </w:r>
      <w:r w:rsidR="000859BC" w:rsidRPr="00B8354C">
        <w:rPr>
          <w:rFonts w:ascii="Times New Roman" w:hAnsi="Times New Roman" w:cs="Times New Roman"/>
          <w:noProof/>
          <w:sz w:val="24"/>
          <w:szCs w:val="24"/>
        </w:rPr>
        <w:t xml:space="preserve"> information exchange on risks associated with exports of emerging technologies and the challenges associated with their control</w:t>
      </w:r>
      <w:r w:rsidR="00A534CB">
        <w:rPr>
          <w:rFonts w:ascii="Times New Roman" w:hAnsi="Times New Roman" w:cs="Times New Roman"/>
          <w:noProof/>
          <w:sz w:val="24"/>
          <w:szCs w:val="24"/>
        </w:rPr>
        <w:t>.</w:t>
      </w:r>
      <w:r w:rsidR="00A534CB" w:rsidRPr="00A534CB">
        <w:rPr>
          <w:rFonts w:ascii="Times New Roman" w:hAnsi="Times New Roman" w:cs="Times New Roman"/>
          <w:noProof/>
          <w:sz w:val="24"/>
          <w:szCs w:val="24"/>
        </w:rPr>
        <w:t xml:space="preserve"> </w:t>
      </w:r>
      <w:r w:rsidR="00613135">
        <w:rPr>
          <w:rFonts w:ascii="Times New Roman" w:hAnsi="Times New Roman" w:cs="Times New Roman"/>
          <w:noProof/>
          <w:sz w:val="24"/>
          <w:szCs w:val="24"/>
        </w:rPr>
        <w:t xml:space="preserve">The </w:t>
      </w:r>
      <w:r w:rsidR="00B8354C" w:rsidRPr="00B8354C">
        <w:rPr>
          <w:rFonts w:ascii="Times New Roman" w:hAnsi="Times New Roman" w:cs="Times New Roman"/>
          <w:noProof/>
          <w:sz w:val="24"/>
          <w:szCs w:val="24"/>
        </w:rPr>
        <w:t xml:space="preserve">ETEG </w:t>
      </w:r>
      <w:r w:rsidR="000859BC">
        <w:rPr>
          <w:rFonts w:ascii="Times New Roman" w:hAnsi="Times New Roman" w:cs="Times New Roman"/>
          <w:noProof/>
          <w:sz w:val="24"/>
          <w:szCs w:val="24"/>
        </w:rPr>
        <w:t>held its</w:t>
      </w:r>
      <w:r w:rsidR="00B8354C" w:rsidRPr="00B8354C">
        <w:rPr>
          <w:rFonts w:ascii="Times New Roman" w:hAnsi="Times New Roman" w:cs="Times New Roman"/>
          <w:noProof/>
          <w:sz w:val="24"/>
          <w:szCs w:val="24"/>
        </w:rPr>
        <w:t xml:space="preserve"> first </w:t>
      </w:r>
      <w:r w:rsidR="000859BC">
        <w:rPr>
          <w:rFonts w:ascii="Times New Roman" w:hAnsi="Times New Roman" w:cs="Times New Roman"/>
          <w:noProof/>
          <w:sz w:val="24"/>
          <w:szCs w:val="24"/>
        </w:rPr>
        <w:t>meeting</w:t>
      </w:r>
      <w:r w:rsidR="000859BC" w:rsidRPr="00B8354C">
        <w:rPr>
          <w:rFonts w:ascii="Times New Roman" w:hAnsi="Times New Roman" w:cs="Times New Roman"/>
          <w:noProof/>
          <w:sz w:val="24"/>
          <w:szCs w:val="24"/>
        </w:rPr>
        <w:t xml:space="preserve"> </w:t>
      </w:r>
      <w:r w:rsidR="00B8354C" w:rsidRPr="00B8354C">
        <w:rPr>
          <w:rFonts w:ascii="Times New Roman" w:hAnsi="Times New Roman" w:cs="Times New Roman"/>
          <w:noProof/>
          <w:sz w:val="24"/>
          <w:szCs w:val="24"/>
        </w:rPr>
        <w:t>in October 2021.</w:t>
      </w:r>
    </w:p>
    <w:p w14:paraId="62E5386F" w14:textId="77777777" w:rsidR="00613135" w:rsidRDefault="00613135" w:rsidP="00B8354C">
      <w:pPr>
        <w:pStyle w:val="ListParagraph"/>
        <w:ind w:left="0"/>
        <w:jc w:val="both"/>
        <w:rPr>
          <w:rFonts w:ascii="Times New Roman" w:hAnsi="Times New Roman" w:cs="Times New Roman"/>
          <w:noProof/>
          <w:sz w:val="24"/>
          <w:szCs w:val="24"/>
        </w:rPr>
      </w:pPr>
    </w:p>
    <w:p w14:paraId="0EB2D969" w14:textId="787D0DB8" w:rsidR="000859BC" w:rsidRDefault="005530D5" w:rsidP="001E51C4">
      <w:pPr>
        <w:jc w:val="both"/>
        <w:rPr>
          <w:noProof/>
        </w:rPr>
      </w:pPr>
      <w:r>
        <w:rPr>
          <w:noProof/>
        </w:rPr>
        <w:t>T</w:t>
      </w:r>
      <w:r w:rsidR="00613135" w:rsidRPr="00613135">
        <w:rPr>
          <w:noProof/>
        </w:rPr>
        <w:t xml:space="preserve">he </w:t>
      </w:r>
      <w:r w:rsidR="001E51C4">
        <w:rPr>
          <w:noProof/>
        </w:rPr>
        <w:t xml:space="preserve">Commission </w:t>
      </w:r>
      <w:r w:rsidR="00613135" w:rsidRPr="00613135">
        <w:rPr>
          <w:noProof/>
        </w:rPr>
        <w:t xml:space="preserve">also prepared draft Terms of Reference </w:t>
      </w:r>
      <w:r w:rsidR="001E51C4">
        <w:rPr>
          <w:noProof/>
        </w:rPr>
        <w:t xml:space="preserve">– endorsed by the DUCG - </w:t>
      </w:r>
      <w:r w:rsidR="00613135" w:rsidRPr="00613135">
        <w:rPr>
          <w:noProof/>
        </w:rPr>
        <w:t xml:space="preserve">for a </w:t>
      </w:r>
      <w:r w:rsidR="00613135" w:rsidRPr="007D4749">
        <w:rPr>
          <w:noProof/>
          <w:u w:val="single"/>
        </w:rPr>
        <w:t xml:space="preserve">Technical Expert Group on </w:t>
      </w:r>
      <w:r w:rsidR="00926A6C">
        <w:rPr>
          <w:noProof/>
          <w:u w:val="single"/>
        </w:rPr>
        <w:t>d</w:t>
      </w:r>
      <w:r w:rsidR="00613135" w:rsidRPr="007D4749">
        <w:rPr>
          <w:noProof/>
          <w:u w:val="single"/>
        </w:rPr>
        <w:t xml:space="preserve">ata </w:t>
      </w:r>
      <w:r w:rsidR="00926A6C">
        <w:rPr>
          <w:noProof/>
          <w:u w:val="single"/>
        </w:rPr>
        <w:t>c</w:t>
      </w:r>
      <w:r w:rsidR="00613135" w:rsidRPr="007D4749">
        <w:rPr>
          <w:noProof/>
          <w:u w:val="single"/>
        </w:rPr>
        <w:t xml:space="preserve">ollection and </w:t>
      </w:r>
      <w:r w:rsidR="00926A6C">
        <w:rPr>
          <w:noProof/>
          <w:u w:val="single"/>
        </w:rPr>
        <w:t>t</w:t>
      </w:r>
      <w:r w:rsidR="00613135" w:rsidRPr="007D4749">
        <w:rPr>
          <w:noProof/>
          <w:u w:val="single"/>
        </w:rPr>
        <w:t>ransparency</w:t>
      </w:r>
      <w:r w:rsidR="00613135" w:rsidRPr="00613135">
        <w:rPr>
          <w:noProof/>
        </w:rPr>
        <w:t xml:space="preserve"> (TEG-Transparency) and</w:t>
      </w:r>
      <w:r w:rsidR="000859BC">
        <w:rPr>
          <w:noProof/>
        </w:rPr>
        <w:t xml:space="preserve"> for an </w:t>
      </w:r>
      <w:r w:rsidR="00613135" w:rsidRPr="00613135">
        <w:rPr>
          <w:noProof/>
        </w:rPr>
        <w:t>Enforcement Coordination</w:t>
      </w:r>
      <w:r w:rsidR="00613135">
        <w:rPr>
          <w:noProof/>
        </w:rPr>
        <w:t xml:space="preserve"> Mechanism (ECM</w:t>
      </w:r>
      <w:r w:rsidR="00613135" w:rsidRPr="00613135">
        <w:rPr>
          <w:noProof/>
        </w:rPr>
        <w:t>)</w:t>
      </w:r>
      <w:r w:rsidR="001E51C4">
        <w:rPr>
          <w:noProof/>
        </w:rPr>
        <w:t>,</w:t>
      </w:r>
      <w:r w:rsidR="001E51C4" w:rsidRPr="001E51C4">
        <w:rPr>
          <w:noProof/>
        </w:rPr>
        <w:t xml:space="preserve"> which will support exchange of information and development of best practices among licensing and enforcement authorities in the EU</w:t>
      </w:r>
      <w:r w:rsidR="004D5DE3" w:rsidRPr="004D5DE3">
        <w:rPr>
          <w:noProof/>
        </w:rPr>
        <w:t>.</w:t>
      </w:r>
    </w:p>
    <w:p w14:paraId="7E4B57E0" w14:textId="77777777" w:rsidR="000859BC" w:rsidRDefault="000859BC" w:rsidP="00AF5618">
      <w:pPr>
        <w:jc w:val="both"/>
        <w:rPr>
          <w:noProof/>
        </w:rPr>
      </w:pPr>
    </w:p>
    <w:p w14:paraId="2B771833" w14:textId="77777777" w:rsidR="00AF5618" w:rsidRPr="00D44B9E" w:rsidRDefault="00AF5618" w:rsidP="00D44B9E">
      <w:pPr>
        <w:jc w:val="both"/>
        <w:rPr>
          <w:rFonts w:eastAsia="SimSun"/>
          <w:noProof/>
          <w:lang w:eastAsia="zh-CN"/>
        </w:rPr>
      </w:pPr>
      <w:r>
        <w:rPr>
          <w:rFonts w:eastAsia="SimSun"/>
          <w:noProof/>
          <w:lang w:eastAsia="zh-CN"/>
        </w:rPr>
        <w:t>Finally, the</w:t>
      </w:r>
      <w:r w:rsidR="000859BC">
        <w:rPr>
          <w:rFonts w:eastAsia="SimSun"/>
          <w:noProof/>
          <w:lang w:eastAsia="zh-CN"/>
        </w:rPr>
        <w:t xml:space="preserve"> DUCG held initial discussions regarding the setting up of a </w:t>
      </w:r>
      <w:r w:rsidRPr="007D4749">
        <w:rPr>
          <w:rFonts w:eastAsia="SimSun"/>
          <w:noProof/>
          <w:u w:val="single"/>
          <w:lang w:eastAsia="zh-CN"/>
        </w:rPr>
        <w:t>T</w:t>
      </w:r>
      <w:r w:rsidR="000859BC" w:rsidRPr="007D4749">
        <w:rPr>
          <w:rFonts w:eastAsia="SimSun"/>
          <w:noProof/>
          <w:u w:val="single"/>
          <w:lang w:eastAsia="zh-CN"/>
        </w:rPr>
        <w:t xml:space="preserve">echnical </w:t>
      </w:r>
      <w:r w:rsidRPr="007D4749">
        <w:rPr>
          <w:rFonts w:eastAsia="SimSun"/>
          <w:noProof/>
          <w:u w:val="single"/>
          <w:lang w:eastAsia="zh-CN"/>
        </w:rPr>
        <w:t>E</w:t>
      </w:r>
      <w:r w:rsidR="000859BC" w:rsidRPr="007D4749">
        <w:rPr>
          <w:rFonts w:eastAsia="SimSun"/>
          <w:noProof/>
          <w:u w:val="single"/>
          <w:lang w:eastAsia="zh-CN"/>
        </w:rPr>
        <w:t xml:space="preserve">xpert </w:t>
      </w:r>
      <w:r w:rsidRPr="007D4749">
        <w:rPr>
          <w:rFonts w:eastAsia="SimSun"/>
          <w:noProof/>
          <w:u w:val="single"/>
          <w:lang w:eastAsia="zh-CN"/>
        </w:rPr>
        <w:t>G</w:t>
      </w:r>
      <w:r w:rsidR="000859BC" w:rsidRPr="007D4749">
        <w:rPr>
          <w:rFonts w:eastAsia="SimSun"/>
          <w:noProof/>
          <w:u w:val="single"/>
          <w:lang w:eastAsia="zh-CN"/>
        </w:rPr>
        <w:t>roup on capacity-building</w:t>
      </w:r>
      <w:r w:rsidR="000859BC">
        <w:rPr>
          <w:rFonts w:eastAsia="SimSun"/>
          <w:noProof/>
          <w:lang w:eastAsia="zh-CN"/>
        </w:rPr>
        <w:t xml:space="preserve"> with a view to</w:t>
      </w:r>
      <w:r>
        <w:rPr>
          <w:rFonts w:eastAsia="SimSun"/>
          <w:noProof/>
          <w:lang w:eastAsia="zh-CN"/>
        </w:rPr>
        <w:t xml:space="preserve"> </w:t>
      </w:r>
      <w:r w:rsidR="000859BC">
        <w:rPr>
          <w:rFonts w:eastAsia="SimSun"/>
          <w:noProof/>
          <w:lang w:eastAsia="zh-CN"/>
        </w:rPr>
        <w:t>supporting regular training and sharing of expertise within</w:t>
      </w:r>
      <w:r>
        <w:rPr>
          <w:rFonts w:eastAsia="SimSun"/>
          <w:noProof/>
          <w:lang w:eastAsia="zh-CN"/>
        </w:rPr>
        <w:t xml:space="preserve"> the EU dual-use community.</w:t>
      </w:r>
    </w:p>
    <w:p w14:paraId="12E81EB1" w14:textId="77777777" w:rsidR="00AA655D" w:rsidRDefault="00AA655D" w:rsidP="00A44C7E">
      <w:pPr>
        <w:pStyle w:val="ListParagraph"/>
        <w:ind w:left="0"/>
        <w:jc w:val="both"/>
        <w:rPr>
          <w:noProof/>
        </w:rPr>
      </w:pPr>
    </w:p>
    <w:p w14:paraId="6DEE2EAF" w14:textId="77777777" w:rsidR="00AA655D" w:rsidRDefault="00AA655D" w:rsidP="00AA655D">
      <w:pPr>
        <w:keepNext/>
        <w:tabs>
          <w:tab w:val="left" w:pos="850"/>
        </w:tabs>
        <w:spacing w:after="120"/>
        <w:ind w:left="850" w:hanging="850"/>
        <w:jc w:val="both"/>
        <w:outlineLvl w:val="1"/>
        <w:rPr>
          <w:rFonts w:eastAsia="Times New Roman"/>
          <w:b/>
          <w:noProof/>
          <w:lang w:eastAsia="en-GB"/>
        </w:rPr>
      </w:pPr>
      <w:r>
        <w:rPr>
          <w:rFonts w:eastAsia="Times New Roman"/>
          <w:b/>
          <w:noProof/>
          <w:lang w:eastAsia="en-GB"/>
        </w:rPr>
        <w:t>3.3</w:t>
      </w:r>
      <w:r w:rsidR="00617132">
        <w:rPr>
          <w:rFonts w:eastAsia="Times New Roman"/>
          <w:b/>
          <w:noProof/>
          <w:lang w:eastAsia="en-GB"/>
        </w:rPr>
        <w:t>.</w:t>
      </w:r>
      <w:r>
        <w:rPr>
          <w:rFonts w:eastAsia="Times New Roman"/>
          <w:b/>
          <w:noProof/>
          <w:lang w:eastAsia="en-GB"/>
        </w:rPr>
        <w:tab/>
      </w:r>
      <w:r w:rsidRPr="00387039">
        <w:rPr>
          <w:rFonts w:eastAsia="Times New Roman"/>
          <w:b/>
          <w:noProof/>
          <w:lang w:eastAsia="en-GB"/>
        </w:rPr>
        <w:t>EU Guidelines on Dual-Use Export Controls</w:t>
      </w:r>
      <w:bookmarkEnd w:id="7"/>
    </w:p>
    <w:p w14:paraId="6581ED3A" w14:textId="77777777" w:rsidR="00427377" w:rsidRDefault="00427377" w:rsidP="00AA655D">
      <w:pPr>
        <w:spacing w:before="100" w:beforeAutospacing="1" w:after="100" w:afterAutospacing="1"/>
        <w:jc w:val="both"/>
        <w:rPr>
          <w:rFonts w:eastAsia="Calibri"/>
          <w:noProof/>
        </w:rPr>
      </w:pPr>
      <w:r w:rsidRPr="00427377">
        <w:rPr>
          <w:rFonts w:eastAsia="Calibri"/>
          <w:noProof/>
        </w:rPr>
        <w:t xml:space="preserve">Guidelines for Dual-Use Research </w:t>
      </w:r>
      <w:r w:rsidR="00453DEE">
        <w:rPr>
          <w:rFonts w:eastAsia="Calibri"/>
          <w:noProof/>
        </w:rPr>
        <w:t xml:space="preserve">mentioned in section 3.2 above </w:t>
      </w:r>
      <w:r w:rsidRPr="00427377">
        <w:rPr>
          <w:rFonts w:eastAsia="Calibri"/>
          <w:noProof/>
        </w:rPr>
        <w:t xml:space="preserve">were </w:t>
      </w:r>
      <w:r w:rsidR="00435B75">
        <w:rPr>
          <w:rFonts w:eastAsia="Calibri"/>
          <w:noProof/>
        </w:rPr>
        <w:t xml:space="preserve">adopted by the Commission and </w:t>
      </w:r>
      <w:r w:rsidRPr="00427377">
        <w:rPr>
          <w:rFonts w:eastAsia="Calibri"/>
          <w:noProof/>
        </w:rPr>
        <w:t>published on 23 September 2021</w:t>
      </w:r>
      <w:r>
        <w:rPr>
          <w:rFonts w:eastAsia="Calibri"/>
          <w:noProof/>
        </w:rPr>
        <w:t>.</w:t>
      </w:r>
      <w:r>
        <w:rPr>
          <w:rStyle w:val="FootnoteReference"/>
          <w:rFonts w:eastAsia="Calibri"/>
          <w:noProof/>
        </w:rPr>
        <w:footnoteReference w:id="21"/>
      </w:r>
      <w:r w:rsidR="005C0947">
        <w:rPr>
          <w:rFonts w:eastAsia="Calibri"/>
          <w:noProof/>
        </w:rPr>
        <w:t xml:space="preserve"> </w:t>
      </w:r>
    </w:p>
    <w:p w14:paraId="4476BB70" w14:textId="77777777" w:rsidR="00E73C9B" w:rsidRDefault="00453DEE" w:rsidP="005530D5">
      <w:pPr>
        <w:spacing w:before="100" w:beforeAutospacing="1" w:after="100" w:afterAutospacing="1"/>
        <w:jc w:val="both"/>
        <w:rPr>
          <w:rFonts w:eastAsia="Times New Roman"/>
          <w:noProof/>
          <w:lang w:eastAsia="en-GB"/>
        </w:rPr>
      </w:pPr>
      <w:r>
        <w:rPr>
          <w:rFonts w:eastAsia="Calibri"/>
          <w:noProof/>
        </w:rPr>
        <w:t>T</w:t>
      </w:r>
      <w:r w:rsidR="008A7E98" w:rsidRPr="008A7E98">
        <w:rPr>
          <w:rFonts w:eastAsia="Calibri"/>
          <w:noProof/>
        </w:rPr>
        <w:t>he new Regulation introduces provisions for the control of exports of non-listed cyber-surveillance items</w:t>
      </w:r>
      <w:r w:rsidR="00435B75">
        <w:rPr>
          <w:rFonts w:eastAsia="Calibri"/>
          <w:noProof/>
        </w:rPr>
        <w:t xml:space="preserve"> </w:t>
      </w:r>
      <w:r>
        <w:rPr>
          <w:rFonts w:eastAsia="Calibri"/>
          <w:noProof/>
        </w:rPr>
        <w:t xml:space="preserve">to be backed up by </w:t>
      </w:r>
      <w:r w:rsidR="008A7E98" w:rsidRPr="008A7E98">
        <w:rPr>
          <w:rFonts w:eastAsia="Calibri"/>
          <w:noProof/>
        </w:rPr>
        <w:t>guidelines for exporters to support the</w:t>
      </w:r>
      <w:r>
        <w:rPr>
          <w:rFonts w:eastAsia="Calibri"/>
          <w:noProof/>
        </w:rPr>
        <w:t>ir</w:t>
      </w:r>
      <w:r w:rsidR="008A7E98" w:rsidRPr="008A7E98">
        <w:rPr>
          <w:rFonts w:eastAsia="Calibri"/>
          <w:noProof/>
        </w:rPr>
        <w:t xml:space="preserve"> effective implementation. </w:t>
      </w:r>
      <w:r>
        <w:rPr>
          <w:rFonts w:eastAsia="Calibri"/>
          <w:noProof/>
        </w:rPr>
        <w:t xml:space="preserve">Those controls </w:t>
      </w:r>
      <w:r w:rsidRPr="008A7E98">
        <w:rPr>
          <w:rFonts w:eastAsia="Calibri"/>
          <w:noProof/>
        </w:rPr>
        <w:t xml:space="preserve">address the risk of </w:t>
      </w:r>
      <w:r>
        <w:rPr>
          <w:rFonts w:eastAsia="Calibri"/>
          <w:noProof/>
        </w:rPr>
        <w:t xml:space="preserve">such </w:t>
      </w:r>
      <w:r w:rsidRPr="008A7E98">
        <w:rPr>
          <w:rFonts w:eastAsia="Calibri"/>
          <w:noProof/>
        </w:rPr>
        <w:t xml:space="preserve">items being used in connection with internal repression or serious violations of human rights and/or international humanitarian law, </w:t>
      </w:r>
      <w:r>
        <w:rPr>
          <w:rFonts w:eastAsia="Calibri"/>
          <w:noProof/>
        </w:rPr>
        <w:t>T</w:t>
      </w:r>
      <w:r w:rsidR="008A7E98" w:rsidRPr="008A7E98">
        <w:rPr>
          <w:rFonts w:eastAsia="Calibri"/>
          <w:noProof/>
        </w:rPr>
        <w:t xml:space="preserve">he STEG has been working on the preparation of </w:t>
      </w:r>
      <w:r>
        <w:rPr>
          <w:rFonts w:eastAsia="Calibri"/>
          <w:noProof/>
        </w:rPr>
        <w:t xml:space="preserve">those </w:t>
      </w:r>
      <w:r w:rsidR="008A7E98" w:rsidRPr="008A7E98">
        <w:rPr>
          <w:rFonts w:eastAsia="Calibri"/>
          <w:noProof/>
        </w:rPr>
        <w:t xml:space="preserve">guidelines including, inter alia, due diligence measures assessing risks related to the export of such items to end-users and </w:t>
      </w:r>
      <w:r>
        <w:rPr>
          <w:rFonts w:eastAsia="Calibri"/>
          <w:noProof/>
        </w:rPr>
        <w:t xml:space="preserve">for specific </w:t>
      </w:r>
      <w:r w:rsidR="008A7E98" w:rsidRPr="008A7E98">
        <w:rPr>
          <w:rFonts w:eastAsia="Calibri"/>
          <w:noProof/>
        </w:rPr>
        <w:t xml:space="preserve">end-uses.  </w:t>
      </w:r>
    </w:p>
    <w:p w14:paraId="1A018AB6" w14:textId="1389C768" w:rsidR="00F46B8C" w:rsidRPr="00FF7F39" w:rsidRDefault="00AA655D" w:rsidP="00FF7F39">
      <w:pPr>
        <w:keepNext/>
        <w:tabs>
          <w:tab w:val="left" w:pos="850"/>
        </w:tabs>
        <w:spacing w:after="120"/>
        <w:ind w:left="850" w:hanging="850"/>
        <w:jc w:val="both"/>
        <w:outlineLvl w:val="1"/>
        <w:rPr>
          <w:noProof/>
          <w:color w:val="000000"/>
        </w:rPr>
      </w:pPr>
      <w:bookmarkStart w:id="8" w:name="_Toc368065779"/>
      <w:r>
        <w:rPr>
          <w:rFonts w:eastAsia="Times New Roman"/>
          <w:b/>
          <w:noProof/>
          <w:lang w:eastAsia="en-GB"/>
        </w:rPr>
        <w:t>3.4</w:t>
      </w:r>
      <w:r w:rsidR="00617132">
        <w:rPr>
          <w:rFonts w:eastAsia="Times New Roman"/>
          <w:b/>
          <w:noProof/>
          <w:lang w:eastAsia="en-GB"/>
        </w:rPr>
        <w:t>.</w:t>
      </w:r>
      <w:r>
        <w:rPr>
          <w:rFonts w:eastAsia="Times New Roman"/>
          <w:b/>
          <w:noProof/>
          <w:lang w:eastAsia="en-GB"/>
        </w:rPr>
        <w:tab/>
      </w:r>
      <w:r w:rsidR="00CF0448">
        <w:rPr>
          <w:rFonts w:eastAsia="Times New Roman"/>
          <w:b/>
          <w:noProof/>
          <w:lang w:eastAsia="en-GB"/>
        </w:rPr>
        <w:t xml:space="preserve">IT Tools for Exchange of Information among Member States and for  </w:t>
      </w:r>
      <w:r>
        <w:rPr>
          <w:rFonts w:eastAsia="Times New Roman"/>
          <w:b/>
          <w:noProof/>
          <w:lang w:eastAsia="en-GB"/>
        </w:rPr>
        <w:t xml:space="preserve">Electronic </w:t>
      </w:r>
      <w:r w:rsidR="00CF0448">
        <w:rPr>
          <w:rFonts w:eastAsia="Times New Roman"/>
          <w:b/>
          <w:noProof/>
          <w:lang w:eastAsia="en-GB"/>
        </w:rPr>
        <w:t xml:space="preserve">Licensing </w:t>
      </w:r>
      <w:bookmarkEnd w:id="8"/>
    </w:p>
    <w:p w14:paraId="4833257C" w14:textId="77777777" w:rsidR="00D44B9E" w:rsidRDefault="00F46B8C" w:rsidP="00D736A8">
      <w:pPr>
        <w:jc w:val="both"/>
        <w:rPr>
          <w:rFonts w:ascii="-webkit-standard" w:hAnsi="-webkit-standard"/>
          <w:noProof/>
          <w:color w:val="000000"/>
        </w:rPr>
      </w:pPr>
      <w:r w:rsidRPr="00F46B8C">
        <w:rPr>
          <w:rFonts w:ascii="-webkit-standard" w:hAnsi="-webkit-standard"/>
          <w:noProof/>
          <w:color w:val="000000"/>
        </w:rPr>
        <w:t>The Commission, supported by the DUCG, continued to develop the Dual-</w:t>
      </w:r>
      <w:r w:rsidR="0010014A">
        <w:rPr>
          <w:rFonts w:ascii="-webkit-standard" w:hAnsi="-webkit-standard"/>
          <w:noProof/>
          <w:color w:val="000000"/>
        </w:rPr>
        <w:t>U</w:t>
      </w:r>
      <w:r w:rsidRPr="00F46B8C">
        <w:rPr>
          <w:rFonts w:ascii="-webkit-standard" w:hAnsi="-webkit-standard"/>
          <w:noProof/>
          <w:color w:val="000000"/>
        </w:rPr>
        <w:t>se e-System</w:t>
      </w:r>
      <w:r w:rsidR="00D44B9E">
        <w:rPr>
          <w:rFonts w:ascii="-webkit-standard" w:hAnsi="-webkit-standard"/>
          <w:noProof/>
          <w:color w:val="000000"/>
        </w:rPr>
        <w:t xml:space="preserve"> (DUeS)</w:t>
      </w:r>
      <w:r w:rsidR="009A3092">
        <w:rPr>
          <w:rFonts w:ascii="-webkit-standard" w:hAnsi="-webkit-standard"/>
          <w:noProof/>
          <w:color w:val="000000"/>
        </w:rPr>
        <w:t xml:space="preserve"> as the </w:t>
      </w:r>
      <w:r w:rsidR="00603CAF">
        <w:rPr>
          <w:rFonts w:ascii="-webkit-standard" w:hAnsi="-webkit-standard"/>
          <w:noProof/>
          <w:color w:val="000000"/>
        </w:rPr>
        <w:t xml:space="preserve">IT </w:t>
      </w:r>
      <w:r w:rsidR="009A3092">
        <w:rPr>
          <w:rFonts w:ascii="-webkit-standard" w:hAnsi="-webkit-standard"/>
          <w:noProof/>
          <w:color w:val="000000"/>
        </w:rPr>
        <w:t>backbone of the EU export control network</w:t>
      </w:r>
      <w:r w:rsidR="0060453A">
        <w:rPr>
          <w:rFonts w:ascii="-webkit-standard" w:hAnsi="-webkit-standard"/>
          <w:noProof/>
          <w:color w:val="000000"/>
        </w:rPr>
        <w:t>. This platform has a key role in  the effective application of the Regulation, for example, the information sharing foreseen under Article 5.</w:t>
      </w:r>
      <w:r w:rsidR="00D736A8">
        <w:rPr>
          <w:rFonts w:ascii="-webkit-standard" w:hAnsi="-webkit-standard"/>
          <w:noProof/>
          <w:color w:val="000000"/>
        </w:rPr>
        <w:t xml:space="preserve"> </w:t>
      </w:r>
    </w:p>
    <w:p w14:paraId="6D31D6D1" w14:textId="77777777" w:rsidR="00A44C7E" w:rsidRDefault="00A44C7E" w:rsidP="00D736A8">
      <w:pPr>
        <w:jc w:val="both"/>
        <w:rPr>
          <w:rFonts w:ascii="-webkit-standard" w:hAnsi="-webkit-standard"/>
          <w:noProof/>
          <w:color w:val="000000"/>
        </w:rPr>
      </w:pPr>
    </w:p>
    <w:p w14:paraId="2C0B08C9" w14:textId="77777777" w:rsidR="009111B9" w:rsidRDefault="009111B9" w:rsidP="00D736A8">
      <w:pPr>
        <w:jc w:val="both"/>
        <w:rPr>
          <w:rFonts w:ascii="-webkit-standard" w:hAnsi="-webkit-standard"/>
          <w:noProof/>
          <w:color w:val="000000"/>
        </w:rPr>
      </w:pPr>
      <w:r>
        <w:rPr>
          <w:rFonts w:ascii="-webkit-standard" w:hAnsi="-webkit-standard"/>
          <w:noProof/>
          <w:color w:val="000000"/>
        </w:rPr>
        <w:t>New functionalities were developed to support the exchange of information on denials f</w:t>
      </w:r>
      <w:r w:rsidR="007D1C11">
        <w:rPr>
          <w:rFonts w:ascii="-webkit-standard" w:hAnsi="-webkit-standard"/>
          <w:noProof/>
          <w:color w:val="000000"/>
        </w:rPr>
        <w:t>or</w:t>
      </w:r>
      <w:r>
        <w:rPr>
          <w:rFonts w:ascii="-webkit-standard" w:hAnsi="-webkit-standard"/>
          <w:noProof/>
          <w:color w:val="000000"/>
        </w:rPr>
        <w:t xml:space="preserve"> intra-EU transfers, and to </w:t>
      </w:r>
      <w:r w:rsidR="007D1C11">
        <w:rPr>
          <w:rFonts w:ascii="-webkit-standard" w:hAnsi="-webkit-standard"/>
          <w:noProof/>
          <w:color w:val="000000"/>
        </w:rPr>
        <w:t>support</w:t>
      </w:r>
      <w:r>
        <w:rPr>
          <w:rFonts w:ascii="-webkit-standard" w:hAnsi="-webkit-standard"/>
          <w:noProof/>
          <w:color w:val="000000"/>
        </w:rPr>
        <w:t xml:space="preserve"> the regular review and update of denials' information</w:t>
      </w:r>
      <w:r w:rsidR="007D1C11">
        <w:rPr>
          <w:rFonts w:ascii="-webkit-standard" w:hAnsi="-webkit-standard"/>
          <w:noProof/>
          <w:color w:val="000000"/>
        </w:rPr>
        <w:t xml:space="preserve"> by the competent authorities</w:t>
      </w:r>
      <w:r>
        <w:rPr>
          <w:rFonts w:ascii="-webkit-standard" w:hAnsi="-webkit-standard"/>
          <w:noProof/>
          <w:color w:val="000000"/>
        </w:rPr>
        <w:t>.</w:t>
      </w:r>
    </w:p>
    <w:p w14:paraId="3E5CE069" w14:textId="77777777" w:rsidR="009111B9" w:rsidRDefault="009111B9" w:rsidP="00D736A8">
      <w:pPr>
        <w:jc w:val="both"/>
        <w:rPr>
          <w:rFonts w:ascii="-webkit-standard" w:hAnsi="-webkit-standard"/>
          <w:noProof/>
          <w:color w:val="000000"/>
        </w:rPr>
      </w:pPr>
    </w:p>
    <w:p w14:paraId="0C19EA60" w14:textId="77777777" w:rsidR="00E63524" w:rsidRDefault="009111B9" w:rsidP="00D736A8">
      <w:pPr>
        <w:jc w:val="both"/>
        <w:rPr>
          <w:rFonts w:ascii="-webkit-standard" w:hAnsi="-webkit-standard"/>
          <w:noProof/>
          <w:color w:val="000000"/>
        </w:rPr>
      </w:pPr>
      <w:r>
        <w:rPr>
          <w:rFonts w:ascii="-webkit-standard" w:hAnsi="-webkit-standard"/>
          <w:noProof/>
          <w:color w:val="000000"/>
        </w:rPr>
        <w:t>In consideration of Brexit, a</w:t>
      </w:r>
      <w:r w:rsidR="00D736A8" w:rsidRPr="00D736A8">
        <w:rPr>
          <w:rFonts w:ascii="-webkit-standard" w:hAnsi="-webkit-standard"/>
          <w:noProof/>
          <w:color w:val="000000"/>
        </w:rPr>
        <w:t xml:space="preserve"> new functionality supporting information-exchange with the UK under the NI Protocol was </w:t>
      </w:r>
      <w:r w:rsidR="007D1C11">
        <w:rPr>
          <w:rFonts w:ascii="-webkit-standard" w:hAnsi="-webkit-standard"/>
          <w:noProof/>
          <w:color w:val="000000"/>
        </w:rPr>
        <w:t xml:space="preserve">introduced </w:t>
      </w:r>
      <w:r w:rsidR="00D44B9E">
        <w:rPr>
          <w:rFonts w:ascii="-webkit-standard" w:hAnsi="-webkit-standard"/>
          <w:noProof/>
          <w:color w:val="000000"/>
        </w:rPr>
        <w:t>in January 2021</w:t>
      </w:r>
      <w:r w:rsidR="00D736A8" w:rsidRPr="00D736A8">
        <w:rPr>
          <w:rFonts w:ascii="-webkit-standard" w:hAnsi="-webkit-standard"/>
          <w:noProof/>
          <w:color w:val="000000"/>
        </w:rPr>
        <w:t>.</w:t>
      </w:r>
      <w:r w:rsidR="00435B75">
        <w:rPr>
          <w:rFonts w:ascii="-webkit-standard" w:hAnsi="-webkit-standard"/>
          <w:noProof/>
          <w:color w:val="000000"/>
        </w:rPr>
        <w:t xml:space="preserve"> </w:t>
      </w:r>
    </w:p>
    <w:p w14:paraId="59410A43" w14:textId="77777777" w:rsidR="00473192" w:rsidRPr="009925EE" w:rsidRDefault="00473192" w:rsidP="00AA655D">
      <w:pPr>
        <w:jc w:val="both"/>
        <w:rPr>
          <w:rFonts w:ascii="-webkit-standard" w:hAnsi="-webkit-standard"/>
          <w:noProof/>
          <w:color w:val="000000"/>
        </w:rPr>
      </w:pPr>
    </w:p>
    <w:p w14:paraId="2F339EAF" w14:textId="0F5EF0A1" w:rsidR="00150045" w:rsidRPr="00150045" w:rsidRDefault="0060453A" w:rsidP="009D6D2B">
      <w:pPr>
        <w:jc w:val="both"/>
        <w:rPr>
          <w:rFonts w:ascii="-webkit-standard" w:hAnsi="-webkit-standard"/>
          <w:noProof/>
          <w:color w:val="000000"/>
        </w:rPr>
      </w:pPr>
      <w:r w:rsidRPr="00A42567">
        <w:rPr>
          <w:rFonts w:ascii="-webkit-standard" w:hAnsi="-webkit-standard"/>
          <w:noProof/>
          <w:color w:val="000000"/>
        </w:rPr>
        <w:t>A</w:t>
      </w:r>
      <w:r w:rsidR="00150045" w:rsidRPr="00A42567">
        <w:rPr>
          <w:rFonts w:ascii="-webkit-standard" w:hAnsi="-webkit-standard"/>
          <w:noProof/>
          <w:color w:val="000000"/>
        </w:rPr>
        <w:t xml:space="preserve">fter several years of preparations, 2021 marked the first year of </w:t>
      </w:r>
      <w:r w:rsidR="00A42567" w:rsidRPr="0051175D">
        <w:rPr>
          <w:rFonts w:ascii="-webkit-standard" w:hAnsi="-webkit-standard"/>
          <w:noProof/>
          <w:color w:val="000000"/>
        </w:rPr>
        <w:t xml:space="preserve">operation </w:t>
      </w:r>
      <w:r w:rsidR="00150045" w:rsidRPr="00A42567">
        <w:rPr>
          <w:rFonts w:ascii="-webkit-standard" w:hAnsi="-webkit-standard"/>
          <w:noProof/>
          <w:color w:val="000000"/>
        </w:rPr>
        <w:t>of the dual-use eLicensing system</w:t>
      </w:r>
      <w:r w:rsidR="000A14EB" w:rsidRPr="00A42567">
        <w:rPr>
          <w:rFonts w:ascii="-webkit-standard" w:hAnsi="-webkit-standard"/>
          <w:noProof/>
          <w:color w:val="000000"/>
        </w:rPr>
        <w:t>, with its introduction</w:t>
      </w:r>
      <w:r w:rsidR="00150045" w:rsidRPr="00A42567">
        <w:rPr>
          <w:rFonts w:ascii="-webkit-standard" w:hAnsi="-webkit-standard"/>
          <w:noProof/>
          <w:color w:val="000000"/>
        </w:rPr>
        <w:t xml:space="preserve"> in two Member States </w:t>
      </w:r>
      <w:r w:rsidR="000A14EB" w:rsidRPr="00A42567">
        <w:rPr>
          <w:rFonts w:ascii="-webkit-standard" w:hAnsi="-webkit-standard"/>
          <w:noProof/>
          <w:color w:val="000000"/>
        </w:rPr>
        <w:t xml:space="preserve">- </w:t>
      </w:r>
      <w:r w:rsidR="00150045" w:rsidRPr="00A42567">
        <w:rPr>
          <w:rFonts w:ascii="-webkit-standard" w:hAnsi="-webkit-standard"/>
          <w:noProof/>
          <w:color w:val="000000"/>
        </w:rPr>
        <w:t>Latvia and Romania</w:t>
      </w:r>
      <w:r w:rsidR="00A42567" w:rsidRPr="0051175D">
        <w:rPr>
          <w:rFonts w:ascii="-webkit-standard" w:hAnsi="-webkit-standard"/>
          <w:noProof/>
          <w:color w:val="000000"/>
        </w:rPr>
        <w:t xml:space="preserve">. eLicensing </w:t>
      </w:r>
      <w:r w:rsidR="000A14EB" w:rsidRPr="00A42567">
        <w:rPr>
          <w:rFonts w:ascii="-webkit-standard" w:hAnsi="-webkit-standard"/>
          <w:noProof/>
          <w:color w:val="000000"/>
        </w:rPr>
        <w:t>allow</w:t>
      </w:r>
      <w:r w:rsidR="00A42567" w:rsidRPr="0051175D">
        <w:rPr>
          <w:rFonts w:ascii="-webkit-standard" w:hAnsi="-webkit-standard"/>
          <w:noProof/>
          <w:color w:val="000000"/>
        </w:rPr>
        <w:t xml:space="preserve">s </w:t>
      </w:r>
      <w:r w:rsidR="000A14EB" w:rsidRPr="00A42567">
        <w:rPr>
          <w:rFonts w:ascii="-webkit-standard" w:hAnsi="-webkit-standard"/>
          <w:noProof/>
          <w:color w:val="000000"/>
        </w:rPr>
        <w:t>competent authorities and exporters to administ</w:t>
      </w:r>
      <w:r w:rsidR="007D1C11" w:rsidRPr="00A42567">
        <w:rPr>
          <w:rFonts w:ascii="-webkit-standard" w:hAnsi="-webkit-standard"/>
          <w:noProof/>
          <w:color w:val="000000"/>
        </w:rPr>
        <w:t>e</w:t>
      </w:r>
      <w:r w:rsidR="000A14EB" w:rsidRPr="00A42567">
        <w:rPr>
          <w:rFonts w:ascii="-webkit-standard" w:hAnsi="-webkit-standard"/>
          <w:noProof/>
          <w:color w:val="000000"/>
        </w:rPr>
        <w:t xml:space="preserve">r controls </w:t>
      </w:r>
      <w:r w:rsidR="00A42567" w:rsidRPr="0051175D">
        <w:rPr>
          <w:rFonts w:ascii="-webkit-standard" w:hAnsi="-webkit-standard"/>
          <w:noProof/>
          <w:color w:val="000000"/>
        </w:rPr>
        <w:t xml:space="preserve">on-line </w:t>
      </w:r>
      <w:r w:rsidR="000A14EB" w:rsidRPr="00A42567">
        <w:rPr>
          <w:rFonts w:ascii="-webkit-standard" w:hAnsi="-webkit-standard"/>
          <w:noProof/>
          <w:color w:val="000000"/>
        </w:rPr>
        <w:t>more efficiently and reduc</w:t>
      </w:r>
      <w:r w:rsidR="00C0362A">
        <w:rPr>
          <w:rFonts w:ascii="-webkit-standard" w:hAnsi="-webkit-standard"/>
          <w:noProof/>
          <w:color w:val="000000"/>
        </w:rPr>
        <w:t>e</w:t>
      </w:r>
      <w:r w:rsidR="000A14EB" w:rsidRPr="00A42567">
        <w:rPr>
          <w:rFonts w:ascii="-webkit-standard" w:hAnsi="-webkit-standard"/>
          <w:noProof/>
          <w:color w:val="000000"/>
        </w:rPr>
        <w:t xml:space="preserve"> the administrative burden associated with controls</w:t>
      </w:r>
      <w:r w:rsidR="00150045" w:rsidRPr="00A42567">
        <w:rPr>
          <w:rFonts w:ascii="-webkit-standard" w:hAnsi="-webkit-standard"/>
          <w:noProof/>
          <w:color w:val="000000"/>
        </w:rPr>
        <w:t>.</w:t>
      </w:r>
      <w:r w:rsidR="00EC19E7">
        <w:rPr>
          <w:rFonts w:ascii="-webkit-standard" w:hAnsi="-webkit-standard"/>
          <w:noProof/>
          <w:color w:val="000000"/>
        </w:rPr>
        <w:t xml:space="preserve"> </w:t>
      </w:r>
      <w:r w:rsidR="009D6D2B" w:rsidRPr="009D6D2B">
        <w:rPr>
          <w:rFonts w:ascii="-webkit-standard" w:hAnsi="-webkit-standard"/>
          <w:noProof/>
          <w:color w:val="000000"/>
        </w:rPr>
        <w:t>It is aimed at replacing off-line systems</w:t>
      </w:r>
      <w:r w:rsidR="00BB5308" w:rsidRPr="00BB5308">
        <w:rPr>
          <w:rFonts w:ascii="-webkit-standard" w:hAnsi="-webkit-standard"/>
          <w:noProof/>
          <w:color w:val="000000"/>
        </w:rPr>
        <w:t xml:space="preserve"> </w:t>
      </w:r>
      <w:r w:rsidR="00BB5308" w:rsidRPr="00603772">
        <w:rPr>
          <w:rFonts w:ascii="-webkit-standard" w:hAnsi="-webkit-standard"/>
          <w:noProof/>
          <w:color w:val="000000"/>
        </w:rPr>
        <w:t>or outdated national electronic systems</w:t>
      </w:r>
      <w:r w:rsidR="009D6D2B" w:rsidRPr="009D6D2B">
        <w:rPr>
          <w:rFonts w:ascii="-webkit-standard" w:hAnsi="-webkit-standard"/>
          <w:noProof/>
          <w:color w:val="000000"/>
        </w:rPr>
        <w:t>, allowing for more agile exchange of information - including in the reporting of licensing data to the Commission – and bringing further potential for exchange of data across the EU</w:t>
      </w:r>
      <w:r w:rsidR="00EC19E7">
        <w:rPr>
          <w:rFonts w:ascii="-webkit-standard" w:hAnsi="-webkit-standard"/>
          <w:noProof/>
          <w:color w:val="000000"/>
        </w:rPr>
        <w:t xml:space="preserve">. </w:t>
      </w:r>
      <w:r w:rsidR="000A14EB" w:rsidRPr="00A42567">
        <w:rPr>
          <w:rFonts w:ascii="-webkit-standard" w:hAnsi="-webkit-standard"/>
          <w:noProof/>
          <w:color w:val="000000"/>
        </w:rPr>
        <w:t>The d</w:t>
      </w:r>
      <w:r w:rsidR="00150045" w:rsidRPr="00A42567">
        <w:rPr>
          <w:rFonts w:ascii="-webkit-standard" w:hAnsi="-webkit-standard"/>
          <w:noProof/>
          <w:color w:val="000000"/>
        </w:rPr>
        <w:t>evelopment of the eLicensing system continued in 2021 with other competent authorities joining the pilot project (Italy and Belgium - Walloon Region</w:t>
      </w:r>
      <w:r w:rsidR="00D0338F">
        <w:rPr>
          <w:rFonts w:ascii="-webkit-standard" w:hAnsi="-webkit-standard"/>
          <w:noProof/>
          <w:color w:val="000000"/>
        </w:rPr>
        <w:t xml:space="preserve"> </w:t>
      </w:r>
      <w:r w:rsidR="00D0338F" w:rsidRPr="00D0338F">
        <w:rPr>
          <w:rFonts w:ascii="-webkit-standard" w:hAnsi="-webkit-standard"/>
          <w:noProof/>
          <w:color w:val="000000"/>
        </w:rPr>
        <w:t xml:space="preserve">going live </w:t>
      </w:r>
      <w:r w:rsidR="00BB5308">
        <w:rPr>
          <w:rFonts w:ascii="-webkit-standard" w:hAnsi="-webkit-standard"/>
          <w:noProof/>
          <w:color w:val="000000"/>
        </w:rPr>
        <w:t>in 2022</w:t>
      </w:r>
      <w:r w:rsidR="00D0338F" w:rsidRPr="00D0338F">
        <w:rPr>
          <w:rFonts w:ascii="-webkit-standard" w:hAnsi="-webkit-standard"/>
          <w:noProof/>
          <w:color w:val="000000"/>
        </w:rPr>
        <w:t xml:space="preserve"> and Slovenia foreseen in </w:t>
      </w:r>
      <w:r w:rsidR="00BB5308">
        <w:rPr>
          <w:rFonts w:ascii="-webkit-standard" w:hAnsi="-webkit-standard"/>
          <w:noProof/>
          <w:color w:val="000000"/>
        </w:rPr>
        <w:t xml:space="preserve">early </w:t>
      </w:r>
      <w:r w:rsidR="00D0338F" w:rsidRPr="00D0338F">
        <w:rPr>
          <w:rFonts w:ascii="-webkit-standard" w:hAnsi="-webkit-standard"/>
          <w:noProof/>
          <w:color w:val="000000"/>
        </w:rPr>
        <w:t>2023</w:t>
      </w:r>
      <w:r w:rsidR="00150045" w:rsidRPr="00A42567">
        <w:rPr>
          <w:rFonts w:ascii="-webkit-standard" w:hAnsi="-webkit-standard"/>
          <w:noProof/>
          <w:color w:val="000000"/>
        </w:rPr>
        <w:t xml:space="preserve">). </w:t>
      </w:r>
      <w:r w:rsidR="000A14EB" w:rsidRPr="00A42567">
        <w:rPr>
          <w:rFonts w:ascii="-webkit-standard" w:hAnsi="-webkit-standard"/>
          <w:noProof/>
          <w:color w:val="000000"/>
        </w:rPr>
        <w:t>Beyond the EU, as part of its di</w:t>
      </w:r>
      <w:r w:rsidR="0049460C" w:rsidRPr="00A42567">
        <w:rPr>
          <w:rFonts w:ascii="-webkit-standard" w:hAnsi="-webkit-standard"/>
          <w:noProof/>
          <w:color w:val="000000"/>
        </w:rPr>
        <w:t>a</w:t>
      </w:r>
      <w:r w:rsidR="000A14EB" w:rsidRPr="00A42567">
        <w:rPr>
          <w:rFonts w:ascii="-webkit-standard" w:hAnsi="-webkit-standard"/>
          <w:noProof/>
          <w:color w:val="000000"/>
        </w:rPr>
        <w:t>logues with partner</w:t>
      </w:r>
      <w:r w:rsidRPr="00A42567">
        <w:rPr>
          <w:rFonts w:ascii="-webkit-standard" w:hAnsi="-webkit-standard"/>
          <w:noProof/>
          <w:color w:val="000000"/>
        </w:rPr>
        <w:t xml:space="preserve"> countrie</w:t>
      </w:r>
      <w:r w:rsidR="000A14EB" w:rsidRPr="00A42567">
        <w:rPr>
          <w:rFonts w:ascii="-webkit-standard" w:hAnsi="-webkit-standard"/>
          <w:noProof/>
          <w:color w:val="000000"/>
        </w:rPr>
        <w:t>s, t</w:t>
      </w:r>
      <w:r w:rsidR="00150045" w:rsidRPr="00A42567">
        <w:rPr>
          <w:rFonts w:ascii="-webkit-standard" w:hAnsi="-webkit-standard"/>
          <w:noProof/>
          <w:color w:val="000000"/>
        </w:rPr>
        <w:t xml:space="preserve">he Commission is examining </w:t>
      </w:r>
      <w:r w:rsidR="007D1C11" w:rsidRPr="00A42567">
        <w:rPr>
          <w:rFonts w:ascii="-webkit-standard" w:hAnsi="-webkit-standard"/>
          <w:noProof/>
          <w:color w:val="000000"/>
        </w:rPr>
        <w:t>options for</w:t>
      </w:r>
      <w:r w:rsidR="00150045" w:rsidRPr="00A42567">
        <w:rPr>
          <w:rFonts w:ascii="-webkit-standard" w:hAnsi="-webkit-standard"/>
          <w:noProof/>
          <w:color w:val="000000"/>
        </w:rPr>
        <w:t xml:space="preserve"> </w:t>
      </w:r>
      <w:r w:rsidR="0049460C" w:rsidRPr="00A42567">
        <w:rPr>
          <w:rFonts w:ascii="-webkit-standard" w:hAnsi="-webkit-standard"/>
          <w:noProof/>
          <w:color w:val="000000"/>
        </w:rPr>
        <w:t>provid</w:t>
      </w:r>
      <w:r w:rsidR="007D1C11" w:rsidRPr="00A42567">
        <w:rPr>
          <w:rFonts w:ascii="-webkit-standard" w:hAnsi="-webkit-standard"/>
          <w:noProof/>
          <w:color w:val="000000"/>
        </w:rPr>
        <w:t>ing</w:t>
      </w:r>
      <w:r w:rsidR="0049460C" w:rsidRPr="00A42567">
        <w:rPr>
          <w:rFonts w:ascii="-webkit-standard" w:hAnsi="-webkit-standard"/>
          <w:noProof/>
          <w:color w:val="000000"/>
        </w:rPr>
        <w:t xml:space="preserve"> </w:t>
      </w:r>
      <w:r w:rsidR="00150045" w:rsidRPr="00A42567">
        <w:rPr>
          <w:rFonts w:ascii="-webkit-standard" w:hAnsi="-webkit-standard"/>
          <w:noProof/>
          <w:color w:val="000000"/>
        </w:rPr>
        <w:t xml:space="preserve">the eLicensing tool </w:t>
      </w:r>
      <w:r w:rsidR="0049460C" w:rsidRPr="00A42567">
        <w:rPr>
          <w:rFonts w:ascii="-webkit-standard" w:hAnsi="-webkit-standard"/>
          <w:noProof/>
          <w:color w:val="000000"/>
        </w:rPr>
        <w:t xml:space="preserve">to </w:t>
      </w:r>
      <w:r w:rsidR="007D1C11" w:rsidRPr="00A42567">
        <w:rPr>
          <w:rFonts w:ascii="-webkit-standard" w:hAnsi="-webkit-standard"/>
          <w:noProof/>
          <w:color w:val="000000"/>
        </w:rPr>
        <w:t xml:space="preserve">partners e.g. </w:t>
      </w:r>
      <w:r w:rsidR="00150045" w:rsidRPr="00A42567">
        <w:rPr>
          <w:rFonts w:ascii="-webkit-standard" w:hAnsi="-webkit-standard"/>
          <w:noProof/>
          <w:color w:val="000000"/>
        </w:rPr>
        <w:t>the national authori</w:t>
      </w:r>
      <w:r w:rsidR="00EC19E7">
        <w:rPr>
          <w:rFonts w:ascii="-webkit-standard" w:hAnsi="-webkit-standard"/>
          <w:noProof/>
          <w:color w:val="000000"/>
        </w:rPr>
        <w:t>ty in Bosnia and Herzegovina which</w:t>
      </w:r>
      <w:r w:rsidR="00150045" w:rsidRPr="00A42567">
        <w:rPr>
          <w:rFonts w:ascii="-webkit-standard" w:hAnsi="-webkit-standard"/>
          <w:noProof/>
          <w:color w:val="000000"/>
        </w:rPr>
        <w:t xml:space="preserve"> has shown interest in using the tool.</w:t>
      </w:r>
      <w:r w:rsidR="00150045">
        <w:rPr>
          <w:rFonts w:ascii="-webkit-standard" w:hAnsi="-webkit-standard"/>
          <w:noProof/>
          <w:color w:val="000000"/>
        </w:rPr>
        <w:t xml:space="preserve"> </w:t>
      </w:r>
    </w:p>
    <w:p w14:paraId="6A5B5A17" w14:textId="77777777" w:rsidR="00150045" w:rsidRPr="00150045" w:rsidRDefault="00150045" w:rsidP="00150045">
      <w:pPr>
        <w:jc w:val="both"/>
        <w:rPr>
          <w:rFonts w:ascii="-webkit-standard" w:hAnsi="-webkit-standard"/>
          <w:noProof/>
          <w:color w:val="000000"/>
        </w:rPr>
      </w:pPr>
    </w:p>
    <w:p w14:paraId="4D9C1F3D" w14:textId="0FF70471" w:rsidR="0068231A" w:rsidRDefault="00150045" w:rsidP="00150045">
      <w:pPr>
        <w:jc w:val="both"/>
        <w:rPr>
          <w:rFonts w:ascii="-webkit-standard" w:hAnsi="-webkit-standard"/>
          <w:noProof/>
          <w:color w:val="000000"/>
        </w:rPr>
      </w:pPr>
      <w:r w:rsidRPr="00150045">
        <w:rPr>
          <w:rFonts w:ascii="-webkit-standard" w:hAnsi="-webkit-standard"/>
          <w:noProof/>
          <w:color w:val="000000"/>
        </w:rPr>
        <w:t>The</w:t>
      </w:r>
      <w:r w:rsidR="000A14EB">
        <w:rPr>
          <w:rFonts w:ascii="-webkit-standard" w:hAnsi="-webkit-standard"/>
          <w:noProof/>
          <w:color w:val="000000"/>
        </w:rPr>
        <w:t xml:space="preserve"> eLicensing project is also developing in new directions to </w:t>
      </w:r>
      <w:r w:rsidR="00A42567">
        <w:rPr>
          <w:rFonts w:ascii="-webkit-standard" w:hAnsi="-webkit-standard"/>
          <w:noProof/>
          <w:color w:val="000000"/>
        </w:rPr>
        <w:t xml:space="preserve">make controls more </w:t>
      </w:r>
      <w:r w:rsidR="000A14EB">
        <w:rPr>
          <w:rFonts w:ascii="-webkit-standard" w:hAnsi="-webkit-standard"/>
          <w:noProof/>
          <w:color w:val="000000"/>
        </w:rPr>
        <w:t>effective</w:t>
      </w:r>
      <w:r w:rsidR="00A42567">
        <w:rPr>
          <w:rFonts w:ascii="-webkit-standard" w:hAnsi="-webkit-standard"/>
          <w:noProof/>
          <w:color w:val="000000"/>
        </w:rPr>
        <w:t>, for example, by connecting</w:t>
      </w:r>
      <w:r w:rsidR="00D0338F" w:rsidRPr="00D0338F">
        <w:rPr>
          <w:noProof/>
        </w:rPr>
        <w:t xml:space="preserve"> </w:t>
      </w:r>
      <w:r w:rsidR="00D0338F" w:rsidRPr="00D0338F">
        <w:rPr>
          <w:rFonts w:ascii="-webkit-standard" w:hAnsi="-webkit-standard"/>
          <w:noProof/>
          <w:color w:val="000000"/>
        </w:rPr>
        <w:t xml:space="preserve">the eLicensing system with </w:t>
      </w:r>
      <w:r w:rsidR="00A42567">
        <w:rPr>
          <w:rFonts w:ascii="-webkit-standard" w:hAnsi="-webkit-standard"/>
          <w:noProof/>
          <w:color w:val="000000"/>
        </w:rPr>
        <w:t xml:space="preserve"> </w:t>
      </w:r>
      <w:r w:rsidR="00F8090F">
        <w:rPr>
          <w:rFonts w:ascii="-webkit-standard" w:hAnsi="-webkit-standard"/>
          <w:noProof/>
          <w:color w:val="000000"/>
        </w:rPr>
        <w:t xml:space="preserve">national </w:t>
      </w:r>
      <w:r w:rsidR="00D0338F">
        <w:rPr>
          <w:rFonts w:ascii="-webkit-standard" w:hAnsi="-webkit-standard"/>
          <w:noProof/>
          <w:color w:val="000000"/>
        </w:rPr>
        <w:t xml:space="preserve">customs </w:t>
      </w:r>
      <w:r w:rsidR="00F8090F">
        <w:rPr>
          <w:rFonts w:ascii="-webkit-standard" w:hAnsi="-webkit-standard"/>
          <w:noProof/>
          <w:color w:val="000000"/>
        </w:rPr>
        <w:t xml:space="preserve">systems </w:t>
      </w:r>
      <w:r w:rsidR="00C0362A" w:rsidRPr="00C0362A">
        <w:rPr>
          <w:rFonts w:ascii="-webkit-standard" w:hAnsi="-webkit-standard"/>
          <w:noProof/>
          <w:color w:val="000000"/>
        </w:rPr>
        <w:t xml:space="preserve">via the Customs’ Single Window environment. </w:t>
      </w:r>
      <w:r w:rsidR="00F8090F">
        <w:rPr>
          <w:rFonts w:ascii="-webkit-standard" w:hAnsi="-webkit-standard"/>
          <w:noProof/>
          <w:color w:val="000000"/>
        </w:rPr>
        <w:t>This will make sharing information across borders and with customs authorities much easier, reducing the regulatory burden for operators</w:t>
      </w:r>
      <w:r w:rsidR="0068231A">
        <w:rPr>
          <w:rFonts w:ascii="-webkit-standard" w:hAnsi="-webkit-standard"/>
          <w:noProof/>
          <w:color w:val="000000"/>
        </w:rPr>
        <w:t xml:space="preserve"> </w:t>
      </w:r>
      <w:r w:rsidR="0068231A" w:rsidRPr="0068231A">
        <w:rPr>
          <w:rFonts w:ascii="-webkit-standard" w:hAnsi="-webkit-standard"/>
          <w:noProof/>
          <w:color w:val="000000"/>
        </w:rPr>
        <w:t>and allowing automatic licenses quantity management</w:t>
      </w:r>
      <w:r w:rsidR="00F8090F">
        <w:rPr>
          <w:rFonts w:ascii="-webkit-standard" w:hAnsi="-webkit-standard"/>
          <w:noProof/>
          <w:color w:val="000000"/>
        </w:rPr>
        <w:t xml:space="preserve">. This would be done </w:t>
      </w:r>
      <w:r w:rsidR="00F8090F" w:rsidRPr="00150045">
        <w:rPr>
          <w:rFonts w:ascii="-webkit-standard" w:hAnsi="-webkit-standard"/>
          <w:noProof/>
          <w:color w:val="000000"/>
        </w:rPr>
        <w:t xml:space="preserve">through the </w:t>
      </w:r>
      <w:r w:rsidR="00F8090F">
        <w:rPr>
          <w:rFonts w:ascii="-webkit-standard" w:hAnsi="-webkit-standard"/>
          <w:noProof/>
          <w:color w:val="000000"/>
        </w:rPr>
        <w:t xml:space="preserve">Certification Exchage - </w:t>
      </w:r>
      <w:r w:rsidR="00F8090F" w:rsidRPr="00150045">
        <w:rPr>
          <w:rFonts w:ascii="-webkit-standard" w:hAnsi="-webkit-standard"/>
          <w:noProof/>
          <w:color w:val="000000"/>
        </w:rPr>
        <w:t>“CERTEX” platform</w:t>
      </w:r>
      <w:r w:rsidR="0068231A">
        <w:rPr>
          <w:rFonts w:ascii="-webkit-standard" w:hAnsi="-webkit-standard"/>
          <w:noProof/>
          <w:color w:val="000000"/>
        </w:rPr>
        <w:t xml:space="preserve"> </w:t>
      </w:r>
      <w:r w:rsidR="0068231A" w:rsidRPr="0068231A">
        <w:rPr>
          <w:rFonts w:ascii="-webkit-standard" w:hAnsi="-webkit-standard"/>
          <w:noProof/>
          <w:color w:val="000000"/>
        </w:rPr>
        <w:t>managed by DG TAXUD</w:t>
      </w:r>
      <w:r w:rsidR="00F8090F">
        <w:rPr>
          <w:rFonts w:ascii="-webkit-standard" w:hAnsi="-webkit-standard"/>
          <w:noProof/>
          <w:color w:val="000000"/>
        </w:rPr>
        <w:t xml:space="preserve">. </w:t>
      </w:r>
    </w:p>
    <w:p w14:paraId="79673CCD" w14:textId="77777777" w:rsidR="00CF0448" w:rsidRDefault="00CF0448" w:rsidP="00150045">
      <w:pPr>
        <w:jc w:val="both"/>
        <w:rPr>
          <w:rFonts w:ascii="-webkit-standard" w:hAnsi="-webkit-standard"/>
          <w:noProof/>
          <w:color w:val="000000"/>
        </w:rPr>
      </w:pPr>
    </w:p>
    <w:p w14:paraId="3621C95B" w14:textId="3A349090" w:rsidR="00A74C55" w:rsidRDefault="00A74C55" w:rsidP="00A74C55">
      <w:pPr>
        <w:jc w:val="both"/>
        <w:rPr>
          <w:rFonts w:ascii="-webkit-standard" w:hAnsi="-webkit-standard"/>
          <w:noProof/>
          <w:color w:val="000000"/>
        </w:rPr>
      </w:pPr>
      <w:r>
        <w:rPr>
          <w:rFonts w:ascii="-webkit-standard" w:hAnsi="-webkit-standard"/>
          <w:noProof/>
          <w:color w:val="000000"/>
        </w:rPr>
        <w:t xml:space="preserve">At the request of </w:t>
      </w:r>
      <w:r w:rsidRPr="0068231A">
        <w:rPr>
          <w:rFonts w:ascii="-webkit-standard" w:hAnsi="-webkit-standard"/>
          <w:noProof/>
          <w:color w:val="000000"/>
        </w:rPr>
        <w:t>M</w:t>
      </w:r>
      <w:r>
        <w:rPr>
          <w:rFonts w:ascii="-webkit-standard" w:hAnsi="-webkit-standard"/>
          <w:noProof/>
          <w:color w:val="000000"/>
        </w:rPr>
        <w:t xml:space="preserve">ember </w:t>
      </w:r>
      <w:r w:rsidRPr="0068231A">
        <w:rPr>
          <w:rFonts w:ascii="-webkit-standard" w:hAnsi="-webkit-standard"/>
          <w:noProof/>
          <w:color w:val="000000"/>
        </w:rPr>
        <w:t>S</w:t>
      </w:r>
      <w:r>
        <w:rPr>
          <w:rFonts w:ascii="-webkit-standard" w:hAnsi="-webkit-standard"/>
          <w:noProof/>
          <w:color w:val="000000"/>
        </w:rPr>
        <w:t>tates</w:t>
      </w:r>
      <w:r w:rsidRPr="0068231A">
        <w:rPr>
          <w:rFonts w:ascii="-webkit-standard" w:hAnsi="-webkit-standard"/>
          <w:noProof/>
          <w:color w:val="000000"/>
        </w:rPr>
        <w:t xml:space="preserve"> that already </w:t>
      </w:r>
      <w:r>
        <w:rPr>
          <w:rFonts w:ascii="-webkit-standard" w:hAnsi="-webkit-standard"/>
          <w:noProof/>
          <w:color w:val="000000"/>
        </w:rPr>
        <w:t xml:space="preserve">operate eLicensing systems, </w:t>
      </w:r>
      <w:r w:rsidRPr="0068231A">
        <w:rPr>
          <w:rFonts w:ascii="-webkit-standard" w:hAnsi="-webkit-standard"/>
          <w:noProof/>
          <w:color w:val="000000"/>
        </w:rPr>
        <w:t xml:space="preserve">the Commission </w:t>
      </w:r>
      <w:r>
        <w:rPr>
          <w:rFonts w:ascii="-webkit-standard" w:hAnsi="-webkit-standard"/>
          <w:noProof/>
          <w:color w:val="000000"/>
        </w:rPr>
        <w:t xml:space="preserve">initiated a new "eLicensing bridge" project to allow to </w:t>
      </w:r>
      <w:r w:rsidRPr="0068231A">
        <w:rPr>
          <w:rFonts w:ascii="-webkit-standard" w:hAnsi="-webkit-standard"/>
          <w:noProof/>
          <w:color w:val="000000"/>
        </w:rPr>
        <w:t>connect</w:t>
      </w:r>
      <w:r>
        <w:rPr>
          <w:rFonts w:ascii="-webkit-standard" w:hAnsi="-webkit-standard"/>
          <w:noProof/>
          <w:color w:val="000000"/>
        </w:rPr>
        <w:t xml:space="preserve"> national licensing systems to</w:t>
      </w:r>
      <w:r w:rsidRPr="0068231A">
        <w:rPr>
          <w:rFonts w:ascii="-webkit-standard" w:hAnsi="-webkit-standard"/>
          <w:noProof/>
          <w:color w:val="000000"/>
        </w:rPr>
        <w:t xml:space="preserve"> customs systems. </w:t>
      </w:r>
    </w:p>
    <w:p w14:paraId="60D50463" w14:textId="77777777" w:rsidR="00A74C55" w:rsidRDefault="00A74C55" w:rsidP="00150045">
      <w:pPr>
        <w:jc w:val="both"/>
        <w:rPr>
          <w:rFonts w:ascii="-webkit-standard" w:hAnsi="-webkit-standard"/>
          <w:noProof/>
          <w:color w:val="000000"/>
        </w:rPr>
      </w:pPr>
    </w:p>
    <w:p w14:paraId="3A4DB4FD" w14:textId="77777777" w:rsidR="00AA655D" w:rsidRPr="00CB7673" w:rsidRDefault="00AA655D" w:rsidP="00AA655D">
      <w:pPr>
        <w:keepNext/>
        <w:tabs>
          <w:tab w:val="left" w:pos="850"/>
        </w:tabs>
        <w:spacing w:after="120"/>
        <w:ind w:left="850" w:hanging="850"/>
        <w:jc w:val="both"/>
        <w:outlineLvl w:val="1"/>
        <w:rPr>
          <w:rFonts w:eastAsia="Times New Roman"/>
          <w:b/>
          <w:noProof/>
          <w:lang w:eastAsia="en-GB"/>
        </w:rPr>
      </w:pPr>
      <w:bookmarkStart w:id="9" w:name="_Toc368065781"/>
      <w:r w:rsidRPr="00CB7673">
        <w:rPr>
          <w:rFonts w:eastAsia="Times New Roman"/>
          <w:b/>
          <w:noProof/>
          <w:lang w:eastAsia="en-GB"/>
        </w:rPr>
        <w:t>3.</w:t>
      </w:r>
      <w:r w:rsidR="001926CB">
        <w:rPr>
          <w:rFonts w:eastAsia="Times New Roman"/>
          <w:b/>
          <w:noProof/>
          <w:lang w:eastAsia="en-GB"/>
        </w:rPr>
        <w:t>5</w:t>
      </w:r>
      <w:r w:rsidR="00617132">
        <w:rPr>
          <w:rFonts w:eastAsia="Times New Roman"/>
          <w:b/>
          <w:noProof/>
          <w:lang w:eastAsia="en-GB"/>
        </w:rPr>
        <w:t>.</w:t>
      </w:r>
      <w:r w:rsidRPr="00CB7673">
        <w:rPr>
          <w:rFonts w:eastAsia="Times New Roman"/>
          <w:b/>
          <w:noProof/>
          <w:lang w:eastAsia="en-GB"/>
        </w:rPr>
        <w:tab/>
        <w:t>Implementation and enforcement</w:t>
      </w:r>
      <w:bookmarkEnd w:id="9"/>
    </w:p>
    <w:p w14:paraId="522516D1" w14:textId="670AE85E" w:rsidR="00AA655D" w:rsidRPr="00F8090F" w:rsidRDefault="00AA655D" w:rsidP="00AA655D">
      <w:pPr>
        <w:spacing w:before="100" w:beforeAutospacing="1" w:after="100" w:afterAutospacing="1"/>
        <w:jc w:val="both"/>
        <w:rPr>
          <w:rFonts w:eastAsia="Calibri"/>
          <w:noProof/>
          <w:lang w:eastAsia="en-GB"/>
        </w:rPr>
      </w:pPr>
      <w:r w:rsidRPr="001410F8">
        <w:rPr>
          <w:rFonts w:eastAsia="Calibri"/>
          <w:noProof/>
          <w:lang w:eastAsia="en-GB"/>
        </w:rPr>
        <w:t xml:space="preserve">The </w:t>
      </w:r>
      <w:r w:rsidR="009D6D2B">
        <w:rPr>
          <w:rFonts w:eastAsia="Calibri"/>
          <w:noProof/>
          <w:lang w:eastAsia="en-GB"/>
        </w:rPr>
        <w:t>Commission supervised an</w:t>
      </w:r>
      <w:r w:rsidR="0063751B">
        <w:rPr>
          <w:rFonts w:eastAsia="Calibri"/>
          <w:noProof/>
          <w:lang w:eastAsia="en-GB"/>
        </w:rPr>
        <w:t xml:space="preserve"> </w:t>
      </w:r>
      <w:r w:rsidRPr="001410F8">
        <w:rPr>
          <w:rFonts w:eastAsia="Calibri"/>
          <w:noProof/>
          <w:lang w:eastAsia="en-GB"/>
        </w:rPr>
        <w:t>exchange</w:t>
      </w:r>
      <w:r w:rsidR="009D6D2B">
        <w:rPr>
          <w:rFonts w:eastAsia="Calibri"/>
          <w:noProof/>
          <w:lang w:eastAsia="en-GB"/>
        </w:rPr>
        <w:t xml:space="preserve"> of</w:t>
      </w:r>
      <w:r w:rsidRPr="001410F8">
        <w:rPr>
          <w:rFonts w:eastAsia="Calibri"/>
          <w:noProof/>
          <w:lang w:eastAsia="en-GB"/>
        </w:rPr>
        <w:t xml:space="preserve"> information on the implementation and enforcement of controls</w:t>
      </w:r>
      <w:r w:rsidR="009D6D2B">
        <w:rPr>
          <w:rFonts w:eastAsia="Calibri"/>
          <w:noProof/>
          <w:lang w:eastAsia="en-GB"/>
        </w:rPr>
        <w:t xml:space="preserve"> with the support of the DUCG</w:t>
      </w:r>
      <w:r w:rsidRPr="001410F8">
        <w:rPr>
          <w:rFonts w:eastAsia="Calibri"/>
          <w:noProof/>
          <w:lang w:eastAsia="en-GB"/>
        </w:rPr>
        <w:t>.</w:t>
      </w:r>
      <w:r w:rsidR="00885D51">
        <w:rPr>
          <w:rFonts w:eastAsia="Calibri"/>
          <w:noProof/>
          <w:lang w:eastAsia="en-GB"/>
        </w:rPr>
        <w:t xml:space="preserve"> </w:t>
      </w:r>
      <w:r w:rsidRPr="001410F8">
        <w:rPr>
          <w:rFonts w:eastAsia="Calibri"/>
          <w:noProof/>
          <w:lang w:eastAsia="en-GB"/>
        </w:rPr>
        <w:t xml:space="preserve">According to available data, the EU export control network – comprising staff in Member States’ licensing competent authorities and the Commission </w:t>
      </w:r>
      <w:r w:rsidR="00652395" w:rsidRPr="001410F8">
        <w:rPr>
          <w:rFonts w:eastAsia="Calibri"/>
          <w:noProof/>
          <w:lang w:eastAsia="en-GB"/>
        </w:rPr>
        <w:t>–</w:t>
      </w:r>
      <w:r w:rsidRPr="001410F8">
        <w:rPr>
          <w:rFonts w:eastAsia="Calibri"/>
          <w:noProof/>
          <w:lang w:eastAsia="en-GB"/>
        </w:rPr>
        <w:t xml:space="preserve"> consisted of over </w:t>
      </w:r>
      <w:r w:rsidR="00CB7673" w:rsidRPr="001410F8">
        <w:rPr>
          <w:rFonts w:eastAsia="Calibri"/>
          <w:noProof/>
          <w:lang w:eastAsia="en-GB"/>
        </w:rPr>
        <w:t>3</w:t>
      </w:r>
      <w:r w:rsidR="00B8354C" w:rsidRPr="001410F8">
        <w:rPr>
          <w:rFonts w:eastAsia="Calibri"/>
          <w:noProof/>
          <w:lang w:eastAsia="en-GB"/>
        </w:rPr>
        <w:t>45</w:t>
      </w:r>
      <w:r w:rsidR="00CB7673" w:rsidRPr="001410F8">
        <w:rPr>
          <w:rFonts w:eastAsia="Calibri"/>
          <w:noProof/>
          <w:lang w:eastAsia="en-GB"/>
        </w:rPr>
        <w:t xml:space="preserve"> </w:t>
      </w:r>
      <w:r w:rsidRPr="001410F8">
        <w:rPr>
          <w:rFonts w:eastAsia="Calibri"/>
          <w:noProof/>
          <w:lang w:eastAsia="en-GB"/>
        </w:rPr>
        <w:t>staff. With respect to enforcement</w:t>
      </w:r>
      <w:r w:rsidR="00F8090F">
        <w:rPr>
          <w:rFonts w:eastAsia="Calibri"/>
          <w:noProof/>
          <w:lang w:eastAsia="en-GB"/>
        </w:rPr>
        <w:t xml:space="preserve"> at a national level</w:t>
      </w:r>
      <w:r w:rsidRPr="001410F8">
        <w:rPr>
          <w:rFonts w:eastAsia="Calibri"/>
          <w:noProof/>
          <w:lang w:eastAsia="en-GB"/>
        </w:rPr>
        <w:t xml:space="preserve">, </w:t>
      </w:r>
      <w:r w:rsidR="00B8354C" w:rsidRPr="001410F8">
        <w:rPr>
          <w:rFonts w:eastAsia="Calibri"/>
          <w:noProof/>
          <w:lang w:eastAsia="en-GB"/>
        </w:rPr>
        <w:t>78</w:t>
      </w:r>
      <w:r w:rsidR="00CB7673" w:rsidRPr="001410F8">
        <w:rPr>
          <w:rFonts w:eastAsia="Calibri"/>
          <w:noProof/>
          <w:lang w:eastAsia="en-GB"/>
        </w:rPr>
        <w:t xml:space="preserve"> </w:t>
      </w:r>
      <w:r w:rsidRPr="001410F8">
        <w:rPr>
          <w:rFonts w:eastAsia="Calibri"/>
          <w:noProof/>
          <w:lang w:eastAsia="en-GB"/>
        </w:rPr>
        <w:t>breaches of export control regulations were recorded in 20</w:t>
      </w:r>
      <w:r w:rsidR="00B8354C" w:rsidRPr="001410F8">
        <w:rPr>
          <w:rFonts w:eastAsia="Calibri"/>
          <w:noProof/>
          <w:lang w:eastAsia="en-GB"/>
        </w:rPr>
        <w:t>20</w:t>
      </w:r>
      <w:r w:rsidR="003E42B8">
        <w:rPr>
          <w:rFonts w:eastAsia="Calibri"/>
          <w:noProof/>
          <w:lang w:eastAsia="en-GB"/>
        </w:rPr>
        <w:t>,</w:t>
      </w:r>
      <w:r w:rsidRPr="001410F8">
        <w:rPr>
          <w:rFonts w:eastAsia="Calibri"/>
          <w:noProof/>
          <w:lang w:eastAsia="en-GB"/>
        </w:rPr>
        <w:t xml:space="preserve"> while </w:t>
      </w:r>
      <w:r w:rsidR="00DE5A4F" w:rsidRPr="001410F8">
        <w:rPr>
          <w:rFonts w:eastAsia="Calibri"/>
          <w:noProof/>
          <w:lang w:eastAsia="en-GB"/>
        </w:rPr>
        <w:t xml:space="preserve">eight </w:t>
      </w:r>
      <w:r w:rsidRPr="001410F8">
        <w:rPr>
          <w:rFonts w:eastAsia="Calibri"/>
          <w:noProof/>
          <w:lang w:eastAsia="en-GB"/>
        </w:rPr>
        <w:t xml:space="preserve">administrative penalties and </w:t>
      </w:r>
      <w:r w:rsidR="00B8354C" w:rsidRPr="001410F8">
        <w:rPr>
          <w:rFonts w:eastAsia="Calibri"/>
          <w:noProof/>
          <w:lang w:eastAsia="en-GB"/>
        </w:rPr>
        <w:t>seven</w:t>
      </w:r>
      <w:r w:rsidRPr="001410F8">
        <w:rPr>
          <w:rFonts w:eastAsia="Calibri"/>
          <w:noProof/>
          <w:lang w:eastAsia="en-GB"/>
        </w:rPr>
        <w:t xml:space="preserve"> criminal penalties were applied by national law enforcement authorities.</w:t>
      </w:r>
      <w:r w:rsidR="00F8090F">
        <w:rPr>
          <w:rFonts w:eastAsia="Calibri"/>
          <w:noProof/>
          <w:lang w:eastAsia="en-GB"/>
        </w:rPr>
        <w:t xml:space="preserve"> </w:t>
      </w:r>
    </w:p>
    <w:p w14:paraId="73E91FA6" w14:textId="77777777" w:rsidR="00AA655D" w:rsidRDefault="001926CB" w:rsidP="008C4021">
      <w:pPr>
        <w:keepNext/>
        <w:spacing w:before="100" w:beforeAutospacing="1" w:after="100" w:afterAutospacing="1"/>
        <w:jc w:val="both"/>
        <w:rPr>
          <w:rFonts w:eastAsia="Times New Roman"/>
          <w:b/>
          <w:noProof/>
          <w:lang w:eastAsia="en-GB"/>
        </w:rPr>
      </w:pPr>
      <w:r>
        <w:rPr>
          <w:rFonts w:eastAsia="Times New Roman"/>
          <w:b/>
          <w:noProof/>
          <w:lang w:eastAsia="en-GB"/>
        </w:rPr>
        <w:t>3.6</w:t>
      </w:r>
      <w:r w:rsidR="00617132">
        <w:rPr>
          <w:rFonts w:eastAsia="Times New Roman"/>
          <w:b/>
          <w:noProof/>
          <w:lang w:eastAsia="en-GB"/>
        </w:rPr>
        <w:t>.</w:t>
      </w:r>
      <w:r w:rsidR="00AA655D">
        <w:rPr>
          <w:rFonts w:eastAsia="Times New Roman"/>
          <w:b/>
          <w:noProof/>
          <w:lang w:eastAsia="en-GB"/>
        </w:rPr>
        <w:tab/>
        <w:t>Capacity building</w:t>
      </w:r>
    </w:p>
    <w:p w14:paraId="51700755" w14:textId="4FB23896" w:rsidR="001D3C5E" w:rsidRDefault="001D3C5E" w:rsidP="00AA655D">
      <w:pPr>
        <w:spacing w:before="100" w:beforeAutospacing="1" w:after="100" w:afterAutospacing="1"/>
        <w:jc w:val="both"/>
        <w:rPr>
          <w:noProof/>
          <w:highlight w:val="yellow"/>
        </w:rPr>
      </w:pPr>
      <w:r>
        <w:rPr>
          <w:noProof/>
        </w:rPr>
        <w:t>In 2021, t</w:t>
      </w:r>
      <w:r w:rsidRPr="001D3C5E">
        <w:rPr>
          <w:noProof/>
        </w:rPr>
        <w:t xml:space="preserve">he </w:t>
      </w:r>
      <w:r w:rsidR="00F832D8">
        <w:rPr>
          <w:noProof/>
        </w:rPr>
        <w:t xml:space="preserve">Commission’s Joint Research Centre, with the support </w:t>
      </w:r>
      <w:r w:rsidR="00FC353D">
        <w:rPr>
          <w:noProof/>
        </w:rPr>
        <w:t xml:space="preserve">of DG Trade and the </w:t>
      </w:r>
      <w:r w:rsidRPr="001D3C5E">
        <w:rPr>
          <w:noProof/>
        </w:rPr>
        <w:t>DUCG contributed to the preparation of the 14</w:t>
      </w:r>
      <w:r w:rsidRPr="00D106B0">
        <w:rPr>
          <w:noProof/>
          <w:vertAlign w:val="superscript"/>
        </w:rPr>
        <w:t>th</w:t>
      </w:r>
      <w:r w:rsidRPr="001D3C5E">
        <w:rPr>
          <w:noProof/>
        </w:rPr>
        <w:t xml:space="preserve"> JRC-N</w:t>
      </w:r>
      <w:r w:rsidR="005E5F57">
        <w:rPr>
          <w:noProof/>
        </w:rPr>
        <w:t xml:space="preserve">ational </w:t>
      </w:r>
      <w:r w:rsidRPr="001D3C5E">
        <w:rPr>
          <w:noProof/>
        </w:rPr>
        <w:t>N</w:t>
      </w:r>
      <w:r w:rsidR="005E5F57">
        <w:rPr>
          <w:noProof/>
        </w:rPr>
        <w:t xml:space="preserve">uclear </w:t>
      </w:r>
      <w:r w:rsidRPr="001D3C5E">
        <w:rPr>
          <w:noProof/>
        </w:rPr>
        <w:t>S</w:t>
      </w:r>
      <w:r w:rsidR="005E5F57">
        <w:rPr>
          <w:noProof/>
        </w:rPr>
        <w:t xml:space="preserve">ecurity </w:t>
      </w:r>
      <w:r w:rsidRPr="001D3C5E">
        <w:rPr>
          <w:noProof/>
        </w:rPr>
        <w:t>A</w:t>
      </w:r>
      <w:r w:rsidR="005E5F57">
        <w:rPr>
          <w:noProof/>
        </w:rPr>
        <w:t>gency</w:t>
      </w:r>
      <w:r w:rsidRPr="001D3C5E">
        <w:rPr>
          <w:noProof/>
        </w:rPr>
        <w:t xml:space="preserve"> technical seminar for licensing authorities</w:t>
      </w:r>
      <w:r w:rsidR="00FC353D">
        <w:rPr>
          <w:noProof/>
        </w:rPr>
        <w:t xml:space="preserve">. This was </w:t>
      </w:r>
      <w:r w:rsidRPr="001D3C5E">
        <w:rPr>
          <w:noProof/>
        </w:rPr>
        <w:t xml:space="preserve">organised by </w:t>
      </w:r>
      <w:r w:rsidR="00F8090F">
        <w:rPr>
          <w:noProof/>
        </w:rPr>
        <w:t xml:space="preserve">the Commission’s Joint Reseach Centre </w:t>
      </w:r>
      <w:r w:rsidRPr="001D3C5E">
        <w:rPr>
          <w:noProof/>
        </w:rPr>
        <w:t xml:space="preserve">and </w:t>
      </w:r>
      <w:r w:rsidR="00385868" w:rsidRPr="0063751B">
        <w:rPr>
          <w:noProof/>
        </w:rPr>
        <w:t>the U.S. Department of Energy</w:t>
      </w:r>
      <w:r w:rsidR="00FC353D" w:rsidRPr="0063751B">
        <w:rPr>
          <w:noProof/>
        </w:rPr>
        <w:t>.</w:t>
      </w:r>
      <w:r w:rsidR="00FC353D">
        <w:rPr>
          <w:noProof/>
        </w:rPr>
        <w:t xml:space="preserve"> It was </w:t>
      </w:r>
      <w:r w:rsidRPr="001D3C5E">
        <w:rPr>
          <w:noProof/>
        </w:rPr>
        <w:t xml:space="preserve">was held </w:t>
      </w:r>
      <w:r w:rsidR="00A46A0C">
        <w:rPr>
          <w:noProof/>
        </w:rPr>
        <w:t xml:space="preserve">over several sessions </w:t>
      </w:r>
      <w:r w:rsidR="00BB5308">
        <w:rPr>
          <w:noProof/>
        </w:rPr>
        <w:t xml:space="preserve">from </w:t>
      </w:r>
      <w:r w:rsidR="00B8354C">
        <w:rPr>
          <w:noProof/>
        </w:rPr>
        <w:t xml:space="preserve">September </w:t>
      </w:r>
      <w:r w:rsidR="00BB5308">
        <w:rPr>
          <w:noProof/>
        </w:rPr>
        <w:t xml:space="preserve">through </w:t>
      </w:r>
      <w:r w:rsidR="00B8354C">
        <w:rPr>
          <w:noProof/>
        </w:rPr>
        <w:t>November 2021</w:t>
      </w:r>
      <w:r>
        <w:rPr>
          <w:noProof/>
        </w:rPr>
        <w:t>. The seminar was</w:t>
      </w:r>
      <w:r w:rsidRPr="001D3C5E">
        <w:rPr>
          <w:noProof/>
        </w:rPr>
        <w:t xml:space="preserve"> focus</w:t>
      </w:r>
      <w:r>
        <w:rPr>
          <w:noProof/>
        </w:rPr>
        <w:t>ed</w:t>
      </w:r>
      <w:r w:rsidRPr="001D3C5E">
        <w:rPr>
          <w:noProof/>
        </w:rPr>
        <w:t xml:space="preserve"> on cyber-surveillance, cryptocurrencies, block-chain and proliferation financing.</w:t>
      </w:r>
    </w:p>
    <w:p w14:paraId="51D63499" w14:textId="77777777" w:rsidR="00AA655D" w:rsidRDefault="001926CB" w:rsidP="00AA655D">
      <w:pPr>
        <w:spacing w:before="100" w:beforeAutospacing="1" w:after="100" w:afterAutospacing="1"/>
        <w:jc w:val="both"/>
        <w:rPr>
          <w:rFonts w:eastAsia="Times New Roman"/>
          <w:b/>
          <w:noProof/>
          <w:lang w:eastAsia="en-GB"/>
        </w:rPr>
      </w:pPr>
      <w:r>
        <w:rPr>
          <w:rFonts w:eastAsia="Times New Roman"/>
          <w:b/>
          <w:noProof/>
          <w:lang w:eastAsia="en-GB"/>
        </w:rPr>
        <w:t>3.7</w:t>
      </w:r>
      <w:r w:rsidR="00617132">
        <w:rPr>
          <w:rFonts w:eastAsia="Times New Roman"/>
          <w:b/>
          <w:noProof/>
          <w:lang w:eastAsia="en-GB"/>
        </w:rPr>
        <w:t>.</w:t>
      </w:r>
      <w:r w:rsidR="00AA655D">
        <w:rPr>
          <w:rFonts w:eastAsia="Times New Roman"/>
          <w:b/>
          <w:noProof/>
          <w:lang w:eastAsia="en-GB"/>
        </w:rPr>
        <w:tab/>
        <w:t xml:space="preserve">Transparency and dialogue with industry and academia </w:t>
      </w:r>
    </w:p>
    <w:p w14:paraId="21ACC0ED" w14:textId="70588335" w:rsidR="00F840E8" w:rsidRPr="009119FA" w:rsidRDefault="00F840E8" w:rsidP="009D6D2B">
      <w:pPr>
        <w:spacing w:before="100" w:beforeAutospacing="1" w:after="100" w:afterAutospacing="1"/>
        <w:jc w:val="both"/>
        <w:rPr>
          <w:rFonts w:eastAsia="Times New Roman"/>
          <w:noProof/>
          <w:lang w:eastAsia="en-GB"/>
        </w:rPr>
      </w:pPr>
      <w:r>
        <w:rPr>
          <w:rFonts w:eastAsia="Times New Roman"/>
          <w:noProof/>
          <w:lang w:eastAsia="en-GB"/>
        </w:rPr>
        <w:t xml:space="preserve">As mentioned in </w:t>
      </w:r>
      <w:r w:rsidR="00531C7A">
        <w:rPr>
          <w:rFonts w:eastAsia="Times New Roman"/>
          <w:noProof/>
          <w:lang w:eastAsia="en-GB"/>
        </w:rPr>
        <w:t>section</w:t>
      </w:r>
      <w:r w:rsidR="00EC19E7">
        <w:rPr>
          <w:rFonts w:eastAsia="Times New Roman"/>
          <w:noProof/>
          <w:lang w:eastAsia="en-GB"/>
        </w:rPr>
        <w:t xml:space="preserve"> 2.1.2, the </w:t>
      </w:r>
      <w:r w:rsidR="00531C7A">
        <w:rPr>
          <w:rFonts w:eastAsia="Times New Roman"/>
          <w:noProof/>
          <w:lang w:eastAsia="en-GB"/>
        </w:rPr>
        <w:t>Commission</w:t>
      </w:r>
      <w:r w:rsidR="009D6D2B">
        <w:rPr>
          <w:rFonts w:eastAsia="Times New Roman"/>
          <w:noProof/>
          <w:lang w:eastAsia="en-GB"/>
        </w:rPr>
        <w:t xml:space="preserve"> – with the support of the DUCG </w:t>
      </w:r>
      <w:r w:rsidR="004236DA">
        <w:rPr>
          <w:rFonts w:eastAsia="Times New Roman"/>
          <w:noProof/>
          <w:lang w:eastAsia="en-GB"/>
        </w:rPr>
        <w:t>–</w:t>
      </w:r>
      <w:r w:rsidR="009D6D2B">
        <w:rPr>
          <w:rFonts w:eastAsia="Times New Roman"/>
          <w:noProof/>
          <w:lang w:eastAsia="en-GB"/>
        </w:rPr>
        <w:t xml:space="preserve"> organised</w:t>
      </w:r>
      <w:r w:rsidR="004236DA">
        <w:rPr>
          <w:rFonts w:eastAsia="Times New Roman"/>
          <w:noProof/>
          <w:lang w:eastAsia="en-GB"/>
        </w:rPr>
        <w:t xml:space="preserve"> </w:t>
      </w:r>
      <w:r>
        <w:rPr>
          <w:rFonts w:eastAsia="Times New Roman"/>
          <w:noProof/>
          <w:lang w:eastAsia="en-GB"/>
        </w:rPr>
        <w:t>the 2021 Export Control Forum</w:t>
      </w:r>
      <w:r w:rsidR="007D1C11">
        <w:rPr>
          <w:rFonts w:eastAsia="Times New Roman"/>
          <w:noProof/>
          <w:lang w:eastAsia="en-GB"/>
        </w:rPr>
        <w:t>,</w:t>
      </w:r>
      <w:r>
        <w:rPr>
          <w:rFonts w:eastAsia="Times New Roman"/>
          <w:noProof/>
          <w:lang w:eastAsia="en-GB"/>
        </w:rPr>
        <w:t xml:space="preserve"> and prepared documentation </w:t>
      </w:r>
      <w:r w:rsidR="007D1C11">
        <w:rPr>
          <w:rFonts w:eastAsia="Times New Roman"/>
          <w:noProof/>
          <w:lang w:eastAsia="en-GB"/>
        </w:rPr>
        <w:t>to</w:t>
      </w:r>
      <w:r>
        <w:rPr>
          <w:rFonts w:eastAsia="Times New Roman"/>
          <w:noProof/>
          <w:lang w:eastAsia="en-GB"/>
        </w:rPr>
        <w:t xml:space="preserve"> support exporters in implemententing the regulation</w:t>
      </w:r>
      <w:r w:rsidR="007D1C11">
        <w:rPr>
          <w:rFonts w:eastAsia="Times New Roman"/>
          <w:noProof/>
          <w:lang w:eastAsia="en-GB"/>
        </w:rPr>
        <w:t>,</w:t>
      </w:r>
      <w:r>
        <w:rPr>
          <w:rFonts w:eastAsia="Times New Roman"/>
          <w:noProof/>
          <w:lang w:eastAsia="en-GB"/>
        </w:rPr>
        <w:t xml:space="preserve"> including </w:t>
      </w:r>
      <w:r w:rsidR="000A14EB">
        <w:rPr>
          <w:rFonts w:eastAsia="Times New Roman"/>
          <w:noProof/>
          <w:lang w:eastAsia="en-GB"/>
        </w:rPr>
        <w:t xml:space="preserve">Guidelines on dual-use research and </w:t>
      </w:r>
      <w:r>
        <w:rPr>
          <w:rFonts w:eastAsia="Times New Roman"/>
          <w:noProof/>
          <w:lang w:eastAsia="en-GB"/>
        </w:rPr>
        <w:t>a</w:t>
      </w:r>
      <w:r w:rsidRPr="00F840E8">
        <w:rPr>
          <w:rFonts w:eastAsia="Times New Roman"/>
          <w:noProof/>
          <w:lang w:eastAsia="en-GB"/>
        </w:rPr>
        <w:t xml:space="preserve"> "Comprehensive Change Note Summary 2020"</w:t>
      </w:r>
      <w:r w:rsidR="000A14EB">
        <w:rPr>
          <w:rFonts w:eastAsia="Times New Roman"/>
          <w:noProof/>
          <w:lang w:eastAsia="en-GB"/>
        </w:rPr>
        <w:t xml:space="preserve"> explaining </w:t>
      </w:r>
      <w:r w:rsidR="007D1C11">
        <w:rPr>
          <w:rFonts w:eastAsia="Times New Roman"/>
          <w:noProof/>
          <w:lang w:eastAsia="en-GB"/>
        </w:rPr>
        <w:t xml:space="preserve">the </w:t>
      </w:r>
      <w:r w:rsidR="000A14EB">
        <w:rPr>
          <w:rFonts w:eastAsia="Times New Roman"/>
          <w:noProof/>
          <w:lang w:eastAsia="en-GB"/>
        </w:rPr>
        <w:t>changes to the Control List</w:t>
      </w:r>
      <w:r>
        <w:rPr>
          <w:rFonts w:eastAsia="Times New Roman"/>
          <w:noProof/>
          <w:lang w:eastAsia="en-GB"/>
        </w:rPr>
        <w:t>.</w:t>
      </w:r>
    </w:p>
    <w:p w14:paraId="7B721AC9" w14:textId="77777777" w:rsidR="00114F71" w:rsidRDefault="00114F71" w:rsidP="00114F71">
      <w:pPr>
        <w:keepNext/>
        <w:tabs>
          <w:tab w:val="left" w:pos="850"/>
        </w:tabs>
        <w:spacing w:after="120"/>
        <w:jc w:val="both"/>
        <w:outlineLvl w:val="0"/>
        <w:rPr>
          <w:rFonts w:eastAsia="Times New Roman"/>
          <w:b/>
          <w:smallCaps/>
          <w:noProof/>
          <w:lang w:eastAsia="en-GB"/>
        </w:rPr>
      </w:pPr>
      <w:r>
        <w:rPr>
          <w:rFonts w:eastAsia="Times New Roman"/>
          <w:b/>
          <w:smallCaps/>
          <w:noProof/>
          <w:lang w:eastAsia="en-GB"/>
        </w:rPr>
        <w:t>4.</w:t>
      </w:r>
      <w:r>
        <w:rPr>
          <w:rFonts w:eastAsia="Times New Roman"/>
          <w:b/>
          <w:smallCaps/>
          <w:noProof/>
          <w:lang w:eastAsia="en-GB"/>
        </w:rPr>
        <w:tab/>
        <w:t xml:space="preserve">EU export controls – Key Data </w:t>
      </w:r>
    </w:p>
    <w:p w14:paraId="637A974A" w14:textId="34A17CB7" w:rsidR="00114F71" w:rsidRPr="00897C8D" w:rsidRDefault="00114F71" w:rsidP="00A46A0C">
      <w:pPr>
        <w:spacing w:before="100" w:beforeAutospacing="1" w:after="100" w:afterAutospacing="1"/>
        <w:jc w:val="both"/>
        <w:rPr>
          <w:rFonts w:eastAsia="Times New Roman"/>
          <w:noProof/>
          <w:lang w:eastAsia="en-GB"/>
        </w:rPr>
      </w:pPr>
      <w:r>
        <w:rPr>
          <w:rFonts w:eastAsia="Times New Roman"/>
          <w:noProof/>
          <w:lang w:eastAsia="en-GB"/>
        </w:rPr>
        <w:t xml:space="preserve">It </w:t>
      </w:r>
      <w:r w:rsidR="00531C7A">
        <w:rPr>
          <w:rFonts w:eastAsia="Times New Roman"/>
          <w:noProof/>
          <w:lang w:eastAsia="en-GB"/>
        </w:rPr>
        <w:t xml:space="preserve">currently remains </w:t>
      </w:r>
      <w:r>
        <w:rPr>
          <w:rFonts w:eastAsia="Times New Roman"/>
          <w:noProof/>
          <w:lang w:eastAsia="en-GB"/>
        </w:rPr>
        <w:t xml:space="preserve">difficult to obtain reliable information on overall dual-use exports (including non-listed dual-use items) as there is no </w:t>
      </w:r>
      <w:r w:rsidR="00BB5308">
        <w:rPr>
          <w:rFonts w:eastAsia="Times New Roman"/>
          <w:noProof/>
          <w:lang w:eastAsia="en-GB"/>
        </w:rPr>
        <w:t>official category of “dual-use items” in official economic / trade statistics</w:t>
      </w:r>
      <w:r>
        <w:rPr>
          <w:rFonts w:eastAsia="Times New Roman"/>
          <w:noProof/>
          <w:lang w:eastAsia="en-GB"/>
        </w:rPr>
        <w:t>. However, the Commission and Member States collect data that allow</w:t>
      </w:r>
      <w:r w:rsidR="007D1C11">
        <w:rPr>
          <w:rFonts w:eastAsia="Times New Roman"/>
          <w:noProof/>
          <w:lang w:eastAsia="en-GB"/>
        </w:rPr>
        <w:t>s</w:t>
      </w:r>
      <w:r>
        <w:rPr>
          <w:rFonts w:eastAsia="Times New Roman"/>
          <w:noProof/>
          <w:lang w:eastAsia="en-GB"/>
        </w:rPr>
        <w:t xml:space="preserve"> for approximate estimates of exports of dual-use goods based, on the one hand, on specific licensing data collected by competent authorities and, on the other hand, on statistics for </w:t>
      </w:r>
      <w:r w:rsidR="00A46A0C" w:rsidRPr="00A46A0C">
        <w:rPr>
          <w:rFonts w:eastAsia="Times New Roman"/>
          <w:noProof/>
          <w:lang w:eastAsia="en-GB"/>
        </w:rPr>
        <w:t xml:space="preserve">export declarations to EU customs </w:t>
      </w:r>
      <w:r>
        <w:rPr>
          <w:rFonts w:eastAsia="Times New Roman"/>
          <w:noProof/>
          <w:lang w:eastAsia="en-GB"/>
        </w:rPr>
        <w:t xml:space="preserve">which include dual-use goods. </w:t>
      </w:r>
      <w:r w:rsidRPr="00D106B0">
        <w:rPr>
          <w:rFonts w:eastAsia="Times New Roman"/>
          <w:noProof/>
          <w:lang w:eastAsia="en-GB"/>
        </w:rPr>
        <w:t>2020</w:t>
      </w:r>
      <w:r w:rsidRPr="00897C8D">
        <w:rPr>
          <w:rFonts w:eastAsia="Times New Roman"/>
          <w:noProof/>
          <w:lang w:eastAsia="en-GB"/>
        </w:rPr>
        <w:t xml:space="preserve"> export data estimates are presented below. It should be noted that the estimates presented do not include services </w:t>
      </w:r>
      <w:r>
        <w:rPr>
          <w:rFonts w:eastAsia="Times New Roman"/>
          <w:noProof/>
          <w:lang w:eastAsia="en-GB"/>
        </w:rPr>
        <w:t>nor</w:t>
      </w:r>
      <w:r w:rsidRPr="00897C8D">
        <w:rPr>
          <w:rFonts w:eastAsia="Times New Roman"/>
          <w:noProof/>
          <w:lang w:eastAsia="en-GB"/>
        </w:rPr>
        <w:t xml:space="preserve"> intangible technology transfers associated with the trade in dual-use goods. </w:t>
      </w:r>
    </w:p>
    <w:p w14:paraId="710ADEE7" w14:textId="77777777" w:rsidR="00114F71" w:rsidRPr="00897C8D" w:rsidRDefault="00114F71" w:rsidP="00114F71">
      <w:pPr>
        <w:keepNext/>
        <w:tabs>
          <w:tab w:val="left" w:pos="850"/>
        </w:tabs>
        <w:spacing w:after="120"/>
        <w:ind w:left="850" w:hanging="850"/>
        <w:jc w:val="both"/>
        <w:outlineLvl w:val="1"/>
        <w:rPr>
          <w:rFonts w:eastAsia="Times New Roman"/>
          <w:b/>
          <w:noProof/>
          <w:lang w:eastAsia="en-GB"/>
        </w:rPr>
      </w:pPr>
      <w:r w:rsidRPr="00897C8D">
        <w:rPr>
          <w:rFonts w:eastAsia="Times New Roman"/>
          <w:b/>
          <w:noProof/>
          <w:lang w:eastAsia="en-GB"/>
        </w:rPr>
        <w:t>4.1</w:t>
      </w:r>
      <w:r>
        <w:rPr>
          <w:rFonts w:eastAsia="Times New Roman"/>
          <w:b/>
          <w:noProof/>
          <w:lang w:eastAsia="en-GB"/>
        </w:rPr>
        <w:t>.</w:t>
      </w:r>
      <w:r w:rsidRPr="00897C8D">
        <w:rPr>
          <w:rFonts w:eastAsia="Times New Roman"/>
          <w:b/>
          <w:noProof/>
          <w:lang w:eastAsia="en-GB"/>
        </w:rPr>
        <w:tab/>
        <w:t xml:space="preserve">EU dual-use trade: items and destinations </w:t>
      </w:r>
    </w:p>
    <w:p w14:paraId="491628C5" w14:textId="47AFB782" w:rsidR="00114F71" w:rsidRDefault="00114F71" w:rsidP="00114F71">
      <w:pPr>
        <w:spacing w:before="100" w:beforeAutospacing="1" w:after="100" w:afterAutospacing="1"/>
        <w:jc w:val="both"/>
        <w:rPr>
          <w:rFonts w:eastAsia="Times New Roman"/>
          <w:noProof/>
          <w:lang w:eastAsia="en-GB"/>
        </w:rPr>
      </w:pPr>
      <w:r>
        <w:rPr>
          <w:rFonts w:eastAsia="Times New Roman"/>
          <w:noProof/>
          <w:lang w:eastAsia="en-GB"/>
        </w:rPr>
        <w:t xml:space="preserve">In </w:t>
      </w:r>
      <w:r w:rsidRPr="00D106B0">
        <w:rPr>
          <w:rFonts w:eastAsia="Times New Roman"/>
          <w:noProof/>
          <w:lang w:eastAsia="en-GB"/>
        </w:rPr>
        <w:t>2021</w:t>
      </w:r>
      <w:r w:rsidRPr="00897C8D">
        <w:rPr>
          <w:rFonts w:eastAsia="Times New Roman"/>
          <w:noProof/>
          <w:lang w:eastAsia="en-GB"/>
        </w:rPr>
        <w:t xml:space="preserve">, the Regulation primarily applied to the export of about </w:t>
      </w:r>
      <w:r w:rsidRPr="00D106B0">
        <w:rPr>
          <w:rFonts w:eastAsia="Times New Roman"/>
          <w:noProof/>
          <w:lang w:eastAsia="en-GB"/>
        </w:rPr>
        <w:t>1884</w:t>
      </w:r>
      <w:r>
        <w:rPr>
          <w:rFonts w:eastAsia="Times New Roman"/>
          <w:noProof/>
          <w:lang w:eastAsia="en-GB"/>
        </w:rPr>
        <w:t xml:space="preserve"> dual-use items listed in Annex I (the "EU Control List") and classified in 10 categories</w:t>
      </w:r>
      <w:r w:rsidR="00E36851">
        <w:rPr>
          <w:rFonts w:eastAsia="Times New Roman"/>
          <w:noProof/>
          <w:lang w:eastAsia="en-GB"/>
        </w:rPr>
        <w:t xml:space="preserve"> from Annex I to Regulation (EU) 821/2021</w:t>
      </w:r>
      <w:r w:rsidR="00E36851">
        <w:rPr>
          <w:rStyle w:val="FootnoteReference"/>
          <w:rFonts w:eastAsia="Times New Roman"/>
          <w:noProof/>
          <w:lang w:eastAsia="en-GB"/>
        </w:rPr>
        <w:footnoteReference w:id="22"/>
      </w:r>
      <w:r>
        <w:rPr>
          <w:rFonts w:eastAsia="Times New Roman"/>
          <w:noProof/>
          <w:lang w:eastAsia="en-GB"/>
        </w:rPr>
        <w:t xml:space="preserve"> (Figure 1). These dual-use items relate to circa 1</w:t>
      </w:r>
      <w:r w:rsidR="001926CB">
        <w:rPr>
          <w:rFonts w:eastAsia="Times New Roman"/>
          <w:noProof/>
          <w:lang w:eastAsia="en-GB"/>
        </w:rPr>
        <w:t>.</w:t>
      </w:r>
      <w:r>
        <w:rPr>
          <w:rFonts w:eastAsia="Times New Roman"/>
          <w:noProof/>
          <w:lang w:eastAsia="en-GB"/>
        </w:rPr>
        <w:t xml:space="preserve">000 </w:t>
      </w:r>
      <w:r w:rsidR="00DD3F03">
        <w:rPr>
          <w:rFonts w:eastAsia="Times New Roman"/>
          <w:noProof/>
          <w:lang w:eastAsia="en-GB"/>
        </w:rPr>
        <w:t>“</w:t>
      </w:r>
      <w:r>
        <w:rPr>
          <w:rFonts w:eastAsia="Times New Roman"/>
          <w:noProof/>
          <w:lang w:eastAsia="en-GB"/>
        </w:rPr>
        <w:t>commodities</w:t>
      </w:r>
      <w:r w:rsidR="00DD3F03">
        <w:rPr>
          <w:rFonts w:eastAsia="Times New Roman"/>
          <w:noProof/>
          <w:lang w:eastAsia="en-GB"/>
        </w:rPr>
        <w:t>”</w:t>
      </w:r>
      <w:r w:rsidR="00DD3F03" w:rsidRPr="00DD3F03">
        <w:rPr>
          <w:rFonts w:eastAsia="Times New Roman"/>
          <w:noProof/>
          <w:lang w:eastAsia="en-GB"/>
        </w:rPr>
        <w:t xml:space="preserve"> </w:t>
      </w:r>
      <w:r w:rsidR="00DD3F03">
        <w:rPr>
          <w:rFonts w:eastAsia="Times New Roman"/>
          <w:noProof/>
          <w:lang w:eastAsia="en-GB"/>
        </w:rPr>
        <w:t>from the “customs nomenclature”</w:t>
      </w:r>
      <w:r>
        <w:rPr>
          <w:rFonts w:eastAsia="Times New Roman"/>
          <w:noProof/>
          <w:lang w:eastAsia="en-GB"/>
        </w:rPr>
        <w:t xml:space="preserve">, including chemicals, metals and non-metallic mineral products, computers, electronic and optical products, electrical equipment, machinery, vehicles and transport equipment, etc. and typically fall at the high–tech end of this large, mixed commodity area. </w:t>
      </w:r>
    </w:p>
    <w:p w14:paraId="7226FA49" w14:textId="77777777" w:rsidR="00114F71" w:rsidRPr="002214D4" w:rsidRDefault="00114F71" w:rsidP="00114F71">
      <w:pPr>
        <w:spacing w:after="120"/>
        <w:jc w:val="both"/>
        <w:rPr>
          <w:rFonts w:eastAsia="Times New Roman"/>
          <w:noProof/>
          <w:lang w:val="en-US" w:eastAsia="en-GB"/>
        </w:rPr>
      </w:pPr>
      <w:r>
        <w:rPr>
          <w:rFonts w:eastAsia="Times New Roman"/>
          <w:noProof/>
          <w:lang w:eastAsia="en-GB"/>
        </w:rPr>
        <w:drawing>
          <wp:inline distT="0" distB="0" distL="0" distR="0" wp14:anchorId="15BD00B3" wp14:editId="0ED08562">
            <wp:extent cx="5760720" cy="25603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 REG.png"/>
                    <pic:cNvPicPr/>
                  </pic:nvPicPr>
                  <pic:blipFill>
                    <a:blip r:embed="rId16">
                      <a:extLst>
                        <a:ext uri="{28A0092B-C50C-407E-A947-70E740481C1C}">
                          <a14:useLocalDpi xmlns:a14="http://schemas.microsoft.com/office/drawing/2010/main" val="0"/>
                        </a:ext>
                      </a:extLst>
                    </a:blip>
                    <a:stretch>
                      <a:fillRect/>
                    </a:stretch>
                  </pic:blipFill>
                  <pic:spPr>
                    <a:xfrm>
                      <a:off x="0" y="0"/>
                      <a:ext cx="5760720" cy="2560320"/>
                    </a:xfrm>
                    <a:prstGeom prst="rect">
                      <a:avLst/>
                    </a:prstGeom>
                  </pic:spPr>
                </pic:pic>
              </a:graphicData>
            </a:graphic>
          </wp:inline>
        </w:drawing>
      </w:r>
    </w:p>
    <w:p w14:paraId="5C5CB1DD" w14:textId="77777777" w:rsidR="00114F71" w:rsidRPr="00897C8D" w:rsidRDefault="00114F71" w:rsidP="00114F71">
      <w:pPr>
        <w:spacing w:after="100" w:afterAutospacing="1"/>
        <w:jc w:val="both"/>
        <w:rPr>
          <w:rFonts w:eastAsia="Times New Roman"/>
          <w:i/>
          <w:noProof/>
          <w:sz w:val="20"/>
          <w:szCs w:val="20"/>
          <w:lang w:eastAsia="en-GB"/>
        </w:rPr>
      </w:pPr>
      <w:r>
        <w:rPr>
          <w:rFonts w:eastAsia="Times New Roman"/>
          <w:i/>
          <w:noProof/>
          <w:sz w:val="20"/>
          <w:szCs w:val="20"/>
          <w:lang w:eastAsia="en-GB"/>
        </w:rPr>
        <w:br/>
        <w:t xml:space="preserve">Figure 1: Number of dual-use entries listed in the ten Categories of Annex I of Regulation (EU) </w:t>
      </w:r>
      <w:r w:rsidRPr="00D106B0">
        <w:rPr>
          <w:rFonts w:eastAsia="Times New Roman"/>
          <w:i/>
          <w:noProof/>
          <w:sz w:val="20"/>
          <w:szCs w:val="20"/>
          <w:lang w:eastAsia="en-GB"/>
        </w:rPr>
        <w:t>2021/821</w:t>
      </w:r>
      <w:r w:rsidRPr="00897C8D">
        <w:rPr>
          <w:rFonts w:eastAsia="Times New Roman"/>
          <w:i/>
          <w:noProof/>
          <w:sz w:val="20"/>
          <w:szCs w:val="20"/>
          <w:lang w:eastAsia="en-GB"/>
        </w:rPr>
        <w:t>.</w:t>
      </w:r>
    </w:p>
    <w:p w14:paraId="6B204220" w14:textId="77777777" w:rsidR="00114F71" w:rsidRDefault="00114F71" w:rsidP="00114F71">
      <w:pPr>
        <w:spacing w:after="100" w:afterAutospacing="1"/>
        <w:jc w:val="both"/>
        <w:rPr>
          <w:rFonts w:eastAsia="Times New Roman"/>
          <w:noProof/>
          <w:lang w:eastAsia="en-GB"/>
        </w:rPr>
      </w:pPr>
      <w:r w:rsidRPr="00897C8D">
        <w:rPr>
          <w:rFonts w:eastAsia="Times New Roman"/>
          <w:noProof/>
          <w:lang w:eastAsia="en-GB"/>
        </w:rPr>
        <w:t>Statistical estimates of the relative importance of dual-use trade indicate that dual-use exports represent</w:t>
      </w:r>
      <w:r>
        <w:rPr>
          <w:rFonts w:eastAsia="Times New Roman"/>
          <w:noProof/>
          <w:lang w:eastAsia="en-GB"/>
        </w:rPr>
        <w:t xml:space="preserve"> </w:t>
      </w:r>
      <w:r w:rsidRPr="00897C8D">
        <w:rPr>
          <w:rFonts w:eastAsia="Times New Roman"/>
          <w:noProof/>
          <w:lang w:eastAsia="en-GB"/>
        </w:rPr>
        <w:t xml:space="preserve">about </w:t>
      </w:r>
      <w:r w:rsidRPr="00D106B0">
        <w:rPr>
          <w:rFonts w:eastAsia="Times New Roman"/>
          <w:noProof/>
          <w:lang w:eastAsia="en-GB"/>
        </w:rPr>
        <w:t>2.7%</w:t>
      </w:r>
      <w:r w:rsidRPr="00897C8D">
        <w:rPr>
          <w:rFonts w:eastAsia="Times New Roman"/>
          <w:noProof/>
          <w:lang w:eastAsia="en-GB"/>
        </w:rPr>
        <w:t xml:space="preserve"> of EU27</w:t>
      </w:r>
      <w:r>
        <w:rPr>
          <w:rFonts w:eastAsia="Times New Roman"/>
          <w:noProof/>
          <w:lang w:eastAsia="en-GB"/>
        </w:rPr>
        <w:t xml:space="preserve"> total exports (intra and extra-EU), within a broad ‘dual-use export domain’</w:t>
      </w:r>
      <w:r>
        <w:rPr>
          <w:rFonts w:eastAsia="Times New Roman"/>
          <w:noProof/>
          <w:vertAlign w:val="superscript"/>
          <w:lang w:eastAsia="en-GB"/>
        </w:rPr>
        <w:footnoteReference w:id="23"/>
      </w:r>
      <w:r>
        <w:rPr>
          <w:rFonts w:eastAsia="Times New Roman"/>
          <w:noProof/>
          <w:lang w:eastAsia="en-GB"/>
        </w:rPr>
        <w:t xml:space="preserve"> of customs commodities that may include, to varying degrees, certain dual-use items (Figure 2). </w:t>
      </w:r>
      <w:r w:rsidRPr="00202FCE">
        <w:rPr>
          <w:rFonts w:eastAsia="Times New Roman"/>
          <w:noProof/>
          <w:lang w:eastAsia="en-GB"/>
        </w:rPr>
        <w:t>This would put the</w:t>
      </w:r>
      <w:r>
        <w:rPr>
          <w:rFonts w:eastAsia="Times New Roman"/>
          <w:noProof/>
          <w:lang w:eastAsia="en-GB"/>
        </w:rPr>
        <w:t xml:space="preserve"> value of dual-use trade at € </w:t>
      </w:r>
      <w:r w:rsidRPr="00D106B0">
        <w:rPr>
          <w:rFonts w:eastAsia="Times New Roman"/>
          <w:noProof/>
          <w:lang w:eastAsia="en-GB"/>
        </w:rPr>
        <w:t>128</w:t>
      </w:r>
      <w:r>
        <w:rPr>
          <w:rFonts w:eastAsia="Times New Roman"/>
          <w:noProof/>
          <w:lang w:eastAsia="en-GB"/>
        </w:rPr>
        <w:t xml:space="preserve"> billion in </w:t>
      </w:r>
      <w:r w:rsidRPr="00D106B0">
        <w:rPr>
          <w:rFonts w:eastAsia="Times New Roman"/>
          <w:noProof/>
          <w:lang w:eastAsia="en-GB"/>
        </w:rPr>
        <w:t>2020</w:t>
      </w:r>
      <w:r>
        <w:rPr>
          <w:rFonts w:eastAsia="Times New Roman"/>
          <w:noProof/>
          <w:lang w:eastAsia="en-GB"/>
        </w:rPr>
        <w:t xml:space="preserve">. </w:t>
      </w:r>
    </w:p>
    <w:p w14:paraId="4F95B378" w14:textId="77777777" w:rsidR="00114F71" w:rsidRPr="003361D2" w:rsidRDefault="00114F71" w:rsidP="00114F71">
      <w:pPr>
        <w:spacing w:after="100" w:afterAutospacing="1"/>
        <w:jc w:val="center"/>
        <w:rPr>
          <w:rFonts w:eastAsia="Times New Roman"/>
          <w:noProof/>
          <w:lang w:val="en-US" w:eastAsia="en-GB"/>
        </w:rPr>
      </w:pPr>
      <w:r>
        <w:rPr>
          <w:rFonts w:eastAsia="Times New Roman"/>
          <w:noProof/>
          <w:lang w:eastAsia="en-GB"/>
        </w:rPr>
        <w:drawing>
          <wp:inline distT="0" distB="0" distL="0" distR="0" wp14:anchorId="7099B679" wp14:editId="53FA30CC">
            <wp:extent cx="3628795" cy="21621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1329" cy="2175601"/>
                    </a:xfrm>
                    <a:prstGeom prst="rect">
                      <a:avLst/>
                    </a:prstGeom>
                    <a:noFill/>
                  </pic:spPr>
                </pic:pic>
              </a:graphicData>
            </a:graphic>
          </wp:inline>
        </w:drawing>
      </w:r>
    </w:p>
    <w:p w14:paraId="3D12E786" w14:textId="77777777" w:rsidR="00114F71" w:rsidRDefault="00114F71" w:rsidP="00114F71">
      <w:pPr>
        <w:spacing w:after="100" w:afterAutospacing="1"/>
        <w:jc w:val="center"/>
        <w:rPr>
          <w:rFonts w:eastAsia="Times New Roman"/>
          <w:i/>
          <w:noProof/>
          <w:sz w:val="20"/>
          <w:szCs w:val="20"/>
          <w:lang w:eastAsia="en-GB"/>
        </w:rPr>
      </w:pPr>
      <w:r w:rsidRPr="00897C8D">
        <w:rPr>
          <w:rFonts w:eastAsia="Times New Roman"/>
          <w:i/>
          <w:noProof/>
          <w:sz w:val="20"/>
          <w:szCs w:val="20"/>
          <w:lang w:eastAsia="en-GB"/>
        </w:rPr>
        <w:t>Figure 2: Statistical estimates of dual-use intra and extra-EU exports.</w:t>
      </w:r>
    </w:p>
    <w:p w14:paraId="1948CCDC" w14:textId="6B1AA574" w:rsidR="00114F71" w:rsidRDefault="00114F71" w:rsidP="00D76008">
      <w:pPr>
        <w:spacing w:before="100" w:beforeAutospacing="1" w:after="100" w:afterAutospacing="1"/>
        <w:jc w:val="both"/>
        <w:rPr>
          <w:rFonts w:eastAsia="Times New Roman"/>
          <w:noProof/>
          <w:lang w:eastAsia="en-GB"/>
        </w:rPr>
      </w:pPr>
      <w:r>
        <w:rPr>
          <w:rFonts w:eastAsia="Times New Roman"/>
          <w:noProof/>
          <w:lang w:eastAsia="en-GB"/>
        </w:rPr>
        <w:t xml:space="preserve">Statistical estimates also show the main export destinations and indicate that a large part of the dual-use exports are directed towards countries listed on </w:t>
      </w:r>
      <w:r w:rsidR="00481810">
        <w:rPr>
          <w:rFonts w:eastAsia="Times New Roman"/>
          <w:noProof/>
          <w:lang w:eastAsia="en-GB"/>
        </w:rPr>
        <w:t xml:space="preserve">European </w:t>
      </w:r>
      <w:r>
        <w:rPr>
          <w:rFonts w:eastAsia="Times New Roman"/>
          <w:noProof/>
          <w:lang w:eastAsia="en-GB"/>
        </w:rPr>
        <w:t xml:space="preserve">Union General Export Authorisations (EUGEAs). </w:t>
      </w:r>
      <w:r w:rsidR="00D76008" w:rsidRPr="00D76008">
        <w:rPr>
          <w:rFonts w:eastAsia="Times New Roman"/>
          <w:noProof/>
          <w:lang w:eastAsia="en-GB"/>
        </w:rPr>
        <w:t>The ranking of destination countries reflects the EU export market in a basket of goods mostly related to dual-use items</w:t>
      </w:r>
      <w:r w:rsidR="00D76008" w:rsidRPr="00D76008" w:rsidDel="00D76008">
        <w:rPr>
          <w:rFonts w:eastAsia="Times New Roman"/>
          <w:noProof/>
          <w:lang w:eastAsia="en-GB"/>
        </w:rPr>
        <w:t xml:space="preserve"> </w:t>
      </w:r>
      <w:r>
        <w:rPr>
          <w:rFonts w:eastAsia="Times New Roman"/>
          <w:noProof/>
          <w:lang w:eastAsia="en-GB"/>
        </w:rPr>
        <w:t>(Figure 3 and 4)</w:t>
      </w:r>
      <w:r>
        <w:rPr>
          <w:rFonts w:eastAsia="Times New Roman"/>
          <w:noProof/>
          <w:vertAlign w:val="superscript"/>
          <w:lang w:eastAsia="en-GB"/>
        </w:rPr>
        <w:footnoteReference w:id="24"/>
      </w:r>
      <w:r>
        <w:rPr>
          <w:rFonts w:eastAsia="Times New Roman"/>
          <w:noProof/>
          <w:lang w:eastAsia="en-GB"/>
        </w:rPr>
        <w:t xml:space="preserve">. </w:t>
      </w:r>
    </w:p>
    <w:p w14:paraId="18E7CAD9" w14:textId="77777777" w:rsidR="00114F71" w:rsidRDefault="00114F71" w:rsidP="00114F71">
      <w:pPr>
        <w:spacing w:before="100" w:beforeAutospacing="1" w:after="100" w:afterAutospacing="1"/>
        <w:jc w:val="both"/>
        <w:rPr>
          <w:rFonts w:eastAsia="Times New Roman"/>
          <w:noProof/>
          <w:lang w:eastAsia="en-GB"/>
        </w:rPr>
      </w:pPr>
      <w:r>
        <w:rPr>
          <w:rFonts w:eastAsia="Times New Roman"/>
          <w:noProof/>
          <w:lang w:eastAsia="en-GB"/>
        </w:rPr>
        <w:drawing>
          <wp:inline distT="0" distB="0" distL="0" distR="0" wp14:anchorId="402EF13A" wp14:editId="63E92638">
            <wp:extent cx="5760720" cy="384238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ED BY PARTNERS (BARS).emf"/>
                    <pic:cNvPicPr/>
                  </pic:nvPicPr>
                  <pic:blipFill>
                    <a:blip r:embed="rId18">
                      <a:extLst>
                        <a:ext uri="{28A0092B-C50C-407E-A947-70E740481C1C}">
                          <a14:useLocalDpi xmlns:a14="http://schemas.microsoft.com/office/drawing/2010/main" val="0"/>
                        </a:ext>
                      </a:extLst>
                    </a:blip>
                    <a:stretch>
                      <a:fillRect/>
                    </a:stretch>
                  </pic:blipFill>
                  <pic:spPr>
                    <a:xfrm>
                      <a:off x="0" y="0"/>
                      <a:ext cx="5760720" cy="3842385"/>
                    </a:xfrm>
                    <a:prstGeom prst="rect">
                      <a:avLst/>
                    </a:prstGeom>
                  </pic:spPr>
                </pic:pic>
              </a:graphicData>
            </a:graphic>
          </wp:inline>
        </w:drawing>
      </w:r>
    </w:p>
    <w:p w14:paraId="0F5D9FC8" w14:textId="77777777" w:rsidR="00114F71" w:rsidRDefault="00114F71" w:rsidP="00114F71">
      <w:pPr>
        <w:spacing w:after="100" w:afterAutospacing="1"/>
        <w:jc w:val="center"/>
        <w:rPr>
          <w:rFonts w:eastAsia="Times New Roman"/>
          <w:i/>
          <w:noProof/>
          <w:sz w:val="20"/>
          <w:szCs w:val="20"/>
          <w:lang w:eastAsia="en-GB"/>
        </w:rPr>
      </w:pPr>
      <w:r>
        <w:rPr>
          <w:rFonts w:eastAsia="Times New Roman"/>
          <w:i/>
          <w:noProof/>
          <w:sz w:val="20"/>
          <w:szCs w:val="20"/>
          <w:lang w:eastAsia="en-GB"/>
        </w:rPr>
        <w:t xml:space="preserve">Figure 3: EU dual-use export estimates: top 25 export destination countries and their sub-regions in </w:t>
      </w:r>
      <w:r w:rsidRPr="004C1680">
        <w:rPr>
          <w:rFonts w:eastAsia="Times New Roman"/>
          <w:i/>
          <w:noProof/>
          <w:sz w:val="20"/>
          <w:szCs w:val="20"/>
          <w:lang w:eastAsia="en-GB"/>
        </w:rPr>
        <w:t>2020</w:t>
      </w:r>
      <w:r w:rsidRPr="00897C8D">
        <w:rPr>
          <w:rFonts w:eastAsia="Times New Roman"/>
          <w:i/>
          <w:noProof/>
          <w:sz w:val="20"/>
          <w:szCs w:val="20"/>
          <w:lang w:eastAsia="en-GB"/>
        </w:rPr>
        <w:t>.</w:t>
      </w:r>
    </w:p>
    <w:p w14:paraId="15C770EF" w14:textId="77777777" w:rsidR="00114F71" w:rsidRDefault="00114F71" w:rsidP="00114F71">
      <w:pPr>
        <w:spacing w:after="100" w:afterAutospacing="1"/>
        <w:jc w:val="center"/>
        <w:rPr>
          <w:rFonts w:eastAsia="Times New Roman"/>
          <w:i/>
          <w:noProof/>
          <w:sz w:val="20"/>
          <w:szCs w:val="20"/>
          <w:lang w:eastAsia="en-GB"/>
        </w:rPr>
      </w:pPr>
    </w:p>
    <w:p w14:paraId="1F4439EC" w14:textId="77777777" w:rsidR="00114F71" w:rsidRDefault="00114F71" w:rsidP="00114F71">
      <w:pPr>
        <w:spacing w:before="120" w:after="100" w:afterAutospacing="1"/>
        <w:rPr>
          <w:rFonts w:eastAsia="Times New Roman"/>
          <w:noProof/>
          <w:szCs w:val="22"/>
          <w:lang w:eastAsia="en-GB"/>
        </w:rPr>
      </w:pPr>
      <w:r>
        <w:rPr>
          <w:rFonts w:eastAsia="Times New Roman"/>
          <w:noProof/>
          <w:szCs w:val="22"/>
          <w:lang w:eastAsia="en-GB"/>
        </w:rPr>
        <w:drawing>
          <wp:inline distT="0" distB="0" distL="0" distR="0" wp14:anchorId="026C1E9F" wp14:editId="08DF58F0">
            <wp:extent cx="5760720" cy="30372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UED by Region.emf"/>
                    <pic:cNvPicPr/>
                  </pic:nvPicPr>
                  <pic:blipFill>
                    <a:blip r:embed="rId19">
                      <a:extLst>
                        <a:ext uri="{28A0092B-C50C-407E-A947-70E740481C1C}">
                          <a14:useLocalDpi xmlns:a14="http://schemas.microsoft.com/office/drawing/2010/main" val="0"/>
                        </a:ext>
                      </a:extLst>
                    </a:blip>
                    <a:stretch>
                      <a:fillRect/>
                    </a:stretch>
                  </pic:blipFill>
                  <pic:spPr>
                    <a:xfrm>
                      <a:off x="0" y="0"/>
                      <a:ext cx="5760720" cy="3037205"/>
                    </a:xfrm>
                    <a:prstGeom prst="rect">
                      <a:avLst/>
                    </a:prstGeom>
                  </pic:spPr>
                </pic:pic>
              </a:graphicData>
            </a:graphic>
          </wp:inline>
        </w:drawing>
      </w:r>
    </w:p>
    <w:p w14:paraId="176ED5F3" w14:textId="77777777" w:rsidR="00114F71" w:rsidRDefault="00114F71" w:rsidP="00114F71">
      <w:pPr>
        <w:spacing w:before="120" w:after="100" w:afterAutospacing="1"/>
        <w:jc w:val="center"/>
        <w:rPr>
          <w:rFonts w:eastAsia="Times New Roman"/>
          <w:i/>
          <w:noProof/>
          <w:sz w:val="20"/>
          <w:szCs w:val="20"/>
          <w:lang w:eastAsia="en-GB"/>
        </w:rPr>
      </w:pPr>
      <w:r>
        <w:rPr>
          <w:rFonts w:eastAsia="Times New Roman"/>
          <w:i/>
          <w:noProof/>
          <w:sz w:val="20"/>
          <w:szCs w:val="20"/>
          <w:lang w:eastAsia="en-GB"/>
        </w:rPr>
        <w:t xml:space="preserve">Figure 4: EU dual-use export estimates: destination countries by regions and sub-regions </w:t>
      </w:r>
      <w:r w:rsidRPr="00897C8D">
        <w:rPr>
          <w:rFonts w:eastAsia="Times New Roman"/>
          <w:i/>
          <w:noProof/>
          <w:sz w:val="20"/>
          <w:szCs w:val="20"/>
          <w:lang w:eastAsia="en-GB"/>
        </w:rPr>
        <w:t xml:space="preserve">in </w:t>
      </w:r>
      <w:r w:rsidRPr="00D106B0">
        <w:rPr>
          <w:rFonts w:eastAsia="Times New Roman"/>
          <w:i/>
          <w:noProof/>
          <w:sz w:val="20"/>
          <w:szCs w:val="20"/>
          <w:lang w:eastAsia="en-GB"/>
        </w:rPr>
        <w:t>2020</w:t>
      </w:r>
    </w:p>
    <w:p w14:paraId="12127C22" w14:textId="77777777" w:rsidR="00114F71" w:rsidRDefault="00114F71" w:rsidP="00114F71">
      <w:pPr>
        <w:keepNext/>
        <w:tabs>
          <w:tab w:val="left" w:pos="850"/>
        </w:tabs>
        <w:spacing w:after="120"/>
        <w:ind w:left="850" w:hanging="850"/>
        <w:jc w:val="both"/>
        <w:outlineLvl w:val="1"/>
        <w:rPr>
          <w:rFonts w:eastAsia="Times New Roman"/>
          <w:b/>
          <w:noProof/>
          <w:lang w:eastAsia="en-GB"/>
        </w:rPr>
      </w:pPr>
      <w:r>
        <w:rPr>
          <w:rFonts w:eastAsia="Times New Roman"/>
          <w:b/>
          <w:noProof/>
          <w:lang w:eastAsia="en-GB"/>
        </w:rPr>
        <w:t>4.2.</w:t>
      </w:r>
      <w:r>
        <w:rPr>
          <w:rFonts w:eastAsia="Times New Roman"/>
          <w:b/>
          <w:noProof/>
          <w:lang w:eastAsia="en-GB"/>
        </w:rPr>
        <w:tab/>
        <w:t xml:space="preserve">EU dual-use licenses: applications, authorisations, denials </w:t>
      </w:r>
    </w:p>
    <w:p w14:paraId="6A30E84F" w14:textId="7B21EEF1" w:rsidR="00114F71" w:rsidRDefault="00114F71" w:rsidP="00114F71">
      <w:pPr>
        <w:spacing w:before="100" w:beforeAutospacing="1" w:after="100" w:afterAutospacing="1"/>
        <w:jc w:val="both"/>
        <w:rPr>
          <w:rFonts w:eastAsia="Times New Roman"/>
          <w:noProof/>
          <w:lang w:eastAsia="en-GB"/>
        </w:rPr>
      </w:pPr>
      <w:r w:rsidRPr="001926CB">
        <w:rPr>
          <w:rFonts w:eastAsia="Times New Roman"/>
          <w:noProof/>
          <w:lang w:eastAsia="en-GB"/>
        </w:rPr>
        <w:t xml:space="preserve">In light of Article </w:t>
      </w:r>
      <w:r w:rsidR="00E67D3D">
        <w:rPr>
          <w:rFonts w:eastAsia="Times New Roman"/>
          <w:noProof/>
          <w:lang w:eastAsia="en-GB"/>
        </w:rPr>
        <w:t>2</w:t>
      </w:r>
      <w:r w:rsidR="00734145">
        <w:rPr>
          <w:rFonts w:eastAsia="Times New Roman"/>
          <w:noProof/>
          <w:lang w:eastAsia="en-GB"/>
        </w:rPr>
        <w:t>3</w:t>
      </w:r>
      <w:r w:rsidRPr="001926CB">
        <w:rPr>
          <w:rFonts w:eastAsia="Times New Roman"/>
          <w:noProof/>
          <w:lang w:eastAsia="en-GB"/>
        </w:rPr>
        <w:t>(2) of the Regulation,</w:t>
      </w:r>
      <w:r>
        <w:rPr>
          <w:rFonts w:eastAsia="Times New Roman"/>
          <w:noProof/>
          <w:lang w:eastAsia="en-GB"/>
        </w:rPr>
        <w:t xml:space="preserve"> which stipulates that "</w:t>
      </w:r>
      <w:r w:rsidRPr="00E35074">
        <w:rPr>
          <w:rFonts w:eastAsia="Times New Roman"/>
          <w:i/>
          <w:noProof/>
          <w:lang w:eastAsia="en-GB"/>
        </w:rPr>
        <w:t xml:space="preserve">Member States shall take all appropriate measures to establish direct cooperation and exchange of information between competent authorities with a view to enhance the efficiency of the </w:t>
      </w:r>
      <w:r w:rsidR="00734145">
        <w:rPr>
          <w:rFonts w:eastAsia="Times New Roman"/>
          <w:i/>
          <w:noProof/>
          <w:lang w:eastAsia="en-GB"/>
        </w:rPr>
        <w:t xml:space="preserve">Union </w:t>
      </w:r>
      <w:r w:rsidRPr="00E35074">
        <w:rPr>
          <w:rFonts w:eastAsia="Times New Roman"/>
          <w:i/>
          <w:noProof/>
          <w:lang w:eastAsia="en-GB"/>
        </w:rPr>
        <w:t>export control regime</w:t>
      </w:r>
      <w:r>
        <w:rPr>
          <w:rFonts w:eastAsia="Times New Roman"/>
          <w:noProof/>
          <w:lang w:eastAsia="en-GB"/>
        </w:rPr>
        <w:t xml:space="preserve">", the </w:t>
      </w:r>
      <w:r w:rsidR="00481810">
        <w:rPr>
          <w:rFonts w:eastAsia="Times New Roman"/>
          <w:noProof/>
          <w:lang w:eastAsia="en-GB"/>
        </w:rPr>
        <w:t xml:space="preserve">Commission and Member States have </w:t>
      </w:r>
      <w:r>
        <w:rPr>
          <w:rFonts w:eastAsia="Times New Roman"/>
          <w:noProof/>
          <w:lang w:eastAsia="en-GB"/>
        </w:rPr>
        <w:t xml:space="preserve">exchanged licensing data and information in order to improve the understanding of export controls and their economic effect. </w:t>
      </w:r>
      <w:r w:rsidR="00481810">
        <w:rPr>
          <w:rFonts w:eastAsia="Times New Roman"/>
          <w:noProof/>
          <w:lang w:eastAsia="en-GB"/>
        </w:rPr>
        <w:t xml:space="preserve">This exchange has been supported by the DUCG. </w:t>
      </w:r>
      <w:r>
        <w:rPr>
          <w:rFonts w:eastAsia="Times New Roman"/>
          <w:noProof/>
          <w:lang w:eastAsia="en-GB"/>
        </w:rPr>
        <w:t>Some data collected for the reporting period is reported below; it should be noted, however, that not all Member States collect all data. The information provided below represents approximate estimates of aggregate quantities and values within the limits of the data made available by Member States.</w:t>
      </w:r>
    </w:p>
    <w:p w14:paraId="714D153C" w14:textId="4833DAE2" w:rsidR="00114F71" w:rsidRDefault="00FC33F0" w:rsidP="00FC33F0">
      <w:pPr>
        <w:spacing w:after="120"/>
        <w:jc w:val="both"/>
        <w:rPr>
          <w:rFonts w:eastAsia="Times New Roman"/>
          <w:noProof/>
          <w:lang w:eastAsia="en-GB"/>
        </w:rPr>
      </w:pPr>
      <w:r>
        <w:rPr>
          <w:rFonts w:eastAsia="Times New Roman"/>
          <w:noProof/>
          <w:lang w:eastAsia="en-GB"/>
        </w:rPr>
        <w:t>In 2020 t</w:t>
      </w:r>
      <w:r w:rsidR="00114F71" w:rsidRPr="00D106B0">
        <w:rPr>
          <w:rFonts w:eastAsia="Times New Roman"/>
          <w:noProof/>
          <w:lang w:eastAsia="en-GB"/>
        </w:rPr>
        <w:t>he total value</w:t>
      </w:r>
      <w:r w:rsidR="00114F71" w:rsidRPr="00D106B0">
        <w:rPr>
          <w:rFonts w:eastAsia="Times New Roman"/>
          <w:noProof/>
          <w:vertAlign w:val="superscript"/>
          <w:lang w:eastAsia="en-GB"/>
        </w:rPr>
        <w:footnoteReference w:id="25"/>
      </w:r>
      <w:r w:rsidR="00114F71" w:rsidRPr="00D106B0">
        <w:rPr>
          <w:rFonts w:eastAsia="Times New Roman"/>
          <w:noProof/>
          <w:lang w:eastAsia="en-GB"/>
        </w:rPr>
        <w:t xml:space="preserve"> of applications reached EUR 38.4 billion and controlled dual-use exports thus represented 2.3% of total extra-EU27 exports. Authorised dual-use trade amounted to EUR 31 billion,</w:t>
      </w:r>
      <w:r w:rsidR="00114F71" w:rsidRPr="00D106B0">
        <w:rPr>
          <w:rFonts w:eastAsia="Calibri"/>
          <w:noProof/>
        </w:rPr>
        <w:t xml:space="preserve"> representing 1.</w:t>
      </w:r>
      <w:r w:rsidR="00F3289F" w:rsidRPr="00D106B0">
        <w:rPr>
          <w:rFonts w:eastAsia="Calibri"/>
          <w:noProof/>
        </w:rPr>
        <w:t>9</w:t>
      </w:r>
      <w:r w:rsidR="00114F71" w:rsidRPr="00D106B0">
        <w:rPr>
          <w:rFonts w:eastAsia="Calibri"/>
          <w:bCs/>
          <w:noProof/>
        </w:rPr>
        <w:t xml:space="preserve">% </w:t>
      </w:r>
      <w:r w:rsidR="00114F71" w:rsidRPr="00D106B0">
        <w:rPr>
          <w:rFonts w:eastAsia="Calibri"/>
          <w:noProof/>
        </w:rPr>
        <w:t>of total extra-EU27 exports,</w:t>
      </w:r>
      <w:r w:rsidR="00114F71" w:rsidRPr="00D106B0">
        <w:rPr>
          <w:rFonts w:eastAsia="Times New Roman"/>
          <w:noProof/>
          <w:lang w:eastAsia="en-GB"/>
        </w:rPr>
        <w:t xml:space="preserve"> with a majority of transactions authorised under individual licenses</w:t>
      </w:r>
      <w:r w:rsidR="00114F71" w:rsidRPr="00D106B0">
        <w:rPr>
          <w:rStyle w:val="FootnoteReference"/>
          <w:rFonts w:eastAsia="Times New Roman"/>
          <w:noProof/>
          <w:lang w:eastAsia="en-GB"/>
        </w:rPr>
        <w:footnoteReference w:id="26"/>
      </w:r>
      <w:r w:rsidR="00114F71" w:rsidRPr="00D106B0">
        <w:rPr>
          <w:rFonts w:eastAsia="Times New Roman"/>
          <w:noProof/>
          <w:lang w:eastAsia="en-GB"/>
        </w:rPr>
        <w:t xml:space="preserve"> (around 19</w:t>
      </w:r>
      <w:r w:rsidR="004423DD">
        <w:rPr>
          <w:rFonts w:eastAsia="Times New Roman"/>
          <w:noProof/>
          <w:lang w:eastAsia="en-GB"/>
        </w:rPr>
        <w:t>.</w:t>
      </w:r>
      <w:r w:rsidR="00114F71" w:rsidRPr="00D106B0">
        <w:rPr>
          <w:rFonts w:eastAsia="Times New Roman"/>
          <w:noProof/>
          <w:lang w:eastAsia="en-GB"/>
        </w:rPr>
        <w:t>412 single licenses issued in 2020) and global licenses</w:t>
      </w:r>
      <w:r w:rsidR="00114F71" w:rsidRPr="00D106B0">
        <w:rPr>
          <w:rStyle w:val="FootnoteReference"/>
          <w:rFonts w:eastAsia="Times New Roman"/>
          <w:noProof/>
          <w:lang w:eastAsia="en-GB"/>
        </w:rPr>
        <w:footnoteReference w:id="27"/>
      </w:r>
      <w:r w:rsidR="00114F71" w:rsidRPr="00D106B0">
        <w:rPr>
          <w:rFonts w:eastAsia="Times New Roman"/>
          <w:noProof/>
          <w:lang w:eastAsia="en-GB"/>
        </w:rPr>
        <w:t xml:space="preserve"> (by their value). Only a small portion of exports were actually denied: 559 denials were issued in 2020, representing about 1.4% of the value of controlled dual-use exports in that year, and 0.03% of total extra-EU27 exports.</w:t>
      </w:r>
      <w:r w:rsidR="00583551">
        <w:rPr>
          <w:rFonts w:eastAsia="Times New Roman"/>
          <w:noProof/>
          <w:lang w:eastAsia="en-GB"/>
        </w:rPr>
        <w:t xml:space="preserve"> </w:t>
      </w:r>
      <w:r w:rsidRPr="00FC33F0">
        <w:rPr>
          <w:rFonts w:eastAsia="Times New Roman"/>
          <w:noProof/>
          <w:lang w:eastAsia="en-GB"/>
        </w:rPr>
        <w:t>Differences in data that indicate a decline in comparison to the previous years are due to Brexit and the fact that UK did not provide data since 2019.</w:t>
      </w:r>
      <w:r>
        <w:rPr>
          <w:rFonts w:eastAsia="Times New Roman"/>
          <w:noProof/>
          <w:lang w:eastAsia="en-GB"/>
        </w:rPr>
        <w:t xml:space="preserve"> </w:t>
      </w:r>
      <w:r w:rsidR="00F3289F" w:rsidRPr="00D106B0">
        <w:rPr>
          <w:rFonts w:eastAsia="Times New Roman"/>
          <w:noProof/>
          <w:lang w:eastAsia="en-GB"/>
        </w:rPr>
        <w:t>Concerning destinations f</w:t>
      </w:r>
      <w:r w:rsidR="004423DD">
        <w:rPr>
          <w:rFonts w:eastAsia="Times New Roman"/>
          <w:noProof/>
          <w:lang w:eastAsia="en-GB"/>
        </w:rPr>
        <w:t>or export</w:t>
      </w:r>
      <w:r w:rsidR="00F3289F" w:rsidRPr="00D106B0">
        <w:rPr>
          <w:rFonts w:eastAsia="Times New Roman"/>
          <w:noProof/>
          <w:lang w:eastAsia="en-GB"/>
        </w:rPr>
        <w:t xml:space="preserve"> licenses, the top 25 extra-EU destinations accounted for 94% of the licensed value, </w:t>
      </w:r>
      <w:r w:rsidR="004423DD">
        <w:rPr>
          <w:rFonts w:eastAsia="Times New Roman"/>
          <w:noProof/>
          <w:lang w:eastAsia="en-GB"/>
        </w:rPr>
        <w:t xml:space="preserve">with the </w:t>
      </w:r>
      <w:r w:rsidR="00F3289F" w:rsidRPr="00D106B0">
        <w:rPr>
          <w:rFonts w:eastAsia="Times New Roman"/>
          <w:noProof/>
          <w:lang w:eastAsia="en-GB"/>
        </w:rPr>
        <w:t xml:space="preserve">main destinations being </w:t>
      </w:r>
      <w:r w:rsidR="00F3289F" w:rsidRPr="00D106B0">
        <w:rPr>
          <w:noProof/>
        </w:rPr>
        <w:t xml:space="preserve">China, the United States, Taiwan, South Korea and Russia. </w:t>
      </w:r>
      <w:r w:rsidR="004423DD">
        <w:rPr>
          <w:noProof/>
        </w:rPr>
        <w:t xml:space="preserve">With respect to </w:t>
      </w:r>
      <w:r w:rsidR="00F3289F" w:rsidRPr="00D106B0">
        <w:rPr>
          <w:noProof/>
        </w:rPr>
        <w:t>intra-EU transfers</w:t>
      </w:r>
      <w:r w:rsidR="004423DD">
        <w:rPr>
          <w:noProof/>
        </w:rPr>
        <w:t>, the</w:t>
      </w:r>
      <w:r w:rsidR="00F3289F" w:rsidRPr="00D106B0">
        <w:rPr>
          <w:noProof/>
        </w:rPr>
        <w:t xml:space="preserve"> </w:t>
      </w:r>
      <w:r w:rsidR="004423DD">
        <w:rPr>
          <w:noProof/>
        </w:rPr>
        <w:t>main destinations</w:t>
      </w:r>
      <w:r w:rsidR="004423DD" w:rsidRPr="00D106B0">
        <w:rPr>
          <w:noProof/>
        </w:rPr>
        <w:t xml:space="preserve"> </w:t>
      </w:r>
      <w:r w:rsidR="00F3289F" w:rsidRPr="00D106B0">
        <w:rPr>
          <w:noProof/>
        </w:rPr>
        <w:t>were France, Sweden, Finland</w:t>
      </w:r>
      <w:r w:rsidR="00F3289F" w:rsidRPr="00D106B0">
        <w:rPr>
          <w:rFonts w:eastAsia="Times New Roman"/>
          <w:noProof/>
          <w:lang w:eastAsia="en-GB"/>
        </w:rPr>
        <w:t xml:space="preserve">, Germany, Spain and Belgium. </w:t>
      </w:r>
      <w:r w:rsidR="00F3289F" w:rsidRPr="00D106B0">
        <w:rPr>
          <w:noProof/>
        </w:rPr>
        <w:t xml:space="preserve">Breaking down licenses by Categories of items in Annex I of the dual-use Regulation shows that the </w:t>
      </w:r>
      <w:r w:rsidR="004423DD">
        <w:rPr>
          <w:noProof/>
        </w:rPr>
        <w:t>main</w:t>
      </w:r>
      <w:r w:rsidR="004423DD" w:rsidRPr="00D106B0">
        <w:rPr>
          <w:noProof/>
        </w:rPr>
        <w:t xml:space="preserve"> </w:t>
      </w:r>
      <w:r w:rsidR="00F3289F" w:rsidRPr="00D106B0">
        <w:rPr>
          <w:noProof/>
        </w:rPr>
        <w:t xml:space="preserve">category by value in 2020 was Category 5 on </w:t>
      </w:r>
      <w:r w:rsidR="00F3289F" w:rsidRPr="00D106B0">
        <w:rPr>
          <w:i/>
          <w:noProof/>
        </w:rPr>
        <w:t>Telecommunication and ‘information security’</w:t>
      </w:r>
      <w:r w:rsidR="00F3289F" w:rsidRPr="00D106B0">
        <w:rPr>
          <w:noProof/>
        </w:rPr>
        <w:t xml:space="preserve">, followed by </w:t>
      </w:r>
      <w:r w:rsidR="00F3289F" w:rsidRPr="00D106B0">
        <w:rPr>
          <w:i/>
          <w:noProof/>
        </w:rPr>
        <w:t>Category 0 on Nuclear materials, facilities and equipment</w:t>
      </w:r>
      <w:r w:rsidR="00F3289F" w:rsidRPr="00D106B0">
        <w:rPr>
          <w:noProof/>
        </w:rPr>
        <w:t xml:space="preserve"> and Category 3 on </w:t>
      </w:r>
      <w:r w:rsidR="00F3289F" w:rsidRPr="00D106B0">
        <w:rPr>
          <w:i/>
          <w:noProof/>
        </w:rPr>
        <w:t>Electronics</w:t>
      </w:r>
      <w:r w:rsidR="001926CB">
        <w:rPr>
          <w:i/>
          <w:noProof/>
        </w:rPr>
        <w:t>.</w:t>
      </w:r>
    </w:p>
    <w:p w14:paraId="35348646" w14:textId="77777777" w:rsidR="00114F71" w:rsidRDefault="00114F71" w:rsidP="00114F71">
      <w:pPr>
        <w:spacing w:before="100" w:beforeAutospacing="1" w:after="100" w:afterAutospacing="1"/>
        <w:jc w:val="center"/>
        <w:rPr>
          <w:rFonts w:eastAsia="Times New Roman"/>
          <w:noProof/>
          <w:lang w:eastAsia="en-GB"/>
        </w:rPr>
      </w:pPr>
      <w:r>
        <w:rPr>
          <w:rFonts w:eastAsia="Times New Roman"/>
          <w:noProof/>
          <w:lang w:eastAsia="en-GB"/>
        </w:rPr>
        <w:drawing>
          <wp:inline distT="0" distB="0" distL="0" distR="0" wp14:anchorId="7B6391E1" wp14:editId="35E05965">
            <wp:extent cx="4925695" cy="2712720"/>
            <wp:effectExtent l="0" t="0" r="825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5695" cy="2712720"/>
                    </a:xfrm>
                    <a:prstGeom prst="rect">
                      <a:avLst/>
                    </a:prstGeom>
                    <a:noFill/>
                  </pic:spPr>
                </pic:pic>
              </a:graphicData>
            </a:graphic>
          </wp:inline>
        </w:drawing>
      </w:r>
    </w:p>
    <w:p w14:paraId="3B0FFF6D" w14:textId="77777777" w:rsidR="00114F71" w:rsidRDefault="00114F71" w:rsidP="00114F71">
      <w:pPr>
        <w:spacing w:after="240"/>
        <w:jc w:val="center"/>
        <w:rPr>
          <w:rFonts w:eastAsia="Times New Roman"/>
          <w:i/>
          <w:noProof/>
          <w:sz w:val="20"/>
          <w:szCs w:val="20"/>
          <w:lang w:eastAsia="en-GB"/>
        </w:rPr>
      </w:pPr>
      <w:r>
        <w:rPr>
          <w:rFonts w:eastAsia="Times New Roman"/>
          <w:noProof/>
          <w:lang w:eastAsia="en-GB"/>
        </w:rPr>
        <w:t xml:space="preserve"> </w:t>
      </w:r>
      <w:r w:rsidRPr="00897C8D">
        <w:rPr>
          <w:rFonts w:eastAsia="Times New Roman"/>
          <w:i/>
          <w:noProof/>
          <w:sz w:val="20"/>
          <w:szCs w:val="20"/>
          <w:lang w:eastAsia="en-GB"/>
        </w:rPr>
        <w:t>Figure 5: Volume (number) of au</w:t>
      </w:r>
      <w:r>
        <w:rPr>
          <w:rFonts w:eastAsia="Times New Roman"/>
          <w:i/>
          <w:noProof/>
          <w:sz w:val="20"/>
          <w:szCs w:val="20"/>
          <w:lang w:eastAsia="en-GB"/>
        </w:rPr>
        <w:t xml:space="preserve">thorisations and denials in </w:t>
      </w:r>
      <w:r w:rsidRPr="00D106B0">
        <w:rPr>
          <w:rFonts w:eastAsia="Times New Roman"/>
          <w:i/>
          <w:noProof/>
          <w:sz w:val="20"/>
          <w:szCs w:val="20"/>
          <w:lang w:eastAsia="en-GB"/>
        </w:rPr>
        <w:t>2016-2020</w:t>
      </w:r>
      <w:r w:rsidRPr="00897C8D">
        <w:rPr>
          <w:rFonts w:eastAsia="Times New Roman"/>
          <w:i/>
          <w:noProof/>
          <w:sz w:val="20"/>
          <w:szCs w:val="20"/>
          <w:vertAlign w:val="superscript"/>
          <w:lang w:eastAsia="en-GB"/>
        </w:rPr>
        <w:footnoteReference w:id="28"/>
      </w:r>
      <w:r w:rsidRPr="00897C8D">
        <w:rPr>
          <w:rFonts w:eastAsia="Times New Roman"/>
          <w:i/>
          <w:noProof/>
          <w:sz w:val="20"/>
          <w:szCs w:val="20"/>
          <w:lang w:eastAsia="en-GB"/>
        </w:rPr>
        <w:t>.</w:t>
      </w:r>
    </w:p>
    <w:p w14:paraId="6FC6C3D3" w14:textId="77777777" w:rsidR="00114F71" w:rsidRDefault="00114F71" w:rsidP="00114F71">
      <w:pPr>
        <w:spacing w:after="120"/>
        <w:jc w:val="center"/>
        <w:rPr>
          <w:rFonts w:eastAsia="Calibri"/>
          <w:noProof/>
        </w:rPr>
      </w:pPr>
      <w:r>
        <w:rPr>
          <w:rFonts w:eastAsia="Calibri"/>
          <w:noProof/>
          <w:lang w:eastAsia="en-GB"/>
        </w:rPr>
        <w:drawing>
          <wp:inline distT="0" distB="0" distL="0" distR="0" wp14:anchorId="7AD23B33" wp14:editId="6E36069D">
            <wp:extent cx="4932045" cy="2707005"/>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32045" cy="2707005"/>
                    </a:xfrm>
                    <a:prstGeom prst="rect">
                      <a:avLst/>
                    </a:prstGeom>
                    <a:noFill/>
                  </pic:spPr>
                </pic:pic>
              </a:graphicData>
            </a:graphic>
          </wp:inline>
        </w:drawing>
      </w:r>
    </w:p>
    <w:p w14:paraId="37535D94" w14:textId="77777777" w:rsidR="00114F71" w:rsidRDefault="00114F71" w:rsidP="00114F71">
      <w:pPr>
        <w:spacing w:after="120"/>
        <w:jc w:val="center"/>
        <w:rPr>
          <w:rFonts w:eastAsia="Times New Roman"/>
          <w:i/>
          <w:noProof/>
          <w:sz w:val="20"/>
          <w:szCs w:val="20"/>
          <w:vertAlign w:val="superscript"/>
          <w:lang w:eastAsia="en-GB"/>
        </w:rPr>
      </w:pPr>
      <w:r w:rsidRPr="00897C8D">
        <w:rPr>
          <w:rFonts w:eastAsia="Times New Roman"/>
          <w:i/>
          <w:noProof/>
          <w:sz w:val="20"/>
          <w:szCs w:val="20"/>
          <w:lang w:eastAsia="en-GB"/>
        </w:rPr>
        <w:t xml:space="preserve">Figure 6: Value (mln EUR) of authorisations and denials in </w:t>
      </w:r>
      <w:r w:rsidRPr="00D106B0">
        <w:rPr>
          <w:rFonts w:eastAsia="Times New Roman"/>
          <w:i/>
          <w:noProof/>
          <w:sz w:val="20"/>
          <w:szCs w:val="20"/>
          <w:lang w:eastAsia="en-GB"/>
        </w:rPr>
        <w:t>2016-2020</w:t>
      </w:r>
      <w:r w:rsidRPr="00897C8D">
        <w:rPr>
          <w:rFonts w:eastAsia="Times New Roman"/>
          <w:i/>
          <w:noProof/>
          <w:sz w:val="20"/>
          <w:szCs w:val="20"/>
          <w:lang w:eastAsia="en-GB"/>
        </w:rPr>
        <w:t>.</w:t>
      </w:r>
      <w:r>
        <w:rPr>
          <w:rFonts w:eastAsia="Times New Roman"/>
          <w:i/>
          <w:noProof/>
          <w:sz w:val="20"/>
          <w:szCs w:val="20"/>
          <w:vertAlign w:val="superscript"/>
          <w:lang w:eastAsia="en-GB"/>
        </w:rPr>
        <w:t xml:space="preserve"> </w:t>
      </w:r>
    </w:p>
    <w:p w14:paraId="1439CE36" w14:textId="77777777" w:rsidR="00114F71" w:rsidRDefault="00114F71" w:rsidP="00114F71">
      <w:pPr>
        <w:spacing w:after="120"/>
        <w:jc w:val="center"/>
        <w:rPr>
          <w:rFonts w:eastAsia="Times New Roman"/>
          <w:i/>
          <w:noProof/>
          <w:sz w:val="20"/>
          <w:szCs w:val="20"/>
          <w:vertAlign w:val="superscript"/>
          <w:lang w:eastAsia="en-GB"/>
        </w:rPr>
      </w:pPr>
    </w:p>
    <w:p w14:paraId="08A8A01F" w14:textId="77777777" w:rsidR="00114F71" w:rsidRPr="00B31C58" w:rsidRDefault="00114F71" w:rsidP="00114F71">
      <w:pPr>
        <w:spacing w:after="120"/>
        <w:jc w:val="center"/>
        <w:rPr>
          <w:rFonts w:eastAsia="Times New Roman"/>
          <w:i/>
          <w:noProof/>
          <w:vertAlign w:val="superscript"/>
          <w:lang w:eastAsia="en-GB"/>
        </w:rPr>
      </w:pPr>
      <w:r>
        <w:rPr>
          <w:rFonts w:eastAsia="Times New Roman"/>
          <w:i/>
          <w:noProof/>
          <w:vertAlign w:val="superscript"/>
          <w:lang w:eastAsia="en-GB"/>
        </w:rPr>
        <w:drawing>
          <wp:inline distT="0" distB="0" distL="0" distR="0" wp14:anchorId="29A8B53D" wp14:editId="483DB6E8">
            <wp:extent cx="5334635" cy="36398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635" cy="3639820"/>
                    </a:xfrm>
                    <a:prstGeom prst="rect">
                      <a:avLst/>
                    </a:prstGeom>
                    <a:noFill/>
                  </pic:spPr>
                </pic:pic>
              </a:graphicData>
            </a:graphic>
          </wp:inline>
        </w:drawing>
      </w:r>
    </w:p>
    <w:p w14:paraId="48138912" w14:textId="77777777" w:rsidR="00114F71" w:rsidRDefault="00114F71" w:rsidP="00114F71">
      <w:pPr>
        <w:spacing w:after="120"/>
        <w:jc w:val="center"/>
        <w:rPr>
          <w:rFonts w:eastAsia="Times New Roman"/>
          <w:i/>
          <w:noProof/>
          <w:sz w:val="20"/>
          <w:szCs w:val="20"/>
          <w:lang w:eastAsia="en-GB"/>
        </w:rPr>
      </w:pPr>
      <w:r w:rsidRPr="00897C8D">
        <w:rPr>
          <w:rFonts w:eastAsia="Times New Roman"/>
          <w:i/>
          <w:noProof/>
          <w:sz w:val="20"/>
          <w:szCs w:val="20"/>
          <w:lang w:eastAsia="en-GB"/>
        </w:rPr>
        <w:t xml:space="preserve">Figure 7: Volume (number) of authorisations per type of licence in </w:t>
      </w:r>
      <w:r w:rsidRPr="00D106B0">
        <w:rPr>
          <w:rFonts w:eastAsia="Times New Roman"/>
          <w:i/>
          <w:noProof/>
          <w:sz w:val="20"/>
          <w:szCs w:val="20"/>
          <w:lang w:eastAsia="en-GB"/>
        </w:rPr>
        <w:t>2020</w:t>
      </w:r>
      <w:r w:rsidRPr="00897C8D">
        <w:rPr>
          <w:rFonts w:eastAsia="Times New Roman"/>
          <w:i/>
          <w:noProof/>
          <w:sz w:val="20"/>
          <w:szCs w:val="20"/>
          <w:lang w:eastAsia="en-GB"/>
        </w:rPr>
        <w:t>.</w:t>
      </w:r>
    </w:p>
    <w:p w14:paraId="307E6024" w14:textId="77777777" w:rsidR="00114F71" w:rsidRDefault="00114F71" w:rsidP="00114F71">
      <w:pPr>
        <w:spacing w:after="120"/>
        <w:jc w:val="center"/>
        <w:rPr>
          <w:rFonts w:eastAsia="Times New Roman"/>
          <w:i/>
          <w:noProof/>
          <w:sz w:val="20"/>
          <w:szCs w:val="20"/>
          <w:lang w:eastAsia="en-GB"/>
        </w:rPr>
      </w:pPr>
    </w:p>
    <w:p w14:paraId="7B3B0E6E" w14:textId="77777777" w:rsidR="00114F71" w:rsidRDefault="00114F71" w:rsidP="00114F71">
      <w:pPr>
        <w:spacing w:after="120"/>
        <w:jc w:val="center"/>
        <w:rPr>
          <w:rFonts w:eastAsia="Times New Roman"/>
          <w:i/>
          <w:noProof/>
          <w:sz w:val="20"/>
          <w:szCs w:val="20"/>
          <w:lang w:eastAsia="en-GB"/>
        </w:rPr>
      </w:pPr>
      <w:r>
        <w:rPr>
          <w:rFonts w:eastAsia="Times New Roman"/>
          <w:i/>
          <w:noProof/>
          <w:sz w:val="20"/>
          <w:szCs w:val="20"/>
          <w:lang w:eastAsia="en-GB"/>
        </w:rPr>
        <w:drawing>
          <wp:inline distT="0" distB="0" distL="0" distR="0" wp14:anchorId="029EC2A5" wp14:editId="1F9DD7AF">
            <wp:extent cx="5236845" cy="3645535"/>
            <wp:effectExtent l="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36845" cy="3645535"/>
                    </a:xfrm>
                    <a:prstGeom prst="rect">
                      <a:avLst/>
                    </a:prstGeom>
                    <a:noFill/>
                  </pic:spPr>
                </pic:pic>
              </a:graphicData>
            </a:graphic>
          </wp:inline>
        </w:drawing>
      </w:r>
    </w:p>
    <w:p w14:paraId="23A58B7F" w14:textId="77777777" w:rsidR="00114F71" w:rsidRPr="002C0B4B" w:rsidRDefault="00114F71" w:rsidP="00114F71">
      <w:pPr>
        <w:spacing w:after="100" w:afterAutospacing="1"/>
        <w:jc w:val="center"/>
        <w:rPr>
          <w:rFonts w:eastAsia="Times New Roman"/>
          <w:i/>
          <w:noProof/>
          <w:sz w:val="20"/>
          <w:szCs w:val="20"/>
          <w:lang w:eastAsia="en-GB"/>
        </w:rPr>
      </w:pPr>
      <w:r w:rsidRPr="00387039">
        <w:rPr>
          <w:rFonts w:eastAsia="Times New Roman"/>
          <w:i/>
          <w:noProof/>
          <w:sz w:val="20"/>
          <w:szCs w:val="20"/>
          <w:lang w:eastAsia="en-GB"/>
        </w:rPr>
        <w:t xml:space="preserve">Figure 8: Value (mln EUR) of authorisations per type in </w:t>
      </w:r>
      <w:r w:rsidRPr="00D106B0">
        <w:rPr>
          <w:rFonts w:eastAsia="Times New Roman"/>
          <w:i/>
          <w:noProof/>
          <w:sz w:val="20"/>
          <w:szCs w:val="20"/>
          <w:lang w:eastAsia="en-GB"/>
        </w:rPr>
        <w:t>2020</w:t>
      </w:r>
      <w:r w:rsidRPr="00387039">
        <w:rPr>
          <w:rFonts w:eastAsia="Times New Roman"/>
          <w:i/>
          <w:noProof/>
          <w:sz w:val="20"/>
          <w:szCs w:val="20"/>
          <w:lang w:eastAsia="en-GB"/>
        </w:rPr>
        <w:t>.</w:t>
      </w:r>
    </w:p>
    <w:p w14:paraId="20E55297" w14:textId="77777777" w:rsidR="00114F71" w:rsidRDefault="00114F71" w:rsidP="00114F71">
      <w:pPr>
        <w:pStyle w:val="ListParagraph"/>
        <w:spacing w:before="60" w:after="60"/>
        <w:ind w:left="0"/>
        <w:contextualSpacing/>
        <w:jc w:val="both"/>
        <w:rPr>
          <w:rFonts w:ascii="Times New Roman" w:eastAsiaTheme="minorHAnsi" w:hAnsi="Times New Roman" w:cs="Times New Roman"/>
          <w:noProof/>
          <w:sz w:val="24"/>
          <w:szCs w:val="24"/>
          <w:lang w:eastAsia="en-US"/>
        </w:rPr>
      </w:pPr>
    </w:p>
    <w:p w14:paraId="189E4153" w14:textId="77777777" w:rsidR="00114F71" w:rsidRDefault="00114F71" w:rsidP="00114F71">
      <w:pPr>
        <w:keepNext/>
        <w:rPr>
          <w:noProof/>
        </w:rPr>
      </w:pPr>
      <w:r w:rsidRPr="00010806">
        <w:rPr>
          <w:b/>
          <w:noProof/>
          <w:lang w:eastAsia="en-GB"/>
        </w:rPr>
        <w:drawing>
          <wp:inline distT="0" distB="0" distL="0" distR="0" wp14:anchorId="056820B5" wp14:editId="06BB78DA">
            <wp:extent cx="5760720" cy="3458845"/>
            <wp:effectExtent l="0" t="0" r="0" b="825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5760720" cy="3458845"/>
                    </a:xfrm>
                    <a:prstGeom prst="rect">
                      <a:avLst/>
                    </a:prstGeom>
                  </pic:spPr>
                </pic:pic>
              </a:graphicData>
            </a:graphic>
          </wp:inline>
        </w:drawing>
      </w:r>
    </w:p>
    <w:p w14:paraId="0A3CD829" w14:textId="77777777" w:rsidR="00114F71" w:rsidRDefault="00114F71" w:rsidP="00114F71">
      <w:pPr>
        <w:spacing w:after="100" w:afterAutospacing="1"/>
        <w:jc w:val="center"/>
        <w:rPr>
          <w:rFonts w:eastAsia="Times New Roman"/>
          <w:i/>
          <w:noProof/>
          <w:sz w:val="20"/>
          <w:szCs w:val="20"/>
          <w:lang w:eastAsia="en-GB"/>
        </w:rPr>
      </w:pPr>
      <w:r w:rsidRPr="0036208F">
        <w:rPr>
          <w:rFonts w:eastAsia="Times New Roman"/>
          <w:i/>
          <w:noProof/>
          <w:sz w:val="20"/>
          <w:szCs w:val="20"/>
          <w:lang w:eastAsia="en-GB"/>
        </w:rPr>
        <w:t xml:space="preserve">Figure </w:t>
      </w:r>
      <w:r>
        <w:rPr>
          <w:rFonts w:eastAsia="Times New Roman"/>
          <w:i/>
          <w:noProof/>
          <w:sz w:val="20"/>
          <w:szCs w:val="20"/>
          <w:lang w:eastAsia="en-GB"/>
        </w:rPr>
        <w:t xml:space="preserve">9:Main extra-EU destinations of authorisations in 2020.  </w:t>
      </w:r>
    </w:p>
    <w:p w14:paraId="5B3D498D" w14:textId="77777777" w:rsidR="00114F71" w:rsidRPr="0036208F" w:rsidRDefault="00114F71" w:rsidP="00114F71">
      <w:pPr>
        <w:spacing w:after="100" w:afterAutospacing="1"/>
        <w:jc w:val="center"/>
        <w:rPr>
          <w:rFonts w:eastAsia="Times New Roman"/>
          <w:i/>
          <w:noProof/>
          <w:sz w:val="20"/>
          <w:szCs w:val="20"/>
          <w:lang w:eastAsia="en-GB"/>
        </w:rPr>
      </w:pPr>
    </w:p>
    <w:p w14:paraId="593B89F3" w14:textId="77777777" w:rsidR="00FA2028" w:rsidRDefault="00FA2028" w:rsidP="00114F71">
      <w:pPr>
        <w:keepNext/>
        <w:jc w:val="center"/>
        <w:rPr>
          <w:noProof/>
        </w:rPr>
      </w:pPr>
    </w:p>
    <w:p w14:paraId="5C282669" w14:textId="77777777" w:rsidR="00FA2028" w:rsidRDefault="00FA2028" w:rsidP="00114F71">
      <w:pPr>
        <w:keepNext/>
        <w:jc w:val="center"/>
        <w:rPr>
          <w:noProof/>
        </w:rPr>
      </w:pPr>
      <w:r>
        <w:rPr>
          <w:noProof/>
          <w:lang w:eastAsia="en-GB"/>
        </w:rPr>
        <w:drawing>
          <wp:inline distT="0" distB="0" distL="0" distR="0" wp14:anchorId="61180668" wp14:editId="71BA9AFF">
            <wp:extent cx="5760720" cy="345884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P 2B  EU.emf"/>
                    <pic:cNvPicPr/>
                  </pic:nvPicPr>
                  <pic:blipFill>
                    <a:blip r:embed="rId25">
                      <a:extLst>
                        <a:ext uri="{28A0092B-C50C-407E-A947-70E740481C1C}">
                          <a14:useLocalDpi xmlns:a14="http://schemas.microsoft.com/office/drawing/2010/main" val="0"/>
                        </a:ext>
                      </a:extLst>
                    </a:blip>
                    <a:stretch>
                      <a:fillRect/>
                    </a:stretch>
                  </pic:blipFill>
                  <pic:spPr>
                    <a:xfrm>
                      <a:off x="0" y="0"/>
                      <a:ext cx="5760720" cy="3458845"/>
                    </a:xfrm>
                    <a:prstGeom prst="rect">
                      <a:avLst/>
                    </a:prstGeom>
                  </pic:spPr>
                </pic:pic>
              </a:graphicData>
            </a:graphic>
          </wp:inline>
        </w:drawing>
      </w:r>
    </w:p>
    <w:p w14:paraId="0B568302" w14:textId="77777777" w:rsidR="00114F71" w:rsidRDefault="00114F71" w:rsidP="00114F71">
      <w:pPr>
        <w:keepNext/>
        <w:jc w:val="center"/>
        <w:rPr>
          <w:noProof/>
        </w:rPr>
      </w:pPr>
    </w:p>
    <w:p w14:paraId="10EC96AE" w14:textId="77777777" w:rsidR="00114F71" w:rsidRPr="0076127C" w:rsidRDefault="00114F71" w:rsidP="00114F71">
      <w:pPr>
        <w:spacing w:after="100" w:afterAutospacing="1"/>
        <w:jc w:val="center"/>
        <w:rPr>
          <w:rFonts w:eastAsia="Times New Roman"/>
          <w:i/>
          <w:noProof/>
          <w:sz w:val="20"/>
          <w:szCs w:val="20"/>
          <w:lang w:eastAsia="en-GB"/>
        </w:rPr>
      </w:pPr>
      <w:r w:rsidRPr="0076127C">
        <w:rPr>
          <w:rFonts w:eastAsia="Times New Roman"/>
          <w:i/>
          <w:noProof/>
          <w:sz w:val="20"/>
          <w:szCs w:val="20"/>
          <w:lang w:eastAsia="en-GB"/>
        </w:rPr>
        <w:t xml:space="preserve">Figure </w:t>
      </w:r>
      <w:r>
        <w:rPr>
          <w:rFonts w:eastAsia="Times New Roman"/>
          <w:i/>
          <w:noProof/>
          <w:sz w:val="20"/>
          <w:szCs w:val="20"/>
          <w:lang w:eastAsia="en-GB"/>
        </w:rPr>
        <w:t>10: Intra-EU destinations of authorisations in 2020.</w:t>
      </w:r>
    </w:p>
    <w:p w14:paraId="5F5D5877" w14:textId="77777777" w:rsidR="00114F71" w:rsidRDefault="00114F71" w:rsidP="00114F71">
      <w:pPr>
        <w:rPr>
          <w:b/>
          <w:noProof/>
        </w:rPr>
      </w:pPr>
    </w:p>
    <w:p w14:paraId="1B17C378" w14:textId="77777777" w:rsidR="00114F71" w:rsidRDefault="00FA2028" w:rsidP="00114F71">
      <w:pPr>
        <w:keepNext/>
        <w:rPr>
          <w:noProof/>
        </w:rPr>
      </w:pPr>
      <w:r>
        <w:rPr>
          <w:noProof/>
          <w:lang w:eastAsia="en-GB"/>
        </w:rPr>
        <w:drawing>
          <wp:inline distT="0" distB="0" distL="0" distR="0" wp14:anchorId="1ED912F6" wp14:editId="08B9379E">
            <wp:extent cx="5760720" cy="32467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able 3 Bars %.emf"/>
                    <pic:cNvPicPr/>
                  </pic:nvPicPr>
                  <pic:blipFill>
                    <a:blip r:embed="rId26">
                      <a:extLst>
                        <a:ext uri="{28A0092B-C50C-407E-A947-70E740481C1C}">
                          <a14:useLocalDpi xmlns:a14="http://schemas.microsoft.com/office/drawing/2010/main" val="0"/>
                        </a:ext>
                      </a:extLst>
                    </a:blip>
                    <a:stretch>
                      <a:fillRect/>
                    </a:stretch>
                  </pic:blipFill>
                  <pic:spPr>
                    <a:xfrm>
                      <a:off x="0" y="0"/>
                      <a:ext cx="5760720" cy="3246755"/>
                    </a:xfrm>
                    <a:prstGeom prst="rect">
                      <a:avLst/>
                    </a:prstGeom>
                  </pic:spPr>
                </pic:pic>
              </a:graphicData>
            </a:graphic>
          </wp:inline>
        </w:drawing>
      </w:r>
    </w:p>
    <w:p w14:paraId="79B29E31" w14:textId="77777777" w:rsidR="00114F71" w:rsidRDefault="00114F71" w:rsidP="00114F71">
      <w:pPr>
        <w:spacing w:after="100" w:afterAutospacing="1"/>
        <w:jc w:val="center"/>
        <w:rPr>
          <w:rFonts w:eastAsia="Times New Roman"/>
          <w:i/>
          <w:noProof/>
          <w:sz w:val="20"/>
          <w:szCs w:val="20"/>
          <w:lang w:eastAsia="en-GB"/>
        </w:rPr>
      </w:pPr>
      <w:r>
        <w:rPr>
          <w:rFonts w:eastAsia="Times New Roman"/>
          <w:i/>
          <w:noProof/>
          <w:sz w:val="20"/>
          <w:szCs w:val="20"/>
          <w:lang w:eastAsia="en-GB"/>
        </w:rPr>
        <w:br/>
      </w:r>
      <w:r w:rsidRPr="008D4935">
        <w:rPr>
          <w:rFonts w:eastAsia="Times New Roman"/>
          <w:i/>
          <w:noProof/>
          <w:sz w:val="20"/>
          <w:szCs w:val="20"/>
          <w:lang w:eastAsia="en-GB"/>
        </w:rPr>
        <w:t xml:space="preserve">Figure </w:t>
      </w:r>
      <w:r>
        <w:rPr>
          <w:rFonts w:eastAsia="Times New Roman"/>
          <w:i/>
          <w:noProof/>
          <w:sz w:val="20"/>
          <w:szCs w:val="20"/>
          <w:lang w:eastAsia="en-GB"/>
        </w:rPr>
        <w:t>11: Authorisations by the 10 Categories of Annex I of the dual-use Regulation.</w:t>
      </w:r>
    </w:p>
    <w:p w14:paraId="546BC891" w14:textId="77777777" w:rsidR="00FA2028" w:rsidRPr="008D4935" w:rsidRDefault="00FA2028" w:rsidP="00114F71">
      <w:pPr>
        <w:spacing w:after="100" w:afterAutospacing="1"/>
        <w:jc w:val="center"/>
        <w:rPr>
          <w:rFonts w:eastAsia="Times New Roman"/>
          <w:i/>
          <w:noProof/>
          <w:sz w:val="20"/>
          <w:szCs w:val="20"/>
          <w:lang w:eastAsia="en-GB"/>
        </w:rPr>
      </w:pPr>
    </w:p>
    <w:p w14:paraId="45FA4BCD" w14:textId="26D643CF" w:rsidR="00AA655D" w:rsidRDefault="00AA655D" w:rsidP="00AA655D">
      <w:pPr>
        <w:keepNext/>
        <w:tabs>
          <w:tab w:val="left" w:pos="850"/>
        </w:tabs>
        <w:spacing w:after="120"/>
        <w:ind w:left="850" w:hanging="850"/>
        <w:jc w:val="both"/>
        <w:outlineLvl w:val="0"/>
        <w:rPr>
          <w:rFonts w:eastAsia="Times New Roman"/>
          <w:b/>
          <w:smallCaps/>
          <w:noProof/>
          <w:lang w:eastAsia="en-GB"/>
        </w:rPr>
      </w:pPr>
      <w:bookmarkStart w:id="10" w:name="DQCNUMB_3"/>
      <w:bookmarkEnd w:id="10"/>
      <w:r>
        <w:rPr>
          <w:rFonts w:eastAsia="Times New Roman"/>
          <w:b/>
          <w:smallCaps/>
          <w:noProof/>
          <w:lang w:eastAsia="en-GB"/>
        </w:rPr>
        <w:t>5.</w:t>
      </w:r>
      <w:r>
        <w:rPr>
          <w:rFonts w:eastAsia="Times New Roman"/>
          <w:b/>
          <w:smallCaps/>
          <w:noProof/>
          <w:lang w:eastAsia="en-GB"/>
        </w:rPr>
        <w:tab/>
      </w:r>
      <w:r w:rsidR="00CA7673">
        <w:rPr>
          <w:rFonts w:eastAsia="Times New Roman"/>
          <w:b/>
          <w:smallCaps/>
          <w:noProof/>
          <w:lang w:eastAsia="en-GB"/>
        </w:rPr>
        <w:t>Conclusion</w:t>
      </w:r>
    </w:p>
    <w:p w14:paraId="2E3ACB3E" w14:textId="77777777" w:rsidR="00B41926" w:rsidRPr="00D106B0" w:rsidRDefault="004423DD" w:rsidP="004C057A">
      <w:pPr>
        <w:jc w:val="both"/>
        <w:rPr>
          <w:noProof/>
        </w:rPr>
      </w:pPr>
      <w:r>
        <w:rPr>
          <w:noProof/>
        </w:rPr>
        <w:t>Further to the various actions initiated in 2021, t</w:t>
      </w:r>
      <w:r w:rsidR="00CA7673" w:rsidRPr="00D106B0">
        <w:rPr>
          <w:noProof/>
        </w:rPr>
        <w:t xml:space="preserve">he Commission </w:t>
      </w:r>
      <w:r>
        <w:rPr>
          <w:noProof/>
        </w:rPr>
        <w:t>and the</w:t>
      </w:r>
      <w:r w:rsidR="00CA7673" w:rsidRPr="00D106B0">
        <w:rPr>
          <w:noProof/>
        </w:rPr>
        <w:t xml:space="preserve"> Member States will continue </w:t>
      </w:r>
      <w:r>
        <w:rPr>
          <w:noProof/>
        </w:rPr>
        <w:t xml:space="preserve">to </w:t>
      </w:r>
      <w:r w:rsidR="00A42CAF">
        <w:rPr>
          <w:noProof/>
        </w:rPr>
        <w:t xml:space="preserve">focus on meeting </w:t>
      </w:r>
      <w:r>
        <w:rPr>
          <w:noProof/>
        </w:rPr>
        <w:t>the new requirements and mandates</w:t>
      </w:r>
      <w:r w:rsidR="00CA7673" w:rsidRPr="00D106B0">
        <w:rPr>
          <w:noProof/>
        </w:rPr>
        <w:t xml:space="preserve"> under the new Regulation</w:t>
      </w:r>
      <w:r>
        <w:rPr>
          <w:noProof/>
        </w:rPr>
        <w:t>.</w:t>
      </w:r>
      <w:r w:rsidR="00CA7673" w:rsidRPr="00D106B0">
        <w:rPr>
          <w:noProof/>
        </w:rPr>
        <w:t xml:space="preserve"> This includes continuing the work in the various </w:t>
      </w:r>
      <w:r w:rsidR="004C057A">
        <w:rPr>
          <w:noProof/>
        </w:rPr>
        <w:t>t</w:t>
      </w:r>
      <w:r w:rsidR="00CA7673" w:rsidRPr="00D106B0">
        <w:rPr>
          <w:noProof/>
        </w:rPr>
        <w:t xml:space="preserve">echnical </w:t>
      </w:r>
      <w:r w:rsidR="004C057A">
        <w:rPr>
          <w:noProof/>
        </w:rPr>
        <w:t>e</w:t>
      </w:r>
      <w:r w:rsidR="00B41926" w:rsidRPr="00D106B0">
        <w:rPr>
          <w:noProof/>
        </w:rPr>
        <w:t xml:space="preserve">xpert </w:t>
      </w:r>
      <w:r w:rsidR="004C057A">
        <w:rPr>
          <w:noProof/>
        </w:rPr>
        <w:t>g</w:t>
      </w:r>
      <w:r w:rsidR="00CA7673" w:rsidRPr="00D106B0">
        <w:rPr>
          <w:noProof/>
        </w:rPr>
        <w:t xml:space="preserve">roups towards </w:t>
      </w:r>
      <w:r w:rsidR="004C057A">
        <w:rPr>
          <w:noProof/>
        </w:rPr>
        <w:t>enhanced controls on cyber-surveillance technologies, enhanced</w:t>
      </w:r>
      <w:r w:rsidR="004C057A" w:rsidRPr="00D106B0">
        <w:rPr>
          <w:noProof/>
        </w:rPr>
        <w:t xml:space="preserve"> </w:t>
      </w:r>
      <w:r w:rsidR="00CA7673" w:rsidRPr="00D106B0">
        <w:rPr>
          <w:noProof/>
        </w:rPr>
        <w:t xml:space="preserve">information-exchange and transparency, the enforcement of export controls, emerging technologies and the development of EU capacity-building and training programmes for Member States licensing and enforcement authorities. </w:t>
      </w:r>
    </w:p>
    <w:p w14:paraId="2093E636" w14:textId="77777777" w:rsidR="001926CB" w:rsidRDefault="001926CB" w:rsidP="00CA7673">
      <w:pPr>
        <w:jc w:val="both"/>
        <w:rPr>
          <w:noProof/>
        </w:rPr>
      </w:pPr>
    </w:p>
    <w:p w14:paraId="64F3738A" w14:textId="60D73494" w:rsidR="00AA655D" w:rsidRDefault="004C057A" w:rsidP="001926CB">
      <w:pPr>
        <w:jc w:val="both"/>
        <w:rPr>
          <w:noProof/>
        </w:rPr>
      </w:pPr>
      <w:r>
        <w:rPr>
          <w:noProof/>
        </w:rPr>
        <w:t xml:space="preserve">These EU actions under the new Regulation will also allow the EU to </w:t>
      </w:r>
      <w:r w:rsidR="00A42CAF">
        <w:rPr>
          <w:noProof/>
        </w:rPr>
        <w:t xml:space="preserve">cooperate more effectively </w:t>
      </w:r>
      <w:r w:rsidR="00CA7673" w:rsidRPr="00D106B0">
        <w:rPr>
          <w:noProof/>
        </w:rPr>
        <w:t xml:space="preserve">with </w:t>
      </w:r>
      <w:r w:rsidRPr="00D106B0">
        <w:rPr>
          <w:noProof/>
        </w:rPr>
        <w:t>partners</w:t>
      </w:r>
      <w:r w:rsidR="00A42CAF">
        <w:rPr>
          <w:noProof/>
        </w:rPr>
        <w:t xml:space="preserve"> </w:t>
      </w:r>
      <w:r>
        <w:rPr>
          <w:noProof/>
        </w:rPr>
        <w:t xml:space="preserve">in order </w:t>
      </w:r>
      <w:r w:rsidR="00CA7673" w:rsidRPr="00D106B0">
        <w:rPr>
          <w:noProof/>
        </w:rPr>
        <w:t xml:space="preserve">to promote </w:t>
      </w:r>
      <w:r>
        <w:rPr>
          <w:noProof/>
        </w:rPr>
        <w:t xml:space="preserve">the </w:t>
      </w:r>
      <w:r w:rsidR="00CA7673" w:rsidRPr="00D106B0">
        <w:rPr>
          <w:noProof/>
        </w:rPr>
        <w:t>global convergence of controls</w:t>
      </w:r>
      <w:r w:rsidR="00A42CAF">
        <w:rPr>
          <w:noProof/>
        </w:rPr>
        <w:t>, reduce trade frictions and increase predictability for businesses, promote EU values</w:t>
      </w:r>
      <w:r w:rsidR="00CA7673" w:rsidRPr="00D106B0">
        <w:rPr>
          <w:noProof/>
        </w:rPr>
        <w:t xml:space="preserve"> and </w:t>
      </w:r>
      <w:r>
        <w:rPr>
          <w:noProof/>
        </w:rPr>
        <w:t>uphold</w:t>
      </w:r>
      <w:r w:rsidR="00CA7673" w:rsidRPr="00D106B0">
        <w:rPr>
          <w:noProof/>
        </w:rPr>
        <w:t xml:space="preserve"> </w:t>
      </w:r>
      <w:r>
        <w:rPr>
          <w:noProof/>
        </w:rPr>
        <w:t xml:space="preserve">international </w:t>
      </w:r>
      <w:r w:rsidR="00CA7673" w:rsidRPr="00D106B0">
        <w:rPr>
          <w:noProof/>
        </w:rPr>
        <w:t>peace and security.</w:t>
      </w:r>
    </w:p>
    <w:p w14:paraId="6AA471BC" w14:textId="77777777" w:rsidR="00B930EF" w:rsidRDefault="00B930EF" w:rsidP="001926CB">
      <w:pPr>
        <w:jc w:val="both"/>
        <w:rPr>
          <w:noProof/>
        </w:rPr>
      </w:pPr>
    </w:p>
    <w:p w14:paraId="41AC3C1F" w14:textId="77777777" w:rsidR="00B930EF" w:rsidRDefault="00B930EF" w:rsidP="001926CB">
      <w:pPr>
        <w:jc w:val="both"/>
        <w:rPr>
          <w:b/>
          <w:noProof/>
        </w:rPr>
        <w:sectPr w:rsidR="00B930EF">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417" w:left="1417" w:header="708" w:footer="708" w:gutter="0"/>
          <w:cols w:space="720"/>
          <w:docGrid w:linePitch="360"/>
        </w:sectPr>
      </w:pPr>
    </w:p>
    <w:tbl>
      <w:tblPr>
        <w:tblW w:w="15727" w:type="dxa"/>
        <w:tblInd w:w="-1185" w:type="dxa"/>
        <w:tblCellMar>
          <w:left w:w="0" w:type="dxa"/>
          <w:right w:w="0" w:type="dxa"/>
        </w:tblCellMar>
        <w:tblLook w:val="0420" w:firstRow="1" w:lastRow="0" w:firstColumn="0" w:lastColumn="0" w:noHBand="0" w:noVBand="1"/>
      </w:tblPr>
      <w:tblGrid>
        <w:gridCol w:w="1220"/>
        <w:gridCol w:w="1585"/>
        <w:gridCol w:w="1587"/>
        <w:gridCol w:w="1581"/>
        <w:gridCol w:w="1219"/>
        <w:gridCol w:w="1219"/>
        <w:gridCol w:w="1219"/>
        <w:gridCol w:w="1220"/>
        <w:gridCol w:w="1219"/>
        <w:gridCol w:w="1219"/>
        <w:gridCol w:w="1219"/>
        <w:gridCol w:w="1220"/>
      </w:tblGrid>
      <w:tr w:rsidR="00B930EF" w:rsidRPr="00454CF6" w14:paraId="610F321C" w14:textId="77777777" w:rsidTr="007C1E5E">
        <w:trPr>
          <w:trHeight w:val="745"/>
        </w:trPr>
        <w:tc>
          <w:tcPr>
            <w:tcW w:w="5933" w:type="dxa"/>
            <w:gridSpan w:val="4"/>
            <w:tcBorders>
              <w:top w:val="single" w:sz="8" w:space="0" w:color="BFBFBF"/>
              <w:left w:val="single" w:sz="6" w:space="0" w:color="FFFFFF"/>
              <w:bottom w:val="single" w:sz="8" w:space="0" w:color="BFBFBF"/>
              <w:right w:val="single" w:sz="8" w:space="0" w:color="BFBFBF"/>
            </w:tcBorders>
            <w:shd w:val="clear" w:color="auto" w:fill="FFC000"/>
            <w:tcMar>
              <w:top w:w="72" w:type="dxa"/>
              <w:left w:w="144" w:type="dxa"/>
              <w:bottom w:w="72" w:type="dxa"/>
              <w:right w:w="144" w:type="dxa"/>
            </w:tcMar>
            <w:vAlign w:val="center"/>
            <w:hideMark/>
          </w:tcPr>
          <w:p w14:paraId="078B50A6" w14:textId="77777777" w:rsidR="00B930EF" w:rsidRPr="00454CF6" w:rsidRDefault="00B930EF" w:rsidP="007C1E5E">
            <w:pPr>
              <w:jc w:val="center"/>
              <w:rPr>
                <w:rFonts w:ascii="Arial" w:eastAsia="Times New Roman" w:hAnsi="Arial" w:cs="Arial"/>
                <w:noProof/>
                <w:sz w:val="36"/>
                <w:szCs w:val="36"/>
                <w:lang w:val="en-US" w:eastAsia="fr-BE"/>
              </w:rPr>
            </w:pPr>
            <w:r w:rsidRPr="00454CF6">
              <w:rPr>
                <w:rFonts w:ascii="Arial" w:eastAsia="Times New Roman" w:hAnsi="Arial" w:cs="Arial"/>
                <w:noProof/>
                <w:color w:val="000000" w:themeColor="text1"/>
                <w:kern w:val="24"/>
                <w:sz w:val="36"/>
                <w:szCs w:val="36"/>
                <w:lang w:val="en-US" w:eastAsia="fr-BE"/>
              </w:rPr>
              <w:t>2021</w:t>
            </w:r>
          </w:p>
        </w:tc>
        <w:tc>
          <w:tcPr>
            <w:tcW w:w="4897" w:type="dxa"/>
            <w:gridSpan w:val="4"/>
            <w:tcBorders>
              <w:top w:val="single" w:sz="8" w:space="0" w:color="BFBFBF"/>
              <w:left w:val="single" w:sz="8" w:space="0" w:color="BFBFBF"/>
              <w:bottom w:val="single" w:sz="8" w:space="0" w:color="BFBFBF"/>
              <w:right w:val="single" w:sz="8" w:space="0" w:color="BFBFBF"/>
            </w:tcBorders>
            <w:shd w:val="clear" w:color="auto" w:fill="00B050"/>
            <w:tcMar>
              <w:top w:w="72" w:type="dxa"/>
              <w:left w:w="144" w:type="dxa"/>
              <w:bottom w:w="72" w:type="dxa"/>
              <w:right w:w="144" w:type="dxa"/>
            </w:tcMar>
            <w:vAlign w:val="center"/>
            <w:hideMark/>
          </w:tcPr>
          <w:p w14:paraId="06A1AC8D" w14:textId="77777777" w:rsidR="00B930EF" w:rsidRPr="00454CF6" w:rsidRDefault="00B930EF" w:rsidP="007C1E5E">
            <w:pPr>
              <w:jc w:val="center"/>
              <w:rPr>
                <w:rFonts w:ascii="Arial" w:eastAsia="Times New Roman" w:hAnsi="Arial" w:cs="Arial"/>
                <w:noProof/>
                <w:sz w:val="36"/>
                <w:szCs w:val="36"/>
                <w:lang w:val="en-US" w:eastAsia="fr-BE"/>
              </w:rPr>
            </w:pPr>
            <w:r w:rsidRPr="00454CF6">
              <w:rPr>
                <w:rFonts w:ascii="Arial" w:eastAsia="Times New Roman" w:hAnsi="Arial" w:cs="Arial"/>
                <w:noProof/>
                <w:color w:val="000000" w:themeColor="text1"/>
                <w:kern w:val="24"/>
                <w:sz w:val="36"/>
                <w:szCs w:val="36"/>
                <w:lang w:val="en-US" w:eastAsia="fr-BE"/>
              </w:rPr>
              <w:t>2022</w:t>
            </w:r>
          </w:p>
        </w:tc>
        <w:tc>
          <w:tcPr>
            <w:tcW w:w="4897" w:type="dxa"/>
            <w:gridSpan w:val="4"/>
            <w:tcBorders>
              <w:top w:val="single" w:sz="8" w:space="0" w:color="BFBFBF"/>
              <w:left w:val="single" w:sz="8" w:space="0" w:color="BFBFBF"/>
              <w:bottom w:val="single" w:sz="8" w:space="0" w:color="BFBFBF"/>
              <w:right w:val="single" w:sz="8" w:space="0" w:color="BFBFBF"/>
            </w:tcBorders>
            <w:shd w:val="clear" w:color="auto" w:fill="0070C0"/>
            <w:tcMar>
              <w:top w:w="72" w:type="dxa"/>
              <w:left w:w="144" w:type="dxa"/>
              <w:bottom w:w="72" w:type="dxa"/>
              <w:right w:w="144" w:type="dxa"/>
            </w:tcMar>
            <w:vAlign w:val="center"/>
            <w:hideMark/>
          </w:tcPr>
          <w:p w14:paraId="03655233" w14:textId="77777777" w:rsidR="00B930EF" w:rsidRPr="00454CF6" w:rsidRDefault="00B930EF" w:rsidP="007C1E5E">
            <w:pPr>
              <w:jc w:val="center"/>
              <w:rPr>
                <w:rFonts w:ascii="Arial" w:eastAsia="Times New Roman" w:hAnsi="Arial" w:cs="Arial"/>
                <w:noProof/>
                <w:sz w:val="36"/>
                <w:szCs w:val="36"/>
                <w:lang w:val="en-US" w:eastAsia="fr-BE"/>
              </w:rPr>
            </w:pPr>
            <w:r w:rsidRPr="00454CF6">
              <w:rPr>
                <w:rFonts w:ascii="Arial" w:eastAsia="Times New Roman" w:hAnsi="Arial" w:cs="Arial"/>
                <w:noProof/>
                <w:color w:val="000000" w:themeColor="text1"/>
                <w:kern w:val="24"/>
                <w:sz w:val="36"/>
                <w:szCs w:val="36"/>
                <w:lang w:val="en-US" w:eastAsia="fr-BE"/>
              </w:rPr>
              <w:t>2023</w:t>
            </w:r>
          </w:p>
        </w:tc>
      </w:tr>
      <w:tr w:rsidR="00B930EF" w:rsidRPr="00454CF6" w14:paraId="3954FEB4" w14:textId="77777777" w:rsidTr="007C1E5E">
        <w:trPr>
          <w:trHeight w:val="745"/>
        </w:trPr>
        <w:tc>
          <w:tcPr>
            <w:tcW w:w="1226"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vAlign w:val="center"/>
            <w:hideMark/>
          </w:tcPr>
          <w:p w14:paraId="1F02563B" w14:textId="77777777" w:rsidR="00B930EF" w:rsidRPr="00454CF6" w:rsidRDefault="00B930EF" w:rsidP="007C1E5E">
            <w:pPr>
              <w:jc w:val="center"/>
              <w:rPr>
                <w:rFonts w:ascii="Arial" w:eastAsia="Times New Roman" w:hAnsi="Arial" w:cs="Arial"/>
                <w:noProof/>
                <w:sz w:val="36"/>
                <w:szCs w:val="36"/>
                <w:lang w:val="en-US" w:eastAsia="fr-BE"/>
              </w:rPr>
            </w:pPr>
            <w:r w:rsidRPr="00454CF6">
              <w:rPr>
                <w:rFonts w:ascii="Arial" w:eastAsia="Times New Roman" w:hAnsi="Arial" w:cs="Arial"/>
                <w:noProof/>
                <w:color w:val="000000" w:themeColor="text1"/>
                <w:kern w:val="24"/>
                <w:lang w:val="en-US" w:eastAsia="fr-BE"/>
              </w:rPr>
              <w:t>Q1</w:t>
            </w:r>
          </w:p>
        </w:tc>
        <w:tc>
          <w:tcPr>
            <w:tcW w:w="1586"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vAlign w:val="center"/>
            <w:hideMark/>
          </w:tcPr>
          <w:p w14:paraId="37B2EB27" w14:textId="77777777" w:rsidR="00B930EF" w:rsidRPr="00454CF6" w:rsidRDefault="00B930EF" w:rsidP="007C1E5E">
            <w:pPr>
              <w:jc w:val="center"/>
              <w:rPr>
                <w:rFonts w:ascii="Arial" w:eastAsia="Times New Roman" w:hAnsi="Arial" w:cs="Arial"/>
                <w:noProof/>
                <w:sz w:val="36"/>
                <w:szCs w:val="36"/>
                <w:lang w:val="en-US" w:eastAsia="fr-BE"/>
              </w:rPr>
            </w:pPr>
            <w:r w:rsidRPr="00454CF6">
              <w:rPr>
                <w:rFonts w:ascii="Arial" w:eastAsia="Times New Roman" w:hAnsi="Arial" w:cs="Arial"/>
                <w:noProof/>
                <w:color w:val="000000" w:themeColor="text1"/>
                <w:kern w:val="24"/>
                <w:lang w:val="en-US" w:eastAsia="fr-BE"/>
              </w:rPr>
              <w:t>Q2</w:t>
            </w:r>
          </w:p>
        </w:tc>
        <w:tc>
          <w:tcPr>
            <w:tcW w:w="1587"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vAlign w:val="center"/>
            <w:hideMark/>
          </w:tcPr>
          <w:p w14:paraId="65F40936" w14:textId="77777777" w:rsidR="00B930EF" w:rsidRPr="00454CF6" w:rsidRDefault="00B930EF" w:rsidP="007C1E5E">
            <w:pPr>
              <w:jc w:val="center"/>
              <w:rPr>
                <w:rFonts w:ascii="Arial" w:eastAsia="Times New Roman" w:hAnsi="Arial" w:cs="Arial"/>
                <w:noProof/>
                <w:sz w:val="36"/>
                <w:szCs w:val="36"/>
                <w:lang w:val="en-US" w:eastAsia="fr-BE"/>
              </w:rPr>
            </w:pPr>
            <w:r w:rsidRPr="00454CF6">
              <w:rPr>
                <w:rFonts w:ascii="Arial" w:eastAsia="Times New Roman" w:hAnsi="Arial" w:cs="Arial"/>
                <w:noProof/>
                <w:color w:val="000000" w:themeColor="text1"/>
                <w:kern w:val="24"/>
                <w:lang w:val="en-US" w:eastAsia="fr-BE"/>
              </w:rPr>
              <w:t>Q3</w:t>
            </w:r>
          </w:p>
        </w:tc>
        <w:tc>
          <w:tcPr>
            <w:tcW w:w="1533"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vAlign w:val="center"/>
            <w:hideMark/>
          </w:tcPr>
          <w:p w14:paraId="5E1258D9" w14:textId="77777777" w:rsidR="00B930EF" w:rsidRPr="00454CF6" w:rsidRDefault="00B930EF" w:rsidP="007C1E5E">
            <w:pPr>
              <w:jc w:val="center"/>
              <w:rPr>
                <w:rFonts w:ascii="Arial" w:eastAsia="Times New Roman" w:hAnsi="Arial" w:cs="Arial"/>
                <w:noProof/>
                <w:sz w:val="36"/>
                <w:szCs w:val="36"/>
                <w:lang w:val="en-US" w:eastAsia="fr-BE"/>
              </w:rPr>
            </w:pPr>
            <w:r w:rsidRPr="00454CF6">
              <w:rPr>
                <w:rFonts w:ascii="Arial" w:eastAsia="Times New Roman" w:hAnsi="Arial" w:cs="Arial"/>
                <w:noProof/>
                <w:color w:val="000000" w:themeColor="text1"/>
                <w:kern w:val="24"/>
                <w:lang w:val="en-US" w:eastAsia="fr-BE"/>
              </w:rPr>
              <w:t>Q4</w:t>
            </w: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vAlign w:val="center"/>
            <w:hideMark/>
          </w:tcPr>
          <w:p w14:paraId="00E75CD2" w14:textId="77777777" w:rsidR="00B930EF" w:rsidRPr="00454CF6" w:rsidRDefault="00B930EF" w:rsidP="007C1E5E">
            <w:pPr>
              <w:jc w:val="center"/>
              <w:rPr>
                <w:rFonts w:ascii="Arial" w:eastAsia="Times New Roman" w:hAnsi="Arial" w:cs="Arial"/>
                <w:noProof/>
                <w:sz w:val="36"/>
                <w:szCs w:val="36"/>
                <w:lang w:val="en-US" w:eastAsia="fr-BE"/>
              </w:rPr>
            </w:pPr>
            <w:r w:rsidRPr="00454CF6">
              <w:rPr>
                <w:rFonts w:ascii="Arial" w:eastAsia="Times New Roman" w:hAnsi="Arial" w:cs="Arial"/>
                <w:noProof/>
                <w:color w:val="000000" w:themeColor="text1"/>
                <w:kern w:val="24"/>
                <w:lang w:val="en-US" w:eastAsia="fr-BE"/>
              </w:rPr>
              <w:t>Q1</w:t>
            </w: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vAlign w:val="center"/>
            <w:hideMark/>
          </w:tcPr>
          <w:p w14:paraId="46E08B8D" w14:textId="77777777" w:rsidR="00B930EF" w:rsidRPr="00454CF6" w:rsidRDefault="00B930EF" w:rsidP="007C1E5E">
            <w:pPr>
              <w:jc w:val="center"/>
              <w:rPr>
                <w:rFonts w:ascii="Arial" w:eastAsia="Times New Roman" w:hAnsi="Arial" w:cs="Arial"/>
                <w:noProof/>
                <w:sz w:val="36"/>
                <w:szCs w:val="36"/>
                <w:lang w:val="en-US" w:eastAsia="fr-BE"/>
              </w:rPr>
            </w:pPr>
            <w:r w:rsidRPr="00454CF6">
              <w:rPr>
                <w:rFonts w:ascii="Arial" w:eastAsia="Times New Roman" w:hAnsi="Arial" w:cs="Arial"/>
                <w:noProof/>
                <w:color w:val="000000" w:themeColor="text1"/>
                <w:kern w:val="24"/>
                <w:lang w:val="en-US" w:eastAsia="fr-BE"/>
              </w:rPr>
              <w:t>Q2</w:t>
            </w: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vAlign w:val="center"/>
            <w:hideMark/>
          </w:tcPr>
          <w:p w14:paraId="2F5680F5" w14:textId="77777777" w:rsidR="00B930EF" w:rsidRPr="00454CF6" w:rsidRDefault="00B930EF" w:rsidP="007C1E5E">
            <w:pPr>
              <w:jc w:val="center"/>
              <w:rPr>
                <w:rFonts w:ascii="Arial" w:eastAsia="Times New Roman" w:hAnsi="Arial" w:cs="Arial"/>
                <w:noProof/>
                <w:sz w:val="36"/>
                <w:szCs w:val="36"/>
                <w:lang w:val="en-US" w:eastAsia="fr-BE"/>
              </w:rPr>
            </w:pPr>
            <w:r w:rsidRPr="00454CF6">
              <w:rPr>
                <w:rFonts w:ascii="Arial" w:eastAsia="Times New Roman" w:hAnsi="Arial" w:cs="Arial"/>
                <w:noProof/>
                <w:color w:val="000000" w:themeColor="text1"/>
                <w:kern w:val="24"/>
                <w:lang w:val="en-US" w:eastAsia="fr-BE"/>
              </w:rPr>
              <w:t>Q3</w:t>
            </w: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vAlign w:val="center"/>
            <w:hideMark/>
          </w:tcPr>
          <w:p w14:paraId="249E090D" w14:textId="77777777" w:rsidR="00B930EF" w:rsidRPr="00454CF6" w:rsidRDefault="00B930EF" w:rsidP="007C1E5E">
            <w:pPr>
              <w:jc w:val="center"/>
              <w:rPr>
                <w:rFonts w:ascii="Arial" w:eastAsia="Times New Roman" w:hAnsi="Arial" w:cs="Arial"/>
                <w:noProof/>
                <w:sz w:val="36"/>
                <w:szCs w:val="36"/>
                <w:lang w:val="en-US" w:eastAsia="fr-BE"/>
              </w:rPr>
            </w:pPr>
            <w:r w:rsidRPr="00454CF6">
              <w:rPr>
                <w:rFonts w:ascii="Arial" w:eastAsia="Times New Roman" w:hAnsi="Arial" w:cs="Arial"/>
                <w:noProof/>
                <w:color w:val="000000" w:themeColor="text1"/>
                <w:kern w:val="24"/>
                <w:lang w:val="en-US" w:eastAsia="fr-BE"/>
              </w:rPr>
              <w:t>Q4</w:t>
            </w: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vAlign w:val="center"/>
            <w:hideMark/>
          </w:tcPr>
          <w:p w14:paraId="5DCE0D97" w14:textId="77777777" w:rsidR="00B930EF" w:rsidRPr="00454CF6" w:rsidRDefault="00B930EF" w:rsidP="007C1E5E">
            <w:pPr>
              <w:jc w:val="center"/>
              <w:rPr>
                <w:rFonts w:ascii="Arial" w:eastAsia="Times New Roman" w:hAnsi="Arial" w:cs="Arial"/>
                <w:noProof/>
                <w:sz w:val="36"/>
                <w:szCs w:val="36"/>
                <w:lang w:val="en-US" w:eastAsia="fr-BE"/>
              </w:rPr>
            </w:pPr>
            <w:r w:rsidRPr="00454CF6">
              <w:rPr>
                <w:rFonts w:ascii="Arial" w:eastAsia="Times New Roman" w:hAnsi="Arial" w:cs="Arial"/>
                <w:noProof/>
                <w:color w:val="000000" w:themeColor="text1"/>
                <w:kern w:val="24"/>
                <w:lang w:val="en-US" w:eastAsia="fr-BE"/>
              </w:rPr>
              <w:t>Q1</w:t>
            </w: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vAlign w:val="center"/>
            <w:hideMark/>
          </w:tcPr>
          <w:p w14:paraId="44EC39D7" w14:textId="77777777" w:rsidR="00B930EF" w:rsidRPr="00454CF6" w:rsidRDefault="00B930EF" w:rsidP="007C1E5E">
            <w:pPr>
              <w:jc w:val="center"/>
              <w:rPr>
                <w:rFonts w:ascii="Arial" w:eastAsia="Times New Roman" w:hAnsi="Arial" w:cs="Arial"/>
                <w:noProof/>
                <w:sz w:val="36"/>
                <w:szCs w:val="36"/>
                <w:lang w:val="en-US" w:eastAsia="fr-BE"/>
              </w:rPr>
            </w:pPr>
            <w:r w:rsidRPr="00454CF6">
              <w:rPr>
                <w:rFonts w:ascii="Arial" w:eastAsia="Times New Roman" w:hAnsi="Arial" w:cs="Arial"/>
                <w:noProof/>
                <w:color w:val="000000" w:themeColor="text1"/>
                <w:kern w:val="24"/>
                <w:lang w:val="en-US" w:eastAsia="fr-BE"/>
              </w:rPr>
              <w:t>Q2</w:t>
            </w: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vAlign w:val="center"/>
            <w:hideMark/>
          </w:tcPr>
          <w:p w14:paraId="3573BABB" w14:textId="77777777" w:rsidR="00B930EF" w:rsidRPr="00454CF6" w:rsidRDefault="00B930EF" w:rsidP="007C1E5E">
            <w:pPr>
              <w:jc w:val="center"/>
              <w:rPr>
                <w:rFonts w:ascii="Arial" w:eastAsia="Times New Roman" w:hAnsi="Arial" w:cs="Arial"/>
                <w:noProof/>
                <w:sz w:val="36"/>
                <w:szCs w:val="36"/>
                <w:lang w:val="en-US" w:eastAsia="fr-BE"/>
              </w:rPr>
            </w:pPr>
            <w:r w:rsidRPr="00454CF6">
              <w:rPr>
                <w:rFonts w:ascii="Arial" w:eastAsia="Times New Roman" w:hAnsi="Arial" w:cs="Arial"/>
                <w:noProof/>
                <w:color w:val="000000" w:themeColor="text1"/>
                <w:kern w:val="24"/>
                <w:lang w:val="en-US" w:eastAsia="fr-BE"/>
              </w:rPr>
              <w:t>Q3</w:t>
            </w: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vAlign w:val="center"/>
            <w:hideMark/>
          </w:tcPr>
          <w:p w14:paraId="33CF78AB" w14:textId="77777777" w:rsidR="00B930EF" w:rsidRPr="00454CF6" w:rsidRDefault="00B930EF" w:rsidP="007C1E5E">
            <w:pPr>
              <w:jc w:val="center"/>
              <w:rPr>
                <w:rFonts w:ascii="Arial" w:eastAsia="Times New Roman" w:hAnsi="Arial" w:cs="Arial"/>
                <w:noProof/>
                <w:sz w:val="36"/>
                <w:szCs w:val="36"/>
                <w:lang w:val="en-US" w:eastAsia="fr-BE"/>
              </w:rPr>
            </w:pPr>
            <w:r w:rsidRPr="00454CF6">
              <w:rPr>
                <w:rFonts w:ascii="Arial" w:eastAsia="Times New Roman" w:hAnsi="Arial" w:cs="Arial"/>
                <w:noProof/>
                <w:color w:val="000000" w:themeColor="text1"/>
                <w:kern w:val="24"/>
                <w:lang w:val="en-US" w:eastAsia="fr-BE"/>
              </w:rPr>
              <w:t>Q4</w:t>
            </w:r>
          </w:p>
        </w:tc>
      </w:tr>
      <w:tr w:rsidR="00B930EF" w:rsidRPr="00454CF6" w14:paraId="33F0F9B0" w14:textId="77777777" w:rsidTr="007C1E5E">
        <w:trPr>
          <w:trHeight w:val="1075"/>
        </w:trPr>
        <w:tc>
          <w:tcPr>
            <w:tcW w:w="1226"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0CBC1D47" w14:textId="77777777" w:rsidR="00B930EF" w:rsidRPr="00454CF6" w:rsidRDefault="00B930EF" w:rsidP="007C1E5E">
            <w:pPr>
              <w:spacing w:line="256" w:lineRule="auto"/>
              <w:rPr>
                <w:rFonts w:ascii="Arial" w:eastAsia="Times New Roman" w:hAnsi="Arial" w:cs="Arial"/>
                <w:noProof/>
                <w:sz w:val="36"/>
                <w:szCs w:val="36"/>
                <w:lang w:val="en-US" w:eastAsia="fr-BE"/>
              </w:rPr>
            </w:pPr>
          </w:p>
        </w:tc>
        <w:tc>
          <w:tcPr>
            <w:tcW w:w="1586" w:type="dxa"/>
            <w:tcBorders>
              <w:top w:val="single" w:sz="8" w:space="0" w:color="BFBFBF"/>
              <w:left w:val="single" w:sz="8" w:space="0" w:color="BFBFBF"/>
              <w:bottom w:val="single" w:sz="8" w:space="0" w:color="BFBFBF"/>
              <w:right w:val="single" w:sz="8" w:space="0" w:color="BFBFBF"/>
            </w:tcBorders>
            <w:shd w:val="clear" w:color="auto" w:fill="ED8D2F"/>
            <w:tcMar>
              <w:top w:w="72" w:type="dxa"/>
              <w:left w:w="144" w:type="dxa"/>
              <w:bottom w:w="72" w:type="dxa"/>
              <w:right w:w="144" w:type="dxa"/>
            </w:tcMar>
            <w:vAlign w:val="center"/>
            <w:hideMark/>
          </w:tcPr>
          <w:p w14:paraId="27BBF720" w14:textId="77777777" w:rsidR="00B930EF" w:rsidRPr="00454CF6" w:rsidRDefault="00B930EF" w:rsidP="007C1E5E">
            <w:pPr>
              <w:jc w:val="center"/>
              <w:textAlignment w:val="baseline"/>
              <w:rPr>
                <w:rFonts w:ascii="Arial" w:eastAsia="Times New Roman" w:hAnsi="Arial" w:cs="Arial"/>
                <w:noProof/>
                <w:sz w:val="36"/>
                <w:szCs w:val="36"/>
                <w:lang w:val="en-US" w:eastAsia="fr-BE"/>
              </w:rPr>
            </w:pPr>
            <w:r w:rsidRPr="00E566AE">
              <w:rPr>
                <w:rFonts w:ascii="Calibri" w:eastAsia="Calibri" w:hAnsi="Calibri" w:cs="Calibri"/>
                <w:noProof/>
                <w:color w:val="FFFFFF"/>
                <w:kern w:val="24"/>
                <w:lang w:val="en-US" w:eastAsia="fr-BE"/>
              </w:rPr>
              <w:t>S</w:t>
            </w:r>
            <w:r>
              <w:rPr>
                <w:rFonts w:ascii="Calibri" w:eastAsia="Calibri" w:hAnsi="Calibri" w:cs="Calibri"/>
                <w:noProof/>
                <w:color w:val="FFFFFF"/>
                <w:kern w:val="24"/>
                <w:lang w:val="en-US" w:eastAsia="fr-BE"/>
              </w:rPr>
              <w:t xml:space="preserve">urveillance </w:t>
            </w:r>
            <w:r w:rsidRPr="00E566AE">
              <w:rPr>
                <w:rFonts w:ascii="Calibri" w:eastAsia="Calibri" w:hAnsi="Calibri" w:cs="Calibri"/>
                <w:noProof/>
                <w:color w:val="FFFFFF"/>
                <w:kern w:val="24"/>
                <w:lang w:val="en-US" w:eastAsia="fr-BE"/>
              </w:rPr>
              <w:t>T</w:t>
            </w:r>
            <w:r>
              <w:rPr>
                <w:rFonts w:ascii="Calibri" w:eastAsia="Calibri" w:hAnsi="Calibri" w:cs="Calibri"/>
                <w:noProof/>
                <w:color w:val="FFFFFF"/>
                <w:kern w:val="24"/>
                <w:lang w:val="en-US" w:eastAsia="fr-BE"/>
              </w:rPr>
              <w:t xml:space="preserve">echnology </w:t>
            </w:r>
            <w:r w:rsidRPr="00E566AE">
              <w:rPr>
                <w:rFonts w:ascii="Calibri" w:eastAsia="Calibri" w:hAnsi="Calibri" w:cs="Calibri"/>
                <w:noProof/>
                <w:color w:val="FFFFFF"/>
                <w:kern w:val="24"/>
                <w:lang w:val="en-US" w:eastAsia="fr-BE"/>
              </w:rPr>
              <w:t>E</w:t>
            </w:r>
            <w:r>
              <w:rPr>
                <w:rFonts w:ascii="Calibri" w:eastAsia="Calibri" w:hAnsi="Calibri" w:cs="Calibri"/>
                <w:noProof/>
                <w:color w:val="FFFFFF"/>
                <w:kern w:val="24"/>
                <w:lang w:val="en-US" w:eastAsia="fr-BE"/>
              </w:rPr>
              <w:t xml:space="preserve">xpert </w:t>
            </w:r>
            <w:r w:rsidRPr="00E566AE">
              <w:rPr>
                <w:rFonts w:ascii="Calibri" w:eastAsia="Calibri" w:hAnsi="Calibri" w:cs="Calibri"/>
                <w:noProof/>
                <w:color w:val="FFFFFF"/>
                <w:kern w:val="24"/>
                <w:lang w:val="en-US" w:eastAsia="fr-BE"/>
              </w:rPr>
              <w:t>G</w:t>
            </w:r>
            <w:r>
              <w:rPr>
                <w:rFonts w:ascii="Calibri" w:eastAsia="Calibri" w:hAnsi="Calibri" w:cs="Calibri"/>
                <w:noProof/>
                <w:color w:val="FFFFFF"/>
                <w:kern w:val="24"/>
                <w:lang w:val="en-US" w:eastAsia="fr-BE"/>
              </w:rPr>
              <w:t>roup</w:t>
            </w:r>
            <w:r w:rsidRPr="00454CF6">
              <w:rPr>
                <w:rFonts w:ascii="Calibri" w:eastAsia="Calibri" w:hAnsi="Calibri" w:cs="Calibri"/>
                <w:noProof/>
                <w:color w:val="FFFFFF"/>
                <w:kern w:val="24"/>
                <w:lang w:val="en-US" w:eastAsia="fr-BE"/>
              </w:rPr>
              <w:t xml:space="preserve"> Rea</w:t>
            </w:r>
            <w:r>
              <w:rPr>
                <w:rFonts w:ascii="Calibri" w:eastAsia="Calibri" w:hAnsi="Calibri" w:cs="Calibri"/>
                <w:noProof/>
                <w:color w:val="FFFFFF"/>
                <w:kern w:val="24"/>
                <w:lang w:val="en-US" w:eastAsia="fr-BE"/>
              </w:rPr>
              <w:t>c</w:t>
            </w:r>
            <w:r w:rsidRPr="00454CF6">
              <w:rPr>
                <w:rFonts w:ascii="Calibri" w:eastAsia="Calibri" w:hAnsi="Calibri" w:cs="Calibri"/>
                <w:noProof/>
                <w:color w:val="FFFFFF"/>
                <w:kern w:val="24"/>
                <w:lang w:val="en-US" w:eastAsia="fr-BE"/>
              </w:rPr>
              <w:t>tivation</w:t>
            </w:r>
          </w:p>
        </w:tc>
        <w:tc>
          <w:tcPr>
            <w:tcW w:w="1587"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vAlign w:val="center"/>
            <w:hideMark/>
          </w:tcPr>
          <w:p w14:paraId="7104414B" w14:textId="77777777" w:rsidR="00B930EF" w:rsidRPr="00454CF6" w:rsidRDefault="00B930EF" w:rsidP="007C1E5E">
            <w:pPr>
              <w:rPr>
                <w:rFonts w:ascii="Arial" w:eastAsia="Times New Roman" w:hAnsi="Arial" w:cs="Arial"/>
                <w:noProof/>
                <w:sz w:val="36"/>
                <w:szCs w:val="36"/>
                <w:lang w:val="en-US" w:eastAsia="fr-BE"/>
              </w:rPr>
            </w:pPr>
            <w:r w:rsidRPr="00454CF6">
              <w:rPr>
                <w:rFonts w:ascii="Calibri" w:eastAsia="Calibri" w:hAnsi="Calibri"/>
                <w:noProof/>
                <w:lang w:eastAsia="en-GB"/>
              </w:rPr>
              <mc:AlternateContent>
                <mc:Choice Requires="wps">
                  <w:drawing>
                    <wp:anchor distT="0" distB="0" distL="114300" distR="114300" simplePos="0" relativeHeight="251640832" behindDoc="0" locked="0" layoutInCell="1" allowOverlap="1" wp14:anchorId="4497707B" wp14:editId="00C2EE7D">
                      <wp:simplePos x="0" y="0"/>
                      <wp:positionH relativeFrom="column">
                        <wp:posOffset>-67945</wp:posOffset>
                      </wp:positionH>
                      <wp:positionV relativeFrom="paragraph">
                        <wp:posOffset>-48260</wp:posOffset>
                      </wp:positionV>
                      <wp:extent cx="4949190" cy="457200"/>
                      <wp:effectExtent l="0" t="0" r="3810" b="0"/>
                      <wp:wrapNone/>
                      <wp:docPr id="1" name="Google Shape;136;p3"/>
                      <wp:cNvGraphicFramePr/>
                      <a:graphic xmlns:a="http://schemas.openxmlformats.org/drawingml/2006/main">
                        <a:graphicData uri="http://schemas.microsoft.com/office/word/2010/wordprocessingShape">
                          <wps:wsp>
                            <wps:cNvSpPr/>
                            <wps:spPr>
                              <a:xfrm>
                                <a:off x="0" y="0"/>
                                <a:ext cx="4949190" cy="457200"/>
                              </a:xfrm>
                              <a:prstGeom prst="homePlate">
                                <a:avLst>
                                  <a:gd name="adj" fmla="val 50000"/>
                                </a:avLst>
                              </a:prstGeom>
                              <a:solidFill>
                                <a:srgbClr val="ED8D2F"/>
                              </a:solidFill>
                              <a:ln>
                                <a:noFill/>
                              </a:ln>
                            </wps:spPr>
                            <wps:txbx>
                              <w:txbxContent>
                                <w:p w14:paraId="4029CFA4" w14:textId="77777777" w:rsidR="00B930EF" w:rsidRDefault="00B930EF" w:rsidP="00B930EF">
                                  <w:pPr>
                                    <w:pStyle w:val="NormalWeb"/>
                                    <w:spacing w:after="0"/>
                                    <w:jc w:val="center"/>
                                    <w:textAlignment w:val="baseline"/>
                                  </w:pPr>
                                  <w:r>
                                    <w:rPr>
                                      <w:rFonts w:ascii="Calibri" w:eastAsia="Calibri" w:hAnsi="Calibri" w:cs="Calibri"/>
                                      <w:color w:val="FFFFFF"/>
                                      <w:kern w:val="24"/>
                                      <w:lang w:val="en-US"/>
                                    </w:rPr>
                                    <w:t>Due Dilligence Guidelines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497707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Google Shape;136;p3" o:spid="_x0000_s1026" type="#_x0000_t15" style="position:absolute;margin-left:-5.35pt;margin-top:-3.8pt;width:389.7pt;height:3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" adj="20602" fillcolor="#ed8d2f" stroked="f">
                      <v:textbox inset="2.53958mm,1.2694mm,2.53958mm,1.2694mm">
                        <w:txbxContent>
                          <w:p w14:paraId="4029CFA4" w14:textId="77777777" w:rsidR="00B930EF" w:rsidRDefault="00B930EF" w:rsidP="00B930EF">
                            <w:pPr>
                              <w:pStyle w:val="NormalWeb"/>
                              <w:spacing w:after="0"/>
                              <w:jc w:val="center"/>
                              <w:textAlignment w:val="baseline"/>
                            </w:pPr>
                            <w:r>
                              <w:rPr>
                                <w:rFonts w:ascii="Calibri" w:eastAsia="Calibri" w:hAnsi="Calibri" w:cs="Calibri"/>
                                <w:color w:val="FFFFFF"/>
                                <w:kern w:val="24"/>
                                <w:lang w:val="en-US"/>
                              </w:rPr>
                              <w:t>Due Dilligence Guidelines</w:t>
                            </w:r>
                          </w:p>
                        </w:txbxContent>
                      </v:textbox>
                    </v:shape>
                  </w:pict>
                </mc:Fallback>
              </mc:AlternateContent>
            </w:r>
            <w:r w:rsidRPr="00454CF6">
              <w:rPr>
                <w:rFonts w:ascii="Calibri" w:eastAsia="Calibri" w:hAnsi="Calibri"/>
                <w:noProof/>
                <w:lang w:eastAsia="en-GB"/>
              </w:rPr>
              <mc:AlternateContent>
                <mc:Choice Requires="wps">
                  <w:drawing>
                    <wp:anchor distT="0" distB="0" distL="114300" distR="114300" simplePos="0" relativeHeight="251644928" behindDoc="0" locked="0" layoutInCell="1" allowOverlap="1" wp14:anchorId="5143CFAE" wp14:editId="31832EBD">
                      <wp:simplePos x="0" y="0"/>
                      <wp:positionH relativeFrom="column">
                        <wp:posOffset>-65405</wp:posOffset>
                      </wp:positionH>
                      <wp:positionV relativeFrom="paragraph">
                        <wp:posOffset>412115</wp:posOffset>
                      </wp:positionV>
                      <wp:extent cx="7959090" cy="397510"/>
                      <wp:effectExtent l="0" t="0" r="3810" b="2540"/>
                      <wp:wrapNone/>
                      <wp:docPr id="2" name="Google Shape;136;p3"/>
                      <wp:cNvGraphicFramePr/>
                      <a:graphic xmlns:a="http://schemas.openxmlformats.org/drawingml/2006/main">
                        <a:graphicData uri="http://schemas.microsoft.com/office/word/2010/wordprocessingShape">
                          <wps:wsp>
                            <wps:cNvSpPr/>
                            <wps:spPr>
                              <a:xfrm>
                                <a:off x="0" y="0"/>
                                <a:ext cx="7959090" cy="397510"/>
                              </a:xfrm>
                              <a:prstGeom prst="homePlate">
                                <a:avLst>
                                  <a:gd name="adj" fmla="val 50000"/>
                                </a:avLst>
                              </a:prstGeom>
                              <a:solidFill>
                                <a:srgbClr val="ED8D2F"/>
                              </a:solidFill>
                              <a:ln>
                                <a:noFill/>
                              </a:ln>
                            </wps:spPr>
                            <wps:txbx>
                              <w:txbxContent>
                                <w:p w14:paraId="348D05ED" w14:textId="77777777" w:rsidR="00B930EF" w:rsidRDefault="00B930EF" w:rsidP="00B930EF">
                                  <w:pPr>
                                    <w:pStyle w:val="NormalWeb"/>
                                    <w:spacing w:after="0"/>
                                    <w:jc w:val="center"/>
                                    <w:textAlignment w:val="baseline"/>
                                    <w:rPr>
                                      <w:lang w:val="en-IE"/>
                                    </w:rPr>
                                  </w:pPr>
                                  <w:r>
                                    <w:rPr>
                                      <w:rFonts w:ascii="Calibri" w:eastAsia="Calibri" w:hAnsi="Calibri" w:cs="Calibri"/>
                                      <w:color w:val="FFFFFF"/>
                                      <w:kern w:val="24"/>
                                      <w:lang w:val="en-US"/>
                                    </w:rPr>
                                    <w:t>Technical support to Art. 5 Controls / Publication of “EU Watchlist”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43CFAE" id="_x0000_s1027" type="#_x0000_t15" style="position:absolute;margin-left:-5.15pt;margin-top:32.45pt;width:626.7pt;height:31.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" adj="21061" fillcolor="#ed8d2f" stroked="f">
                      <v:textbox inset="2.53958mm,1.2694mm,2.53958mm,1.2694mm">
                        <w:txbxContent>
                          <w:p w14:paraId="348D05ED" w14:textId="77777777" w:rsidR="00B930EF" w:rsidRDefault="00B930EF" w:rsidP="00B930EF">
                            <w:pPr>
                              <w:pStyle w:val="NormalWeb"/>
                              <w:spacing w:after="0"/>
                              <w:jc w:val="center"/>
                              <w:textAlignment w:val="baseline"/>
                              <w:rPr>
                                <w:lang w:val="en-IE"/>
                              </w:rPr>
                            </w:pPr>
                            <w:r>
                              <w:rPr>
                                <w:rFonts w:ascii="Calibri" w:eastAsia="Calibri" w:hAnsi="Calibri" w:cs="Calibri"/>
                                <w:color w:val="FFFFFF"/>
                                <w:kern w:val="24"/>
                                <w:lang w:val="en-US"/>
                              </w:rPr>
                              <w:t>Technical support to Art. 5 Controls / Publication of “EU Watchlist”</w:t>
                            </w:r>
                          </w:p>
                        </w:txbxContent>
                      </v:textbox>
                    </v:shape>
                  </w:pict>
                </mc:Fallback>
              </mc:AlternateContent>
            </w:r>
            <w:r w:rsidRPr="0082359A">
              <w:rPr>
                <w:rFonts w:ascii="Calibri" w:eastAsia="Calibri" w:hAnsi="Calibri"/>
                <w:noProof/>
                <w:lang w:val="en-US" w:eastAsia="fr-BE"/>
              </w:rPr>
              <w:t xml:space="preserve"> </w:t>
            </w:r>
          </w:p>
        </w:tc>
        <w:tc>
          <w:tcPr>
            <w:tcW w:w="1533"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vAlign w:val="center"/>
            <w:hideMark/>
          </w:tcPr>
          <w:p w14:paraId="4B49BCB4" w14:textId="77777777" w:rsidR="00B930EF" w:rsidRPr="00454CF6" w:rsidRDefault="00B930EF" w:rsidP="007C1E5E">
            <w:pPr>
              <w:spacing w:line="256" w:lineRule="auto"/>
              <w:rPr>
                <w:rFonts w:ascii="Arial" w:eastAsia="Times New Roman" w:hAnsi="Arial" w:cs="Arial"/>
                <w:noProof/>
                <w:sz w:val="36"/>
                <w:szCs w:val="36"/>
                <w:lang w:val="en-US" w:eastAsia="fr-BE"/>
              </w:rPr>
            </w:pP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hideMark/>
          </w:tcPr>
          <w:p w14:paraId="66D912F0"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hideMark/>
          </w:tcPr>
          <w:p w14:paraId="30B88151"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hideMark/>
          </w:tcPr>
          <w:p w14:paraId="3145CB21"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hideMark/>
          </w:tcPr>
          <w:p w14:paraId="5D8E8E7F"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40FD925A"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5AE455F8"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04C2EBAE"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44D82ADB" w14:textId="77777777" w:rsidR="00B930EF" w:rsidRPr="00454CF6" w:rsidRDefault="00B930EF" w:rsidP="007C1E5E">
            <w:pPr>
              <w:spacing w:line="256" w:lineRule="auto"/>
              <w:rPr>
                <w:rFonts w:ascii="Calibri" w:eastAsia="Calibri" w:hAnsi="Calibri"/>
                <w:noProof/>
                <w:sz w:val="20"/>
                <w:szCs w:val="20"/>
                <w:lang w:eastAsia="en-GB"/>
              </w:rPr>
            </w:pPr>
          </w:p>
        </w:tc>
      </w:tr>
      <w:tr w:rsidR="00B930EF" w:rsidRPr="00153595" w14:paraId="50A82EF9" w14:textId="77777777" w:rsidTr="007C1E5E">
        <w:trPr>
          <w:trHeight w:val="628"/>
        </w:trPr>
        <w:tc>
          <w:tcPr>
            <w:tcW w:w="1226"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3EA79E84" w14:textId="77777777" w:rsidR="00B930EF" w:rsidRPr="00454CF6" w:rsidRDefault="00B930EF" w:rsidP="007C1E5E">
            <w:pPr>
              <w:spacing w:line="256" w:lineRule="auto"/>
              <w:rPr>
                <w:rFonts w:ascii="Calibri" w:eastAsia="Calibri" w:hAnsi="Calibri"/>
                <w:noProof/>
                <w:sz w:val="20"/>
                <w:szCs w:val="20"/>
                <w:lang w:eastAsia="en-GB"/>
              </w:rPr>
            </w:pPr>
          </w:p>
        </w:tc>
        <w:tc>
          <w:tcPr>
            <w:tcW w:w="1586"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vAlign w:val="center"/>
            <w:hideMark/>
          </w:tcPr>
          <w:p w14:paraId="3F791607" w14:textId="77777777" w:rsidR="00B930EF" w:rsidRPr="00454CF6" w:rsidRDefault="00B930EF" w:rsidP="007C1E5E">
            <w:pPr>
              <w:spacing w:line="256" w:lineRule="auto"/>
              <w:rPr>
                <w:rFonts w:ascii="Calibri" w:eastAsia="Calibri" w:hAnsi="Calibri"/>
                <w:noProof/>
                <w:sz w:val="20"/>
                <w:szCs w:val="20"/>
                <w:lang w:eastAsia="en-GB"/>
              </w:rPr>
            </w:pPr>
          </w:p>
        </w:tc>
        <w:tc>
          <w:tcPr>
            <w:tcW w:w="1587" w:type="dxa"/>
            <w:tcBorders>
              <w:top w:val="single" w:sz="8" w:space="0" w:color="BFBFBF"/>
              <w:left w:val="single" w:sz="8" w:space="0" w:color="BFBFBF"/>
              <w:bottom w:val="single" w:sz="8" w:space="0" w:color="BFBFBF"/>
              <w:right w:val="single" w:sz="8" w:space="0" w:color="BFBFBF"/>
            </w:tcBorders>
            <w:shd w:val="clear" w:color="auto" w:fill="002060"/>
            <w:tcMar>
              <w:top w:w="72" w:type="dxa"/>
              <w:left w:w="144" w:type="dxa"/>
              <w:bottom w:w="72" w:type="dxa"/>
              <w:right w:w="144" w:type="dxa"/>
            </w:tcMar>
            <w:vAlign w:val="center"/>
            <w:hideMark/>
          </w:tcPr>
          <w:p w14:paraId="234EEFD9" w14:textId="77777777" w:rsidR="00B930EF" w:rsidRPr="00454CF6" w:rsidRDefault="00B930EF" w:rsidP="007C1E5E">
            <w:pPr>
              <w:jc w:val="center"/>
              <w:textAlignment w:val="baseline"/>
              <w:rPr>
                <w:rFonts w:ascii="Arial" w:eastAsia="Times New Roman" w:hAnsi="Arial" w:cs="Arial"/>
                <w:noProof/>
                <w:sz w:val="36"/>
                <w:szCs w:val="36"/>
                <w:lang w:val="en-US" w:eastAsia="fr-BE"/>
              </w:rPr>
            </w:pPr>
            <w:r w:rsidRPr="0082359A">
              <w:rPr>
                <w:rFonts w:ascii="Calibri" w:eastAsia="Times New Roman" w:hAnsi="Calibri" w:cs="Calibri"/>
                <w:noProof/>
                <w:color w:val="FFFFFF"/>
                <w:kern w:val="24"/>
                <w:lang w:val="en-US" w:eastAsia="fr-BE"/>
              </w:rPr>
              <w:t>Set up Emerging Technology Expert Group</w:t>
            </w:r>
          </w:p>
        </w:tc>
        <w:tc>
          <w:tcPr>
            <w:tcW w:w="1533"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vAlign w:val="center"/>
            <w:hideMark/>
          </w:tcPr>
          <w:p w14:paraId="2654217D" w14:textId="77777777" w:rsidR="00B930EF" w:rsidRPr="00454CF6" w:rsidRDefault="00B930EF" w:rsidP="007C1E5E">
            <w:pPr>
              <w:rPr>
                <w:rFonts w:ascii="Arial" w:eastAsia="Times New Roman" w:hAnsi="Arial" w:cs="Arial"/>
                <w:noProof/>
                <w:sz w:val="36"/>
                <w:szCs w:val="36"/>
                <w:lang w:val="en-US" w:eastAsia="fr-BE"/>
              </w:rPr>
            </w:pPr>
            <w:r w:rsidRPr="00454CF6">
              <w:rPr>
                <w:rFonts w:ascii="Calibri" w:eastAsia="Calibri" w:hAnsi="Calibri"/>
                <w:noProof/>
                <w:lang w:eastAsia="en-GB"/>
              </w:rPr>
              <mc:AlternateContent>
                <mc:Choice Requires="wps">
                  <w:drawing>
                    <wp:anchor distT="0" distB="0" distL="114300" distR="114300" simplePos="0" relativeHeight="251649024" behindDoc="0" locked="0" layoutInCell="1" allowOverlap="1" wp14:anchorId="10A4D684" wp14:editId="1EC62EDE">
                      <wp:simplePos x="0" y="0"/>
                      <wp:positionH relativeFrom="column">
                        <wp:posOffset>-74930</wp:posOffset>
                      </wp:positionH>
                      <wp:positionV relativeFrom="paragraph">
                        <wp:posOffset>-50165</wp:posOffset>
                      </wp:positionV>
                      <wp:extent cx="6973570" cy="494665"/>
                      <wp:effectExtent l="0" t="0" r="0" b="635"/>
                      <wp:wrapNone/>
                      <wp:docPr id="8" name="Google Shape;137;p3"/>
                      <wp:cNvGraphicFramePr/>
                      <a:graphic xmlns:a="http://schemas.openxmlformats.org/drawingml/2006/main">
                        <a:graphicData uri="http://schemas.microsoft.com/office/word/2010/wordprocessingShape">
                          <wps:wsp>
                            <wps:cNvSpPr/>
                            <wps:spPr>
                              <a:xfrm>
                                <a:off x="0" y="0"/>
                                <a:ext cx="6973570" cy="494665"/>
                              </a:xfrm>
                              <a:prstGeom prst="homePlate">
                                <a:avLst>
                                  <a:gd name="adj" fmla="val 50000"/>
                                </a:avLst>
                              </a:prstGeom>
                              <a:solidFill>
                                <a:srgbClr val="002060"/>
                              </a:solidFill>
                              <a:ln>
                                <a:noFill/>
                              </a:ln>
                            </wps:spPr>
                            <wps:txbx>
                              <w:txbxContent>
                                <w:p w14:paraId="40C463D9" w14:textId="77777777" w:rsidR="00B930EF" w:rsidRDefault="00B930EF" w:rsidP="00B930EF">
                                  <w:pPr>
                                    <w:pStyle w:val="NormalWeb"/>
                                    <w:spacing w:after="0"/>
                                    <w:jc w:val="center"/>
                                    <w:textAlignment w:val="baseline"/>
                                    <w:rPr>
                                      <w:lang w:val="en-IE"/>
                                    </w:rPr>
                                  </w:pPr>
                                  <w:r>
                                    <w:rPr>
                                      <w:rFonts w:ascii="Calibri" w:eastAsia="Calibri" w:hAnsi="Calibri" w:cs="Calibri"/>
                                      <w:color w:val="FFFFFF"/>
                                      <w:kern w:val="24"/>
                                      <w:lang w:val="en-US"/>
                                    </w:rPr>
                                    <w:t xml:space="preserve">Technical </w:t>
                                  </w:r>
                                  <w:r w:rsidR="00DE7589">
                                    <w:rPr>
                                      <w:rFonts w:ascii="Calibri" w:eastAsia="Calibri" w:hAnsi="Calibri" w:cs="Calibri"/>
                                      <w:color w:val="FFFFFF"/>
                                      <w:kern w:val="24"/>
                                      <w:lang w:val="en-US"/>
                                    </w:rPr>
                                    <w:t>s</w:t>
                                  </w:r>
                                  <w:r>
                                    <w:rPr>
                                      <w:rFonts w:ascii="Calibri" w:eastAsia="Calibri" w:hAnsi="Calibri" w:cs="Calibri"/>
                                      <w:color w:val="FFFFFF"/>
                                      <w:kern w:val="24"/>
                                      <w:lang w:val="en-US"/>
                                    </w:rPr>
                                    <w:t>upport to the control of emerging technologies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A4D684" id="Google Shape;137;p3" o:spid="_x0000_s1028" type="#_x0000_t15" style="position:absolute;margin-left:-5.9pt;margin-top:-3.95pt;width:549.1pt;height:38.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" adj="20834" fillcolor="#002060" stroked="f">
                      <v:textbox inset="2.53958mm,1.2694mm,2.53958mm,1.2694mm">
                        <w:txbxContent>
                          <w:p w14:paraId="40C463D9" w14:textId="77777777" w:rsidR="00B930EF" w:rsidRDefault="00B930EF" w:rsidP="00B930EF">
                            <w:pPr>
                              <w:pStyle w:val="NormalWeb"/>
                              <w:spacing w:after="0"/>
                              <w:jc w:val="center"/>
                              <w:textAlignment w:val="baseline"/>
                              <w:rPr>
                                <w:lang w:val="en-IE"/>
                              </w:rPr>
                            </w:pPr>
                            <w:r>
                              <w:rPr>
                                <w:rFonts w:ascii="Calibri" w:eastAsia="Calibri" w:hAnsi="Calibri" w:cs="Calibri"/>
                                <w:color w:val="FFFFFF"/>
                                <w:kern w:val="24"/>
                                <w:lang w:val="en-US"/>
                              </w:rPr>
                              <w:t xml:space="preserve">Technical </w:t>
                            </w:r>
                            <w:r w:rsidR="00DE7589">
                              <w:rPr>
                                <w:rFonts w:ascii="Calibri" w:eastAsia="Calibri" w:hAnsi="Calibri" w:cs="Calibri"/>
                                <w:color w:val="FFFFFF"/>
                                <w:kern w:val="24"/>
                                <w:lang w:val="en-US"/>
                              </w:rPr>
                              <w:t>s</w:t>
                            </w:r>
                            <w:r>
                              <w:rPr>
                                <w:rFonts w:ascii="Calibri" w:eastAsia="Calibri" w:hAnsi="Calibri" w:cs="Calibri"/>
                                <w:color w:val="FFFFFF"/>
                                <w:kern w:val="24"/>
                                <w:lang w:val="en-US"/>
                              </w:rPr>
                              <w:t>upport to the control of emerging technologies</w:t>
                            </w:r>
                          </w:p>
                        </w:txbxContent>
                      </v:textbox>
                    </v:shape>
                  </w:pict>
                </mc:Fallback>
              </mc:AlternateContent>
            </w: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hideMark/>
          </w:tcPr>
          <w:p w14:paraId="04958118" w14:textId="77777777" w:rsidR="00B930EF" w:rsidRPr="00454CF6" w:rsidRDefault="00B930EF" w:rsidP="007C1E5E">
            <w:pPr>
              <w:spacing w:line="256" w:lineRule="auto"/>
              <w:rPr>
                <w:rFonts w:ascii="Arial" w:eastAsia="Times New Roman" w:hAnsi="Arial" w:cs="Arial"/>
                <w:noProof/>
                <w:sz w:val="36"/>
                <w:szCs w:val="36"/>
                <w:lang w:val="en-US" w:eastAsia="fr-BE"/>
              </w:rPr>
            </w:pP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hideMark/>
          </w:tcPr>
          <w:p w14:paraId="76863089"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hideMark/>
          </w:tcPr>
          <w:p w14:paraId="1500E82A"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hideMark/>
          </w:tcPr>
          <w:p w14:paraId="5ED7586A"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0667CD74"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574180AE"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06F26D21"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1D513D45" w14:textId="77777777" w:rsidR="00B930EF" w:rsidRPr="00454CF6" w:rsidRDefault="00B930EF" w:rsidP="007C1E5E">
            <w:pPr>
              <w:spacing w:line="256" w:lineRule="auto"/>
              <w:rPr>
                <w:rFonts w:ascii="Calibri" w:eastAsia="Calibri" w:hAnsi="Calibri"/>
                <w:noProof/>
                <w:sz w:val="20"/>
                <w:szCs w:val="20"/>
                <w:lang w:eastAsia="en-GB"/>
              </w:rPr>
            </w:pPr>
          </w:p>
        </w:tc>
      </w:tr>
      <w:tr w:rsidR="00B930EF" w:rsidRPr="00153595" w14:paraId="79D13B64" w14:textId="77777777" w:rsidTr="007C1E5E">
        <w:trPr>
          <w:trHeight w:val="745"/>
        </w:trPr>
        <w:tc>
          <w:tcPr>
            <w:tcW w:w="1226"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5F1ED50E" w14:textId="77777777" w:rsidR="00B930EF" w:rsidRPr="00E566AE" w:rsidRDefault="00B930EF" w:rsidP="007C1E5E">
            <w:pPr>
              <w:rPr>
                <w:rFonts w:eastAsia="Times New Roman"/>
                <w:noProof/>
                <w:sz w:val="20"/>
                <w:szCs w:val="20"/>
                <w:lang w:val="en-IE" w:eastAsia="fr-BE"/>
              </w:rPr>
            </w:pPr>
            <w:r w:rsidRPr="00454CF6">
              <w:rPr>
                <w:rFonts w:ascii="Calibri" w:eastAsia="Calibri" w:hAnsi="Calibri"/>
                <w:noProof/>
                <w:lang w:eastAsia="en-GB"/>
              </w:rPr>
              <mc:AlternateContent>
                <mc:Choice Requires="wps">
                  <w:drawing>
                    <wp:anchor distT="0" distB="0" distL="114300" distR="114300" simplePos="0" relativeHeight="251653120" behindDoc="0" locked="0" layoutInCell="1" allowOverlap="1" wp14:anchorId="3400B4DE" wp14:editId="1A2787A9">
                      <wp:simplePos x="0" y="0"/>
                      <wp:positionH relativeFrom="column">
                        <wp:posOffset>-78105</wp:posOffset>
                      </wp:positionH>
                      <wp:positionV relativeFrom="paragraph">
                        <wp:posOffset>-38100</wp:posOffset>
                      </wp:positionV>
                      <wp:extent cx="9725660" cy="551815"/>
                      <wp:effectExtent l="0" t="0" r="8890" b="635"/>
                      <wp:wrapNone/>
                      <wp:docPr id="5" name="Google Shape;137;p3"/>
                      <wp:cNvGraphicFramePr/>
                      <a:graphic xmlns:a="http://schemas.openxmlformats.org/drawingml/2006/main">
                        <a:graphicData uri="http://schemas.microsoft.com/office/word/2010/wordprocessingShape">
                          <wps:wsp>
                            <wps:cNvSpPr/>
                            <wps:spPr>
                              <a:xfrm>
                                <a:off x="0" y="0"/>
                                <a:ext cx="9725660" cy="551815"/>
                              </a:xfrm>
                              <a:prstGeom prst="homePlate">
                                <a:avLst>
                                  <a:gd name="adj" fmla="val 50000"/>
                                </a:avLst>
                              </a:prstGeom>
                              <a:solidFill>
                                <a:srgbClr val="034EA2">
                                  <a:lumMod val="40000"/>
                                  <a:lumOff val="60000"/>
                                </a:srgbClr>
                              </a:solidFill>
                              <a:ln>
                                <a:noFill/>
                              </a:ln>
                            </wps:spPr>
                            <wps:txbx>
                              <w:txbxContent>
                                <w:p w14:paraId="69350C4B" w14:textId="77777777" w:rsidR="00B930EF" w:rsidRDefault="00B930EF" w:rsidP="00B930EF">
                                  <w:pPr>
                                    <w:pStyle w:val="NormalWeb"/>
                                    <w:spacing w:after="0"/>
                                    <w:jc w:val="center"/>
                                    <w:textAlignment w:val="baseline"/>
                                    <w:rPr>
                                      <w:lang w:val="en-IE"/>
                                    </w:rPr>
                                  </w:pPr>
                                  <w:r w:rsidRPr="0082359A">
                                    <w:rPr>
                                      <w:rFonts w:ascii="Calibri" w:eastAsia="+mn-ea" w:hAnsi="Calibri" w:cs="Calibri"/>
                                      <w:color w:val="FFFFFF"/>
                                      <w:kern w:val="24"/>
                                      <w:lang w:val="en-US"/>
                                    </w:rPr>
                                    <w:t xml:space="preserve">Engaging with </w:t>
                                  </w:r>
                                  <w:r w:rsidR="00DE7589" w:rsidRPr="0082359A">
                                    <w:rPr>
                                      <w:rFonts w:ascii="Calibri" w:eastAsia="+mn-ea" w:hAnsi="Calibri" w:cs="Calibri"/>
                                      <w:color w:val="FFFFFF"/>
                                      <w:kern w:val="24"/>
                                      <w:lang w:val="en-US"/>
                                    </w:rPr>
                                    <w:t>p</w:t>
                                  </w:r>
                                  <w:r w:rsidRPr="0082359A">
                                    <w:rPr>
                                      <w:rFonts w:ascii="Calibri" w:eastAsia="+mn-ea" w:hAnsi="Calibri" w:cs="Calibri"/>
                                      <w:color w:val="FFFFFF"/>
                                      <w:kern w:val="24"/>
                                      <w:lang w:val="en-US"/>
                                    </w:rPr>
                                    <w:t>artners on cybersurveillance items, emerging technologies &amp; other issues (US, Japan)</w:t>
                                  </w:r>
                                </w:p>
                              </w:txbxContent>
                            </wps:txbx>
                            <wps:bodyPr spcFirstLastPara="1" wrap="square" lIns="91425" tIns="45700" rIns="91425" bIns="45700" anchor="ctr" anchorCtr="0">
                              <a:noAutofit/>
                            </wps:bodyPr>
                          </wps:wsp>
                        </a:graphicData>
                      </a:graphic>
                      <wp14:sizeRelH relativeFrom="margin">
                        <wp14:pctWidth>0</wp14:pctWidth>
                      </wp14:sizeRelH>
                      <wp14:sizeRelV relativeFrom="page">
                        <wp14:pctHeight>0</wp14:pctHeight>
                      </wp14:sizeRelV>
                    </wp:anchor>
                  </w:drawing>
                </mc:Choice>
                <mc:Fallback>
                  <w:pict>
                    <v:shape w14:anchorId="3400B4DE" id="_x0000_s1029" type="#_x0000_t15" style="position:absolute;margin-left:-6.15pt;margin-top:-3pt;width:765.8pt;height:4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" adj="20987" fillcolor="#78b6fc" stroked="f">
                      <v:textbox inset="2.53958mm,1.2694mm,2.53958mm,1.2694mm">
                        <w:txbxContent>
                          <w:p w14:paraId="69350C4B" w14:textId="77777777" w:rsidR="00B930EF" w:rsidRDefault="00B930EF" w:rsidP="00B930EF">
                            <w:pPr>
                              <w:pStyle w:val="NormalWeb"/>
                              <w:spacing w:after="0"/>
                              <w:jc w:val="center"/>
                              <w:textAlignment w:val="baseline"/>
                              <w:rPr>
                                <w:lang w:val="en-IE"/>
                              </w:rPr>
                            </w:pPr>
                            <w:r w:rsidRPr="0082359A">
                              <w:rPr>
                                <w:rFonts w:ascii="Calibri" w:eastAsia="+mn-ea" w:hAnsi="Calibri" w:cs="Calibri"/>
                                <w:color w:val="FFFFFF"/>
                                <w:kern w:val="24"/>
                                <w:lang w:val="en-US"/>
                              </w:rPr>
                              <w:t xml:space="preserve">Engaging with </w:t>
                            </w:r>
                            <w:r w:rsidR="00DE7589" w:rsidRPr="0082359A">
                              <w:rPr>
                                <w:rFonts w:ascii="Calibri" w:eastAsia="+mn-ea" w:hAnsi="Calibri" w:cs="Calibri"/>
                                <w:color w:val="FFFFFF"/>
                                <w:kern w:val="24"/>
                                <w:lang w:val="en-US"/>
                              </w:rPr>
                              <w:t>p</w:t>
                            </w:r>
                            <w:r w:rsidRPr="0082359A">
                              <w:rPr>
                                <w:rFonts w:ascii="Calibri" w:eastAsia="+mn-ea" w:hAnsi="Calibri" w:cs="Calibri"/>
                                <w:color w:val="FFFFFF"/>
                                <w:kern w:val="24"/>
                                <w:lang w:val="en-US"/>
                              </w:rPr>
                              <w:t>artners on cybersurveillance items, emerging technologies &amp; other issues (US, Japan)</w:t>
                            </w:r>
                          </w:p>
                        </w:txbxContent>
                      </v:textbox>
                    </v:shape>
                  </w:pict>
                </mc:Fallback>
              </mc:AlternateContent>
            </w:r>
          </w:p>
        </w:tc>
        <w:tc>
          <w:tcPr>
            <w:tcW w:w="1586"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3CE068AE" w14:textId="77777777" w:rsidR="00B930EF" w:rsidRPr="00E566AE" w:rsidRDefault="00B930EF" w:rsidP="007C1E5E">
            <w:pPr>
              <w:spacing w:line="256" w:lineRule="auto"/>
              <w:rPr>
                <w:rFonts w:eastAsia="Times New Roman"/>
                <w:noProof/>
                <w:sz w:val="20"/>
                <w:szCs w:val="20"/>
                <w:lang w:val="en-IE" w:eastAsia="fr-BE"/>
              </w:rPr>
            </w:pPr>
          </w:p>
        </w:tc>
        <w:tc>
          <w:tcPr>
            <w:tcW w:w="1587"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081CB8F3" w14:textId="77777777" w:rsidR="00B930EF" w:rsidRPr="00454CF6" w:rsidRDefault="00B930EF" w:rsidP="007C1E5E">
            <w:pPr>
              <w:spacing w:line="256" w:lineRule="auto"/>
              <w:rPr>
                <w:rFonts w:ascii="Calibri" w:eastAsia="Calibri" w:hAnsi="Calibri"/>
                <w:noProof/>
                <w:sz w:val="20"/>
                <w:szCs w:val="20"/>
                <w:lang w:eastAsia="en-GB"/>
              </w:rPr>
            </w:pPr>
          </w:p>
        </w:tc>
        <w:tc>
          <w:tcPr>
            <w:tcW w:w="1533"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50EFFEAB"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hideMark/>
          </w:tcPr>
          <w:p w14:paraId="2209CF66"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hideMark/>
          </w:tcPr>
          <w:p w14:paraId="6D663765"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hideMark/>
          </w:tcPr>
          <w:p w14:paraId="05681881"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hideMark/>
          </w:tcPr>
          <w:p w14:paraId="0580B541"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35B62E6B"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291F945E"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3B8B974A"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7537D41C" w14:textId="77777777" w:rsidR="00B930EF" w:rsidRPr="00454CF6" w:rsidRDefault="00B930EF" w:rsidP="007C1E5E">
            <w:pPr>
              <w:spacing w:line="256" w:lineRule="auto"/>
              <w:rPr>
                <w:rFonts w:ascii="Calibri" w:eastAsia="Calibri" w:hAnsi="Calibri"/>
                <w:noProof/>
                <w:sz w:val="20"/>
                <w:szCs w:val="20"/>
                <w:lang w:eastAsia="en-GB"/>
              </w:rPr>
            </w:pPr>
          </w:p>
        </w:tc>
      </w:tr>
      <w:tr w:rsidR="00B930EF" w:rsidRPr="00454CF6" w14:paraId="451A2144" w14:textId="77777777" w:rsidTr="007C1E5E">
        <w:trPr>
          <w:trHeight w:val="661"/>
        </w:trPr>
        <w:tc>
          <w:tcPr>
            <w:tcW w:w="1226"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6AE06A08" w14:textId="77777777" w:rsidR="00B930EF" w:rsidRPr="00454CF6" w:rsidRDefault="00B930EF" w:rsidP="007C1E5E">
            <w:pPr>
              <w:spacing w:line="256" w:lineRule="auto"/>
              <w:rPr>
                <w:rFonts w:ascii="Calibri" w:eastAsia="Calibri" w:hAnsi="Calibri"/>
                <w:noProof/>
                <w:sz w:val="20"/>
                <w:szCs w:val="20"/>
                <w:lang w:eastAsia="en-GB"/>
              </w:rPr>
            </w:pPr>
          </w:p>
        </w:tc>
        <w:tc>
          <w:tcPr>
            <w:tcW w:w="1586"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vAlign w:val="center"/>
            <w:hideMark/>
          </w:tcPr>
          <w:p w14:paraId="3E5094BD" w14:textId="77777777" w:rsidR="00B930EF" w:rsidRPr="00454CF6" w:rsidRDefault="00B930EF" w:rsidP="007C1E5E">
            <w:pPr>
              <w:spacing w:line="256" w:lineRule="auto"/>
              <w:rPr>
                <w:rFonts w:ascii="Calibri" w:eastAsia="Calibri" w:hAnsi="Calibri"/>
                <w:noProof/>
                <w:sz w:val="20"/>
                <w:szCs w:val="20"/>
                <w:lang w:eastAsia="en-GB"/>
              </w:rPr>
            </w:pPr>
          </w:p>
        </w:tc>
        <w:tc>
          <w:tcPr>
            <w:tcW w:w="1587" w:type="dxa"/>
            <w:tcBorders>
              <w:top w:val="single" w:sz="8" w:space="0" w:color="BFBFBF"/>
              <w:left w:val="single" w:sz="8" w:space="0" w:color="BFBFBF"/>
              <w:bottom w:val="single" w:sz="8" w:space="0" w:color="BFBFBF"/>
              <w:right w:val="single" w:sz="8" w:space="0" w:color="BFBFBF"/>
            </w:tcBorders>
            <w:shd w:val="clear" w:color="auto" w:fill="FFFFFF" w:themeFill="background1"/>
            <w:tcMar>
              <w:top w:w="72" w:type="dxa"/>
              <w:left w:w="144" w:type="dxa"/>
              <w:bottom w:w="72" w:type="dxa"/>
              <w:right w:w="144" w:type="dxa"/>
            </w:tcMar>
            <w:hideMark/>
          </w:tcPr>
          <w:p w14:paraId="3466FCCA" w14:textId="77777777" w:rsidR="00B930EF" w:rsidRPr="00454CF6" w:rsidRDefault="00B930EF" w:rsidP="007C1E5E">
            <w:pPr>
              <w:jc w:val="center"/>
              <w:textAlignment w:val="baseline"/>
              <w:rPr>
                <w:rFonts w:ascii="Arial" w:eastAsia="Times New Roman" w:hAnsi="Arial" w:cs="Arial"/>
                <w:noProof/>
                <w:sz w:val="36"/>
                <w:szCs w:val="36"/>
                <w:lang w:val="en-US" w:eastAsia="fr-BE"/>
              </w:rPr>
            </w:pPr>
          </w:p>
        </w:tc>
        <w:tc>
          <w:tcPr>
            <w:tcW w:w="1533"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6DFC9AF6" w14:textId="77777777" w:rsidR="00B930EF" w:rsidRPr="00454CF6" w:rsidRDefault="00B930EF" w:rsidP="007C1E5E">
            <w:pPr>
              <w:rPr>
                <w:rFonts w:ascii="Arial" w:eastAsia="Times New Roman" w:hAnsi="Arial" w:cs="Arial"/>
                <w:noProof/>
                <w:sz w:val="36"/>
                <w:szCs w:val="36"/>
                <w:lang w:val="en-US" w:eastAsia="fr-BE"/>
              </w:rPr>
            </w:pPr>
            <w:r w:rsidRPr="00454CF6">
              <w:rPr>
                <w:rFonts w:ascii="Calibri" w:eastAsia="Calibri" w:hAnsi="Calibri"/>
                <w:noProof/>
                <w:lang w:eastAsia="en-GB"/>
              </w:rPr>
              <mc:AlternateContent>
                <mc:Choice Requires="wps">
                  <w:drawing>
                    <wp:anchor distT="0" distB="0" distL="114300" distR="114300" simplePos="0" relativeHeight="251657216" behindDoc="0" locked="0" layoutInCell="1" allowOverlap="1" wp14:anchorId="798C1E28" wp14:editId="0F6DD47A">
                      <wp:simplePos x="0" y="0"/>
                      <wp:positionH relativeFrom="column">
                        <wp:posOffset>873760</wp:posOffset>
                      </wp:positionH>
                      <wp:positionV relativeFrom="paragraph">
                        <wp:posOffset>-40640</wp:posOffset>
                      </wp:positionV>
                      <wp:extent cx="3234690" cy="593725"/>
                      <wp:effectExtent l="0" t="0" r="3810" b="0"/>
                      <wp:wrapNone/>
                      <wp:docPr id="6" name="Google Shape;141;p3"/>
                      <wp:cNvGraphicFramePr/>
                      <a:graphic xmlns:a="http://schemas.openxmlformats.org/drawingml/2006/main">
                        <a:graphicData uri="http://schemas.microsoft.com/office/word/2010/wordprocessingShape">
                          <wps:wsp>
                            <wps:cNvSpPr/>
                            <wps:spPr>
                              <a:xfrm>
                                <a:off x="0" y="0"/>
                                <a:ext cx="3234690" cy="593725"/>
                              </a:xfrm>
                              <a:prstGeom prst="homePlate">
                                <a:avLst>
                                  <a:gd name="adj" fmla="val 50000"/>
                                </a:avLst>
                              </a:prstGeom>
                              <a:solidFill>
                                <a:srgbClr val="6AA84F"/>
                              </a:solidFill>
                              <a:ln>
                                <a:noFill/>
                              </a:ln>
                            </wps:spPr>
                            <wps:txbx>
                              <w:txbxContent>
                                <w:p w14:paraId="43D5E9F3" w14:textId="77777777" w:rsidR="00B930EF" w:rsidRDefault="00B930EF" w:rsidP="00B930EF">
                                  <w:pPr>
                                    <w:pStyle w:val="NormalWeb"/>
                                    <w:spacing w:after="0"/>
                                    <w:jc w:val="center"/>
                                    <w:textAlignment w:val="baseline"/>
                                    <w:rPr>
                                      <w:lang w:val="en-IE"/>
                                    </w:rPr>
                                  </w:pPr>
                                  <w:r>
                                    <w:rPr>
                                      <w:rFonts w:ascii="Calibri" w:eastAsia="Calibri" w:hAnsi="Calibri" w:cs="Calibri"/>
                                      <w:color w:val="FFFFFF"/>
                                      <w:kern w:val="24"/>
                                      <w:sz w:val="22"/>
                                      <w:szCs w:val="22"/>
                                      <w:lang w:val="en-US"/>
                                    </w:rPr>
                                    <w:t>Development of dedicated IT tools and development of Guidelines on Transparency</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8C1E28" id="Google Shape;141;p3" o:spid="_x0000_s1030" type="#_x0000_t15" style="position:absolute;margin-left:68.8pt;margin-top:-3.2pt;width:254.7pt;height:4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" adj="19618" fillcolor="#6aa84f" stroked="f">
                      <v:textbox inset="2.53958mm,1.2694mm,2.53958mm,1.2694mm">
                        <w:txbxContent>
                          <w:p w14:paraId="43D5E9F3" w14:textId="77777777" w:rsidR="00B930EF" w:rsidRDefault="00B930EF" w:rsidP="00B930EF">
                            <w:pPr>
                              <w:pStyle w:val="NormalWeb"/>
                              <w:spacing w:after="0"/>
                              <w:jc w:val="center"/>
                              <w:textAlignment w:val="baseline"/>
                              <w:rPr>
                                <w:lang w:val="en-IE"/>
                              </w:rPr>
                            </w:pPr>
                            <w:r>
                              <w:rPr>
                                <w:rFonts w:ascii="Calibri" w:eastAsia="Calibri" w:hAnsi="Calibri" w:cs="Calibri"/>
                                <w:color w:val="FFFFFF"/>
                                <w:kern w:val="24"/>
                                <w:sz w:val="22"/>
                                <w:szCs w:val="22"/>
                                <w:lang w:val="en-US"/>
                              </w:rPr>
                              <w:t>Development of dedicated IT tools and development of Guidelines on Transparency</w:t>
                            </w:r>
                          </w:p>
                        </w:txbxContent>
                      </v:textbox>
                    </v:shape>
                  </w:pict>
                </mc:Fallback>
              </mc:AlternateContent>
            </w:r>
            <w:r w:rsidRPr="00454CF6">
              <w:rPr>
                <w:rFonts w:ascii="Calibri" w:eastAsia="Calibri" w:hAnsi="Calibri" w:cs="Calibri"/>
                <w:noProof/>
                <w:color w:val="FFFFFF"/>
                <w:kern w:val="24"/>
                <w:lang w:val="en-US" w:eastAsia="fr-BE"/>
              </w:rPr>
              <w:t>Set up Transparency TEG</w:t>
            </w:r>
            <w:r w:rsidRPr="00454CF6">
              <w:rPr>
                <w:rFonts w:ascii="Calibri" w:eastAsia="Calibri" w:hAnsi="Calibri"/>
                <w:noProof/>
                <w:lang w:eastAsia="en-GB"/>
              </w:rPr>
              <w:t xml:space="preserve"> </w:t>
            </w: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hideMark/>
          </w:tcPr>
          <w:p w14:paraId="0ED1B772" w14:textId="77777777" w:rsidR="00B930EF" w:rsidRPr="00454CF6" w:rsidRDefault="00B930EF" w:rsidP="007C1E5E">
            <w:pPr>
              <w:spacing w:line="256" w:lineRule="auto"/>
              <w:rPr>
                <w:rFonts w:ascii="Arial" w:eastAsia="Times New Roman" w:hAnsi="Arial" w:cs="Arial"/>
                <w:noProof/>
                <w:sz w:val="36"/>
                <w:szCs w:val="36"/>
                <w:lang w:val="en-US" w:eastAsia="fr-BE"/>
              </w:rPr>
            </w:pP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hideMark/>
          </w:tcPr>
          <w:p w14:paraId="1E774F6E"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hideMark/>
          </w:tcPr>
          <w:p w14:paraId="622EFF95"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hideMark/>
          </w:tcPr>
          <w:p w14:paraId="400FE20D"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3C5FEE48" w14:textId="77777777" w:rsidR="00B930EF" w:rsidRPr="00454CF6" w:rsidRDefault="00B930EF" w:rsidP="007C1E5E">
            <w:pPr>
              <w:rPr>
                <w:rFonts w:eastAsia="Times New Roman"/>
                <w:noProof/>
                <w:sz w:val="20"/>
                <w:szCs w:val="20"/>
                <w:lang w:val="fr-BE" w:eastAsia="fr-BE"/>
              </w:rPr>
            </w:pPr>
            <w:r w:rsidRPr="00454CF6">
              <w:rPr>
                <w:rFonts w:ascii="Calibri" w:eastAsia="Calibri" w:hAnsi="Calibri"/>
                <w:noProof/>
                <w:lang w:eastAsia="en-GB"/>
              </w:rPr>
              <mc:AlternateContent>
                <mc:Choice Requires="wps">
                  <w:drawing>
                    <wp:anchor distT="0" distB="0" distL="114300" distR="114300" simplePos="0" relativeHeight="251669504" behindDoc="0" locked="0" layoutInCell="1" allowOverlap="1" wp14:anchorId="037D0E30" wp14:editId="6F95EDF3">
                      <wp:simplePos x="0" y="0"/>
                      <wp:positionH relativeFrom="column">
                        <wp:posOffset>64769</wp:posOffset>
                      </wp:positionH>
                      <wp:positionV relativeFrom="paragraph">
                        <wp:posOffset>-34925</wp:posOffset>
                      </wp:positionV>
                      <wp:extent cx="2097405" cy="584200"/>
                      <wp:effectExtent l="0" t="0" r="0" b="6350"/>
                      <wp:wrapNone/>
                      <wp:docPr id="11" name="Google Shape;141;p3"/>
                      <wp:cNvGraphicFramePr/>
                      <a:graphic xmlns:a="http://schemas.openxmlformats.org/drawingml/2006/main">
                        <a:graphicData uri="http://schemas.microsoft.com/office/word/2010/wordprocessingShape">
                          <wps:wsp>
                            <wps:cNvSpPr/>
                            <wps:spPr>
                              <a:xfrm>
                                <a:off x="0" y="0"/>
                                <a:ext cx="2097405" cy="584200"/>
                              </a:xfrm>
                              <a:prstGeom prst="homePlate">
                                <a:avLst>
                                  <a:gd name="adj" fmla="val 50000"/>
                                </a:avLst>
                              </a:prstGeom>
                              <a:solidFill>
                                <a:srgbClr val="6AA84F"/>
                              </a:solidFill>
                              <a:ln>
                                <a:noFill/>
                              </a:ln>
                            </wps:spPr>
                            <wps:txbx>
                              <w:txbxContent>
                                <w:p w14:paraId="5449E716" w14:textId="77777777" w:rsidR="00B930EF" w:rsidRDefault="00B930EF" w:rsidP="00B930EF">
                                  <w:pPr>
                                    <w:pStyle w:val="NormalWeb"/>
                                    <w:spacing w:after="0"/>
                                    <w:jc w:val="center"/>
                                    <w:textAlignment w:val="baseline"/>
                                  </w:pPr>
                                  <w:r>
                                    <w:rPr>
                                      <w:rFonts w:ascii="Calibri" w:eastAsia="Calibri" w:hAnsi="Calibri" w:cs="Calibri"/>
                                      <w:color w:val="FFFFFF"/>
                                      <w:kern w:val="24"/>
                                      <w:sz w:val="22"/>
                                      <w:szCs w:val="22"/>
                                      <w:lang w:val="en-US"/>
                                    </w:rPr>
                                    <w:t>2023 Annual Report (incl. 2022 data)</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7D0E30" id="_x0000_s1031" type="#_x0000_t15" style="position:absolute;margin-left:5.1pt;margin-top:-2.75pt;width:165.15pt;height: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" adj="18592" fillcolor="#6aa84f" stroked="f">
                      <v:textbox inset="2.53958mm,1.2694mm,2.53958mm,1.2694mm">
                        <w:txbxContent>
                          <w:p w14:paraId="5449E716" w14:textId="77777777" w:rsidR="00B930EF" w:rsidRDefault="00B930EF" w:rsidP="00B930EF">
                            <w:pPr>
                              <w:pStyle w:val="NormalWeb"/>
                              <w:spacing w:after="0"/>
                              <w:jc w:val="center"/>
                              <w:textAlignment w:val="baseline"/>
                            </w:pPr>
                            <w:r>
                              <w:rPr>
                                <w:rFonts w:ascii="Calibri" w:eastAsia="Calibri" w:hAnsi="Calibri" w:cs="Calibri"/>
                                <w:color w:val="FFFFFF"/>
                                <w:kern w:val="24"/>
                                <w:sz w:val="22"/>
                                <w:szCs w:val="22"/>
                                <w:lang w:val="en-US"/>
                              </w:rPr>
                              <w:t>2023 Annual Report (incl. 2022 data)</w:t>
                            </w:r>
                          </w:p>
                        </w:txbxContent>
                      </v:textbox>
                    </v:shape>
                  </w:pict>
                </mc:Fallback>
              </mc:AlternateContent>
            </w: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474506AA" w14:textId="77777777" w:rsidR="00B930EF" w:rsidRPr="00454CF6" w:rsidRDefault="00B930EF" w:rsidP="007C1E5E">
            <w:pPr>
              <w:spacing w:line="256" w:lineRule="auto"/>
              <w:rPr>
                <w:rFonts w:eastAsia="Times New Roman"/>
                <w:noProof/>
                <w:sz w:val="20"/>
                <w:szCs w:val="20"/>
                <w:lang w:val="fr-BE" w:eastAsia="fr-BE"/>
              </w:rPr>
            </w:pP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3E1D7EAD"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0C91814D" w14:textId="77777777" w:rsidR="00B930EF" w:rsidRPr="00454CF6" w:rsidRDefault="00B930EF" w:rsidP="007C1E5E">
            <w:pPr>
              <w:spacing w:line="256" w:lineRule="auto"/>
              <w:rPr>
                <w:rFonts w:ascii="Calibri" w:eastAsia="Calibri" w:hAnsi="Calibri"/>
                <w:noProof/>
                <w:sz w:val="20"/>
                <w:szCs w:val="20"/>
                <w:lang w:eastAsia="en-GB"/>
              </w:rPr>
            </w:pPr>
          </w:p>
        </w:tc>
      </w:tr>
      <w:tr w:rsidR="00B930EF" w:rsidRPr="00AC6D10" w14:paraId="6782AB96" w14:textId="77777777" w:rsidTr="007C1E5E">
        <w:trPr>
          <w:trHeight w:val="536"/>
        </w:trPr>
        <w:tc>
          <w:tcPr>
            <w:tcW w:w="1226"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167B13AF" w14:textId="77777777" w:rsidR="00B930EF" w:rsidRPr="00454CF6" w:rsidRDefault="00B930EF" w:rsidP="007C1E5E">
            <w:pPr>
              <w:spacing w:line="256" w:lineRule="auto"/>
              <w:rPr>
                <w:rFonts w:ascii="Calibri" w:eastAsia="Calibri" w:hAnsi="Calibri"/>
                <w:noProof/>
                <w:sz w:val="20"/>
                <w:szCs w:val="20"/>
                <w:lang w:eastAsia="en-GB"/>
              </w:rPr>
            </w:pPr>
          </w:p>
        </w:tc>
        <w:tc>
          <w:tcPr>
            <w:tcW w:w="1586"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0AAEDC39" w14:textId="77777777" w:rsidR="00B930EF" w:rsidRPr="00454CF6" w:rsidRDefault="00B930EF" w:rsidP="007C1E5E">
            <w:pPr>
              <w:spacing w:line="256" w:lineRule="auto"/>
              <w:rPr>
                <w:rFonts w:ascii="Calibri" w:eastAsia="Calibri" w:hAnsi="Calibri"/>
                <w:noProof/>
                <w:sz w:val="20"/>
                <w:szCs w:val="20"/>
                <w:lang w:eastAsia="en-GB"/>
              </w:rPr>
            </w:pPr>
          </w:p>
        </w:tc>
        <w:tc>
          <w:tcPr>
            <w:tcW w:w="1587" w:type="dxa"/>
            <w:tcBorders>
              <w:top w:val="single" w:sz="8" w:space="0" w:color="BFBFBF"/>
              <w:left w:val="single" w:sz="8" w:space="0" w:color="BFBFBF"/>
              <w:bottom w:val="single" w:sz="8" w:space="0" w:color="BFBFBF"/>
              <w:right w:val="single" w:sz="8" w:space="0" w:color="BFBFBF"/>
            </w:tcBorders>
            <w:shd w:val="clear" w:color="auto" w:fill="C00000"/>
            <w:tcMar>
              <w:top w:w="72" w:type="dxa"/>
              <w:left w:w="144" w:type="dxa"/>
              <w:bottom w:w="72" w:type="dxa"/>
              <w:right w:w="144" w:type="dxa"/>
            </w:tcMar>
            <w:hideMark/>
          </w:tcPr>
          <w:p w14:paraId="71431A4C" w14:textId="77777777" w:rsidR="00B930EF" w:rsidRPr="00454CF6" w:rsidRDefault="00B930EF" w:rsidP="007C1E5E">
            <w:pPr>
              <w:jc w:val="center"/>
              <w:textAlignment w:val="baseline"/>
              <w:rPr>
                <w:rFonts w:ascii="Arial" w:eastAsia="Times New Roman" w:hAnsi="Arial" w:cs="Arial"/>
                <w:noProof/>
                <w:sz w:val="36"/>
                <w:szCs w:val="36"/>
                <w:lang w:val="en-US" w:eastAsia="fr-BE"/>
              </w:rPr>
            </w:pPr>
            <w:r w:rsidRPr="00454CF6">
              <w:rPr>
                <w:rFonts w:ascii="Calibri" w:eastAsia="Times New Roman" w:hAnsi="Calibri" w:cs="Calibri"/>
                <w:noProof/>
                <w:color w:val="FFFFFF"/>
                <w:kern w:val="24"/>
                <w:lang w:val="en-IE" w:eastAsia="fr-BE"/>
              </w:rPr>
              <w:t xml:space="preserve">Set up </w:t>
            </w:r>
            <w:r w:rsidRPr="00E566AE">
              <w:rPr>
                <w:rFonts w:ascii="Calibri" w:eastAsia="Times New Roman" w:hAnsi="Calibri" w:cs="Calibri"/>
                <w:noProof/>
                <w:color w:val="FFFFFF"/>
                <w:kern w:val="24"/>
                <w:lang w:val="en-IE" w:eastAsia="fr-BE"/>
              </w:rPr>
              <w:t>E</w:t>
            </w:r>
            <w:r>
              <w:rPr>
                <w:rFonts w:ascii="Calibri" w:eastAsia="Times New Roman" w:hAnsi="Calibri" w:cs="Calibri"/>
                <w:noProof/>
                <w:color w:val="FFFFFF"/>
                <w:kern w:val="24"/>
                <w:lang w:val="en-IE" w:eastAsia="fr-BE"/>
              </w:rPr>
              <w:t>nforcement Group</w:t>
            </w:r>
          </w:p>
        </w:tc>
        <w:tc>
          <w:tcPr>
            <w:tcW w:w="1533"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3654BA2A" w14:textId="77777777" w:rsidR="00B930EF" w:rsidRPr="00454CF6" w:rsidRDefault="00B930EF" w:rsidP="007C1E5E">
            <w:pPr>
              <w:rPr>
                <w:rFonts w:ascii="Arial" w:eastAsia="Times New Roman" w:hAnsi="Arial" w:cs="Arial"/>
                <w:noProof/>
                <w:sz w:val="36"/>
                <w:szCs w:val="36"/>
                <w:lang w:val="en-US" w:eastAsia="fr-BE"/>
              </w:rPr>
            </w:pPr>
            <w:r w:rsidRPr="00454CF6">
              <w:rPr>
                <w:rFonts w:ascii="Calibri" w:eastAsia="Calibri" w:hAnsi="Calibri"/>
                <w:noProof/>
                <w:lang w:eastAsia="en-GB"/>
              </w:rPr>
              <mc:AlternateContent>
                <mc:Choice Requires="wps">
                  <w:drawing>
                    <wp:anchor distT="0" distB="0" distL="114300" distR="114300" simplePos="0" relativeHeight="251661312" behindDoc="0" locked="0" layoutInCell="1" allowOverlap="1" wp14:anchorId="65D66B0D" wp14:editId="6DD5C197">
                      <wp:simplePos x="0" y="0"/>
                      <wp:positionH relativeFrom="column">
                        <wp:posOffset>-76835</wp:posOffset>
                      </wp:positionH>
                      <wp:positionV relativeFrom="paragraph">
                        <wp:posOffset>-42545</wp:posOffset>
                      </wp:positionV>
                      <wp:extent cx="6980555" cy="609600"/>
                      <wp:effectExtent l="0" t="0" r="0" b="0"/>
                      <wp:wrapNone/>
                      <wp:docPr id="12" name="Google Shape;142;p3"/>
                      <wp:cNvGraphicFramePr/>
                      <a:graphic xmlns:a="http://schemas.openxmlformats.org/drawingml/2006/main">
                        <a:graphicData uri="http://schemas.microsoft.com/office/word/2010/wordprocessingShape">
                          <wps:wsp>
                            <wps:cNvSpPr/>
                            <wps:spPr>
                              <a:xfrm>
                                <a:off x="0" y="0"/>
                                <a:ext cx="6980555" cy="609600"/>
                              </a:xfrm>
                              <a:prstGeom prst="homePlate">
                                <a:avLst>
                                  <a:gd name="adj" fmla="val 50000"/>
                                </a:avLst>
                              </a:prstGeom>
                              <a:solidFill>
                                <a:srgbClr val="C00000"/>
                              </a:solidFill>
                              <a:ln>
                                <a:noFill/>
                              </a:ln>
                            </wps:spPr>
                            <wps:txbx>
                              <w:txbxContent>
                                <w:p w14:paraId="6BDA5B5C" w14:textId="77777777" w:rsidR="00B930EF" w:rsidRDefault="00B930EF" w:rsidP="00B930EF">
                                  <w:pPr>
                                    <w:pStyle w:val="NormalWeb"/>
                                    <w:spacing w:after="0"/>
                                    <w:jc w:val="center"/>
                                    <w:textAlignment w:val="baseline"/>
                                    <w:rPr>
                                      <w:lang w:val="en-IE"/>
                                    </w:rPr>
                                  </w:pPr>
                                  <w:r>
                                    <w:rPr>
                                      <w:rFonts w:ascii="Calibri" w:eastAsia="+mn-ea" w:hAnsi="Calibri" w:cs="Calibri"/>
                                      <w:color w:val="FFFFFF"/>
                                      <w:kern w:val="24"/>
                                      <w:sz w:val="22"/>
                                      <w:szCs w:val="22"/>
                                      <w:lang w:val="en-IE"/>
                                    </w:rPr>
                                    <w:t xml:space="preserve">Implement </w:t>
                                  </w:r>
                                  <w:r w:rsidR="00DE7589">
                                    <w:rPr>
                                      <w:rFonts w:ascii="Calibri" w:eastAsia="+mn-ea" w:hAnsi="Calibri" w:cs="Calibri"/>
                                      <w:color w:val="FFFFFF"/>
                                      <w:kern w:val="24"/>
                                      <w:sz w:val="22"/>
                                      <w:szCs w:val="22"/>
                                      <w:lang w:val="en-IE"/>
                                    </w:rPr>
                                    <w:t>d</w:t>
                                  </w:r>
                                  <w:r>
                                    <w:rPr>
                                      <w:rFonts w:ascii="Calibri" w:eastAsia="+mn-ea" w:hAnsi="Calibri" w:cs="Calibri"/>
                                      <w:color w:val="FFFFFF"/>
                                      <w:kern w:val="24"/>
                                      <w:sz w:val="22"/>
                                      <w:szCs w:val="22"/>
                                      <w:lang w:val="en-IE"/>
                                    </w:rPr>
                                    <w:t xml:space="preserve">edicated </w:t>
                                  </w:r>
                                  <w:r w:rsidR="00DE7589">
                                    <w:rPr>
                                      <w:rFonts w:ascii="Calibri" w:eastAsia="+mn-ea" w:hAnsi="Calibri" w:cs="Calibri"/>
                                      <w:color w:val="FFFFFF"/>
                                      <w:kern w:val="24"/>
                                      <w:sz w:val="22"/>
                                      <w:szCs w:val="22"/>
                                      <w:lang w:val="en-IE"/>
                                    </w:rPr>
                                    <w:t>a</w:t>
                                  </w:r>
                                  <w:r>
                                    <w:rPr>
                                      <w:rFonts w:ascii="Calibri" w:eastAsia="+mn-ea" w:hAnsi="Calibri" w:cs="Calibri"/>
                                      <w:color w:val="FFFFFF"/>
                                      <w:kern w:val="24"/>
                                      <w:sz w:val="22"/>
                                      <w:szCs w:val="22"/>
                                      <w:lang w:val="en-IE"/>
                                    </w:rPr>
                                    <w:t>ctions (e.g. information exchange tools, guidance notes, joint operations)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D66B0D" id="Google Shape;142;p3" o:spid="_x0000_s1032" type="#_x0000_t15" style="position:absolute;margin-left:-6.05pt;margin-top:-3.35pt;width:549.6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" adj="20657" fillcolor="#c00000" stroked="f">
                      <v:textbox inset="2.53958mm,1.2694mm,2.53958mm,1.2694mm">
                        <w:txbxContent>
                          <w:p w14:paraId="6BDA5B5C" w14:textId="77777777" w:rsidR="00B930EF" w:rsidRDefault="00B930EF" w:rsidP="00B930EF">
                            <w:pPr>
                              <w:pStyle w:val="NormalWeb"/>
                              <w:spacing w:after="0"/>
                              <w:jc w:val="center"/>
                              <w:textAlignment w:val="baseline"/>
                              <w:rPr>
                                <w:lang w:val="en-IE"/>
                              </w:rPr>
                            </w:pPr>
                            <w:r>
                              <w:rPr>
                                <w:rFonts w:ascii="Calibri" w:eastAsia="+mn-ea" w:hAnsi="Calibri" w:cs="Calibri"/>
                                <w:color w:val="FFFFFF"/>
                                <w:kern w:val="24"/>
                                <w:sz w:val="22"/>
                                <w:szCs w:val="22"/>
                                <w:lang w:val="en-IE"/>
                              </w:rPr>
                              <w:t xml:space="preserve">Implement </w:t>
                            </w:r>
                            <w:r w:rsidR="00DE7589">
                              <w:rPr>
                                <w:rFonts w:ascii="Calibri" w:eastAsia="+mn-ea" w:hAnsi="Calibri" w:cs="Calibri"/>
                                <w:color w:val="FFFFFF"/>
                                <w:kern w:val="24"/>
                                <w:sz w:val="22"/>
                                <w:szCs w:val="22"/>
                                <w:lang w:val="en-IE"/>
                              </w:rPr>
                              <w:t>d</w:t>
                            </w:r>
                            <w:r>
                              <w:rPr>
                                <w:rFonts w:ascii="Calibri" w:eastAsia="+mn-ea" w:hAnsi="Calibri" w:cs="Calibri"/>
                                <w:color w:val="FFFFFF"/>
                                <w:kern w:val="24"/>
                                <w:sz w:val="22"/>
                                <w:szCs w:val="22"/>
                                <w:lang w:val="en-IE"/>
                              </w:rPr>
                              <w:t xml:space="preserve">edicated </w:t>
                            </w:r>
                            <w:r w:rsidR="00DE7589">
                              <w:rPr>
                                <w:rFonts w:ascii="Calibri" w:eastAsia="+mn-ea" w:hAnsi="Calibri" w:cs="Calibri"/>
                                <w:color w:val="FFFFFF"/>
                                <w:kern w:val="24"/>
                                <w:sz w:val="22"/>
                                <w:szCs w:val="22"/>
                                <w:lang w:val="en-IE"/>
                              </w:rPr>
                              <w:t>a</w:t>
                            </w:r>
                            <w:r>
                              <w:rPr>
                                <w:rFonts w:ascii="Calibri" w:eastAsia="+mn-ea" w:hAnsi="Calibri" w:cs="Calibri"/>
                                <w:color w:val="FFFFFF"/>
                                <w:kern w:val="24"/>
                                <w:sz w:val="22"/>
                                <w:szCs w:val="22"/>
                                <w:lang w:val="en-IE"/>
                              </w:rPr>
                              <w:t>ctions (e.g. information exchange tools, guidance notes, joint operations)</w:t>
                            </w:r>
                          </w:p>
                        </w:txbxContent>
                      </v:textbox>
                    </v:shape>
                  </w:pict>
                </mc:Fallback>
              </mc:AlternateContent>
            </w: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hideMark/>
          </w:tcPr>
          <w:p w14:paraId="6B76AE1A" w14:textId="77777777" w:rsidR="00B930EF" w:rsidRPr="00454CF6" w:rsidRDefault="00B930EF" w:rsidP="007C1E5E">
            <w:pPr>
              <w:spacing w:line="256" w:lineRule="auto"/>
              <w:rPr>
                <w:rFonts w:ascii="Arial" w:eastAsia="Times New Roman" w:hAnsi="Arial" w:cs="Arial"/>
                <w:noProof/>
                <w:sz w:val="36"/>
                <w:szCs w:val="36"/>
                <w:lang w:val="en-US" w:eastAsia="fr-BE"/>
              </w:rPr>
            </w:pP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hideMark/>
          </w:tcPr>
          <w:p w14:paraId="43021B46"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hideMark/>
          </w:tcPr>
          <w:p w14:paraId="42DD21C6"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hideMark/>
          </w:tcPr>
          <w:p w14:paraId="38657E80"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28B2B89D"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6B6116C8"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06B3D5E5"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3C216093" w14:textId="77777777" w:rsidR="00B930EF" w:rsidRPr="00454CF6" w:rsidRDefault="00B930EF" w:rsidP="007C1E5E">
            <w:pPr>
              <w:spacing w:line="256" w:lineRule="auto"/>
              <w:rPr>
                <w:rFonts w:ascii="Calibri" w:eastAsia="Calibri" w:hAnsi="Calibri"/>
                <w:noProof/>
                <w:sz w:val="20"/>
                <w:szCs w:val="20"/>
                <w:lang w:eastAsia="en-GB"/>
              </w:rPr>
            </w:pPr>
          </w:p>
        </w:tc>
      </w:tr>
      <w:tr w:rsidR="00B930EF" w:rsidRPr="00153595" w14:paraId="31C05CA4" w14:textId="77777777" w:rsidTr="007C1E5E">
        <w:trPr>
          <w:trHeight w:val="1002"/>
        </w:trPr>
        <w:tc>
          <w:tcPr>
            <w:tcW w:w="1226"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1AFD7E93" w14:textId="77777777" w:rsidR="00B930EF" w:rsidRPr="00454CF6" w:rsidRDefault="00B930EF" w:rsidP="007C1E5E">
            <w:pPr>
              <w:spacing w:line="256" w:lineRule="auto"/>
              <w:rPr>
                <w:rFonts w:ascii="Calibri" w:eastAsia="Calibri" w:hAnsi="Calibri"/>
                <w:noProof/>
                <w:sz w:val="20"/>
                <w:szCs w:val="20"/>
                <w:lang w:eastAsia="en-GB"/>
              </w:rPr>
            </w:pPr>
          </w:p>
        </w:tc>
        <w:tc>
          <w:tcPr>
            <w:tcW w:w="1586"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09ED8228" w14:textId="77777777" w:rsidR="00B930EF" w:rsidRPr="00454CF6" w:rsidRDefault="00B930EF" w:rsidP="007C1E5E">
            <w:pPr>
              <w:spacing w:line="256" w:lineRule="auto"/>
              <w:rPr>
                <w:rFonts w:ascii="Calibri" w:eastAsia="Calibri" w:hAnsi="Calibri"/>
                <w:noProof/>
                <w:sz w:val="20"/>
                <w:szCs w:val="20"/>
                <w:lang w:eastAsia="en-GB"/>
              </w:rPr>
            </w:pPr>
          </w:p>
        </w:tc>
        <w:tc>
          <w:tcPr>
            <w:tcW w:w="1587"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vAlign w:val="center"/>
            <w:hideMark/>
          </w:tcPr>
          <w:p w14:paraId="77A6E735" w14:textId="77777777" w:rsidR="00B930EF" w:rsidRPr="00454CF6" w:rsidRDefault="00B930EF" w:rsidP="007C1E5E">
            <w:pPr>
              <w:spacing w:line="256" w:lineRule="auto"/>
              <w:rPr>
                <w:rFonts w:ascii="Calibri" w:eastAsia="Calibri" w:hAnsi="Calibri"/>
                <w:noProof/>
                <w:sz w:val="20"/>
                <w:szCs w:val="20"/>
                <w:lang w:eastAsia="en-GB"/>
              </w:rPr>
            </w:pPr>
          </w:p>
        </w:tc>
        <w:tc>
          <w:tcPr>
            <w:tcW w:w="1533" w:type="dxa"/>
            <w:tcBorders>
              <w:top w:val="single" w:sz="8" w:space="0" w:color="BFBFBF"/>
              <w:left w:val="single" w:sz="8" w:space="0" w:color="BFBFBF"/>
              <w:bottom w:val="single" w:sz="8" w:space="0" w:color="BFBFBF"/>
              <w:right w:val="single" w:sz="8" w:space="0" w:color="BFBFBF"/>
            </w:tcBorders>
            <w:shd w:val="clear" w:color="auto" w:fill="DD7E6B"/>
            <w:tcMar>
              <w:top w:w="72" w:type="dxa"/>
              <w:left w:w="144" w:type="dxa"/>
              <w:bottom w:w="72" w:type="dxa"/>
              <w:right w:w="144" w:type="dxa"/>
            </w:tcMar>
            <w:hideMark/>
          </w:tcPr>
          <w:p w14:paraId="5900E2AD" w14:textId="77777777" w:rsidR="00B930EF" w:rsidRPr="00454CF6" w:rsidRDefault="00B930EF" w:rsidP="007C1E5E">
            <w:pPr>
              <w:jc w:val="center"/>
              <w:textAlignment w:val="baseline"/>
              <w:rPr>
                <w:rFonts w:ascii="Arial" w:eastAsia="Times New Roman" w:hAnsi="Arial" w:cs="Arial"/>
                <w:noProof/>
                <w:sz w:val="36"/>
                <w:szCs w:val="36"/>
                <w:lang w:val="en-US" w:eastAsia="fr-BE"/>
              </w:rPr>
            </w:pPr>
            <w:r w:rsidRPr="00454CF6">
              <w:rPr>
                <w:rFonts w:ascii="Calibri" w:eastAsia="Calibri" w:hAnsi="Calibri" w:cs="Calibri"/>
                <w:noProof/>
                <w:color w:val="FFFFFF"/>
                <w:kern w:val="24"/>
                <w:lang w:val="en-US" w:eastAsia="fr-BE"/>
              </w:rPr>
              <w:t xml:space="preserve">Set up  Capacity-Building </w:t>
            </w:r>
            <w:r>
              <w:rPr>
                <w:rFonts w:ascii="Calibri" w:eastAsia="Calibri" w:hAnsi="Calibri" w:cs="Calibri"/>
                <w:noProof/>
                <w:color w:val="FFFFFF"/>
                <w:kern w:val="24"/>
                <w:lang w:val="en-US" w:eastAsia="fr-BE"/>
              </w:rPr>
              <w:t>Group</w:t>
            </w: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hideMark/>
          </w:tcPr>
          <w:p w14:paraId="1204DB98" w14:textId="77777777" w:rsidR="00B930EF" w:rsidRPr="00454CF6" w:rsidRDefault="00B930EF" w:rsidP="007C1E5E">
            <w:pPr>
              <w:rPr>
                <w:rFonts w:ascii="Arial" w:eastAsia="Times New Roman" w:hAnsi="Arial" w:cs="Arial"/>
                <w:noProof/>
                <w:sz w:val="36"/>
                <w:szCs w:val="36"/>
                <w:lang w:val="en-US" w:eastAsia="fr-BE"/>
              </w:rPr>
            </w:pPr>
            <w:r w:rsidRPr="00454CF6">
              <w:rPr>
                <w:rFonts w:ascii="Calibri" w:eastAsia="Calibri" w:hAnsi="Calibri"/>
                <w:noProof/>
                <w:lang w:eastAsia="en-GB"/>
              </w:rPr>
              <mc:AlternateContent>
                <mc:Choice Requires="wps">
                  <w:drawing>
                    <wp:anchor distT="0" distB="0" distL="114300" distR="114300" simplePos="0" relativeHeight="251664384" behindDoc="0" locked="0" layoutInCell="1" allowOverlap="1" wp14:anchorId="3C709EF7" wp14:editId="478F2CCB">
                      <wp:simplePos x="0" y="0"/>
                      <wp:positionH relativeFrom="column">
                        <wp:posOffset>-77470</wp:posOffset>
                      </wp:positionH>
                      <wp:positionV relativeFrom="paragraph">
                        <wp:posOffset>-43180</wp:posOffset>
                      </wp:positionV>
                      <wp:extent cx="2537460" cy="710360"/>
                      <wp:effectExtent l="0" t="0" r="0" b="0"/>
                      <wp:wrapNone/>
                      <wp:docPr id="13" name="Google Shape;139;p3"/>
                      <wp:cNvGraphicFramePr/>
                      <a:graphic xmlns:a="http://schemas.openxmlformats.org/drawingml/2006/main">
                        <a:graphicData uri="http://schemas.microsoft.com/office/word/2010/wordprocessingShape">
                          <wps:wsp>
                            <wps:cNvSpPr/>
                            <wps:spPr>
                              <a:xfrm>
                                <a:off x="0" y="0"/>
                                <a:ext cx="2537460" cy="710360"/>
                              </a:xfrm>
                              <a:prstGeom prst="homePlate">
                                <a:avLst>
                                  <a:gd name="adj" fmla="val 50000"/>
                                </a:avLst>
                              </a:prstGeom>
                              <a:solidFill>
                                <a:srgbClr val="DD7E6B"/>
                              </a:solidFill>
                              <a:ln>
                                <a:noFill/>
                              </a:ln>
                            </wps:spPr>
                            <wps:txbx>
                              <w:txbxContent>
                                <w:p w14:paraId="31685C92" w14:textId="77777777" w:rsidR="00B930EF" w:rsidRDefault="00B930EF" w:rsidP="00B930EF">
                                  <w:pPr>
                                    <w:pStyle w:val="NormalWeb"/>
                                    <w:spacing w:after="0"/>
                                    <w:jc w:val="center"/>
                                    <w:textAlignment w:val="baseline"/>
                                  </w:pPr>
                                  <w:r>
                                    <w:rPr>
                                      <w:rFonts w:ascii="Calibri" w:eastAsia="Calibri" w:hAnsi="Calibri" w:cs="Calibri"/>
                                      <w:color w:val="FFFFFF"/>
                                      <w:kern w:val="24"/>
                                      <w:sz w:val="22"/>
                                      <w:szCs w:val="22"/>
                                      <w:lang w:val="en-US"/>
                                    </w:rPr>
                                    <w:t>Feasibility Study</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709EF7" id="Google Shape;139;p3" o:spid="_x0000_s1033" type="#_x0000_t15" style="position:absolute;margin-left:-6.1pt;margin-top:-3.4pt;width:199.8pt;height:5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" adj="18577" fillcolor="#dd7e6b" stroked="f">
                      <v:textbox inset="2.53958mm,1.2694mm,2.53958mm,1.2694mm">
                        <w:txbxContent>
                          <w:p w14:paraId="31685C92" w14:textId="77777777" w:rsidR="00B930EF" w:rsidRDefault="00B930EF" w:rsidP="00B930EF">
                            <w:pPr>
                              <w:pStyle w:val="NormalWeb"/>
                              <w:spacing w:after="0"/>
                              <w:jc w:val="center"/>
                              <w:textAlignment w:val="baseline"/>
                            </w:pPr>
                            <w:r>
                              <w:rPr>
                                <w:rFonts w:ascii="Calibri" w:eastAsia="Calibri" w:hAnsi="Calibri" w:cs="Calibri"/>
                                <w:color w:val="FFFFFF"/>
                                <w:kern w:val="24"/>
                                <w:sz w:val="22"/>
                                <w:szCs w:val="22"/>
                                <w:lang w:val="en-US"/>
                              </w:rPr>
                              <w:t>Feasibility Study</w:t>
                            </w:r>
                          </w:p>
                        </w:txbxContent>
                      </v:textbox>
                    </v:shape>
                  </w:pict>
                </mc:Fallback>
              </mc:AlternateContent>
            </w: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hideMark/>
          </w:tcPr>
          <w:p w14:paraId="5F691A67" w14:textId="77777777" w:rsidR="00B930EF" w:rsidRPr="00454CF6" w:rsidRDefault="00B930EF" w:rsidP="007C1E5E">
            <w:pPr>
              <w:spacing w:line="256" w:lineRule="auto"/>
              <w:rPr>
                <w:rFonts w:ascii="Arial" w:eastAsia="Times New Roman" w:hAnsi="Arial" w:cs="Arial"/>
                <w:noProof/>
                <w:sz w:val="36"/>
                <w:szCs w:val="36"/>
                <w:lang w:val="en-US" w:eastAsia="fr-BE"/>
              </w:rPr>
            </w:pP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hideMark/>
          </w:tcPr>
          <w:p w14:paraId="5E26C67F" w14:textId="77777777" w:rsidR="00B930EF" w:rsidRPr="00454CF6" w:rsidRDefault="00B930EF" w:rsidP="007C1E5E">
            <w:pPr>
              <w:rPr>
                <w:rFonts w:eastAsia="Times New Roman"/>
                <w:noProof/>
                <w:sz w:val="20"/>
                <w:szCs w:val="20"/>
                <w:lang w:val="en-IE" w:eastAsia="fr-BE"/>
              </w:rPr>
            </w:pPr>
            <w:r w:rsidRPr="00454CF6">
              <w:rPr>
                <w:rFonts w:ascii="Calibri" w:eastAsia="Calibri" w:hAnsi="Calibri"/>
                <w:noProof/>
                <w:lang w:eastAsia="en-GB"/>
              </w:rPr>
              <mc:AlternateContent>
                <mc:Choice Requires="wps">
                  <w:drawing>
                    <wp:anchor distT="0" distB="0" distL="114300" distR="114300" simplePos="0" relativeHeight="251673600" behindDoc="0" locked="0" layoutInCell="1" allowOverlap="1" wp14:anchorId="5AB63106" wp14:editId="1A83A5BF">
                      <wp:simplePos x="0" y="0"/>
                      <wp:positionH relativeFrom="column">
                        <wp:posOffset>1031239</wp:posOffset>
                      </wp:positionH>
                      <wp:positionV relativeFrom="paragraph">
                        <wp:posOffset>-31750</wp:posOffset>
                      </wp:positionV>
                      <wp:extent cx="1914525" cy="702373"/>
                      <wp:effectExtent l="0" t="0" r="9525" b="2540"/>
                      <wp:wrapNone/>
                      <wp:docPr id="14" name="Google Shape;139;p3"/>
                      <wp:cNvGraphicFramePr/>
                      <a:graphic xmlns:a="http://schemas.openxmlformats.org/drawingml/2006/main">
                        <a:graphicData uri="http://schemas.microsoft.com/office/word/2010/wordprocessingShape">
                          <wps:wsp>
                            <wps:cNvSpPr/>
                            <wps:spPr>
                              <a:xfrm>
                                <a:off x="0" y="0"/>
                                <a:ext cx="1914525" cy="702373"/>
                              </a:xfrm>
                              <a:prstGeom prst="homePlate">
                                <a:avLst>
                                  <a:gd name="adj" fmla="val 50000"/>
                                </a:avLst>
                              </a:prstGeom>
                              <a:solidFill>
                                <a:srgbClr val="DD7E6B"/>
                              </a:solidFill>
                              <a:ln>
                                <a:noFill/>
                              </a:ln>
                            </wps:spPr>
                            <wps:txbx>
                              <w:txbxContent>
                                <w:p w14:paraId="1A1BEDB7" w14:textId="77777777" w:rsidR="00B930EF" w:rsidRDefault="00B930EF" w:rsidP="00B930EF">
                                  <w:pPr>
                                    <w:pStyle w:val="NormalWeb"/>
                                    <w:spacing w:after="0"/>
                                    <w:jc w:val="center"/>
                                    <w:textAlignment w:val="baseline"/>
                                  </w:pPr>
                                  <w:r>
                                    <w:rPr>
                                      <w:rFonts w:ascii="Calibri" w:eastAsia="Calibri" w:hAnsi="Calibri" w:cs="Calibri"/>
                                      <w:color w:val="FFFFFF"/>
                                      <w:kern w:val="24"/>
                                      <w:sz w:val="22"/>
                                      <w:szCs w:val="22"/>
                                      <w:lang w:val="en-US"/>
                                    </w:rPr>
                                    <w:t>EU Training Programme Curricula</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B63106" id="_x0000_s1034" type="#_x0000_t15" style="position:absolute;margin-left:81.2pt;margin-top:-2.5pt;width:150.75pt;height:5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" adj="17638" fillcolor="#dd7e6b" stroked="f">
                      <v:textbox inset="2.53958mm,1.2694mm,2.53958mm,1.2694mm">
                        <w:txbxContent>
                          <w:p w14:paraId="1A1BEDB7" w14:textId="77777777" w:rsidR="00B930EF" w:rsidRDefault="00B930EF" w:rsidP="00B930EF">
                            <w:pPr>
                              <w:pStyle w:val="NormalWeb"/>
                              <w:spacing w:after="0"/>
                              <w:jc w:val="center"/>
                              <w:textAlignment w:val="baseline"/>
                            </w:pPr>
                            <w:r>
                              <w:rPr>
                                <w:rFonts w:ascii="Calibri" w:eastAsia="Calibri" w:hAnsi="Calibri" w:cs="Calibri"/>
                                <w:color w:val="FFFFFF"/>
                                <w:kern w:val="24"/>
                                <w:sz w:val="22"/>
                                <w:szCs w:val="22"/>
                                <w:lang w:val="en-US"/>
                              </w:rPr>
                              <w:t>EU Training Programme Curricula</w:t>
                            </w:r>
                          </w:p>
                        </w:txbxContent>
                      </v:textbox>
                    </v:shape>
                  </w:pict>
                </mc:Fallback>
              </mc:AlternateContent>
            </w:r>
          </w:p>
        </w:tc>
        <w:tc>
          <w:tcPr>
            <w:tcW w:w="1224" w:type="dxa"/>
            <w:tcBorders>
              <w:top w:val="single" w:sz="8" w:space="0" w:color="BFBFBF"/>
              <w:left w:val="single" w:sz="8" w:space="0" w:color="BFBFBF"/>
              <w:bottom w:val="single" w:sz="8" w:space="0" w:color="BFBFBF"/>
              <w:right w:val="single" w:sz="8" w:space="0" w:color="BFBFBF"/>
            </w:tcBorders>
            <w:shd w:val="clear" w:color="auto" w:fill="D3E8F9"/>
            <w:tcMar>
              <w:top w:w="72" w:type="dxa"/>
              <w:left w:w="144" w:type="dxa"/>
              <w:bottom w:w="72" w:type="dxa"/>
              <w:right w:w="144" w:type="dxa"/>
            </w:tcMar>
            <w:hideMark/>
          </w:tcPr>
          <w:p w14:paraId="1099D141" w14:textId="77777777" w:rsidR="00B930EF" w:rsidRPr="00454CF6" w:rsidRDefault="00B930EF" w:rsidP="007C1E5E">
            <w:pPr>
              <w:spacing w:line="256" w:lineRule="auto"/>
              <w:rPr>
                <w:rFonts w:eastAsia="Times New Roman"/>
                <w:noProof/>
                <w:sz w:val="20"/>
                <w:szCs w:val="20"/>
                <w:lang w:val="en-IE" w:eastAsia="fr-BE"/>
              </w:rPr>
            </w:pP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77FD594A" w14:textId="77777777" w:rsidR="00B930EF" w:rsidRPr="00454CF6" w:rsidRDefault="00B930EF" w:rsidP="007C1E5E">
            <w:pPr>
              <w:rPr>
                <w:rFonts w:eastAsia="Times New Roman"/>
                <w:noProof/>
                <w:sz w:val="20"/>
                <w:szCs w:val="20"/>
                <w:lang w:val="en-IE" w:eastAsia="fr-BE"/>
              </w:rPr>
            </w:pPr>
            <w:r w:rsidRPr="00454CF6">
              <w:rPr>
                <w:rFonts w:ascii="Calibri" w:eastAsia="Calibri" w:hAnsi="Calibri"/>
                <w:noProof/>
                <w:lang w:eastAsia="en-GB"/>
              </w:rPr>
              <mc:AlternateContent>
                <mc:Choice Requires="wps">
                  <w:drawing>
                    <wp:anchor distT="0" distB="0" distL="114300" distR="114300" simplePos="0" relativeHeight="251677696" behindDoc="0" locked="0" layoutInCell="1" allowOverlap="1" wp14:anchorId="477A5FD0" wp14:editId="3CBA76B8">
                      <wp:simplePos x="0" y="0"/>
                      <wp:positionH relativeFrom="column">
                        <wp:posOffset>1476375</wp:posOffset>
                      </wp:positionH>
                      <wp:positionV relativeFrom="paragraph">
                        <wp:posOffset>-43180</wp:posOffset>
                      </wp:positionV>
                      <wp:extent cx="1447165" cy="709930"/>
                      <wp:effectExtent l="0" t="0" r="635" b="0"/>
                      <wp:wrapNone/>
                      <wp:docPr id="15" name="Google Shape;139;p3"/>
                      <wp:cNvGraphicFramePr/>
                      <a:graphic xmlns:a="http://schemas.openxmlformats.org/drawingml/2006/main">
                        <a:graphicData uri="http://schemas.microsoft.com/office/word/2010/wordprocessingShape">
                          <wps:wsp>
                            <wps:cNvSpPr/>
                            <wps:spPr>
                              <a:xfrm>
                                <a:off x="0" y="0"/>
                                <a:ext cx="1447165" cy="709930"/>
                              </a:xfrm>
                              <a:prstGeom prst="homePlate">
                                <a:avLst>
                                  <a:gd name="adj" fmla="val 50000"/>
                                </a:avLst>
                              </a:prstGeom>
                              <a:solidFill>
                                <a:srgbClr val="DD7E6B"/>
                              </a:solidFill>
                              <a:ln>
                                <a:noFill/>
                              </a:ln>
                            </wps:spPr>
                            <wps:txbx>
                              <w:txbxContent>
                                <w:p w14:paraId="5DE04533" w14:textId="77777777" w:rsidR="00B930EF" w:rsidRDefault="00B930EF" w:rsidP="00B930EF">
                                  <w:pPr>
                                    <w:pStyle w:val="NormalWeb"/>
                                    <w:spacing w:after="0"/>
                                    <w:jc w:val="center"/>
                                    <w:textAlignment w:val="baseline"/>
                                  </w:pPr>
                                  <w:r>
                                    <w:rPr>
                                      <w:rFonts w:ascii="Calibri" w:eastAsia="Calibri" w:hAnsi="Calibri" w:cs="Calibri"/>
                                      <w:color w:val="FFFFFF"/>
                                      <w:kern w:val="24"/>
                                      <w:sz w:val="22"/>
                                      <w:szCs w:val="22"/>
                                      <w:lang w:val="en-US"/>
                                    </w:rPr>
                                    <w:t>Programme Kick-off</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7A5FD0" id="_x0000_s1035" type="#_x0000_t15" style="position:absolute;margin-left:116.25pt;margin-top:-3.4pt;width:113.95pt;height:5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" adj="16302" fillcolor="#dd7e6b" stroked="f">
                      <v:textbox inset="2.53958mm,1.2694mm,2.53958mm,1.2694mm">
                        <w:txbxContent>
                          <w:p w14:paraId="5DE04533" w14:textId="77777777" w:rsidR="00B930EF" w:rsidRDefault="00B930EF" w:rsidP="00B930EF">
                            <w:pPr>
                              <w:pStyle w:val="NormalWeb"/>
                              <w:spacing w:after="0"/>
                              <w:jc w:val="center"/>
                              <w:textAlignment w:val="baseline"/>
                            </w:pPr>
                            <w:r>
                              <w:rPr>
                                <w:rFonts w:ascii="Calibri" w:eastAsia="Calibri" w:hAnsi="Calibri" w:cs="Calibri"/>
                                <w:color w:val="FFFFFF"/>
                                <w:kern w:val="24"/>
                                <w:sz w:val="22"/>
                                <w:szCs w:val="22"/>
                                <w:lang w:val="en-US"/>
                              </w:rPr>
                              <w:t>Programme Kick-off</w:t>
                            </w:r>
                          </w:p>
                        </w:txbxContent>
                      </v:textbox>
                    </v:shape>
                  </w:pict>
                </mc:Fallback>
              </mc:AlternateContent>
            </w: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4D57724E" w14:textId="77777777" w:rsidR="00B930EF" w:rsidRPr="00454CF6" w:rsidRDefault="00B930EF" w:rsidP="007C1E5E">
            <w:pPr>
              <w:spacing w:line="256" w:lineRule="auto"/>
              <w:rPr>
                <w:rFonts w:eastAsia="Times New Roman"/>
                <w:noProof/>
                <w:sz w:val="20"/>
                <w:szCs w:val="20"/>
                <w:lang w:val="en-IE" w:eastAsia="fr-BE"/>
              </w:rPr>
            </w:pP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2EC8EF15" w14:textId="77777777" w:rsidR="00B930EF" w:rsidRPr="00454CF6" w:rsidRDefault="00B930EF" w:rsidP="007C1E5E">
            <w:pPr>
              <w:spacing w:line="256" w:lineRule="auto"/>
              <w:rPr>
                <w:rFonts w:ascii="Calibri" w:eastAsia="Calibri" w:hAnsi="Calibri"/>
                <w:noProof/>
                <w:sz w:val="20"/>
                <w:szCs w:val="20"/>
                <w:lang w:eastAsia="en-GB"/>
              </w:rPr>
            </w:pPr>
          </w:p>
        </w:tc>
        <w:tc>
          <w:tcPr>
            <w:tcW w:w="1224" w:type="dxa"/>
            <w:tcBorders>
              <w:top w:val="single" w:sz="8" w:space="0" w:color="BFBFBF"/>
              <w:left w:val="single" w:sz="8" w:space="0" w:color="BFBFBF"/>
              <w:bottom w:val="single" w:sz="8" w:space="0" w:color="BFBFBF"/>
              <w:right w:val="single" w:sz="8" w:space="0" w:color="BFBFBF"/>
            </w:tcBorders>
            <w:tcMar>
              <w:top w:w="72" w:type="dxa"/>
              <w:left w:w="144" w:type="dxa"/>
              <w:bottom w:w="72" w:type="dxa"/>
              <w:right w:w="144" w:type="dxa"/>
            </w:tcMar>
            <w:hideMark/>
          </w:tcPr>
          <w:p w14:paraId="6D88BCD0" w14:textId="77777777" w:rsidR="00B930EF" w:rsidRPr="00454CF6" w:rsidRDefault="00B930EF" w:rsidP="007C1E5E">
            <w:pPr>
              <w:spacing w:line="256" w:lineRule="auto"/>
              <w:rPr>
                <w:rFonts w:ascii="Calibri" w:eastAsia="Calibri" w:hAnsi="Calibri"/>
                <w:noProof/>
                <w:sz w:val="20"/>
                <w:szCs w:val="20"/>
                <w:lang w:eastAsia="en-GB"/>
              </w:rPr>
            </w:pPr>
          </w:p>
        </w:tc>
      </w:tr>
    </w:tbl>
    <w:p w14:paraId="3BAEDAC4" w14:textId="77777777" w:rsidR="00B930EF" w:rsidRPr="00B930EF" w:rsidRDefault="00B930EF" w:rsidP="001926CB">
      <w:pPr>
        <w:jc w:val="both"/>
        <w:rPr>
          <w:b/>
          <w:noProof/>
          <w:lang w:val="en-IE"/>
        </w:rPr>
      </w:pPr>
    </w:p>
    <w:sectPr w:rsidR="00B930EF" w:rsidRPr="00B930EF" w:rsidSect="00F37385">
      <w:headerReference w:type="even" r:id="rId33"/>
      <w:headerReference w:type="default" r:id="rId34"/>
      <w:footerReference w:type="even" r:id="rId35"/>
      <w:footerReference w:type="default" r:id="rId36"/>
      <w:headerReference w:type="first" r:id="rId37"/>
      <w:footerReference w:type="first" r:id="rId38"/>
      <w:pgSz w:w="15840" w:h="12240"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F43B" w16cex:dateUtc="2022-05-18T20:39:00Z"/>
  <w16cex:commentExtensible w16cex:durableId="262FF400" w16cex:dateUtc="2022-05-18T20:38:00Z"/>
  <w16cex:commentExtensible w16cex:durableId="262FF47F" w16cex:dateUtc="2022-05-18T20:41:00Z"/>
  <w16cex:commentExtensible w16cex:durableId="262FF4BB" w16cex:dateUtc="2022-05-18T20:42:00Z"/>
  <w16cex:commentExtensible w16cex:durableId="262FF820" w16cex:dateUtc="2022-05-18T20:56:00Z"/>
  <w16cex:commentExtensible w16cex:durableId="262FF6C6" w16cex:dateUtc="2022-05-18T20:50:00Z"/>
  <w16cex:commentExtensible w16cex:durableId="262FF6FB" w16cex:dateUtc="2022-05-18T20:51:00Z"/>
  <w16cex:commentExtensible w16cex:durableId="262FF908" w16cex:dateUtc="2022-05-18T21:00:00Z"/>
  <w16cex:commentExtensible w16cex:durableId="2630659D" w16cex:dateUtc="2022-05-19T04:43:00Z"/>
  <w16cex:commentExtensible w16cex:durableId="26306647" w16cex:dateUtc="2022-05-19T04:46:00Z"/>
  <w16cex:commentExtensible w16cex:durableId="26306648" w16cex:dateUtc="2022-05-19T04:46:00Z"/>
  <w16cex:commentExtensible w16cex:durableId="26306A02" w16cex:dateUtc="2022-05-19T05:02:00Z"/>
  <w16cex:commentExtensible w16cex:durableId="2630687A" w16cex:dateUtc="2022-05-19T04:55:00Z"/>
  <w16cex:commentExtensible w16cex:durableId="26306EB5" w16cex:dateUtc="2022-05-19T05:22:00Z"/>
  <w16cex:commentExtensible w16cex:durableId="26306F31" w16cex:dateUtc="2022-05-19T05:24:00Z"/>
  <w16cex:commentExtensible w16cex:durableId="26306F7F" w16cex:dateUtc="2022-05-19T05:25:00Z"/>
  <w16cex:commentExtensible w16cex:durableId="26307497" w16cex:dateUtc="2022-05-19T05:47:00Z"/>
  <w16cex:commentExtensible w16cex:durableId="263070A0" w16cex:dateUtc="2022-05-19T05:30:00Z"/>
  <w16cex:commentExtensible w16cex:durableId="26307092" w16cex:dateUtc="2022-05-19T05:30:00Z"/>
  <w16cex:commentExtensible w16cex:durableId="263070D0" w16cex:dateUtc="2022-05-19T05:31:00Z"/>
  <w16cex:commentExtensible w16cex:durableId="26307144" w16cex:dateUtc="2022-05-19T05:33:00Z"/>
  <w16cex:commentExtensible w16cex:durableId="2630711E" w16cex:dateUtc="2022-05-19T05:32:00Z"/>
  <w16cex:commentExtensible w16cex:durableId="262FEDA7" w16cex:dateUtc="2022-05-17T09:57:00Z"/>
  <w16cex:commentExtensible w16cex:durableId="262FEDA8" w16cex:dateUtc="2022-05-17T09:58:00Z"/>
  <w16cex:commentExtensible w16cex:durableId="2630730C" w16cex:dateUtc="2022-05-19T05:41:00Z"/>
  <w16cex:commentExtensible w16cex:durableId="2630742B" w16cex:dateUtc="2022-05-19T05:45:00Z"/>
  <w16cex:commentExtensible w16cex:durableId="263074C5" w16cex:dateUtc="2022-05-19T05:48:00Z"/>
  <w16cex:commentExtensible w16cex:durableId="2630775D" w16cex:dateUtc="2022-05-19T05:59:00Z"/>
  <w16cex:commentExtensible w16cex:durableId="26307549" w16cex:dateUtc="2022-05-19T05:50:00Z"/>
  <w16cex:commentExtensible w16cex:durableId="262FEDA9" w16cex:dateUtc="2022-05-17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2062DC" w16cid:durableId="262FF43B"/>
  <w16cid:commentId w16cid:paraId="142D1FEC" w16cid:durableId="262FF400"/>
  <w16cid:commentId w16cid:paraId="25E53286" w16cid:durableId="262FF47F"/>
  <w16cid:commentId w16cid:paraId="4F2038DB" w16cid:durableId="262FF4BB"/>
  <w16cid:commentId w16cid:paraId="7378F62A" w16cid:durableId="262FF820"/>
  <w16cid:commentId w16cid:paraId="1F6C9D8E" w16cid:durableId="262FF6C6"/>
  <w16cid:commentId w16cid:paraId="03247523" w16cid:durableId="262FF6FB"/>
  <w16cid:commentId w16cid:paraId="3D57F74D" w16cid:durableId="262FF908"/>
  <w16cid:commentId w16cid:paraId="73B8A297" w16cid:durableId="2630659D"/>
  <w16cid:commentId w16cid:paraId="0CA11C54" w16cid:durableId="26306647"/>
  <w16cid:commentId w16cid:paraId="75D07285" w16cid:durableId="26306648"/>
  <w16cid:commentId w16cid:paraId="1F9B4DFE" w16cid:durableId="26306A02"/>
  <w16cid:commentId w16cid:paraId="1D8E66C8" w16cid:durableId="2630687A"/>
  <w16cid:commentId w16cid:paraId="0F9399D5" w16cid:durableId="26306EB5"/>
  <w16cid:commentId w16cid:paraId="230BC999" w16cid:durableId="26306F31"/>
  <w16cid:commentId w16cid:paraId="1741621C" w16cid:durableId="26306F7F"/>
  <w16cid:commentId w16cid:paraId="43B4947F" w16cid:durableId="26307497"/>
  <w16cid:commentId w16cid:paraId="35184114" w16cid:durableId="263070A0"/>
  <w16cid:commentId w16cid:paraId="34202578" w16cid:durableId="26307092"/>
  <w16cid:commentId w16cid:paraId="61A6564C" w16cid:durableId="263070D0"/>
  <w16cid:commentId w16cid:paraId="1CBB9215" w16cid:durableId="26307144"/>
  <w16cid:commentId w16cid:paraId="0C9D4AB4" w16cid:durableId="2630711E"/>
  <w16cid:commentId w16cid:paraId="576BEFB5" w16cid:durableId="262FEDA7"/>
  <w16cid:commentId w16cid:paraId="0EF2B0D0" w16cid:durableId="262FEDA8"/>
  <w16cid:commentId w16cid:paraId="46ABAD77" w16cid:durableId="2630730C"/>
  <w16cid:commentId w16cid:paraId="087D94C8" w16cid:durableId="2630742B"/>
  <w16cid:commentId w16cid:paraId="0354301A" w16cid:durableId="263074C5"/>
  <w16cid:commentId w16cid:paraId="6748E52E" w16cid:durableId="2630775D"/>
  <w16cid:commentId w16cid:paraId="1C88B467" w16cid:durableId="26307549"/>
  <w16cid:commentId w16cid:paraId="0F75CFB7" w16cid:durableId="262FED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EA380" w14:textId="77777777" w:rsidR="00E3345E" w:rsidRDefault="00E3345E" w:rsidP="00AA655D">
      <w:r>
        <w:separator/>
      </w:r>
    </w:p>
  </w:endnote>
  <w:endnote w:type="continuationSeparator" w:id="0">
    <w:p w14:paraId="04B17DF7" w14:textId="77777777" w:rsidR="00E3345E" w:rsidRDefault="00E3345E" w:rsidP="00AA6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ebkit-standard">
    <w:altName w:val="Times New Roman"/>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2EFA5" w14:textId="77777777" w:rsidR="00FC56A0" w:rsidRPr="00FC56A0" w:rsidRDefault="00FC56A0" w:rsidP="00FC5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3412E" w14:textId="59EB7C2C" w:rsidR="00162755" w:rsidRPr="00FC56A0" w:rsidRDefault="00FC56A0" w:rsidP="00FC56A0">
    <w:pPr>
      <w:pStyle w:val="FooterCoverPage"/>
      <w:rPr>
        <w:rFonts w:ascii="Arial" w:hAnsi="Arial" w:cs="Arial"/>
        <w:b/>
        <w:sz w:val="48"/>
      </w:rPr>
    </w:pPr>
    <w:r w:rsidRPr="00FC56A0">
      <w:rPr>
        <w:rFonts w:ascii="Arial" w:hAnsi="Arial" w:cs="Arial"/>
        <w:b/>
        <w:sz w:val="48"/>
      </w:rPr>
      <w:t>EN</w:t>
    </w:r>
    <w:r w:rsidRPr="00FC56A0">
      <w:rPr>
        <w:rFonts w:ascii="Arial" w:hAnsi="Arial" w:cs="Arial"/>
        <w:b/>
        <w:sz w:val="48"/>
      </w:rPr>
      <w:tab/>
    </w:r>
    <w:r w:rsidRPr="00FC56A0">
      <w:rPr>
        <w:rFonts w:ascii="Arial" w:hAnsi="Arial" w:cs="Arial"/>
        <w:b/>
        <w:sz w:val="48"/>
      </w:rPr>
      <w:tab/>
    </w:r>
    <w:r w:rsidRPr="00FC56A0">
      <w:tab/>
    </w:r>
    <w:r w:rsidRPr="00FC56A0">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B1192" w14:textId="77777777" w:rsidR="00FC56A0" w:rsidRPr="00FC56A0" w:rsidRDefault="00FC56A0" w:rsidP="00FC56A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46841" w14:textId="77777777" w:rsidR="009A3092" w:rsidRDefault="009A30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2301958"/>
      <w:docPartObj>
        <w:docPartGallery w:val="Page Numbers (Bottom of Page)"/>
        <w:docPartUnique/>
      </w:docPartObj>
    </w:sdtPr>
    <w:sdtEndPr>
      <w:rPr>
        <w:noProof/>
      </w:rPr>
    </w:sdtEndPr>
    <w:sdtContent>
      <w:p w14:paraId="46D5E56D" w14:textId="6091689E" w:rsidR="009A3092" w:rsidRDefault="009A3092">
        <w:pPr>
          <w:pStyle w:val="Footer"/>
          <w:jc w:val="center"/>
        </w:pPr>
        <w:r>
          <w:fldChar w:fldCharType="begin"/>
        </w:r>
        <w:r>
          <w:instrText xml:space="preserve"> PAGE   \* MERGEFORMAT </w:instrText>
        </w:r>
        <w:r>
          <w:fldChar w:fldCharType="separate"/>
        </w:r>
        <w:r w:rsidR="00FC56A0">
          <w:rPr>
            <w:noProof/>
          </w:rPr>
          <w:t>1</w:t>
        </w:r>
        <w:r>
          <w:rPr>
            <w:noProof/>
          </w:rPr>
          <w:fldChar w:fldCharType="end"/>
        </w:r>
      </w:p>
    </w:sdtContent>
  </w:sdt>
  <w:p w14:paraId="16CF654F" w14:textId="77777777" w:rsidR="009A3092" w:rsidRDefault="009A30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5C932" w14:textId="77777777" w:rsidR="009A3092" w:rsidRDefault="009A309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A35FB" w14:textId="77777777" w:rsidR="00153595" w:rsidRDefault="00FC56A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C5D0B" w14:textId="77777777" w:rsidR="00153595" w:rsidRDefault="00FC56A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6D1D9" w14:textId="77777777" w:rsidR="00153595" w:rsidRDefault="00FC5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7B4B9" w14:textId="77777777" w:rsidR="00E3345E" w:rsidRDefault="00E3345E" w:rsidP="00AA655D">
      <w:r>
        <w:separator/>
      </w:r>
    </w:p>
  </w:footnote>
  <w:footnote w:type="continuationSeparator" w:id="0">
    <w:p w14:paraId="7640760E" w14:textId="77777777" w:rsidR="00E3345E" w:rsidRDefault="00E3345E" w:rsidP="00AA655D">
      <w:r>
        <w:continuationSeparator/>
      </w:r>
    </w:p>
  </w:footnote>
  <w:footnote w:id="1">
    <w:p w14:paraId="2D698357" w14:textId="77777777" w:rsidR="009A3092" w:rsidRDefault="009A3092" w:rsidP="00AA655D">
      <w:pPr>
        <w:jc w:val="both"/>
        <w:rPr>
          <w:sz w:val="20"/>
          <w:szCs w:val="20"/>
        </w:rPr>
      </w:pPr>
      <w:r>
        <w:rPr>
          <w:rStyle w:val="FootnoteReference"/>
        </w:rPr>
        <w:footnoteRef/>
      </w:r>
      <w:r>
        <w:t xml:space="preserve"> </w:t>
      </w:r>
      <w:r>
        <w:rPr>
          <w:noProof/>
          <w:sz w:val="20"/>
          <w:szCs w:val="20"/>
        </w:rPr>
        <w:t>Some Member States’ competent authorities also publicly report on trade in dual-use items.</w:t>
      </w:r>
    </w:p>
  </w:footnote>
  <w:footnote w:id="2">
    <w:p w14:paraId="43E06D68" w14:textId="77777777" w:rsidR="009A3092" w:rsidRPr="008C2769" w:rsidRDefault="009A3092" w:rsidP="005C3629">
      <w:pPr>
        <w:pStyle w:val="FootnoteText"/>
      </w:pPr>
      <w:r>
        <w:rPr>
          <w:rStyle w:val="FootnoteReference"/>
        </w:rPr>
        <w:footnoteRef/>
      </w:r>
      <w:r>
        <w:t xml:space="preserve"> </w:t>
      </w:r>
      <w:r w:rsidRPr="008C2769">
        <w:t xml:space="preserve">Regulation (EU) 2021/821 of the European Parliament and of the Council of 20 May 2021 setting up a Union regime for the control of exports, brokering, technical assistance, transit and transfer of dual-use items (recast) – (OJ L 206, 11.6.2021, p. 1) - </w:t>
      </w:r>
      <w:hyperlink r:id="rId1" w:history="1">
        <w:r w:rsidRPr="0056437E">
          <w:rPr>
            <w:rStyle w:val="Hyperlink"/>
          </w:rPr>
          <w:t>https://eur-lex.europa.eu/eli/reg/2021/821/oj</w:t>
        </w:r>
      </w:hyperlink>
      <w:r>
        <w:t>.</w:t>
      </w:r>
    </w:p>
  </w:footnote>
  <w:footnote w:id="3">
    <w:p w14:paraId="13D20F97" w14:textId="77777777" w:rsidR="009A3092" w:rsidRPr="0082359A" w:rsidRDefault="009A3092">
      <w:pPr>
        <w:pStyle w:val="FootnoteText"/>
        <w:rPr>
          <w:lang w:val="en-US"/>
        </w:rPr>
      </w:pPr>
      <w:r>
        <w:rPr>
          <w:rStyle w:val="FootnoteReference"/>
        </w:rPr>
        <w:footnoteRef/>
      </w:r>
      <w:r>
        <w:t xml:space="preserve"> </w:t>
      </w:r>
      <w:r w:rsidRPr="0082359A">
        <w:rPr>
          <w:lang w:val="en-US"/>
        </w:rPr>
        <w:t>The previous annual report contains a description of key elements of the new Regu</w:t>
      </w:r>
      <w:r w:rsidR="00FC16D0" w:rsidRPr="0082359A">
        <w:rPr>
          <w:lang w:val="en-US"/>
        </w:rPr>
        <w:t>l</w:t>
      </w:r>
      <w:r w:rsidRPr="0082359A">
        <w:rPr>
          <w:lang w:val="en-US"/>
        </w:rPr>
        <w:t>ation (section 2.1.1. legislative modernisation).</w:t>
      </w:r>
    </w:p>
  </w:footnote>
  <w:footnote w:id="4">
    <w:p w14:paraId="7CACE167" w14:textId="77777777" w:rsidR="009A3092" w:rsidRPr="00FC2A23" w:rsidRDefault="009A3092">
      <w:pPr>
        <w:pStyle w:val="FootnoteText"/>
      </w:pPr>
      <w:r>
        <w:rPr>
          <w:rStyle w:val="FootnoteReference"/>
        </w:rPr>
        <w:footnoteRef/>
      </w:r>
      <w:r>
        <w:t xml:space="preserve"> This is also part of our </w:t>
      </w:r>
      <w:r>
        <w:rPr>
          <w:noProof/>
        </w:rPr>
        <w:t xml:space="preserve">"partnership with the private sector", which </w:t>
      </w:r>
      <w:r w:rsidR="00FC16D0">
        <w:rPr>
          <w:noProof/>
        </w:rPr>
        <w:t xml:space="preserve">is </w:t>
      </w:r>
      <w:r>
        <w:rPr>
          <w:noProof/>
        </w:rPr>
        <w:t xml:space="preserve">a key element of the </w:t>
      </w:r>
      <w:r w:rsidRPr="00ED213C">
        <w:rPr>
          <w:noProof/>
          <w:lang w:eastAsia="en-GB"/>
        </w:rPr>
        <w:t>modernisation of EU export controls</w:t>
      </w:r>
      <w:r>
        <w:rPr>
          <w:noProof/>
          <w:lang w:eastAsia="en-GB"/>
        </w:rPr>
        <w:t>.</w:t>
      </w:r>
    </w:p>
  </w:footnote>
  <w:footnote w:id="5">
    <w:p w14:paraId="0F502C8C" w14:textId="67D0E445" w:rsidR="009A3092" w:rsidRPr="0082359A" w:rsidRDefault="009A3092">
      <w:pPr>
        <w:pStyle w:val="FootnoteText"/>
      </w:pPr>
      <w:r>
        <w:rPr>
          <w:rStyle w:val="FootnoteReference"/>
        </w:rPr>
        <w:footnoteRef/>
      </w:r>
      <w:r>
        <w:t xml:space="preserve"> </w:t>
      </w:r>
      <w:r w:rsidRPr="00F840E8">
        <w:t>https://trade.ec.europa.eu/doclib/docs/2021/november/tradoc_159949.pdf</w:t>
      </w:r>
      <w:r>
        <w:t>.</w:t>
      </w:r>
    </w:p>
  </w:footnote>
  <w:footnote w:id="6">
    <w:p w14:paraId="11C9C1B7" w14:textId="77777777" w:rsidR="009A3092" w:rsidRPr="0082359A" w:rsidRDefault="009A3092">
      <w:pPr>
        <w:pStyle w:val="FootnoteText"/>
      </w:pPr>
      <w:r>
        <w:rPr>
          <w:rStyle w:val="FootnoteReference"/>
        </w:rPr>
        <w:footnoteRef/>
      </w:r>
      <w:r w:rsidRPr="0082359A">
        <w:t xml:space="preserve"> </w:t>
      </w:r>
      <w:hyperlink r:id="rId2" w:history="1">
        <w:r w:rsidRPr="0082359A">
          <w:rPr>
            <w:rStyle w:val="Hyperlink"/>
          </w:rPr>
          <w:t>https://ec.europa.eu/commission/presscorner/detail/en/STATEMENT_21_4951</w:t>
        </w:r>
      </w:hyperlink>
      <w:r w:rsidRPr="0082359A">
        <w:rPr>
          <w:rStyle w:val="Hyperlink"/>
        </w:rPr>
        <w:t>.</w:t>
      </w:r>
      <w:r w:rsidRPr="0082359A">
        <w:t xml:space="preserve"> </w:t>
      </w:r>
    </w:p>
  </w:footnote>
  <w:footnote w:id="7">
    <w:p w14:paraId="04194E91" w14:textId="77777777" w:rsidR="009A3092" w:rsidRPr="0082359A" w:rsidRDefault="009A3092">
      <w:pPr>
        <w:pStyle w:val="FootnoteText"/>
      </w:pPr>
      <w:r>
        <w:rPr>
          <w:rStyle w:val="FootnoteReference"/>
        </w:rPr>
        <w:footnoteRef/>
      </w:r>
      <w:r w:rsidRPr="0082359A">
        <w:t xml:space="preserve"> </w:t>
      </w:r>
      <w:hyperlink r:id="rId3" w:history="1">
        <w:r w:rsidRPr="0082359A">
          <w:rPr>
            <w:rStyle w:val="Hyperlink"/>
          </w:rPr>
          <w:t>https://trade.ec.europa.eu/doclib/docs/2021/december/tradoc_159950.pdf</w:t>
        </w:r>
      </w:hyperlink>
      <w:r w:rsidRPr="0082359A">
        <w:t>.</w:t>
      </w:r>
    </w:p>
  </w:footnote>
  <w:footnote w:id="8">
    <w:p w14:paraId="59E7D648" w14:textId="04F882D8" w:rsidR="00D00286" w:rsidRPr="00D00286" w:rsidRDefault="00D00286">
      <w:pPr>
        <w:pStyle w:val="FootnoteText"/>
      </w:pPr>
      <w:r>
        <w:rPr>
          <w:rStyle w:val="FootnoteReference"/>
        </w:rPr>
        <w:footnoteRef/>
      </w:r>
      <w:r>
        <w:t xml:space="preserve"> </w:t>
      </w:r>
      <w:hyperlink r:id="rId4" w:history="1">
        <w:r w:rsidR="00D417E9" w:rsidRPr="005A58CE">
          <w:rPr>
            <w:rStyle w:val="Hyperlink"/>
          </w:rPr>
          <w:t>https://futurium.ec.europa.eu/en/EU-US-TTC/wg7/documents/summary-public-feedback-consultation-working-group-7</w:t>
        </w:r>
      </w:hyperlink>
      <w:r w:rsidR="00D417E9">
        <w:t>.</w:t>
      </w:r>
    </w:p>
  </w:footnote>
  <w:footnote w:id="9">
    <w:p w14:paraId="2E147E8B" w14:textId="77777777" w:rsidR="009A3092" w:rsidRPr="0082359A" w:rsidRDefault="009A3092" w:rsidP="003F48E9">
      <w:pPr>
        <w:pStyle w:val="FootnoteText"/>
        <w:rPr>
          <w:lang w:val="en-US"/>
        </w:rPr>
      </w:pPr>
      <w:r>
        <w:rPr>
          <w:rStyle w:val="FootnoteReference"/>
        </w:rPr>
        <w:footnoteRef/>
      </w:r>
      <w:r>
        <w:t xml:space="preserve"> </w:t>
      </w:r>
      <w:r w:rsidRPr="0082359A">
        <w:rPr>
          <w:lang w:val="en-US"/>
        </w:rPr>
        <w:t>Albania, Bosnia and Herzegovina, Kosovo*, Montenegro, North Macedonia and Serbia.</w:t>
      </w:r>
    </w:p>
  </w:footnote>
  <w:footnote w:id="10">
    <w:p w14:paraId="63477409" w14:textId="77777777" w:rsidR="009A3092" w:rsidRDefault="009A3092" w:rsidP="003F1C04">
      <w:pPr>
        <w:pStyle w:val="FootnoteText"/>
        <w:jc w:val="both"/>
      </w:pPr>
      <w:r>
        <w:rPr>
          <w:rStyle w:val="FootnoteReference"/>
        </w:rPr>
        <w:footnoteRef/>
      </w:r>
      <w:r>
        <w:t xml:space="preserve"> </w:t>
      </w:r>
      <w:r>
        <w:rPr>
          <w:rFonts w:eastAsia="Times New Roman"/>
          <w:noProof/>
        </w:rPr>
        <w:t xml:space="preserve">Commission Delegated Regulation (EU) </w:t>
      </w:r>
      <w:r w:rsidRPr="00246070">
        <w:rPr>
          <w:rFonts w:eastAsia="Times New Roman"/>
          <w:noProof/>
        </w:rPr>
        <w:t>2022/1</w:t>
      </w:r>
      <w:r>
        <w:rPr>
          <w:rFonts w:eastAsia="Times New Roman"/>
          <w:noProof/>
        </w:rPr>
        <w:t>of 20 October 2021 (</w:t>
      </w:r>
      <w:r>
        <w:t>OJ L 3, 6.1.2022, p. 1).</w:t>
      </w:r>
    </w:p>
  </w:footnote>
  <w:footnote w:id="11">
    <w:p w14:paraId="77267077" w14:textId="77777777" w:rsidR="009A3092" w:rsidRDefault="009A3092" w:rsidP="00CA4709">
      <w:pPr>
        <w:pStyle w:val="FootnoteText"/>
        <w:jc w:val="both"/>
      </w:pPr>
      <w:r>
        <w:rPr>
          <w:rStyle w:val="FootnoteReference"/>
        </w:rPr>
        <w:footnoteRef/>
      </w:r>
      <w:r>
        <w:t xml:space="preserve"> The Summary Note is available at: </w:t>
      </w:r>
      <w:r w:rsidRPr="006835BD">
        <w:t xml:space="preserve"> </w:t>
      </w:r>
      <w:hyperlink r:id="rId5" w:history="1">
        <w:r w:rsidRPr="0015642B">
          <w:rPr>
            <w:rStyle w:val="Hyperlink"/>
          </w:rPr>
          <w:t>https://trade.ec.europa.eu/doclib/docs/2021/november/tradoc_159903.pdf</w:t>
        </w:r>
      </w:hyperlink>
      <w:r>
        <w:t xml:space="preserve"> </w:t>
      </w:r>
    </w:p>
  </w:footnote>
  <w:footnote w:id="12">
    <w:p w14:paraId="18B5856F" w14:textId="588D3863" w:rsidR="009A3092" w:rsidRPr="0082359A" w:rsidRDefault="009A3092" w:rsidP="00AA655D">
      <w:pPr>
        <w:pStyle w:val="FootnoteText"/>
        <w:rPr>
          <w:rStyle w:val="Hyperlink"/>
        </w:rPr>
      </w:pPr>
      <w:r>
        <w:rPr>
          <w:rStyle w:val="FootnoteReference"/>
        </w:rPr>
        <w:footnoteRef/>
      </w:r>
      <w:r w:rsidR="005F47EB">
        <w:t xml:space="preserve"> </w:t>
      </w:r>
      <w:hyperlink r:id="rId6" w:history="1">
        <w:r w:rsidR="005F47EB" w:rsidRPr="0082359A">
          <w:rPr>
            <w:rStyle w:val="Hyperlink"/>
          </w:rPr>
          <w:t>https://trade.ec.europa.eu/doclib/docs/2022/februar</w:t>
        </w:r>
        <w:r w:rsidR="001D53CC" w:rsidRPr="0082359A">
          <w:rPr>
            <w:rStyle w:val="Hyperlink"/>
          </w:rPr>
          <w:t>T</w:t>
        </w:r>
        <w:r w:rsidR="005F47EB" w:rsidRPr="0082359A">
          <w:rPr>
            <w:rStyle w:val="Hyperlink"/>
          </w:rPr>
          <w:t>/tradoc_160037.pdf</w:t>
        </w:r>
      </w:hyperlink>
      <w:r w:rsidRPr="0082359A">
        <w:t xml:space="preserve">    </w:t>
      </w:r>
      <w:hyperlink w:history="1"/>
      <w:r w:rsidRPr="0082359A">
        <w:rPr>
          <w:rStyle w:val="Hyperlink"/>
        </w:rPr>
        <w:t xml:space="preserve"> </w:t>
      </w:r>
    </w:p>
  </w:footnote>
  <w:footnote w:id="13">
    <w:p w14:paraId="06CCC513" w14:textId="77777777" w:rsidR="009A3092" w:rsidRPr="0082359A" w:rsidRDefault="009A3092">
      <w:pPr>
        <w:pStyle w:val="FootnoteText"/>
        <w:rPr>
          <w:rStyle w:val="Hyperlink"/>
        </w:rPr>
      </w:pPr>
      <w:r>
        <w:rPr>
          <w:rStyle w:val="FootnoteReference"/>
        </w:rPr>
        <w:footnoteRef/>
      </w:r>
      <w:r w:rsidRPr="0082359A">
        <w:rPr>
          <w:rStyle w:val="Hyperlink"/>
        </w:rPr>
        <w:t xml:space="preserve"> </w:t>
      </w:r>
      <w:hyperlink r:id="rId7" w:history="1">
        <w:r w:rsidRPr="0082359A">
          <w:rPr>
            <w:rStyle w:val="Hyperlink"/>
          </w:rPr>
          <w:t>https://ec.europa.eu/transparency/documents-register/detail?ref=COM(2019)562&amp;lang=en</w:t>
        </w:r>
      </w:hyperlink>
      <w:r w:rsidRPr="0082359A">
        <w:rPr>
          <w:rStyle w:val="Hyperlink"/>
        </w:rPr>
        <w:t xml:space="preserve">  </w:t>
      </w:r>
    </w:p>
  </w:footnote>
  <w:footnote w:id="14">
    <w:p w14:paraId="78B123E5" w14:textId="77777777" w:rsidR="009A3092" w:rsidRPr="00E35074" w:rsidRDefault="009A3092" w:rsidP="00933503">
      <w:pPr>
        <w:pStyle w:val="Default"/>
        <w:rPr>
          <w:rFonts w:ascii="Times New Roman" w:eastAsia="Calibri" w:hAnsi="Times New Roman" w:cs="Times New Roman"/>
          <w:color w:val="auto"/>
          <w:sz w:val="20"/>
          <w:szCs w:val="20"/>
        </w:rPr>
      </w:pPr>
      <w:r w:rsidRPr="00E35074">
        <w:rPr>
          <w:rStyle w:val="FootnoteReference"/>
          <w:rFonts w:eastAsia="Calibri"/>
          <w:sz w:val="22"/>
        </w:rPr>
        <w:footnoteRef/>
      </w:r>
      <w:r w:rsidRPr="00911D23">
        <w:rPr>
          <w:rFonts w:ascii="Times New Roman" w:eastAsia="Times New Roman" w:hAnsi="Times New Roman" w:cs="Times New Roman"/>
          <w:color w:val="auto"/>
          <w:sz w:val="20"/>
          <w:szCs w:val="20"/>
          <w:lang w:val="en-IE" w:eastAsia="fr-BE"/>
        </w:rPr>
        <w:t xml:space="preserve"> </w:t>
      </w:r>
      <w:r w:rsidRPr="00E35074">
        <w:rPr>
          <w:rFonts w:ascii="Times New Roman" w:eastAsia="Calibri" w:hAnsi="Times New Roman" w:cs="Times New Roman"/>
          <w:color w:val="auto"/>
          <w:sz w:val="20"/>
          <w:szCs w:val="20"/>
        </w:rPr>
        <w:t xml:space="preserve">OJ L 29, 31.1.2020, p. 7 (“Withdrawal Agreement”).  </w:t>
      </w:r>
    </w:p>
  </w:footnote>
  <w:footnote w:id="15">
    <w:p w14:paraId="3EBAF8A9" w14:textId="77777777" w:rsidR="009A3092" w:rsidRPr="001503B0" w:rsidRDefault="009A3092" w:rsidP="00933503">
      <w:pPr>
        <w:pStyle w:val="FootnoteText"/>
      </w:pPr>
      <w:r>
        <w:rPr>
          <w:rStyle w:val="FootnoteReference"/>
        </w:rPr>
        <w:footnoteRef/>
      </w:r>
      <w:r>
        <w:t xml:space="preserve"> </w:t>
      </w:r>
      <w:r w:rsidRPr="00B55E7B">
        <w:t>Article 5(4)</w:t>
      </w:r>
      <w:r>
        <w:t xml:space="preserve"> of the </w:t>
      </w:r>
      <w:r w:rsidRPr="00867879">
        <w:t>NI Protocol and section</w:t>
      </w:r>
      <w:r>
        <w:t xml:space="preserve"> 47</w:t>
      </w:r>
      <w:r w:rsidRPr="00867879">
        <w:t xml:space="preserve"> of annex 2 to that Protocol</w:t>
      </w:r>
      <w:r>
        <w:t>.</w:t>
      </w:r>
    </w:p>
  </w:footnote>
  <w:footnote w:id="16">
    <w:p w14:paraId="25E23799" w14:textId="77777777" w:rsidR="009A3092" w:rsidRPr="00D529BB" w:rsidRDefault="009A3092">
      <w:pPr>
        <w:pStyle w:val="FootnoteText"/>
      </w:pPr>
      <w:r>
        <w:rPr>
          <w:rStyle w:val="FootnoteReference"/>
        </w:rPr>
        <w:footnoteRef/>
      </w:r>
      <w:r>
        <w:t xml:space="preserve"> </w:t>
      </w:r>
      <w:r>
        <w:rPr>
          <w:noProof/>
          <w:lang w:eastAsia="en-GB"/>
        </w:rPr>
        <w:t>The DUCG approved this new</w:t>
      </w:r>
      <w:r w:rsidRPr="00B4777D">
        <w:rPr>
          <w:noProof/>
          <w:lang w:eastAsia="en-GB"/>
        </w:rPr>
        <w:t>DUeS functionality</w:t>
      </w:r>
      <w:r>
        <w:rPr>
          <w:noProof/>
          <w:lang w:eastAsia="en-GB"/>
        </w:rPr>
        <w:t>.</w:t>
      </w:r>
    </w:p>
  </w:footnote>
  <w:footnote w:id="17">
    <w:p w14:paraId="727BB801" w14:textId="77777777" w:rsidR="009A3092" w:rsidRPr="0082359A" w:rsidRDefault="009A3092">
      <w:pPr>
        <w:pStyle w:val="FootnoteText"/>
        <w:rPr>
          <w:lang w:val="en-US"/>
        </w:rPr>
      </w:pPr>
      <w:r>
        <w:rPr>
          <w:rStyle w:val="FootnoteReference"/>
        </w:rPr>
        <w:footnoteRef/>
      </w:r>
      <w:r>
        <w:t xml:space="preserve"> </w:t>
      </w:r>
      <w:r w:rsidRPr="0082359A">
        <w:rPr>
          <w:lang w:val="en-US"/>
        </w:rPr>
        <w:t>This report is also the annual report required by the new Regulation on the activities, examinations and consultations of the DUCG.</w:t>
      </w:r>
    </w:p>
  </w:footnote>
  <w:footnote w:id="18">
    <w:p w14:paraId="0F4EECE3" w14:textId="77777777" w:rsidR="009A3092" w:rsidRPr="001B5C4A" w:rsidRDefault="009A3092" w:rsidP="001B5C4A">
      <w:pPr>
        <w:pStyle w:val="FootnoteText"/>
      </w:pPr>
      <w:r>
        <w:rPr>
          <w:rStyle w:val="FootnoteReference"/>
        </w:rPr>
        <w:footnoteRef/>
      </w:r>
      <w:r>
        <w:t xml:space="preserve"> </w:t>
      </w:r>
      <w:r w:rsidRPr="001B5C4A">
        <w:rPr>
          <w:noProof/>
          <w:lang w:eastAsia="en-GB"/>
        </w:rPr>
        <w:t>The updated information not</w:t>
      </w:r>
      <w:r w:rsidR="001000DA">
        <w:rPr>
          <w:noProof/>
          <w:lang w:eastAsia="en-GB"/>
        </w:rPr>
        <w:t>e</w:t>
      </w:r>
      <w:r w:rsidRPr="001B5C4A">
        <w:rPr>
          <w:noProof/>
          <w:lang w:eastAsia="en-GB"/>
        </w:rPr>
        <w:t xml:space="preserve"> was published on </w:t>
      </w:r>
      <w:r>
        <w:rPr>
          <w:noProof/>
          <w:lang w:eastAsia="en-GB"/>
        </w:rPr>
        <w:t>8</w:t>
      </w:r>
      <w:r w:rsidRPr="001B5C4A">
        <w:rPr>
          <w:noProof/>
          <w:lang w:eastAsia="en-GB"/>
        </w:rPr>
        <w:t xml:space="preserve"> </w:t>
      </w:r>
      <w:r>
        <w:rPr>
          <w:noProof/>
          <w:lang w:eastAsia="en-GB"/>
        </w:rPr>
        <w:t xml:space="preserve">February </w:t>
      </w:r>
      <w:r w:rsidRPr="001B5C4A">
        <w:rPr>
          <w:noProof/>
          <w:lang w:eastAsia="en-GB"/>
        </w:rPr>
        <w:t xml:space="preserve"> 202</w:t>
      </w:r>
      <w:r>
        <w:rPr>
          <w:noProof/>
          <w:lang w:eastAsia="en-GB"/>
        </w:rPr>
        <w:t>2,</w:t>
      </w:r>
      <w:r w:rsidRPr="001B5C4A">
        <w:rPr>
          <w:noProof/>
          <w:lang w:eastAsia="en-GB"/>
        </w:rPr>
        <w:t xml:space="preserve"> </w:t>
      </w:r>
      <w:r w:rsidRPr="001B5C4A">
        <w:t>OJ Notice 202</w:t>
      </w:r>
      <w:r>
        <w:t>2</w:t>
      </w:r>
      <w:r w:rsidRPr="001B5C4A">
        <w:t>/C</w:t>
      </w:r>
      <w:r>
        <w:t>6</w:t>
      </w:r>
      <w:r w:rsidRPr="001B5C4A">
        <w:t>6/</w:t>
      </w:r>
      <w:r>
        <w:t>27.</w:t>
      </w:r>
    </w:p>
  </w:footnote>
  <w:footnote w:id="19">
    <w:p w14:paraId="61E270F1" w14:textId="77777777" w:rsidR="009A3092" w:rsidRPr="00277A08" w:rsidRDefault="009A3092">
      <w:pPr>
        <w:pStyle w:val="FootnoteText"/>
      </w:pPr>
      <w:r>
        <w:rPr>
          <w:rStyle w:val="FootnoteReference"/>
        </w:rPr>
        <w:footnoteRef/>
      </w:r>
      <w:r>
        <w:t xml:space="preserve"> Mobile telecommunications interception equipment, IP network surveillance systems, intrusion software.</w:t>
      </w:r>
    </w:p>
  </w:footnote>
  <w:footnote w:id="20">
    <w:p w14:paraId="4713BB65" w14:textId="77777777" w:rsidR="009A3092" w:rsidRPr="0082359A" w:rsidRDefault="009A3092" w:rsidP="00E72244">
      <w:pPr>
        <w:pStyle w:val="FootnoteText"/>
        <w:jc w:val="both"/>
        <w:rPr>
          <w:lang w:val="en-US"/>
        </w:rPr>
      </w:pPr>
      <w:r>
        <w:rPr>
          <w:rStyle w:val="FootnoteReference"/>
        </w:rPr>
        <w:footnoteRef/>
      </w:r>
      <w:r>
        <w:t xml:space="preserve"> </w:t>
      </w:r>
      <w:r w:rsidRPr="00625D02">
        <w:t>Commission Recommendation (EU) 2021/1700 of 15 September 2021 on internal compliance programmes for controls of research involving dual-use items under Regulation (EU) 2021/821 of the European Parliament and of the Council setting up a Union regime for the control of exports, brokering, technical assistance, transit and transfer of dual-use items</w:t>
      </w:r>
    </w:p>
  </w:footnote>
  <w:footnote w:id="21">
    <w:p w14:paraId="5B08F678" w14:textId="77777777" w:rsidR="009A3092" w:rsidRPr="0082359A" w:rsidRDefault="009A3092">
      <w:pPr>
        <w:pStyle w:val="FootnoteText"/>
        <w:rPr>
          <w:lang w:val="en-US"/>
        </w:rPr>
      </w:pPr>
      <w:r>
        <w:rPr>
          <w:rStyle w:val="FootnoteReference"/>
        </w:rPr>
        <w:footnoteRef/>
      </w:r>
      <w:r w:rsidRPr="0082359A">
        <w:rPr>
          <w:lang w:val="en-US"/>
        </w:rPr>
        <w:t xml:space="preserve"> https://eur-lex.europa.eu/legal-content/EN/ALL/?uri=uriserv:OJ.L_.2021.338.01.0001.01.ENG</w:t>
      </w:r>
    </w:p>
  </w:footnote>
  <w:footnote w:id="22">
    <w:p w14:paraId="38B4A3D5" w14:textId="63AAD349" w:rsidR="00E36851" w:rsidRPr="00E36851" w:rsidRDefault="00E36851" w:rsidP="00E36851">
      <w:pPr>
        <w:pStyle w:val="FootnoteText"/>
      </w:pPr>
      <w:r>
        <w:rPr>
          <w:rStyle w:val="FootnoteReference"/>
        </w:rPr>
        <w:footnoteRef/>
      </w:r>
      <w:r>
        <w:t xml:space="preserve"> The list of categories reflects the Wassenaar Arrangement</w:t>
      </w:r>
      <w:r w:rsidR="00957688" w:rsidRPr="00957688">
        <w:t xml:space="preserve"> list, to which category 0 on nuclear items was added.</w:t>
      </w:r>
    </w:p>
  </w:footnote>
  <w:footnote w:id="23">
    <w:p w14:paraId="01E43F33" w14:textId="479DA586" w:rsidR="009A3092" w:rsidRDefault="009A3092" w:rsidP="00114F71">
      <w:pPr>
        <w:pStyle w:val="FootnoteText"/>
        <w:jc w:val="both"/>
      </w:pPr>
      <w:r>
        <w:rPr>
          <w:rStyle w:val="FootnoteReference"/>
        </w:rPr>
        <w:footnoteRef/>
      </w:r>
      <w:r>
        <w:t xml:space="preserve"> The statistical methodology developed by the Commission's Joint Research Centre makes </w:t>
      </w:r>
      <w:r>
        <w:rPr>
          <w:rFonts w:eastAsia="Times New Roman"/>
          <w:noProof/>
          <w:lang w:eastAsia="en-GB"/>
        </w:rPr>
        <w:t xml:space="preserve">use of a correlation table, developed by </w:t>
      </w:r>
      <w:r w:rsidR="00531C7A">
        <w:rPr>
          <w:rFonts w:eastAsia="Times New Roman"/>
          <w:noProof/>
          <w:lang w:eastAsia="en-GB"/>
        </w:rPr>
        <w:t>the Commission’s Customs and Taxation Department (</w:t>
      </w:r>
      <w:r>
        <w:rPr>
          <w:rFonts w:eastAsia="Times New Roman"/>
          <w:noProof/>
          <w:lang w:eastAsia="en-GB"/>
        </w:rPr>
        <w:t>DG TAXUD</w:t>
      </w:r>
      <w:r w:rsidR="00531C7A">
        <w:rPr>
          <w:rFonts w:eastAsia="Times New Roman"/>
          <w:noProof/>
          <w:lang w:eastAsia="en-GB"/>
        </w:rPr>
        <w:t>)</w:t>
      </w:r>
      <w:r>
        <w:rPr>
          <w:rFonts w:eastAsia="Times New Roman"/>
          <w:noProof/>
          <w:lang w:eastAsia="en-GB"/>
        </w:rPr>
        <w:t xml:space="preserve">, between dual-use classification numbers and customs codes and of </w:t>
      </w:r>
      <w:r>
        <w:t xml:space="preserve">Eurostat’s </w:t>
      </w:r>
      <w:r>
        <w:rPr>
          <w:rFonts w:eastAsia="Times New Roman"/>
          <w:noProof/>
          <w:lang w:eastAsia="en-GB"/>
        </w:rPr>
        <w:t xml:space="preserve">COMEXT data, as well as of licensing data provided by </w:t>
      </w:r>
      <w:r w:rsidRPr="00897C8D">
        <w:rPr>
          <w:rFonts w:eastAsia="Times New Roman"/>
          <w:noProof/>
          <w:lang w:eastAsia="en-GB"/>
        </w:rPr>
        <w:t>EU27 Member States.</w:t>
      </w:r>
      <w:r>
        <w:t xml:space="preserve"> The notion of </w:t>
      </w:r>
      <w:r>
        <w:rPr>
          <w:i/>
        </w:rPr>
        <w:t>dual-use export domain</w:t>
      </w:r>
      <w:r>
        <w:t xml:space="preserve"> refers to a large mixed </w:t>
      </w:r>
      <w:r w:rsidR="00FC33F0">
        <w:t>goods</w:t>
      </w:r>
      <w:r w:rsidR="00957688">
        <w:t xml:space="preserve"> </w:t>
      </w:r>
      <w:r>
        <w:t xml:space="preserve">area, which includes dual-use items. Trade in dual-use items takes place </w:t>
      </w:r>
      <w:r>
        <w:rPr>
          <w:i/>
        </w:rPr>
        <w:t>within</w:t>
      </w:r>
      <w:r>
        <w:t xml:space="preserve"> this</w:t>
      </w:r>
      <w:r w:rsidR="00957688">
        <w:t xml:space="preserve"> </w:t>
      </w:r>
      <w:r w:rsidR="00FC33F0">
        <w:t>goods</w:t>
      </w:r>
      <w:r w:rsidR="00957688">
        <w:t xml:space="preserve"> </w:t>
      </w:r>
      <w:r>
        <w:t xml:space="preserve">area, but is not identical to it, since </w:t>
      </w:r>
      <w:r w:rsidR="00531C7A">
        <w:t xml:space="preserve">the products and items covered in that customs category </w:t>
      </w:r>
      <w:r w:rsidR="00481810">
        <w:t>will be much wider and cover many items that have purely civilian uses, or are not dual use.</w:t>
      </w:r>
    </w:p>
    <w:p w14:paraId="2C5946B2" w14:textId="77777777" w:rsidR="009A3092" w:rsidRDefault="009A3092" w:rsidP="00114F71">
      <w:pPr>
        <w:pStyle w:val="FootnoteText"/>
      </w:pPr>
    </w:p>
  </w:footnote>
  <w:footnote w:id="24">
    <w:p w14:paraId="77F9D2DC" w14:textId="77777777" w:rsidR="009A3092" w:rsidRDefault="009A3092" w:rsidP="00114F71">
      <w:pPr>
        <w:pStyle w:val="FootnoteText"/>
        <w:jc w:val="both"/>
      </w:pPr>
      <w:r>
        <w:rPr>
          <w:rStyle w:val="FootnoteReference"/>
        </w:rPr>
        <w:footnoteRef/>
      </w:r>
      <w:r>
        <w:t xml:space="preserve"> "Stores and provisions extra" are defined as delivery of ships' and aircrafts' stores. ”Miscellaneous –countries not specified extra” includes countries and territories not specified within the framework of trade with third countries (i.e., these codes are usually used for goods delivered for offshore installations).</w:t>
      </w:r>
    </w:p>
  </w:footnote>
  <w:footnote w:id="25">
    <w:p w14:paraId="461B3B9B" w14:textId="5F125C21" w:rsidR="009A3092" w:rsidRPr="00583551" w:rsidRDefault="009A3092" w:rsidP="00E36851">
      <w:pPr>
        <w:pStyle w:val="FootnoteText"/>
        <w:jc w:val="both"/>
        <w:rPr>
          <w:lang w:val="en-IE"/>
        </w:rPr>
      </w:pPr>
      <w:r>
        <w:rPr>
          <w:rStyle w:val="FootnoteReference"/>
        </w:rPr>
        <w:footnoteRef/>
      </w:r>
      <w:r>
        <w:t xml:space="preserve"> This figure includes value for licence applications and notifications under General Export Authorisations.</w:t>
      </w:r>
      <w:r w:rsidR="00E36851" w:rsidRPr="00E36851">
        <w:rPr>
          <w:rFonts w:eastAsiaTheme="minorHAnsi"/>
          <w:sz w:val="24"/>
          <w:szCs w:val="24"/>
        </w:rPr>
        <w:t xml:space="preserve"> </w:t>
      </w:r>
      <w:r w:rsidR="004236DA" w:rsidRPr="00583551">
        <w:rPr>
          <w:lang w:val="en-IE"/>
        </w:rPr>
        <w:t>General Export Authorisations allow exports of dual-use items to certain destinations under certain conditions while Global licenses can be granted by competent authorities to one exporter and may cover multiple items to multiple countries of destination or end users.</w:t>
      </w:r>
    </w:p>
  </w:footnote>
  <w:footnote w:id="26">
    <w:p w14:paraId="1DCA828D" w14:textId="77777777" w:rsidR="009A3092" w:rsidRPr="00057FE8" w:rsidRDefault="009A3092" w:rsidP="00114F71">
      <w:pPr>
        <w:pStyle w:val="FootnoteText"/>
        <w:jc w:val="both"/>
      </w:pPr>
      <w:r>
        <w:rPr>
          <w:rStyle w:val="FootnoteReference"/>
        </w:rPr>
        <w:footnoteRef/>
      </w:r>
      <w:r>
        <w:t xml:space="preserve"> I</w:t>
      </w:r>
      <w:r w:rsidRPr="00057FE8">
        <w:t xml:space="preserve">ndividual </w:t>
      </w:r>
      <w:r>
        <w:t>licenses are licenses</w:t>
      </w:r>
      <w:r w:rsidRPr="00057FE8">
        <w:t xml:space="preserve"> granted to one specific exporter for one end-user or consignee in a third country and covering one or more dual-use items</w:t>
      </w:r>
      <w:r>
        <w:t>.</w:t>
      </w:r>
    </w:p>
  </w:footnote>
  <w:footnote w:id="27">
    <w:p w14:paraId="7CFF1B82" w14:textId="77777777" w:rsidR="009A3092" w:rsidRPr="00AD0407" w:rsidRDefault="009A3092" w:rsidP="00114F71">
      <w:pPr>
        <w:pStyle w:val="FootnoteText"/>
        <w:jc w:val="both"/>
      </w:pPr>
      <w:r>
        <w:rPr>
          <w:rStyle w:val="FootnoteReference"/>
        </w:rPr>
        <w:footnoteRef/>
      </w:r>
      <w:r>
        <w:t xml:space="preserve"> G</w:t>
      </w:r>
      <w:r w:rsidRPr="00AD0407">
        <w:t xml:space="preserve">lobal </w:t>
      </w:r>
      <w:r>
        <w:t>licenses are licenses</w:t>
      </w:r>
      <w:r w:rsidRPr="00AD0407">
        <w:t xml:space="preserve"> granted to one specific exporter in respect of a type or category of dual-use items which may be valid for exports to one or more specified end-users and/or in one or more specified third countries</w:t>
      </w:r>
      <w:r>
        <w:t>.</w:t>
      </w:r>
    </w:p>
  </w:footnote>
  <w:footnote w:id="28">
    <w:p w14:paraId="61CF4495" w14:textId="77777777" w:rsidR="009A3092" w:rsidRDefault="009A3092" w:rsidP="00114F71">
      <w:pPr>
        <w:pStyle w:val="FootnoteText"/>
        <w:jc w:val="both"/>
      </w:pPr>
      <w:r>
        <w:rPr>
          <w:rStyle w:val="FootnoteReference"/>
          <w:color w:val="808080"/>
        </w:rPr>
        <w:footnoteRef/>
      </w:r>
      <w:r>
        <w:rPr>
          <w:color w:val="808080"/>
        </w:rPr>
        <w:t xml:space="preserve"> </w:t>
      </w:r>
      <w:r>
        <w:t>In Figures 5 and 6, "Applications" data include all applications for licenses, including notifications under general authorisations, thus providing an indication of "controlled exports", i.e. the value of extra-EU exports subject to an authorisation process. In cases where no application data is available, the charts make use of authorisation data as estimate for application data. "Authorisations" data refers to dual-use exports authorised under individual and global licences. It should be noted that applications do not necessarily correspond to the sum of authorisations and denials, as a number of applications may be cancelled and some applications may not be finalised within the same year. "Denial" refers to the volume and value of denied exports.</w:t>
      </w:r>
      <w:r w:rsidRPr="00591848">
        <w:t xml:space="preserve"> </w:t>
      </w:r>
      <w:r w:rsidRPr="009A3051">
        <w:t xml:space="preserve">Differences in data that indicate a decline in comparison to the previous years are due to Brexit and the fact that UK did not provide data </w:t>
      </w:r>
      <w:r w:rsidRPr="00D106B0">
        <w:t>since</w:t>
      </w:r>
      <w:r w:rsidRPr="009A3051">
        <w:t xml:space="preserve"> 2019</w:t>
      </w:r>
      <w:r w:rsidRPr="00591848">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6C25" w14:textId="77777777" w:rsidR="00FC56A0" w:rsidRPr="00FC56A0" w:rsidRDefault="00FC56A0" w:rsidP="00FC5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5E1C4" w14:textId="77777777" w:rsidR="00FC56A0" w:rsidRPr="00FC56A0" w:rsidRDefault="00FC56A0" w:rsidP="00FC56A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9BD81" w14:textId="77777777" w:rsidR="00FC56A0" w:rsidRPr="00FC56A0" w:rsidRDefault="00FC56A0" w:rsidP="00FC56A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94998" w14:textId="77777777" w:rsidR="009A3092" w:rsidRDefault="009A30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B523E" w14:textId="77777777" w:rsidR="009A3092" w:rsidRDefault="009A30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AD7B3" w14:textId="77777777" w:rsidR="009A3092" w:rsidRDefault="009A309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9A71C" w14:textId="77777777" w:rsidR="00153595" w:rsidRDefault="00FC56A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C1B3E" w14:textId="77777777" w:rsidR="00153595" w:rsidRPr="00B25A6B" w:rsidRDefault="00B25A6B" w:rsidP="00B25A6B">
    <w:pPr>
      <w:pStyle w:val="Header"/>
      <w:jc w:val="center"/>
    </w:pPr>
    <w:r w:rsidRPr="00B25A6B">
      <w:t>Annex – Implementation of the new D</w:t>
    </w:r>
    <w:r>
      <w:t>ual-Use Export Control Regulation – Indicative Timelines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88F0A" w14:textId="77777777" w:rsidR="00153595" w:rsidRDefault="00FC5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0590"/>
    <w:multiLevelType w:val="hybridMultilevel"/>
    <w:tmpl w:val="FE2209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7D33A64"/>
    <w:multiLevelType w:val="hybridMultilevel"/>
    <w:tmpl w:val="A3B2712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415102DD"/>
    <w:multiLevelType w:val="hybridMultilevel"/>
    <w:tmpl w:val="FA94B36E"/>
    <w:lvl w:ilvl="0" w:tplc="DBE68FB4">
      <w:start w:val="1"/>
      <w:numFmt w:val="decimal"/>
      <w:lvlText w:val="%1."/>
      <w:lvlJc w:val="left"/>
      <w:pPr>
        <w:ind w:left="720" w:hanging="360"/>
      </w:pPr>
      <w:rPr>
        <w:rFonts w:hint="default"/>
        <w:b w:val="0"/>
      </w:rPr>
    </w:lvl>
    <w:lvl w:ilvl="1" w:tplc="C4D2513E">
      <w:start w:val="1"/>
      <w:numFmt w:val="lowerRoman"/>
      <w:lvlText w:val="(%2)"/>
      <w:lvlJc w:val="left"/>
      <w:pPr>
        <w:ind w:left="1800" w:hanging="720"/>
      </w:pPr>
      <w:rPr>
        <w:rFonts w:hint="default"/>
      </w:rPr>
    </w:lvl>
    <w:lvl w:ilvl="2" w:tplc="E0082A70">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186CAE"/>
    <w:multiLevelType w:val="hybridMultilevel"/>
    <w:tmpl w:val="25BE5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60282A"/>
    <w:multiLevelType w:val="hybridMultilevel"/>
    <w:tmpl w:val="00CE3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hideSpellingErrors/>
  <w:hideGrammaticalErrors/>
  <w:activeWritingStyle w:appName="MSWord" w:lang="es-ES" w:vendorID="64" w:dllVersion="6" w:nlCheck="1" w:checkStyle="0"/>
  <w:activeWritingStyle w:appName="MSWord" w:lang="en-GB" w:vendorID="64" w:dllVersion="6" w:nlCheck="1" w:checkStyle="1"/>
  <w:activeWritingStyle w:appName="MSWord" w:lang="nl-NL" w:vendorID="64" w:dllVersion="6" w:nlCheck="1" w:checkStyle="0"/>
  <w:activeWritingStyle w:appName="MSWord" w:lang="en-IE" w:vendorID="64" w:dllVersion="6" w:nlCheck="1" w:checkStyle="1"/>
  <w:activeWritingStyle w:appName="MSWord" w:lang="de-AT" w:vendorID="64" w:dllVersion="6" w:nlCheck="1" w:checkStyle="0"/>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IE" w:vendorID="64" w:dllVersion="0" w:nlCheck="1" w:checkStyle="0"/>
  <w:activeWritingStyle w:appName="MSWord" w:lang="de-AT"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0"/>
  <w:activeWritingStyle w:appName="MSWord" w:lang="en-IE" w:vendorID="64" w:dllVersion="131078" w:nlCheck="1" w:checkStyle="1"/>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F2184A0-712A-434F-A671-14EFDE519084"/>
    <w:docVar w:name="LW_COVERPAGE_TYPE" w:val="1"/>
    <w:docVar w:name="LW_CROSSREFERENCE" w:val="&lt;UNUSED&gt;"/>
    <w:docVar w:name="LW_DocType" w:val="NORMAL"/>
    <w:docVar w:name="LW_EMISSION" w:val="1.9.2022"/>
    <w:docVar w:name="LW_EMISSION_ISODATE" w:val="2022-09-01"/>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2) 43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implementation of Regulation (EU) 2021/821 setting up a Union regime for the control of exports, brokering, technical assistance, transit and transfer of dual-use items"/>
    <w:docVar w:name="LW_TYPE.DOC.CP" w:val="REPORT FROM THE COMMISSION TO THE EUROPEAN PARLIAMENT AND THE COUNCIL"/>
    <w:docVar w:name="LwApiVersions" w:val="LW4CoDe 1.23.2.0; LW 8.0, Build 20211117"/>
  </w:docVars>
  <w:rsids>
    <w:rsidRoot w:val="00AA655D"/>
    <w:rsid w:val="00000409"/>
    <w:rsid w:val="0000201D"/>
    <w:rsid w:val="000034FA"/>
    <w:rsid w:val="00004457"/>
    <w:rsid w:val="00005F6B"/>
    <w:rsid w:val="00006472"/>
    <w:rsid w:val="000071E0"/>
    <w:rsid w:val="00007241"/>
    <w:rsid w:val="000076EC"/>
    <w:rsid w:val="00007861"/>
    <w:rsid w:val="00010CA8"/>
    <w:rsid w:val="00010D89"/>
    <w:rsid w:val="00011C4B"/>
    <w:rsid w:val="00011D3D"/>
    <w:rsid w:val="000121E4"/>
    <w:rsid w:val="00012299"/>
    <w:rsid w:val="00012F0F"/>
    <w:rsid w:val="00013121"/>
    <w:rsid w:val="00013313"/>
    <w:rsid w:val="00013BDE"/>
    <w:rsid w:val="00014570"/>
    <w:rsid w:val="00014664"/>
    <w:rsid w:val="000156A3"/>
    <w:rsid w:val="00015884"/>
    <w:rsid w:val="000167C6"/>
    <w:rsid w:val="0001708D"/>
    <w:rsid w:val="000176B5"/>
    <w:rsid w:val="000178EB"/>
    <w:rsid w:val="00017CBC"/>
    <w:rsid w:val="00017D01"/>
    <w:rsid w:val="00022DA0"/>
    <w:rsid w:val="00022F0B"/>
    <w:rsid w:val="00023304"/>
    <w:rsid w:val="0002384C"/>
    <w:rsid w:val="00026108"/>
    <w:rsid w:val="00026608"/>
    <w:rsid w:val="00027B94"/>
    <w:rsid w:val="00030733"/>
    <w:rsid w:val="00030750"/>
    <w:rsid w:val="0003080F"/>
    <w:rsid w:val="000314C5"/>
    <w:rsid w:val="0003349F"/>
    <w:rsid w:val="0003382D"/>
    <w:rsid w:val="00033EB3"/>
    <w:rsid w:val="0003416D"/>
    <w:rsid w:val="000346C4"/>
    <w:rsid w:val="00034951"/>
    <w:rsid w:val="00034EED"/>
    <w:rsid w:val="0003547C"/>
    <w:rsid w:val="00035E2B"/>
    <w:rsid w:val="00035EDD"/>
    <w:rsid w:val="00040526"/>
    <w:rsid w:val="000407F7"/>
    <w:rsid w:val="000415B7"/>
    <w:rsid w:val="00042D5B"/>
    <w:rsid w:val="00043C54"/>
    <w:rsid w:val="00047334"/>
    <w:rsid w:val="00047D49"/>
    <w:rsid w:val="000513F2"/>
    <w:rsid w:val="00051C52"/>
    <w:rsid w:val="00052A74"/>
    <w:rsid w:val="000530A4"/>
    <w:rsid w:val="00054288"/>
    <w:rsid w:val="00054321"/>
    <w:rsid w:val="000544D4"/>
    <w:rsid w:val="000547AF"/>
    <w:rsid w:val="00054AD2"/>
    <w:rsid w:val="00054F12"/>
    <w:rsid w:val="000550A2"/>
    <w:rsid w:val="0005532D"/>
    <w:rsid w:val="00055673"/>
    <w:rsid w:val="00057FE8"/>
    <w:rsid w:val="00060DF7"/>
    <w:rsid w:val="00064AF4"/>
    <w:rsid w:val="00065581"/>
    <w:rsid w:val="0006615F"/>
    <w:rsid w:val="00067952"/>
    <w:rsid w:val="000718E3"/>
    <w:rsid w:val="00073A06"/>
    <w:rsid w:val="00074391"/>
    <w:rsid w:val="00076330"/>
    <w:rsid w:val="0007661B"/>
    <w:rsid w:val="00076F8C"/>
    <w:rsid w:val="0007787D"/>
    <w:rsid w:val="0008080B"/>
    <w:rsid w:val="00080DF6"/>
    <w:rsid w:val="000813D6"/>
    <w:rsid w:val="0008167E"/>
    <w:rsid w:val="0008168C"/>
    <w:rsid w:val="00082145"/>
    <w:rsid w:val="00083492"/>
    <w:rsid w:val="00083694"/>
    <w:rsid w:val="00083743"/>
    <w:rsid w:val="00083D4B"/>
    <w:rsid w:val="00083EB9"/>
    <w:rsid w:val="000859BC"/>
    <w:rsid w:val="00086411"/>
    <w:rsid w:val="00087025"/>
    <w:rsid w:val="0008757B"/>
    <w:rsid w:val="0009048E"/>
    <w:rsid w:val="00090CA6"/>
    <w:rsid w:val="00090E7F"/>
    <w:rsid w:val="00091234"/>
    <w:rsid w:val="00091458"/>
    <w:rsid w:val="000929DB"/>
    <w:rsid w:val="00092E32"/>
    <w:rsid w:val="00093430"/>
    <w:rsid w:val="000937B1"/>
    <w:rsid w:val="00094DDE"/>
    <w:rsid w:val="0009560B"/>
    <w:rsid w:val="00095A62"/>
    <w:rsid w:val="00095C42"/>
    <w:rsid w:val="00095D06"/>
    <w:rsid w:val="0009631C"/>
    <w:rsid w:val="00096EE9"/>
    <w:rsid w:val="00096FE0"/>
    <w:rsid w:val="00097967"/>
    <w:rsid w:val="00097D47"/>
    <w:rsid w:val="00097E67"/>
    <w:rsid w:val="00097F64"/>
    <w:rsid w:val="000A0B8C"/>
    <w:rsid w:val="000A0C50"/>
    <w:rsid w:val="000A14EB"/>
    <w:rsid w:val="000A18C0"/>
    <w:rsid w:val="000A2811"/>
    <w:rsid w:val="000A3719"/>
    <w:rsid w:val="000A3ACE"/>
    <w:rsid w:val="000A3DC8"/>
    <w:rsid w:val="000A5022"/>
    <w:rsid w:val="000A50FE"/>
    <w:rsid w:val="000A55A5"/>
    <w:rsid w:val="000A6B90"/>
    <w:rsid w:val="000A7C12"/>
    <w:rsid w:val="000B069F"/>
    <w:rsid w:val="000B0953"/>
    <w:rsid w:val="000B0A06"/>
    <w:rsid w:val="000B0EFB"/>
    <w:rsid w:val="000B1502"/>
    <w:rsid w:val="000B1568"/>
    <w:rsid w:val="000B2195"/>
    <w:rsid w:val="000B27C7"/>
    <w:rsid w:val="000B2FF2"/>
    <w:rsid w:val="000B3895"/>
    <w:rsid w:val="000B4C05"/>
    <w:rsid w:val="000B51D5"/>
    <w:rsid w:val="000B6116"/>
    <w:rsid w:val="000B76AC"/>
    <w:rsid w:val="000B7BC7"/>
    <w:rsid w:val="000C04F3"/>
    <w:rsid w:val="000C06D5"/>
    <w:rsid w:val="000C0796"/>
    <w:rsid w:val="000C147E"/>
    <w:rsid w:val="000C263D"/>
    <w:rsid w:val="000C313B"/>
    <w:rsid w:val="000C3481"/>
    <w:rsid w:val="000C400B"/>
    <w:rsid w:val="000C54B6"/>
    <w:rsid w:val="000C6D97"/>
    <w:rsid w:val="000C7038"/>
    <w:rsid w:val="000C710B"/>
    <w:rsid w:val="000C734C"/>
    <w:rsid w:val="000C75D8"/>
    <w:rsid w:val="000D02BB"/>
    <w:rsid w:val="000D0C8B"/>
    <w:rsid w:val="000D0D04"/>
    <w:rsid w:val="000D1495"/>
    <w:rsid w:val="000D232B"/>
    <w:rsid w:val="000D26B1"/>
    <w:rsid w:val="000D279C"/>
    <w:rsid w:val="000D2852"/>
    <w:rsid w:val="000D2B1C"/>
    <w:rsid w:val="000D3FF7"/>
    <w:rsid w:val="000D4593"/>
    <w:rsid w:val="000D489D"/>
    <w:rsid w:val="000D4A4F"/>
    <w:rsid w:val="000D4B29"/>
    <w:rsid w:val="000D52BC"/>
    <w:rsid w:val="000D5350"/>
    <w:rsid w:val="000D5AF9"/>
    <w:rsid w:val="000D6A32"/>
    <w:rsid w:val="000D707F"/>
    <w:rsid w:val="000D77E3"/>
    <w:rsid w:val="000D7BCA"/>
    <w:rsid w:val="000E03EC"/>
    <w:rsid w:val="000E188C"/>
    <w:rsid w:val="000E29A7"/>
    <w:rsid w:val="000E3007"/>
    <w:rsid w:val="000E3270"/>
    <w:rsid w:val="000E3288"/>
    <w:rsid w:val="000E37FC"/>
    <w:rsid w:val="000E3B93"/>
    <w:rsid w:val="000E56DD"/>
    <w:rsid w:val="000E58EB"/>
    <w:rsid w:val="000E62CE"/>
    <w:rsid w:val="000E6330"/>
    <w:rsid w:val="000E7200"/>
    <w:rsid w:val="000E76E5"/>
    <w:rsid w:val="000F0211"/>
    <w:rsid w:val="000F2637"/>
    <w:rsid w:val="000F4317"/>
    <w:rsid w:val="000F492F"/>
    <w:rsid w:val="000F6B7A"/>
    <w:rsid w:val="000F6E3F"/>
    <w:rsid w:val="000F7039"/>
    <w:rsid w:val="001000DA"/>
    <w:rsid w:val="0010014A"/>
    <w:rsid w:val="00100A21"/>
    <w:rsid w:val="00100B7A"/>
    <w:rsid w:val="00101530"/>
    <w:rsid w:val="001026B1"/>
    <w:rsid w:val="001033A4"/>
    <w:rsid w:val="00103991"/>
    <w:rsid w:val="001048B8"/>
    <w:rsid w:val="001051B9"/>
    <w:rsid w:val="001058B1"/>
    <w:rsid w:val="00107059"/>
    <w:rsid w:val="00107237"/>
    <w:rsid w:val="00107481"/>
    <w:rsid w:val="00107865"/>
    <w:rsid w:val="001117F9"/>
    <w:rsid w:val="00111BB3"/>
    <w:rsid w:val="00112073"/>
    <w:rsid w:val="00112A5B"/>
    <w:rsid w:val="00113143"/>
    <w:rsid w:val="00113855"/>
    <w:rsid w:val="0011475D"/>
    <w:rsid w:val="00114F71"/>
    <w:rsid w:val="00115F25"/>
    <w:rsid w:val="0011694C"/>
    <w:rsid w:val="00116EA1"/>
    <w:rsid w:val="00117510"/>
    <w:rsid w:val="00117B58"/>
    <w:rsid w:val="001207A5"/>
    <w:rsid w:val="00120AD0"/>
    <w:rsid w:val="001212A0"/>
    <w:rsid w:val="001217C4"/>
    <w:rsid w:val="00122114"/>
    <w:rsid w:val="00122271"/>
    <w:rsid w:val="0012309F"/>
    <w:rsid w:val="00123E97"/>
    <w:rsid w:val="0012414D"/>
    <w:rsid w:val="00124CCA"/>
    <w:rsid w:val="00125F96"/>
    <w:rsid w:val="00126B87"/>
    <w:rsid w:val="00127795"/>
    <w:rsid w:val="00127D4A"/>
    <w:rsid w:val="00127D75"/>
    <w:rsid w:val="00130E64"/>
    <w:rsid w:val="0013140C"/>
    <w:rsid w:val="00131AAB"/>
    <w:rsid w:val="00131F95"/>
    <w:rsid w:val="001322C7"/>
    <w:rsid w:val="00132DF5"/>
    <w:rsid w:val="00132E0D"/>
    <w:rsid w:val="001339D4"/>
    <w:rsid w:val="0013537D"/>
    <w:rsid w:val="0013543E"/>
    <w:rsid w:val="001359F8"/>
    <w:rsid w:val="00136479"/>
    <w:rsid w:val="001372A7"/>
    <w:rsid w:val="00137CE3"/>
    <w:rsid w:val="00140982"/>
    <w:rsid w:val="00140A51"/>
    <w:rsid w:val="00140DFC"/>
    <w:rsid w:val="001410F8"/>
    <w:rsid w:val="001415F3"/>
    <w:rsid w:val="001419AE"/>
    <w:rsid w:val="00141AAF"/>
    <w:rsid w:val="00141B65"/>
    <w:rsid w:val="00142F06"/>
    <w:rsid w:val="0014319A"/>
    <w:rsid w:val="00143435"/>
    <w:rsid w:val="0014379D"/>
    <w:rsid w:val="001444FB"/>
    <w:rsid w:val="00144FB7"/>
    <w:rsid w:val="001453E7"/>
    <w:rsid w:val="0014584E"/>
    <w:rsid w:val="00145C69"/>
    <w:rsid w:val="00146949"/>
    <w:rsid w:val="0014741F"/>
    <w:rsid w:val="00147C7F"/>
    <w:rsid w:val="00150045"/>
    <w:rsid w:val="0015019A"/>
    <w:rsid w:val="00150BC1"/>
    <w:rsid w:val="00152469"/>
    <w:rsid w:val="0015257D"/>
    <w:rsid w:val="00152B30"/>
    <w:rsid w:val="00153DE8"/>
    <w:rsid w:val="001545E6"/>
    <w:rsid w:val="00154E13"/>
    <w:rsid w:val="001550C7"/>
    <w:rsid w:val="001552ED"/>
    <w:rsid w:val="001554F6"/>
    <w:rsid w:val="00155A4A"/>
    <w:rsid w:val="00155CC4"/>
    <w:rsid w:val="00156187"/>
    <w:rsid w:val="0015663F"/>
    <w:rsid w:val="00157B7C"/>
    <w:rsid w:val="001606B0"/>
    <w:rsid w:val="00160E21"/>
    <w:rsid w:val="001619DD"/>
    <w:rsid w:val="00161E18"/>
    <w:rsid w:val="00162755"/>
    <w:rsid w:val="001647A0"/>
    <w:rsid w:val="00164B21"/>
    <w:rsid w:val="00165A8F"/>
    <w:rsid w:val="00167413"/>
    <w:rsid w:val="00167AB9"/>
    <w:rsid w:val="0017006B"/>
    <w:rsid w:val="00170308"/>
    <w:rsid w:val="00170671"/>
    <w:rsid w:val="00171266"/>
    <w:rsid w:val="00173126"/>
    <w:rsid w:val="001731FB"/>
    <w:rsid w:val="00173578"/>
    <w:rsid w:val="00174055"/>
    <w:rsid w:val="00174218"/>
    <w:rsid w:val="001742D8"/>
    <w:rsid w:val="0017474D"/>
    <w:rsid w:val="00175F93"/>
    <w:rsid w:val="001762AB"/>
    <w:rsid w:val="00176477"/>
    <w:rsid w:val="00177003"/>
    <w:rsid w:val="001774C3"/>
    <w:rsid w:val="00177857"/>
    <w:rsid w:val="00177D30"/>
    <w:rsid w:val="001800A3"/>
    <w:rsid w:val="0018017C"/>
    <w:rsid w:val="001817D4"/>
    <w:rsid w:val="00181B99"/>
    <w:rsid w:val="00182872"/>
    <w:rsid w:val="001829DA"/>
    <w:rsid w:val="00182A49"/>
    <w:rsid w:val="00182CF5"/>
    <w:rsid w:val="00183266"/>
    <w:rsid w:val="0018336B"/>
    <w:rsid w:val="00183A77"/>
    <w:rsid w:val="0018436D"/>
    <w:rsid w:val="0018453B"/>
    <w:rsid w:val="001860B5"/>
    <w:rsid w:val="00186635"/>
    <w:rsid w:val="00186FAE"/>
    <w:rsid w:val="0019025D"/>
    <w:rsid w:val="0019049D"/>
    <w:rsid w:val="001904D4"/>
    <w:rsid w:val="00190C6F"/>
    <w:rsid w:val="00191C6C"/>
    <w:rsid w:val="00191ED0"/>
    <w:rsid w:val="001923C1"/>
    <w:rsid w:val="001926CB"/>
    <w:rsid w:val="00192872"/>
    <w:rsid w:val="00193BF5"/>
    <w:rsid w:val="00195829"/>
    <w:rsid w:val="001959CD"/>
    <w:rsid w:val="00196490"/>
    <w:rsid w:val="00196F27"/>
    <w:rsid w:val="001972E4"/>
    <w:rsid w:val="001975ED"/>
    <w:rsid w:val="00197B41"/>
    <w:rsid w:val="001A1083"/>
    <w:rsid w:val="001A1366"/>
    <w:rsid w:val="001A180C"/>
    <w:rsid w:val="001A3931"/>
    <w:rsid w:val="001A3D86"/>
    <w:rsid w:val="001A3ED0"/>
    <w:rsid w:val="001A480A"/>
    <w:rsid w:val="001A4E8D"/>
    <w:rsid w:val="001A4FC3"/>
    <w:rsid w:val="001A5631"/>
    <w:rsid w:val="001A5B2F"/>
    <w:rsid w:val="001A69FE"/>
    <w:rsid w:val="001A6A88"/>
    <w:rsid w:val="001A6B2B"/>
    <w:rsid w:val="001A6EE6"/>
    <w:rsid w:val="001B17A6"/>
    <w:rsid w:val="001B210C"/>
    <w:rsid w:val="001B2FA5"/>
    <w:rsid w:val="001B4909"/>
    <w:rsid w:val="001B5C4A"/>
    <w:rsid w:val="001B5CEA"/>
    <w:rsid w:val="001B6299"/>
    <w:rsid w:val="001B6A48"/>
    <w:rsid w:val="001B6D6A"/>
    <w:rsid w:val="001B6E18"/>
    <w:rsid w:val="001C06E1"/>
    <w:rsid w:val="001C0982"/>
    <w:rsid w:val="001C0D1A"/>
    <w:rsid w:val="001C0ED6"/>
    <w:rsid w:val="001C1EB7"/>
    <w:rsid w:val="001C2371"/>
    <w:rsid w:val="001C2E89"/>
    <w:rsid w:val="001C5FC1"/>
    <w:rsid w:val="001C6EDA"/>
    <w:rsid w:val="001C7627"/>
    <w:rsid w:val="001C7966"/>
    <w:rsid w:val="001C7EC7"/>
    <w:rsid w:val="001D0C62"/>
    <w:rsid w:val="001D0F73"/>
    <w:rsid w:val="001D1741"/>
    <w:rsid w:val="001D1803"/>
    <w:rsid w:val="001D2259"/>
    <w:rsid w:val="001D236A"/>
    <w:rsid w:val="001D36C3"/>
    <w:rsid w:val="001D3C5E"/>
    <w:rsid w:val="001D4122"/>
    <w:rsid w:val="001D434A"/>
    <w:rsid w:val="001D53CC"/>
    <w:rsid w:val="001D572A"/>
    <w:rsid w:val="001D60DB"/>
    <w:rsid w:val="001D6A13"/>
    <w:rsid w:val="001D6C4E"/>
    <w:rsid w:val="001D6D14"/>
    <w:rsid w:val="001D7322"/>
    <w:rsid w:val="001D7BB5"/>
    <w:rsid w:val="001E0148"/>
    <w:rsid w:val="001E0B06"/>
    <w:rsid w:val="001E1F44"/>
    <w:rsid w:val="001E230D"/>
    <w:rsid w:val="001E2B2D"/>
    <w:rsid w:val="001E39EF"/>
    <w:rsid w:val="001E490C"/>
    <w:rsid w:val="001E4A83"/>
    <w:rsid w:val="001E4EF3"/>
    <w:rsid w:val="001E4F89"/>
    <w:rsid w:val="001E5167"/>
    <w:rsid w:val="001E51C4"/>
    <w:rsid w:val="001E6478"/>
    <w:rsid w:val="001E68DB"/>
    <w:rsid w:val="001E7E52"/>
    <w:rsid w:val="001F166C"/>
    <w:rsid w:val="001F169C"/>
    <w:rsid w:val="001F1D54"/>
    <w:rsid w:val="001F1F0C"/>
    <w:rsid w:val="001F1F17"/>
    <w:rsid w:val="001F2CD7"/>
    <w:rsid w:val="001F3373"/>
    <w:rsid w:val="001F33E3"/>
    <w:rsid w:val="001F362A"/>
    <w:rsid w:val="001F4483"/>
    <w:rsid w:val="001F48F2"/>
    <w:rsid w:val="001F5B2B"/>
    <w:rsid w:val="001F60B4"/>
    <w:rsid w:val="001F6214"/>
    <w:rsid w:val="001F6C99"/>
    <w:rsid w:val="001F7303"/>
    <w:rsid w:val="001F7A22"/>
    <w:rsid w:val="0020055A"/>
    <w:rsid w:val="00200A52"/>
    <w:rsid w:val="0020139A"/>
    <w:rsid w:val="00201A60"/>
    <w:rsid w:val="00201F7D"/>
    <w:rsid w:val="00202FCE"/>
    <w:rsid w:val="0020330B"/>
    <w:rsid w:val="00203600"/>
    <w:rsid w:val="002042E4"/>
    <w:rsid w:val="00204755"/>
    <w:rsid w:val="002053A7"/>
    <w:rsid w:val="00205675"/>
    <w:rsid w:val="00205E48"/>
    <w:rsid w:val="002060D5"/>
    <w:rsid w:val="00206BD8"/>
    <w:rsid w:val="002112CF"/>
    <w:rsid w:val="00212A2D"/>
    <w:rsid w:val="0021395F"/>
    <w:rsid w:val="00213EE7"/>
    <w:rsid w:val="00214406"/>
    <w:rsid w:val="00214D80"/>
    <w:rsid w:val="002150CE"/>
    <w:rsid w:val="00215684"/>
    <w:rsid w:val="00215A7E"/>
    <w:rsid w:val="00215E28"/>
    <w:rsid w:val="002179F0"/>
    <w:rsid w:val="00220345"/>
    <w:rsid w:val="002208F3"/>
    <w:rsid w:val="00221151"/>
    <w:rsid w:val="002214E6"/>
    <w:rsid w:val="00221BEE"/>
    <w:rsid w:val="002221F6"/>
    <w:rsid w:val="002229C3"/>
    <w:rsid w:val="00222D5F"/>
    <w:rsid w:val="002237A2"/>
    <w:rsid w:val="00223D5F"/>
    <w:rsid w:val="00224540"/>
    <w:rsid w:val="002248D4"/>
    <w:rsid w:val="00225257"/>
    <w:rsid w:val="00225873"/>
    <w:rsid w:val="00225A71"/>
    <w:rsid w:val="002266DF"/>
    <w:rsid w:val="00226CAB"/>
    <w:rsid w:val="002274A1"/>
    <w:rsid w:val="002276B1"/>
    <w:rsid w:val="002279C3"/>
    <w:rsid w:val="00230B9A"/>
    <w:rsid w:val="00230C53"/>
    <w:rsid w:val="00231A1E"/>
    <w:rsid w:val="00231CD9"/>
    <w:rsid w:val="00231F8D"/>
    <w:rsid w:val="002323E5"/>
    <w:rsid w:val="00232D36"/>
    <w:rsid w:val="00233A69"/>
    <w:rsid w:val="00234AE6"/>
    <w:rsid w:val="00234D91"/>
    <w:rsid w:val="002361AB"/>
    <w:rsid w:val="002363C9"/>
    <w:rsid w:val="00236787"/>
    <w:rsid w:val="00237049"/>
    <w:rsid w:val="002373A0"/>
    <w:rsid w:val="002379FC"/>
    <w:rsid w:val="0024081F"/>
    <w:rsid w:val="002408A4"/>
    <w:rsid w:val="00240B01"/>
    <w:rsid w:val="00241DC3"/>
    <w:rsid w:val="002422D8"/>
    <w:rsid w:val="0024272C"/>
    <w:rsid w:val="0024291D"/>
    <w:rsid w:val="00242C3E"/>
    <w:rsid w:val="00243E82"/>
    <w:rsid w:val="002445E4"/>
    <w:rsid w:val="00244C26"/>
    <w:rsid w:val="002451BC"/>
    <w:rsid w:val="00246070"/>
    <w:rsid w:val="00246A4D"/>
    <w:rsid w:val="002500DF"/>
    <w:rsid w:val="00250EFE"/>
    <w:rsid w:val="00251068"/>
    <w:rsid w:val="00251899"/>
    <w:rsid w:val="00251D16"/>
    <w:rsid w:val="00252160"/>
    <w:rsid w:val="0025223C"/>
    <w:rsid w:val="00252607"/>
    <w:rsid w:val="002541AC"/>
    <w:rsid w:val="0025465A"/>
    <w:rsid w:val="00254CD2"/>
    <w:rsid w:val="0025503C"/>
    <w:rsid w:val="002569B4"/>
    <w:rsid w:val="002569EF"/>
    <w:rsid w:val="00256AC0"/>
    <w:rsid w:val="002570D5"/>
    <w:rsid w:val="00260497"/>
    <w:rsid w:val="00260A62"/>
    <w:rsid w:val="002617B2"/>
    <w:rsid w:val="00261B3D"/>
    <w:rsid w:val="00261D67"/>
    <w:rsid w:val="00261DE1"/>
    <w:rsid w:val="00262744"/>
    <w:rsid w:val="00263A11"/>
    <w:rsid w:val="00263C9B"/>
    <w:rsid w:val="00263E9A"/>
    <w:rsid w:val="00264107"/>
    <w:rsid w:val="00264613"/>
    <w:rsid w:val="00264A38"/>
    <w:rsid w:val="00264D1E"/>
    <w:rsid w:val="00265548"/>
    <w:rsid w:val="00265AAC"/>
    <w:rsid w:val="00265C96"/>
    <w:rsid w:val="00265ECA"/>
    <w:rsid w:val="002666FC"/>
    <w:rsid w:val="00266BEE"/>
    <w:rsid w:val="00266F2B"/>
    <w:rsid w:val="002671EF"/>
    <w:rsid w:val="00270706"/>
    <w:rsid w:val="00271200"/>
    <w:rsid w:val="0027166B"/>
    <w:rsid w:val="002719B8"/>
    <w:rsid w:val="00271E06"/>
    <w:rsid w:val="00272415"/>
    <w:rsid w:val="002727D3"/>
    <w:rsid w:val="00272AC1"/>
    <w:rsid w:val="00273296"/>
    <w:rsid w:val="00274314"/>
    <w:rsid w:val="0027453B"/>
    <w:rsid w:val="00276E96"/>
    <w:rsid w:val="00277234"/>
    <w:rsid w:val="0027729A"/>
    <w:rsid w:val="00277A08"/>
    <w:rsid w:val="00280955"/>
    <w:rsid w:val="002810BB"/>
    <w:rsid w:val="0028113B"/>
    <w:rsid w:val="0028246A"/>
    <w:rsid w:val="00282567"/>
    <w:rsid w:val="00283548"/>
    <w:rsid w:val="00284547"/>
    <w:rsid w:val="00284D25"/>
    <w:rsid w:val="00284D35"/>
    <w:rsid w:val="00285D5E"/>
    <w:rsid w:val="00286217"/>
    <w:rsid w:val="00286757"/>
    <w:rsid w:val="00287405"/>
    <w:rsid w:val="00287572"/>
    <w:rsid w:val="00287C18"/>
    <w:rsid w:val="002902C7"/>
    <w:rsid w:val="0029060B"/>
    <w:rsid w:val="00290850"/>
    <w:rsid w:val="00290957"/>
    <w:rsid w:val="002909C9"/>
    <w:rsid w:val="00291076"/>
    <w:rsid w:val="002915E4"/>
    <w:rsid w:val="0029195F"/>
    <w:rsid w:val="00292C54"/>
    <w:rsid w:val="00292CF8"/>
    <w:rsid w:val="00293000"/>
    <w:rsid w:val="00293277"/>
    <w:rsid w:val="00293385"/>
    <w:rsid w:val="002935AB"/>
    <w:rsid w:val="0029395C"/>
    <w:rsid w:val="00293B19"/>
    <w:rsid w:val="002940B7"/>
    <w:rsid w:val="0029480B"/>
    <w:rsid w:val="00294D3E"/>
    <w:rsid w:val="002957E0"/>
    <w:rsid w:val="00295EAD"/>
    <w:rsid w:val="002962F2"/>
    <w:rsid w:val="002965B9"/>
    <w:rsid w:val="00296C46"/>
    <w:rsid w:val="00296CF8"/>
    <w:rsid w:val="00297054"/>
    <w:rsid w:val="00297D57"/>
    <w:rsid w:val="002A014D"/>
    <w:rsid w:val="002A06B7"/>
    <w:rsid w:val="002A269D"/>
    <w:rsid w:val="002A2D8F"/>
    <w:rsid w:val="002A3114"/>
    <w:rsid w:val="002A3D6B"/>
    <w:rsid w:val="002A476A"/>
    <w:rsid w:val="002A4E9E"/>
    <w:rsid w:val="002A4EB8"/>
    <w:rsid w:val="002A517C"/>
    <w:rsid w:val="002A55FC"/>
    <w:rsid w:val="002A65A5"/>
    <w:rsid w:val="002A68F8"/>
    <w:rsid w:val="002A7361"/>
    <w:rsid w:val="002A74FA"/>
    <w:rsid w:val="002A75CB"/>
    <w:rsid w:val="002A7DA3"/>
    <w:rsid w:val="002A7F00"/>
    <w:rsid w:val="002B00D3"/>
    <w:rsid w:val="002B17E4"/>
    <w:rsid w:val="002B2B95"/>
    <w:rsid w:val="002B2D67"/>
    <w:rsid w:val="002B3BEC"/>
    <w:rsid w:val="002B7550"/>
    <w:rsid w:val="002B77DE"/>
    <w:rsid w:val="002B79F2"/>
    <w:rsid w:val="002C0F63"/>
    <w:rsid w:val="002C1EE2"/>
    <w:rsid w:val="002C26BF"/>
    <w:rsid w:val="002C362E"/>
    <w:rsid w:val="002C3EFC"/>
    <w:rsid w:val="002C41B9"/>
    <w:rsid w:val="002C51D0"/>
    <w:rsid w:val="002C6022"/>
    <w:rsid w:val="002D01E5"/>
    <w:rsid w:val="002D0A45"/>
    <w:rsid w:val="002D1038"/>
    <w:rsid w:val="002D1395"/>
    <w:rsid w:val="002D17F0"/>
    <w:rsid w:val="002D30D1"/>
    <w:rsid w:val="002D3775"/>
    <w:rsid w:val="002D413F"/>
    <w:rsid w:val="002D51AB"/>
    <w:rsid w:val="002D5A0E"/>
    <w:rsid w:val="002D5BCC"/>
    <w:rsid w:val="002D6A2C"/>
    <w:rsid w:val="002D7AC4"/>
    <w:rsid w:val="002D7B5F"/>
    <w:rsid w:val="002E0141"/>
    <w:rsid w:val="002E0648"/>
    <w:rsid w:val="002E0803"/>
    <w:rsid w:val="002E2673"/>
    <w:rsid w:val="002E3CE4"/>
    <w:rsid w:val="002E4C52"/>
    <w:rsid w:val="002E6AAD"/>
    <w:rsid w:val="002E6DEB"/>
    <w:rsid w:val="002E752F"/>
    <w:rsid w:val="002F01D8"/>
    <w:rsid w:val="002F15BF"/>
    <w:rsid w:val="002F1C45"/>
    <w:rsid w:val="002F2B11"/>
    <w:rsid w:val="002F3E7F"/>
    <w:rsid w:val="002F3F32"/>
    <w:rsid w:val="002F4AC0"/>
    <w:rsid w:val="002F4F7D"/>
    <w:rsid w:val="002F5E15"/>
    <w:rsid w:val="002F6EE5"/>
    <w:rsid w:val="002F6F78"/>
    <w:rsid w:val="002F7DE6"/>
    <w:rsid w:val="002F7E52"/>
    <w:rsid w:val="002F7E55"/>
    <w:rsid w:val="002F7FBF"/>
    <w:rsid w:val="003003A5"/>
    <w:rsid w:val="0030171E"/>
    <w:rsid w:val="003026BE"/>
    <w:rsid w:val="00303368"/>
    <w:rsid w:val="003033E7"/>
    <w:rsid w:val="0030355D"/>
    <w:rsid w:val="0030375D"/>
    <w:rsid w:val="003044FB"/>
    <w:rsid w:val="003049ED"/>
    <w:rsid w:val="00306372"/>
    <w:rsid w:val="00306FA6"/>
    <w:rsid w:val="003075C2"/>
    <w:rsid w:val="00307CAE"/>
    <w:rsid w:val="00310390"/>
    <w:rsid w:val="00310E0B"/>
    <w:rsid w:val="00311DA1"/>
    <w:rsid w:val="003120DB"/>
    <w:rsid w:val="003125B2"/>
    <w:rsid w:val="003126E4"/>
    <w:rsid w:val="00312BEE"/>
    <w:rsid w:val="00313B11"/>
    <w:rsid w:val="00313B3E"/>
    <w:rsid w:val="00314EC5"/>
    <w:rsid w:val="00316D9E"/>
    <w:rsid w:val="003174B6"/>
    <w:rsid w:val="00317A24"/>
    <w:rsid w:val="00317E8B"/>
    <w:rsid w:val="00320077"/>
    <w:rsid w:val="003204CD"/>
    <w:rsid w:val="00321F5B"/>
    <w:rsid w:val="0032223A"/>
    <w:rsid w:val="00322283"/>
    <w:rsid w:val="0032237D"/>
    <w:rsid w:val="00322781"/>
    <w:rsid w:val="003234AD"/>
    <w:rsid w:val="003235C7"/>
    <w:rsid w:val="003245B9"/>
    <w:rsid w:val="00324CCB"/>
    <w:rsid w:val="00324EFF"/>
    <w:rsid w:val="00325645"/>
    <w:rsid w:val="00326187"/>
    <w:rsid w:val="00326483"/>
    <w:rsid w:val="0032698B"/>
    <w:rsid w:val="00326E86"/>
    <w:rsid w:val="00326FEA"/>
    <w:rsid w:val="00327A23"/>
    <w:rsid w:val="00327B37"/>
    <w:rsid w:val="003309DA"/>
    <w:rsid w:val="00331BC3"/>
    <w:rsid w:val="00332484"/>
    <w:rsid w:val="00334471"/>
    <w:rsid w:val="00335043"/>
    <w:rsid w:val="003352D5"/>
    <w:rsid w:val="003375B6"/>
    <w:rsid w:val="00337BAB"/>
    <w:rsid w:val="00340523"/>
    <w:rsid w:val="00341FEE"/>
    <w:rsid w:val="003425A8"/>
    <w:rsid w:val="00343891"/>
    <w:rsid w:val="003444B0"/>
    <w:rsid w:val="00344D85"/>
    <w:rsid w:val="0034525E"/>
    <w:rsid w:val="00345495"/>
    <w:rsid w:val="0034585F"/>
    <w:rsid w:val="00345C7E"/>
    <w:rsid w:val="00345D29"/>
    <w:rsid w:val="003467C4"/>
    <w:rsid w:val="00346F3C"/>
    <w:rsid w:val="003472B6"/>
    <w:rsid w:val="003478B9"/>
    <w:rsid w:val="00347FA4"/>
    <w:rsid w:val="00350C83"/>
    <w:rsid w:val="003517C9"/>
    <w:rsid w:val="00351C17"/>
    <w:rsid w:val="003534B0"/>
    <w:rsid w:val="003538C4"/>
    <w:rsid w:val="00355959"/>
    <w:rsid w:val="0035624E"/>
    <w:rsid w:val="00357002"/>
    <w:rsid w:val="0035772F"/>
    <w:rsid w:val="00360232"/>
    <w:rsid w:val="003606C3"/>
    <w:rsid w:val="003613D1"/>
    <w:rsid w:val="003615F5"/>
    <w:rsid w:val="0036160B"/>
    <w:rsid w:val="003627FB"/>
    <w:rsid w:val="00362C65"/>
    <w:rsid w:val="0036359B"/>
    <w:rsid w:val="00364905"/>
    <w:rsid w:val="00364F78"/>
    <w:rsid w:val="00365C14"/>
    <w:rsid w:val="00367033"/>
    <w:rsid w:val="003673E7"/>
    <w:rsid w:val="003678CD"/>
    <w:rsid w:val="003679DC"/>
    <w:rsid w:val="00370052"/>
    <w:rsid w:val="00371E26"/>
    <w:rsid w:val="00372116"/>
    <w:rsid w:val="00373694"/>
    <w:rsid w:val="0037408E"/>
    <w:rsid w:val="003755C8"/>
    <w:rsid w:val="003757CC"/>
    <w:rsid w:val="00375EAF"/>
    <w:rsid w:val="00376241"/>
    <w:rsid w:val="00377C17"/>
    <w:rsid w:val="00380594"/>
    <w:rsid w:val="00380EE7"/>
    <w:rsid w:val="003814F7"/>
    <w:rsid w:val="00382027"/>
    <w:rsid w:val="00382665"/>
    <w:rsid w:val="00382A91"/>
    <w:rsid w:val="00382DB3"/>
    <w:rsid w:val="00382E78"/>
    <w:rsid w:val="00383C21"/>
    <w:rsid w:val="00384976"/>
    <w:rsid w:val="00385156"/>
    <w:rsid w:val="0038578F"/>
    <w:rsid w:val="00385868"/>
    <w:rsid w:val="0038590C"/>
    <w:rsid w:val="00385E4D"/>
    <w:rsid w:val="00386074"/>
    <w:rsid w:val="00386FA1"/>
    <w:rsid w:val="00387039"/>
    <w:rsid w:val="00387756"/>
    <w:rsid w:val="00390411"/>
    <w:rsid w:val="00390426"/>
    <w:rsid w:val="0039049F"/>
    <w:rsid w:val="00390AD5"/>
    <w:rsid w:val="0039115C"/>
    <w:rsid w:val="0039193A"/>
    <w:rsid w:val="00392B75"/>
    <w:rsid w:val="00393B4A"/>
    <w:rsid w:val="00394867"/>
    <w:rsid w:val="00394FAF"/>
    <w:rsid w:val="0039645B"/>
    <w:rsid w:val="00396C90"/>
    <w:rsid w:val="003A0061"/>
    <w:rsid w:val="003A01F7"/>
    <w:rsid w:val="003A09BC"/>
    <w:rsid w:val="003A1A3A"/>
    <w:rsid w:val="003A26B9"/>
    <w:rsid w:val="003A2EAE"/>
    <w:rsid w:val="003A465A"/>
    <w:rsid w:val="003A4994"/>
    <w:rsid w:val="003A4E40"/>
    <w:rsid w:val="003A575B"/>
    <w:rsid w:val="003A5D81"/>
    <w:rsid w:val="003A624C"/>
    <w:rsid w:val="003A6997"/>
    <w:rsid w:val="003A69F3"/>
    <w:rsid w:val="003A6B01"/>
    <w:rsid w:val="003A6BB5"/>
    <w:rsid w:val="003A6F36"/>
    <w:rsid w:val="003A70D8"/>
    <w:rsid w:val="003A7262"/>
    <w:rsid w:val="003A7ECE"/>
    <w:rsid w:val="003B01C0"/>
    <w:rsid w:val="003B04EE"/>
    <w:rsid w:val="003B1019"/>
    <w:rsid w:val="003B18C5"/>
    <w:rsid w:val="003B20BC"/>
    <w:rsid w:val="003B2BCC"/>
    <w:rsid w:val="003B44FC"/>
    <w:rsid w:val="003B470A"/>
    <w:rsid w:val="003B4D77"/>
    <w:rsid w:val="003B5178"/>
    <w:rsid w:val="003B567C"/>
    <w:rsid w:val="003B5749"/>
    <w:rsid w:val="003B6F78"/>
    <w:rsid w:val="003B7421"/>
    <w:rsid w:val="003B78F9"/>
    <w:rsid w:val="003C0857"/>
    <w:rsid w:val="003C1178"/>
    <w:rsid w:val="003C1AEB"/>
    <w:rsid w:val="003C2B4A"/>
    <w:rsid w:val="003C37FA"/>
    <w:rsid w:val="003C3C12"/>
    <w:rsid w:val="003C4999"/>
    <w:rsid w:val="003C4E0F"/>
    <w:rsid w:val="003C5C9A"/>
    <w:rsid w:val="003C5F08"/>
    <w:rsid w:val="003C64BA"/>
    <w:rsid w:val="003C6707"/>
    <w:rsid w:val="003C77ED"/>
    <w:rsid w:val="003C7F15"/>
    <w:rsid w:val="003D02B7"/>
    <w:rsid w:val="003D06ED"/>
    <w:rsid w:val="003D297F"/>
    <w:rsid w:val="003D2DF2"/>
    <w:rsid w:val="003D4202"/>
    <w:rsid w:val="003D42E9"/>
    <w:rsid w:val="003D4ED5"/>
    <w:rsid w:val="003D5C42"/>
    <w:rsid w:val="003D5E08"/>
    <w:rsid w:val="003D70A7"/>
    <w:rsid w:val="003D779A"/>
    <w:rsid w:val="003E09E0"/>
    <w:rsid w:val="003E0C13"/>
    <w:rsid w:val="003E1808"/>
    <w:rsid w:val="003E1B61"/>
    <w:rsid w:val="003E23F8"/>
    <w:rsid w:val="003E26E2"/>
    <w:rsid w:val="003E3046"/>
    <w:rsid w:val="003E42B8"/>
    <w:rsid w:val="003E4353"/>
    <w:rsid w:val="003E54D4"/>
    <w:rsid w:val="003E5AAA"/>
    <w:rsid w:val="003E5D34"/>
    <w:rsid w:val="003E5E50"/>
    <w:rsid w:val="003E6D18"/>
    <w:rsid w:val="003E6FF0"/>
    <w:rsid w:val="003E78A7"/>
    <w:rsid w:val="003E7F09"/>
    <w:rsid w:val="003F078F"/>
    <w:rsid w:val="003F0809"/>
    <w:rsid w:val="003F0AEA"/>
    <w:rsid w:val="003F0E22"/>
    <w:rsid w:val="003F1737"/>
    <w:rsid w:val="003F1C04"/>
    <w:rsid w:val="003F1FF1"/>
    <w:rsid w:val="003F21F7"/>
    <w:rsid w:val="003F2B51"/>
    <w:rsid w:val="003F314C"/>
    <w:rsid w:val="003F3BCF"/>
    <w:rsid w:val="003F48E9"/>
    <w:rsid w:val="003F4973"/>
    <w:rsid w:val="003F566B"/>
    <w:rsid w:val="003F5B2C"/>
    <w:rsid w:val="003F634B"/>
    <w:rsid w:val="003F7578"/>
    <w:rsid w:val="003F7804"/>
    <w:rsid w:val="003F78DE"/>
    <w:rsid w:val="004006C6"/>
    <w:rsid w:val="00400E4B"/>
    <w:rsid w:val="004025DD"/>
    <w:rsid w:val="00403A4A"/>
    <w:rsid w:val="00404278"/>
    <w:rsid w:val="00404DAA"/>
    <w:rsid w:val="00405B66"/>
    <w:rsid w:val="00406FDC"/>
    <w:rsid w:val="004071E9"/>
    <w:rsid w:val="004072D3"/>
    <w:rsid w:val="0041057C"/>
    <w:rsid w:val="00410C73"/>
    <w:rsid w:val="00411187"/>
    <w:rsid w:val="004114A0"/>
    <w:rsid w:val="00411A0B"/>
    <w:rsid w:val="00411D5C"/>
    <w:rsid w:val="00412179"/>
    <w:rsid w:val="00413FC4"/>
    <w:rsid w:val="004141C2"/>
    <w:rsid w:val="004154F3"/>
    <w:rsid w:val="004156B9"/>
    <w:rsid w:val="00415775"/>
    <w:rsid w:val="0041621F"/>
    <w:rsid w:val="004170FB"/>
    <w:rsid w:val="004171E4"/>
    <w:rsid w:val="00417C25"/>
    <w:rsid w:val="004216C2"/>
    <w:rsid w:val="00422605"/>
    <w:rsid w:val="00422FE1"/>
    <w:rsid w:val="0042313F"/>
    <w:rsid w:val="004236DA"/>
    <w:rsid w:val="00424575"/>
    <w:rsid w:val="004249C6"/>
    <w:rsid w:val="0042592A"/>
    <w:rsid w:val="00426E75"/>
    <w:rsid w:val="0042709F"/>
    <w:rsid w:val="00427377"/>
    <w:rsid w:val="004279FD"/>
    <w:rsid w:val="00430041"/>
    <w:rsid w:val="00430274"/>
    <w:rsid w:val="00430BC7"/>
    <w:rsid w:val="0043148C"/>
    <w:rsid w:val="00432263"/>
    <w:rsid w:val="004322D1"/>
    <w:rsid w:val="00433877"/>
    <w:rsid w:val="00435253"/>
    <w:rsid w:val="00435B75"/>
    <w:rsid w:val="00435B93"/>
    <w:rsid w:val="00436E1B"/>
    <w:rsid w:val="00436F11"/>
    <w:rsid w:val="00437AE4"/>
    <w:rsid w:val="00437BD3"/>
    <w:rsid w:val="00440F08"/>
    <w:rsid w:val="00441273"/>
    <w:rsid w:val="00441589"/>
    <w:rsid w:val="00441C35"/>
    <w:rsid w:val="004423DD"/>
    <w:rsid w:val="00442634"/>
    <w:rsid w:val="004427EC"/>
    <w:rsid w:val="004432C9"/>
    <w:rsid w:val="00443ACA"/>
    <w:rsid w:val="00444839"/>
    <w:rsid w:val="00444C4F"/>
    <w:rsid w:val="00444D3A"/>
    <w:rsid w:val="00445A03"/>
    <w:rsid w:val="00446B19"/>
    <w:rsid w:val="00450C7A"/>
    <w:rsid w:val="004512DA"/>
    <w:rsid w:val="004514A2"/>
    <w:rsid w:val="004529D8"/>
    <w:rsid w:val="00452ADB"/>
    <w:rsid w:val="00453174"/>
    <w:rsid w:val="00453B03"/>
    <w:rsid w:val="00453C10"/>
    <w:rsid w:val="00453DEE"/>
    <w:rsid w:val="00454518"/>
    <w:rsid w:val="0045488A"/>
    <w:rsid w:val="004552C6"/>
    <w:rsid w:val="004558EE"/>
    <w:rsid w:val="004559FB"/>
    <w:rsid w:val="0045648E"/>
    <w:rsid w:val="004574BC"/>
    <w:rsid w:val="00457637"/>
    <w:rsid w:val="004579CD"/>
    <w:rsid w:val="004605E1"/>
    <w:rsid w:val="0046106D"/>
    <w:rsid w:val="004610FD"/>
    <w:rsid w:val="00461DEE"/>
    <w:rsid w:val="00461EF8"/>
    <w:rsid w:val="00462556"/>
    <w:rsid w:val="004655F4"/>
    <w:rsid w:val="00465EC1"/>
    <w:rsid w:val="00465F00"/>
    <w:rsid w:val="004661B1"/>
    <w:rsid w:val="00466C04"/>
    <w:rsid w:val="00467389"/>
    <w:rsid w:val="004712BE"/>
    <w:rsid w:val="00471E32"/>
    <w:rsid w:val="00472D5E"/>
    <w:rsid w:val="00473192"/>
    <w:rsid w:val="0047346D"/>
    <w:rsid w:val="00474229"/>
    <w:rsid w:val="0047521F"/>
    <w:rsid w:val="00476185"/>
    <w:rsid w:val="00476217"/>
    <w:rsid w:val="00476B88"/>
    <w:rsid w:val="00477550"/>
    <w:rsid w:val="004776E1"/>
    <w:rsid w:val="00477B8C"/>
    <w:rsid w:val="0048094F"/>
    <w:rsid w:val="004810C4"/>
    <w:rsid w:val="00481810"/>
    <w:rsid w:val="00481CC9"/>
    <w:rsid w:val="00481E3C"/>
    <w:rsid w:val="00481ECE"/>
    <w:rsid w:val="004834D6"/>
    <w:rsid w:val="00483569"/>
    <w:rsid w:val="00483D44"/>
    <w:rsid w:val="00483DD5"/>
    <w:rsid w:val="00483DFD"/>
    <w:rsid w:val="00483EFD"/>
    <w:rsid w:val="00484F5D"/>
    <w:rsid w:val="00485B92"/>
    <w:rsid w:val="004860D0"/>
    <w:rsid w:val="00486588"/>
    <w:rsid w:val="00486709"/>
    <w:rsid w:val="0048692A"/>
    <w:rsid w:val="00486CC2"/>
    <w:rsid w:val="00490175"/>
    <w:rsid w:val="00490E4B"/>
    <w:rsid w:val="004910F2"/>
    <w:rsid w:val="004911BD"/>
    <w:rsid w:val="00491BAC"/>
    <w:rsid w:val="00491C94"/>
    <w:rsid w:val="00491E84"/>
    <w:rsid w:val="00491EB6"/>
    <w:rsid w:val="00491EE1"/>
    <w:rsid w:val="00492D32"/>
    <w:rsid w:val="004935B6"/>
    <w:rsid w:val="0049403D"/>
    <w:rsid w:val="0049460C"/>
    <w:rsid w:val="00494FC0"/>
    <w:rsid w:val="004950D7"/>
    <w:rsid w:val="0049558B"/>
    <w:rsid w:val="004964EF"/>
    <w:rsid w:val="00497666"/>
    <w:rsid w:val="004A0355"/>
    <w:rsid w:val="004A058B"/>
    <w:rsid w:val="004A06CE"/>
    <w:rsid w:val="004A1C42"/>
    <w:rsid w:val="004A227D"/>
    <w:rsid w:val="004A2355"/>
    <w:rsid w:val="004A25A1"/>
    <w:rsid w:val="004A387C"/>
    <w:rsid w:val="004A3C22"/>
    <w:rsid w:val="004A44A0"/>
    <w:rsid w:val="004A5EB8"/>
    <w:rsid w:val="004A6513"/>
    <w:rsid w:val="004A7548"/>
    <w:rsid w:val="004A7C74"/>
    <w:rsid w:val="004B050E"/>
    <w:rsid w:val="004B07BB"/>
    <w:rsid w:val="004B37C2"/>
    <w:rsid w:val="004B4062"/>
    <w:rsid w:val="004B40B1"/>
    <w:rsid w:val="004B43E2"/>
    <w:rsid w:val="004B54C8"/>
    <w:rsid w:val="004B5A90"/>
    <w:rsid w:val="004B5CAE"/>
    <w:rsid w:val="004B5F85"/>
    <w:rsid w:val="004B653D"/>
    <w:rsid w:val="004B6D28"/>
    <w:rsid w:val="004B70CA"/>
    <w:rsid w:val="004B739F"/>
    <w:rsid w:val="004B77FE"/>
    <w:rsid w:val="004B7E35"/>
    <w:rsid w:val="004C057A"/>
    <w:rsid w:val="004C08CF"/>
    <w:rsid w:val="004C0F67"/>
    <w:rsid w:val="004C1641"/>
    <w:rsid w:val="004C1680"/>
    <w:rsid w:val="004C1A34"/>
    <w:rsid w:val="004C3479"/>
    <w:rsid w:val="004C4132"/>
    <w:rsid w:val="004C4A4C"/>
    <w:rsid w:val="004C4EFC"/>
    <w:rsid w:val="004C582C"/>
    <w:rsid w:val="004C68E4"/>
    <w:rsid w:val="004C78B0"/>
    <w:rsid w:val="004D0BAB"/>
    <w:rsid w:val="004D2A1E"/>
    <w:rsid w:val="004D2DF0"/>
    <w:rsid w:val="004D2EDE"/>
    <w:rsid w:val="004D3114"/>
    <w:rsid w:val="004D3281"/>
    <w:rsid w:val="004D3362"/>
    <w:rsid w:val="004D3A52"/>
    <w:rsid w:val="004D3EF6"/>
    <w:rsid w:val="004D504E"/>
    <w:rsid w:val="004D57F8"/>
    <w:rsid w:val="004D5DE3"/>
    <w:rsid w:val="004D644D"/>
    <w:rsid w:val="004D6948"/>
    <w:rsid w:val="004D69FC"/>
    <w:rsid w:val="004D780C"/>
    <w:rsid w:val="004E0982"/>
    <w:rsid w:val="004E1D23"/>
    <w:rsid w:val="004E28F4"/>
    <w:rsid w:val="004E363E"/>
    <w:rsid w:val="004E4560"/>
    <w:rsid w:val="004E6151"/>
    <w:rsid w:val="004E668A"/>
    <w:rsid w:val="004E7651"/>
    <w:rsid w:val="004F0104"/>
    <w:rsid w:val="004F028A"/>
    <w:rsid w:val="004F06F8"/>
    <w:rsid w:val="004F1400"/>
    <w:rsid w:val="004F1B68"/>
    <w:rsid w:val="004F1FAF"/>
    <w:rsid w:val="004F2150"/>
    <w:rsid w:val="004F254D"/>
    <w:rsid w:val="004F2BE3"/>
    <w:rsid w:val="004F32CA"/>
    <w:rsid w:val="004F337F"/>
    <w:rsid w:val="004F3530"/>
    <w:rsid w:val="004F408C"/>
    <w:rsid w:val="004F418F"/>
    <w:rsid w:val="004F44A8"/>
    <w:rsid w:val="004F5766"/>
    <w:rsid w:val="004F578A"/>
    <w:rsid w:val="004F5863"/>
    <w:rsid w:val="004F5C51"/>
    <w:rsid w:val="004F5ECA"/>
    <w:rsid w:val="004F6510"/>
    <w:rsid w:val="004F6ABE"/>
    <w:rsid w:val="00501425"/>
    <w:rsid w:val="00501B01"/>
    <w:rsid w:val="0050274F"/>
    <w:rsid w:val="00502A5C"/>
    <w:rsid w:val="00502C45"/>
    <w:rsid w:val="00502C92"/>
    <w:rsid w:val="00502E00"/>
    <w:rsid w:val="00502F18"/>
    <w:rsid w:val="005033AE"/>
    <w:rsid w:val="00503F7B"/>
    <w:rsid w:val="00504001"/>
    <w:rsid w:val="005055C8"/>
    <w:rsid w:val="005056B6"/>
    <w:rsid w:val="00505A89"/>
    <w:rsid w:val="00505DA1"/>
    <w:rsid w:val="00506215"/>
    <w:rsid w:val="005062A6"/>
    <w:rsid w:val="005067F4"/>
    <w:rsid w:val="00506A41"/>
    <w:rsid w:val="00506D4C"/>
    <w:rsid w:val="00507C70"/>
    <w:rsid w:val="00507DFC"/>
    <w:rsid w:val="00510455"/>
    <w:rsid w:val="0051099F"/>
    <w:rsid w:val="00510EB2"/>
    <w:rsid w:val="005114B7"/>
    <w:rsid w:val="00511559"/>
    <w:rsid w:val="0051175D"/>
    <w:rsid w:val="00512086"/>
    <w:rsid w:val="005142A3"/>
    <w:rsid w:val="00515413"/>
    <w:rsid w:val="00515D6B"/>
    <w:rsid w:val="00515F0E"/>
    <w:rsid w:val="00516549"/>
    <w:rsid w:val="0051672A"/>
    <w:rsid w:val="00517BBB"/>
    <w:rsid w:val="005207C0"/>
    <w:rsid w:val="005222D0"/>
    <w:rsid w:val="0052327E"/>
    <w:rsid w:val="00523551"/>
    <w:rsid w:val="00524F75"/>
    <w:rsid w:val="005250E2"/>
    <w:rsid w:val="0052524C"/>
    <w:rsid w:val="00525D2D"/>
    <w:rsid w:val="00525D56"/>
    <w:rsid w:val="0052614C"/>
    <w:rsid w:val="0052689C"/>
    <w:rsid w:val="00527205"/>
    <w:rsid w:val="00527ED0"/>
    <w:rsid w:val="00530A9B"/>
    <w:rsid w:val="00531BDD"/>
    <w:rsid w:val="00531C7A"/>
    <w:rsid w:val="00531FC6"/>
    <w:rsid w:val="00532AED"/>
    <w:rsid w:val="00534307"/>
    <w:rsid w:val="00534671"/>
    <w:rsid w:val="00534E5F"/>
    <w:rsid w:val="0053527B"/>
    <w:rsid w:val="00535556"/>
    <w:rsid w:val="00535D76"/>
    <w:rsid w:val="0053605D"/>
    <w:rsid w:val="005361CD"/>
    <w:rsid w:val="00537065"/>
    <w:rsid w:val="005370B3"/>
    <w:rsid w:val="005373D2"/>
    <w:rsid w:val="005377D1"/>
    <w:rsid w:val="00537AC0"/>
    <w:rsid w:val="00540B72"/>
    <w:rsid w:val="00540E03"/>
    <w:rsid w:val="0054106F"/>
    <w:rsid w:val="00543100"/>
    <w:rsid w:val="00543FDF"/>
    <w:rsid w:val="00545554"/>
    <w:rsid w:val="005457EE"/>
    <w:rsid w:val="00546D81"/>
    <w:rsid w:val="00546F98"/>
    <w:rsid w:val="00547BA0"/>
    <w:rsid w:val="00552FF7"/>
    <w:rsid w:val="005530D5"/>
    <w:rsid w:val="00553BA1"/>
    <w:rsid w:val="005549CE"/>
    <w:rsid w:val="00555219"/>
    <w:rsid w:val="00555477"/>
    <w:rsid w:val="00555E88"/>
    <w:rsid w:val="00557045"/>
    <w:rsid w:val="005574A0"/>
    <w:rsid w:val="005574FD"/>
    <w:rsid w:val="0055791F"/>
    <w:rsid w:val="00557F15"/>
    <w:rsid w:val="0056189B"/>
    <w:rsid w:val="00561919"/>
    <w:rsid w:val="00561952"/>
    <w:rsid w:val="005634C2"/>
    <w:rsid w:val="00564560"/>
    <w:rsid w:val="00564A86"/>
    <w:rsid w:val="00565609"/>
    <w:rsid w:val="005661E7"/>
    <w:rsid w:val="00566F87"/>
    <w:rsid w:val="00570D39"/>
    <w:rsid w:val="005718E4"/>
    <w:rsid w:val="00571906"/>
    <w:rsid w:val="00571F66"/>
    <w:rsid w:val="005728C5"/>
    <w:rsid w:val="0057300D"/>
    <w:rsid w:val="00573392"/>
    <w:rsid w:val="0057339A"/>
    <w:rsid w:val="0057509A"/>
    <w:rsid w:val="00575262"/>
    <w:rsid w:val="005752E0"/>
    <w:rsid w:val="00575C38"/>
    <w:rsid w:val="005761A7"/>
    <w:rsid w:val="005762EF"/>
    <w:rsid w:val="00577A90"/>
    <w:rsid w:val="005802A9"/>
    <w:rsid w:val="00580305"/>
    <w:rsid w:val="00580DF1"/>
    <w:rsid w:val="0058124C"/>
    <w:rsid w:val="00581830"/>
    <w:rsid w:val="00581B57"/>
    <w:rsid w:val="00582B7C"/>
    <w:rsid w:val="0058303A"/>
    <w:rsid w:val="00583551"/>
    <w:rsid w:val="005835FF"/>
    <w:rsid w:val="00584E85"/>
    <w:rsid w:val="00585E71"/>
    <w:rsid w:val="00586424"/>
    <w:rsid w:val="00586AE2"/>
    <w:rsid w:val="00586FD4"/>
    <w:rsid w:val="005871DA"/>
    <w:rsid w:val="005877C5"/>
    <w:rsid w:val="00587A6B"/>
    <w:rsid w:val="00587C99"/>
    <w:rsid w:val="00590719"/>
    <w:rsid w:val="00590EF5"/>
    <w:rsid w:val="00590FD4"/>
    <w:rsid w:val="00591848"/>
    <w:rsid w:val="00591C9A"/>
    <w:rsid w:val="0059294A"/>
    <w:rsid w:val="00593851"/>
    <w:rsid w:val="00593B24"/>
    <w:rsid w:val="00593F6B"/>
    <w:rsid w:val="0059435A"/>
    <w:rsid w:val="0059479F"/>
    <w:rsid w:val="00594B70"/>
    <w:rsid w:val="00594E86"/>
    <w:rsid w:val="00596033"/>
    <w:rsid w:val="00596F17"/>
    <w:rsid w:val="005970EA"/>
    <w:rsid w:val="005973A5"/>
    <w:rsid w:val="005A04DF"/>
    <w:rsid w:val="005A073A"/>
    <w:rsid w:val="005A0BC4"/>
    <w:rsid w:val="005A0D66"/>
    <w:rsid w:val="005A0FFA"/>
    <w:rsid w:val="005A10F8"/>
    <w:rsid w:val="005A11DE"/>
    <w:rsid w:val="005A2311"/>
    <w:rsid w:val="005A2E0D"/>
    <w:rsid w:val="005A30E1"/>
    <w:rsid w:val="005A3721"/>
    <w:rsid w:val="005A456D"/>
    <w:rsid w:val="005A58CE"/>
    <w:rsid w:val="005A5FE1"/>
    <w:rsid w:val="005A616B"/>
    <w:rsid w:val="005A64EA"/>
    <w:rsid w:val="005A676A"/>
    <w:rsid w:val="005A6CA1"/>
    <w:rsid w:val="005A7045"/>
    <w:rsid w:val="005B10AE"/>
    <w:rsid w:val="005B11DA"/>
    <w:rsid w:val="005B1637"/>
    <w:rsid w:val="005B2C19"/>
    <w:rsid w:val="005B338C"/>
    <w:rsid w:val="005B42A6"/>
    <w:rsid w:val="005B4C2F"/>
    <w:rsid w:val="005B5234"/>
    <w:rsid w:val="005B5500"/>
    <w:rsid w:val="005B58E7"/>
    <w:rsid w:val="005B6593"/>
    <w:rsid w:val="005B69BB"/>
    <w:rsid w:val="005B6EE0"/>
    <w:rsid w:val="005B7404"/>
    <w:rsid w:val="005B7A11"/>
    <w:rsid w:val="005C0947"/>
    <w:rsid w:val="005C0D4A"/>
    <w:rsid w:val="005C0E4F"/>
    <w:rsid w:val="005C1938"/>
    <w:rsid w:val="005C1943"/>
    <w:rsid w:val="005C1B42"/>
    <w:rsid w:val="005C24CF"/>
    <w:rsid w:val="005C3330"/>
    <w:rsid w:val="005C3629"/>
    <w:rsid w:val="005C38AF"/>
    <w:rsid w:val="005C582C"/>
    <w:rsid w:val="005C5A19"/>
    <w:rsid w:val="005C5BAE"/>
    <w:rsid w:val="005C641A"/>
    <w:rsid w:val="005D0103"/>
    <w:rsid w:val="005D2087"/>
    <w:rsid w:val="005D26B3"/>
    <w:rsid w:val="005D2C36"/>
    <w:rsid w:val="005D2C9C"/>
    <w:rsid w:val="005D3140"/>
    <w:rsid w:val="005D317D"/>
    <w:rsid w:val="005D4B3E"/>
    <w:rsid w:val="005D50E2"/>
    <w:rsid w:val="005D5372"/>
    <w:rsid w:val="005D5758"/>
    <w:rsid w:val="005D5AC3"/>
    <w:rsid w:val="005D6B60"/>
    <w:rsid w:val="005D6F57"/>
    <w:rsid w:val="005D707B"/>
    <w:rsid w:val="005D72B1"/>
    <w:rsid w:val="005D79C4"/>
    <w:rsid w:val="005E0018"/>
    <w:rsid w:val="005E0364"/>
    <w:rsid w:val="005E0A68"/>
    <w:rsid w:val="005E174E"/>
    <w:rsid w:val="005E23C7"/>
    <w:rsid w:val="005E28F4"/>
    <w:rsid w:val="005E2B84"/>
    <w:rsid w:val="005E2CE9"/>
    <w:rsid w:val="005E3CFE"/>
    <w:rsid w:val="005E4078"/>
    <w:rsid w:val="005E4A8C"/>
    <w:rsid w:val="005E4DFC"/>
    <w:rsid w:val="005E5136"/>
    <w:rsid w:val="005E5F57"/>
    <w:rsid w:val="005E668A"/>
    <w:rsid w:val="005E7069"/>
    <w:rsid w:val="005E733D"/>
    <w:rsid w:val="005E74D8"/>
    <w:rsid w:val="005E7C62"/>
    <w:rsid w:val="005E7DA2"/>
    <w:rsid w:val="005F029F"/>
    <w:rsid w:val="005F0DB0"/>
    <w:rsid w:val="005F139D"/>
    <w:rsid w:val="005F1712"/>
    <w:rsid w:val="005F24C3"/>
    <w:rsid w:val="005F2B13"/>
    <w:rsid w:val="005F2E77"/>
    <w:rsid w:val="005F310F"/>
    <w:rsid w:val="005F34E5"/>
    <w:rsid w:val="005F3536"/>
    <w:rsid w:val="005F3F5C"/>
    <w:rsid w:val="005F43D6"/>
    <w:rsid w:val="005F47EB"/>
    <w:rsid w:val="005F4B8E"/>
    <w:rsid w:val="005F51B4"/>
    <w:rsid w:val="005F560A"/>
    <w:rsid w:val="005F5932"/>
    <w:rsid w:val="005F5E35"/>
    <w:rsid w:val="005F5F53"/>
    <w:rsid w:val="005F655E"/>
    <w:rsid w:val="005F6BD2"/>
    <w:rsid w:val="005F6D9A"/>
    <w:rsid w:val="005F725F"/>
    <w:rsid w:val="00600A38"/>
    <w:rsid w:val="00601DB7"/>
    <w:rsid w:val="00602C95"/>
    <w:rsid w:val="00603138"/>
    <w:rsid w:val="006031DD"/>
    <w:rsid w:val="00603772"/>
    <w:rsid w:val="00603CAF"/>
    <w:rsid w:val="00604064"/>
    <w:rsid w:val="0060453A"/>
    <w:rsid w:val="00605118"/>
    <w:rsid w:val="00605341"/>
    <w:rsid w:val="00605775"/>
    <w:rsid w:val="00606C56"/>
    <w:rsid w:val="00606EF4"/>
    <w:rsid w:val="00607EE8"/>
    <w:rsid w:val="00607FA7"/>
    <w:rsid w:val="0061125B"/>
    <w:rsid w:val="00611E09"/>
    <w:rsid w:val="00613135"/>
    <w:rsid w:val="006132CC"/>
    <w:rsid w:val="00613D2D"/>
    <w:rsid w:val="0061427F"/>
    <w:rsid w:val="00617132"/>
    <w:rsid w:val="00617345"/>
    <w:rsid w:val="006175B3"/>
    <w:rsid w:val="00617F3C"/>
    <w:rsid w:val="006204D6"/>
    <w:rsid w:val="00620AC3"/>
    <w:rsid w:val="00620BA8"/>
    <w:rsid w:val="006214AB"/>
    <w:rsid w:val="00621B5D"/>
    <w:rsid w:val="00621EC2"/>
    <w:rsid w:val="0062204C"/>
    <w:rsid w:val="006223E2"/>
    <w:rsid w:val="006230E4"/>
    <w:rsid w:val="006237EA"/>
    <w:rsid w:val="0062430F"/>
    <w:rsid w:val="006244F5"/>
    <w:rsid w:val="00624BCB"/>
    <w:rsid w:val="00625D02"/>
    <w:rsid w:val="006272E0"/>
    <w:rsid w:val="00627386"/>
    <w:rsid w:val="00627FA1"/>
    <w:rsid w:val="00630082"/>
    <w:rsid w:val="0063008E"/>
    <w:rsid w:val="006301FC"/>
    <w:rsid w:val="00630267"/>
    <w:rsid w:val="0063063D"/>
    <w:rsid w:val="00631893"/>
    <w:rsid w:val="00631D2A"/>
    <w:rsid w:val="00632305"/>
    <w:rsid w:val="006323DC"/>
    <w:rsid w:val="00632A60"/>
    <w:rsid w:val="00633FDF"/>
    <w:rsid w:val="0063501E"/>
    <w:rsid w:val="00635F9D"/>
    <w:rsid w:val="00636F91"/>
    <w:rsid w:val="0063751B"/>
    <w:rsid w:val="0063770B"/>
    <w:rsid w:val="00637812"/>
    <w:rsid w:val="00637B20"/>
    <w:rsid w:val="006410A3"/>
    <w:rsid w:val="00641D30"/>
    <w:rsid w:val="006421CD"/>
    <w:rsid w:val="00642A7F"/>
    <w:rsid w:val="00642DFD"/>
    <w:rsid w:val="00645577"/>
    <w:rsid w:val="0064577B"/>
    <w:rsid w:val="00646966"/>
    <w:rsid w:val="00646F64"/>
    <w:rsid w:val="00647277"/>
    <w:rsid w:val="00647562"/>
    <w:rsid w:val="00647A33"/>
    <w:rsid w:val="006513CA"/>
    <w:rsid w:val="00652395"/>
    <w:rsid w:val="0065240E"/>
    <w:rsid w:val="00652426"/>
    <w:rsid w:val="00653408"/>
    <w:rsid w:val="006547C0"/>
    <w:rsid w:val="00654C21"/>
    <w:rsid w:val="00657A08"/>
    <w:rsid w:val="00660475"/>
    <w:rsid w:val="006605E2"/>
    <w:rsid w:val="00660761"/>
    <w:rsid w:val="00660C26"/>
    <w:rsid w:val="006610C2"/>
    <w:rsid w:val="00661492"/>
    <w:rsid w:val="006618B9"/>
    <w:rsid w:val="00662527"/>
    <w:rsid w:val="006628C3"/>
    <w:rsid w:val="006638ED"/>
    <w:rsid w:val="00663E08"/>
    <w:rsid w:val="0066404E"/>
    <w:rsid w:val="00664A52"/>
    <w:rsid w:val="00664A6A"/>
    <w:rsid w:val="00664F1F"/>
    <w:rsid w:val="00666AAD"/>
    <w:rsid w:val="0066768E"/>
    <w:rsid w:val="00670206"/>
    <w:rsid w:val="00670380"/>
    <w:rsid w:val="006705D1"/>
    <w:rsid w:val="00671E4E"/>
    <w:rsid w:val="00671E9F"/>
    <w:rsid w:val="006725E8"/>
    <w:rsid w:val="00672FC3"/>
    <w:rsid w:val="00674768"/>
    <w:rsid w:val="00674B08"/>
    <w:rsid w:val="006756CF"/>
    <w:rsid w:val="006758A3"/>
    <w:rsid w:val="0067647A"/>
    <w:rsid w:val="0068118D"/>
    <w:rsid w:val="00681CA3"/>
    <w:rsid w:val="0068208F"/>
    <w:rsid w:val="0068231A"/>
    <w:rsid w:val="00682A28"/>
    <w:rsid w:val="00682C9E"/>
    <w:rsid w:val="006835BD"/>
    <w:rsid w:val="00683668"/>
    <w:rsid w:val="006853C6"/>
    <w:rsid w:val="0068548C"/>
    <w:rsid w:val="00687631"/>
    <w:rsid w:val="00692217"/>
    <w:rsid w:val="0069406F"/>
    <w:rsid w:val="00694C5D"/>
    <w:rsid w:val="00695414"/>
    <w:rsid w:val="00695E91"/>
    <w:rsid w:val="00695F1F"/>
    <w:rsid w:val="00696235"/>
    <w:rsid w:val="00696BAF"/>
    <w:rsid w:val="00696CD9"/>
    <w:rsid w:val="00696D2B"/>
    <w:rsid w:val="006A1B19"/>
    <w:rsid w:val="006A1F38"/>
    <w:rsid w:val="006A32BD"/>
    <w:rsid w:val="006A3B6C"/>
    <w:rsid w:val="006A509C"/>
    <w:rsid w:val="006A66A3"/>
    <w:rsid w:val="006A67E3"/>
    <w:rsid w:val="006A69D3"/>
    <w:rsid w:val="006A6B95"/>
    <w:rsid w:val="006B053A"/>
    <w:rsid w:val="006B168E"/>
    <w:rsid w:val="006B1746"/>
    <w:rsid w:val="006B396E"/>
    <w:rsid w:val="006B435C"/>
    <w:rsid w:val="006B537F"/>
    <w:rsid w:val="006B5489"/>
    <w:rsid w:val="006B5687"/>
    <w:rsid w:val="006B56CB"/>
    <w:rsid w:val="006B6375"/>
    <w:rsid w:val="006B6785"/>
    <w:rsid w:val="006B6B3F"/>
    <w:rsid w:val="006B7330"/>
    <w:rsid w:val="006B7754"/>
    <w:rsid w:val="006B7CB8"/>
    <w:rsid w:val="006C08D9"/>
    <w:rsid w:val="006C1AFA"/>
    <w:rsid w:val="006C2D33"/>
    <w:rsid w:val="006C3201"/>
    <w:rsid w:val="006C33D0"/>
    <w:rsid w:val="006C3B2C"/>
    <w:rsid w:val="006C431F"/>
    <w:rsid w:val="006C4C3A"/>
    <w:rsid w:val="006C4DEA"/>
    <w:rsid w:val="006D1871"/>
    <w:rsid w:val="006D2068"/>
    <w:rsid w:val="006D28B3"/>
    <w:rsid w:val="006D2AC7"/>
    <w:rsid w:val="006D2E20"/>
    <w:rsid w:val="006D4553"/>
    <w:rsid w:val="006D4E31"/>
    <w:rsid w:val="006D4E3F"/>
    <w:rsid w:val="006D4EB3"/>
    <w:rsid w:val="006D668E"/>
    <w:rsid w:val="006E1599"/>
    <w:rsid w:val="006E1C54"/>
    <w:rsid w:val="006E2E24"/>
    <w:rsid w:val="006E35C5"/>
    <w:rsid w:val="006E572C"/>
    <w:rsid w:val="006E5DFF"/>
    <w:rsid w:val="006E7310"/>
    <w:rsid w:val="006E7514"/>
    <w:rsid w:val="006E7E48"/>
    <w:rsid w:val="006F1D44"/>
    <w:rsid w:val="006F2003"/>
    <w:rsid w:val="006F2669"/>
    <w:rsid w:val="006F2F28"/>
    <w:rsid w:val="006F3058"/>
    <w:rsid w:val="006F4A24"/>
    <w:rsid w:val="006F551B"/>
    <w:rsid w:val="006F673A"/>
    <w:rsid w:val="006F70DB"/>
    <w:rsid w:val="006F74C2"/>
    <w:rsid w:val="0070097B"/>
    <w:rsid w:val="00700B3E"/>
    <w:rsid w:val="00702284"/>
    <w:rsid w:val="00702919"/>
    <w:rsid w:val="00702E56"/>
    <w:rsid w:val="00704F61"/>
    <w:rsid w:val="00707453"/>
    <w:rsid w:val="007077A6"/>
    <w:rsid w:val="00707CB5"/>
    <w:rsid w:val="007103C4"/>
    <w:rsid w:val="00710F95"/>
    <w:rsid w:val="007111EB"/>
    <w:rsid w:val="0071157E"/>
    <w:rsid w:val="00711CCB"/>
    <w:rsid w:val="00713D60"/>
    <w:rsid w:val="0071433B"/>
    <w:rsid w:val="00714CD3"/>
    <w:rsid w:val="007152BC"/>
    <w:rsid w:val="00715609"/>
    <w:rsid w:val="00715627"/>
    <w:rsid w:val="00716C00"/>
    <w:rsid w:val="007203B6"/>
    <w:rsid w:val="00720569"/>
    <w:rsid w:val="0072101F"/>
    <w:rsid w:val="0072110F"/>
    <w:rsid w:val="007227CD"/>
    <w:rsid w:val="00723C49"/>
    <w:rsid w:val="00723C7D"/>
    <w:rsid w:val="00723D66"/>
    <w:rsid w:val="0072446A"/>
    <w:rsid w:val="0072622D"/>
    <w:rsid w:val="007262EE"/>
    <w:rsid w:val="007265B4"/>
    <w:rsid w:val="007266FB"/>
    <w:rsid w:val="0072680D"/>
    <w:rsid w:val="00727A03"/>
    <w:rsid w:val="00730D62"/>
    <w:rsid w:val="00731FA4"/>
    <w:rsid w:val="00732640"/>
    <w:rsid w:val="007326DB"/>
    <w:rsid w:val="00732B20"/>
    <w:rsid w:val="007330B0"/>
    <w:rsid w:val="0073314A"/>
    <w:rsid w:val="00733C71"/>
    <w:rsid w:val="00734025"/>
    <w:rsid w:val="00734145"/>
    <w:rsid w:val="00734648"/>
    <w:rsid w:val="007359C7"/>
    <w:rsid w:val="00735BA9"/>
    <w:rsid w:val="007365EC"/>
    <w:rsid w:val="00737409"/>
    <w:rsid w:val="0074022E"/>
    <w:rsid w:val="0074151D"/>
    <w:rsid w:val="00741F61"/>
    <w:rsid w:val="00741F8E"/>
    <w:rsid w:val="00742362"/>
    <w:rsid w:val="00742B0A"/>
    <w:rsid w:val="00744361"/>
    <w:rsid w:val="007443F0"/>
    <w:rsid w:val="007446FD"/>
    <w:rsid w:val="007447CF"/>
    <w:rsid w:val="00744F22"/>
    <w:rsid w:val="0074520B"/>
    <w:rsid w:val="0074562E"/>
    <w:rsid w:val="007456D8"/>
    <w:rsid w:val="007457A3"/>
    <w:rsid w:val="00745CC5"/>
    <w:rsid w:val="00745CFB"/>
    <w:rsid w:val="0074617C"/>
    <w:rsid w:val="00746FA5"/>
    <w:rsid w:val="007477F1"/>
    <w:rsid w:val="00747831"/>
    <w:rsid w:val="00750145"/>
    <w:rsid w:val="0075054C"/>
    <w:rsid w:val="007506C7"/>
    <w:rsid w:val="00750F9A"/>
    <w:rsid w:val="00750FD8"/>
    <w:rsid w:val="00751D2D"/>
    <w:rsid w:val="007530F1"/>
    <w:rsid w:val="00753744"/>
    <w:rsid w:val="00753D06"/>
    <w:rsid w:val="00754612"/>
    <w:rsid w:val="007556BD"/>
    <w:rsid w:val="00755CE0"/>
    <w:rsid w:val="00755CF3"/>
    <w:rsid w:val="007568FD"/>
    <w:rsid w:val="00756D4F"/>
    <w:rsid w:val="0075760C"/>
    <w:rsid w:val="0076142B"/>
    <w:rsid w:val="00761531"/>
    <w:rsid w:val="007619AC"/>
    <w:rsid w:val="00762036"/>
    <w:rsid w:val="00762F95"/>
    <w:rsid w:val="007642FE"/>
    <w:rsid w:val="00764FA0"/>
    <w:rsid w:val="00764FEE"/>
    <w:rsid w:val="00765E60"/>
    <w:rsid w:val="00767505"/>
    <w:rsid w:val="0076785E"/>
    <w:rsid w:val="00767E0B"/>
    <w:rsid w:val="00767E39"/>
    <w:rsid w:val="007716D4"/>
    <w:rsid w:val="007718E2"/>
    <w:rsid w:val="0077200C"/>
    <w:rsid w:val="0077285B"/>
    <w:rsid w:val="007739CA"/>
    <w:rsid w:val="00773B86"/>
    <w:rsid w:val="00773D79"/>
    <w:rsid w:val="00774171"/>
    <w:rsid w:val="0077689F"/>
    <w:rsid w:val="00777323"/>
    <w:rsid w:val="007775AA"/>
    <w:rsid w:val="00780919"/>
    <w:rsid w:val="00780C76"/>
    <w:rsid w:val="00781FA2"/>
    <w:rsid w:val="007826A0"/>
    <w:rsid w:val="0078338E"/>
    <w:rsid w:val="007837F8"/>
    <w:rsid w:val="00783D3D"/>
    <w:rsid w:val="007845B2"/>
    <w:rsid w:val="00784734"/>
    <w:rsid w:val="00784AA5"/>
    <w:rsid w:val="00784CB1"/>
    <w:rsid w:val="00784D8C"/>
    <w:rsid w:val="00784F0B"/>
    <w:rsid w:val="007869A4"/>
    <w:rsid w:val="0078738D"/>
    <w:rsid w:val="007903E4"/>
    <w:rsid w:val="0079054C"/>
    <w:rsid w:val="00790589"/>
    <w:rsid w:val="007908CB"/>
    <w:rsid w:val="007912A1"/>
    <w:rsid w:val="00791ADE"/>
    <w:rsid w:val="00791FD7"/>
    <w:rsid w:val="00792497"/>
    <w:rsid w:val="0079250A"/>
    <w:rsid w:val="00793C4F"/>
    <w:rsid w:val="007947C5"/>
    <w:rsid w:val="00794CC6"/>
    <w:rsid w:val="00794F7F"/>
    <w:rsid w:val="00795245"/>
    <w:rsid w:val="00795432"/>
    <w:rsid w:val="007955D6"/>
    <w:rsid w:val="00795830"/>
    <w:rsid w:val="00795CCD"/>
    <w:rsid w:val="007960EF"/>
    <w:rsid w:val="0079695A"/>
    <w:rsid w:val="00796A9F"/>
    <w:rsid w:val="00797849"/>
    <w:rsid w:val="007A0770"/>
    <w:rsid w:val="007A0AB6"/>
    <w:rsid w:val="007A0B5E"/>
    <w:rsid w:val="007A0D1E"/>
    <w:rsid w:val="007A0DA4"/>
    <w:rsid w:val="007A0F78"/>
    <w:rsid w:val="007A18D6"/>
    <w:rsid w:val="007A1B14"/>
    <w:rsid w:val="007A20CB"/>
    <w:rsid w:val="007A238D"/>
    <w:rsid w:val="007A2806"/>
    <w:rsid w:val="007A2CEF"/>
    <w:rsid w:val="007A33AB"/>
    <w:rsid w:val="007A39B2"/>
    <w:rsid w:val="007A3DA8"/>
    <w:rsid w:val="007A4D8C"/>
    <w:rsid w:val="007A5719"/>
    <w:rsid w:val="007A5E2B"/>
    <w:rsid w:val="007A5E7E"/>
    <w:rsid w:val="007A6EE3"/>
    <w:rsid w:val="007A7893"/>
    <w:rsid w:val="007A79B5"/>
    <w:rsid w:val="007A7DCE"/>
    <w:rsid w:val="007B058B"/>
    <w:rsid w:val="007B2379"/>
    <w:rsid w:val="007B27E1"/>
    <w:rsid w:val="007B3BE1"/>
    <w:rsid w:val="007B46F2"/>
    <w:rsid w:val="007B4F0A"/>
    <w:rsid w:val="007B56BE"/>
    <w:rsid w:val="007B618C"/>
    <w:rsid w:val="007B6371"/>
    <w:rsid w:val="007B65BF"/>
    <w:rsid w:val="007B6ABB"/>
    <w:rsid w:val="007B6AE5"/>
    <w:rsid w:val="007B6F8D"/>
    <w:rsid w:val="007B799A"/>
    <w:rsid w:val="007B7CBA"/>
    <w:rsid w:val="007C0123"/>
    <w:rsid w:val="007C0E56"/>
    <w:rsid w:val="007C1154"/>
    <w:rsid w:val="007C118D"/>
    <w:rsid w:val="007C13A4"/>
    <w:rsid w:val="007C2184"/>
    <w:rsid w:val="007C23C3"/>
    <w:rsid w:val="007C311A"/>
    <w:rsid w:val="007C39B6"/>
    <w:rsid w:val="007C4098"/>
    <w:rsid w:val="007C43B1"/>
    <w:rsid w:val="007C56E3"/>
    <w:rsid w:val="007C5EDB"/>
    <w:rsid w:val="007C6AFC"/>
    <w:rsid w:val="007C76C8"/>
    <w:rsid w:val="007C796E"/>
    <w:rsid w:val="007C7C6C"/>
    <w:rsid w:val="007D064C"/>
    <w:rsid w:val="007D094B"/>
    <w:rsid w:val="007D0C8A"/>
    <w:rsid w:val="007D1C11"/>
    <w:rsid w:val="007D221A"/>
    <w:rsid w:val="007D36F5"/>
    <w:rsid w:val="007D4749"/>
    <w:rsid w:val="007D4E67"/>
    <w:rsid w:val="007D63A4"/>
    <w:rsid w:val="007D645B"/>
    <w:rsid w:val="007D757F"/>
    <w:rsid w:val="007D77AB"/>
    <w:rsid w:val="007D791B"/>
    <w:rsid w:val="007E128E"/>
    <w:rsid w:val="007E2D17"/>
    <w:rsid w:val="007E3385"/>
    <w:rsid w:val="007E5012"/>
    <w:rsid w:val="007E60AD"/>
    <w:rsid w:val="007E733C"/>
    <w:rsid w:val="007E74AE"/>
    <w:rsid w:val="007E7C46"/>
    <w:rsid w:val="007F003E"/>
    <w:rsid w:val="007F0688"/>
    <w:rsid w:val="007F07C4"/>
    <w:rsid w:val="007F1B77"/>
    <w:rsid w:val="007F298F"/>
    <w:rsid w:val="007F373F"/>
    <w:rsid w:val="007F3BFA"/>
    <w:rsid w:val="007F54B9"/>
    <w:rsid w:val="007F6A67"/>
    <w:rsid w:val="007F7674"/>
    <w:rsid w:val="0080089F"/>
    <w:rsid w:val="0080176B"/>
    <w:rsid w:val="008017FC"/>
    <w:rsid w:val="00801B5D"/>
    <w:rsid w:val="00803648"/>
    <w:rsid w:val="0080414A"/>
    <w:rsid w:val="00805373"/>
    <w:rsid w:val="00806F88"/>
    <w:rsid w:val="008077DC"/>
    <w:rsid w:val="00810723"/>
    <w:rsid w:val="0081093C"/>
    <w:rsid w:val="00812242"/>
    <w:rsid w:val="00812F3F"/>
    <w:rsid w:val="00813206"/>
    <w:rsid w:val="00813369"/>
    <w:rsid w:val="00813E07"/>
    <w:rsid w:val="008147F9"/>
    <w:rsid w:val="0081533B"/>
    <w:rsid w:val="0081691B"/>
    <w:rsid w:val="0081720E"/>
    <w:rsid w:val="00820145"/>
    <w:rsid w:val="00820736"/>
    <w:rsid w:val="0082087D"/>
    <w:rsid w:val="00820C8D"/>
    <w:rsid w:val="00820E78"/>
    <w:rsid w:val="008210AF"/>
    <w:rsid w:val="008217AC"/>
    <w:rsid w:val="008220F3"/>
    <w:rsid w:val="00822398"/>
    <w:rsid w:val="0082359A"/>
    <w:rsid w:val="00824061"/>
    <w:rsid w:val="00824826"/>
    <w:rsid w:val="00827051"/>
    <w:rsid w:val="008309A9"/>
    <w:rsid w:val="00830A58"/>
    <w:rsid w:val="008311FF"/>
    <w:rsid w:val="008316FE"/>
    <w:rsid w:val="00833C77"/>
    <w:rsid w:val="00833D95"/>
    <w:rsid w:val="00833FF4"/>
    <w:rsid w:val="00834064"/>
    <w:rsid w:val="0083543D"/>
    <w:rsid w:val="008356A9"/>
    <w:rsid w:val="00835CAB"/>
    <w:rsid w:val="00835D7D"/>
    <w:rsid w:val="0083699E"/>
    <w:rsid w:val="00840341"/>
    <w:rsid w:val="00841323"/>
    <w:rsid w:val="00841FCF"/>
    <w:rsid w:val="00842BD6"/>
    <w:rsid w:val="008432F1"/>
    <w:rsid w:val="00843AF9"/>
    <w:rsid w:val="00843B4A"/>
    <w:rsid w:val="008444D4"/>
    <w:rsid w:val="0084573A"/>
    <w:rsid w:val="00845CBA"/>
    <w:rsid w:val="00845E3C"/>
    <w:rsid w:val="00845F30"/>
    <w:rsid w:val="00845FAA"/>
    <w:rsid w:val="008460D6"/>
    <w:rsid w:val="00846D5A"/>
    <w:rsid w:val="00847217"/>
    <w:rsid w:val="00847458"/>
    <w:rsid w:val="0084752E"/>
    <w:rsid w:val="00847539"/>
    <w:rsid w:val="00850878"/>
    <w:rsid w:val="008510BF"/>
    <w:rsid w:val="008512D3"/>
    <w:rsid w:val="00851E24"/>
    <w:rsid w:val="008528D7"/>
    <w:rsid w:val="00852CAB"/>
    <w:rsid w:val="00852CB2"/>
    <w:rsid w:val="00855AC8"/>
    <w:rsid w:val="00856B55"/>
    <w:rsid w:val="00860519"/>
    <w:rsid w:val="00860A4A"/>
    <w:rsid w:val="00861149"/>
    <w:rsid w:val="00861407"/>
    <w:rsid w:val="008617EE"/>
    <w:rsid w:val="00861D64"/>
    <w:rsid w:val="00862070"/>
    <w:rsid w:val="00862635"/>
    <w:rsid w:val="00862784"/>
    <w:rsid w:val="00862AF5"/>
    <w:rsid w:val="00862FFE"/>
    <w:rsid w:val="00863383"/>
    <w:rsid w:val="008633DD"/>
    <w:rsid w:val="00863E58"/>
    <w:rsid w:val="0086668C"/>
    <w:rsid w:val="00866BAE"/>
    <w:rsid w:val="00866F19"/>
    <w:rsid w:val="008673E6"/>
    <w:rsid w:val="00867AC6"/>
    <w:rsid w:val="008702A7"/>
    <w:rsid w:val="008705CA"/>
    <w:rsid w:val="008707B4"/>
    <w:rsid w:val="00870E9C"/>
    <w:rsid w:val="0087143E"/>
    <w:rsid w:val="00871775"/>
    <w:rsid w:val="0087246F"/>
    <w:rsid w:val="0087270C"/>
    <w:rsid w:val="00873BD2"/>
    <w:rsid w:val="008743F5"/>
    <w:rsid w:val="008758B1"/>
    <w:rsid w:val="00875DEA"/>
    <w:rsid w:val="00875E0A"/>
    <w:rsid w:val="008760BE"/>
    <w:rsid w:val="008760E0"/>
    <w:rsid w:val="008766DC"/>
    <w:rsid w:val="0087799C"/>
    <w:rsid w:val="00880064"/>
    <w:rsid w:val="008805F4"/>
    <w:rsid w:val="008808A4"/>
    <w:rsid w:val="0088153C"/>
    <w:rsid w:val="0088199A"/>
    <w:rsid w:val="00882035"/>
    <w:rsid w:val="00883538"/>
    <w:rsid w:val="0088406E"/>
    <w:rsid w:val="008853D3"/>
    <w:rsid w:val="00885AB3"/>
    <w:rsid w:val="00885B50"/>
    <w:rsid w:val="00885D51"/>
    <w:rsid w:val="008871C4"/>
    <w:rsid w:val="00887E25"/>
    <w:rsid w:val="00887EAA"/>
    <w:rsid w:val="0089010A"/>
    <w:rsid w:val="00890471"/>
    <w:rsid w:val="00890B64"/>
    <w:rsid w:val="00891D75"/>
    <w:rsid w:val="00891FC3"/>
    <w:rsid w:val="00892D0E"/>
    <w:rsid w:val="0089316C"/>
    <w:rsid w:val="008931B9"/>
    <w:rsid w:val="0089382F"/>
    <w:rsid w:val="008945BF"/>
    <w:rsid w:val="008954DC"/>
    <w:rsid w:val="008957DB"/>
    <w:rsid w:val="00895FC1"/>
    <w:rsid w:val="00896179"/>
    <w:rsid w:val="008964E7"/>
    <w:rsid w:val="00897C8D"/>
    <w:rsid w:val="008A0094"/>
    <w:rsid w:val="008A0848"/>
    <w:rsid w:val="008A19A5"/>
    <w:rsid w:val="008A1FAE"/>
    <w:rsid w:val="008A3182"/>
    <w:rsid w:val="008A32CE"/>
    <w:rsid w:val="008A49FB"/>
    <w:rsid w:val="008A4FA3"/>
    <w:rsid w:val="008A50C2"/>
    <w:rsid w:val="008A50EB"/>
    <w:rsid w:val="008A54C9"/>
    <w:rsid w:val="008A56D7"/>
    <w:rsid w:val="008A576C"/>
    <w:rsid w:val="008A6010"/>
    <w:rsid w:val="008A61FA"/>
    <w:rsid w:val="008A661D"/>
    <w:rsid w:val="008A6C48"/>
    <w:rsid w:val="008A74FB"/>
    <w:rsid w:val="008A7678"/>
    <w:rsid w:val="008A7ADA"/>
    <w:rsid w:val="008A7E98"/>
    <w:rsid w:val="008B1E49"/>
    <w:rsid w:val="008B2E91"/>
    <w:rsid w:val="008B3434"/>
    <w:rsid w:val="008B3940"/>
    <w:rsid w:val="008B39F1"/>
    <w:rsid w:val="008B5694"/>
    <w:rsid w:val="008B5C01"/>
    <w:rsid w:val="008B6184"/>
    <w:rsid w:val="008B6AD3"/>
    <w:rsid w:val="008B6B74"/>
    <w:rsid w:val="008B6DFA"/>
    <w:rsid w:val="008B7750"/>
    <w:rsid w:val="008B79A4"/>
    <w:rsid w:val="008C0C2D"/>
    <w:rsid w:val="008C0D3F"/>
    <w:rsid w:val="008C1E2F"/>
    <w:rsid w:val="008C23C3"/>
    <w:rsid w:val="008C2769"/>
    <w:rsid w:val="008C2C29"/>
    <w:rsid w:val="008C3156"/>
    <w:rsid w:val="008C3C98"/>
    <w:rsid w:val="008C3FA2"/>
    <w:rsid w:val="008C4021"/>
    <w:rsid w:val="008C544A"/>
    <w:rsid w:val="008C620E"/>
    <w:rsid w:val="008C697D"/>
    <w:rsid w:val="008C6E34"/>
    <w:rsid w:val="008C7018"/>
    <w:rsid w:val="008C7189"/>
    <w:rsid w:val="008C7685"/>
    <w:rsid w:val="008C7A6F"/>
    <w:rsid w:val="008D0247"/>
    <w:rsid w:val="008D2995"/>
    <w:rsid w:val="008D2A34"/>
    <w:rsid w:val="008D3318"/>
    <w:rsid w:val="008D3F18"/>
    <w:rsid w:val="008D3F2B"/>
    <w:rsid w:val="008D4718"/>
    <w:rsid w:val="008D5228"/>
    <w:rsid w:val="008D54D0"/>
    <w:rsid w:val="008D5DF2"/>
    <w:rsid w:val="008D5EA3"/>
    <w:rsid w:val="008D7C04"/>
    <w:rsid w:val="008E127B"/>
    <w:rsid w:val="008E1728"/>
    <w:rsid w:val="008E1E1D"/>
    <w:rsid w:val="008E2871"/>
    <w:rsid w:val="008E30B0"/>
    <w:rsid w:val="008E3750"/>
    <w:rsid w:val="008E3F7D"/>
    <w:rsid w:val="008E3FCE"/>
    <w:rsid w:val="008E47DF"/>
    <w:rsid w:val="008E4AA6"/>
    <w:rsid w:val="008E51B1"/>
    <w:rsid w:val="008E61AA"/>
    <w:rsid w:val="008E622E"/>
    <w:rsid w:val="008E76BF"/>
    <w:rsid w:val="008E7836"/>
    <w:rsid w:val="008E7A79"/>
    <w:rsid w:val="008F0320"/>
    <w:rsid w:val="008F074A"/>
    <w:rsid w:val="008F0D13"/>
    <w:rsid w:val="008F1D5A"/>
    <w:rsid w:val="008F28E3"/>
    <w:rsid w:val="008F2977"/>
    <w:rsid w:val="008F2CAD"/>
    <w:rsid w:val="008F2F5D"/>
    <w:rsid w:val="008F3950"/>
    <w:rsid w:val="008F3D92"/>
    <w:rsid w:val="008F4070"/>
    <w:rsid w:val="008F4DC2"/>
    <w:rsid w:val="008F5036"/>
    <w:rsid w:val="008F522F"/>
    <w:rsid w:val="008F54E2"/>
    <w:rsid w:val="008F5923"/>
    <w:rsid w:val="008F5CD7"/>
    <w:rsid w:val="008F712C"/>
    <w:rsid w:val="008F7AFE"/>
    <w:rsid w:val="008F7E59"/>
    <w:rsid w:val="00900A95"/>
    <w:rsid w:val="00900C9B"/>
    <w:rsid w:val="0090203A"/>
    <w:rsid w:val="009020AC"/>
    <w:rsid w:val="0090275C"/>
    <w:rsid w:val="0090324C"/>
    <w:rsid w:val="00903541"/>
    <w:rsid w:val="00903F92"/>
    <w:rsid w:val="009047B2"/>
    <w:rsid w:val="00905116"/>
    <w:rsid w:val="00907403"/>
    <w:rsid w:val="0090795B"/>
    <w:rsid w:val="00907F56"/>
    <w:rsid w:val="00910893"/>
    <w:rsid w:val="009111B9"/>
    <w:rsid w:val="00911231"/>
    <w:rsid w:val="009119FA"/>
    <w:rsid w:val="00913097"/>
    <w:rsid w:val="00913E8D"/>
    <w:rsid w:val="009164D3"/>
    <w:rsid w:val="00916B8A"/>
    <w:rsid w:val="009173DB"/>
    <w:rsid w:val="00920B72"/>
    <w:rsid w:val="00922C9B"/>
    <w:rsid w:val="009247F0"/>
    <w:rsid w:val="00924A54"/>
    <w:rsid w:val="00926760"/>
    <w:rsid w:val="00926A6C"/>
    <w:rsid w:val="00926BF1"/>
    <w:rsid w:val="009275EC"/>
    <w:rsid w:val="009278D6"/>
    <w:rsid w:val="00927F23"/>
    <w:rsid w:val="00927F50"/>
    <w:rsid w:val="00930380"/>
    <w:rsid w:val="009303A3"/>
    <w:rsid w:val="00930A3D"/>
    <w:rsid w:val="00930BE0"/>
    <w:rsid w:val="009325A8"/>
    <w:rsid w:val="009332DE"/>
    <w:rsid w:val="00933503"/>
    <w:rsid w:val="00933859"/>
    <w:rsid w:val="009355AF"/>
    <w:rsid w:val="009363AD"/>
    <w:rsid w:val="00936BE7"/>
    <w:rsid w:val="00937700"/>
    <w:rsid w:val="00937AD0"/>
    <w:rsid w:val="00937DDC"/>
    <w:rsid w:val="00941290"/>
    <w:rsid w:val="0094176F"/>
    <w:rsid w:val="00941975"/>
    <w:rsid w:val="00941A63"/>
    <w:rsid w:val="00942219"/>
    <w:rsid w:val="009429C6"/>
    <w:rsid w:val="00943271"/>
    <w:rsid w:val="00943A5A"/>
    <w:rsid w:val="00943D2B"/>
    <w:rsid w:val="009444E6"/>
    <w:rsid w:val="009449F7"/>
    <w:rsid w:val="0094592B"/>
    <w:rsid w:val="00945AE3"/>
    <w:rsid w:val="00945F75"/>
    <w:rsid w:val="009469E3"/>
    <w:rsid w:val="009500BB"/>
    <w:rsid w:val="0095047D"/>
    <w:rsid w:val="00950738"/>
    <w:rsid w:val="0095080D"/>
    <w:rsid w:val="00950B6C"/>
    <w:rsid w:val="00950BA8"/>
    <w:rsid w:val="0095101A"/>
    <w:rsid w:val="00951362"/>
    <w:rsid w:val="009514DE"/>
    <w:rsid w:val="009515E5"/>
    <w:rsid w:val="00951EC9"/>
    <w:rsid w:val="00953698"/>
    <w:rsid w:val="00953F52"/>
    <w:rsid w:val="00953FA4"/>
    <w:rsid w:val="00954E12"/>
    <w:rsid w:val="009555D0"/>
    <w:rsid w:val="009555E0"/>
    <w:rsid w:val="009569DB"/>
    <w:rsid w:val="009570DA"/>
    <w:rsid w:val="00957162"/>
    <w:rsid w:val="00957688"/>
    <w:rsid w:val="00960238"/>
    <w:rsid w:val="0096040F"/>
    <w:rsid w:val="00960537"/>
    <w:rsid w:val="0096075A"/>
    <w:rsid w:val="00960867"/>
    <w:rsid w:val="00961FB3"/>
    <w:rsid w:val="0096219A"/>
    <w:rsid w:val="0096247C"/>
    <w:rsid w:val="009631CC"/>
    <w:rsid w:val="009639B2"/>
    <w:rsid w:val="0096455C"/>
    <w:rsid w:val="00964A35"/>
    <w:rsid w:val="00964AF4"/>
    <w:rsid w:val="0096610B"/>
    <w:rsid w:val="0096638A"/>
    <w:rsid w:val="00966437"/>
    <w:rsid w:val="00966D40"/>
    <w:rsid w:val="00966D75"/>
    <w:rsid w:val="00967094"/>
    <w:rsid w:val="009678EF"/>
    <w:rsid w:val="00967B89"/>
    <w:rsid w:val="009709A0"/>
    <w:rsid w:val="00970DB3"/>
    <w:rsid w:val="00971675"/>
    <w:rsid w:val="00971BC1"/>
    <w:rsid w:val="00971F41"/>
    <w:rsid w:val="0097357D"/>
    <w:rsid w:val="00973B57"/>
    <w:rsid w:val="00973DCB"/>
    <w:rsid w:val="00974F42"/>
    <w:rsid w:val="009758B6"/>
    <w:rsid w:val="00975FCA"/>
    <w:rsid w:val="00976250"/>
    <w:rsid w:val="0097640C"/>
    <w:rsid w:val="00976E5D"/>
    <w:rsid w:val="00977356"/>
    <w:rsid w:val="009774B8"/>
    <w:rsid w:val="00977C37"/>
    <w:rsid w:val="00980908"/>
    <w:rsid w:val="009809B2"/>
    <w:rsid w:val="0098140B"/>
    <w:rsid w:val="009822B8"/>
    <w:rsid w:val="00982B43"/>
    <w:rsid w:val="00982E42"/>
    <w:rsid w:val="00983BBC"/>
    <w:rsid w:val="00985ED0"/>
    <w:rsid w:val="00985F8A"/>
    <w:rsid w:val="00986DE7"/>
    <w:rsid w:val="0098734B"/>
    <w:rsid w:val="009912AB"/>
    <w:rsid w:val="00991A09"/>
    <w:rsid w:val="00991D08"/>
    <w:rsid w:val="0099208C"/>
    <w:rsid w:val="009925EE"/>
    <w:rsid w:val="009932C5"/>
    <w:rsid w:val="009935F2"/>
    <w:rsid w:val="00994681"/>
    <w:rsid w:val="00994FBC"/>
    <w:rsid w:val="009958AC"/>
    <w:rsid w:val="0099622E"/>
    <w:rsid w:val="00996550"/>
    <w:rsid w:val="0099676F"/>
    <w:rsid w:val="00996D70"/>
    <w:rsid w:val="00997078"/>
    <w:rsid w:val="00997483"/>
    <w:rsid w:val="0099750A"/>
    <w:rsid w:val="00997EBA"/>
    <w:rsid w:val="009A0558"/>
    <w:rsid w:val="009A174B"/>
    <w:rsid w:val="009A20F7"/>
    <w:rsid w:val="009A2C74"/>
    <w:rsid w:val="009A3092"/>
    <w:rsid w:val="009A30DE"/>
    <w:rsid w:val="009A31B2"/>
    <w:rsid w:val="009A325F"/>
    <w:rsid w:val="009A3341"/>
    <w:rsid w:val="009A3B61"/>
    <w:rsid w:val="009A45D2"/>
    <w:rsid w:val="009A4608"/>
    <w:rsid w:val="009A4638"/>
    <w:rsid w:val="009A46F1"/>
    <w:rsid w:val="009A5191"/>
    <w:rsid w:val="009A540D"/>
    <w:rsid w:val="009A5786"/>
    <w:rsid w:val="009A5AF4"/>
    <w:rsid w:val="009A5C77"/>
    <w:rsid w:val="009A6212"/>
    <w:rsid w:val="009A6A37"/>
    <w:rsid w:val="009B14C2"/>
    <w:rsid w:val="009B17AF"/>
    <w:rsid w:val="009B1B57"/>
    <w:rsid w:val="009B2586"/>
    <w:rsid w:val="009B2818"/>
    <w:rsid w:val="009B2AB4"/>
    <w:rsid w:val="009B35AA"/>
    <w:rsid w:val="009B3CDA"/>
    <w:rsid w:val="009B3E05"/>
    <w:rsid w:val="009B4700"/>
    <w:rsid w:val="009B4B9E"/>
    <w:rsid w:val="009B6F49"/>
    <w:rsid w:val="009B7939"/>
    <w:rsid w:val="009C0C62"/>
    <w:rsid w:val="009C0FA8"/>
    <w:rsid w:val="009C164C"/>
    <w:rsid w:val="009C18A9"/>
    <w:rsid w:val="009C2387"/>
    <w:rsid w:val="009C2F3D"/>
    <w:rsid w:val="009C30B5"/>
    <w:rsid w:val="009C387E"/>
    <w:rsid w:val="009C3AC0"/>
    <w:rsid w:val="009C4C97"/>
    <w:rsid w:val="009C4E25"/>
    <w:rsid w:val="009C69CD"/>
    <w:rsid w:val="009C7084"/>
    <w:rsid w:val="009C757B"/>
    <w:rsid w:val="009C769C"/>
    <w:rsid w:val="009C7B7E"/>
    <w:rsid w:val="009D00BB"/>
    <w:rsid w:val="009D0770"/>
    <w:rsid w:val="009D1A57"/>
    <w:rsid w:val="009D3565"/>
    <w:rsid w:val="009D37A1"/>
    <w:rsid w:val="009D392B"/>
    <w:rsid w:val="009D456A"/>
    <w:rsid w:val="009D4571"/>
    <w:rsid w:val="009D4952"/>
    <w:rsid w:val="009D5EEC"/>
    <w:rsid w:val="009D612C"/>
    <w:rsid w:val="009D6372"/>
    <w:rsid w:val="009D6D2B"/>
    <w:rsid w:val="009D784F"/>
    <w:rsid w:val="009E0AF5"/>
    <w:rsid w:val="009E0AF9"/>
    <w:rsid w:val="009E13CD"/>
    <w:rsid w:val="009E1447"/>
    <w:rsid w:val="009E1870"/>
    <w:rsid w:val="009E2EEF"/>
    <w:rsid w:val="009E3307"/>
    <w:rsid w:val="009E3AC4"/>
    <w:rsid w:val="009E60BE"/>
    <w:rsid w:val="009E7731"/>
    <w:rsid w:val="009F04C2"/>
    <w:rsid w:val="009F38F2"/>
    <w:rsid w:val="009F3F57"/>
    <w:rsid w:val="009F4B61"/>
    <w:rsid w:val="009F5DC4"/>
    <w:rsid w:val="009F5F0C"/>
    <w:rsid w:val="009F5F68"/>
    <w:rsid w:val="009F6DC9"/>
    <w:rsid w:val="009F7DB1"/>
    <w:rsid w:val="00A00960"/>
    <w:rsid w:val="00A011D8"/>
    <w:rsid w:val="00A01FC8"/>
    <w:rsid w:val="00A02A59"/>
    <w:rsid w:val="00A02C1E"/>
    <w:rsid w:val="00A02DC5"/>
    <w:rsid w:val="00A03A03"/>
    <w:rsid w:val="00A04A29"/>
    <w:rsid w:val="00A05CF6"/>
    <w:rsid w:val="00A10C29"/>
    <w:rsid w:val="00A110A6"/>
    <w:rsid w:val="00A11675"/>
    <w:rsid w:val="00A11CA3"/>
    <w:rsid w:val="00A12997"/>
    <w:rsid w:val="00A12C85"/>
    <w:rsid w:val="00A13438"/>
    <w:rsid w:val="00A13849"/>
    <w:rsid w:val="00A13CC3"/>
    <w:rsid w:val="00A14466"/>
    <w:rsid w:val="00A14C82"/>
    <w:rsid w:val="00A16410"/>
    <w:rsid w:val="00A169A5"/>
    <w:rsid w:val="00A17440"/>
    <w:rsid w:val="00A17D26"/>
    <w:rsid w:val="00A215CC"/>
    <w:rsid w:val="00A2384C"/>
    <w:rsid w:val="00A2466B"/>
    <w:rsid w:val="00A24D9A"/>
    <w:rsid w:val="00A25705"/>
    <w:rsid w:val="00A26D79"/>
    <w:rsid w:val="00A27EBF"/>
    <w:rsid w:val="00A300C2"/>
    <w:rsid w:val="00A30ABB"/>
    <w:rsid w:val="00A3114C"/>
    <w:rsid w:val="00A313CB"/>
    <w:rsid w:val="00A31E08"/>
    <w:rsid w:val="00A31FD8"/>
    <w:rsid w:val="00A332BC"/>
    <w:rsid w:val="00A33330"/>
    <w:rsid w:val="00A33A6C"/>
    <w:rsid w:val="00A33B37"/>
    <w:rsid w:val="00A34840"/>
    <w:rsid w:val="00A35FBA"/>
    <w:rsid w:val="00A3660F"/>
    <w:rsid w:val="00A36883"/>
    <w:rsid w:val="00A36AC5"/>
    <w:rsid w:val="00A3775B"/>
    <w:rsid w:val="00A40126"/>
    <w:rsid w:val="00A40A0F"/>
    <w:rsid w:val="00A41405"/>
    <w:rsid w:val="00A415F3"/>
    <w:rsid w:val="00A41A62"/>
    <w:rsid w:val="00A41B94"/>
    <w:rsid w:val="00A42464"/>
    <w:rsid w:val="00A42567"/>
    <w:rsid w:val="00A42B62"/>
    <w:rsid w:val="00A42CAF"/>
    <w:rsid w:val="00A44281"/>
    <w:rsid w:val="00A4474D"/>
    <w:rsid w:val="00A44C7E"/>
    <w:rsid w:val="00A45200"/>
    <w:rsid w:val="00A45487"/>
    <w:rsid w:val="00A45785"/>
    <w:rsid w:val="00A45E11"/>
    <w:rsid w:val="00A46625"/>
    <w:rsid w:val="00A4670B"/>
    <w:rsid w:val="00A46A0C"/>
    <w:rsid w:val="00A46CD9"/>
    <w:rsid w:val="00A47018"/>
    <w:rsid w:val="00A47585"/>
    <w:rsid w:val="00A506C4"/>
    <w:rsid w:val="00A50BC5"/>
    <w:rsid w:val="00A51AC9"/>
    <w:rsid w:val="00A521DE"/>
    <w:rsid w:val="00A52F8F"/>
    <w:rsid w:val="00A534CB"/>
    <w:rsid w:val="00A553B6"/>
    <w:rsid w:val="00A55E7C"/>
    <w:rsid w:val="00A56C2B"/>
    <w:rsid w:val="00A57308"/>
    <w:rsid w:val="00A57713"/>
    <w:rsid w:val="00A57762"/>
    <w:rsid w:val="00A60E5C"/>
    <w:rsid w:val="00A612C6"/>
    <w:rsid w:val="00A61C14"/>
    <w:rsid w:val="00A62E82"/>
    <w:rsid w:val="00A6318C"/>
    <w:rsid w:val="00A63D5B"/>
    <w:rsid w:val="00A646CD"/>
    <w:rsid w:val="00A64726"/>
    <w:rsid w:val="00A64820"/>
    <w:rsid w:val="00A65303"/>
    <w:rsid w:val="00A65F1C"/>
    <w:rsid w:val="00A6616E"/>
    <w:rsid w:val="00A66A62"/>
    <w:rsid w:val="00A66C5C"/>
    <w:rsid w:val="00A701B8"/>
    <w:rsid w:val="00A704F2"/>
    <w:rsid w:val="00A70A05"/>
    <w:rsid w:val="00A7115F"/>
    <w:rsid w:val="00A73A08"/>
    <w:rsid w:val="00A74951"/>
    <w:rsid w:val="00A74C55"/>
    <w:rsid w:val="00A7565A"/>
    <w:rsid w:val="00A758F1"/>
    <w:rsid w:val="00A75EC7"/>
    <w:rsid w:val="00A76783"/>
    <w:rsid w:val="00A76C58"/>
    <w:rsid w:val="00A77259"/>
    <w:rsid w:val="00A77BC1"/>
    <w:rsid w:val="00A77EF0"/>
    <w:rsid w:val="00A802C3"/>
    <w:rsid w:val="00A8052A"/>
    <w:rsid w:val="00A80DAA"/>
    <w:rsid w:val="00A82E9F"/>
    <w:rsid w:val="00A8314E"/>
    <w:rsid w:val="00A837C7"/>
    <w:rsid w:val="00A83853"/>
    <w:rsid w:val="00A850B6"/>
    <w:rsid w:val="00A85809"/>
    <w:rsid w:val="00A859AD"/>
    <w:rsid w:val="00A85B51"/>
    <w:rsid w:val="00A86399"/>
    <w:rsid w:val="00A879CE"/>
    <w:rsid w:val="00A87A50"/>
    <w:rsid w:val="00A90A2B"/>
    <w:rsid w:val="00A9181E"/>
    <w:rsid w:val="00A92F95"/>
    <w:rsid w:val="00A930B2"/>
    <w:rsid w:val="00A94B26"/>
    <w:rsid w:val="00A962F7"/>
    <w:rsid w:val="00AA0D6C"/>
    <w:rsid w:val="00AA1234"/>
    <w:rsid w:val="00AA3E48"/>
    <w:rsid w:val="00AA44EE"/>
    <w:rsid w:val="00AA655D"/>
    <w:rsid w:val="00AA66BB"/>
    <w:rsid w:val="00AA6A50"/>
    <w:rsid w:val="00AB12DF"/>
    <w:rsid w:val="00AB15A9"/>
    <w:rsid w:val="00AB2070"/>
    <w:rsid w:val="00AB2398"/>
    <w:rsid w:val="00AB32E7"/>
    <w:rsid w:val="00AB3E28"/>
    <w:rsid w:val="00AB3E9C"/>
    <w:rsid w:val="00AB4120"/>
    <w:rsid w:val="00AB463B"/>
    <w:rsid w:val="00AB5007"/>
    <w:rsid w:val="00AB6F13"/>
    <w:rsid w:val="00AB7456"/>
    <w:rsid w:val="00AB784D"/>
    <w:rsid w:val="00AB7916"/>
    <w:rsid w:val="00AC1776"/>
    <w:rsid w:val="00AC1E0B"/>
    <w:rsid w:val="00AC1EF9"/>
    <w:rsid w:val="00AC4B33"/>
    <w:rsid w:val="00AC50D3"/>
    <w:rsid w:val="00AC5341"/>
    <w:rsid w:val="00AC63C1"/>
    <w:rsid w:val="00AC656E"/>
    <w:rsid w:val="00AD004D"/>
    <w:rsid w:val="00AD0063"/>
    <w:rsid w:val="00AD01AF"/>
    <w:rsid w:val="00AD0407"/>
    <w:rsid w:val="00AD0409"/>
    <w:rsid w:val="00AD09CE"/>
    <w:rsid w:val="00AD1067"/>
    <w:rsid w:val="00AD17D8"/>
    <w:rsid w:val="00AD1B98"/>
    <w:rsid w:val="00AD47B4"/>
    <w:rsid w:val="00AD489D"/>
    <w:rsid w:val="00AD5510"/>
    <w:rsid w:val="00AD5740"/>
    <w:rsid w:val="00AD67E2"/>
    <w:rsid w:val="00AD698F"/>
    <w:rsid w:val="00AD69ED"/>
    <w:rsid w:val="00AD6AC2"/>
    <w:rsid w:val="00AD7129"/>
    <w:rsid w:val="00AD7B4C"/>
    <w:rsid w:val="00AE1320"/>
    <w:rsid w:val="00AE1E12"/>
    <w:rsid w:val="00AE3996"/>
    <w:rsid w:val="00AE42D1"/>
    <w:rsid w:val="00AE46E8"/>
    <w:rsid w:val="00AE4F8A"/>
    <w:rsid w:val="00AE593E"/>
    <w:rsid w:val="00AE5A47"/>
    <w:rsid w:val="00AE5B65"/>
    <w:rsid w:val="00AE6B98"/>
    <w:rsid w:val="00AE74D3"/>
    <w:rsid w:val="00AE7B7E"/>
    <w:rsid w:val="00AF0496"/>
    <w:rsid w:val="00AF0EAE"/>
    <w:rsid w:val="00AF0F58"/>
    <w:rsid w:val="00AF1AAC"/>
    <w:rsid w:val="00AF1BDB"/>
    <w:rsid w:val="00AF1FB9"/>
    <w:rsid w:val="00AF22A8"/>
    <w:rsid w:val="00AF32B1"/>
    <w:rsid w:val="00AF3987"/>
    <w:rsid w:val="00AF3C12"/>
    <w:rsid w:val="00AF54A5"/>
    <w:rsid w:val="00AF5618"/>
    <w:rsid w:val="00AF5C88"/>
    <w:rsid w:val="00AF64FF"/>
    <w:rsid w:val="00AF6830"/>
    <w:rsid w:val="00AF726D"/>
    <w:rsid w:val="00AF7617"/>
    <w:rsid w:val="00B002A7"/>
    <w:rsid w:val="00B00B7E"/>
    <w:rsid w:val="00B00ED0"/>
    <w:rsid w:val="00B00FDD"/>
    <w:rsid w:val="00B01028"/>
    <w:rsid w:val="00B0143E"/>
    <w:rsid w:val="00B02458"/>
    <w:rsid w:val="00B02A45"/>
    <w:rsid w:val="00B03995"/>
    <w:rsid w:val="00B044A0"/>
    <w:rsid w:val="00B054D7"/>
    <w:rsid w:val="00B055FE"/>
    <w:rsid w:val="00B05784"/>
    <w:rsid w:val="00B0604D"/>
    <w:rsid w:val="00B061BB"/>
    <w:rsid w:val="00B06D01"/>
    <w:rsid w:val="00B0737E"/>
    <w:rsid w:val="00B079C9"/>
    <w:rsid w:val="00B07D0B"/>
    <w:rsid w:val="00B07E84"/>
    <w:rsid w:val="00B07EE8"/>
    <w:rsid w:val="00B111B0"/>
    <w:rsid w:val="00B1135D"/>
    <w:rsid w:val="00B1144B"/>
    <w:rsid w:val="00B12216"/>
    <w:rsid w:val="00B137AA"/>
    <w:rsid w:val="00B14271"/>
    <w:rsid w:val="00B157D9"/>
    <w:rsid w:val="00B1581E"/>
    <w:rsid w:val="00B15EA8"/>
    <w:rsid w:val="00B1619D"/>
    <w:rsid w:val="00B162C8"/>
    <w:rsid w:val="00B16DB0"/>
    <w:rsid w:val="00B16E0F"/>
    <w:rsid w:val="00B16EEB"/>
    <w:rsid w:val="00B17F78"/>
    <w:rsid w:val="00B17FA3"/>
    <w:rsid w:val="00B21B47"/>
    <w:rsid w:val="00B2239F"/>
    <w:rsid w:val="00B22674"/>
    <w:rsid w:val="00B22820"/>
    <w:rsid w:val="00B22C3B"/>
    <w:rsid w:val="00B22CA0"/>
    <w:rsid w:val="00B2350C"/>
    <w:rsid w:val="00B23F93"/>
    <w:rsid w:val="00B2491D"/>
    <w:rsid w:val="00B25169"/>
    <w:rsid w:val="00B257DA"/>
    <w:rsid w:val="00B25984"/>
    <w:rsid w:val="00B25A6B"/>
    <w:rsid w:val="00B25D22"/>
    <w:rsid w:val="00B3078E"/>
    <w:rsid w:val="00B315DE"/>
    <w:rsid w:val="00B32304"/>
    <w:rsid w:val="00B33320"/>
    <w:rsid w:val="00B345AD"/>
    <w:rsid w:val="00B348D0"/>
    <w:rsid w:val="00B35345"/>
    <w:rsid w:val="00B35A43"/>
    <w:rsid w:val="00B35D97"/>
    <w:rsid w:val="00B35E06"/>
    <w:rsid w:val="00B35E5C"/>
    <w:rsid w:val="00B36388"/>
    <w:rsid w:val="00B365E9"/>
    <w:rsid w:val="00B36BB7"/>
    <w:rsid w:val="00B40630"/>
    <w:rsid w:val="00B406E4"/>
    <w:rsid w:val="00B409A9"/>
    <w:rsid w:val="00B40B8A"/>
    <w:rsid w:val="00B41926"/>
    <w:rsid w:val="00B41FBE"/>
    <w:rsid w:val="00B4255F"/>
    <w:rsid w:val="00B42806"/>
    <w:rsid w:val="00B429F6"/>
    <w:rsid w:val="00B43998"/>
    <w:rsid w:val="00B43DF3"/>
    <w:rsid w:val="00B4491C"/>
    <w:rsid w:val="00B44DB5"/>
    <w:rsid w:val="00B45098"/>
    <w:rsid w:val="00B455B9"/>
    <w:rsid w:val="00B45ED8"/>
    <w:rsid w:val="00B46449"/>
    <w:rsid w:val="00B47313"/>
    <w:rsid w:val="00B4777D"/>
    <w:rsid w:val="00B506FA"/>
    <w:rsid w:val="00B50753"/>
    <w:rsid w:val="00B50ECA"/>
    <w:rsid w:val="00B51131"/>
    <w:rsid w:val="00B516ED"/>
    <w:rsid w:val="00B529F3"/>
    <w:rsid w:val="00B54570"/>
    <w:rsid w:val="00B563CA"/>
    <w:rsid w:val="00B569CF"/>
    <w:rsid w:val="00B577B9"/>
    <w:rsid w:val="00B57B33"/>
    <w:rsid w:val="00B57D69"/>
    <w:rsid w:val="00B60753"/>
    <w:rsid w:val="00B61101"/>
    <w:rsid w:val="00B62832"/>
    <w:rsid w:val="00B634F1"/>
    <w:rsid w:val="00B6406F"/>
    <w:rsid w:val="00B64213"/>
    <w:rsid w:val="00B65185"/>
    <w:rsid w:val="00B65286"/>
    <w:rsid w:val="00B65DBC"/>
    <w:rsid w:val="00B70064"/>
    <w:rsid w:val="00B7102E"/>
    <w:rsid w:val="00B7151B"/>
    <w:rsid w:val="00B716CB"/>
    <w:rsid w:val="00B719E1"/>
    <w:rsid w:val="00B7287C"/>
    <w:rsid w:val="00B72C9A"/>
    <w:rsid w:val="00B73397"/>
    <w:rsid w:val="00B7365F"/>
    <w:rsid w:val="00B746BC"/>
    <w:rsid w:val="00B74BE1"/>
    <w:rsid w:val="00B76F8E"/>
    <w:rsid w:val="00B8167F"/>
    <w:rsid w:val="00B823D9"/>
    <w:rsid w:val="00B827B2"/>
    <w:rsid w:val="00B82FD2"/>
    <w:rsid w:val="00B8354C"/>
    <w:rsid w:val="00B84535"/>
    <w:rsid w:val="00B847D9"/>
    <w:rsid w:val="00B84D4B"/>
    <w:rsid w:val="00B85093"/>
    <w:rsid w:val="00B86353"/>
    <w:rsid w:val="00B87889"/>
    <w:rsid w:val="00B87F67"/>
    <w:rsid w:val="00B9262E"/>
    <w:rsid w:val="00B930EF"/>
    <w:rsid w:val="00B944B8"/>
    <w:rsid w:val="00B9602B"/>
    <w:rsid w:val="00B964F3"/>
    <w:rsid w:val="00B96B3E"/>
    <w:rsid w:val="00B9750A"/>
    <w:rsid w:val="00B97B11"/>
    <w:rsid w:val="00BA04FF"/>
    <w:rsid w:val="00BA0829"/>
    <w:rsid w:val="00BA0E4E"/>
    <w:rsid w:val="00BA1A48"/>
    <w:rsid w:val="00BA3415"/>
    <w:rsid w:val="00BA3A55"/>
    <w:rsid w:val="00BA3C73"/>
    <w:rsid w:val="00BA4E40"/>
    <w:rsid w:val="00BA5995"/>
    <w:rsid w:val="00BA60E5"/>
    <w:rsid w:val="00BA60FA"/>
    <w:rsid w:val="00BA6548"/>
    <w:rsid w:val="00BA7312"/>
    <w:rsid w:val="00BA774D"/>
    <w:rsid w:val="00BA7E94"/>
    <w:rsid w:val="00BB05BA"/>
    <w:rsid w:val="00BB1001"/>
    <w:rsid w:val="00BB2244"/>
    <w:rsid w:val="00BB2858"/>
    <w:rsid w:val="00BB2886"/>
    <w:rsid w:val="00BB441B"/>
    <w:rsid w:val="00BB444B"/>
    <w:rsid w:val="00BB4E5D"/>
    <w:rsid w:val="00BB5294"/>
    <w:rsid w:val="00BB5308"/>
    <w:rsid w:val="00BB7137"/>
    <w:rsid w:val="00BC1B08"/>
    <w:rsid w:val="00BC2D38"/>
    <w:rsid w:val="00BC2D99"/>
    <w:rsid w:val="00BC3484"/>
    <w:rsid w:val="00BC3F24"/>
    <w:rsid w:val="00BC3F99"/>
    <w:rsid w:val="00BC5795"/>
    <w:rsid w:val="00BC5C41"/>
    <w:rsid w:val="00BC5EB2"/>
    <w:rsid w:val="00BC70BC"/>
    <w:rsid w:val="00BC7C14"/>
    <w:rsid w:val="00BD0C78"/>
    <w:rsid w:val="00BD1678"/>
    <w:rsid w:val="00BD1FBC"/>
    <w:rsid w:val="00BD276A"/>
    <w:rsid w:val="00BD3B3A"/>
    <w:rsid w:val="00BD4A17"/>
    <w:rsid w:val="00BD4E3D"/>
    <w:rsid w:val="00BD5D4C"/>
    <w:rsid w:val="00BD5FAA"/>
    <w:rsid w:val="00BD6323"/>
    <w:rsid w:val="00BD660B"/>
    <w:rsid w:val="00BE07CA"/>
    <w:rsid w:val="00BE1CDC"/>
    <w:rsid w:val="00BE2082"/>
    <w:rsid w:val="00BE2857"/>
    <w:rsid w:val="00BE2D51"/>
    <w:rsid w:val="00BE3731"/>
    <w:rsid w:val="00BE3873"/>
    <w:rsid w:val="00BE506F"/>
    <w:rsid w:val="00BE53CD"/>
    <w:rsid w:val="00BE6619"/>
    <w:rsid w:val="00BE73F7"/>
    <w:rsid w:val="00BE7770"/>
    <w:rsid w:val="00BF0940"/>
    <w:rsid w:val="00BF10C4"/>
    <w:rsid w:val="00BF1334"/>
    <w:rsid w:val="00BF1E2C"/>
    <w:rsid w:val="00BF3255"/>
    <w:rsid w:val="00BF426D"/>
    <w:rsid w:val="00BF42E7"/>
    <w:rsid w:val="00BF4AFA"/>
    <w:rsid w:val="00BF5086"/>
    <w:rsid w:val="00BF5C9D"/>
    <w:rsid w:val="00BF6718"/>
    <w:rsid w:val="00BF6780"/>
    <w:rsid w:val="00BF6FCD"/>
    <w:rsid w:val="00BF7125"/>
    <w:rsid w:val="00BF7868"/>
    <w:rsid w:val="00C00528"/>
    <w:rsid w:val="00C00565"/>
    <w:rsid w:val="00C00A53"/>
    <w:rsid w:val="00C00B93"/>
    <w:rsid w:val="00C00D33"/>
    <w:rsid w:val="00C00E2A"/>
    <w:rsid w:val="00C01C5D"/>
    <w:rsid w:val="00C022CB"/>
    <w:rsid w:val="00C024D6"/>
    <w:rsid w:val="00C028AD"/>
    <w:rsid w:val="00C0362A"/>
    <w:rsid w:val="00C0396B"/>
    <w:rsid w:val="00C04C21"/>
    <w:rsid w:val="00C052B1"/>
    <w:rsid w:val="00C06AB3"/>
    <w:rsid w:val="00C07001"/>
    <w:rsid w:val="00C11555"/>
    <w:rsid w:val="00C1256A"/>
    <w:rsid w:val="00C14004"/>
    <w:rsid w:val="00C14FC5"/>
    <w:rsid w:val="00C154B1"/>
    <w:rsid w:val="00C15D64"/>
    <w:rsid w:val="00C1611E"/>
    <w:rsid w:val="00C17D22"/>
    <w:rsid w:val="00C20AE0"/>
    <w:rsid w:val="00C20D1D"/>
    <w:rsid w:val="00C21AC8"/>
    <w:rsid w:val="00C221F2"/>
    <w:rsid w:val="00C2288F"/>
    <w:rsid w:val="00C230C0"/>
    <w:rsid w:val="00C23265"/>
    <w:rsid w:val="00C23AB6"/>
    <w:rsid w:val="00C23F90"/>
    <w:rsid w:val="00C23FF2"/>
    <w:rsid w:val="00C243F8"/>
    <w:rsid w:val="00C256AD"/>
    <w:rsid w:val="00C2591E"/>
    <w:rsid w:val="00C25D42"/>
    <w:rsid w:val="00C25D68"/>
    <w:rsid w:val="00C26EF8"/>
    <w:rsid w:val="00C278F2"/>
    <w:rsid w:val="00C306BD"/>
    <w:rsid w:val="00C30BF7"/>
    <w:rsid w:val="00C30CA8"/>
    <w:rsid w:val="00C30EF5"/>
    <w:rsid w:val="00C31661"/>
    <w:rsid w:val="00C31E9A"/>
    <w:rsid w:val="00C326A6"/>
    <w:rsid w:val="00C33278"/>
    <w:rsid w:val="00C339D3"/>
    <w:rsid w:val="00C34D4D"/>
    <w:rsid w:val="00C358E9"/>
    <w:rsid w:val="00C358F4"/>
    <w:rsid w:val="00C35C11"/>
    <w:rsid w:val="00C36525"/>
    <w:rsid w:val="00C365EA"/>
    <w:rsid w:val="00C3757D"/>
    <w:rsid w:val="00C40A54"/>
    <w:rsid w:val="00C40CE3"/>
    <w:rsid w:val="00C40E54"/>
    <w:rsid w:val="00C42D57"/>
    <w:rsid w:val="00C43A58"/>
    <w:rsid w:val="00C442D4"/>
    <w:rsid w:val="00C44673"/>
    <w:rsid w:val="00C446C1"/>
    <w:rsid w:val="00C453DA"/>
    <w:rsid w:val="00C45583"/>
    <w:rsid w:val="00C455DD"/>
    <w:rsid w:val="00C45F86"/>
    <w:rsid w:val="00C46C36"/>
    <w:rsid w:val="00C47067"/>
    <w:rsid w:val="00C474B5"/>
    <w:rsid w:val="00C50389"/>
    <w:rsid w:val="00C5059C"/>
    <w:rsid w:val="00C511D0"/>
    <w:rsid w:val="00C514AA"/>
    <w:rsid w:val="00C5151E"/>
    <w:rsid w:val="00C52186"/>
    <w:rsid w:val="00C52F45"/>
    <w:rsid w:val="00C539B0"/>
    <w:rsid w:val="00C547B8"/>
    <w:rsid w:val="00C56C0F"/>
    <w:rsid w:val="00C574F2"/>
    <w:rsid w:val="00C5775B"/>
    <w:rsid w:val="00C60490"/>
    <w:rsid w:val="00C6061E"/>
    <w:rsid w:val="00C60AA6"/>
    <w:rsid w:val="00C60C41"/>
    <w:rsid w:val="00C60E16"/>
    <w:rsid w:val="00C62B4E"/>
    <w:rsid w:val="00C6530B"/>
    <w:rsid w:val="00C65988"/>
    <w:rsid w:val="00C66A57"/>
    <w:rsid w:val="00C67A0E"/>
    <w:rsid w:val="00C706B1"/>
    <w:rsid w:val="00C71514"/>
    <w:rsid w:val="00C71890"/>
    <w:rsid w:val="00C71A09"/>
    <w:rsid w:val="00C72086"/>
    <w:rsid w:val="00C72A03"/>
    <w:rsid w:val="00C7335F"/>
    <w:rsid w:val="00C73F65"/>
    <w:rsid w:val="00C7428E"/>
    <w:rsid w:val="00C74910"/>
    <w:rsid w:val="00C75805"/>
    <w:rsid w:val="00C75A99"/>
    <w:rsid w:val="00C763D2"/>
    <w:rsid w:val="00C764E0"/>
    <w:rsid w:val="00C76AD2"/>
    <w:rsid w:val="00C76ED0"/>
    <w:rsid w:val="00C77682"/>
    <w:rsid w:val="00C77EE1"/>
    <w:rsid w:val="00C80D9F"/>
    <w:rsid w:val="00C80E79"/>
    <w:rsid w:val="00C81367"/>
    <w:rsid w:val="00C81B0A"/>
    <w:rsid w:val="00C8218A"/>
    <w:rsid w:val="00C821D0"/>
    <w:rsid w:val="00C832FF"/>
    <w:rsid w:val="00C83CC5"/>
    <w:rsid w:val="00C83DC3"/>
    <w:rsid w:val="00C84CEE"/>
    <w:rsid w:val="00C851AA"/>
    <w:rsid w:val="00C85BEB"/>
    <w:rsid w:val="00C87113"/>
    <w:rsid w:val="00C87AAC"/>
    <w:rsid w:val="00C907ED"/>
    <w:rsid w:val="00C90A3D"/>
    <w:rsid w:val="00C91955"/>
    <w:rsid w:val="00C935FC"/>
    <w:rsid w:val="00C93E0D"/>
    <w:rsid w:val="00C94A36"/>
    <w:rsid w:val="00C94FE4"/>
    <w:rsid w:val="00C96651"/>
    <w:rsid w:val="00C96CFC"/>
    <w:rsid w:val="00C96E79"/>
    <w:rsid w:val="00C9774D"/>
    <w:rsid w:val="00C97A04"/>
    <w:rsid w:val="00CA0655"/>
    <w:rsid w:val="00CA0CB5"/>
    <w:rsid w:val="00CA1CB9"/>
    <w:rsid w:val="00CA2325"/>
    <w:rsid w:val="00CA4709"/>
    <w:rsid w:val="00CA493A"/>
    <w:rsid w:val="00CA599B"/>
    <w:rsid w:val="00CA656E"/>
    <w:rsid w:val="00CA7673"/>
    <w:rsid w:val="00CA7B35"/>
    <w:rsid w:val="00CB0AFE"/>
    <w:rsid w:val="00CB1349"/>
    <w:rsid w:val="00CB16F7"/>
    <w:rsid w:val="00CB2510"/>
    <w:rsid w:val="00CB28E8"/>
    <w:rsid w:val="00CB413C"/>
    <w:rsid w:val="00CB4833"/>
    <w:rsid w:val="00CB5042"/>
    <w:rsid w:val="00CB5068"/>
    <w:rsid w:val="00CB61BA"/>
    <w:rsid w:val="00CB62E9"/>
    <w:rsid w:val="00CB654E"/>
    <w:rsid w:val="00CB67A8"/>
    <w:rsid w:val="00CB6AB6"/>
    <w:rsid w:val="00CB7583"/>
    <w:rsid w:val="00CB7673"/>
    <w:rsid w:val="00CC0311"/>
    <w:rsid w:val="00CC06D1"/>
    <w:rsid w:val="00CC0779"/>
    <w:rsid w:val="00CC0DF5"/>
    <w:rsid w:val="00CC1A6B"/>
    <w:rsid w:val="00CC1B8E"/>
    <w:rsid w:val="00CC1E5B"/>
    <w:rsid w:val="00CC25E6"/>
    <w:rsid w:val="00CC2FF4"/>
    <w:rsid w:val="00CC3077"/>
    <w:rsid w:val="00CC3C91"/>
    <w:rsid w:val="00CC3DCF"/>
    <w:rsid w:val="00CC42CE"/>
    <w:rsid w:val="00CC4BDB"/>
    <w:rsid w:val="00CC4D96"/>
    <w:rsid w:val="00CC517B"/>
    <w:rsid w:val="00CC557B"/>
    <w:rsid w:val="00CC564B"/>
    <w:rsid w:val="00CC5B65"/>
    <w:rsid w:val="00CC5DAC"/>
    <w:rsid w:val="00CC6052"/>
    <w:rsid w:val="00CC6556"/>
    <w:rsid w:val="00CC6587"/>
    <w:rsid w:val="00CC7737"/>
    <w:rsid w:val="00CC7B56"/>
    <w:rsid w:val="00CD0B7D"/>
    <w:rsid w:val="00CD12A3"/>
    <w:rsid w:val="00CD1FB6"/>
    <w:rsid w:val="00CD2040"/>
    <w:rsid w:val="00CD26FE"/>
    <w:rsid w:val="00CD271F"/>
    <w:rsid w:val="00CD28DC"/>
    <w:rsid w:val="00CD305E"/>
    <w:rsid w:val="00CD3176"/>
    <w:rsid w:val="00CD3800"/>
    <w:rsid w:val="00CD4436"/>
    <w:rsid w:val="00CD49C6"/>
    <w:rsid w:val="00CD518C"/>
    <w:rsid w:val="00CD6923"/>
    <w:rsid w:val="00CD712B"/>
    <w:rsid w:val="00CD7594"/>
    <w:rsid w:val="00CE04C7"/>
    <w:rsid w:val="00CE0ED9"/>
    <w:rsid w:val="00CE1B2D"/>
    <w:rsid w:val="00CE3F17"/>
    <w:rsid w:val="00CE4187"/>
    <w:rsid w:val="00CE4965"/>
    <w:rsid w:val="00CE555A"/>
    <w:rsid w:val="00CE6B9E"/>
    <w:rsid w:val="00CE6FC9"/>
    <w:rsid w:val="00CE7246"/>
    <w:rsid w:val="00CE7529"/>
    <w:rsid w:val="00CE79E6"/>
    <w:rsid w:val="00CF02A3"/>
    <w:rsid w:val="00CF0448"/>
    <w:rsid w:val="00CF26B9"/>
    <w:rsid w:val="00CF289E"/>
    <w:rsid w:val="00CF329B"/>
    <w:rsid w:val="00CF345B"/>
    <w:rsid w:val="00CF42DC"/>
    <w:rsid w:val="00CF48E7"/>
    <w:rsid w:val="00CF516A"/>
    <w:rsid w:val="00CF6BE8"/>
    <w:rsid w:val="00CF74CA"/>
    <w:rsid w:val="00CF7607"/>
    <w:rsid w:val="00CF77CE"/>
    <w:rsid w:val="00CF7B93"/>
    <w:rsid w:val="00CF7BD2"/>
    <w:rsid w:val="00CF7C02"/>
    <w:rsid w:val="00D00019"/>
    <w:rsid w:val="00D00164"/>
    <w:rsid w:val="00D00286"/>
    <w:rsid w:val="00D00EE6"/>
    <w:rsid w:val="00D0137E"/>
    <w:rsid w:val="00D020A2"/>
    <w:rsid w:val="00D02812"/>
    <w:rsid w:val="00D0338F"/>
    <w:rsid w:val="00D034A4"/>
    <w:rsid w:val="00D05EF1"/>
    <w:rsid w:val="00D05F95"/>
    <w:rsid w:val="00D06900"/>
    <w:rsid w:val="00D06986"/>
    <w:rsid w:val="00D106B0"/>
    <w:rsid w:val="00D112F5"/>
    <w:rsid w:val="00D11491"/>
    <w:rsid w:val="00D11713"/>
    <w:rsid w:val="00D12C7A"/>
    <w:rsid w:val="00D13298"/>
    <w:rsid w:val="00D1350B"/>
    <w:rsid w:val="00D13636"/>
    <w:rsid w:val="00D136C0"/>
    <w:rsid w:val="00D141B5"/>
    <w:rsid w:val="00D147FC"/>
    <w:rsid w:val="00D14A84"/>
    <w:rsid w:val="00D1537B"/>
    <w:rsid w:val="00D16112"/>
    <w:rsid w:val="00D169C2"/>
    <w:rsid w:val="00D16CFE"/>
    <w:rsid w:val="00D16FAE"/>
    <w:rsid w:val="00D2028B"/>
    <w:rsid w:val="00D20680"/>
    <w:rsid w:val="00D20EFE"/>
    <w:rsid w:val="00D20F8A"/>
    <w:rsid w:val="00D213F2"/>
    <w:rsid w:val="00D2226F"/>
    <w:rsid w:val="00D22F2C"/>
    <w:rsid w:val="00D2311D"/>
    <w:rsid w:val="00D23F55"/>
    <w:rsid w:val="00D24606"/>
    <w:rsid w:val="00D24E6F"/>
    <w:rsid w:val="00D266DC"/>
    <w:rsid w:val="00D26FD1"/>
    <w:rsid w:val="00D2714B"/>
    <w:rsid w:val="00D27771"/>
    <w:rsid w:val="00D27B8E"/>
    <w:rsid w:val="00D27D64"/>
    <w:rsid w:val="00D30A95"/>
    <w:rsid w:val="00D30F47"/>
    <w:rsid w:val="00D31306"/>
    <w:rsid w:val="00D31CC6"/>
    <w:rsid w:val="00D327F0"/>
    <w:rsid w:val="00D33243"/>
    <w:rsid w:val="00D34437"/>
    <w:rsid w:val="00D34AFC"/>
    <w:rsid w:val="00D35329"/>
    <w:rsid w:val="00D353A7"/>
    <w:rsid w:val="00D3614E"/>
    <w:rsid w:val="00D36DCE"/>
    <w:rsid w:val="00D37D8E"/>
    <w:rsid w:val="00D4058B"/>
    <w:rsid w:val="00D40768"/>
    <w:rsid w:val="00D40B03"/>
    <w:rsid w:val="00D40D9C"/>
    <w:rsid w:val="00D417E9"/>
    <w:rsid w:val="00D41B23"/>
    <w:rsid w:val="00D426AF"/>
    <w:rsid w:val="00D426C8"/>
    <w:rsid w:val="00D4350B"/>
    <w:rsid w:val="00D43826"/>
    <w:rsid w:val="00D441B7"/>
    <w:rsid w:val="00D44B9E"/>
    <w:rsid w:val="00D4522B"/>
    <w:rsid w:val="00D452B8"/>
    <w:rsid w:val="00D45721"/>
    <w:rsid w:val="00D46A5A"/>
    <w:rsid w:val="00D46D52"/>
    <w:rsid w:val="00D47635"/>
    <w:rsid w:val="00D47AEC"/>
    <w:rsid w:val="00D5023B"/>
    <w:rsid w:val="00D5260D"/>
    <w:rsid w:val="00D529BB"/>
    <w:rsid w:val="00D53A39"/>
    <w:rsid w:val="00D53C6F"/>
    <w:rsid w:val="00D53E43"/>
    <w:rsid w:val="00D5532B"/>
    <w:rsid w:val="00D558DD"/>
    <w:rsid w:val="00D5641D"/>
    <w:rsid w:val="00D56C03"/>
    <w:rsid w:val="00D57019"/>
    <w:rsid w:val="00D57C53"/>
    <w:rsid w:val="00D60988"/>
    <w:rsid w:val="00D60AB8"/>
    <w:rsid w:val="00D60C96"/>
    <w:rsid w:val="00D60E8E"/>
    <w:rsid w:val="00D6103F"/>
    <w:rsid w:val="00D61350"/>
    <w:rsid w:val="00D614D4"/>
    <w:rsid w:val="00D616B5"/>
    <w:rsid w:val="00D6314F"/>
    <w:rsid w:val="00D636EB"/>
    <w:rsid w:val="00D63B17"/>
    <w:rsid w:val="00D63E60"/>
    <w:rsid w:val="00D6511D"/>
    <w:rsid w:val="00D657E2"/>
    <w:rsid w:val="00D66394"/>
    <w:rsid w:val="00D67ADF"/>
    <w:rsid w:val="00D67B08"/>
    <w:rsid w:val="00D67C55"/>
    <w:rsid w:val="00D67F64"/>
    <w:rsid w:val="00D70291"/>
    <w:rsid w:val="00D7101B"/>
    <w:rsid w:val="00D72746"/>
    <w:rsid w:val="00D732BF"/>
    <w:rsid w:val="00D736A8"/>
    <w:rsid w:val="00D736C0"/>
    <w:rsid w:val="00D736E2"/>
    <w:rsid w:val="00D74046"/>
    <w:rsid w:val="00D74062"/>
    <w:rsid w:val="00D7462B"/>
    <w:rsid w:val="00D74719"/>
    <w:rsid w:val="00D749A2"/>
    <w:rsid w:val="00D74BD3"/>
    <w:rsid w:val="00D754C7"/>
    <w:rsid w:val="00D7559A"/>
    <w:rsid w:val="00D76008"/>
    <w:rsid w:val="00D77DF5"/>
    <w:rsid w:val="00D77DF9"/>
    <w:rsid w:val="00D804BE"/>
    <w:rsid w:val="00D81842"/>
    <w:rsid w:val="00D82E20"/>
    <w:rsid w:val="00D83FFF"/>
    <w:rsid w:val="00D8562B"/>
    <w:rsid w:val="00D86A7C"/>
    <w:rsid w:val="00D86C63"/>
    <w:rsid w:val="00D871EE"/>
    <w:rsid w:val="00D874ED"/>
    <w:rsid w:val="00D8792C"/>
    <w:rsid w:val="00D87DD5"/>
    <w:rsid w:val="00D901D4"/>
    <w:rsid w:val="00D90CD0"/>
    <w:rsid w:val="00D90CD1"/>
    <w:rsid w:val="00D91B4C"/>
    <w:rsid w:val="00D91CD8"/>
    <w:rsid w:val="00D92227"/>
    <w:rsid w:val="00D92B22"/>
    <w:rsid w:val="00D9400F"/>
    <w:rsid w:val="00D94BA7"/>
    <w:rsid w:val="00D9595A"/>
    <w:rsid w:val="00D95BA5"/>
    <w:rsid w:val="00D9650F"/>
    <w:rsid w:val="00D96AF5"/>
    <w:rsid w:val="00D972B2"/>
    <w:rsid w:val="00D97E15"/>
    <w:rsid w:val="00DA11ED"/>
    <w:rsid w:val="00DA12AC"/>
    <w:rsid w:val="00DA1EFB"/>
    <w:rsid w:val="00DA1F6F"/>
    <w:rsid w:val="00DA208B"/>
    <w:rsid w:val="00DA2A71"/>
    <w:rsid w:val="00DA3590"/>
    <w:rsid w:val="00DA35FF"/>
    <w:rsid w:val="00DA3A0B"/>
    <w:rsid w:val="00DA480B"/>
    <w:rsid w:val="00DA4F6F"/>
    <w:rsid w:val="00DA5253"/>
    <w:rsid w:val="00DA5AA9"/>
    <w:rsid w:val="00DA69FF"/>
    <w:rsid w:val="00DA6EC7"/>
    <w:rsid w:val="00DA7171"/>
    <w:rsid w:val="00DB0047"/>
    <w:rsid w:val="00DB03FF"/>
    <w:rsid w:val="00DB0C2D"/>
    <w:rsid w:val="00DB0FFD"/>
    <w:rsid w:val="00DB2198"/>
    <w:rsid w:val="00DB3F59"/>
    <w:rsid w:val="00DB4D0F"/>
    <w:rsid w:val="00DB5238"/>
    <w:rsid w:val="00DB5775"/>
    <w:rsid w:val="00DB5863"/>
    <w:rsid w:val="00DB69B4"/>
    <w:rsid w:val="00DC004A"/>
    <w:rsid w:val="00DC00FE"/>
    <w:rsid w:val="00DC0B86"/>
    <w:rsid w:val="00DC1AC9"/>
    <w:rsid w:val="00DC2346"/>
    <w:rsid w:val="00DC238D"/>
    <w:rsid w:val="00DC2C39"/>
    <w:rsid w:val="00DC323C"/>
    <w:rsid w:val="00DC728C"/>
    <w:rsid w:val="00DC74C1"/>
    <w:rsid w:val="00DC7D5D"/>
    <w:rsid w:val="00DD0131"/>
    <w:rsid w:val="00DD0616"/>
    <w:rsid w:val="00DD16B6"/>
    <w:rsid w:val="00DD17B7"/>
    <w:rsid w:val="00DD1E9A"/>
    <w:rsid w:val="00DD2E18"/>
    <w:rsid w:val="00DD3E8C"/>
    <w:rsid w:val="00DD3F03"/>
    <w:rsid w:val="00DD4724"/>
    <w:rsid w:val="00DD482D"/>
    <w:rsid w:val="00DD52FD"/>
    <w:rsid w:val="00DD5947"/>
    <w:rsid w:val="00DD59FC"/>
    <w:rsid w:val="00DD7E7F"/>
    <w:rsid w:val="00DE00A3"/>
    <w:rsid w:val="00DE032D"/>
    <w:rsid w:val="00DE2211"/>
    <w:rsid w:val="00DE222F"/>
    <w:rsid w:val="00DE3C34"/>
    <w:rsid w:val="00DE3F50"/>
    <w:rsid w:val="00DE49BD"/>
    <w:rsid w:val="00DE4C68"/>
    <w:rsid w:val="00DE5206"/>
    <w:rsid w:val="00DE5A4F"/>
    <w:rsid w:val="00DE5CF2"/>
    <w:rsid w:val="00DE7299"/>
    <w:rsid w:val="00DE7589"/>
    <w:rsid w:val="00DF1493"/>
    <w:rsid w:val="00DF1DF6"/>
    <w:rsid w:val="00DF37B7"/>
    <w:rsid w:val="00DF3DC5"/>
    <w:rsid w:val="00DF4AFF"/>
    <w:rsid w:val="00DF4DB7"/>
    <w:rsid w:val="00DF5C19"/>
    <w:rsid w:val="00DF60EB"/>
    <w:rsid w:val="00DF6122"/>
    <w:rsid w:val="00DF66E8"/>
    <w:rsid w:val="00DF6CA5"/>
    <w:rsid w:val="00DF7739"/>
    <w:rsid w:val="00DF7E4E"/>
    <w:rsid w:val="00E0003C"/>
    <w:rsid w:val="00E0093C"/>
    <w:rsid w:val="00E00AEC"/>
    <w:rsid w:val="00E01B0C"/>
    <w:rsid w:val="00E01C70"/>
    <w:rsid w:val="00E02409"/>
    <w:rsid w:val="00E03379"/>
    <w:rsid w:val="00E03B96"/>
    <w:rsid w:val="00E04333"/>
    <w:rsid w:val="00E04E3E"/>
    <w:rsid w:val="00E05270"/>
    <w:rsid w:val="00E061EF"/>
    <w:rsid w:val="00E06E94"/>
    <w:rsid w:val="00E07140"/>
    <w:rsid w:val="00E07A0B"/>
    <w:rsid w:val="00E100DE"/>
    <w:rsid w:val="00E10DF8"/>
    <w:rsid w:val="00E11D00"/>
    <w:rsid w:val="00E11DAA"/>
    <w:rsid w:val="00E120C2"/>
    <w:rsid w:val="00E13154"/>
    <w:rsid w:val="00E1321B"/>
    <w:rsid w:val="00E13BED"/>
    <w:rsid w:val="00E13F96"/>
    <w:rsid w:val="00E152A2"/>
    <w:rsid w:val="00E15308"/>
    <w:rsid w:val="00E15342"/>
    <w:rsid w:val="00E16165"/>
    <w:rsid w:val="00E16D2D"/>
    <w:rsid w:val="00E179B5"/>
    <w:rsid w:val="00E17EBF"/>
    <w:rsid w:val="00E22496"/>
    <w:rsid w:val="00E22554"/>
    <w:rsid w:val="00E22DCD"/>
    <w:rsid w:val="00E23683"/>
    <w:rsid w:val="00E239CF"/>
    <w:rsid w:val="00E2479F"/>
    <w:rsid w:val="00E247EA"/>
    <w:rsid w:val="00E25D45"/>
    <w:rsid w:val="00E3038A"/>
    <w:rsid w:val="00E30F3B"/>
    <w:rsid w:val="00E3345E"/>
    <w:rsid w:val="00E34A44"/>
    <w:rsid w:val="00E35074"/>
    <w:rsid w:val="00E3535E"/>
    <w:rsid w:val="00E3634D"/>
    <w:rsid w:val="00E363DD"/>
    <w:rsid w:val="00E365F4"/>
    <w:rsid w:val="00E36851"/>
    <w:rsid w:val="00E36C34"/>
    <w:rsid w:val="00E36FC3"/>
    <w:rsid w:val="00E376F4"/>
    <w:rsid w:val="00E37DB1"/>
    <w:rsid w:val="00E37DDB"/>
    <w:rsid w:val="00E4160C"/>
    <w:rsid w:val="00E41FB5"/>
    <w:rsid w:val="00E423E1"/>
    <w:rsid w:val="00E42F12"/>
    <w:rsid w:val="00E42F61"/>
    <w:rsid w:val="00E4395B"/>
    <w:rsid w:val="00E44360"/>
    <w:rsid w:val="00E4572C"/>
    <w:rsid w:val="00E45A89"/>
    <w:rsid w:val="00E468CB"/>
    <w:rsid w:val="00E46A18"/>
    <w:rsid w:val="00E46E10"/>
    <w:rsid w:val="00E46F1E"/>
    <w:rsid w:val="00E47706"/>
    <w:rsid w:val="00E47EEB"/>
    <w:rsid w:val="00E5126D"/>
    <w:rsid w:val="00E51EC6"/>
    <w:rsid w:val="00E5200E"/>
    <w:rsid w:val="00E52041"/>
    <w:rsid w:val="00E53955"/>
    <w:rsid w:val="00E540BD"/>
    <w:rsid w:val="00E54F20"/>
    <w:rsid w:val="00E55143"/>
    <w:rsid w:val="00E55520"/>
    <w:rsid w:val="00E56137"/>
    <w:rsid w:val="00E56736"/>
    <w:rsid w:val="00E56CE1"/>
    <w:rsid w:val="00E570EC"/>
    <w:rsid w:val="00E57F40"/>
    <w:rsid w:val="00E613E8"/>
    <w:rsid w:val="00E6292C"/>
    <w:rsid w:val="00E62F70"/>
    <w:rsid w:val="00E63336"/>
    <w:rsid w:val="00E63524"/>
    <w:rsid w:val="00E64D9F"/>
    <w:rsid w:val="00E657AE"/>
    <w:rsid w:val="00E65A9C"/>
    <w:rsid w:val="00E66536"/>
    <w:rsid w:val="00E6707B"/>
    <w:rsid w:val="00E678E9"/>
    <w:rsid w:val="00E679D4"/>
    <w:rsid w:val="00E67D1C"/>
    <w:rsid w:val="00E67D3D"/>
    <w:rsid w:val="00E70DF2"/>
    <w:rsid w:val="00E72244"/>
    <w:rsid w:val="00E72601"/>
    <w:rsid w:val="00E737D0"/>
    <w:rsid w:val="00E73C9B"/>
    <w:rsid w:val="00E74F72"/>
    <w:rsid w:val="00E76942"/>
    <w:rsid w:val="00E80473"/>
    <w:rsid w:val="00E82B40"/>
    <w:rsid w:val="00E82C8F"/>
    <w:rsid w:val="00E830C2"/>
    <w:rsid w:val="00E836E5"/>
    <w:rsid w:val="00E83E78"/>
    <w:rsid w:val="00E86223"/>
    <w:rsid w:val="00E86B01"/>
    <w:rsid w:val="00E86B6B"/>
    <w:rsid w:val="00E86CDF"/>
    <w:rsid w:val="00E86DF5"/>
    <w:rsid w:val="00E875B4"/>
    <w:rsid w:val="00E8760B"/>
    <w:rsid w:val="00E9021B"/>
    <w:rsid w:val="00E90570"/>
    <w:rsid w:val="00E90D53"/>
    <w:rsid w:val="00E90FE1"/>
    <w:rsid w:val="00E915BF"/>
    <w:rsid w:val="00E916C8"/>
    <w:rsid w:val="00E92AF1"/>
    <w:rsid w:val="00E93106"/>
    <w:rsid w:val="00E939BD"/>
    <w:rsid w:val="00E93AA0"/>
    <w:rsid w:val="00E93F20"/>
    <w:rsid w:val="00E946E9"/>
    <w:rsid w:val="00E94757"/>
    <w:rsid w:val="00E95A9C"/>
    <w:rsid w:val="00E962F8"/>
    <w:rsid w:val="00E9743E"/>
    <w:rsid w:val="00EA0C86"/>
    <w:rsid w:val="00EA10E7"/>
    <w:rsid w:val="00EA10EA"/>
    <w:rsid w:val="00EA1A08"/>
    <w:rsid w:val="00EA22A3"/>
    <w:rsid w:val="00EA2553"/>
    <w:rsid w:val="00EA2767"/>
    <w:rsid w:val="00EA34A6"/>
    <w:rsid w:val="00EA3AA8"/>
    <w:rsid w:val="00EA3EA5"/>
    <w:rsid w:val="00EA4B94"/>
    <w:rsid w:val="00EA4C1C"/>
    <w:rsid w:val="00EA5842"/>
    <w:rsid w:val="00EA5875"/>
    <w:rsid w:val="00EA5F83"/>
    <w:rsid w:val="00EA7156"/>
    <w:rsid w:val="00EA763E"/>
    <w:rsid w:val="00EA7A26"/>
    <w:rsid w:val="00EB0442"/>
    <w:rsid w:val="00EB0EEC"/>
    <w:rsid w:val="00EB1004"/>
    <w:rsid w:val="00EB25B9"/>
    <w:rsid w:val="00EB400D"/>
    <w:rsid w:val="00EB4255"/>
    <w:rsid w:val="00EB4DF5"/>
    <w:rsid w:val="00EB5714"/>
    <w:rsid w:val="00EB659A"/>
    <w:rsid w:val="00EB7328"/>
    <w:rsid w:val="00EB7A30"/>
    <w:rsid w:val="00EB7BCB"/>
    <w:rsid w:val="00EB7E2F"/>
    <w:rsid w:val="00EC04EF"/>
    <w:rsid w:val="00EC0907"/>
    <w:rsid w:val="00EC0E3C"/>
    <w:rsid w:val="00EC18B3"/>
    <w:rsid w:val="00EC19E7"/>
    <w:rsid w:val="00EC2969"/>
    <w:rsid w:val="00EC2A09"/>
    <w:rsid w:val="00EC33C9"/>
    <w:rsid w:val="00EC4720"/>
    <w:rsid w:val="00EC4FF1"/>
    <w:rsid w:val="00EC512A"/>
    <w:rsid w:val="00EC654E"/>
    <w:rsid w:val="00EC68DB"/>
    <w:rsid w:val="00ED05BE"/>
    <w:rsid w:val="00ED0A9E"/>
    <w:rsid w:val="00ED0EDE"/>
    <w:rsid w:val="00ED0F88"/>
    <w:rsid w:val="00ED1C79"/>
    <w:rsid w:val="00ED1CBD"/>
    <w:rsid w:val="00ED1F87"/>
    <w:rsid w:val="00ED213C"/>
    <w:rsid w:val="00ED30A6"/>
    <w:rsid w:val="00ED310B"/>
    <w:rsid w:val="00ED37B1"/>
    <w:rsid w:val="00ED4F54"/>
    <w:rsid w:val="00ED5056"/>
    <w:rsid w:val="00ED57B2"/>
    <w:rsid w:val="00ED645D"/>
    <w:rsid w:val="00ED6B1F"/>
    <w:rsid w:val="00ED6E71"/>
    <w:rsid w:val="00ED6F78"/>
    <w:rsid w:val="00ED7512"/>
    <w:rsid w:val="00ED756D"/>
    <w:rsid w:val="00ED775B"/>
    <w:rsid w:val="00EE02C0"/>
    <w:rsid w:val="00EE03CE"/>
    <w:rsid w:val="00EE12C1"/>
    <w:rsid w:val="00EE19B3"/>
    <w:rsid w:val="00EE1E06"/>
    <w:rsid w:val="00EE1E0E"/>
    <w:rsid w:val="00EE2639"/>
    <w:rsid w:val="00EE29BF"/>
    <w:rsid w:val="00EE301E"/>
    <w:rsid w:val="00EE347E"/>
    <w:rsid w:val="00EE3A48"/>
    <w:rsid w:val="00EE3DB0"/>
    <w:rsid w:val="00EE42D4"/>
    <w:rsid w:val="00EE48A3"/>
    <w:rsid w:val="00EE50D5"/>
    <w:rsid w:val="00EE54F5"/>
    <w:rsid w:val="00EE5990"/>
    <w:rsid w:val="00EE5D2A"/>
    <w:rsid w:val="00EE6570"/>
    <w:rsid w:val="00EE73A3"/>
    <w:rsid w:val="00EF005C"/>
    <w:rsid w:val="00EF0F68"/>
    <w:rsid w:val="00EF1C45"/>
    <w:rsid w:val="00EF21CA"/>
    <w:rsid w:val="00EF2500"/>
    <w:rsid w:val="00EF2902"/>
    <w:rsid w:val="00EF3657"/>
    <w:rsid w:val="00EF45C3"/>
    <w:rsid w:val="00EF5892"/>
    <w:rsid w:val="00EF5BE4"/>
    <w:rsid w:val="00EF65E9"/>
    <w:rsid w:val="00F0155F"/>
    <w:rsid w:val="00F018F3"/>
    <w:rsid w:val="00F02185"/>
    <w:rsid w:val="00F02714"/>
    <w:rsid w:val="00F032C8"/>
    <w:rsid w:val="00F0372E"/>
    <w:rsid w:val="00F07DC6"/>
    <w:rsid w:val="00F10CB3"/>
    <w:rsid w:val="00F11177"/>
    <w:rsid w:val="00F11FC7"/>
    <w:rsid w:val="00F13A7B"/>
    <w:rsid w:val="00F14092"/>
    <w:rsid w:val="00F144E3"/>
    <w:rsid w:val="00F14961"/>
    <w:rsid w:val="00F14DFB"/>
    <w:rsid w:val="00F154AE"/>
    <w:rsid w:val="00F1628F"/>
    <w:rsid w:val="00F167FC"/>
    <w:rsid w:val="00F16FA5"/>
    <w:rsid w:val="00F1703D"/>
    <w:rsid w:val="00F172F1"/>
    <w:rsid w:val="00F17AF9"/>
    <w:rsid w:val="00F20D4E"/>
    <w:rsid w:val="00F22DB3"/>
    <w:rsid w:val="00F235F3"/>
    <w:rsid w:val="00F24BAE"/>
    <w:rsid w:val="00F25B65"/>
    <w:rsid w:val="00F25D12"/>
    <w:rsid w:val="00F267DE"/>
    <w:rsid w:val="00F26E2B"/>
    <w:rsid w:val="00F26EDB"/>
    <w:rsid w:val="00F2723C"/>
    <w:rsid w:val="00F27B59"/>
    <w:rsid w:val="00F27E2F"/>
    <w:rsid w:val="00F30DAD"/>
    <w:rsid w:val="00F31340"/>
    <w:rsid w:val="00F31668"/>
    <w:rsid w:val="00F32238"/>
    <w:rsid w:val="00F323A1"/>
    <w:rsid w:val="00F3289F"/>
    <w:rsid w:val="00F32F3A"/>
    <w:rsid w:val="00F330AB"/>
    <w:rsid w:val="00F336A1"/>
    <w:rsid w:val="00F336FF"/>
    <w:rsid w:val="00F340C1"/>
    <w:rsid w:val="00F343ED"/>
    <w:rsid w:val="00F3606A"/>
    <w:rsid w:val="00F360F3"/>
    <w:rsid w:val="00F366E3"/>
    <w:rsid w:val="00F36764"/>
    <w:rsid w:val="00F3680A"/>
    <w:rsid w:val="00F369BB"/>
    <w:rsid w:val="00F3738F"/>
    <w:rsid w:val="00F373D0"/>
    <w:rsid w:val="00F374A3"/>
    <w:rsid w:val="00F37DEC"/>
    <w:rsid w:val="00F40261"/>
    <w:rsid w:val="00F407CE"/>
    <w:rsid w:val="00F4167F"/>
    <w:rsid w:val="00F43B5F"/>
    <w:rsid w:val="00F44225"/>
    <w:rsid w:val="00F44AD5"/>
    <w:rsid w:val="00F44D21"/>
    <w:rsid w:val="00F44E37"/>
    <w:rsid w:val="00F45E5B"/>
    <w:rsid w:val="00F4699F"/>
    <w:rsid w:val="00F46B8C"/>
    <w:rsid w:val="00F47437"/>
    <w:rsid w:val="00F47571"/>
    <w:rsid w:val="00F50D99"/>
    <w:rsid w:val="00F516D5"/>
    <w:rsid w:val="00F51764"/>
    <w:rsid w:val="00F517AC"/>
    <w:rsid w:val="00F51881"/>
    <w:rsid w:val="00F52598"/>
    <w:rsid w:val="00F5403F"/>
    <w:rsid w:val="00F54E3B"/>
    <w:rsid w:val="00F55555"/>
    <w:rsid w:val="00F55D44"/>
    <w:rsid w:val="00F56011"/>
    <w:rsid w:val="00F562C4"/>
    <w:rsid w:val="00F60A80"/>
    <w:rsid w:val="00F61274"/>
    <w:rsid w:val="00F612F6"/>
    <w:rsid w:val="00F61B46"/>
    <w:rsid w:val="00F6345C"/>
    <w:rsid w:val="00F63951"/>
    <w:rsid w:val="00F64514"/>
    <w:rsid w:val="00F64DE9"/>
    <w:rsid w:val="00F64FCE"/>
    <w:rsid w:val="00F65789"/>
    <w:rsid w:val="00F66474"/>
    <w:rsid w:val="00F669DB"/>
    <w:rsid w:val="00F67A1E"/>
    <w:rsid w:val="00F67FE8"/>
    <w:rsid w:val="00F7033C"/>
    <w:rsid w:val="00F70F51"/>
    <w:rsid w:val="00F71151"/>
    <w:rsid w:val="00F71694"/>
    <w:rsid w:val="00F71E2F"/>
    <w:rsid w:val="00F725C0"/>
    <w:rsid w:val="00F72887"/>
    <w:rsid w:val="00F729D7"/>
    <w:rsid w:val="00F742DA"/>
    <w:rsid w:val="00F76CB0"/>
    <w:rsid w:val="00F77601"/>
    <w:rsid w:val="00F77B8D"/>
    <w:rsid w:val="00F800AA"/>
    <w:rsid w:val="00F800E0"/>
    <w:rsid w:val="00F80531"/>
    <w:rsid w:val="00F8090F"/>
    <w:rsid w:val="00F81396"/>
    <w:rsid w:val="00F8165E"/>
    <w:rsid w:val="00F81EE4"/>
    <w:rsid w:val="00F82894"/>
    <w:rsid w:val="00F82907"/>
    <w:rsid w:val="00F82A79"/>
    <w:rsid w:val="00F832D8"/>
    <w:rsid w:val="00F83890"/>
    <w:rsid w:val="00F838CC"/>
    <w:rsid w:val="00F839FF"/>
    <w:rsid w:val="00F840E8"/>
    <w:rsid w:val="00F84AFE"/>
    <w:rsid w:val="00F852EF"/>
    <w:rsid w:val="00F86213"/>
    <w:rsid w:val="00F8736F"/>
    <w:rsid w:val="00F87FAA"/>
    <w:rsid w:val="00F908EE"/>
    <w:rsid w:val="00F91589"/>
    <w:rsid w:val="00F91847"/>
    <w:rsid w:val="00F921D7"/>
    <w:rsid w:val="00F9262E"/>
    <w:rsid w:val="00F92946"/>
    <w:rsid w:val="00F939B7"/>
    <w:rsid w:val="00F9435B"/>
    <w:rsid w:val="00F95078"/>
    <w:rsid w:val="00F95E69"/>
    <w:rsid w:val="00F975E6"/>
    <w:rsid w:val="00FA2028"/>
    <w:rsid w:val="00FA2A2E"/>
    <w:rsid w:val="00FA3681"/>
    <w:rsid w:val="00FA3C7F"/>
    <w:rsid w:val="00FA4566"/>
    <w:rsid w:val="00FA46FA"/>
    <w:rsid w:val="00FA48C1"/>
    <w:rsid w:val="00FA735F"/>
    <w:rsid w:val="00FA736D"/>
    <w:rsid w:val="00FB0BF5"/>
    <w:rsid w:val="00FB0D3C"/>
    <w:rsid w:val="00FB0E25"/>
    <w:rsid w:val="00FB14C6"/>
    <w:rsid w:val="00FB2B31"/>
    <w:rsid w:val="00FB2FC5"/>
    <w:rsid w:val="00FB3723"/>
    <w:rsid w:val="00FB4649"/>
    <w:rsid w:val="00FB574E"/>
    <w:rsid w:val="00FB57C3"/>
    <w:rsid w:val="00FB661B"/>
    <w:rsid w:val="00FB6944"/>
    <w:rsid w:val="00FB6E34"/>
    <w:rsid w:val="00FB79B8"/>
    <w:rsid w:val="00FB7A57"/>
    <w:rsid w:val="00FB7B8C"/>
    <w:rsid w:val="00FC0348"/>
    <w:rsid w:val="00FC0738"/>
    <w:rsid w:val="00FC11E2"/>
    <w:rsid w:val="00FC16D0"/>
    <w:rsid w:val="00FC1A1F"/>
    <w:rsid w:val="00FC2A23"/>
    <w:rsid w:val="00FC33F0"/>
    <w:rsid w:val="00FC353D"/>
    <w:rsid w:val="00FC3A24"/>
    <w:rsid w:val="00FC4373"/>
    <w:rsid w:val="00FC56A0"/>
    <w:rsid w:val="00FC64D6"/>
    <w:rsid w:val="00FC6B2D"/>
    <w:rsid w:val="00FC6C07"/>
    <w:rsid w:val="00FC7591"/>
    <w:rsid w:val="00FC7DA2"/>
    <w:rsid w:val="00FD13A1"/>
    <w:rsid w:val="00FD17A7"/>
    <w:rsid w:val="00FD1848"/>
    <w:rsid w:val="00FD1937"/>
    <w:rsid w:val="00FD19FA"/>
    <w:rsid w:val="00FD1D8A"/>
    <w:rsid w:val="00FD235A"/>
    <w:rsid w:val="00FD2C10"/>
    <w:rsid w:val="00FD2F8C"/>
    <w:rsid w:val="00FD548A"/>
    <w:rsid w:val="00FD5E2A"/>
    <w:rsid w:val="00FD619B"/>
    <w:rsid w:val="00FD6A8F"/>
    <w:rsid w:val="00FD7307"/>
    <w:rsid w:val="00FE01DA"/>
    <w:rsid w:val="00FE1A5C"/>
    <w:rsid w:val="00FE1D6B"/>
    <w:rsid w:val="00FE2F42"/>
    <w:rsid w:val="00FE2FCB"/>
    <w:rsid w:val="00FE3154"/>
    <w:rsid w:val="00FE37A7"/>
    <w:rsid w:val="00FE3D3A"/>
    <w:rsid w:val="00FE48F0"/>
    <w:rsid w:val="00FE6013"/>
    <w:rsid w:val="00FE6034"/>
    <w:rsid w:val="00FE663E"/>
    <w:rsid w:val="00FE7399"/>
    <w:rsid w:val="00FE7C9B"/>
    <w:rsid w:val="00FE7CCB"/>
    <w:rsid w:val="00FF1C40"/>
    <w:rsid w:val="00FF1CAD"/>
    <w:rsid w:val="00FF2689"/>
    <w:rsid w:val="00FF2FE3"/>
    <w:rsid w:val="00FF3DBE"/>
    <w:rsid w:val="00FF3EA3"/>
    <w:rsid w:val="00FF4245"/>
    <w:rsid w:val="00FF4301"/>
    <w:rsid w:val="00FF504E"/>
    <w:rsid w:val="00FF56AF"/>
    <w:rsid w:val="00FF5CBC"/>
    <w:rsid w:val="00FF5F7E"/>
    <w:rsid w:val="00FF6340"/>
    <w:rsid w:val="00FF7166"/>
    <w:rsid w:val="00FF7F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ED155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AA655D"/>
    <w:rPr>
      <w:color w:val="0000FF"/>
      <w:shd w:val="clear" w:color="auto" w:fill="auto"/>
    </w:rPr>
  </w:style>
  <w:style w:type="paragraph" w:customStyle="1" w:styleId="Pagedecouverture">
    <w:name w:val="Page de couverture"/>
    <w:basedOn w:val="Normal"/>
    <w:next w:val="Normal"/>
    <w:rsid w:val="00AA655D"/>
    <w:pPr>
      <w:jc w:val="both"/>
    </w:pPr>
    <w:rPr>
      <w:szCs w:val="22"/>
    </w:rPr>
  </w:style>
  <w:style w:type="paragraph" w:styleId="Header">
    <w:name w:val="header"/>
    <w:basedOn w:val="Normal"/>
    <w:link w:val="HeaderChar"/>
    <w:uiPriority w:val="99"/>
    <w:unhideWhenUsed/>
    <w:rsid w:val="00AA655D"/>
    <w:pPr>
      <w:tabs>
        <w:tab w:val="center" w:pos="4513"/>
        <w:tab w:val="right" w:pos="9026"/>
      </w:tabs>
    </w:pPr>
  </w:style>
  <w:style w:type="character" w:customStyle="1" w:styleId="HeaderChar">
    <w:name w:val="Header Char"/>
    <w:basedOn w:val="DefaultParagraphFont"/>
    <w:link w:val="Header"/>
    <w:uiPriority w:val="99"/>
    <w:rsid w:val="00AA655D"/>
    <w:rPr>
      <w:sz w:val="24"/>
      <w:szCs w:val="24"/>
      <w:lang w:val="en-GB"/>
    </w:rPr>
  </w:style>
  <w:style w:type="paragraph" w:styleId="Footer">
    <w:name w:val="footer"/>
    <w:basedOn w:val="Normal"/>
    <w:link w:val="FooterChar"/>
    <w:uiPriority w:val="99"/>
    <w:unhideWhenUsed/>
    <w:rsid w:val="00AA655D"/>
    <w:pPr>
      <w:tabs>
        <w:tab w:val="center" w:pos="4513"/>
        <w:tab w:val="right" w:pos="9026"/>
      </w:tabs>
    </w:pPr>
  </w:style>
  <w:style w:type="character" w:customStyle="1" w:styleId="FooterChar">
    <w:name w:val="Footer Char"/>
    <w:basedOn w:val="DefaultParagraphFont"/>
    <w:link w:val="Footer"/>
    <w:uiPriority w:val="99"/>
    <w:rsid w:val="00AA655D"/>
    <w:rPr>
      <w:sz w:val="24"/>
      <w:szCs w:val="24"/>
      <w:lang w:val="en-GB"/>
    </w:rPr>
  </w:style>
  <w:style w:type="paragraph" w:customStyle="1" w:styleId="FooterCoverPage">
    <w:name w:val="Footer Cover Page"/>
    <w:basedOn w:val="Normal"/>
    <w:link w:val="FooterCoverPageChar"/>
    <w:rsid w:val="00AA655D"/>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sid w:val="00AA655D"/>
    <w:rPr>
      <w:sz w:val="24"/>
      <w:szCs w:val="24"/>
      <w:lang w:val="en-GB"/>
    </w:rPr>
  </w:style>
  <w:style w:type="paragraph" w:customStyle="1" w:styleId="FooterSensitivity">
    <w:name w:val="Footer Sensitivity"/>
    <w:basedOn w:val="Normal"/>
    <w:link w:val="FooterSensitivityChar"/>
    <w:rsid w:val="00AA655D"/>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sid w:val="00AA655D"/>
    <w:rPr>
      <w:b/>
      <w:sz w:val="32"/>
      <w:szCs w:val="24"/>
      <w:lang w:val="en-GB"/>
    </w:rPr>
  </w:style>
  <w:style w:type="paragraph" w:customStyle="1" w:styleId="HeaderCoverPage">
    <w:name w:val="Header Cover Page"/>
    <w:basedOn w:val="Normal"/>
    <w:link w:val="HeaderCoverPageChar"/>
    <w:rsid w:val="00AA655D"/>
    <w:pPr>
      <w:tabs>
        <w:tab w:val="center" w:pos="4535"/>
        <w:tab w:val="right" w:pos="9071"/>
      </w:tabs>
      <w:spacing w:after="120"/>
      <w:jc w:val="both"/>
    </w:pPr>
  </w:style>
  <w:style w:type="character" w:customStyle="1" w:styleId="HeaderCoverPageChar">
    <w:name w:val="Header Cover Page Char"/>
    <w:basedOn w:val="DefaultParagraphFont"/>
    <w:link w:val="HeaderCoverPage"/>
    <w:rsid w:val="00AA655D"/>
    <w:rPr>
      <w:sz w:val="24"/>
      <w:szCs w:val="24"/>
      <w:lang w:val="en-GB"/>
    </w:rPr>
  </w:style>
  <w:style w:type="paragraph" w:customStyle="1" w:styleId="HeaderSensitivity">
    <w:name w:val="Header Sensitivity"/>
    <w:basedOn w:val="Normal"/>
    <w:link w:val="HeaderSensitivityChar"/>
    <w:rsid w:val="00AA655D"/>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AA655D"/>
    <w:rPr>
      <w:b/>
      <w:sz w:val="32"/>
      <w:szCs w:val="24"/>
      <w:lang w:val="en-GB"/>
    </w:rPr>
  </w:style>
  <w:style w:type="paragraph" w:customStyle="1" w:styleId="HeaderSensitivityRight">
    <w:name w:val="Header Sensitivity Right"/>
    <w:basedOn w:val="Normal"/>
    <w:link w:val="HeaderSensitivityRightChar"/>
    <w:rsid w:val="000C06D5"/>
    <w:pPr>
      <w:spacing w:after="120"/>
      <w:jc w:val="right"/>
    </w:pPr>
    <w:rPr>
      <w:sz w:val="28"/>
    </w:rPr>
  </w:style>
  <w:style w:type="character" w:customStyle="1" w:styleId="HeaderSensitivityRightChar">
    <w:name w:val="Header Sensitivity Right Char"/>
    <w:basedOn w:val="DefaultParagraphFont"/>
    <w:link w:val="HeaderSensitivityRight"/>
    <w:rsid w:val="00AA655D"/>
    <w:rPr>
      <w:sz w:val="28"/>
      <w:szCs w:val="24"/>
      <w:lang w:val="en-GB"/>
    </w:rPr>
  </w:style>
  <w:style w:type="paragraph" w:styleId="FootnoteText">
    <w:name w:val="footnote text"/>
    <w:aliases w:val="M Footnotes,Fußnotentextf,Footnote,Fußnote,Char Char Car,Note de bas de page Car Car Car Car Car Car Car Car Car Car,Note de bas de page Car Car Car Car,Note de bas de page Car Car Car Car Car Car Car Car Car,ft,Footnote Text Char1,fn,o,f"/>
    <w:basedOn w:val="Normal"/>
    <w:link w:val="FootnoteTextChar"/>
    <w:uiPriority w:val="99"/>
    <w:qFormat/>
    <w:rsid w:val="00AA655D"/>
    <w:rPr>
      <w:rFonts w:eastAsia="Calibri"/>
      <w:sz w:val="20"/>
      <w:szCs w:val="20"/>
    </w:rPr>
  </w:style>
  <w:style w:type="character" w:customStyle="1" w:styleId="FootnoteTextChar">
    <w:name w:val="Footnote Text Char"/>
    <w:aliases w:val="M Footnotes Char,Fußnotentextf Char,Footnote Char,Fußnote Char,Char Char Car Char,Note de bas de page Car Car Car Car Car Car Car Car Car Car Char,Note de bas de page Car Car Car Car Char,ft Char,Footnote Text Char1 Char,fn Char"/>
    <w:basedOn w:val="DefaultParagraphFont"/>
    <w:link w:val="FootnoteText"/>
    <w:uiPriority w:val="99"/>
    <w:rsid w:val="00AA655D"/>
    <w:rPr>
      <w:rFonts w:eastAsia="Calibri"/>
      <w:lang w:val="en-GB"/>
    </w:rPr>
  </w:style>
  <w:style w:type="character" w:styleId="FootnoteReference">
    <w:name w:val="footnote reference"/>
    <w:aliases w:val="EN Footnote Reference,Times 10 Point,Exposant 3 Point,Footnote symbol,Footnote reference number,note TESI,stylish,Footnote Reference Superscript,BVI fnr,number,Voetnootverwijzing,SUPERS,Ref,de nota al pie,Footnote sign,callout"/>
    <w:uiPriority w:val="99"/>
    <w:unhideWhenUsed/>
    <w:qFormat/>
    <w:rsid w:val="00AA655D"/>
    <w:rPr>
      <w:shd w:val="clear" w:color="auto" w:fill="auto"/>
      <w:vertAlign w:val="superscript"/>
    </w:rPr>
  </w:style>
  <w:style w:type="character" w:styleId="Hyperlink">
    <w:name w:val="Hyperlink"/>
    <w:rsid w:val="00AA655D"/>
    <w:rPr>
      <w:color w:val="0000FF"/>
      <w:u w:val="single"/>
    </w:rPr>
  </w:style>
  <w:style w:type="paragraph" w:customStyle="1" w:styleId="Default">
    <w:name w:val="Default"/>
    <w:rsid w:val="00AA655D"/>
    <w:pPr>
      <w:autoSpaceDE w:val="0"/>
      <w:autoSpaceDN w:val="0"/>
      <w:adjustRightInd w:val="0"/>
    </w:pPr>
    <w:rPr>
      <w:rFonts w:ascii="Calibri" w:hAnsi="Calibri" w:cs="Calibri"/>
      <w:color w:val="000000"/>
      <w:sz w:val="24"/>
      <w:szCs w:val="24"/>
      <w:lang w:val="en-GB"/>
    </w:rPr>
  </w:style>
  <w:style w:type="paragraph" w:styleId="ListParagraph">
    <w:name w:val="List Paragraph"/>
    <w:basedOn w:val="Normal"/>
    <w:uiPriority w:val="34"/>
    <w:qFormat/>
    <w:rsid w:val="00AA655D"/>
    <w:pPr>
      <w:ind w:left="720"/>
    </w:pPr>
    <w:rPr>
      <w:rFonts w:ascii="Calibri" w:eastAsia="Calibri" w:hAnsi="Calibri" w:cs="Calibri"/>
      <w:sz w:val="22"/>
      <w:szCs w:val="22"/>
      <w:lang w:eastAsia="en-GB"/>
    </w:rPr>
  </w:style>
  <w:style w:type="paragraph" w:styleId="BalloonText">
    <w:name w:val="Balloon Text"/>
    <w:basedOn w:val="Normal"/>
    <w:link w:val="BalloonTextChar"/>
    <w:semiHidden/>
    <w:unhideWhenUsed/>
    <w:rsid w:val="00BC3F24"/>
    <w:rPr>
      <w:rFonts w:ascii="Segoe UI" w:hAnsi="Segoe UI" w:cs="Segoe UI"/>
      <w:sz w:val="18"/>
      <w:szCs w:val="18"/>
    </w:rPr>
  </w:style>
  <w:style w:type="character" w:customStyle="1" w:styleId="BalloonTextChar">
    <w:name w:val="Balloon Text Char"/>
    <w:basedOn w:val="DefaultParagraphFont"/>
    <w:link w:val="BalloonText"/>
    <w:semiHidden/>
    <w:rsid w:val="00BC3F24"/>
    <w:rPr>
      <w:rFonts w:ascii="Segoe UI" w:hAnsi="Segoe UI" w:cs="Segoe UI"/>
      <w:sz w:val="18"/>
      <w:szCs w:val="18"/>
      <w:lang w:val="en-GB"/>
    </w:rPr>
  </w:style>
  <w:style w:type="character" w:styleId="Strong">
    <w:name w:val="Strong"/>
    <w:basedOn w:val="DefaultParagraphFont"/>
    <w:uiPriority w:val="22"/>
    <w:qFormat/>
    <w:rsid w:val="00261DE1"/>
    <w:rPr>
      <w:b/>
      <w:bCs/>
    </w:rPr>
  </w:style>
  <w:style w:type="character" w:styleId="CommentReference">
    <w:name w:val="annotation reference"/>
    <w:basedOn w:val="DefaultParagraphFont"/>
    <w:semiHidden/>
    <w:unhideWhenUsed/>
    <w:rsid w:val="00A3660F"/>
    <w:rPr>
      <w:sz w:val="16"/>
      <w:szCs w:val="16"/>
    </w:rPr>
  </w:style>
  <w:style w:type="paragraph" w:styleId="CommentText">
    <w:name w:val="annotation text"/>
    <w:basedOn w:val="Normal"/>
    <w:link w:val="CommentTextChar"/>
    <w:semiHidden/>
    <w:unhideWhenUsed/>
    <w:rsid w:val="00A3660F"/>
    <w:rPr>
      <w:sz w:val="20"/>
      <w:szCs w:val="20"/>
    </w:rPr>
  </w:style>
  <w:style w:type="character" w:customStyle="1" w:styleId="CommentTextChar">
    <w:name w:val="Comment Text Char"/>
    <w:basedOn w:val="DefaultParagraphFont"/>
    <w:link w:val="CommentText"/>
    <w:semiHidden/>
    <w:rsid w:val="00A3660F"/>
    <w:rPr>
      <w:lang w:val="en-GB"/>
    </w:rPr>
  </w:style>
  <w:style w:type="paragraph" w:styleId="CommentSubject">
    <w:name w:val="annotation subject"/>
    <w:basedOn w:val="CommentText"/>
    <w:next w:val="CommentText"/>
    <w:link w:val="CommentSubjectChar"/>
    <w:semiHidden/>
    <w:unhideWhenUsed/>
    <w:rsid w:val="00A3660F"/>
    <w:rPr>
      <w:b/>
      <w:bCs/>
    </w:rPr>
  </w:style>
  <w:style w:type="character" w:customStyle="1" w:styleId="CommentSubjectChar">
    <w:name w:val="Comment Subject Char"/>
    <w:basedOn w:val="CommentTextChar"/>
    <w:link w:val="CommentSubject"/>
    <w:semiHidden/>
    <w:rsid w:val="00A3660F"/>
    <w:rPr>
      <w:b/>
      <w:bCs/>
      <w:lang w:val="en-GB"/>
    </w:rPr>
  </w:style>
  <w:style w:type="paragraph" w:styleId="Revision">
    <w:name w:val="Revision"/>
    <w:hidden/>
    <w:uiPriority w:val="99"/>
    <w:semiHidden/>
    <w:rsid w:val="00A3660F"/>
    <w:rPr>
      <w:sz w:val="24"/>
      <w:szCs w:val="24"/>
      <w:lang w:val="en-GB"/>
    </w:rPr>
  </w:style>
  <w:style w:type="paragraph" w:styleId="EndnoteText">
    <w:name w:val="endnote text"/>
    <w:basedOn w:val="Normal"/>
    <w:link w:val="EndnoteTextChar"/>
    <w:semiHidden/>
    <w:unhideWhenUsed/>
    <w:rsid w:val="001B5C4A"/>
    <w:rPr>
      <w:sz w:val="20"/>
      <w:szCs w:val="20"/>
    </w:rPr>
  </w:style>
  <w:style w:type="character" w:customStyle="1" w:styleId="EndnoteTextChar">
    <w:name w:val="Endnote Text Char"/>
    <w:basedOn w:val="DefaultParagraphFont"/>
    <w:link w:val="EndnoteText"/>
    <w:semiHidden/>
    <w:rsid w:val="001B5C4A"/>
    <w:rPr>
      <w:lang w:val="en-GB"/>
    </w:rPr>
  </w:style>
  <w:style w:type="character" w:styleId="EndnoteReference">
    <w:name w:val="endnote reference"/>
    <w:basedOn w:val="DefaultParagraphFont"/>
    <w:semiHidden/>
    <w:unhideWhenUsed/>
    <w:rsid w:val="001B5C4A"/>
    <w:rPr>
      <w:vertAlign w:val="superscript"/>
    </w:rPr>
  </w:style>
  <w:style w:type="paragraph" w:customStyle="1" w:styleId="Briefingtext">
    <w:name w:val="Briefing text"/>
    <w:basedOn w:val="Normal"/>
    <w:link w:val="BriefingtextChar"/>
    <w:rsid w:val="00ED213C"/>
    <w:pPr>
      <w:spacing w:after="240"/>
      <w:jc w:val="both"/>
    </w:pPr>
    <w:rPr>
      <w:rFonts w:ascii="Arial" w:eastAsia="Times New Roman" w:hAnsi="Arial" w:cs="Arial"/>
      <w:sz w:val="22"/>
    </w:rPr>
  </w:style>
  <w:style w:type="character" w:customStyle="1" w:styleId="BriefingtextChar">
    <w:name w:val="Briefing text Char"/>
    <w:link w:val="Briefingtext"/>
    <w:rsid w:val="00ED213C"/>
    <w:rPr>
      <w:rFonts w:ascii="Arial" w:eastAsia="Times New Roman" w:hAnsi="Arial" w:cs="Arial"/>
      <w:sz w:val="22"/>
      <w:szCs w:val="24"/>
      <w:lang w:val="en-GB"/>
    </w:rPr>
  </w:style>
  <w:style w:type="paragraph" w:customStyle="1" w:styleId="Typedudocument">
    <w:name w:val="Type du document"/>
    <w:basedOn w:val="Normal"/>
    <w:next w:val="Normal"/>
    <w:rsid w:val="0028246A"/>
    <w:pPr>
      <w:spacing w:before="360"/>
      <w:jc w:val="center"/>
    </w:pPr>
    <w:rPr>
      <w:b/>
      <w:szCs w:val="22"/>
    </w:rPr>
  </w:style>
  <w:style w:type="paragraph" w:customStyle="1" w:styleId="Titreobjet">
    <w:name w:val="Titre objet"/>
    <w:basedOn w:val="Normal"/>
    <w:next w:val="Normal"/>
    <w:rsid w:val="0028246A"/>
    <w:pPr>
      <w:spacing w:before="360" w:after="360"/>
      <w:jc w:val="center"/>
    </w:pPr>
    <w:rPr>
      <w:b/>
      <w:szCs w:val="22"/>
    </w:rPr>
  </w:style>
  <w:style w:type="character" w:styleId="FollowedHyperlink">
    <w:name w:val="FollowedHyperlink"/>
    <w:basedOn w:val="DefaultParagraphFont"/>
    <w:semiHidden/>
    <w:unhideWhenUsed/>
    <w:rsid w:val="003B2BCC"/>
    <w:rPr>
      <w:color w:val="800080" w:themeColor="followedHyperlink"/>
      <w:u w:val="single"/>
    </w:rPr>
  </w:style>
  <w:style w:type="paragraph" w:styleId="NormalWeb">
    <w:name w:val="Normal (Web)"/>
    <w:basedOn w:val="Normal"/>
    <w:uiPriority w:val="99"/>
    <w:semiHidden/>
    <w:unhideWhenUsed/>
    <w:rsid w:val="00B930EF"/>
    <w:pPr>
      <w:spacing w:after="160" w:line="259" w:lineRule="auto"/>
    </w:pPr>
    <w:rPr>
      <w:lang w:val="fr-FR"/>
    </w:rPr>
  </w:style>
  <w:style w:type="character" w:customStyle="1" w:styleId="UnresolvedMention">
    <w:name w:val="Unresolved Mention"/>
    <w:basedOn w:val="DefaultParagraphFont"/>
    <w:uiPriority w:val="99"/>
    <w:semiHidden/>
    <w:unhideWhenUsed/>
    <w:rsid w:val="005F47EB"/>
    <w:rPr>
      <w:color w:val="605E5C"/>
      <w:shd w:val="clear" w:color="auto" w:fill="E1DFDD"/>
    </w:rPr>
  </w:style>
  <w:style w:type="paragraph" w:customStyle="1" w:styleId="Disclaimer">
    <w:name w:val="Disclaimer"/>
    <w:basedOn w:val="Normal"/>
    <w:rsid w:val="000C06D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szCs w:val="22"/>
    </w:rPr>
  </w:style>
  <w:style w:type="paragraph" w:customStyle="1" w:styleId="SecurityMarking">
    <w:name w:val="SecurityMarking"/>
    <w:basedOn w:val="Normal"/>
    <w:rsid w:val="000C06D5"/>
    <w:pPr>
      <w:spacing w:line="276" w:lineRule="auto"/>
      <w:ind w:left="5103"/>
    </w:pPr>
    <w:rPr>
      <w:sz w:val="28"/>
      <w:szCs w:val="22"/>
    </w:rPr>
  </w:style>
  <w:style w:type="paragraph" w:customStyle="1" w:styleId="DateMarking">
    <w:name w:val="DateMarking"/>
    <w:basedOn w:val="Normal"/>
    <w:rsid w:val="000C06D5"/>
    <w:pPr>
      <w:spacing w:line="276" w:lineRule="auto"/>
      <w:ind w:left="5103"/>
    </w:pPr>
    <w:rPr>
      <w:i/>
      <w:sz w:val="28"/>
      <w:szCs w:val="22"/>
    </w:rPr>
  </w:style>
  <w:style w:type="paragraph" w:customStyle="1" w:styleId="ReleasableTo">
    <w:name w:val="ReleasableTo"/>
    <w:basedOn w:val="Normal"/>
    <w:rsid w:val="000C06D5"/>
    <w:pPr>
      <w:spacing w:line="276" w:lineRule="auto"/>
      <w:ind w:left="5103"/>
    </w:pPr>
    <w:rPr>
      <w: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5.emf"/><Relationship Id="rId26" Type="http://schemas.openxmlformats.org/officeDocument/2006/relationships/image" Target="media/image13.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header" Target="header8.xml"/><Relationship Id="rId47"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emf"/><Relationship Id="rId33" Type="http://schemas.openxmlformats.org/officeDocument/2006/relationships/header" Target="header7.xml"/><Relationship Id="rId38"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emf"/><Relationship Id="rId32" Type="http://schemas.openxmlformats.org/officeDocument/2006/relationships/footer" Target="footer6.xm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eader" Target="header5.xml"/><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image" Target="media/image6.emf"/><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footer" Target="footer7.xml"/><Relationship Id="rId48"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trade.ec.europa.eu/doclib/docs/2021/december/tradoc_159950.pdf" TargetMode="External"/><Relationship Id="rId7" Type="http://schemas.openxmlformats.org/officeDocument/2006/relationships/hyperlink" Target="https://ec.europa.eu/transparency/documents-register/detail?ref=COM(2019)562&amp;lang=en" TargetMode="External"/><Relationship Id="rId2" Type="http://schemas.openxmlformats.org/officeDocument/2006/relationships/hyperlink" Target="https://ec.europa.eu/commission/presscorner/detail/en/STATEMENT_21_4951" TargetMode="External"/><Relationship Id="rId1" Type="http://schemas.openxmlformats.org/officeDocument/2006/relationships/hyperlink" Target="https://eur-lex.europa.eu/eli/reg/2021/821/oj" TargetMode="External"/><Relationship Id="rId6" Type="http://schemas.openxmlformats.org/officeDocument/2006/relationships/hyperlink" Target="https://trade.ec.europa.eu/doclib/docs/2022/february/tradoc_160037.pdf" TargetMode="External"/><Relationship Id="rId5" Type="http://schemas.openxmlformats.org/officeDocument/2006/relationships/hyperlink" Target="https://trade.ec.europa.eu/doclib/docs/2021/november/tradoc_159903.pdf" TargetMode="External"/><Relationship Id="rId4" Type="http://schemas.openxmlformats.org/officeDocument/2006/relationships/hyperlink" Target="https://futurium.ec.europa.eu/en/EU-US-TTC/wg7/documents/summary-public-feedback-consultation-working-group-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96664C9-06C6-4436-82E3-DC6B6A6F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3910</Words>
  <Characters>22250</Characters>
  <Application>Microsoft Office Word</Application>
  <DocSecurity>0</DocSecurity>
  <Lines>505</Lines>
  <Paragraphs>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2022-08-29T08:46:00Z</dcterms:created>
  <dcterms:modified xsi:type="dcterms:W3CDTF">2022-08-31T06:46:00Z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8.0.1, Build 20220429</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