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B3" w:rsidRPr="00462593" w:rsidRDefault="00CD170D" w:rsidP="00CD170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F24F1D-6D27-4D93-BC32-098F950DA7BA" style="width:455.25pt;height:383.25pt">
            <v:imagedata r:id="rId8" o:title=""/>
          </v:shape>
        </w:pict>
      </w:r>
    </w:p>
    <w:p w:rsidR="00A670B3" w:rsidRPr="00462593" w:rsidRDefault="00A670B3">
      <w:pPr>
        <w:rPr>
          <w:noProof/>
        </w:rPr>
        <w:sectPr w:rsidR="00A670B3" w:rsidRPr="00462593" w:rsidSect="00CD170D">
          <w:footerReference w:type="default" r:id="rId9"/>
          <w:pgSz w:w="11907" w:h="16839"/>
          <w:pgMar w:top="1134" w:right="1417" w:bottom="1134" w:left="1417" w:header="709" w:footer="709" w:gutter="0"/>
          <w:pgNumType w:start="0"/>
          <w:cols w:space="720"/>
          <w:docGrid w:linePitch="360"/>
        </w:sectPr>
      </w:pPr>
    </w:p>
    <w:p w:rsidR="005F0E00" w:rsidRPr="00462593" w:rsidRDefault="005F0E00" w:rsidP="005F0E00">
      <w:pPr>
        <w:pStyle w:val="Exposdesmotifstitre"/>
        <w:rPr>
          <w:noProof/>
        </w:rPr>
      </w:pPr>
      <w:bookmarkStart w:id="0" w:name="_GoBack"/>
      <w:bookmarkEnd w:id="0"/>
      <w:r w:rsidRPr="00462593">
        <w:rPr>
          <w:noProof/>
        </w:rPr>
        <w:lastRenderedPageBreak/>
        <w:t>INDOKOLÁS</w:t>
      </w:r>
    </w:p>
    <w:p w:rsidR="005F0E00" w:rsidRPr="00462593" w:rsidRDefault="005F0E00" w:rsidP="005F0E00">
      <w:pPr>
        <w:pStyle w:val="ManualHeading1"/>
        <w:rPr>
          <w:noProof/>
        </w:rPr>
      </w:pPr>
      <w:r w:rsidRPr="00462593">
        <w:rPr>
          <w:noProof/>
        </w:rPr>
        <w:t>1.</w:t>
      </w:r>
      <w:r w:rsidRPr="00462593">
        <w:rPr>
          <w:noProof/>
        </w:rPr>
        <w:tab/>
        <w:t>A javaslat tárgya</w:t>
      </w:r>
    </w:p>
    <w:p w:rsidR="005F0E00" w:rsidRPr="00462593" w:rsidRDefault="005F0E00" w:rsidP="005F0E00">
      <w:pPr>
        <w:widowControl w:val="0"/>
        <w:shd w:val="clear" w:color="auto" w:fill="FFFFFF"/>
        <w:autoSpaceDE w:val="0"/>
        <w:autoSpaceDN w:val="0"/>
        <w:adjustRightInd w:val="0"/>
        <w:spacing w:before="230" w:after="0" w:line="269" w:lineRule="exact"/>
        <w:ind w:right="86"/>
        <w:rPr>
          <w:noProof/>
        </w:rPr>
      </w:pPr>
      <w:r w:rsidRPr="00462593">
        <w:rPr>
          <w:noProof/>
        </w:rPr>
        <w:t>E javaslat tárgya az Európai Unió által a Veszélyes Áruk Nemzetközi Közúti Szállításáról szóló Megállapodás (ADR) mellékleteiben és a Veszélyes Áruk Nemzetközi Belvízi Szállításáról szóló Európai Megállapodáshoz (ADN) csatolt Szabályzatban 2023. január 1-jétől alkalmazandó módosítások tekintetében képviselendő álláspont meghatározásáról szóló határozat, összefüggésben azzal, hogy a veszélyes áruk szállításával foglalkozó munkacsoportban (WP.15), illetve az ADN Adminisztratív Bizottságában képviselt szerződő felek számára a 2023-as kiadás tekintetében javasolt módosítások elleni kifogástételre rendelkezésre álló moratórium a végéhez közeledik.</w:t>
      </w:r>
    </w:p>
    <w:p w:rsidR="005F0E00" w:rsidRPr="00462593" w:rsidRDefault="005F0E00" w:rsidP="005F0E00">
      <w:pPr>
        <w:pStyle w:val="ManualHeading1"/>
        <w:rPr>
          <w:noProof/>
        </w:rPr>
      </w:pPr>
      <w:r w:rsidRPr="00462593">
        <w:rPr>
          <w:noProof/>
        </w:rPr>
        <w:t>2.</w:t>
      </w:r>
      <w:r w:rsidRPr="00462593">
        <w:rPr>
          <w:noProof/>
        </w:rPr>
        <w:tab/>
        <w:t>A javaslat háttere</w:t>
      </w:r>
    </w:p>
    <w:p w:rsidR="005F0E00" w:rsidRPr="00462593" w:rsidRDefault="005F0E00" w:rsidP="005F0E00">
      <w:pPr>
        <w:pBdr>
          <w:top w:val="nil"/>
          <w:left w:val="nil"/>
          <w:bottom w:val="nil"/>
          <w:right w:val="nil"/>
          <w:between w:val="nil"/>
          <w:bar w:val="nil"/>
        </w:pBdr>
        <w:spacing w:before="0" w:after="240"/>
        <w:rPr>
          <w:noProof/>
        </w:rPr>
      </w:pPr>
      <w:r w:rsidRPr="00462593">
        <w:rPr>
          <w:noProof/>
        </w:rPr>
        <w:t xml:space="preserve">A fent említett mellékletek és Szabályzat – közismert nevükön az ADR mellékletei és az ADN-hez csatolt Szabályzat – a veszélyes áruk nemzetközi közúti és nemzetközi belvízi szállítását szabályozzák az ENSZ Európai Gazdasági Bizottságának (ENSZ EGB) azon tagjai között, melyek egyben az ADR és az ADN szerződő felei is. </w:t>
      </w:r>
    </w:p>
    <w:p w:rsidR="005F0E00" w:rsidRPr="00462593" w:rsidRDefault="005F0E00" w:rsidP="005F0E00">
      <w:pPr>
        <w:pBdr>
          <w:top w:val="nil"/>
          <w:left w:val="nil"/>
          <w:bottom w:val="nil"/>
          <w:right w:val="nil"/>
          <w:between w:val="nil"/>
          <w:bar w:val="nil"/>
        </w:pBdr>
        <w:spacing w:before="0" w:after="240"/>
        <w:rPr>
          <w:noProof/>
        </w:rPr>
      </w:pPr>
      <w:r w:rsidRPr="00462593">
        <w:rPr>
          <w:noProof/>
        </w:rPr>
        <w:t>A veszélyes áruk mind Unión belüli, mind az Unió és a szomszédos országok közötti közúti és belvízi szállításának fejlesztése az európai közös közlekedéspolitika kulcseleme, amely az ADR és az ADN értelmében veszélyesnek minősülő áruk előállításával vagy felhasználásával foglalkozó valamennyi iparág megfelelő működését biztosítja. Az említett megállapodásoknak a műszaki és tudományos fejlődéshez történő hozzáigazítása ezért elengedhetetlen a szállítási ágazat és a kapcsolódó iparágak fejlődéséhez. A módosítások arra irányulnak, hogy az ADR-t és az ADN-t hozzáigazítsák az ENSZ-mintaszabályzatokhoz, ami új fogalommeghatározások, osztályozási kritériumok, UN-számok és csomagolási/címkézési követelmények bevezetésével, az alkalmazandó szabványok és műszaki rendelkezések naprakésszé tételével, valamint szerkesztési helyesbítésekkel jár.</w:t>
      </w:r>
    </w:p>
    <w:p w:rsidR="005F0E00" w:rsidRPr="00462593" w:rsidRDefault="005F0E00" w:rsidP="005F0E00">
      <w:pPr>
        <w:pStyle w:val="Text1"/>
        <w:ind w:left="0"/>
        <w:rPr>
          <w:noProof/>
        </w:rPr>
      </w:pPr>
      <w:r w:rsidRPr="00462593">
        <w:rPr>
          <w:noProof/>
        </w:rPr>
        <w:t xml:space="preserve">Veszélyes áruk szállítására vonatkozó nemzetközi előírásokat több különböző nemzetközi szervezet is meghatározott, például az ENSZ-EGB, a Nemzetközi Vasúti Fuvarozásügyi Államközi Szervezet (OTIF), valamint az Egyesült Nemzetek egyéb szakosított szervei. Mivel e szabályoknak egymással összeegyeztethetőknek kell lenniük, az érintett szervezetek tevékenységének koordinálására és harmonizálására összetett nemzetközi rendszer jött létre. Az előírásokat kétéves időszakonként módosítják. </w:t>
      </w:r>
    </w:p>
    <w:p w:rsidR="005F0E00" w:rsidRPr="00462593" w:rsidRDefault="005F0E00" w:rsidP="005F0E00">
      <w:pPr>
        <w:pStyle w:val="Text1"/>
        <w:ind w:left="0"/>
        <w:rPr>
          <w:noProof/>
        </w:rPr>
      </w:pPr>
    </w:p>
    <w:p w:rsidR="005F0E00" w:rsidRPr="00462593" w:rsidRDefault="005F0E00" w:rsidP="005F0E00">
      <w:pPr>
        <w:pStyle w:val="ManualHeading2"/>
        <w:rPr>
          <w:noProof/>
        </w:rPr>
      </w:pPr>
      <w:r w:rsidRPr="00462593">
        <w:rPr>
          <w:noProof/>
        </w:rPr>
        <w:t>2.1.</w:t>
      </w:r>
      <w:r w:rsidRPr="00462593">
        <w:rPr>
          <w:noProof/>
        </w:rPr>
        <w:tab/>
        <w:t>A Veszélyes Áruk Nemzetközi Közúti Szállításáról szóló Megállapodás (ADR)</w:t>
      </w:r>
    </w:p>
    <w:p w:rsidR="005F0E00" w:rsidRPr="00462593" w:rsidRDefault="005F0E00" w:rsidP="005F0E00">
      <w:pPr>
        <w:rPr>
          <w:rFonts w:eastAsia="Arial Unicode MS"/>
          <w:noProof/>
        </w:rPr>
      </w:pPr>
      <w:r w:rsidRPr="00462593">
        <w:rPr>
          <w:noProof/>
        </w:rPr>
        <w:t xml:space="preserve">A Veszélyes Áruk Nemzetközi Közúti Szállításáról szóló Megállapodás (ADR) szabályozza a veszélyes áruk nemzetközi közúti fuvarozását az ENSZ-EGB tagállamai és az ADR-hez csatlakozott más országok (az ADR szerződő felei) között. Az ADR 1968. január 29-én lépett hatályba. </w:t>
      </w:r>
    </w:p>
    <w:p w:rsidR="005F0E00" w:rsidRPr="00462593" w:rsidRDefault="005F0E00" w:rsidP="005F0E00">
      <w:pPr>
        <w:rPr>
          <w:rFonts w:eastAsia="Arial Unicode MS"/>
          <w:noProof/>
        </w:rPr>
      </w:pPr>
      <w:r w:rsidRPr="00462593">
        <w:rPr>
          <w:noProof/>
        </w:rPr>
        <w:t>Az Európai Unió nem részes fele az ADR-nek, bár valamennyi tagállama szerződő fele.</w:t>
      </w:r>
    </w:p>
    <w:p w:rsidR="005F0E00" w:rsidRPr="00462593" w:rsidRDefault="005F0E00" w:rsidP="005F0E00">
      <w:pPr>
        <w:pStyle w:val="ManualHeading2"/>
        <w:rPr>
          <w:noProof/>
        </w:rPr>
      </w:pPr>
      <w:r w:rsidRPr="00462593">
        <w:rPr>
          <w:noProof/>
        </w:rPr>
        <w:t>2.2.</w:t>
      </w:r>
      <w:r w:rsidRPr="00462593">
        <w:rPr>
          <w:noProof/>
        </w:rPr>
        <w:tab/>
        <w:t>A Veszélyes Áruk Nemzetközi Belvízi Szállításáról szóló Európai Megállapodás (ADN)</w:t>
      </w:r>
    </w:p>
    <w:p w:rsidR="005F0E00" w:rsidRPr="00462593" w:rsidRDefault="005F0E00" w:rsidP="005F0E00">
      <w:pPr>
        <w:pStyle w:val="Text1"/>
        <w:ind w:left="0"/>
        <w:rPr>
          <w:noProof/>
        </w:rPr>
      </w:pPr>
      <w:r w:rsidRPr="00462593">
        <w:rPr>
          <w:noProof/>
        </w:rPr>
        <w:t xml:space="preserve">A Veszélyes Áruk Nemzetközi Belvízi Szállításáról szóló Európai Megállapodás (ADN) szabályozza a veszélyes áruk nemzetközi belvízi fuvarozását az ENSZ-EGB ADN-hez csatlakozott tagállamai (az ADN szerződő felei) között. Az ADN 2008. február 28-án lépett hatályba. </w:t>
      </w:r>
    </w:p>
    <w:p w:rsidR="005F0E00" w:rsidRPr="00462593" w:rsidRDefault="005F0E00" w:rsidP="005F0E00">
      <w:pPr>
        <w:pStyle w:val="Text1"/>
        <w:ind w:left="0"/>
        <w:rPr>
          <w:noProof/>
        </w:rPr>
      </w:pPr>
      <w:r w:rsidRPr="00462593">
        <w:rPr>
          <w:noProof/>
        </w:rPr>
        <w:t xml:space="preserve">Az Európai Unió nem részes fele az ADN-nek, bár 13 tagállama szerződő fele. </w:t>
      </w:r>
    </w:p>
    <w:p w:rsidR="005F0E00" w:rsidRPr="00462593" w:rsidRDefault="005F0E00" w:rsidP="005F0E00">
      <w:pPr>
        <w:pStyle w:val="Text1"/>
        <w:ind w:left="0"/>
        <w:rPr>
          <w:noProof/>
        </w:rPr>
      </w:pPr>
    </w:p>
    <w:p w:rsidR="005F0E00" w:rsidRPr="00462593" w:rsidRDefault="005F0E00" w:rsidP="005F0E00">
      <w:pPr>
        <w:pStyle w:val="ManualHeading2"/>
        <w:rPr>
          <w:noProof/>
        </w:rPr>
      </w:pPr>
      <w:r w:rsidRPr="00462593">
        <w:rPr>
          <w:noProof/>
        </w:rPr>
        <w:t>2.3.</w:t>
      </w:r>
      <w:r w:rsidRPr="00462593">
        <w:rPr>
          <w:noProof/>
        </w:rPr>
        <w:tab/>
        <w:t xml:space="preserve">A veszélyes áruk szállításával foglalkozó munkacsoport (WP.15) és az ADN Adminisztratív Bizottsága </w:t>
      </w:r>
    </w:p>
    <w:p w:rsidR="005F0E00" w:rsidRPr="00462593" w:rsidRDefault="005F0E00" w:rsidP="005F0E00">
      <w:pPr>
        <w:rPr>
          <w:noProof/>
        </w:rPr>
      </w:pPr>
      <w:r w:rsidRPr="00462593">
        <w:rPr>
          <w:noProof/>
        </w:rPr>
        <w:t xml:space="preserve">A veszélyes áruk szállításával foglalkozó munkacsoport (WP.15), az ADN Adminisztratív Bizottsága és az ADN biztonsági kérdésekkel foglalkozó bizottsága (WP.15/AC.2) az ENSZ-EGB által az ADR és az ADN módosításairól való döntéshozatal érdekében létrehozott testületek. E testületek az ENSZ-EGB ADR-hez, illetve ADN-hez csatlakozott tagállamainak a képviselőiből állnak össze. Az ADR és az ADN egyes szerződő felei egy-egy szavazattal rendelkeznek.  </w:t>
      </w:r>
    </w:p>
    <w:p w:rsidR="005F0E00" w:rsidRPr="00462593" w:rsidRDefault="005F0E00" w:rsidP="005F0E00">
      <w:pPr>
        <w:rPr>
          <w:noProof/>
        </w:rPr>
      </w:pPr>
      <w:r w:rsidRPr="00462593">
        <w:rPr>
          <w:noProof/>
        </w:rPr>
        <w:t xml:space="preserve">A WP.15 alapszabályának és eljárási szabályzatának a szavazásról szóló VII. fejezete értelmében a WP.15-ben csak a teljes jogú résztvevők rendelkeznek egy-egy szavazattal, és a testület határozatait elsősorban konszenzus útján kell meghozni. A WP.15-ben a szavazás kézfelemeléssel történik.  </w:t>
      </w:r>
    </w:p>
    <w:p w:rsidR="005F0E00" w:rsidRPr="00462593" w:rsidRDefault="005F0E00" w:rsidP="005F0E00">
      <w:pPr>
        <w:rPr>
          <w:noProof/>
        </w:rPr>
      </w:pPr>
      <w:r w:rsidRPr="00462593">
        <w:rPr>
          <w:noProof/>
        </w:rPr>
        <w:t xml:space="preserve">Az ADN 17. cikkének 7. bekezdése meghatározza, hogy az ADN Adminisztratív Bizottságának ülésén képviselt minden szerződő fél egy szavazattal rendelkezik. </w:t>
      </w:r>
    </w:p>
    <w:p w:rsidR="005F0E00" w:rsidRPr="00462593" w:rsidRDefault="005F0E00" w:rsidP="005F0E00">
      <w:pPr>
        <w:pBdr>
          <w:top w:val="nil"/>
          <w:left w:val="nil"/>
          <w:bottom w:val="nil"/>
          <w:right w:val="nil"/>
          <w:between w:val="nil"/>
          <w:bar w:val="nil"/>
        </w:pBdr>
        <w:spacing w:before="0" w:after="240"/>
        <w:rPr>
          <w:noProof/>
        </w:rPr>
      </w:pPr>
      <w:r w:rsidRPr="00462593">
        <w:rPr>
          <w:noProof/>
        </w:rPr>
        <w:t xml:space="preserve">A 2020–2022-es kétéves időszakban elfogadott módosítások számos ponton igazítják hozzá a megállapodást a műszaki és tudományos fejlődéshez. </w:t>
      </w:r>
    </w:p>
    <w:p w:rsidR="005F0E00" w:rsidRPr="00462593" w:rsidRDefault="005F0E00" w:rsidP="005F0E00">
      <w:pPr>
        <w:pBdr>
          <w:top w:val="nil"/>
          <w:left w:val="nil"/>
          <w:bottom w:val="nil"/>
          <w:right w:val="nil"/>
          <w:between w:val="nil"/>
          <w:bar w:val="nil"/>
        </w:pBdr>
        <w:spacing w:before="0" w:after="240"/>
        <w:rPr>
          <w:noProof/>
        </w:rPr>
      </w:pPr>
      <w:r w:rsidRPr="00462593">
        <w:rPr>
          <w:noProof/>
        </w:rPr>
        <w:t xml:space="preserve">Ami az ADR-t illeti, a WP.15 az alábbi 2.4. szakaszban említett minden egyes ülésen határozatot hozott a javasolt módosításokról. Az ADN kapcsán az Adminisztratív Bizottság 2022. január 28-i genfi 27. ülése alkalmával határozott a módosításokról. </w:t>
      </w:r>
    </w:p>
    <w:p w:rsidR="005F0E00" w:rsidRPr="00462593" w:rsidRDefault="005F0E00" w:rsidP="005F0E00">
      <w:pPr>
        <w:pBdr>
          <w:top w:val="nil"/>
          <w:left w:val="nil"/>
          <w:bottom w:val="nil"/>
          <w:right w:val="nil"/>
          <w:between w:val="nil"/>
          <w:bar w:val="nil"/>
        </w:pBdr>
        <w:spacing w:before="0" w:after="240"/>
        <w:rPr>
          <w:noProof/>
        </w:rPr>
      </w:pPr>
      <w:r w:rsidRPr="00462593">
        <w:rPr>
          <w:noProof/>
        </w:rPr>
        <w:t xml:space="preserve">Az ADR 14. cikkének megfelelően az ADR mellékleteire irányuló bármely javasolt módosítást elfogadottnak kell tekinteni, ha a WP.15 így határoz, hacsak a szerződő felek legalább egyharmada, vagy – ha a harmadrész ötnél több főből áll – közülük legalább öt attól a naptól számított három hónapon belül, amelyen az Egyesült Nemzetek Szervezetének főtitkára a módosítást továbbította, nem közölte írásban a főtitkárral, hogy a módosító javaslatot ellenzi. </w:t>
      </w:r>
    </w:p>
    <w:p w:rsidR="005F0E00" w:rsidRPr="00462593" w:rsidRDefault="005F0E00" w:rsidP="005F0E00">
      <w:pPr>
        <w:pBdr>
          <w:top w:val="nil"/>
          <w:left w:val="nil"/>
          <w:bottom w:val="nil"/>
          <w:right w:val="nil"/>
          <w:between w:val="nil"/>
          <w:bar w:val="nil"/>
        </w:pBdr>
        <w:spacing w:before="0" w:after="240"/>
        <w:rPr>
          <w:noProof/>
        </w:rPr>
      </w:pPr>
      <w:r w:rsidRPr="00462593">
        <w:rPr>
          <w:noProof/>
        </w:rPr>
        <w:t>Az ADN 20. cikkének megfelelően a módosításokat elfogadottnak kell tekinteni, ha az ADN Adminisztratív Bizottsága így határoz, hacsak a szerződő felek legalább egyharmada, vagy – ha a harmadrész ötnél több főből áll – közülük legalább öt attól a naptól számított három hónapon belül, amelyen az Egyesült Nemzetek Szervezetének főtitkára a módosítást továbbította, nem közölte írásban a főtitkárral, hogy a módosító javaslatot ellenzi.</w:t>
      </w:r>
    </w:p>
    <w:p w:rsidR="005F0E00" w:rsidRPr="00462593" w:rsidRDefault="005F0E00" w:rsidP="005F0E00">
      <w:pPr>
        <w:pBdr>
          <w:top w:val="nil"/>
          <w:left w:val="nil"/>
          <w:bottom w:val="nil"/>
          <w:right w:val="nil"/>
          <w:between w:val="nil"/>
          <w:bar w:val="nil"/>
        </w:pBdr>
        <w:spacing w:before="0" w:after="240"/>
        <w:rPr>
          <w:noProof/>
        </w:rPr>
      </w:pPr>
      <w:r w:rsidRPr="00462593">
        <w:rPr>
          <w:noProof/>
        </w:rPr>
        <w:t>A WP.15 által elfogadott, az e javaslat mellékletében szereplő dokumentumokban bemutatott módosításokat elküldték az ENSZ főtitkárának, hogy 2022. július 6-án továbbíthatók legyenek az ADR szerződő felei számára jóváhagyásuk érdekében az ADR 14. cikkében előírt eljárásnak megfelelően. A dokumentumok online is elérhetők</w:t>
      </w:r>
      <w:r w:rsidRPr="00462593">
        <w:rPr>
          <w:rStyle w:val="FootnoteReference"/>
          <w:noProof/>
        </w:rPr>
        <w:footnoteReference w:id="1"/>
      </w:r>
      <w:r w:rsidRPr="00462593">
        <w:rPr>
          <w:noProof/>
        </w:rPr>
        <w:t>.</w:t>
      </w:r>
    </w:p>
    <w:p w:rsidR="005F0E00" w:rsidRPr="00462593" w:rsidRDefault="005F0E00" w:rsidP="005F0E00">
      <w:pPr>
        <w:pBdr>
          <w:top w:val="nil"/>
          <w:left w:val="nil"/>
          <w:bottom w:val="nil"/>
          <w:right w:val="nil"/>
          <w:between w:val="nil"/>
          <w:bar w:val="nil"/>
        </w:pBdr>
        <w:spacing w:before="0" w:after="240"/>
        <w:rPr>
          <w:noProof/>
        </w:rPr>
      </w:pPr>
      <w:r w:rsidRPr="00462593">
        <w:rPr>
          <w:noProof/>
        </w:rPr>
        <w:t>Az ADN Adminisztratív Bizottsága által elfogadott, az e javaslat mellékletében szereplő dokumentumokban bemutatott módosításokról az ENSZ főtitkára 2022. július 1-jén értesítette az ADN szerződő feleit jóváhagyásuk érdekében az ADN 20. cikkében előírt eljárásnak megfelelően. A dokumentumok online is elérhetők</w:t>
      </w:r>
      <w:r w:rsidRPr="00462593">
        <w:rPr>
          <w:rStyle w:val="FootnoteReference"/>
          <w:noProof/>
        </w:rPr>
        <w:footnoteReference w:id="2"/>
      </w:r>
      <w:r w:rsidRPr="00462593">
        <w:rPr>
          <w:noProof/>
        </w:rPr>
        <w:t>.</w:t>
      </w:r>
    </w:p>
    <w:p w:rsidR="005F0E00" w:rsidRPr="00462593" w:rsidRDefault="005F0E00" w:rsidP="005F0E00">
      <w:pPr>
        <w:pBdr>
          <w:top w:val="nil"/>
          <w:left w:val="nil"/>
          <w:bottom w:val="nil"/>
          <w:right w:val="nil"/>
          <w:between w:val="nil"/>
          <w:bar w:val="nil"/>
        </w:pBdr>
        <w:spacing w:before="0" w:after="240"/>
        <w:rPr>
          <w:noProof/>
        </w:rPr>
      </w:pPr>
      <w:r w:rsidRPr="00462593">
        <w:rPr>
          <w:noProof/>
        </w:rPr>
        <w:t xml:space="preserve">Az ENSZ főtitkára, mint letéteményes, az ADN esetében 2022. szeptember 30-ig, az ADR esetében 2022. október 5-ig értesíthető a fent említett üléseken elfogadott módosítások elleni kifogásokról. </w:t>
      </w:r>
    </w:p>
    <w:p w:rsidR="005F0E00" w:rsidRPr="00462593" w:rsidRDefault="005F0E00" w:rsidP="005F0E00">
      <w:pPr>
        <w:pStyle w:val="ManualHeading2"/>
        <w:rPr>
          <w:noProof/>
        </w:rPr>
      </w:pPr>
      <w:r w:rsidRPr="00462593">
        <w:rPr>
          <w:noProof/>
        </w:rPr>
        <w:t>2.4.</w:t>
      </w:r>
      <w:r w:rsidRPr="00462593">
        <w:rPr>
          <w:noProof/>
        </w:rPr>
        <w:tab/>
        <w:t>A WP.15 és az ADN Adminisztratív Bizottságának tervezett jogi aktusai</w:t>
      </w:r>
    </w:p>
    <w:p w:rsidR="005F0E00" w:rsidRPr="00462593" w:rsidRDefault="005F0E00" w:rsidP="005F0E00">
      <w:pPr>
        <w:rPr>
          <w:rFonts w:eastAsia="Arial Unicode MS"/>
          <w:noProof/>
        </w:rPr>
      </w:pPr>
      <w:r w:rsidRPr="00462593">
        <w:rPr>
          <w:noProof/>
        </w:rPr>
        <w:t>A tervezett jogi aktusok célja, hogy biztosítsák a veszélyes áruk biztonságos közúti és belvízi szállítását bizonyos rendelkezések naprakésszé tételével. Ezek közé tartozik többek között a szállításra engedélyezett veszélyes áruk jegyzéke, a csomagolási utasítások, az alkalmazandó szabványok jegyzéke, valamint az egyes szállítóeszközökre vonatkozó egyéb műszaki követelmények.</w:t>
      </w:r>
    </w:p>
    <w:p w:rsidR="005F0E00" w:rsidRPr="00462593" w:rsidRDefault="005F0E00" w:rsidP="005F0E00">
      <w:pPr>
        <w:rPr>
          <w:noProof/>
        </w:rPr>
      </w:pPr>
      <w:r w:rsidRPr="00462593">
        <w:rPr>
          <w:noProof/>
        </w:rPr>
        <w:t xml:space="preserve">Veszélyes áruk szállítására vonatkozó nemzetközi előírásokat több különböző nemzetközi szervezet is meghatároz. Ezek közé tartozik az ENSZ Európai Gazdasági Bizottsága (ENSZ EGB), valamint az ENSZ egyéb szakosított szervei, például a Gazdasági és Szociális Tanács (ECOSOC) Veszélyesáru-szállítási Szakértői Albizottsága. Mivel a szabályoknak összeegyeztethetőknek kell lenniük egymással, az érintett szervezetek összetett nemzetközi rendszert hoztak létre a tevékenységek koordinálására és harmonizálására. Az előírásokat kétéves időszakonként módosítják. </w:t>
      </w:r>
    </w:p>
    <w:p w:rsidR="005F0E00" w:rsidRPr="00462593" w:rsidRDefault="005F0E00" w:rsidP="005F0E00">
      <w:pPr>
        <w:rPr>
          <w:noProof/>
        </w:rPr>
      </w:pPr>
      <w:r w:rsidRPr="00462593">
        <w:rPr>
          <w:noProof/>
        </w:rPr>
        <w:t xml:space="preserve">Az említett módosítások előkészítése kapcsán a köz- és a magánszféra szakembereit nagy számban kérték fel konzultációra. A módosítások előkészítése során a következő szakmai egyeztetésekre került sor: </w:t>
      </w:r>
    </w:p>
    <w:p w:rsidR="005F0E00" w:rsidRPr="00462593" w:rsidRDefault="005F0E00" w:rsidP="00E17FC5">
      <w:pPr>
        <w:pStyle w:val="Tiret0"/>
        <w:numPr>
          <w:ilvl w:val="0"/>
          <w:numId w:val="9"/>
        </w:numPr>
        <w:rPr>
          <w:noProof/>
        </w:rPr>
      </w:pPr>
      <w:r w:rsidRPr="00462593">
        <w:rPr>
          <w:noProof/>
        </w:rPr>
        <w:t xml:space="preserve">az ENSZ Gazdasági és Szociális Tanácsa Veszélyesáru-szállítási Szakértői Albizottságának: </w:t>
      </w:r>
    </w:p>
    <w:p w:rsidR="005F0E00" w:rsidRPr="00462593" w:rsidRDefault="00CE5E27" w:rsidP="00CE5E27">
      <w:pPr>
        <w:pStyle w:val="ManualNumPar1"/>
        <w:rPr>
          <w:noProof/>
        </w:rPr>
      </w:pPr>
      <w:r w:rsidRPr="00CE5E27">
        <w:t>1.</w:t>
      </w:r>
      <w:r w:rsidRPr="00CE5E27">
        <w:tab/>
      </w:r>
      <w:r w:rsidR="005F0E00" w:rsidRPr="00462593">
        <w:rPr>
          <w:noProof/>
        </w:rPr>
        <w:t>57</w:t>
      </w:r>
      <w:r w:rsidR="005F0E00" w:rsidRPr="00462593">
        <w:rPr>
          <w:noProof/>
          <w:vertAlign w:val="superscript"/>
        </w:rPr>
        <w:t>.</w:t>
      </w:r>
      <w:r w:rsidR="005F0E00" w:rsidRPr="00462593">
        <w:rPr>
          <w:noProof/>
        </w:rPr>
        <w:t xml:space="preserve"> ülésszaka 2020. november 27. és december 8. között Genfben; </w:t>
      </w:r>
    </w:p>
    <w:p w:rsidR="005F0E00" w:rsidRPr="00462593" w:rsidRDefault="00CE5E27" w:rsidP="00CE5E27">
      <w:pPr>
        <w:pStyle w:val="ManualNumPar1"/>
        <w:rPr>
          <w:noProof/>
        </w:rPr>
      </w:pPr>
      <w:r w:rsidRPr="00CE5E27">
        <w:t>2.</w:t>
      </w:r>
      <w:r w:rsidRPr="00CE5E27">
        <w:tab/>
      </w:r>
      <w:r w:rsidR="005F0E00" w:rsidRPr="00462593">
        <w:rPr>
          <w:noProof/>
        </w:rPr>
        <w:t>58. ülésszaka 2021. június 28. és július 2. között Genfben;</w:t>
      </w:r>
    </w:p>
    <w:p w:rsidR="005F0E00" w:rsidRPr="00462593" w:rsidRDefault="00CE5E27" w:rsidP="00CE5E27">
      <w:pPr>
        <w:pStyle w:val="ManualNumPar1"/>
        <w:rPr>
          <w:noProof/>
        </w:rPr>
      </w:pPr>
      <w:r w:rsidRPr="00CE5E27">
        <w:t>3.</w:t>
      </w:r>
      <w:r w:rsidRPr="00CE5E27">
        <w:tab/>
      </w:r>
      <w:r w:rsidR="005F0E00" w:rsidRPr="00462593">
        <w:rPr>
          <w:noProof/>
        </w:rPr>
        <w:t>59. ülésszaka 2021. november 29. és december 8. között Genfben;</w:t>
      </w:r>
    </w:p>
    <w:p w:rsidR="005F0E00" w:rsidRPr="00462593" w:rsidRDefault="005F0E00" w:rsidP="005F0E00">
      <w:pPr>
        <w:pStyle w:val="Tiret0"/>
        <w:rPr>
          <w:noProof/>
        </w:rPr>
      </w:pPr>
      <w:r w:rsidRPr="00462593">
        <w:rPr>
          <w:noProof/>
        </w:rPr>
        <w:t xml:space="preserve">A Veszélyes Áruk Nemzetközi Vasúti Fuvarozásáról szóló Szabályzat (RID) szakértői bizottsága és a veszélyes áruk szállításával foglalkozó munkacsoport ENSZ EGB-OTIF együttes ülésének: </w:t>
      </w:r>
    </w:p>
    <w:p w:rsidR="005F0E00" w:rsidRPr="00462593" w:rsidRDefault="00CE5E27" w:rsidP="00CE5E27">
      <w:pPr>
        <w:pStyle w:val="ManualNumPar1"/>
        <w:rPr>
          <w:noProof/>
        </w:rPr>
      </w:pPr>
      <w:r w:rsidRPr="00CE5E27">
        <w:t>4.</w:t>
      </w:r>
      <w:r w:rsidRPr="00CE5E27">
        <w:tab/>
      </w:r>
      <w:r w:rsidR="005F0E00" w:rsidRPr="00462593">
        <w:rPr>
          <w:noProof/>
        </w:rPr>
        <w:t>2020. őszi ülésszaka 2020. szeptember 10. és 18. között Genfben;</w:t>
      </w:r>
    </w:p>
    <w:p w:rsidR="005F0E00" w:rsidRPr="00462593" w:rsidRDefault="00CE5E27" w:rsidP="00CE5E27">
      <w:pPr>
        <w:pStyle w:val="ManualNumPar1"/>
        <w:rPr>
          <w:noProof/>
        </w:rPr>
      </w:pPr>
      <w:r w:rsidRPr="00CE5E27">
        <w:t>5.</w:t>
      </w:r>
      <w:r w:rsidRPr="00CE5E27">
        <w:tab/>
      </w:r>
      <w:r w:rsidR="005F0E00" w:rsidRPr="00462593">
        <w:rPr>
          <w:noProof/>
        </w:rPr>
        <w:t xml:space="preserve">2021. tavaszi ülésszaka 2021. március 15. és 19. között Bernben; </w:t>
      </w:r>
    </w:p>
    <w:p w:rsidR="005F0E00" w:rsidRPr="00462593" w:rsidRDefault="00CE5E27" w:rsidP="00CE5E27">
      <w:pPr>
        <w:pStyle w:val="ManualNumPar1"/>
        <w:rPr>
          <w:noProof/>
        </w:rPr>
      </w:pPr>
      <w:r w:rsidRPr="00CE5E27">
        <w:t>6.</w:t>
      </w:r>
      <w:r w:rsidRPr="00CE5E27">
        <w:tab/>
      </w:r>
      <w:r w:rsidR="005F0E00" w:rsidRPr="00462593">
        <w:rPr>
          <w:noProof/>
        </w:rPr>
        <w:t xml:space="preserve">2021. őszi ülésszaka 2021. szeptember 21. és október 1. között Genfben; </w:t>
      </w:r>
    </w:p>
    <w:p w:rsidR="005F0E00" w:rsidRPr="00462593" w:rsidRDefault="00CE5E27" w:rsidP="00CE5E27">
      <w:pPr>
        <w:pStyle w:val="ManualNumPar1"/>
        <w:rPr>
          <w:noProof/>
        </w:rPr>
      </w:pPr>
      <w:r w:rsidRPr="00CE5E27">
        <w:t>7.</w:t>
      </w:r>
      <w:r w:rsidRPr="00CE5E27">
        <w:tab/>
      </w:r>
      <w:r w:rsidR="005F0E00" w:rsidRPr="00462593">
        <w:rPr>
          <w:noProof/>
        </w:rPr>
        <w:t>2022. tavaszi ülésszaka 2022. március 14. és 18. között Bernben;</w:t>
      </w:r>
    </w:p>
    <w:p w:rsidR="005F0E00" w:rsidRPr="00462593" w:rsidRDefault="005F0E00" w:rsidP="005F0E00">
      <w:pPr>
        <w:pStyle w:val="Tiret0"/>
        <w:rPr>
          <w:noProof/>
        </w:rPr>
      </w:pPr>
      <w:r w:rsidRPr="00462593">
        <w:rPr>
          <w:noProof/>
        </w:rPr>
        <w:t xml:space="preserve">Az ENSZ EGB-WP.15 (ADR): </w:t>
      </w:r>
    </w:p>
    <w:p w:rsidR="005F0E00" w:rsidRPr="00462593" w:rsidRDefault="00CE5E27" w:rsidP="00CE5E27">
      <w:pPr>
        <w:pStyle w:val="ManualNumPar1"/>
        <w:rPr>
          <w:noProof/>
        </w:rPr>
      </w:pPr>
      <w:r w:rsidRPr="00CE5E27">
        <w:t>8.</w:t>
      </w:r>
      <w:r w:rsidRPr="00CE5E27">
        <w:tab/>
      </w:r>
      <w:r w:rsidR="005F0E00" w:rsidRPr="00462593">
        <w:rPr>
          <w:noProof/>
        </w:rPr>
        <w:t>108. ülésszaka 2020. november 10. és 13. között Genfben;</w:t>
      </w:r>
    </w:p>
    <w:p w:rsidR="005F0E00" w:rsidRPr="00462593" w:rsidRDefault="00CE5E27" w:rsidP="00CE5E27">
      <w:pPr>
        <w:pStyle w:val="ManualNumPar1"/>
        <w:rPr>
          <w:noProof/>
        </w:rPr>
      </w:pPr>
      <w:r w:rsidRPr="00CE5E27">
        <w:t>9.</w:t>
      </w:r>
      <w:r w:rsidRPr="00CE5E27">
        <w:tab/>
      </w:r>
      <w:r w:rsidR="005F0E00" w:rsidRPr="00462593">
        <w:rPr>
          <w:noProof/>
        </w:rPr>
        <w:t>109. ülésszaka 2021. május 4. és 7. között Genfben;</w:t>
      </w:r>
    </w:p>
    <w:p w:rsidR="005F0E00" w:rsidRPr="00462593" w:rsidRDefault="00CE5E27" w:rsidP="00CE5E27">
      <w:pPr>
        <w:pStyle w:val="ManualNumPar1"/>
        <w:rPr>
          <w:noProof/>
        </w:rPr>
      </w:pPr>
      <w:r w:rsidRPr="00CE5E27">
        <w:t>10.</w:t>
      </w:r>
      <w:r w:rsidRPr="00CE5E27">
        <w:tab/>
      </w:r>
      <w:r w:rsidR="005F0E00" w:rsidRPr="00462593">
        <w:rPr>
          <w:noProof/>
        </w:rPr>
        <w:t>110. ülésszaka 2021. november 8. és 12. között Genfben;</w:t>
      </w:r>
    </w:p>
    <w:p w:rsidR="005F0E00" w:rsidRPr="00462593" w:rsidRDefault="00CE5E27" w:rsidP="00CE5E27">
      <w:pPr>
        <w:pStyle w:val="ManualNumPar1"/>
        <w:rPr>
          <w:noProof/>
        </w:rPr>
      </w:pPr>
      <w:r w:rsidRPr="00CE5E27">
        <w:t>11.</w:t>
      </w:r>
      <w:r w:rsidRPr="00CE5E27">
        <w:tab/>
      </w:r>
      <w:r w:rsidR="005F0E00" w:rsidRPr="00462593">
        <w:rPr>
          <w:noProof/>
        </w:rPr>
        <w:t>111. ülésszaka 2022. május 9. és 13. között Genfben;</w:t>
      </w:r>
    </w:p>
    <w:p w:rsidR="005F0E00" w:rsidRPr="00462593" w:rsidRDefault="005F0E00" w:rsidP="005F0E00">
      <w:pPr>
        <w:pStyle w:val="Tiret0"/>
        <w:rPr>
          <w:noProof/>
        </w:rPr>
      </w:pPr>
      <w:r w:rsidRPr="00462593">
        <w:rPr>
          <w:noProof/>
        </w:rPr>
        <w:t xml:space="preserve">Az ENSZ EGB-WP.15/AC.2 (ADN): </w:t>
      </w:r>
    </w:p>
    <w:p w:rsidR="005F0E00" w:rsidRPr="00462593" w:rsidRDefault="00CE5E27" w:rsidP="00CE5E27">
      <w:pPr>
        <w:pStyle w:val="ManualNumPar1"/>
        <w:rPr>
          <w:noProof/>
        </w:rPr>
      </w:pPr>
      <w:r w:rsidRPr="00CE5E27">
        <w:t>12.</w:t>
      </w:r>
      <w:r w:rsidRPr="00CE5E27">
        <w:tab/>
      </w:r>
      <w:r w:rsidR="005F0E00" w:rsidRPr="00462593">
        <w:rPr>
          <w:noProof/>
        </w:rPr>
        <w:t>37. ülésszaka 2021. január 25. és 29. között Genfben;</w:t>
      </w:r>
    </w:p>
    <w:p w:rsidR="005F0E00" w:rsidRPr="00462593" w:rsidRDefault="00CE5E27" w:rsidP="00CE5E27">
      <w:pPr>
        <w:pStyle w:val="ManualNumPar1"/>
        <w:rPr>
          <w:noProof/>
        </w:rPr>
      </w:pPr>
      <w:r w:rsidRPr="00CE5E27">
        <w:t>13.</w:t>
      </w:r>
      <w:r w:rsidRPr="00CE5E27">
        <w:tab/>
      </w:r>
      <w:r w:rsidR="005F0E00" w:rsidRPr="00462593">
        <w:rPr>
          <w:noProof/>
        </w:rPr>
        <w:t>38. ülésszaka 2021. augusztus 23. és 27. között Genfben;</w:t>
      </w:r>
    </w:p>
    <w:p w:rsidR="005F0E00" w:rsidRPr="00462593" w:rsidRDefault="00CE5E27" w:rsidP="00CE5E27">
      <w:pPr>
        <w:pStyle w:val="ManualNumPar1"/>
        <w:rPr>
          <w:noProof/>
        </w:rPr>
      </w:pPr>
      <w:r w:rsidRPr="00CE5E27">
        <w:t>14.</w:t>
      </w:r>
      <w:r w:rsidRPr="00CE5E27">
        <w:tab/>
      </w:r>
      <w:r w:rsidR="005F0E00" w:rsidRPr="00462593">
        <w:rPr>
          <w:noProof/>
        </w:rPr>
        <w:t>39. ülésszaka 2022. január 24. és 28. között Genfben;</w:t>
      </w:r>
    </w:p>
    <w:p w:rsidR="005F0E00" w:rsidRPr="00462593" w:rsidRDefault="005F0E00" w:rsidP="005F0E00">
      <w:pPr>
        <w:rPr>
          <w:noProof/>
        </w:rPr>
      </w:pPr>
      <w:r w:rsidRPr="00462593">
        <w:rPr>
          <w:noProof/>
        </w:rPr>
        <w:t>valamint az ADN Adminisztratív Bizottságának 2022. január 28-án Genfben tartott 27. ülése.</w:t>
      </w:r>
    </w:p>
    <w:p w:rsidR="005F0E00" w:rsidRPr="00462593" w:rsidRDefault="005F0E00" w:rsidP="005F0E00">
      <w:pPr>
        <w:rPr>
          <w:noProof/>
        </w:rPr>
      </w:pPr>
      <w:r w:rsidRPr="00462593">
        <w:rPr>
          <w:noProof/>
        </w:rPr>
        <w:t xml:space="preserve">Ezeken a találkozókon a fent említett bizottságok szakértői elemezték és feldolgozták az egyes módosítási javaslatokat. Az ajánlott intézkedéseket a legtöbb esetben egyhangú egyetértés övezte. Egyes javaslatok esetében az ajánlásokat a szakértők többsége támogatta. </w:t>
      </w:r>
    </w:p>
    <w:p w:rsidR="005F0E00" w:rsidRPr="00462593" w:rsidRDefault="005F0E00" w:rsidP="005F0E00">
      <w:pPr>
        <w:rPr>
          <w:rFonts w:eastAsia="Arial Unicode MS"/>
          <w:noProof/>
        </w:rPr>
      </w:pPr>
      <w:r w:rsidRPr="00462593">
        <w:rPr>
          <w:noProof/>
        </w:rPr>
        <w:t>Amennyiben az ADR mellékleteinek az ENSZ főtitkára által bejelentett javasolt módosításait nem tekintik az értesítés időpontjától, azaz 2022. október 6-tól számított három hónapon belül a 14. cikk (3) bekezdése alapján elutasítottnak, a szóban forgó módosítások 2023. január 1-jén lépnek hatályba.</w:t>
      </w:r>
    </w:p>
    <w:p w:rsidR="005F0E00" w:rsidRPr="00462593" w:rsidRDefault="005F0E00" w:rsidP="005F0E00">
      <w:pPr>
        <w:rPr>
          <w:rFonts w:eastAsia="Arial Unicode MS"/>
          <w:noProof/>
        </w:rPr>
      </w:pPr>
      <w:r w:rsidRPr="00462593">
        <w:rPr>
          <w:noProof/>
        </w:rPr>
        <w:t>Amennyiben az ADN-hez csatolt Szabályzat javasolt módosításait nem tekintik az értesítés időpontjától számított három hónapon belül, azaz 2022. október 1-jén a 20. cikk (5) bekezdése alapján elutasítottnak, a szóban forgó módosítások 2023. január 1-jén lépnek hatályba.</w:t>
      </w:r>
    </w:p>
    <w:p w:rsidR="005F0E00" w:rsidRPr="00462593" w:rsidRDefault="005F0E00" w:rsidP="00F72153">
      <w:pPr>
        <w:rPr>
          <w:noProof/>
        </w:rPr>
      </w:pPr>
    </w:p>
    <w:p w:rsidR="00A670B3" w:rsidRPr="00462593" w:rsidRDefault="00625C92">
      <w:pPr>
        <w:pStyle w:val="ManualHeading1"/>
        <w:rPr>
          <w:noProof/>
        </w:rPr>
      </w:pPr>
      <w:r w:rsidRPr="00462593">
        <w:rPr>
          <w:noProof/>
        </w:rPr>
        <w:t>3.</w:t>
      </w:r>
      <w:r w:rsidRPr="00462593">
        <w:rPr>
          <w:noProof/>
        </w:rPr>
        <w:tab/>
        <w:t>Az Európai Unió által képviselendő álláspont</w:t>
      </w:r>
    </w:p>
    <w:p w:rsidR="00A670B3" w:rsidRPr="00462593" w:rsidRDefault="00625C92">
      <w:pPr>
        <w:pBdr>
          <w:top w:val="nil"/>
          <w:left w:val="nil"/>
          <w:bottom w:val="nil"/>
          <w:right w:val="nil"/>
          <w:between w:val="nil"/>
          <w:bar w:val="nil"/>
        </w:pBdr>
        <w:spacing w:before="0" w:after="240"/>
        <w:rPr>
          <w:noProof/>
        </w:rPr>
      </w:pPr>
      <w:r w:rsidRPr="00462593">
        <w:rPr>
          <w:noProof/>
        </w:rPr>
        <w:t xml:space="preserve">Az Európai Unió nem szerződő fele sem az ADR-nek, sem az ADN-nek. Ugyanakkor az, hogy az Unió nem részese egy nemzetközi megállapodásnak, nem akadályozza meg hatásköre oly módon történő gyakorlásában, hogy intézményei keretében kialakítja az adott megállapodással létrehozott szervben általa képviselendő álláspontot, amelyet az említett megállapodásban részes, az uniós érdekek szerint közösen eljáró tagállamok közvetítenek (lásd a </w:t>
      </w:r>
      <w:r w:rsidRPr="00462593">
        <w:rPr>
          <w:i/>
          <w:noProof/>
        </w:rPr>
        <w:t>Németország kontra Tanács</w:t>
      </w:r>
      <w:r w:rsidRPr="00462593">
        <w:rPr>
          <w:noProof/>
        </w:rPr>
        <w:t xml:space="preserve"> („OIV”) C-399/12 ítélet 52. pontját és a hivatkozott ítélkezési gyakorlatot).</w:t>
      </w:r>
    </w:p>
    <w:p w:rsidR="00A670B3" w:rsidRPr="00462593" w:rsidRDefault="00625C92">
      <w:pPr>
        <w:pBdr>
          <w:top w:val="nil"/>
          <w:left w:val="nil"/>
          <w:bottom w:val="nil"/>
          <w:right w:val="nil"/>
          <w:between w:val="nil"/>
          <w:bar w:val="nil"/>
        </w:pBdr>
        <w:spacing w:before="0" w:after="240"/>
        <w:rPr>
          <w:noProof/>
        </w:rPr>
      </w:pPr>
      <w:r w:rsidRPr="00462593">
        <w:rPr>
          <w:noProof/>
        </w:rPr>
        <w:t xml:space="preserve">Jelenleg az ADR-nek 53 szerződő fele van, köztük az EU valamennyi tagállama. Az ADN szerződő feleinek száma 18, ebből 13 uniós tagállam. </w:t>
      </w:r>
    </w:p>
    <w:p w:rsidR="00A670B3" w:rsidRPr="00462593" w:rsidRDefault="00625C92">
      <w:pPr>
        <w:pBdr>
          <w:top w:val="nil"/>
          <w:left w:val="nil"/>
          <w:bottom w:val="nil"/>
          <w:right w:val="nil"/>
          <w:between w:val="nil"/>
          <w:bar w:val="nil"/>
        </w:pBdr>
        <w:spacing w:before="0" w:after="240"/>
        <w:rPr>
          <w:noProof/>
        </w:rPr>
      </w:pPr>
      <w:r w:rsidRPr="00462593">
        <w:rPr>
          <w:noProof/>
        </w:rPr>
        <w:t>Az Európai Unió – eredetileg a veszélyes áruk közúti szállítására vonatkozó tagállami jogszabályok közelítéséről szóló, 1994. november 21-i 94/55/EK tanácsi irányelv</w:t>
      </w:r>
      <w:r w:rsidRPr="00462593">
        <w:rPr>
          <w:rStyle w:val="FootnoteReference"/>
          <w:noProof/>
        </w:rPr>
        <w:footnoteReference w:id="3"/>
      </w:r>
      <w:r w:rsidRPr="00462593">
        <w:rPr>
          <w:noProof/>
        </w:rPr>
        <w:t xml:space="preserve"> alapján – 1997. január 1. óta alkalmazza az ADR rendelkezéseit a veszélyes áruknak az EU területén történő szállítására. 2008-ban a 94/55/EK irányelvet felváltotta a 2008/68/EK irányelv</w:t>
      </w:r>
      <w:r w:rsidRPr="00462593">
        <w:rPr>
          <w:rStyle w:val="FootnoteReference"/>
          <w:noProof/>
        </w:rPr>
        <w:footnoteReference w:id="4"/>
      </w:r>
      <w:r w:rsidRPr="00462593">
        <w:rPr>
          <w:noProof/>
        </w:rPr>
        <w:t xml:space="preserve">, amely az elődjében foglalt elveket követi, és a veszélyes áruk belvízi szállítására is kiterjed. Az említett irányelv alapján az Európai Unió 2009. július 1-je óta alkalmazza az ADN rendelkezéseit a veszélyes áruk belvízi szállítására.  </w:t>
      </w:r>
    </w:p>
    <w:p w:rsidR="00571852" w:rsidRPr="00462593" w:rsidRDefault="00571852" w:rsidP="00571852">
      <w:pPr>
        <w:rPr>
          <w:noProof/>
        </w:rPr>
      </w:pPr>
      <w:r w:rsidRPr="00462593">
        <w:rPr>
          <w:noProof/>
        </w:rPr>
        <w:t xml:space="preserve">A tervezett módosítások a veszélyes áruk biztonságos és költséghatékony szállítása szempontjából megfelelőek, és figyelembe veszik a technológiai fejlődést, így támogathatók.     </w:t>
      </w:r>
    </w:p>
    <w:p w:rsidR="00571852" w:rsidRPr="00462593" w:rsidRDefault="00571852">
      <w:pPr>
        <w:pBdr>
          <w:top w:val="nil"/>
          <w:left w:val="nil"/>
          <w:bottom w:val="nil"/>
          <w:right w:val="nil"/>
          <w:between w:val="nil"/>
          <w:bar w:val="nil"/>
        </w:pBdr>
        <w:spacing w:before="0" w:after="240"/>
        <w:rPr>
          <w:noProof/>
        </w:rPr>
      </w:pPr>
    </w:p>
    <w:p w:rsidR="00A670B3" w:rsidRPr="00462593" w:rsidRDefault="00625C92">
      <w:pPr>
        <w:pStyle w:val="ManualHeading1"/>
        <w:rPr>
          <w:noProof/>
        </w:rPr>
      </w:pPr>
      <w:r w:rsidRPr="00462593">
        <w:rPr>
          <w:noProof/>
        </w:rPr>
        <w:t>4.</w:t>
      </w:r>
      <w:r w:rsidRPr="00462593">
        <w:rPr>
          <w:noProof/>
        </w:rPr>
        <w:tab/>
        <w:t>Jogalap</w:t>
      </w:r>
    </w:p>
    <w:p w:rsidR="00A670B3" w:rsidRPr="00462593" w:rsidRDefault="00625C92">
      <w:pPr>
        <w:pStyle w:val="ManualHeading2"/>
        <w:rPr>
          <w:noProof/>
        </w:rPr>
      </w:pPr>
      <w:r w:rsidRPr="00462593">
        <w:rPr>
          <w:noProof/>
        </w:rPr>
        <w:t>4.1.</w:t>
      </w:r>
      <w:r w:rsidRPr="00462593">
        <w:rPr>
          <w:noProof/>
        </w:rPr>
        <w:tab/>
        <w:t>Eljárási jogalap</w:t>
      </w:r>
    </w:p>
    <w:p w:rsidR="00AB03E6" w:rsidRPr="00462593" w:rsidRDefault="00AB03E6" w:rsidP="00AB03E6">
      <w:pPr>
        <w:pStyle w:val="ManualHeading3"/>
        <w:rPr>
          <w:noProof/>
        </w:rPr>
      </w:pPr>
      <w:r w:rsidRPr="00462593">
        <w:rPr>
          <w:noProof/>
        </w:rPr>
        <w:t>4.1.1.</w:t>
      </w:r>
      <w:r w:rsidRPr="00462593">
        <w:rPr>
          <w:noProof/>
        </w:rPr>
        <w:tab/>
        <w:t>Alapelvek</w:t>
      </w:r>
    </w:p>
    <w:p w:rsidR="00AB03E6" w:rsidRPr="00462593" w:rsidRDefault="00AB03E6" w:rsidP="00AB03E6">
      <w:pPr>
        <w:rPr>
          <w:noProof/>
        </w:rPr>
      </w:pPr>
      <w:r w:rsidRPr="00462593">
        <w:rPr>
          <w:noProof/>
        </w:rPr>
        <w:t>Az Európai Unió működéséről szóló szerződés (a továbbiakban: EUMSZ) 218. cikkének (9) bekezdése határozatok elfogadásáról rendelkezik „</w:t>
      </w:r>
      <w:r w:rsidRPr="00462593">
        <w:rPr>
          <w:i/>
          <w:noProof/>
        </w:rPr>
        <w:t>a megállapodásokkal létrehozott szervekben az Unió által képviselendő álláspontok kialakítására vonatkozóan, amennyiben az ilyen szervnek joghatással bíró jogi aktust kell elfogadnia, kivéve a megállapodás intézményi kereteit kiegészítő vagy módosító jogi aktusokat</w:t>
      </w:r>
      <w:r w:rsidRPr="00462593">
        <w:rPr>
          <w:noProof/>
        </w:rPr>
        <w:t>”.</w:t>
      </w:r>
    </w:p>
    <w:p w:rsidR="00AB03E6" w:rsidRPr="00462593" w:rsidRDefault="00AB03E6" w:rsidP="00AB03E6">
      <w:pPr>
        <w:rPr>
          <w:noProof/>
        </w:rPr>
      </w:pPr>
      <w:r w:rsidRPr="00462593">
        <w:rPr>
          <w:noProof/>
        </w:rPr>
        <w:t>Az EUMSZ 218. cikkének (9) bekezdése attól függetlenül alkalmazandó, hogy az Unió tagja-e a szervnek vagy részes fele-e a megállapodásnak</w:t>
      </w:r>
      <w:r w:rsidRPr="00462593">
        <w:rPr>
          <w:rStyle w:val="FootnoteReference"/>
          <w:noProof/>
        </w:rPr>
        <w:footnoteReference w:id="5"/>
      </w:r>
      <w:r w:rsidRPr="00462593">
        <w:rPr>
          <w:noProof/>
        </w:rPr>
        <w:t>.</w:t>
      </w:r>
    </w:p>
    <w:p w:rsidR="00AB03E6" w:rsidRPr="00462593" w:rsidRDefault="00AB03E6" w:rsidP="00AB03E6">
      <w:pPr>
        <w:rPr>
          <w:noProof/>
        </w:rPr>
      </w:pPr>
      <w:r w:rsidRPr="00462593">
        <w:rPr>
          <w:noProof/>
        </w:rPr>
        <w:t>A „</w:t>
      </w:r>
      <w:r w:rsidRPr="00462593">
        <w:rPr>
          <w:i/>
          <w:noProof/>
        </w:rPr>
        <w:t>joghatással bíró jogi aktus</w:t>
      </w:r>
      <w:r w:rsidRPr="00462593">
        <w:rPr>
          <w:noProof/>
        </w:rPr>
        <w:t>” fogalmába beletartoznak a nemzetközi jognak a kérdéses szervet szabályozó szabályai szerint joghatással bíró jogi aktusok. Ezenfelül a fogalom magában foglalja azokat az eszközöket is, melyek a nemzetközi jog szerint nem bírnak kötelező erővel, de „</w:t>
      </w:r>
      <w:r w:rsidRPr="00462593">
        <w:rPr>
          <w:i/>
          <w:noProof/>
        </w:rPr>
        <w:t>meghatározó módon befolyásolják az uniós jogalkotó által [...] elfogadott szabályozás tartalmát</w:t>
      </w:r>
      <w:r w:rsidRPr="00462593">
        <w:rPr>
          <w:noProof/>
        </w:rPr>
        <w:t>”</w:t>
      </w:r>
      <w:r w:rsidRPr="00462593">
        <w:rPr>
          <w:rStyle w:val="FootnoteReference"/>
          <w:noProof/>
        </w:rPr>
        <w:footnoteReference w:id="6"/>
      </w:r>
      <w:r w:rsidRPr="00462593">
        <w:rPr>
          <w:noProof/>
        </w:rPr>
        <w:t>.</w:t>
      </w:r>
    </w:p>
    <w:p w:rsidR="00ED681D" w:rsidRPr="00462593" w:rsidRDefault="00ED681D" w:rsidP="00AB03E6">
      <w:pPr>
        <w:rPr>
          <w:noProof/>
        </w:rPr>
      </w:pPr>
    </w:p>
    <w:p w:rsidR="00AB03E6" w:rsidRPr="00462593" w:rsidRDefault="00AB03E6" w:rsidP="00AB03E6">
      <w:pPr>
        <w:pStyle w:val="ManualHeading3"/>
        <w:rPr>
          <w:noProof/>
        </w:rPr>
      </w:pPr>
      <w:r w:rsidRPr="00462593">
        <w:rPr>
          <w:noProof/>
        </w:rPr>
        <w:t>4.1.2.</w:t>
      </w:r>
      <w:r w:rsidRPr="00462593">
        <w:rPr>
          <w:noProof/>
        </w:rPr>
        <w:tab/>
        <w:t>A jelen esetre történő alkalmazás</w:t>
      </w:r>
    </w:p>
    <w:p w:rsidR="00AB03E6" w:rsidRPr="00462593" w:rsidRDefault="00AB03E6" w:rsidP="00AB03E6">
      <w:pPr>
        <w:rPr>
          <w:noProof/>
        </w:rPr>
      </w:pPr>
      <w:r w:rsidRPr="00462593">
        <w:rPr>
          <w:noProof/>
        </w:rPr>
        <w:t>A WP.15 egy megállapodás, nevezetesen a Veszélyes Áruk Nemzetközi Közúti Szállításáról szóló Megállapodás (ADR) által létrehozott testület.</w:t>
      </w:r>
    </w:p>
    <w:p w:rsidR="00AB03E6" w:rsidRPr="00462593" w:rsidRDefault="00AB03E6" w:rsidP="00AB03E6">
      <w:pPr>
        <w:rPr>
          <w:noProof/>
        </w:rPr>
      </w:pPr>
      <w:r w:rsidRPr="00462593">
        <w:rPr>
          <w:noProof/>
        </w:rPr>
        <w:t>Az ADN Adminisztratív Bizottsága is egy megállapodás, nevezetesen a Veszélyes Áruk Nemzetközi Belvízi Szállításáról szóló Európai Megállapodás (ADN) által létrehozott testület.</w:t>
      </w:r>
    </w:p>
    <w:p w:rsidR="00AB03E6" w:rsidRPr="00462593" w:rsidRDefault="00AB03E6" w:rsidP="00AB03E6">
      <w:pPr>
        <w:pBdr>
          <w:top w:val="nil"/>
          <w:left w:val="nil"/>
          <w:bottom w:val="nil"/>
          <w:right w:val="nil"/>
          <w:between w:val="nil"/>
          <w:bar w:val="nil"/>
        </w:pBdr>
        <w:spacing w:before="0" w:after="240"/>
        <w:rPr>
          <w:noProof/>
        </w:rPr>
      </w:pPr>
      <w:r w:rsidRPr="00462593">
        <w:rPr>
          <w:noProof/>
        </w:rPr>
        <w:t>A WP.15 és az ADN Adminisztratív Bizottsága által javasolt jogi aktusok joghatással bíró jogi aktusok. A fent ismertetetteknek megfelelően a javasolt jogi aktusok a nemzetközi jog értelmében és az ADR 14. cikkével, illetve az ADN 20. cikkével összhangban kötelező erővel fognak bírni, és meghatározó módon befolyásolják az uniós jog, konkrétan a 2008/68/EK irányelv tartalmát. Ennek oka, hogy a 2008/68/EK irányelv 1. cikke kötelezővé teszi a veszélyes áruk tagállamokon belüli és tagállamok közötti közúti és belvízi szállítására vonatkozó szabályok alkalmazását, a 2008/68/EK irányelv harmadik országokra vonatkozó 4. cikke pedig úgy rendelkezik, hogy „A tagállamok és harmadik országok területe között megvalósuló veszélyesáru-szállítást csak az ADR-nek, a RID-nek vagy az ADN-nek való megfelelés esetén szabad engedélyezni, hacsak a mellékletek máshogy nem rendelkeznek.” Ezenfelül a fent említett módosítások ki fognak hatni a 2008/68/EK irányelv működésére, annak 8. cikke alapján. Az irányelv 8. cikke a Bizottságnak felhatalmazást ad arra, hogy a 2008/68/EK irányelv I. mellékletének I.1. szakaszát és III. mellékletének III.1. szakaszát hozzáigazítsa a tudományos és műszaki fejlődéshez, „különösen az ADR, a/az (...) és az ADN módosításainak figyelembevétele érdekében”.</w:t>
      </w:r>
    </w:p>
    <w:p w:rsidR="00AB03E6" w:rsidRPr="00462593" w:rsidRDefault="00AB03E6" w:rsidP="00AB03E6">
      <w:pPr>
        <w:rPr>
          <w:noProof/>
        </w:rPr>
      </w:pPr>
      <w:r w:rsidRPr="00462593">
        <w:rPr>
          <w:noProof/>
        </w:rPr>
        <w:t>A tervezett jogi aktus nem egészíti ki és nem is módosítja a megállapodások intézményi keretét.</w:t>
      </w:r>
    </w:p>
    <w:p w:rsidR="00AB03E6" w:rsidRPr="00462593" w:rsidRDefault="00AB03E6" w:rsidP="00AB03E6">
      <w:pPr>
        <w:rPr>
          <w:noProof/>
        </w:rPr>
      </w:pPr>
      <w:r w:rsidRPr="00462593">
        <w:rPr>
          <w:noProof/>
        </w:rPr>
        <w:t>Ezért a javasolt határozat eljárási jogalapja az EUMSZ 218. cikkének (9) bekezdése.</w:t>
      </w:r>
    </w:p>
    <w:p w:rsidR="00AB03E6" w:rsidRPr="00462593" w:rsidRDefault="00AB03E6" w:rsidP="00AB03E6">
      <w:pPr>
        <w:rPr>
          <w:noProof/>
        </w:rPr>
      </w:pPr>
    </w:p>
    <w:p w:rsidR="00A670B3" w:rsidRPr="00462593" w:rsidRDefault="00625C92">
      <w:pPr>
        <w:pStyle w:val="ManualHeading2"/>
        <w:rPr>
          <w:noProof/>
        </w:rPr>
      </w:pPr>
      <w:r w:rsidRPr="00462593">
        <w:rPr>
          <w:noProof/>
        </w:rPr>
        <w:t>4.2.</w:t>
      </w:r>
      <w:r w:rsidRPr="00462593">
        <w:rPr>
          <w:noProof/>
        </w:rPr>
        <w:tab/>
        <w:t>Anyagi jogalap</w:t>
      </w:r>
    </w:p>
    <w:p w:rsidR="00A670B3" w:rsidRPr="00462593" w:rsidRDefault="00625C92">
      <w:pPr>
        <w:pStyle w:val="ManualHeading3"/>
        <w:rPr>
          <w:noProof/>
        </w:rPr>
      </w:pPr>
      <w:r w:rsidRPr="00462593">
        <w:rPr>
          <w:noProof/>
        </w:rPr>
        <w:t>4.2.1.</w:t>
      </w:r>
      <w:r w:rsidRPr="00462593">
        <w:rPr>
          <w:noProof/>
        </w:rPr>
        <w:tab/>
        <w:t>Alapelvek</w:t>
      </w:r>
    </w:p>
    <w:p w:rsidR="00A670B3" w:rsidRPr="00462593" w:rsidRDefault="00625C92">
      <w:pPr>
        <w:rPr>
          <w:noProof/>
        </w:rPr>
      </w:pPr>
      <w:r w:rsidRPr="00462593">
        <w:rPr>
          <w:noProof/>
        </w:rPr>
        <w:t>Az EUMSZ 218. cikkének (9) bekezdése szerinti határozat anyagi jogalapja elsősorban azon tervezett jogi aktus célkitűzésétől és tartalmától függ, amellyel kapcsolatban az Unió által képviselendő álláspont meghatározásra kerül. Amennyiben a tervezett jogi aktus kettős célkitűzést követ, vagy két összetevőből áll, és ezek egyike elsődlegesként vagy döntő jellegűként azonosítható, míg a másik csak járulékos jellegű, az EUMSZ 218. cikkének (9) bekezdése szerinti határozatot egyetlen anyagi jogalapra, azaz az elsődleges, illetve döntő jellegű célkitűzés vagy összetevő által megkövetelt anyagi jogalapra kell alapítani.</w:t>
      </w:r>
    </w:p>
    <w:p w:rsidR="00A670B3" w:rsidRPr="00462593" w:rsidRDefault="00625C92">
      <w:pPr>
        <w:pStyle w:val="ManualHeading3"/>
        <w:rPr>
          <w:noProof/>
        </w:rPr>
      </w:pPr>
      <w:r w:rsidRPr="00462593">
        <w:rPr>
          <w:noProof/>
        </w:rPr>
        <w:t>4.2.2.</w:t>
      </w:r>
      <w:r w:rsidRPr="00462593">
        <w:rPr>
          <w:noProof/>
        </w:rPr>
        <w:tab/>
        <w:t>A jelen esetre történő alkalmazás</w:t>
      </w:r>
    </w:p>
    <w:p w:rsidR="00A670B3" w:rsidRPr="00462593" w:rsidRDefault="00625C92">
      <w:pPr>
        <w:pBdr>
          <w:top w:val="nil"/>
          <w:left w:val="nil"/>
          <w:bottom w:val="nil"/>
          <w:right w:val="nil"/>
          <w:between w:val="nil"/>
          <w:bar w:val="nil"/>
        </w:pBdr>
        <w:spacing w:before="0" w:after="240"/>
        <w:rPr>
          <w:b/>
          <w:noProof/>
        </w:rPr>
      </w:pPr>
      <w:r w:rsidRPr="00462593">
        <w:rPr>
          <w:noProof/>
        </w:rPr>
        <w:t xml:space="preserve">E határozat fő célja és tartalma a veszélyes áruk közúti és belvízi szállítására vonatkozik. Anyagi jogalapja ezért az EUMSZ 91. cikke. </w:t>
      </w:r>
    </w:p>
    <w:p w:rsidR="00A670B3" w:rsidRPr="00462593" w:rsidRDefault="00625C92">
      <w:pPr>
        <w:pStyle w:val="ManualHeading2"/>
        <w:rPr>
          <w:noProof/>
        </w:rPr>
      </w:pPr>
      <w:r w:rsidRPr="00462593">
        <w:rPr>
          <w:noProof/>
        </w:rPr>
        <w:t>4.3.</w:t>
      </w:r>
      <w:r w:rsidRPr="00462593">
        <w:rPr>
          <w:noProof/>
        </w:rPr>
        <w:tab/>
        <w:t>Következtetés</w:t>
      </w:r>
    </w:p>
    <w:p w:rsidR="00A670B3" w:rsidRPr="00462593" w:rsidRDefault="00625C92">
      <w:pPr>
        <w:rPr>
          <w:noProof/>
        </w:rPr>
      </w:pPr>
      <w:r w:rsidRPr="00462593">
        <w:rPr>
          <w:noProof/>
        </w:rPr>
        <w:t>A javasolt tanácsi határozat jogalapja ezért az EUMSZ 91. cikke, összefüggésben az EUMSZ 218. cikkének (9) bekezdésével.</w:t>
      </w:r>
    </w:p>
    <w:p w:rsidR="00A670B3" w:rsidRPr="00462593" w:rsidRDefault="00625C92">
      <w:pPr>
        <w:pStyle w:val="ManualHeading1"/>
        <w:rPr>
          <w:noProof/>
        </w:rPr>
      </w:pPr>
      <w:r w:rsidRPr="00462593">
        <w:rPr>
          <w:noProof/>
        </w:rPr>
        <w:t>5.</w:t>
      </w:r>
      <w:r w:rsidRPr="00462593">
        <w:rPr>
          <w:noProof/>
        </w:rPr>
        <w:tab/>
        <w:t>A tervezett jogi aktus kihirdetése</w:t>
      </w:r>
    </w:p>
    <w:p w:rsidR="00A670B3" w:rsidRPr="00462593" w:rsidRDefault="00625C92">
      <w:pPr>
        <w:pBdr>
          <w:top w:val="nil"/>
          <w:left w:val="nil"/>
          <w:bottom w:val="nil"/>
          <w:right w:val="nil"/>
          <w:between w:val="nil"/>
          <w:bar w:val="nil"/>
        </w:pBdr>
        <w:spacing w:before="0" w:after="240"/>
        <w:rPr>
          <w:noProof/>
        </w:rPr>
      </w:pPr>
      <w:r w:rsidRPr="00462593">
        <w:rPr>
          <w:noProof/>
        </w:rPr>
        <w:t xml:space="preserve">Az átláthatóság és az egyértelműség érdekében a veszélyes áruk szállításával foglalkozó munkacsoport (WP.15) és az ADN biztonsági kérdésekkel foglalkozó bizottsága által hozott határozatok az </w:t>
      </w:r>
      <w:r w:rsidRPr="00462593">
        <w:rPr>
          <w:i/>
          <w:noProof/>
        </w:rPr>
        <w:t>Európai Unió Hivatalos Lapjában</w:t>
      </w:r>
      <w:r w:rsidRPr="00462593">
        <w:rPr>
          <w:noProof/>
        </w:rPr>
        <w:t xml:space="preserve"> közzétételre kerülnek, feltüntetve azok hatálybalépésének időpontját.</w:t>
      </w:r>
    </w:p>
    <w:p w:rsidR="00A670B3" w:rsidRPr="00462593" w:rsidRDefault="00A670B3">
      <w:pPr>
        <w:rPr>
          <w:noProof/>
        </w:rPr>
        <w:sectPr w:rsidR="00A670B3" w:rsidRPr="00462593" w:rsidSect="00CD170D">
          <w:footerReference w:type="default" r:id="rId10"/>
          <w:footerReference w:type="first" r:id="rId11"/>
          <w:pgSz w:w="11907" w:h="16839"/>
          <w:pgMar w:top="1134" w:right="1417" w:bottom="1134" w:left="1417" w:header="709" w:footer="709" w:gutter="0"/>
          <w:cols w:space="708"/>
          <w:docGrid w:linePitch="360"/>
        </w:sectPr>
      </w:pPr>
    </w:p>
    <w:p w:rsidR="00A670B3" w:rsidRPr="00462593" w:rsidRDefault="009910A3" w:rsidP="009910A3">
      <w:pPr>
        <w:pStyle w:val="Rfrenceinterinstitutionnelle"/>
        <w:rPr>
          <w:noProof/>
        </w:rPr>
      </w:pPr>
      <w:r w:rsidRPr="009910A3">
        <w:t>2022/0258 (NLE)</w:t>
      </w:r>
    </w:p>
    <w:p w:rsidR="00A670B3" w:rsidRPr="00462593" w:rsidRDefault="00462593" w:rsidP="00462593">
      <w:pPr>
        <w:pStyle w:val="Statut"/>
        <w:rPr>
          <w:noProof/>
        </w:rPr>
      </w:pPr>
      <w:r w:rsidRPr="00462593">
        <w:rPr>
          <w:noProof/>
        </w:rPr>
        <w:t>Javaslat</w:t>
      </w:r>
    </w:p>
    <w:p w:rsidR="00A670B3" w:rsidRPr="00462593" w:rsidRDefault="00462593" w:rsidP="00462593">
      <w:pPr>
        <w:pStyle w:val="Typedudocument"/>
        <w:rPr>
          <w:noProof/>
        </w:rPr>
      </w:pPr>
      <w:r w:rsidRPr="00462593">
        <w:rPr>
          <w:noProof/>
        </w:rPr>
        <w:t>A TANÁCS HATÁROZATA</w:t>
      </w:r>
    </w:p>
    <w:p w:rsidR="00A670B3" w:rsidRPr="00462593" w:rsidRDefault="00462593" w:rsidP="00462593">
      <w:pPr>
        <w:pStyle w:val="Titreobjet"/>
        <w:rPr>
          <w:noProof/>
        </w:rPr>
      </w:pPr>
      <w:r w:rsidRPr="00462593">
        <w:rPr>
          <w:noProof/>
        </w:rPr>
        <w:t>a Veszélyes Áruk Nemzetközi Közúti Szállításáról szóló Megállapodás (ADR) mellékleteinek módosításaira és a Veszélyes Áruk Nemzetközi Belvízi Szállításáról szóló Európai Megállapodáshoz (ADN) csatolt Szabályzat módosításaira vonatkozóan az Európai Unió által képviselendő álláspontról</w:t>
      </w:r>
    </w:p>
    <w:p w:rsidR="00A670B3" w:rsidRPr="00462593" w:rsidRDefault="00625C92">
      <w:pPr>
        <w:pStyle w:val="Institutionquiagit"/>
        <w:rPr>
          <w:b/>
          <w:noProof/>
        </w:rPr>
      </w:pPr>
      <w:r w:rsidRPr="00462593">
        <w:rPr>
          <w:b/>
          <w:noProof/>
        </w:rPr>
        <w:t>AZ EURÓPAI UNIÓ TANÁCSA,</w:t>
      </w:r>
    </w:p>
    <w:p w:rsidR="00A670B3" w:rsidRPr="00462593" w:rsidRDefault="00625C92">
      <w:pPr>
        <w:rPr>
          <w:noProof/>
        </w:rPr>
      </w:pPr>
      <w:r w:rsidRPr="00462593">
        <w:rPr>
          <w:noProof/>
        </w:rPr>
        <w:t>tekintettel az Európai Unió működéséről szóló szerződésre és különösen annak 91. cikkére, összefüggésben a 218. cikke (9) bekezdésével,</w:t>
      </w:r>
    </w:p>
    <w:p w:rsidR="00A670B3" w:rsidRPr="00462593" w:rsidRDefault="00625C92">
      <w:pPr>
        <w:rPr>
          <w:noProof/>
        </w:rPr>
      </w:pPr>
      <w:r w:rsidRPr="00462593">
        <w:rPr>
          <w:noProof/>
        </w:rPr>
        <w:t>tekintettel az Európai Bizottság javaslatára,</w:t>
      </w:r>
    </w:p>
    <w:p w:rsidR="00A670B3" w:rsidRPr="00462593" w:rsidRDefault="00625C92">
      <w:pPr>
        <w:rPr>
          <w:noProof/>
        </w:rPr>
      </w:pPr>
      <w:r w:rsidRPr="00462593">
        <w:rPr>
          <w:noProof/>
        </w:rPr>
        <w:t>mivel:</w:t>
      </w:r>
    </w:p>
    <w:p w:rsidR="00A670B3" w:rsidRPr="00462593" w:rsidRDefault="00625C92">
      <w:pPr>
        <w:pStyle w:val="ManualConsidrant"/>
        <w:rPr>
          <w:noProof/>
        </w:rPr>
      </w:pPr>
      <w:r w:rsidRPr="00462593">
        <w:rPr>
          <w:noProof/>
        </w:rPr>
        <w:t>(1)</w:t>
      </w:r>
      <w:r w:rsidRPr="00462593">
        <w:rPr>
          <w:noProof/>
        </w:rPr>
        <w:tab/>
        <w:t>A Veszélyes Áruk Nemzetközi Közúti Szállításáról szóló Megállapodás (a továbbiakban: ADR) 1968. január 29-én lépett hatályba. A Veszélyes Áruk Nemzetközi Belvízi Szállításáról szóló Európai Megállapodás (ADN) 2008. február 28-án lépett hatályba.</w:t>
      </w:r>
    </w:p>
    <w:p w:rsidR="00A670B3" w:rsidRPr="00462593" w:rsidRDefault="00625C92">
      <w:pPr>
        <w:pStyle w:val="ManualConsidrant"/>
        <w:rPr>
          <w:noProof/>
        </w:rPr>
      </w:pPr>
      <w:r w:rsidRPr="00462593">
        <w:rPr>
          <w:noProof/>
        </w:rPr>
        <w:t>(2)</w:t>
      </w:r>
      <w:r w:rsidRPr="00462593">
        <w:rPr>
          <w:noProof/>
        </w:rPr>
        <w:tab/>
        <w:t xml:space="preserve">Az ADR 14. cikkének megfelelően bármely szerződő fél tehet javaslatot az ADR mellékleteinek egy vagy több módosítására. Ennek értelmében a veszélyes áruk szállításával foglalkozó munkacsoport (WP.15) az ADR mellékleteit érintő módosításokat fogadhat el. Az ADN 20. cikkének megfelelően a biztonsági kérdésekkel foglalkozó bizottság és az ADN Adminisztratív Bizottsága az ADN-hez csatolt Szabályzatot érintő módosításokat fogadhat el. </w:t>
      </w:r>
    </w:p>
    <w:p w:rsidR="00A670B3" w:rsidRPr="00462593" w:rsidRDefault="00625C92">
      <w:pPr>
        <w:pStyle w:val="ManualConsidrant"/>
        <w:rPr>
          <w:noProof/>
        </w:rPr>
      </w:pPr>
      <w:r w:rsidRPr="00462593">
        <w:rPr>
          <w:noProof/>
        </w:rPr>
        <w:t>(3)</w:t>
      </w:r>
      <w:r w:rsidRPr="00462593">
        <w:rPr>
          <w:noProof/>
        </w:rPr>
        <w:tab/>
        <w:t>A WP.15 és az ADN Adminisztratív Bizottsága által a veszélyes áruk nemzetközi közúti és belvízi szállításával kapcsolatban 2020–2022-as kétéves időszakban elfogadott módosításokról 2022. július 6-án értesítették az ADR szerződő feleit, valamint 2022. július 1-jén az ADN szerződő feleit.</w:t>
      </w:r>
    </w:p>
    <w:p w:rsidR="00A670B3" w:rsidRPr="00462593" w:rsidRDefault="00625C92">
      <w:pPr>
        <w:pStyle w:val="ManualConsidrant"/>
        <w:rPr>
          <w:noProof/>
        </w:rPr>
      </w:pPr>
      <w:r w:rsidRPr="00462593">
        <w:rPr>
          <w:noProof/>
        </w:rPr>
        <w:t>(4)</w:t>
      </w:r>
      <w:r w:rsidRPr="00462593">
        <w:rPr>
          <w:noProof/>
        </w:rPr>
        <w:tab/>
        <w:t>Helyénvaló meghatározni az Unió nevében az ADR és az ADN szóban forgó módosításaival kapcsolatban képviselendő álláspontot, mivel e jogi aktusok a nemzetközi jog alapján kötelező erővel bírnak és meghatározó módon kihathatnak az uniós jog tartalmára, nevezetesen a 2008/68/EK európai parlamenti és tanácsi irányelvre</w:t>
      </w:r>
      <w:r w:rsidRPr="00462593">
        <w:rPr>
          <w:rStyle w:val="FootnoteReference"/>
          <w:noProof/>
        </w:rPr>
        <w:footnoteReference w:id="7"/>
      </w:r>
      <w:r w:rsidRPr="00462593">
        <w:rPr>
          <w:noProof/>
        </w:rPr>
        <w:t>. Az említett irányelv az ADR-re és az ADN-re hivatkozva meghatározza a veszélyes áruknak az 1. cikk értelmében a tagállamon belüli vagy tagállamok közötti, közúton, vasúton vagy belvízi úton történő szállítására alkalmazandó követelményeket. Az említett irányelv 4. cikke úgy rendelkezik, hogy a tagállamok és harmadik országok területe között megvalósuló veszélyesáru-szállítást csak az ADR-nek, a RID-nek vagy az ADN-nek való megfelelés esetén szabad engedélyezni, hacsak a mellékletek máshogy nem rendelkeznek. Továbbá, a 2008/68/EK irányelv 8. cikke értelmében a Bizottság felhatalmazást kap arra, hogy a 2008/68/EK irányelv I. mellékletének I.1. szakaszát és III. mellékletének III.1. szakaszát a tudományos és műszaki fejlődés fényében módosítsa, különösen az ADR, a RID és az ADN módosításainak figyelembevétele érdekében.</w:t>
      </w:r>
    </w:p>
    <w:p w:rsidR="00A670B3" w:rsidRPr="00462593" w:rsidRDefault="00625C92">
      <w:pPr>
        <w:pStyle w:val="ManualConsidrant"/>
        <w:rPr>
          <w:noProof/>
        </w:rPr>
      </w:pPr>
      <w:r w:rsidRPr="00462593">
        <w:rPr>
          <w:noProof/>
        </w:rPr>
        <w:t>(5)</w:t>
      </w:r>
      <w:r w:rsidRPr="00462593">
        <w:rPr>
          <w:noProof/>
        </w:rPr>
        <w:tab/>
        <w:t xml:space="preserve">Az Európai Unió nem szerződő fele sem az ADR-nek, sem az ADN-nek. Ez azonban nem akadályozza meg, hogy az Unió gyakorolja hatáskörét a valamelyik megállapodással létrehozott szervben általa képviselendő álláspontnak az intézményei keretében való kialakításával, elsősorban az Unió érdekében együttesen eljáró, valamelyik megállapodásban részes tagállamok közvetítésével. </w:t>
      </w:r>
    </w:p>
    <w:p w:rsidR="00A670B3" w:rsidRPr="00462593" w:rsidRDefault="00625C92">
      <w:pPr>
        <w:pStyle w:val="ManualConsidrant"/>
        <w:rPr>
          <w:noProof/>
        </w:rPr>
      </w:pPr>
      <w:r w:rsidRPr="00462593">
        <w:rPr>
          <w:noProof/>
        </w:rPr>
        <w:t>(6)</w:t>
      </w:r>
      <w:r w:rsidRPr="00462593">
        <w:rPr>
          <w:noProof/>
        </w:rPr>
        <w:tab/>
        <w:t xml:space="preserve">Az ADR-nek valamennyi tagállam, az ADN-nek pedig 13 tagállam szerződő fele és alkalmazója. </w:t>
      </w:r>
    </w:p>
    <w:p w:rsidR="00182711" w:rsidRPr="00462593" w:rsidRDefault="00625C92" w:rsidP="00182711">
      <w:pPr>
        <w:pStyle w:val="ManualConsidrant"/>
        <w:rPr>
          <w:noProof/>
          <w:szCs w:val="24"/>
        </w:rPr>
      </w:pPr>
      <w:r w:rsidRPr="00462593">
        <w:rPr>
          <w:noProof/>
        </w:rPr>
        <w:t>(7)</w:t>
      </w:r>
      <w:r w:rsidRPr="00462593">
        <w:rPr>
          <w:noProof/>
        </w:rPr>
        <w:tab/>
        <w:t>A tervezett módosítások célja a veszélyes áruk biztonságos és hatékony szállításának biztosítása, figyelembe véve az ágazat tudományos és műszaki fejlődését, valamint olyan új anyagok és árucikkek megjelenését, amelyek szállítása veszélyes lehet. A veszélyes áruknak mind az Európai Unión belüli, mind az Európai Unió és a szomszédos országok közötti, közúti és belvízi szállításának fejlesztése a közös közlekedéspolitika kulcseleme, és biztosítja az ADR vagy az ADN szerint veszélyesnek minősülő árukat előállító vagy felhasználó valamennyi iparág megfelelő működését.</w:t>
      </w:r>
    </w:p>
    <w:p w:rsidR="00182711" w:rsidRPr="00462593" w:rsidRDefault="00182711" w:rsidP="00182711">
      <w:pPr>
        <w:pStyle w:val="ManualConsidrant"/>
        <w:rPr>
          <w:noProof/>
          <w:szCs w:val="24"/>
        </w:rPr>
      </w:pPr>
      <w:r w:rsidRPr="00462593">
        <w:rPr>
          <w:noProof/>
        </w:rPr>
        <w:t>(8)</w:t>
      </w:r>
      <w:r w:rsidRPr="00462593">
        <w:rPr>
          <w:noProof/>
        </w:rPr>
        <w:tab/>
        <w:t>A tervezett módosítások megfelelőnek tekinthetők a veszélyes áruk költséghatékony módon történő, biztonságos szállítása szempontjából, és ezért támogathatók.</w:t>
      </w:r>
    </w:p>
    <w:p w:rsidR="00A670B3" w:rsidRPr="00462593" w:rsidRDefault="00625C92" w:rsidP="00182711">
      <w:pPr>
        <w:pStyle w:val="ManualConsidrant"/>
        <w:rPr>
          <w:noProof/>
        </w:rPr>
      </w:pPr>
      <w:r w:rsidRPr="00462593">
        <w:rPr>
          <w:noProof/>
        </w:rPr>
        <w:t>(9)</w:t>
      </w:r>
      <w:r w:rsidRPr="00462593">
        <w:rPr>
          <w:noProof/>
        </w:rPr>
        <w:tab/>
        <w:t xml:space="preserve">Valamennyi javasolt módosítás indokolt és hasznos, ezért helyénvaló, hogy az Európai Unió támogassa azokat. </w:t>
      </w:r>
    </w:p>
    <w:p w:rsidR="00A670B3" w:rsidRPr="00462593" w:rsidRDefault="00625C92">
      <w:pPr>
        <w:pStyle w:val="ManualConsidrant"/>
        <w:rPr>
          <w:noProof/>
        </w:rPr>
      </w:pPr>
      <w:r w:rsidRPr="00462593">
        <w:rPr>
          <w:noProof/>
        </w:rPr>
        <w:t>(10)</w:t>
      </w:r>
      <w:r w:rsidRPr="00462593">
        <w:rPr>
          <w:noProof/>
        </w:rPr>
        <w:tab/>
        <w:t>Az Európai Unió álláspontját az Unió azon tagállamai képviselik közösen eljárva, amelyek szerződő felei az ADR-nek, illetve az ADN-nek,</w:t>
      </w:r>
    </w:p>
    <w:p w:rsidR="00CB3893" w:rsidRPr="00462593" w:rsidRDefault="00CB3893">
      <w:pPr>
        <w:pStyle w:val="ManualConsidrant"/>
        <w:rPr>
          <w:noProof/>
        </w:rPr>
      </w:pPr>
    </w:p>
    <w:p w:rsidR="00A670B3" w:rsidRPr="00462593" w:rsidRDefault="00625C92">
      <w:pPr>
        <w:pStyle w:val="Formuledadoption"/>
        <w:rPr>
          <w:noProof/>
        </w:rPr>
      </w:pPr>
      <w:r w:rsidRPr="00462593">
        <w:rPr>
          <w:noProof/>
        </w:rPr>
        <w:t>ELFOGADTA EZT A HATÁROZATOT:</w:t>
      </w:r>
    </w:p>
    <w:p w:rsidR="00A670B3" w:rsidRPr="00462593" w:rsidRDefault="00625C92">
      <w:pPr>
        <w:pStyle w:val="Titrearticle"/>
        <w:rPr>
          <w:noProof/>
        </w:rPr>
      </w:pPr>
      <w:r w:rsidRPr="00462593">
        <w:rPr>
          <w:noProof/>
        </w:rPr>
        <w:t>1. cikk</w:t>
      </w:r>
    </w:p>
    <w:p w:rsidR="00A670B3" w:rsidRPr="00462593" w:rsidRDefault="00625C92">
      <w:pPr>
        <w:rPr>
          <w:noProof/>
        </w:rPr>
      </w:pPr>
      <w:r w:rsidRPr="00462593">
        <w:rPr>
          <w:noProof/>
        </w:rPr>
        <w:t xml:space="preserve">A veszélyes áruk szállításával foglalkozó munkacsoport (WP.15) és az ADN Adminisztratív Bizottsága által az ADR mellékleteiben és az ADN-hez csatolt Szabályzatban elfogadott, az e határozat mellékletében hivatkozott módosításokra vonatkozóan az Európai Unió nevében képviselendő álláspontot az említett melléklet határozza meg. </w:t>
      </w:r>
    </w:p>
    <w:p w:rsidR="00A670B3" w:rsidRPr="00462593" w:rsidRDefault="00625C92">
      <w:pPr>
        <w:rPr>
          <w:noProof/>
        </w:rPr>
      </w:pPr>
      <w:r w:rsidRPr="00462593">
        <w:rPr>
          <w:noProof/>
        </w:rPr>
        <w:t>Az álláspontot érintő kisebb módosítások a 2. cikknek megfelelően a Tanács további határozata nélkül elfogadhatók.</w:t>
      </w:r>
    </w:p>
    <w:p w:rsidR="00A670B3" w:rsidRPr="00462593" w:rsidRDefault="00625C92">
      <w:pPr>
        <w:pStyle w:val="Titrearticle"/>
        <w:rPr>
          <w:noProof/>
        </w:rPr>
      </w:pPr>
      <w:r w:rsidRPr="00462593">
        <w:rPr>
          <w:noProof/>
        </w:rPr>
        <w:t>2. cikk</w:t>
      </w:r>
    </w:p>
    <w:p w:rsidR="00A670B3" w:rsidRPr="00462593" w:rsidRDefault="00625C92">
      <w:pPr>
        <w:rPr>
          <w:noProof/>
        </w:rPr>
      </w:pPr>
      <w:r w:rsidRPr="00462593">
        <w:rPr>
          <w:noProof/>
        </w:rPr>
        <w:t xml:space="preserve">Az 1. cikkben említett álláspontot az Európai Unió azon tagállamai képviselik – az Európai Unió érdekében együttesen eljárva –, amelyek szerződő felei az ADR-nek és az ADN-nek. </w:t>
      </w:r>
    </w:p>
    <w:p w:rsidR="00A670B3" w:rsidRPr="00462593" w:rsidRDefault="00625C92">
      <w:pPr>
        <w:pStyle w:val="Titrearticle"/>
        <w:rPr>
          <w:noProof/>
        </w:rPr>
      </w:pPr>
      <w:r w:rsidRPr="00462593">
        <w:rPr>
          <w:noProof/>
        </w:rPr>
        <w:t>3. cikk</w:t>
      </w:r>
    </w:p>
    <w:p w:rsidR="00A670B3" w:rsidRPr="00462593" w:rsidRDefault="00625C92">
      <w:pPr>
        <w:rPr>
          <w:noProof/>
        </w:rPr>
      </w:pPr>
      <w:r w:rsidRPr="00462593">
        <w:rPr>
          <w:noProof/>
        </w:rPr>
        <w:t xml:space="preserve">A veszélyes áruk szállításával foglalkozó munkacsoport (WP.15) és az ADN biztonsági kérdésekkel foglalkozó bizottsága által hozott határozatokat az </w:t>
      </w:r>
      <w:r w:rsidRPr="00462593">
        <w:rPr>
          <w:i/>
          <w:noProof/>
        </w:rPr>
        <w:t>Európai Unió Hivatalos Lapjában</w:t>
      </w:r>
      <w:r w:rsidRPr="00462593">
        <w:rPr>
          <w:noProof/>
        </w:rPr>
        <w:t xml:space="preserve"> kihirdetik, feltüntetve azok hatálybalépésének időpontját.</w:t>
      </w:r>
    </w:p>
    <w:p w:rsidR="00A670B3" w:rsidRPr="00462593" w:rsidRDefault="00625C92" w:rsidP="00532123">
      <w:pPr>
        <w:pStyle w:val="Titrearticle"/>
        <w:rPr>
          <w:noProof/>
        </w:rPr>
      </w:pPr>
      <w:r w:rsidRPr="00462593">
        <w:rPr>
          <w:noProof/>
        </w:rPr>
        <w:t>4. cikk</w:t>
      </w:r>
    </w:p>
    <w:p w:rsidR="00A670B3" w:rsidRPr="00462593" w:rsidRDefault="00625C92">
      <w:pPr>
        <w:keepNext/>
        <w:keepLines/>
        <w:rPr>
          <w:noProof/>
        </w:rPr>
      </w:pPr>
      <w:r w:rsidRPr="00462593">
        <w:rPr>
          <w:noProof/>
        </w:rPr>
        <w:t>Ez a határozat az elfogadásának napján lép hatályba</w:t>
      </w:r>
      <w:r w:rsidRPr="00462593">
        <w:rPr>
          <w:i/>
          <w:noProof/>
        </w:rPr>
        <w:t>.</w:t>
      </w:r>
    </w:p>
    <w:p w:rsidR="00A670B3" w:rsidRPr="00462593" w:rsidRDefault="00390E6C" w:rsidP="00532123">
      <w:pPr>
        <w:pStyle w:val="Fait"/>
        <w:rPr>
          <w:noProof/>
        </w:rPr>
      </w:pPr>
      <w:r w:rsidRPr="00390E6C">
        <w:t>Kelt Brüsszelben, -án/-én.</w:t>
      </w:r>
    </w:p>
    <w:p w:rsidR="00A670B3" w:rsidRPr="00462593" w:rsidRDefault="00625C92" w:rsidP="00532123">
      <w:pPr>
        <w:pStyle w:val="Institutionquisigne"/>
        <w:rPr>
          <w:noProof/>
        </w:rPr>
      </w:pPr>
      <w:r w:rsidRPr="00462593">
        <w:rPr>
          <w:noProof/>
        </w:rPr>
        <w:tab/>
        <w:t>a Tanács részéről</w:t>
      </w:r>
    </w:p>
    <w:p w:rsidR="00A670B3" w:rsidRPr="00462593" w:rsidRDefault="00625C92">
      <w:pPr>
        <w:pStyle w:val="Personnequisigne"/>
        <w:rPr>
          <w:noProof/>
        </w:rPr>
      </w:pPr>
      <w:r w:rsidRPr="00462593">
        <w:rPr>
          <w:noProof/>
        </w:rPr>
        <w:tab/>
        <w:t>az elnök</w:t>
      </w:r>
    </w:p>
    <w:sectPr w:rsidR="00A670B3" w:rsidRPr="00462593" w:rsidSect="00CD170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86" w:rsidRDefault="00D34186">
      <w:pPr>
        <w:spacing w:before="0" w:after="0"/>
      </w:pPr>
      <w:r>
        <w:separator/>
      </w:r>
    </w:p>
  </w:endnote>
  <w:endnote w:type="continuationSeparator" w:id="0">
    <w:p w:rsidR="00D34186" w:rsidRDefault="00D34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B3" w:rsidRPr="00CD170D" w:rsidRDefault="00CD170D" w:rsidP="00CD170D">
    <w:pPr>
      <w:pStyle w:val="Footer"/>
      <w:rPr>
        <w:rFonts w:ascii="Arial" w:hAnsi="Arial" w:cs="Arial"/>
        <w:b/>
        <w:sz w:val="48"/>
      </w:rPr>
    </w:pPr>
    <w:r w:rsidRPr="00CD170D">
      <w:rPr>
        <w:rFonts w:ascii="Arial" w:hAnsi="Arial" w:cs="Arial"/>
        <w:b/>
        <w:sz w:val="48"/>
      </w:rPr>
      <w:t>HU</w:t>
    </w:r>
    <w:r w:rsidRPr="00CD170D">
      <w:rPr>
        <w:rFonts w:ascii="Arial" w:hAnsi="Arial" w:cs="Arial"/>
        <w:b/>
        <w:sz w:val="48"/>
      </w:rPr>
      <w:tab/>
    </w:r>
    <w:r w:rsidRPr="00CD170D">
      <w:rPr>
        <w:rFonts w:ascii="Arial" w:hAnsi="Arial" w:cs="Arial"/>
        <w:b/>
        <w:sz w:val="48"/>
      </w:rPr>
      <w:tab/>
    </w:r>
    <w:r w:rsidRPr="00CD170D">
      <w:tab/>
    </w:r>
    <w:r w:rsidRPr="00CD170D">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0D" w:rsidRPr="00CD170D" w:rsidRDefault="00CD170D" w:rsidP="00CD170D">
    <w:pPr>
      <w:pStyle w:val="Footer"/>
      <w:rPr>
        <w:rFonts w:ascii="Arial" w:hAnsi="Arial" w:cs="Arial"/>
        <w:b/>
        <w:sz w:val="48"/>
      </w:rPr>
    </w:pPr>
    <w:r w:rsidRPr="00CD170D">
      <w:rPr>
        <w:rFonts w:ascii="Arial" w:hAnsi="Arial" w:cs="Arial"/>
        <w:b/>
        <w:sz w:val="48"/>
      </w:rPr>
      <w:t>HU</w:t>
    </w:r>
    <w:r w:rsidRPr="00CD170D">
      <w:rPr>
        <w:rFonts w:ascii="Arial" w:hAnsi="Arial" w:cs="Arial"/>
        <w:b/>
        <w:sz w:val="48"/>
      </w:rPr>
      <w:tab/>
    </w:r>
    <w:r>
      <w:fldChar w:fldCharType="begin"/>
    </w:r>
    <w:r>
      <w:instrText xml:space="preserve"> PAGE  \* MERGEFORMAT </w:instrText>
    </w:r>
    <w:r>
      <w:fldChar w:fldCharType="separate"/>
    </w:r>
    <w:r w:rsidR="00532123">
      <w:rPr>
        <w:noProof/>
      </w:rPr>
      <w:t>9</w:t>
    </w:r>
    <w:r>
      <w:fldChar w:fldCharType="end"/>
    </w:r>
    <w:r>
      <w:tab/>
    </w:r>
    <w:r w:rsidRPr="00CD170D">
      <w:tab/>
    </w:r>
    <w:r w:rsidRPr="00CD170D">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0D" w:rsidRPr="00CD170D" w:rsidRDefault="00CD170D" w:rsidP="00CD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86" w:rsidRDefault="00D34186">
      <w:pPr>
        <w:spacing w:before="0" w:after="0"/>
      </w:pPr>
      <w:r>
        <w:separator/>
      </w:r>
    </w:p>
  </w:footnote>
  <w:footnote w:type="continuationSeparator" w:id="0">
    <w:p w:rsidR="00D34186" w:rsidRDefault="00D34186">
      <w:pPr>
        <w:spacing w:before="0" w:after="0"/>
      </w:pPr>
      <w:r>
        <w:continuationSeparator/>
      </w:r>
    </w:p>
  </w:footnote>
  <w:footnote w:id="1">
    <w:p w:rsidR="005F0E00" w:rsidRDefault="005F0E00" w:rsidP="005F0E00">
      <w:pPr>
        <w:pStyle w:val="FootnoteText"/>
      </w:pPr>
      <w:r>
        <w:rPr>
          <w:rStyle w:val="FootnoteReference"/>
        </w:rPr>
        <w:footnoteRef/>
      </w:r>
      <w:r>
        <w:tab/>
        <w:t>https://unece.org/transport/dangerous-goods</w:t>
      </w:r>
    </w:p>
  </w:footnote>
  <w:footnote w:id="2">
    <w:p w:rsidR="005F0E00" w:rsidRDefault="005F0E00" w:rsidP="005F0E00">
      <w:pPr>
        <w:pStyle w:val="FootnoteText"/>
      </w:pPr>
      <w:r>
        <w:rPr>
          <w:rStyle w:val="FootnoteReference"/>
        </w:rPr>
        <w:footnoteRef/>
      </w:r>
      <w:r>
        <w:tab/>
        <w:t>https://unece.org/transport/documents/2022/06/standards/european-agreement-concerning-international-carriage</w:t>
      </w:r>
    </w:p>
  </w:footnote>
  <w:footnote w:id="3">
    <w:p w:rsidR="00A670B3" w:rsidRDefault="00625C92">
      <w:pPr>
        <w:pStyle w:val="FootnoteText"/>
      </w:pPr>
      <w:r>
        <w:rPr>
          <w:rStyle w:val="FootnoteReference"/>
        </w:rPr>
        <w:footnoteRef/>
      </w:r>
      <w:r>
        <w:tab/>
        <w:t>HL L 319., 1994.12.12., 7. o.</w:t>
      </w:r>
    </w:p>
  </w:footnote>
  <w:footnote w:id="4">
    <w:p w:rsidR="00A670B3" w:rsidRDefault="00625C92">
      <w:pPr>
        <w:pStyle w:val="FootnoteText"/>
      </w:pPr>
      <w:r>
        <w:rPr>
          <w:rStyle w:val="FootnoteReference"/>
        </w:rPr>
        <w:footnoteRef/>
      </w:r>
      <w:r>
        <w:tab/>
        <w:t>HL L 260., 2008.9.30., 13. o.</w:t>
      </w:r>
    </w:p>
  </w:footnote>
  <w:footnote w:id="5">
    <w:p w:rsidR="00AB03E6" w:rsidRDefault="00AB03E6" w:rsidP="00AB03E6">
      <w:pPr>
        <w:pStyle w:val="FootnoteText"/>
      </w:pPr>
      <w:r>
        <w:rPr>
          <w:rStyle w:val="FootnoteReference"/>
        </w:rPr>
        <w:footnoteRef/>
      </w:r>
      <w:r>
        <w:tab/>
        <w:t xml:space="preserve">A Bíróság 2014. október 7-i ítélete, Németország kontra Tanács, C-399/12, ECLI:EU:C:2014:2258, 64. pont. </w:t>
      </w:r>
    </w:p>
  </w:footnote>
  <w:footnote w:id="6">
    <w:p w:rsidR="00AB03E6" w:rsidRDefault="00AB03E6" w:rsidP="00AB03E6">
      <w:pPr>
        <w:pStyle w:val="FootnoteText"/>
      </w:pPr>
      <w:r>
        <w:rPr>
          <w:rStyle w:val="FootnoteReference"/>
        </w:rPr>
        <w:footnoteRef/>
      </w:r>
      <w:r>
        <w:tab/>
        <w:t xml:space="preserve">A Bíróság 2014. október 7-i ítélete, Németország kontra Tanács, C-399/12, ECLI:EU:C:2014:2258, 61–64. pont. </w:t>
      </w:r>
    </w:p>
  </w:footnote>
  <w:footnote w:id="7">
    <w:p w:rsidR="00A670B3" w:rsidRDefault="00625C92">
      <w:pPr>
        <w:pStyle w:val="FootnoteText"/>
      </w:pPr>
      <w:r>
        <w:rPr>
          <w:rStyle w:val="FootnoteReference"/>
        </w:rPr>
        <w:footnoteRef/>
      </w:r>
      <w:r>
        <w:tab/>
        <w:t>Az Európai Parlament és a Tanács 2008/68/EK irányelve (2008. szeptember 24.) a veszélyes áruk szárazföldi szállításáról (HL L 260., 2008.9.30., 13.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55E0D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526C38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C5EA5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4D2B9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EFAF4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16837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CA382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481F1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8-24 12:02:4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BAF24F1D-6D27-4D93-BC32-098F950DA7BA"/>
    <w:docVar w:name="LW_COVERPAGE_TYPE" w:val="1"/>
    <w:docVar w:name="LW_CROSSREFERENCE" w:val="&lt;UNUSED&gt;"/>
    <w:docVar w:name="LW_DocType" w:val="COM"/>
    <w:docVar w:name="LW_EMISSION" w:val="2022.9.2."/>
    <w:docVar w:name="LW_EMISSION_ISODATE" w:val="2022-09-02"/>
    <w:docVar w:name="LW_EMISSION_LOCATION" w:val="BRX"/>
    <w:docVar w:name="LW_EMISSION_PREFIX" w:val="Brüsszel,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258"/>
    <w:docVar w:name="LW_REF.II.NEW.CP_YEAR" w:val="2022"/>
    <w:docVar w:name="LW_REF.INST.NEW" w:val="COM"/>
    <w:docVar w:name="LW_REF.INST.NEW_ADOPTED" w:val="final"/>
    <w:docVar w:name="LW_REF.INST.NEW_TEXT" w:val="(2022)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Veszélyes Áruk Nemzetközi Közúti Szállításáról szóló Megállapodás (ADR) mellékleteinek módosításaira és a Veszélyes Áruk Nemzetközi Belvízi Szállításáról szóló Európai Megállapodáshoz (ADN) csatolt Szabályzat módosításaira vonatkozóan az Európai Unió által képviselendő álláspontról"/>
    <w:docVar w:name="LW_TYPE.DOC.CP" w:val="A TANÁCS HATÁROZATA"/>
    <w:docVar w:name="LwApiVersions" w:val="LW4CoDe 1.23.2.0; LW 8.0, Build 20211117"/>
  </w:docVars>
  <w:rsids>
    <w:rsidRoot w:val="00A670B3"/>
    <w:rsid w:val="00020189"/>
    <w:rsid w:val="0003694E"/>
    <w:rsid w:val="00037E8D"/>
    <w:rsid w:val="000B1FEB"/>
    <w:rsid w:val="00106BE5"/>
    <w:rsid w:val="00146CC2"/>
    <w:rsid w:val="00163C98"/>
    <w:rsid w:val="00175961"/>
    <w:rsid w:val="00182711"/>
    <w:rsid w:val="00183723"/>
    <w:rsid w:val="00186B64"/>
    <w:rsid w:val="001A5562"/>
    <w:rsid w:val="001A6550"/>
    <w:rsid w:val="001C21D7"/>
    <w:rsid w:val="001C53FA"/>
    <w:rsid w:val="001F2D8A"/>
    <w:rsid w:val="001F5FBF"/>
    <w:rsid w:val="001F6646"/>
    <w:rsid w:val="002145C1"/>
    <w:rsid w:val="00221FFC"/>
    <w:rsid w:val="00252855"/>
    <w:rsid w:val="00263AC6"/>
    <w:rsid w:val="002936A3"/>
    <w:rsid w:val="002F542E"/>
    <w:rsid w:val="00305785"/>
    <w:rsid w:val="003123D4"/>
    <w:rsid w:val="003306D4"/>
    <w:rsid w:val="00357C88"/>
    <w:rsid w:val="0036005B"/>
    <w:rsid w:val="0038601F"/>
    <w:rsid w:val="00390E6C"/>
    <w:rsid w:val="00391452"/>
    <w:rsid w:val="003C5A9B"/>
    <w:rsid w:val="00412813"/>
    <w:rsid w:val="00423A24"/>
    <w:rsid w:val="0043308B"/>
    <w:rsid w:val="004569FA"/>
    <w:rsid w:val="0045756B"/>
    <w:rsid w:val="00462593"/>
    <w:rsid w:val="004723D5"/>
    <w:rsid w:val="004908C6"/>
    <w:rsid w:val="004A45A6"/>
    <w:rsid w:val="004B114C"/>
    <w:rsid w:val="004B1BDE"/>
    <w:rsid w:val="004C14A1"/>
    <w:rsid w:val="004D072C"/>
    <w:rsid w:val="004D63AC"/>
    <w:rsid w:val="00500C04"/>
    <w:rsid w:val="00532123"/>
    <w:rsid w:val="00537CEB"/>
    <w:rsid w:val="005425A5"/>
    <w:rsid w:val="0054415C"/>
    <w:rsid w:val="00550A6C"/>
    <w:rsid w:val="00555A2A"/>
    <w:rsid w:val="00556929"/>
    <w:rsid w:val="00571852"/>
    <w:rsid w:val="00595BF5"/>
    <w:rsid w:val="005B3A76"/>
    <w:rsid w:val="005C257F"/>
    <w:rsid w:val="005C3750"/>
    <w:rsid w:val="005C3FDB"/>
    <w:rsid w:val="005F0E00"/>
    <w:rsid w:val="00625C92"/>
    <w:rsid w:val="00626682"/>
    <w:rsid w:val="00630DD5"/>
    <w:rsid w:val="00634C34"/>
    <w:rsid w:val="006430A1"/>
    <w:rsid w:val="00653FE7"/>
    <w:rsid w:val="00662E06"/>
    <w:rsid w:val="006B3374"/>
    <w:rsid w:val="006B6239"/>
    <w:rsid w:val="006F2F28"/>
    <w:rsid w:val="00700FBC"/>
    <w:rsid w:val="00701618"/>
    <w:rsid w:val="00783AFE"/>
    <w:rsid w:val="00783ECC"/>
    <w:rsid w:val="008005F9"/>
    <w:rsid w:val="008053E5"/>
    <w:rsid w:val="008100CA"/>
    <w:rsid w:val="008133FD"/>
    <w:rsid w:val="00815022"/>
    <w:rsid w:val="008204AB"/>
    <w:rsid w:val="00834751"/>
    <w:rsid w:val="008571EF"/>
    <w:rsid w:val="00891464"/>
    <w:rsid w:val="00895915"/>
    <w:rsid w:val="008B715F"/>
    <w:rsid w:val="008C408C"/>
    <w:rsid w:val="00902C6F"/>
    <w:rsid w:val="00912502"/>
    <w:rsid w:val="00914FF5"/>
    <w:rsid w:val="0092200E"/>
    <w:rsid w:val="0093311C"/>
    <w:rsid w:val="00937A6E"/>
    <w:rsid w:val="009637B4"/>
    <w:rsid w:val="00966FB8"/>
    <w:rsid w:val="0098268C"/>
    <w:rsid w:val="009910A3"/>
    <w:rsid w:val="00996709"/>
    <w:rsid w:val="009A173D"/>
    <w:rsid w:val="009B390B"/>
    <w:rsid w:val="00A0335D"/>
    <w:rsid w:val="00A0351B"/>
    <w:rsid w:val="00A328C1"/>
    <w:rsid w:val="00A34E1B"/>
    <w:rsid w:val="00A670B3"/>
    <w:rsid w:val="00A77F9C"/>
    <w:rsid w:val="00A8426A"/>
    <w:rsid w:val="00A91B86"/>
    <w:rsid w:val="00AA5FE8"/>
    <w:rsid w:val="00AB03E6"/>
    <w:rsid w:val="00AC484D"/>
    <w:rsid w:val="00AD08EE"/>
    <w:rsid w:val="00AE4B96"/>
    <w:rsid w:val="00AE795A"/>
    <w:rsid w:val="00B3625B"/>
    <w:rsid w:val="00B72C23"/>
    <w:rsid w:val="00B7448D"/>
    <w:rsid w:val="00B85B7F"/>
    <w:rsid w:val="00B9168D"/>
    <w:rsid w:val="00B97FBD"/>
    <w:rsid w:val="00BC76E9"/>
    <w:rsid w:val="00BF6924"/>
    <w:rsid w:val="00C77C6A"/>
    <w:rsid w:val="00C84587"/>
    <w:rsid w:val="00C946D8"/>
    <w:rsid w:val="00CB2EFD"/>
    <w:rsid w:val="00CB3893"/>
    <w:rsid w:val="00CD10A8"/>
    <w:rsid w:val="00CD170D"/>
    <w:rsid w:val="00CD6C75"/>
    <w:rsid w:val="00CE38E6"/>
    <w:rsid w:val="00CE5E27"/>
    <w:rsid w:val="00D34186"/>
    <w:rsid w:val="00D71F5C"/>
    <w:rsid w:val="00D835AA"/>
    <w:rsid w:val="00D83689"/>
    <w:rsid w:val="00D92A2C"/>
    <w:rsid w:val="00D93B8C"/>
    <w:rsid w:val="00DD2ECA"/>
    <w:rsid w:val="00DF190F"/>
    <w:rsid w:val="00E07F9B"/>
    <w:rsid w:val="00E17FC5"/>
    <w:rsid w:val="00E25CB0"/>
    <w:rsid w:val="00E5271E"/>
    <w:rsid w:val="00EA06A7"/>
    <w:rsid w:val="00ED5A0B"/>
    <w:rsid w:val="00ED681D"/>
    <w:rsid w:val="00EE0D60"/>
    <w:rsid w:val="00EE1578"/>
    <w:rsid w:val="00F0258B"/>
    <w:rsid w:val="00F37087"/>
    <w:rsid w:val="00F558D2"/>
    <w:rsid w:val="00F56E4C"/>
    <w:rsid w:val="00F72153"/>
    <w:rsid w:val="00F74354"/>
    <w:rsid w:val="00F84FF6"/>
    <w:rsid w:val="00F87C4E"/>
    <w:rsid w:val="00FB5093"/>
    <w:rsid w:val="00FD609C"/>
    <w:rsid w:val="00FE4AB1"/>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472ABB0-E0AC-4378-9D23-F6AD89E1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F37087"/>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CD170D"/>
    <w:pPr>
      <w:tabs>
        <w:tab w:val="center" w:pos="4535"/>
        <w:tab w:val="right" w:pos="9071"/>
      </w:tabs>
      <w:spacing w:before="0"/>
    </w:pPr>
  </w:style>
  <w:style w:type="character" w:customStyle="1" w:styleId="HeaderChar">
    <w:name w:val="Header Char"/>
    <w:basedOn w:val="DefaultParagraphFont"/>
    <w:link w:val="Header"/>
    <w:uiPriority w:val="99"/>
    <w:rsid w:val="00CD170D"/>
    <w:rPr>
      <w:rFonts w:ascii="Times New Roman" w:hAnsi="Times New Roman" w:cs="Times New Roman"/>
      <w:sz w:val="24"/>
      <w:lang w:val="hu-HU"/>
    </w:rPr>
  </w:style>
  <w:style w:type="paragraph" w:styleId="Footer">
    <w:name w:val="footer"/>
    <w:basedOn w:val="Normal"/>
    <w:link w:val="FooterChar"/>
    <w:uiPriority w:val="99"/>
    <w:unhideWhenUsed/>
    <w:rsid w:val="00CD170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D170D"/>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D170D"/>
    <w:pPr>
      <w:tabs>
        <w:tab w:val="center" w:pos="7285"/>
        <w:tab w:val="right" w:pos="14003"/>
      </w:tabs>
      <w:spacing w:before="0"/>
    </w:pPr>
  </w:style>
  <w:style w:type="paragraph" w:customStyle="1" w:styleId="FooterLandscape">
    <w:name w:val="FooterLandscape"/>
    <w:basedOn w:val="Normal"/>
    <w:rsid w:val="00CD170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D170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D170D"/>
    <w:pPr>
      <w:spacing w:before="0"/>
      <w:jc w:val="right"/>
    </w:pPr>
    <w:rPr>
      <w:sz w:val="28"/>
    </w:rPr>
  </w:style>
  <w:style w:type="paragraph" w:customStyle="1" w:styleId="FooterSensitivity">
    <w:name w:val="Footer Sensitivity"/>
    <w:basedOn w:val="Normal"/>
    <w:rsid w:val="00CD170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0"/>
      </w:numPr>
    </w:pPr>
  </w:style>
  <w:style w:type="paragraph" w:customStyle="1" w:styleId="Tiret1">
    <w:name w:val="Tiret 1"/>
    <w:basedOn w:val="Point1"/>
    <w:rsid w:val="00517205"/>
    <w:pPr>
      <w:numPr>
        <w:numId w:val="11"/>
      </w:numPr>
    </w:pPr>
  </w:style>
  <w:style w:type="paragraph" w:customStyle="1" w:styleId="Tiret2">
    <w:name w:val="Tiret 2"/>
    <w:basedOn w:val="Point2"/>
    <w:rsid w:val="00517205"/>
    <w:pPr>
      <w:numPr>
        <w:numId w:val="12"/>
      </w:numPr>
    </w:pPr>
  </w:style>
  <w:style w:type="paragraph" w:customStyle="1" w:styleId="Tiret3">
    <w:name w:val="Tiret 3"/>
    <w:basedOn w:val="Point3"/>
    <w:rsid w:val="00517205"/>
    <w:pPr>
      <w:numPr>
        <w:numId w:val="13"/>
      </w:numPr>
    </w:pPr>
  </w:style>
  <w:style w:type="paragraph" w:customStyle="1" w:styleId="Tiret4">
    <w:name w:val="Tiret 4"/>
    <w:basedOn w:val="Point4"/>
    <w:rsid w:val="00517205"/>
    <w:pPr>
      <w:numPr>
        <w:numId w:val="14"/>
      </w:numPr>
    </w:pPr>
  </w:style>
  <w:style w:type="paragraph" w:customStyle="1" w:styleId="Tiret5">
    <w:name w:val="Tiret 5"/>
    <w:basedOn w:val="Point5"/>
    <w:rsid w:val="00517205"/>
    <w:pPr>
      <w:numPr>
        <w:numId w:val="1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6"/>
      </w:numPr>
    </w:pPr>
  </w:style>
  <w:style w:type="paragraph" w:customStyle="1" w:styleId="NumPar2">
    <w:name w:val="NumPar 2"/>
    <w:basedOn w:val="Normal"/>
    <w:next w:val="Text1"/>
    <w:rsid w:val="00517205"/>
    <w:pPr>
      <w:numPr>
        <w:ilvl w:val="1"/>
        <w:numId w:val="16"/>
      </w:numPr>
    </w:pPr>
  </w:style>
  <w:style w:type="paragraph" w:customStyle="1" w:styleId="NumPar3">
    <w:name w:val="NumPar 3"/>
    <w:basedOn w:val="Normal"/>
    <w:next w:val="Text1"/>
    <w:rsid w:val="00517205"/>
    <w:pPr>
      <w:numPr>
        <w:ilvl w:val="2"/>
        <w:numId w:val="16"/>
      </w:numPr>
    </w:pPr>
  </w:style>
  <w:style w:type="paragraph" w:customStyle="1" w:styleId="NumPar4">
    <w:name w:val="NumPar 4"/>
    <w:basedOn w:val="Normal"/>
    <w:next w:val="Text1"/>
    <w:rsid w:val="00517205"/>
    <w:pPr>
      <w:numPr>
        <w:ilvl w:val="3"/>
        <w:numId w:val="16"/>
      </w:numPr>
    </w:pPr>
  </w:style>
  <w:style w:type="paragraph" w:customStyle="1" w:styleId="NumPar5">
    <w:name w:val="NumPar 5"/>
    <w:basedOn w:val="Normal"/>
    <w:next w:val="Text2"/>
    <w:rsid w:val="00517205"/>
    <w:pPr>
      <w:numPr>
        <w:ilvl w:val="4"/>
        <w:numId w:val="16"/>
      </w:numPr>
    </w:pPr>
  </w:style>
  <w:style w:type="paragraph" w:customStyle="1" w:styleId="NumPar6">
    <w:name w:val="NumPar 6"/>
    <w:basedOn w:val="Normal"/>
    <w:next w:val="Text2"/>
    <w:rsid w:val="00517205"/>
    <w:pPr>
      <w:numPr>
        <w:ilvl w:val="5"/>
        <w:numId w:val="16"/>
      </w:numPr>
    </w:pPr>
  </w:style>
  <w:style w:type="paragraph" w:customStyle="1" w:styleId="NumPar7">
    <w:name w:val="NumPar 7"/>
    <w:basedOn w:val="Normal"/>
    <w:next w:val="Text2"/>
    <w:rsid w:val="00517205"/>
    <w:pPr>
      <w:numPr>
        <w:ilvl w:val="6"/>
        <w:numId w:val="1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8"/>
      </w:numPr>
    </w:pPr>
  </w:style>
  <w:style w:type="paragraph" w:customStyle="1" w:styleId="Point1number">
    <w:name w:val="Point 1 (number)"/>
    <w:basedOn w:val="Normal"/>
    <w:rsid w:val="00517205"/>
    <w:pPr>
      <w:numPr>
        <w:ilvl w:val="2"/>
        <w:numId w:val="18"/>
      </w:numPr>
    </w:pPr>
  </w:style>
  <w:style w:type="paragraph" w:customStyle="1" w:styleId="Point2number">
    <w:name w:val="Point 2 (number)"/>
    <w:basedOn w:val="Normal"/>
    <w:rsid w:val="00517205"/>
    <w:pPr>
      <w:numPr>
        <w:ilvl w:val="4"/>
        <w:numId w:val="18"/>
      </w:numPr>
    </w:pPr>
  </w:style>
  <w:style w:type="paragraph" w:customStyle="1" w:styleId="Point3number">
    <w:name w:val="Point 3 (number)"/>
    <w:basedOn w:val="Normal"/>
    <w:rsid w:val="00517205"/>
    <w:pPr>
      <w:numPr>
        <w:ilvl w:val="6"/>
        <w:numId w:val="18"/>
      </w:numPr>
    </w:pPr>
  </w:style>
  <w:style w:type="paragraph" w:customStyle="1" w:styleId="Point0letter">
    <w:name w:val="Point 0 (letter)"/>
    <w:basedOn w:val="Normal"/>
    <w:rsid w:val="00517205"/>
    <w:pPr>
      <w:numPr>
        <w:ilvl w:val="1"/>
        <w:numId w:val="18"/>
      </w:numPr>
    </w:pPr>
  </w:style>
  <w:style w:type="paragraph" w:customStyle="1" w:styleId="Point1letter">
    <w:name w:val="Point 1 (letter)"/>
    <w:basedOn w:val="Normal"/>
    <w:rsid w:val="00517205"/>
    <w:pPr>
      <w:numPr>
        <w:ilvl w:val="3"/>
        <w:numId w:val="18"/>
      </w:numPr>
    </w:pPr>
  </w:style>
  <w:style w:type="paragraph" w:customStyle="1" w:styleId="Point2letter">
    <w:name w:val="Point 2 (letter)"/>
    <w:basedOn w:val="Normal"/>
    <w:rsid w:val="00517205"/>
    <w:pPr>
      <w:numPr>
        <w:ilvl w:val="5"/>
        <w:numId w:val="18"/>
      </w:numPr>
    </w:pPr>
  </w:style>
  <w:style w:type="paragraph" w:customStyle="1" w:styleId="Point3letter">
    <w:name w:val="Point 3 (letter)"/>
    <w:basedOn w:val="Normal"/>
    <w:rsid w:val="00517205"/>
    <w:pPr>
      <w:numPr>
        <w:ilvl w:val="7"/>
        <w:numId w:val="18"/>
      </w:numPr>
    </w:pPr>
  </w:style>
  <w:style w:type="paragraph" w:customStyle="1" w:styleId="Point4letter">
    <w:name w:val="Point 4 (letter)"/>
    <w:basedOn w:val="Normal"/>
    <w:rsid w:val="00517205"/>
    <w:pPr>
      <w:numPr>
        <w:ilvl w:val="8"/>
        <w:numId w:val="18"/>
      </w:numPr>
    </w:pPr>
  </w:style>
  <w:style w:type="paragraph" w:customStyle="1" w:styleId="Bullet0">
    <w:name w:val="Bullet 0"/>
    <w:basedOn w:val="Normal"/>
    <w:rsid w:val="00517205"/>
    <w:pPr>
      <w:numPr>
        <w:numId w:val="19"/>
      </w:numPr>
    </w:pPr>
  </w:style>
  <w:style w:type="paragraph" w:customStyle="1" w:styleId="Bullet1">
    <w:name w:val="Bullet 1"/>
    <w:basedOn w:val="Normal"/>
    <w:rsid w:val="00517205"/>
    <w:pPr>
      <w:numPr>
        <w:numId w:val="20"/>
      </w:numPr>
    </w:pPr>
  </w:style>
  <w:style w:type="paragraph" w:customStyle="1" w:styleId="Bullet2">
    <w:name w:val="Bullet 2"/>
    <w:basedOn w:val="Normal"/>
    <w:rsid w:val="00517205"/>
    <w:pPr>
      <w:numPr>
        <w:numId w:val="21"/>
      </w:numPr>
    </w:pPr>
  </w:style>
  <w:style w:type="paragraph" w:customStyle="1" w:styleId="Bullet3">
    <w:name w:val="Bullet 3"/>
    <w:basedOn w:val="Normal"/>
    <w:rsid w:val="00517205"/>
    <w:pPr>
      <w:numPr>
        <w:numId w:val="22"/>
      </w:numPr>
    </w:pPr>
  </w:style>
  <w:style w:type="paragraph" w:customStyle="1" w:styleId="Bullet4">
    <w:name w:val="Bullet 4"/>
    <w:basedOn w:val="Normal"/>
    <w:rsid w:val="00517205"/>
    <w:pPr>
      <w:numPr>
        <w:numId w:val="2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4DDB-0FDC-403D-8BC2-06EBFB54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10</Pages>
  <Words>2689</Words>
  <Characters>17780</Characters>
  <Application>Microsoft Office Word</Application>
  <DocSecurity>0</DocSecurity>
  <Lines>306</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47</cp:revision>
  <dcterms:created xsi:type="dcterms:W3CDTF">2022-08-05T08:18:00Z</dcterms:created>
  <dcterms:modified xsi:type="dcterms:W3CDTF">2022-08-24T10:02:00Z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8.0.1, Build 20220429</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2022-07-07T08:34:44Z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c4fa2bbb-339e-4a7e-8f86-8ac68db04bcf</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