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B07CD" w14:textId="11A9949F" w:rsidR="001112E6" w:rsidRDefault="003E271A" w:rsidP="003E271A">
      <w:pPr>
        <w:pStyle w:val="Pagedecouverture"/>
        <w:rPr>
          <w:noProof/>
        </w:rPr>
      </w:pPr>
      <w:r>
        <w:rPr>
          <w:noProof/>
        </w:rPr>
        <w:pict w14:anchorId="2CC58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C7C3A2B-7695-4AE9-B227-C73E58451786" style="width:455.25pt;height:355.5pt">
            <v:imagedata r:id="rId11" o:title=""/>
          </v:shape>
        </w:pict>
      </w:r>
    </w:p>
    <w:p w14:paraId="6F770794" w14:textId="77777777" w:rsidR="001112E6" w:rsidRDefault="001112E6" w:rsidP="001112E6">
      <w:pPr>
        <w:rPr>
          <w:noProof/>
        </w:rPr>
        <w:sectPr w:rsidR="001112E6" w:rsidSect="003E271A">
          <w:footerReference w:type="default" r:id="rId12"/>
          <w:pgSz w:w="11907" w:h="16839"/>
          <w:pgMar w:top="1134" w:right="1417" w:bottom="1134" w:left="1417" w:header="709" w:footer="709" w:gutter="0"/>
          <w:pgNumType w:start="0"/>
          <w:cols w:space="720"/>
          <w:docGrid w:linePitch="360"/>
        </w:sectPr>
      </w:pPr>
    </w:p>
    <w:p w14:paraId="446ABD3D" w14:textId="77777777" w:rsidR="00FE3FA5" w:rsidRDefault="00FE3FA5" w:rsidP="00FE3FA5">
      <w:pPr>
        <w:pStyle w:val="Exposdesmotifstitre"/>
        <w:rPr>
          <w:noProof/>
        </w:rPr>
      </w:pPr>
      <w:bookmarkStart w:id="0" w:name="_GoBack"/>
      <w:bookmarkEnd w:id="0"/>
      <w:r w:rsidRPr="00FE3FA5">
        <w:rPr>
          <w:noProof/>
        </w:rPr>
        <w:lastRenderedPageBreak/>
        <w:t>EXPLANATORY MEMORANDUM</w:t>
      </w:r>
    </w:p>
    <w:p w14:paraId="4DEAAC65" w14:textId="77777777" w:rsidR="00FE3FA5" w:rsidRPr="00FE3FA5" w:rsidRDefault="00FE3FA5" w:rsidP="005F1B23">
      <w:pPr>
        <w:rPr>
          <w:b/>
          <w:smallCaps/>
          <w:noProof/>
        </w:rPr>
      </w:pPr>
      <w:r w:rsidRPr="00FE3FA5">
        <w:rPr>
          <w:b/>
          <w:smallCaps/>
          <w:noProof/>
        </w:rPr>
        <w:t>1.</w:t>
      </w:r>
      <w:r w:rsidRPr="00FE3FA5">
        <w:rPr>
          <w:b/>
          <w:smallCaps/>
          <w:noProof/>
        </w:rPr>
        <w:tab/>
        <w:t>CONTEXT OF THE PROPOSAL</w:t>
      </w:r>
    </w:p>
    <w:p w14:paraId="3EE4735C" w14:textId="77777777" w:rsidR="00FE3FA5" w:rsidRPr="00FE3FA5" w:rsidRDefault="00FE3FA5" w:rsidP="005F1B23">
      <w:pPr>
        <w:rPr>
          <w:rFonts w:eastAsia="Arial Unicode MS"/>
          <w:b/>
          <w:noProof/>
        </w:rPr>
      </w:pPr>
      <w:r w:rsidRPr="00FE3FA5">
        <w:rPr>
          <w:rFonts w:eastAsia="Arial Unicode MS"/>
          <w:b/>
          <w:noProof/>
          <w:color w:val="000000"/>
          <w:u w:color="000000"/>
          <w:bdr w:val="nil"/>
          <w:lang w:val="en-US" w:eastAsia="en-GB"/>
        </w:rPr>
        <w:t>•</w:t>
      </w:r>
      <w:r w:rsidRPr="00FE3FA5">
        <w:rPr>
          <w:rFonts w:eastAsia="Arial Unicode MS"/>
          <w:b/>
          <w:noProof/>
          <w:color w:val="000000"/>
          <w:u w:color="000000"/>
          <w:bdr w:val="nil"/>
          <w:lang w:val="en-US" w:eastAsia="en-GB"/>
        </w:rPr>
        <w:tab/>
      </w:r>
      <w:r w:rsidRPr="00FE3FA5">
        <w:rPr>
          <w:rFonts w:eastAsia="Arial Unicode MS"/>
          <w:b/>
          <w:noProof/>
        </w:rPr>
        <w:t>Reasons for and objectives of the proposal</w:t>
      </w:r>
    </w:p>
    <w:p w14:paraId="5D2A7400" w14:textId="77777777" w:rsidR="00FE3FA5" w:rsidRPr="00FE3FA5" w:rsidRDefault="00FE3FA5" w:rsidP="005F1B23">
      <w:pPr>
        <w:rPr>
          <w:rFonts w:eastAsia="Arial Unicode MS"/>
          <w:noProof/>
          <w:u w:val="single"/>
        </w:rPr>
      </w:pPr>
      <w:r w:rsidRPr="00FE3FA5">
        <w:rPr>
          <w:rFonts w:eastAsia="Arial Unicode MS"/>
          <w:noProof/>
          <w:u w:val="single"/>
        </w:rPr>
        <w:t>The value of long-term care</w:t>
      </w:r>
    </w:p>
    <w:p w14:paraId="40B10D33" w14:textId="77777777" w:rsidR="00FE3FA5" w:rsidRPr="00FE3FA5" w:rsidRDefault="00B56D5E" w:rsidP="00CE740E">
      <w:pPr>
        <w:rPr>
          <w:noProof/>
          <w:szCs w:val="24"/>
        </w:rPr>
      </w:pPr>
      <w:r>
        <w:rPr>
          <w:rFonts w:eastAsia="Arial Unicode MS"/>
          <w:b/>
          <w:noProof/>
        </w:rPr>
        <w:t>Long-term care</w:t>
      </w:r>
      <w:r w:rsidR="00FE3FA5" w:rsidRPr="00D12A97">
        <w:rPr>
          <w:rStyle w:val="FootnoteReference"/>
          <w:noProof/>
        </w:rPr>
        <w:footnoteReference w:id="2"/>
      </w:r>
      <w:r w:rsidR="00FE3FA5" w:rsidRPr="00FE3FA5">
        <w:rPr>
          <w:rFonts w:eastAsia="Arial Unicode MS"/>
          <w:b/>
          <w:noProof/>
        </w:rPr>
        <w:t xml:space="preserve"> has an important social </w:t>
      </w:r>
      <w:r w:rsidR="00453B36">
        <w:rPr>
          <w:rFonts w:eastAsia="Arial Unicode MS"/>
          <w:b/>
          <w:noProof/>
        </w:rPr>
        <w:t xml:space="preserve">and economic </w:t>
      </w:r>
      <w:r w:rsidR="00FE3FA5" w:rsidRPr="00FE3FA5">
        <w:rPr>
          <w:rFonts w:eastAsia="Arial Unicode MS"/>
          <w:b/>
          <w:noProof/>
        </w:rPr>
        <w:t>role.</w:t>
      </w:r>
      <w:r w:rsidR="00FE3FA5" w:rsidRPr="00FE3FA5">
        <w:rPr>
          <w:rFonts w:eastAsia="Arial Unicode MS"/>
          <w:noProof/>
        </w:rPr>
        <w:t xml:space="preserve"> It </w:t>
      </w:r>
      <w:r w:rsidR="00085CA0">
        <w:rPr>
          <w:rFonts w:eastAsia="Arial Unicode MS"/>
          <w:noProof/>
        </w:rPr>
        <w:t>contributes</w:t>
      </w:r>
      <w:r w:rsidR="00085CA0" w:rsidRPr="00FE3FA5">
        <w:rPr>
          <w:rFonts w:eastAsia="Arial Unicode MS"/>
          <w:noProof/>
        </w:rPr>
        <w:t xml:space="preserve"> </w:t>
      </w:r>
      <w:r w:rsidR="00FE3FA5" w:rsidRPr="00FE3FA5">
        <w:rPr>
          <w:rFonts w:eastAsia="Arial Unicode MS"/>
          <w:noProof/>
        </w:rPr>
        <w:t>to ensur</w:t>
      </w:r>
      <w:r w:rsidR="00085CA0">
        <w:rPr>
          <w:rFonts w:eastAsia="Arial Unicode MS"/>
          <w:noProof/>
        </w:rPr>
        <w:t>ing</w:t>
      </w:r>
      <w:r w:rsidR="00FE3FA5" w:rsidRPr="00FE3FA5">
        <w:rPr>
          <w:rFonts w:eastAsia="Arial Unicode MS"/>
          <w:noProof/>
        </w:rPr>
        <w:t xml:space="preserve"> life in dignity and well-being of </w:t>
      </w:r>
      <w:r w:rsidR="00460680">
        <w:rPr>
          <w:rFonts w:eastAsia="Arial Unicode MS"/>
          <w:noProof/>
        </w:rPr>
        <w:t>those</w:t>
      </w:r>
      <w:r w:rsidR="00460680" w:rsidRPr="00FE3FA5">
        <w:rPr>
          <w:rFonts w:eastAsia="Arial Unicode MS"/>
          <w:noProof/>
        </w:rPr>
        <w:t xml:space="preserve"> </w:t>
      </w:r>
      <w:r w:rsidR="00FE3FA5" w:rsidRPr="00FE3FA5">
        <w:rPr>
          <w:rFonts w:eastAsia="Arial Unicode MS"/>
          <w:noProof/>
        </w:rPr>
        <w:t>in need of care</w:t>
      </w:r>
      <w:r w:rsidR="00460680">
        <w:rPr>
          <w:rFonts w:eastAsia="Arial Unicode MS"/>
          <w:noProof/>
        </w:rPr>
        <w:t>,</w:t>
      </w:r>
      <w:r w:rsidR="00FE3FA5" w:rsidRPr="00FE3FA5">
        <w:rPr>
          <w:rFonts w:eastAsia="Arial Unicode MS"/>
          <w:noProof/>
        </w:rPr>
        <w:t xml:space="preserve"> and </w:t>
      </w:r>
      <w:r w:rsidR="00913A18">
        <w:rPr>
          <w:rFonts w:eastAsia="Arial Unicode MS"/>
          <w:noProof/>
        </w:rPr>
        <w:t xml:space="preserve">to </w:t>
      </w:r>
      <w:r w:rsidR="00FE3FA5" w:rsidRPr="00FE3FA5">
        <w:rPr>
          <w:rFonts w:eastAsia="Arial Unicode MS"/>
          <w:noProof/>
        </w:rPr>
        <w:t>protect</w:t>
      </w:r>
      <w:r w:rsidR="00085CA0">
        <w:rPr>
          <w:rFonts w:eastAsia="Arial Unicode MS"/>
          <w:noProof/>
        </w:rPr>
        <w:t>ing</w:t>
      </w:r>
      <w:r w:rsidR="00FE3FA5" w:rsidRPr="00FE3FA5">
        <w:rPr>
          <w:rFonts w:eastAsia="Arial Unicode MS"/>
          <w:noProof/>
        </w:rPr>
        <w:t xml:space="preserve"> their </w:t>
      </w:r>
      <w:r w:rsidR="00652190">
        <w:rPr>
          <w:rFonts w:eastAsia="Arial Unicode MS"/>
          <w:noProof/>
        </w:rPr>
        <w:t>fundamental</w:t>
      </w:r>
      <w:r w:rsidR="00652190" w:rsidRPr="00FE3FA5">
        <w:rPr>
          <w:rFonts w:eastAsia="Arial Unicode MS"/>
          <w:noProof/>
        </w:rPr>
        <w:t xml:space="preserve"> </w:t>
      </w:r>
      <w:r w:rsidR="00FE3FA5" w:rsidRPr="00FE3FA5">
        <w:rPr>
          <w:rFonts w:eastAsia="Arial Unicode MS"/>
          <w:noProof/>
        </w:rPr>
        <w:t>rights</w:t>
      </w:r>
      <w:r w:rsidR="00460680">
        <w:rPr>
          <w:rFonts w:eastAsia="Arial Unicode MS"/>
          <w:noProof/>
        </w:rPr>
        <w:t>.</w:t>
      </w:r>
      <w:r w:rsidR="00FE3FA5" w:rsidRPr="00FE3FA5">
        <w:rPr>
          <w:rFonts w:eastAsia="Arial Unicode MS"/>
          <w:noProof/>
        </w:rPr>
        <w:t xml:space="preserve"> </w:t>
      </w:r>
      <w:r w:rsidR="00460680">
        <w:rPr>
          <w:rFonts w:eastAsia="Arial Unicode MS"/>
          <w:noProof/>
        </w:rPr>
        <w:t xml:space="preserve">It </w:t>
      </w:r>
      <w:r w:rsidR="00FE3FA5" w:rsidRPr="00FE3FA5">
        <w:rPr>
          <w:rFonts w:eastAsia="Arial Unicode MS"/>
          <w:noProof/>
        </w:rPr>
        <w:t>also reduc</w:t>
      </w:r>
      <w:r w:rsidR="00460680">
        <w:rPr>
          <w:rFonts w:eastAsia="Arial Unicode MS"/>
          <w:noProof/>
        </w:rPr>
        <w:t>es</w:t>
      </w:r>
      <w:r w:rsidR="00FE3FA5" w:rsidRPr="00FE3FA5">
        <w:rPr>
          <w:rFonts w:eastAsia="Arial Unicode MS"/>
          <w:noProof/>
        </w:rPr>
        <w:t xml:space="preserve"> inequalities, </w:t>
      </w:r>
      <w:r w:rsidR="00460680">
        <w:rPr>
          <w:rFonts w:eastAsia="Arial Unicode MS"/>
          <w:noProof/>
        </w:rPr>
        <w:t>thereby improving</w:t>
      </w:r>
      <w:r w:rsidR="00460680" w:rsidRPr="00FE3FA5">
        <w:rPr>
          <w:rFonts w:eastAsia="Arial Unicode MS"/>
          <w:noProof/>
        </w:rPr>
        <w:t xml:space="preserve"> </w:t>
      </w:r>
      <w:r w:rsidR="00FE3FA5" w:rsidRPr="00FE3FA5">
        <w:rPr>
          <w:rFonts w:eastAsia="Arial Unicode MS"/>
          <w:noProof/>
        </w:rPr>
        <w:t xml:space="preserve">social </w:t>
      </w:r>
      <w:r w:rsidR="00FE3FA5" w:rsidRPr="00DA494F">
        <w:rPr>
          <w:rFonts w:eastAsia="Arial Unicode MS"/>
          <w:noProof/>
        </w:rPr>
        <w:t xml:space="preserve">fairness and intergenerational solidarity. </w:t>
      </w:r>
      <w:r w:rsidR="00FA7358" w:rsidRPr="00EF6C0D">
        <w:rPr>
          <w:rFonts w:eastAsia="Arial Unicode MS"/>
          <w:noProof/>
        </w:rPr>
        <w:t xml:space="preserve">Investing in </w:t>
      </w:r>
      <w:r w:rsidR="00FA7358">
        <w:rPr>
          <w:rFonts w:eastAsia="Arial Unicode MS"/>
          <w:noProof/>
        </w:rPr>
        <w:t>long-term care</w:t>
      </w:r>
      <w:r w:rsidR="00FA7358" w:rsidRPr="00EF6C0D">
        <w:rPr>
          <w:rFonts w:eastAsia="Arial Unicode MS"/>
          <w:noProof/>
        </w:rPr>
        <w:t xml:space="preserve"> has economic returns</w:t>
      </w:r>
      <w:r w:rsidR="00FA7358">
        <w:rPr>
          <w:rFonts w:eastAsia="Arial Unicode MS"/>
          <w:noProof/>
        </w:rPr>
        <w:t>:</w:t>
      </w:r>
      <w:r w:rsidR="00FA7358" w:rsidRPr="003C741A">
        <w:rPr>
          <w:rFonts w:eastAsia="Arial Unicode MS"/>
          <w:noProof/>
        </w:rPr>
        <w:t xml:space="preserve"> it creates jobs </w:t>
      </w:r>
      <w:r w:rsidR="00FA7358" w:rsidRPr="002577D3">
        <w:rPr>
          <w:rFonts w:eastAsia="Arial Unicode MS"/>
          <w:noProof/>
        </w:rPr>
        <w:t>and unlocks labour r</w:t>
      </w:r>
      <w:r w:rsidR="00FA7358" w:rsidRPr="000E3C98">
        <w:rPr>
          <w:rFonts w:eastAsia="Arial Unicode MS"/>
          <w:noProof/>
        </w:rPr>
        <w:t>esources</w:t>
      </w:r>
      <w:r w:rsidR="00FA7358" w:rsidRPr="00FE3FA5">
        <w:rPr>
          <w:rFonts w:eastAsia="Arial Unicode MS"/>
          <w:noProof/>
        </w:rPr>
        <w:t xml:space="preserve"> for other sectors by alleviating the </w:t>
      </w:r>
      <w:r w:rsidR="00FA7358">
        <w:rPr>
          <w:rFonts w:eastAsia="Arial Unicode MS"/>
          <w:noProof/>
        </w:rPr>
        <w:t xml:space="preserve">family </w:t>
      </w:r>
      <w:r w:rsidR="00FA7358" w:rsidRPr="00FE3FA5">
        <w:rPr>
          <w:rFonts w:eastAsia="Arial Unicode MS"/>
          <w:noProof/>
        </w:rPr>
        <w:t>care burden.</w:t>
      </w:r>
      <w:r w:rsidR="00FA7358">
        <w:rPr>
          <w:rFonts w:eastAsia="Arial Unicode MS"/>
          <w:noProof/>
        </w:rPr>
        <w:t xml:space="preserve"> </w:t>
      </w:r>
      <w:r w:rsidR="00453B36" w:rsidRPr="00DA494F">
        <w:rPr>
          <w:rFonts w:eastAsia="Arial Unicode MS"/>
          <w:noProof/>
        </w:rPr>
        <w:t>A strong</w:t>
      </w:r>
      <w:r w:rsidR="00453B36" w:rsidRPr="007A5907">
        <w:rPr>
          <w:rFonts w:eastAsia="Arial Unicode MS"/>
          <w:noProof/>
        </w:rPr>
        <w:t xml:space="preserve"> </w:t>
      </w:r>
      <w:r>
        <w:rPr>
          <w:rFonts w:eastAsia="Arial Unicode MS"/>
          <w:noProof/>
        </w:rPr>
        <w:t>long-term care</w:t>
      </w:r>
      <w:r w:rsidR="00453B36" w:rsidRPr="007A5907">
        <w:rPr>
          <w:rFonts w:eastAsia="Arial Unicode MS"/>
          <w:noProof/>
        </w:rPr>
        <w:t xml:space="preserve"> sector can help foster gender equality</w:t>
      </w:r>
      <w:r w:rsidR="00652ED3">
        <w:rPr>
          <w:rFonts w:eastAsia="Arial Unicode MS"/>
          <w:noProof/>
        </w:rPr>
        <w:t>, as c</w:t>
      </w:r>
      <w:r w:rsidR="00453B36" w:rsidRPr="003C741A">
        <w:rPr>
          <w:noProof/>
          <w:szCs w:val="24"/>
        </w:rPr>
        <w:t>are responsibilities keep millions of women out of the labour market and/or in part-time work</w:t>
      </w:r>
      <w:r w:rsidR="00BD34D2">
        <w:rPr>
          <w:noProof/>
          <w:szCs w:val="24"/>
        </w:rPr>
        <w:t xml:space="preserve"> </w:t>
      </w:r>
      <w:r w:rsidR="00BD34D2" w:rsidRPr="00BD34D2">
        <w:rPr>
          <w:noProof/>
          <w:szCs w:val="24"/>
        </w:rPr>
        <w:t xml:space="preserve">with a negative impact on overall labour supply and, thus, potential growth. </w:t>
      </w:r>
      <w:r w:rsidR="00FD18EB">
        <w:rPr>
          <w:noProof/>
          <w:szCs w:val="24"/>
        </w:rPr>
        <w:t>Care responsibilities</w:t>
      </w:r>
      <w:r w:rsidR="00BD34D2" w:rsidRPr="00BD34D2">
        <w:rPr>
          <w:noProof/>
          <w:szCs w:val="24"/>
        </w:rPr>
        <w:t xml:space="preserve"> </w:t>
      </w:r>
      <w:r w:rsidR="00FD18EB">
        <w:rPr>
          <w:noProof/>
          <w:szCs w:val="24"/>
        </w:rPr>
        <w:t>may also have</w:t>
      </w:r>
      <w:r w:rsidR="00BD34D2">
        <w:rPr>
          <w:noProof/>
          <w:szCs w:val="24"/>
        </w:rPr>
        <w:t xml:space="preserve"> </w:t>
      </w:r>
      <w:r w:rsidR="00453B36" w:rsidRPr="002577D3">
        <w:rPr>
          <w:noProof/>
          <w:szCs w:val="24"/>
        </w:rPr>
        <w:t xml:space="preserve">a negative impact on </w:t>
      </w:r>
      <w:r w:rsidR="005F04AA">
        <w:rPr>
          <w:noProof/>
          <w:szCs w:val="24"/>
        </w:rPr>
        <w:t xml:space="preserve">women’s </w:t>
      </w:r>
      <w:r w:rsidR="00453B36" w:rsidRPr="000E3C98">
        <w:rPr>
          <w:noProof/>
          <w:szCs w:val="24"/>
        </w:rPr>
        <w:t xml:space="preserve">pay and </w:t>
      </w:r>
      <w:r w:rsidR="009C220A">
        <w:rPr>
          <w:noProof/>
          <w:szCs w:val="24"/>
        </w:rPr>
        <w:t>old</w:t>
      </w:r>
      <w:r w:rsidR="009C220A">
        <w:rPr>
          <w:noProof/>
          <w:szCs w:val="24"/>
          <w:lang w:val="en-IE"/>
        </w:rPr>
        <w:t xml:space="preserve">-age </w:t>
      </w:r>
      <w:r w:rsidR="00453B36" w:rsidRPr="000E3C98">
        <w:rPr>
          <w:noProof/>
          <w:szCs w:val="24"/>
        </w:rPr>
        <w:t>pensions</w:t>
      </w:r>
      <w:r w:rsidR="00913A18">
        <w:rPr>
          <w:noProof/>
          <w:szCs w:val="24"/>
        </w:rPr>
        <w:t>,</w:t>
      </w:r>
      <w:r w:rsidR="00453B36" w:rsidRPr="000E3C98">
        <w:rPr>
          <w:noProof/>
          <w:szCs w:val="24"/>
        </w:rPr>
        <w:t xml:space="preserve"> </w:t>
      </w:r>
      <w:r w:rsidR="0082401C">
        <w:rPr>
          <w:noProof/>
          <w:szCs w:val="24"/>
        </w:rPr>
        <w:t>meaning</w:t>
      </w:r>
      <w:r w:rsidR="00453B36" w:rsidRPr="000E3C98">
        <w:rPr>
          <w:noProof/>
          <w:szCs w:val="24"/>
        </w:rPr>
        <w:t xml:space="preserve"> many</w:t>
      </w:r>
      <w:r w:rsidR="00913A18">
        <w:rPr>
          <w:noProof/>
          <w:szCs w:val="24"/>
        </w:rPr>
        <w:t xml:space="preserve"> older </w:t>
      </w:r>
      <w:r w:rsidR="00453B36" w:rsidRPr="000E3C98">
        <w:rPr>
          <w:noProof/>
          <w:szCs w:val="24"/>
        </w:rPr>
        <w:t xml:space="preserve">women </w:t>
      </w:r>
      <w:r w:rsidR="0082401C">
        <w:rPr>
          <w:noProof/>
          <w:szCs w:val="24"/>
        </w:rPr>
        <w:t>a</w:t>
      </w:r>
      <w:r w:rsidR="00782BFC">
        <w:rPr>
          <w:noProof/>
          <w:szCs w:val="24"/>
        </w:rPr>
        <w:t>re</w:t>
      </w:r>
      <w:r w:rsidR="0082401C" w:rsidRPr="000E3C98">
        <w:rPr>
          <w:noProof/>
          <w:szCs w:val="24"/>
        </w:rPr>
        <w:t xml:space="preserve"> </w:t>
      </w:r>
      <w:r w:rsidR="00453B36" w:rsidRPr="000E3C98">
        <w:rPr>
          <w:noProof/>
          <w:szCs w:val="24"/>
        </w:rPr>
        <w:t xml:space="preserve">less able to afford </w:t>
      </w:r>
      <w:r w:rsidR="000E3C98">
        <w:rPr>
          <w:noProof/>
          <w:szCs w:val="24"/>
        </w:rPr>
        <w:t xml:space="preserve">the </w:t>
      </w:r>
      <w:r w:rsidR="00453B36" w:rsidRPr="000E3C98">
        <w:rPr>
          <w:noProof/>
          <w:szCs w:val="24"/>
        </w:rPr>
        <w:t>care they need</w:t>
      </w:r>
      <w:r w:rsidR="00913A18">
        <w:rPr>
          <w:noProof/>
          <w:szCs w:val="24"/>
        </w:rPr>
        <w:t>.</w:t>
      </w:r>
      <w:r w:rsidR="00453B36" w:rsidRPr="000E3C98">
        <w:rPr>
          <w:noProof/>
          <w:szCs w:val="24"/>
        </w:rPr>
        <w:t xml:space="preserve"> </w:t>
      </w:r>
      <w:r w:rsidR="00BD34D2">
        <w:rPr>
          <w:rFonts w:eastAsia="Arial Unicode MS"/>
          <w:noProof/>
        </w:rPr>
        <w:t>The lack of adequate formal long-term care means that the care burden sometime</w:t>
      </w:r>
      <w:r w:rsidR="00262967">
        <w:rPr>
          <w:rFonts w:eastAsia="Arial Unicode MS"/>
          <w:noProof/>
        </w:rPr>
        <w:t>s</w:t>
      </w:r>
      <w:r w:rsidR="00BD34D2">
        <w:rPr>
          <w:rFonts w:eastAsia="Arial Unicode MS"/>
          <w:noProof/>
        </w:rPr>
        <w:t xml:space="preserve"> falls on </w:t>
      </w:r>
      <w:r w:rsidR="00262967">
        <w:rPr>
          <w:rFonts w:eastAsia="Arial Unicode MS"/>
          <w:noProof/>
        </w:rPr>
        <w:t>family members</w:t>
      </w:r>
      <w:r w:rsidR="00BD34D2">
        <w:rPr>
          <w:rFonts w:eastAsia="Arial Unicode MS"/>
          <w:noProof/>
        </w:rPr>
        <w:t>, which</w:t>
      </w:r>
      <w:r w:rsidR="00FA7358">
        <w:rPr>
          <w:rFonts w:eastAsia="Arial Unicode MS"/>
          <w:noProof/>
        </w:rPr>
        <w:t xml:space="preserve"> can</w:t>
      </w:r>
      <w:r w:rsidR="00BD34D2">
        <w:rPr>
          <w:rFonts w:eastAsia="Arial Unicode MS"/>
          <w:noProof/>
        </w:rPr>
        <w:t xml:space="preserve"> negatively</w:t>
      </w:r>
      <w:r w:rsidR="00BD34D2" w:rsidRPr="00BD34D2">
        <w:rPr>
          <w:rFonts w:eastAsia="Arial Unicode MS"/>
          <w:noProof/>
        </w:rPr>
        <w:t xml:space="preserve"> affect </w:t>
      </w:r>
      <w:r w:rsidR="00AB641E">
        <w:rPr>
          <w:rFonts w:eastAsia="Arial Unicode MS"/>
          <w:noProof/>
        </w:rPr>
        <w:t xml:space="preserve">their </w:t>
      </w:r>
      <w:r w:rsidR="00BD34D2" w:rsidRPr="00BD34D2">
        <w:rPr>
          <w:rFonts w:eastAsia="Arial Unicode MS"/>
          <w:noProof/>
        </w:rPr>
        <w:t>health</w:t>
      </w:r>
      <w:r w:rsidR="005F04AA">
        <w:rPr>
          <w:rFonts w:eastAsia="Arial Unicode MS"/>
          <w:noProof/>
        </w:rPr>
        <w:t xml:space="preserve"> and well-being</w:t>
      </w:r>
      <w:r w:rsidR="00BD34D2">
        <w:rPr>
          <w:rFonts w:eastAsia="Arial Unicode MS"/>
          <w:noProof/>
        </w:rPr>
        <w:t>.</w:t>
      </w:r>
    </w:p>
    <w:p w14:paraId="63543844" w14:textId="77777777" w:rsidR="00FE3FA5" w:rsidRPr="00FE3FA5" w:rsidRDefault="00171514" w:rsidP="005F1B23">
      <w:pPr>
        <w:rPr>
          <w:rFonts w:eastAsia="Arial Unicode MS"/>
          <w:noProof/>
          <w:u w:val="single"/>
        </w:rPr>
      </w:pPr>
      <w:r>
        <w:rPr>
          <w:rFonts w:eastAsia="Arial Unicode MS"/>
          <w:noProof/>
          <w:u w:val="single"/>
        </w:rPr>
        <w:t>L</w:t>
      </w:r>
      <w:r w:rsidR="00B56D5E">
        <w:rPr>
          <w:rFonts w:eastAsia="Arial Unicode MS"/>
          <w:noProof/>
          <w:u w:val="single"/>
        </w:rPr>
        <w:t>ong-term care</w:t>
      </w:r>
      <w:r w:rsidR="00FE3FA5" w:rsidRPr="00FE3FA5">
        <w:rPr>
          <w:rFonts w:eastAsia="Arial Unicode MS"/>
          <w:noProof/>
          <w:u w:val="single"/>
        </w:rPr>
        <w:t xml:space="preserve"> needs</w:t>
      </w:r>
    </w:p>
    <w:p w14:paraId="30FF6145" w14:textId="77777777" w:rsidR="00321637" w:rsidRPr="00BC5D0C" w:rsidRDefault="00FE3FA5" w:rsidP="00321637">
      <w:pPr>
        <w:rPr>
          <w:noProof/>
          <w:szCs w:val="24"/>
        </w:rPr>
      </w:pPr>
      <w:r w:rsidRPr="005443B9">
        <w:rPr>
          <w:b/>
          <w:noProof/>
          <w:szCs w:val="24"/>
        </w:rPr>
        <w:t xml:space="preserve">Population ageing will increase the demand for </w:t>
      </w:r>
      <w:r w:rsidR="00B56D5E" w:rsidRPr="005443B9">
        <w:rPr>
          <w:b/>
          <w:noProof/>
          <w:szCs w:val="24"/>
        </w:rPr>
        <w:t>long-term care</w:t>
      </w:r>
      <w:r w:rsidR="009E6E7F" w:rsidRPr="005443B9">
        <w:rPr>
          <w:b/>
          <w:noProof/>
          <w:szCs w:val="24"/>
        </w:rPr>
        <w:t xml:space="preserve"> which is alre</w:t>
      </w:r>
      <w:r w:rsidR="005F04AA" w:rsidRPr="005443B9">
        <w:rPr>
          <w:b/>
          <w:noProof/>
          <w:szCs w:val="24"/>
        </w:rPr>
        <w:t>a</w:t>
      </w:r>
      <w:r w:rsidR="009E6E7F" w:rsidRPr="005443B9">
        <w:rPr>
          <w:b/>
          <w:noProof/>
          <w:szCs w:val="24"/>
        </w:rPr>
        <w:t xml:space="preserve">dy </w:t>
      </w:r>
      <w:r w:rsidR="009E6E7F" w:rsidRPr="00365E77">
        <w:rPr>
          <w:b/>
          <w:noProof/>
          <w:szCs w:val="24"/>
        </w:rPr>
        <w:t>high</w:t>
      </w:r>
      <w:r w:rsidRPr="002E4B27">
        <w:rPr>
          <w:b/>
          <w:noProof/>
          <w:szCs w:val="24"/>
        </w:rPr>
        <w:t>.</w:t>
      </w:r>
      <w:r w:rsidRPr="00FE3FA5">
        <w:rPr>
          <w:b/>
          <w:noProof/>
          <w:szCs w:val="24"/>
        </w:rPr>
        <w:t xml:space="preserve"> </w:t>
      </w:r>
      <w:r w:rsidRPr="00BC5D0C">
        <w:rPr>
          <w:bCs/>
          <w:noProof/>
        </w:rPr>
        <w:t>T</w:t>
      </w:r>
      <w:r w:rsidRPr="00BC5D0C">
        <w:rPr>
          <w:noProof/>
          <w:szCs w:val="24"/>
        </w:rPr>
        <w:t xml:space="preserve">he </w:t>
      </w:r>
      <w:r w:rsidRPr="009D4A1F">
        <w:rPr>
          <w:noProof/>
          <w:szCs w:val="24"/>
        </w:rPr>
        <w:t xml:space="preserve">number of </w:t>
      </w:r>
      <w:r w:rsidR="008E6462" w:rsidRPr="009D4A1F">
        <w:rPr>
          <w:noProof/>
          <w:szCs w:val="24"/>
        </w:rPr>
        <w:t xml:space="preserve">all </w:t>
      </w:r>
      <w:r w:rsidR="002C7EA4" w:rsidRPr="009D4A1F">
        <w:rPr>
          <w:noProof/>
          <w:szCs w:val="24"/>
        </w:rPr>
        <w:t>people</w:t>
      </w:r>
      <w:r w:rsidR="002C7EA4">
        <w:rPr>
          <w:noProof/>
          <w:szCs w:val="24"/>
        </w:rPr>
        <w:t xml:space="preserve"> across the </w:t>
      </w:r>
      <w:r w:rsidR="009E6E7F">
        <w:rPr>
          <w:noProof/>
          <w:szCs w:val="24"/>
        </w:rPr>
        <w:t>Union</w:t>
      </w:r>
      <w:r w:rsidR="002C7EA4">
        <w:rPr>
          <w:noProof/>
          <w:szCs w:val="24"/>
        </w:rPr>
        <w:t xml:space="preserve"> </w:t>
      </w:r>
      <w:r w:rsidRPr="00BC5D0C">
        <w:rPr>
          <w:noProof/>
          <w:szCs w:val="24"/>
        </w:rPr>
        <w:t>potential</w:t>
      </w:r>
      <w:r w:rsidR="00C76864">
        <w:rPr>
          <w:noProof/>
          <w:szCs w:val="24"/>
        </w:rPr>
        <w:t xml:space="preserve">ly in need of </w:t>
      </w:r>
      <w:r w:rsidR="00B56D5E">
        <w:rPr>
          <w:noProof/>
          <w:szCs w:val="24"/>
        </w:rPr>
        <w:t>long-term care</w:t>
      </w:r>
      <w:r w:rsidRPr="00BC5D0C">
        <w:rPr>
          <w:noProof/>
          <w:szCs w:val="24"/>
        </w:rPr>
        <w:t xml:space="preserve"> is expected to rise from about 30.8 million in 2019 to 33.7 million in 2030 and 38.1 million in 2050, corresponding to an overall increase of 23.5%</w:t>
      </w:r>
      <w:r w:rsidRPr="00D12A97">
        <w:rPr>
          <w:rStyle w:val="FootnoteReference"/>
          <w:noProof/>
        </w:rPr>
        <w:footnoteReference w:id="3"/>
      </w:r>
      <w:r w:rsidRPr="00BC5D0C">
        <w:rPr>
          <w:noProof/>
          <w:szCs w:val="24"/>
        </w:rPr>
        <w:t>.</w:t>
      </w:r>
      <w:r w:rsidR="00F61C88" w:rsidRPr="00BC5D0C">
        <w:rPr>
          <w:noProof/>
          <w:szCs w:val="24"/>
        </w:rPr>
        <w:t xml:space="preserve"> </w:t>
      </w:r>
      <w:r w:rsidR="00382790">
        <w:rPr>
          <w:noProof/>
          <w:szCs w:val="24"/>
        </w:rPr>
        <w:t>T</w:t>
      </w:r>
      <w:r w:rsidR="00925E76">
        <w:rPr>
          <w:noProof/>
          <w:szCs w:val="24"/>
        </w:rPr>
        <w:t>he pool of informal carers is diminishing, as</w:t>
      </w:r>
      <w:r w:rsidR="00715D86">
        <w:rPr>
          <w:noProof/>
          <w:szCs w:val="24"/>
        </w:rPr>
        <w:t xml:space="preserve"> </w:t>
      </w:r>
      <w:r w:rsidR="00321637" w:rsidRPr="00BC5D0C">
        <w:rPr>
          <w:noProof/>
          <w:szCs w:val="24"/>
        </w:rPr>
        <w:t>women who have traditionally carri</w:t>
      </w:r>
      <w:r w:rsidR="00B56D5E">
        <w:rPr>
          <w:noProof/>
          <w:szCs w:val="24"/>
        </w:rPr>
        <w:t>ed</w:t>
      </w:r>
      <w:r w:rsidR="00321637" w:rsidRPr="00BC5D0C">
        <w:rPr>
          <w:noProof/>
          <w:szCs w:val="24"/>
        </w:rPr>
        <w:t xml:space="preserve"> out most of the informal care burden </w:t>
      </w:r>
      <w:r w:rsidR="00321637">
        <w:rPr>
          <w:noProof/>
          <w:szCs w:val="24"/>
        </w:rPr>
        <w:t>are increasingly</w:t>
      </w:r>
      <w:r w:rsidR="00321637" w:rsidRPr="00BC5D0C">
        <w:rPr>
          <w:noProof/>
          <w:szCs w:val="24"/>
        </w:rPr>
        <w:t xml:space="preserve"> employed</w:t>
      </w:r>
      <w:r w:rsidR="00321637">
        <w:rPr>
          <w:noProof/>
          <w:szCs w:val="24"/>
        </w:rPr>
        <w:t xml:space="preserve"> </w:t>
      </w:r>
      <w:r w:rsidR="00321637" w:rsidRPr="00BC5D0C">
        <w:rPr>
          <w:noProof/>
          <w:szCs w:val="24"/>
        </w:rPr>
        <w:t xml:space="preserve">more </w:t>
      </w:r>
      <w:r w:rsidR="00321637">
        <w:rPr>
          <w:noProof/>
          <w:szCs w:val="24"/>
        </w:rPr>
        <w:t>and retiring later</w:t>
      </w:r>
      <w:r w:rsidR="00925E76">
        <w:rPr>
          <w:noProof/>
          <w:szCs w:val="24"/>
        </w:rPr>
        <w:t xml:space="preserve">. At the same time, </w:t>
      </w:r>
      <w:r w:rsidR="00321637">
        <w:rPr>
          <w:noProof/>
          <w:szCs w:val="24"/>
        </w:rPr>
        <w:t>d</w:t>
      </w:r>
      <w:r w:rsidR="00321637" w:rsidRPr="00BC5D0C">
        <w:rPr>
          <w:noProof/>
          <w:szCs w:val="24"/>
        </w:rPr>
        <w:t xml:space="preserve">emographic ageing </w:t>
      </w:r>
      <w:r w:rsidR="00BE4A9F">
        <w:rPr>
          <w:noProof/>
          <w:szCs w:val="24"/>
        </w:rPr>
        <w:t xml:space="preserve">also implies that </w:t>
      </w:r>
      <w:r w:rsidR="00BE4A9F">
        <w:rPr>
          <w:noProof/>
        </w:rPr>
        <w:t>the EU’s working-age population is projected to continue to decrease</w:t>
      </w:r>
      <w:r w:rsidR="00B56D5E">
        <w:rPr>
          <w:noProof/>
        </w:rPr>
        <w:t>.</w:t>
      </w:r>
      <w:r w:rsidR="00BE4A9F">
        <w:rPr>
          <w:noProof/>
        </w:rPr>
        <w:t xml:space="preserve"> </w:t>
      </w:r>
      <w:r w:rsidR="00B56D5E">
        <w:rPr>
          <w:noProof/>
        </w:rPr>
        <w:t xml:space="preserve">Along with an </w:t>
      </w:r>
      <w:r w:rsidR="00321637" w:rsidRPr="00BC5D0C">
        <w:rPr>
          <w:noProof/>
          <w:szCs w:val="24"/>
        </w:rPr>
        <w:t>increase</w:t>
      </w:r>
      <w:r w:rsidR="00BE4A9F">
        <w:rPr>
          <w:noProof/>
          <w:szCs w:val="24"/>
        </w:rPr>
        <w:t>d</w:t>
      </w:r>
      <w:r w:rsidR="00321637" w:rsidRPr="00BC5D0C">
        <w:rPr>
          <w:noProof/>
          <w:szCs w:val="24"/>
        </w:rPr>
        <w:t xml:space="preserve"> labour demand across different </w:t>
      </w:r>
      <w:r w:rsidR="00BE4A9F">
        <w:rPr>
          <w:noProof/>
          <w:szCs w:val="24"/>
        </w:rPr>
        <w:t xml:space="preserve">economic </w:t>
      </w:r>
      <w:r w:rsidR="004421EF">
        <w:rPr>
          <w:noProof/>
          <w:szCs w:val="24"/>
        </w:rPr>
        <w:t xml:space="preserve">sectors, </w:t>
      </w:r>
      <w:r w:rsidR="00B56D5E">
        <w:rPr>
          <w:noProof/>
          <w:szCs w:val="24"/>
        </w:rPr>
        <w:t xml:space="preserve">this </w:t>
      </w:r>
      <w:r w:rsidR="00321637" w:rsidRPr="00BC5D0C">
        <w:rPr>
          <w:noProof/>
          <w:szCs w:val="24"/>
        </w:rPr>
        <w:t>risk</w:t>
      </w:r>
      <w:r w:rsidR="00BE4A9F">
        <w:rPr>
          <w:noProof/>
          <w:szCs w:val="24"/>
        </w:rPr>
        <w:t>s</w:t>
      </w:r>
      <w:r w:rsidR="00321637" w:rsidRPr="00BC5D0C">
        <w:rPr>
          <w:noProof/>
          <w:szCs w:val="24"/>
        </w:rPr>
        <w:t xml:space="preserve"> </w:t>
      </w:r>
      <w:r w:rsidR="00925E76">
        <w:rPr>
          <w:noProof/>
          <w:szCs w:val="24"/>
        </w:rPr>
        <w:t>further reduc</w:t>
      </w:r>
      <w:r w:rsidR="00B56D5E">
        <w:rPr>
          <w:noProof/>
          <w:szCs w:val="24"/>
        </w:rPr>
        <w:t>ing</w:t>
      </w:r>
      <w:r w:rsidR="00321637" w:rsidRPr="00BC5D0C">
        <w:rPr>
          <w:noProof/>
          <w:szCs w:val="24"/>
        </w:rPr>
        <w:t xml:space="preserve"> the </w:t>
      </w:r>
      <w:r w:rsidR="00925E76">
        <w:rPr>
          <w:noProof/>
          <w:szCs w:val="24"/>
        </w:rPr>
        <w:t>supply</w:t>
      </w:r>
      <w:r w:rsidR="00321637" w:rsidRPr="00BC5D0C">
        <w:rPr>
          <w:noProof/>
          <w:szCs w:val="24"/>
        </w:rPr>
        <w:t xml:space="preserve"> of formal carers due to them moving to more attractive sectors</w:t>
      </w:r>
      <w:r w:rsidR="00321637">
        <w:rPr>
          <w:noProof/>
          <w:szCs w:val="24"/>
        </w:rPr>
        <w:t>.</w:t>
      </w:r>
    </w:p>
    <w:p w14:paraId="5043625E" w14:textId="77777777" w:rsidR="00FE3FA5" w:rsidRPr="00FE3FA5" w:rsidRDefault="00B56D5E" w:rsidP="002646A8">
      <w:pPr>
        <w:keepNext/>
        <w:widowControl w:val="0"/>
        <w:rPr>
          <w:rFonts w:eastAsia="Arial Unicode MS"/>
          <w:noProof/>
          <w:u w:val="single"/>
        </w:rPr>
      </w:pPr>
      <w:r>
        <w:rPr>
          <w:rFonts w:eastAsia="Arial Unicode MS"/>
          <w:noProof/>
          <w:u w:val="single"/>
        </w:rPr>
        <w:t>Long-term care</w:t>
      </w:r>
      <w:r w:rsidR="00FE3FA5" w:rsidRPr="00FE3FA5">
        <w:rPr>
          <w:rFonts w:eastAsia="Arial Unicode MS"/>
          <w:noProof/>
          <w:u w:val="single"/>
        </w:rPr>
        <w:t xml:space="preserve"> challenges</w:t>
      </w:r>
    </w:p>
    <w:p w14:paraId="442182DF" w14:textId="77777777" w:rsidR="00FE3FA5" w:rsidRPr="00FE3FA5" w:rsidRDefault="00B56D5E" w:rsidP="005F1B23">
      <w:pPr>
        <w:rPr>
          <w:rFonts w:eastAsia="Arial Unicode MS"/>
          <w:noProof/>
        </w:rPr>
      </w:pPr>
      <w:r>
        <w:rPr>
          <w:rFonts w:eastAsia="Arial Unicode MS"/>
          <w:b/>
          <w:noProof/>
        </w:rPr>
        <w:t>Long-term care</w:t>
      </w:r>
      <w:r w:rsidR="00FE3FA5" w:rsidRPr="00FE3FA5">
        <w:rPr>
          <w:rFonts w:eastAsia="Arial Unicode MS"/>
          <w:b/>
          <w:noProof/>
        </w:rPr>
        <w:t xml:space="preserve"> systems differ in terms of </w:t>
      </w:r>
      <w:r w:rsidR="009F1EF7">
        <w:rPr>
          <w:rFonts w:eastAsia="Arial Unicode MS"/>
          <w:b/>
          <w:noProof/>
        </w:rPr>
        <w:t>the</w:t>
      </w:r>
      <w:r>
        <w:rPr>
          <w:rFonts w:eastAsia="Arial Unicode MS"/>
          <w:b/>
          <w:noProof/>
        </w:rPr>
        <w:t>ir</w:t>
      </w:r>
      <w:r w:rsidR="009F1EF7">
        <w:rPr>
          <w:rFonts w:eastAsia="Arial Unicode MS"/>
          <w:b/>
          <w:noProof/>
        </w:rPr>
        <w:t xml:space="preserve"> </w:t>
      </w:r>
      <w:r w:rsidR="00FE3FA5" w:rsidRPr="00FE3FA5">
        <w:rPr>
          <w:rFonts w:eastAsia="Arial Unicode MS"/>
          <w:b/>
          <w:noProof/>
        </w:rPr>
        <w:t xml:space="preserve">design and maturity across the </w:t>
      </w:r>
      <w:r w:rsidR="009E6E7F">
        <w:rPr>
          <w:rFonts w:eastAsia="Arial Unicode MS"/>
          <w:b/>
          <w:noProof/>
        </w:rPr>
        <w:t>Union</w:t>
      </w:r>
      <w:r w:rsidR="00FE3FA5" w:rsidRPr="00FE3FA5">
        <w:rPr>
          <w:rFonts w:eastAsia="Arial Unicode MS"/>
          <w:b/>
          <w:noProof/>
        </w:rPr>
        <w:t xml:space="preserve"> but </w:t>
      </w:r>
      <w:r w:rsidR="00C621E7">
        <w:rPr>
          <w:rFonts w:eastAsia="Arial Unicode MS"/>
          <w:b/>
          <w:noProof/>
        </w:rPr>
        <w:t xml:space="preserve">they </w:t>
      </w:r>
      <w:r w:rsidR="00FE3FA5" w:rsidRPr="00FE3FA5">
        <w:rPr>
          <w:rFonts w:eastAsia="Arial Unicode MS"/>
          <w:b/>
          <w:noProof/>
        </w:rPr>
        <w:t>face common challenges</w:t>
      </w:r>
      <w:r w:rsidRPr="00B56D5E">
        <w:rPr>
          <w:rFonts w:eastAsia="Arial Unicode MS"/>
          <w:bCs/>
          <w:noProof/>
        </w:rPr>
        <w:t>.</w:t>
      </w:r>
      <w:r w:rsidR="00FE3FA5" w:rsidRPr="006F754B">
        <w:rPr>
          <w:rFonts w:eastAsia="Arial Unicode MS"/>
          <w:bCs/>
          <w:noProof/>
        </w:rPr>
        <w:t xml:space="preserve"> </w:t>
      </w:r>
      <w:r w:rsidRPr="006F754B">
        <w:rPr>
          <w:rFonts w:eastAsia="Arial Unicode MS"/>
          <w:bCs/>
          <w:noProof/>
        </w:rPr>
        <w:t>Th</w:t>
      </w:r>
      <w:r w:rsidR="009E6E7F">
        <w:rPr>
          <w:rFonts w:eastAsia="Arial Unicode MS"/>
          <w:bCs/>
          <w:noProof/>
        </w:rPr>
        <w:t>ose challenges are</w:t>
      </w:r>
      <w:r w:rsidRPr="006F754B">
        <w:rPr>
          <w:rFonts w:eastAsia="Arial Unicode MS"/>
          <w:bCs/>
          <w:noProof/>
        </w:rPr>
        <w:t xml:space="preserve"> </w:t>
      </w:r>
      <w:r w:rsidR="00FE3FA5" w:rsidRPr="00FE3FA5">
        <w:rPr>
          <w:rFonts w:eastAsia="Arial Unicode MS"/>
          <w:noProof/>
        </w:rPr>
        <w:t>relate</w:t>
      </w:r>
      <w:r w:rsidR="00207CE1">
        <w:rPr>
          <w:rFonts w:eastAsia="Arial Unicode MS"/>
          <w:noProof/>
        </w:rPr>
        <w:t>d</w:t>
      </w:r>
      <w:r w:rsidR="00FE3FA5" w:rsidRPr="00FE3FA5">
        <w:rPr>
          <w:rFonts w:eastAsia="Arial Unicode MS"/>
          <w:noProof/>
        </w:rPr>
        <w:t xml:space="preserve"> to affordability, availability, </w:t>
      </w:r>
      <w:r w:rsidR="00762175" w:rsidRPr="00FE3FA5">
        <w:rPr>
          <w:rFonts w:eastAsia="Arial Unicode MS"/>
          <w:noProof/>
        </w:rPr>
        <w:t>accessibility</w:t>
      </w:r>
      <w:r w:rsidR="00FE3FA5" w:rsidRPr="00FE3FA5">
        <w:rPr>
          <w:rFonts w:eastAsia="Arial Unicode MS"/>
          <w:noProof/>
        </w:rPr>
        <w:t xml:space="preserve"> and quality</w:t>
      </w:r>
      <w:r w:rsidR="00C621E7">
        <w:rPr>
          <w:rFonts w:eastAsia="Arial Unicode MS"/>
          <w:noProof/>
        </w:rPr>
        <w:t>, all</w:t>
      </w:r>
      <w:r w:rsidR="00FE3FA5" w:rsidRPr="00FE3FA5">
        <w:rPr>
          <w:rFonts w:eastAsia="Arial Unicode MS"/>
          <w:noProof/>
        </w:rPr>
        <w:t xml:space="preserve"> in the context of </w:t>
      </w:r>
      <w:r w:rsidR="00C76864">
        <w:rPr>
          <w:rFonts w:eastAsia="Arial Unicode MS"/>
          <w:noProof/>
        </w:rPr>
        <w:t>labour</w:t>
      </w:r>
      <w:r w:rsidR="00C76864" w:rsidRPr="00FE3FA5">
        <w:rPr>
          <w:rFonts w:eastAsia="Arial Unicode MS"/>
          <w:noProof/>
        </w:rPr>
        <w:t xml:space="preserve"> </w:t>
      </w:r>
      <w:r w:rsidR="00FE3FA5" w:rsidRPr="00FE3FA5">
        <w:rPr>
          <w:rFonts w:eastAsia="Arial Unicode MS"/>
          <w:noProof/>
        </w:rPr>
        <w:t>shortages</w:t>
      </w:r>
      <w:r w:rsidR="00EA12B3">
        <w:rPr>
          <w:rFonts w:eastAsia="Arial Unicode MS"/>
          <w:noProof/>
        </w:rPr>
        <w:t xml:space="preserve">, </w:t>
      </w:r>
      <w:r w:rsidR="00FE3FA5" w:rsidRPr="00FE3FA5">
        <w:rPr>
          <w:rFonts w:eastAsia="Arial Unicode MS"/>
          <w:noProof/>
        </w:rPr>
        <w:t>pressures on public funding</w:t>
      </w:r>
      <w:r w:rsidR="00FA7358">
        <w:rPr>
          <w:rFonts w:eastAsia="Arial Unicode MS"/>
          <w:noProof/>
        </w:rPr>
        <w:t>,</w:t>
      </w:r>
      <w:r w:rsidR="00EA12B3">
        <w:rPr>
          <w:rFonts w:eastAsia="Arial Unicode MS"/>
          <w:noProof/>
        </w:rPr>
        <w:t xml:space="preserve"> and complex governance</w:t>
      </w:r>
      <w:r w:rsidR="00FE3FA5" w:rsidRPr="00FE3FA5">
        <w:rPr>
          <w:rFonts w:eastAsia="Arial Unicode MS"/>
          <w:noProof/>
        </w:rPr>
        <w:t xml:space="preserve">. The structural weaknesses of </w:t>
      </w:r>
      <w:r>
        <w:rPr>
          <w:rFonts w:eastAsia="Arial Unicode MS"/>
          <w:noProof/>
        </w:rPr>
        <w:t>long-term care</w:t>
      </w:r>
      <w:r w:rsidR="00FE3FA5" w:rsidRPr="00FE3FA5">
        <w:rPr>
          <w:rFonts w:eastAsia="Arial Unicode MS"/>
          <w:noProof/>
        </w:rPr>
        <w:t xml:space="preserve"> systems have been put into the spotlight by the COVID-19 pandemic</w:t>
      </w:r>
      <w:r w:rsidR="00C621E7">
        <w:rPr>
          <w:rFonts w:eastAsia="Arial Unicode MS"/>
          <w:noProof/>
        </w:rPr>
        <w:t>.</w:t>
      </w:r>
      <w:r w:rsidR="00FE3FA5" w:rsidRPr="00FE3FA5">
        <w:rPr>
          <w:rFonts w:eastAsia="Arial Unicode MS"/>
          <w:noProof/>
        </w:rPr>
        <w:t xml:space="preserve"> </w:t>
      </w:r>
      <w:r w:rsidR="00171514">
        <w:rPr>
          <w:rFonts w:eastAsia="Arial Unicode MS"/>
          <w:noProof/>
        </w:rPr>
        <w:t>It</w:t>
      </w:r>
      <w:r w:rsidR="00C621E7" w:rsidRPr="00FE3FA5">
        <w:rPr>
          <w:rFonts w:eastAsia="Arial Unicode MS"/>
          <w:noProof/>
        </w:rPr>
        <w:t xml:space="preserve"> </w:t>
      </w:r>
      <w:r w:rsidR="00FE3FA5" w:rsidRPr="00FE3FA5">
        <w:rPr>
          <w:rFonts w:eastAsia="Arial Unicode MS"/>
          <w:noProof/>
        </w:rPr>
        <w:t xml:space="preserve">highlighted the need to strengthen the resilience of care systems </w:t>
      </w:r>
      <w:r w:rsidR="00C76864">
        <w:rPr>
          <w:rFonts w:eastAsia="Arial Unicode MS"/>
          <w:noProof/>
        </w:rPr>
        <w:t>to</w:t>
      </w:r>
      <w:r w:rsidR="00FE3FA5" w:rsidRPr="00FE3FA5">
        <w:rPr>
          <w:rFonts w:eastAsia="Arial Unicode MS"/>
          <w:noProof/>
        </w:rPr>
        <w:t xml:space="preserve"> external shocks and the </w:t>
      </w:r>
      <w:r w:rsidR="00913A18">
        <w:rPr>
          <w:rFonts w:eastAsia="Arial Unicode MS"/>
          <w:noProof/>
        </w:rPr>
        <w:t xml:space="preserve">pressing </w:t>
      </w:r>
      <w:r w:rsidR="00FE3FA5" w:rsidRPr="00FE3FA5">
        <w:rPr>
          <w:rFonts w:eastAsia="Arial Unicode MS"/>
          <w:noProof/>
        </w:rPr>
        <w:t xml:space="preserve">need for structural reforms and investments in </w:t>
      </w:r>
      <w:r>
        <w:rPr>
          <w:rFonts w:eastAsia="Arial Unicode MS"/>
          <w:noProof/>
        </w:rPr>
        <w:t>long-term care</w:t>
      </w:r>
      <w:r w:rsidR="00FE3FA5" w:rsidRPr="00FE3FA5">
        <w:rPr>
          <w:rFonts w:eastAsia="Arial Unicode MS"/>
          <w:noProof/>
        </w:rPr>
        <w:t>.</w:t>
      </w:r>
      <w:r w:rsidR="003F4044">
        <w:rPr>
          <w:rFonts w:eastAsia="Arial Unicode MS"/>
          <w:noProof/>
        </w:rPr>
        <w:t xml:space="preserve"> </w:t>
      </w:r>
    </w:p>
    <w:p w14:paraId="54A66CDE" w14:textId="77777777" w:rsidR="00FE3FA5" w:rsidRPr="00FE3FA5" w:rsidRDefault="00FE3FA5" w:rsidP="005443B9">
      <w:pPr>
        <w:keepNext/>
        <w:rPr>
          <w:rFonts w:eastAsia="Arial Unicode MS"/>
          <w:noProof/>
          <w:u w:val="single"/>
        </w:rPr>
      </w:pPr>
      <w:r w:rsidRPr="00FE3FA5">
        <w:rPr>
          <w:rFonts w:eastAsia="Arial Unicode MS"/>
          <w:noProof/>
          <w:u w:val="single"/>
        </w:rPr>
        <w:t>Affordability challenge</w:t>
      </w:r>
    </w:p>
    <w:p w14:paraId="0FAB61E9" w14:textId="77777777" w:rsidR="00FE3FA5" w:rsidRPr="00FE3FA5" w:rsidRDefault="00FE3FA5" w:rsidP="005F1B23">
      <w:pPr>
        <w:rPr>
          <w:rFonts w:eastAsia="Arial Unicode MS"/>
          <w:noProof/>
        </w:rPr>
      </w:pPr>
      <w:r w:rsidRPr="00FE3FA5">
        <w:rPr>
          <w:rFonts w:eastAsia="Arial Unicode MS"/>
          <w:b/>
          <w:noProof/>
        </w:rPr>
        <w:t xml:space="preserve">Financial reasons and the lack of adequate social </w:t>
      </w:r>
      <w:r w:rsidR="009F1EF7" w:rsidRPr="00FE3FA5">
        <w:rPr>
          <w:rFonts w:eastAsia="Arial Unicode MS"/>
          <w:b/>
          <w:noProof/>
        </w:rPr>
        <w:t>protection</w:t>
      </w:r>
      <w:r w:rsidRPr="00FE3FA5">
        <w:rPr>
          <w:rFonts w:eastAsia="Arial Unicode MS"/>
          <w:b/>
          <w:noProof/>
        </w:rPr>
        <w:t xml:space="preserve"> represent </w:t>
      </w:r>
      <w:r w:rsidR="00C76864">
        <w:rPr>
          <w:rFonts w:eastAsia="Arial Unicode MS"/>
          <w:b/>
          <w:noProof/>
        </w:rPr>
        <w:t>significant</w:t>
      </w:r>
      <w:r w:rsidR="00C76864" w:rsidRPr="00FE3FA5">
        <w:rPr>
          <w:rFonts w:eastAsia="Arial Unicode MS"/>
          <w:b/>
          <w:noProof/>
        </w:rPr>
        <w:t xml:space="preserve"> </w:t>
      </w:r>
      <w:r w:rsidRPr="00FE3FA5">
        <w:rPr>
          <w:rFonts w:eastAsia="Arial Unicode MS"/>
          <w:b/>
          <w:noProof/>
        </w:rPr>
        <w:t>barrier</w:t>
      </w:r>
      <w:r w:rsidR="00C621E7">
        <w:rPr>
          <w:rFonts w:eastAsia="Arial Unicode MS"/>
          <w:b/>
          <w:noProof/>
        </w:rPr>
        <w:t>s</w:t>
      </w:r>
      <w:r w:rsidRPr="00FE3FA5">
        <w:rPr>
          <w:rFonts w:eastAsia="Arial Unicode MS"/>
          <w:b/>
          <w:noProof/>
        </w:rPr>
        <w:t xml:space="preserve"> to accessing </w:t>
      </w:r>
      <w:r w:rsidR="00B56D5E">
        <w:rPr>
          <w:rFonts w:eastAsia="Arial Unicode MS"/>
          <w:b/>
          <w:noProof/>
        </w:rPr>
        <w:t>long-term care</w:t>
      </w:r>
      <w:r w:rsidRPr="00FE3FA5">
        <w:rPr>
          <w:rFonts w:eastAsia="Arial Unicode MS"/>
          <w:b/>
          <w:noProof/>
        </w:rPr>
        <w:t xml:space="preserve">. </w:t>
      </w:r>
      <w:r w:rsidR="00297EB9">
        <w:rPr>
          <w:rFonts w:eastAsia="Arial Unicode MS"/>
          <w:noProof/>
        </w:rPr>
        <w:t xml:space="preserve">The risk </w:t>
      </w:r>
      <w:r w:rsidR="00F34016">
        <w:rPr>
          <w:rFonts w:eastAsia="Arial Unicode MS"/>
          <w:noProof/>
        </w:rPr>
        <w:t xml:space="preserve">that arises from </w:t>
      </w:r>
      <w:r w:rsidR="008A6C64">
        <w:rPr>
          <w:rFonts w:eastAsia="Arial Unicode MS"/>
          <w:noProof/>
        </w:rPr>
        <w:t>having</w:t>
      </w:r>
      <w:r w:rsidR="00BE3664">
        <w:rPr>
          <w:rFonts w:eastAsia="Arial Unicode MS"/>
          <w:noProof/>
        </w:rPr>
        <w:t xml:space="preserve"> </w:t>
      </w:r>
      <w:r w:rsidR="00B56D5E">
        <w:rPr>
          <w:rFonts w:eastAsia="Arial Unicode MS"/>
          <w:noProof/>
        </w:rPr>
        <w:t>long-term care</w:t>
      </w:r>
      <w:r w:rsidR="00297EB9">
        <w:rPr>
          <w:rFonts w:eastAsia="Arial Unicode MS"/>
          <w:noProof/>
        </w:rPr>
        <w:t xml:space="preserve"> needs is </w:t>
      </w:r>
      <w:r w:rsidRPr="00FE3FA5">
        <w:rPr>
          <w:rFonts w:eastAsia="Arial Unicode MS"/>
          <w:noProof/>
        </w:rPr>
        <w:t xml:space="preserve">generally less </w:t>
      </w:r>
      <w:r w:rsidR="00297EB9">
        <w:rPr>
          <w:rFonts w:eastAsia="Arial Unicode MS"/>
          <w:noProof/>
        </w:rPr>
        <w:t xml:space="preserve">covered by existing social protection systems than other </w:t>
      </w:r>
      <w:r w:rsidRPr="00FE3FA5">
        <w:rPr>
          <w:rFonts w:eastAsia="Arial Unicode MS"/>
          <w:noProof/>
        </w:rPr>
        <w:t xml:space="preserve">common risks (e.g. </w:t>
      </w:r>
      <w:r w:rsidR="00B057FD">
        <w:rPr>
          <w:rFonts w:eastAsia="Arial Unicode MS"/>
          <w:noProof/>
        </w:rPr>
        <w:t>old</w:t>
      </w:r>
      <w:r w:rsidR="00C621E7">
        <w:rPr>
          <w:rFonts w:eastAsia="Arial Unicode MS"/>
          <w:noProof/>
        </w:rPr>
        <w:t>-</w:t>
      </w:r>
      <w:r w:rsidR="00B057FD">
        <w:rPr>
          <w:rFonts w:eastAsia="Arial Unicode MS"/>
          <w:noProof/>
        </w:rPr>
        <w:t>age income</w:t>
      </w:r>
      <w:r w:rsidR="00B057FD" w:rsidRPr="00FE3FA5">
        <w:rPr>
          <w:rFonts w:eastAsia="Arial Unicode MS"/>
          <w:noProof/>
        </w:rPr>
        <w:t xml:space="preserve"> </w:t>
      </w:r>
      <w:r w:rsidRPr="00FE3FA5">
        <w:rPr>
          <w:rFonts w:eastAsia="Arial Unicode MS"/>
          <w:noProof/>
        </w:rPr>
        <w:t xml:space="preserve">and healthcare) and social protection </w:t>
      </w:r>
      <w:r w:rsidR="00C621E7" w:rsidRPr="00FE3FA5">
        <w:rPr>
          <w:rFonts w:eastAsia="Arial Unicode MS"/>
          <w:noProof/>
        </w:rPr>
        <w:t xml:space="preserve">arrangements </w:t>
      </w:r>
      <w:r w:rsidRPr="00FE3FA5">
        <w:rPr>
          <w:rFonts w:eastAsia="Arial Unicode MS"/>
          <w:noProof/>
        </w:rPr>
        <w:t xml:space="preserve">vary across the </w:t>
      </w:r>
      <w:r w:rsidR="009E6E7F">
        <w:rPr>
          <w:rFonts w:eastAsia="Arial Unicode MS"/>
          <w:noProof/>
        </w:rPr>
        <w:t>Union</w:t>
      </w:r>
      <w:r w:rsidRPr="00FE3FA5">
        <w:rPr>
          <w:rFonts w:eastAsia="Arial Unicode MS"/>
          <w:noProof/>
        </w:rPr>
        <w:t>. In some</w:t>
      </w:r>
      <w:r w:rsidR="00C621E7">
        <w:rPr>
          <w:rFonts w:eastAsia="Arial Unicode MS"/>
          <w:noProof/>
        </w:rPr>
        <w:t xml:space="preserve"> countries</w:t>
      </w:r>
      <w:r w:rsidRPr="00FE3FA5">
        <w:rPr>
          <w:rFonts w:eastAsia="Arial Unicode MS"/>
          <w:noProof/>
        </w:rPr>
        <w:t xml:space="preserve">, public support is available only to a small </w:t>
      </w:r>
      <w:r w:rsidR="00C621E7">
        <w:rPr>
          <w:rFonts w:eastAsia="Arial Unicode MS"/>
          <w:noProof/>
        </w:rPr>
        <w:t>proportion</w:t>
      </w:r>
      <w:r w:rsidR="00C621E7" w:rsidRPr="00FE3FA5">
        <w:rPr>
          <w:rFonts w:eastAsia="Arial Unicode MS"/>
          <w:noProof/>
        </w:rPr>
        <w:t xml:space="preserve"> </w:t>
      </w:r>
      <w:r w:rsidRPr="00FE3FA5">
        <w:rPr>
          <w:rFonts w:eastAsia="Arial Unicode MS"/>
          <w:noProof/>
        </w:rPr>
        <w:t xml:space="preserve">of </w:t>
      </w:r>
      <w:r w:rsidR="00C621E7">
        <w:rPr>
          <w:rFonts w:eastAsia="Arial Unicode MS"/>
          <w:noProof/>
        </w:rPr>
        <w:t>people</w:t>
      </w:r>
      <w:r w:rsidR="00C621E7" w:rsidRPr="00FE3FA5">
        <w:rPr>
          <w:rFonts w:eastAsia="Arial Unicode MS"/>
          <w:noProof/>
        </w:rPr>
        <w:t xml:space="preserve"> </w:t>
      </w:r>
      <w:r w:rsidRPr="00FE3FA5">
        <w:rPr>
          <w:rFonts w:eastAsia="Arial Unicode MS"/>
          <w:noProof/>
        </w:rPr>
        <w:t xml:space="preserve">with </w:t>
      </w:r>
      <w:r w:rsidR="00B56D5E">
        <w:rPr>
          <w:rFonts w:eastAsia="Arial Unicode MS"/>
          <w:noProof/>
        </w:rPr>
        <w:t>long-term care</w:t>
      </w:r>
      <w:r w:rsidRPr="00FE3FA5">
        <w:rPr>
          <w:rFonts w:eastAsia="Arial Unicode MS"/>
          <w:noProof/>
        </w:rPr>
        <w:t xml:space="preserve"> needs. </w:t>
      </w:r>
      <w:r w:rsidR="008C7D93">
        <w:rPr>
          <w:rFonts w:eastAsia="Arial Unicode MS"/>
          <w:noProof/>
        </w:rPr>
        <w:t>W</w:t>
      </w:r>
      <w:r w:rsidRPr="00FE3FA5">
        <w:rPr>
          <w:rFonts w:eastAsia="Arial Unicode MS"/>
          <w:noProof/>
        </w:rPr>
        <w:t>hen available, social protection is often inadequate</w:t>
      </w:r>
      <w:r w:rsidR="00D45457">
        <w:rPr>
          <w:rFonts w:eastAsia="Arial Unicode MS"/>
          <w:noProof/>
        </w:rPr>
        <w:t>. E</w:t>
      </w:r>
      <w:r w:rsidRPr="00FE3FA5">
        <w:rPr>
          <w:rFonts w:eastAsia="Arial Unicode MS"/>
          <w:noProof/>
        </w:rPr>
        <w:t xml:space="preserve">ven after receiving support, on average, nearly half of older </w:t>
      </w:r>
      <w:r w:rsidR="00840B97">
        <w:rPr>
          <w:rFonts w:eastAsia="Arial Unicode MS"/>
          <w:noProof/>
        </w:rPr>
        <w:t>people</w:t>
      </w:r>
      <w:r w:rsidR="00840B97" w:rsidRPr="00FE3FA5">
        <w:rPr>
          <w:rFonts w:eastAsia="Arial Unicode MS"/>
          <w:noProof/>
        </w:rPr>
        <w:t xml:space="preserve"> </w:t>
      </w:r>
      <w:r w:rsidRPr="00FE3FA5">
        <w:rPr>
          <w:rFonts w:eastAsia="Arial Unicode MS"/>
          <w:noProof/>
        </w:rPr>
        <w:t xml:space="preserve">with </w:t>
      </w:r>
      <w:r w:rsidR="00B56D5E">
        <w:rPr>
          <w:rFonts w:eastAsia="Arial Unicode MS"/>
          <w:noProof/>
        </w:rPr>
        <w:t>long-term care</w:t>
      </w:r>
      <w:r w:rsidRPr="00FE3FA5">
        <w:rPr>
          <w:rFonts w:eastAsia="Arial Unicode MS"/>
          <w:noProof/>
        </w:rPr>
        <w:t xml:space="preserve"> needs are estimated to be below the poverty threshold after meeting the out-of-pocket costs of </w:t>
      </w:r>
      <w:r w:rsidR="00406C66">
        <w:rPr>
          <w:rFonts w:eastAsia="Arial Unicode MS"/>
          <w:noProof/>
        </w:rPr>
        <w:t>home care</w:t>
      </w:r>
      <w:r w:rsidRPr="00D12A97">
        <w:rPr>
          <w:rStyle w:val="FootnoteReference"/>
          <w:noProof/>
        </w:rPr>
        <w:footnoteReference w:id="4"/>
      </w:r>
      <w:r w:rsidRPr="00FE3FA5">
        <w:rPr>
          <w:rFonts w:eastAsia="Arial Unicode MS"/>
          <w:noProof/>
        </w:rPr>
        <w:t>.</w:t>
      </w:r>
    </w:p>
    <w:p w14:paraId="3CD7D247" w14:textId="77777777" w:rsidR="00FE3FA5" w:rsidRPr="00FE3FA5" w:rsidRDefault="00FE3FA5" w:rsidP="007A5907">
      <w:pPr>
        <w:keepNext/>
        <w:rPr>
          <w:rFonts w:eastAsia="Arial Unicode MS"/>
          <w:noProof/>
          <w:u w:val="single"/>
        </w:rPr>
      </w:pPr>
      <w:r w:rsidRPr="00FE3FA5">
        <w:rPr>
          <w:rFonts w:eastAsia="Arial Unicode MS"/>
          <w:noProof/>
          <w:u w:val="single"/>
        </w:rPr>
        <w:t>Availability and accessibility challenge</w:t>
      </w:r>
    </w:p>
    <w:p w14:paraId="3EAAD532" w14:textId="77777777" w:rsidR="00FE3FA5" w:rsidRPr="00FE3FA5" w:rsidRDefault="006F4EE7" w:rsidP="00EF6C0D">
      <w:pPr>
        <w:rPr>
          <w:rFonts w:cstheme="minorHAnsi"/>
          <w:noProof/>
        </w:rPr>
      </w:pPr>
      <w:r w:rsidRPr="0057344C">
        <w:rPr>
          <w:rFonts w:eastAsia="Arial Unicode MS"/>
          <w:b/>
          <w:noProof/>
        </w:rPr>
        <w:t xml:space="preserve">Access to and </w:t>
      </w:r>
      <w:r w:rsidR="00E26BE9" w:rsidRPr="0057344C">
        <w:rPr>
          <w:rFonts w:eastAsia="Arial Unicode MS"/>
          <w:b/>
          <w:noProof/>
        </w:rPr>
        <w:t xml:space="preserve">the </w:t>
      </w:r>
      <w:r w:rsidR="00FE3FA5" w:rsidRPr="0057344C">
        <w:rPr>
          <w:rFonts w:eastAsia="Arial Unicode MS"/>
          <w:b/>
          <w:noProof/>
        </w:rPr>
        <w:t xml:space="preserve">variety of </w:t>
      </w:r>
      <w:r w:rsidR="00B56D5E" w:rsidRPr="0057344C">
        <w:rPr>
          <w:rFonts w:eastAsia="Arial Unicode MS"/>
          <w:b/>
          <w:noProof/>
        </w:rPr>
        <w:t>long-term care</w:t>
      </w:r>
      <w:r w:rsidR="00FE3FA5" w:rsidRPr="0057344C">
        <w:rPr>
          <w:rFonts w:eastAsia="Arial Unicode MS"/>
          <w:b/>
          <w:noProof/>
        </w:rPr>
        <w:t xml:space="preserve"> options </w:t>
      </w:r>
      <w:r w:rsidR="00466144" w:rsidRPr="0057344C">
        <w:rPr>
          <w:rFonts w:eastAsia="Arial Unicode MS"/>
          <w:b/>
          <w:noProof/>
        </w:rPr>
        <w:t>are</w:t>
      </w:r>
      <w:r w:rsidR="00FE3FA5" w:rsidRPr="0057344C">
        <w:rPr>
          <w:rFonts w:eastAsia="Arial Unicode MS"/>
          <w:b/>
          <w:noProof/>
        </w:rPr>
        <w:t xml:space="preserve"> insufficient</w:t>
      </w:r>
      <w:r w:rsidR="00FB3034" w:rsidRPr="0057344C">
        <w:rPr>
          <w:rFonts w:eastAsia="Arial Unicode MS"/>
          <w:b/>
          <w:noProof/>
        </w:rPr>
        <w:t>, raising equity concerns</w:t>
      </w:r>
      <w:r w:rsidR="00FE3FA5" w:rsidRPr="0057344C">
        <w:rPr>
          <w:rFonts w:eastAsia="Arial Unicode MS"/>
          <w:b/>
          <w:noProof/>
        </w:rPr>
        <w:t>.</w:t>
      </w:r>
      <w:r w:rsidR="00FE3FA5" w:rsidRPr="00FE3FA5">
        <w:rPr>
          <w:rFonts w:eastAsia="Arial Unicode MS"/>
          <w:b/>
          <w:noProof/>
        </w:rPr>
        <w:t xml:space="preserve"> </w:t>
      </w:r>
      <w:r w:rsidR="00FE3FA5" w:rsidRPr="00FE3FA5">
        <w:rPr>
          <w:rFonts w:eastAsia="Arial Unicode MS"/>
          <w:noProof/>
        </w:rPr>
        <w:t xml:space="preserve">The traditional choice </w:t>
      </w:r>
      <w:r w:rsidR="008C7D93">
        <w:rPr>
          <w:rFonts w:eastAsia="Arial Unicode MS"/>
          <w:noProof/>
        </w:rPr>
        <w:t xml:space="preserve">of care options </w:t>
      </w:r>
      <w:r w:rsidR="00FE3FA5" w:rsidRPr="00FE3FA5">
        <w:rPr>
          <w:rFonts w:eastAsia="Arial Unicode MS"/>
          <w:noProof/>
        </w:rPr>
        <w:t>has been between informal care (usually provided by family member</w:t>
      </w:r>
      <w:r w:rsidR="008C7D93">
        <w:rPr>
          <w:rFonts w:eastAsia="Arial Unicode MS"/>
          <w:noProof/>
        </w:rPr>
        <w:t>s</w:t>
      </w:r>
      <w:r w:rsidR="00FE3FA5" w:rsidRPr="00FE3FA5">
        <w:rPr>
          <w:rFonts w:eastAsia="Arial Unicode MS"/>
          <w:noProof/>
        </w:rPr>
        <w:t xml:space="preserve"> or friends, mainly women) and </w:t>
      </w:r>
      <w:r w:rsidR="003F4044">
        <w:rPr>
          <w:rFonts w:eastAsia="Arial Unicode MS"/>
          <w:noProof/>
        </w:rPr>
        <w:t xml:space="preserve">residential facilities </w:t>
      </w:r>
      <w:r w:rsidR="00947AD2">
        <w:rPr>
          <w:rFonts w:eastAsia="Arial Unicode MS"/>
          <w:noProof/>
        </w:rPr>
        <w:t>(</w:t>
      </w:r>
      <w:r w:rsidR="00FE3FA5" w:rsidRPr="00FE3FA5">
        <w:rPr>
          <w:rFonts w:eastAsia="Arial Unicode MS"/>
          <w:noProof/>
        </w:rPr>
        <w:t xml:space="preserve">usually for severe </w:t>
      </w:r>
      <w:r w:rsidR="00B56D5E">
        <w:rPr>
          <w:rFonts w:eastAsia="Arial Unicode MS"/>
          <w:noProof/>
        </w:rPr>
        <w:t>long-term care</w:t>
      </w:r>
      <w:r w:rsidR="00FE3FA5" w:rsidRPr="00FE3FA5">
        <w:rPr>
          <w:rFonts w:eastAsia="Arial Unicode MS"/>
          <w:noProof/>
        </w:rPr>
        <w:t xml:space="preserve"> needs or the poorest). </w:t>
      </w:r>
      <w:r w:rsidR="008C7D93">
        <w:rPr>
          <w:rFonts w:eastAsia="Arial Unicode MS"/>
          <w:noProof/>
        </w:rPr>
        <w:t>O</w:t>
      </w:r>
      <w:r w:rsidR="00FE3FA5" w:rsidRPr="00FE3FA5">
        <w:rPr>
          <w:rFonts w:eastAsia="Arial Unicode MS"/>
          <w:noProof/>
        </w:rPr>
        <w:t>ther options, which are more person-</w:t>
      </w:r>
      <w:r w:rsidR="00762175" w:rsidRPr="00FE3FA5">
        <w:rPr>
          <w:rFonts w:eastAsia="Arial Unicode MS"/>
          <w:noProof/>
        </w:rPr>
        <w:t>centred</w:t>
      </w:r>
      <w:r w:rsidR="00FE3FA5" w:rsidRPr="00FE3FA5">
        <w:rPr>
          <w:rFonts w:eastAsia="Arial Unicode MS"/>
          <w:noProof/>
        </w:rPr>
        <w:t xml:space="preserve">, such as </w:t>
      </w:r>
      <w:r w:rsidR="00406C66">
        <w:rPr>
          <w:rFonts w:eastAsia="Arial Unicode MS"/>
          <w:noProof/>
        </w:rPr>
        <w:t>home care</w:t>
      </w:r>
      <w:r w:rsidR="00FE3FA5" w:rsidRPr="00FE3FA5">
        <w:rPr>
          <w:rFonts w:eastAsia="Arial Unicode MS"/>
          <w:noProof/>
        </w:rPr>
        <w:t xml:space="preserve"> and community-based care, </w:t>
      </w:r>
      <w:r w:rsidR="00C76864">
        <w:rPr>
          <w:rFonts w:eastAsia="Arial Unicode MS"/>
          <w:noProof/>
        </w:rPr>
        <w:t>have</w:t>
      </w:r>
      <w:r w:rsidR="00C76864" w:rsidRPr="00FE3FA5">
        <w:rPr>
          <w:rFonts w:eastAsia="Arial Unicode MS"/>
          <w:noProof/>
        </w:rPr>
        <w:t xml:space="preserve"> </w:t>
      </w:r>
      <w:r w:rsidR="00FE3FA5" w:rsidRPr="00FE3FA5">
        <w:rPr>
          <w:rFonts w:eastAsia="Arial Unicode MS"/>
          <w:noProof/>
        </w:rPr>
        <w:t>start</w:t>
      </w:r>
      <w:r w:rsidR="00C76864">
        <w:rPr>
          <w:rFonts w:eastAsia="Arial Unicode MS"/>
          <w:noProof/>
        </w:rPr>
        <w:t>ed</w:t>
      </w:r>
      <w:r w:rsidR="00FE3FA5" w:rsidRPr="00FE3FA5">
        <w:rPr>
          <w:rFonts w:eastAsia="Arial Unicode MS"/>
          <w:noProof/>
        </w:rPr>
        <w:t xml:space="preserve"> to </w:t>
      </w:r>
      <w:r w:rsidR="00C76864">
        <w:rPr>
          <w:rFonts w:eastAsia="Arial Unicode MS"/>
          <w:noProof/>
        </w:rPr>
        <w:t>expand</w:t>
      </w:r>
      <w:r w:rsidR="00FE3FA5" w:rsidRPr="00FE3FA5">
        <w:rPr>
          <w:rFonts w:eastAsia="Arial Unicode MS"/>
          <w:noProof/>
        </w:rPr>
        <w:t>, though not evenly</w:t>
      </w:r>
      <w:r w:rsidR="009E6E7F">
        <w:rPr>
          <w:rFonts w:eastAsia="Arial Unicode MS"/>
          <w:noProof/>
        </w:rPr>
        <w:t>,</w:t>
      </w:r>
      <w:r w:rsidR="00FE3FA5" w:rsidRPr="00FE3FA5">
        <w:rPr>
          <w:rFonts w:eastAsia="Arial Unicode MS"/>
          <w:noProof/>
        </w:rPr>
        <w:t xml:space="preserve"> across the </w:t>
      </w:r>
      <w:r w:rsidR="009E6E7F">
        <w:rPr>
          <w:rFonts w:eastAsia="Arial Unicode MS"/>
          <w:noProof/>
        </w:rPr>
        <w:t>Union</w:t>
      </w:r>
      <w:r w:rsidR="00FE3FA5" w:rsidRPr="00D12A97">
        <w:rPr>
          <w:rStyle w:val="FootnoteReference"/>
          <w:noProof/>
        </w:rPr>
        <w:footnoteReference w:id="5"/>
      </w:r>
      <w:r w:rsidR="00E26BE9" w:rsidRPr="00FE3FA5">
        <w:rPr>
          <w:rFonts w:cstheme="minorHAnsi"/>
          <w:noProof/>
          <w:szCs w:val="24"/>
        </w:rPr>
        <w:t>.</w:t>
      </w:r>
      <w:r w:rsidR="008C7D93">
        <w:rPr>
          <w:rFonts w:cstheme="minorHAnsi"/>
          <w:noProof/>
          <w:szCs w:val="24"/>
        </w:rPr>
        <w:t xml:space="preserve"> There are </w:t>
      </w:r>
      <w:r w:rsidR="00B057FD">
        <w:rPr>
          <w:rFonts w:cstheme="minorHAnsi"/>
          <w:noProof/>
          <w:szCs w:val="24"/>
        </w:rPr>
        <w:t>geographical</w:t>
      </w:r>
      <w:r w:rsidR="008C7D93">
        <w:rPr>
          <w:rFonts w:cstheme="minorHAnsi"/>
          <w:noProof/>
          <w:szCs w:val="24"/>
        </w:rPr>
        <w:t xml:space="preserve"> and socio-economic </w:t>
      </w:r>
      <w:r w:rsidR="00B5062B">
        <w:rPr>
          <w:rFonts w:cstheme="minorHAnsi"/>
          <w:noProof/>
          <w:szCs w:val="24"/>
        </w:rPr>
        <w:t>barriers to access</w:t>
      </w:r>
      <w:r w:rsidR="001553FF">
        <w:rPr>
          <w:rFonts w:cstheme="minorHAnsi"/>
          <w:noProof/>
          <w:szCs w:val="24"/>
        </w:rPr>
        <w:t xml:space="preserve">, which remains </w:t>
      </w:r>
      <w:r w:rsidR="008C7D93" w:rsidRPr="00FE3FA5">
        <w:rPr>
          <w:rFonts w:eastAsia="Arial Unicode MS"/>
          <w:noProof/>
        </w:rPr>
        <w:t>especially difficult in rural and depopulating areas</w:t>
      </w:r>
      <w:r w:rsidR="00FE3FA5" w:rsidRPr="00D12A97">
        <w:rPr>
          <w:rStyle w:val="FootnoteReference"/>
          <w:noProof/>
        </w:rPr>
        <w:footnoteReference w:id="6"/>
      </w:r>
      <w:r w:rsidR="00AB344C">
        <w:rPr>
          <w:rFonts w:eastAsia="Arial Unicode MS"/>
          <w:noProof/>
        </w:rPr>
        <w:t>.</w:t>
      </w:r>
      <w:r w:rsidR="00B5062B">
        <w:rPr>
          <w:rFonts w:eastAsia="Arial Unicode MS"/>
          <w:noProof/>
        </w:rPr>
        <w:t xml:space="preserve"> </w:t>
      </w:r>
      <w:r w:rsidR="00AB344C">
        <w:rPr>
          <w:bCs/>
          <w:noProof/>
        </w:rPr>
        <w:t>O</w:t>
      </w:r>
      <w:r w:rsidR="0023144E" w:rsidRPr="00FE3FA5">
        <w:rPr>
          <w:bCs/>
          <w:noProof/>
        </w:rPr>
        <w:t xml:space="preserve">lder </w:t>
      </w:r>
      <w:r w:rsidR="00833BE3">
        <w:rPr>
          <w:bCs/>
          <w:noProof/>
        </w:rPr>
        <w:t>people</w:t>
      </w:r>
      <w:r w:rsidR="00833BE3" w:rsidRPr="00FE3FA5">
        <w:rPr>
          <w:bCs/>
          <w:noProof/>
        </w:rPr>
        <w:t xml:space="preserve"> </w:t>
      </w:r>
      <w:r w:rsidR="0023144E" w:rsidRPr="00FE3FA5">
        <w:rPr>
          <w:bCs/>
          <w:noProof/>
        </w:rPr>
        <w:t xml:space="preserve">with lower levels of income </w:t>
      </w:r>
      <w:r w:rsidR="00B057FD">
        <w:rPr>
          <w:bCs/>
          <w:noProof/>
        </w:rPr>
        <w:t>are</w:t>
      </w:r>
      <w:r w:rsidR="00B5062B" w:rsidRPr="00FE3FA5">
        <w:rPr>
          <w:bCs/>
          <w:noProof/>
        </w:rPr>
        <w:t xml:space="preserve"> </w:t>
      </w:r>
      <w:r w:rsidR="0023144E" w:rsidRPr="00FE3FA5">
        <w:rPr>
          <w:bCs/>
          <w:noProof/>
        </w:rPr>
        <w:t xml:space="preserve">more likely to need </w:t>
      </w:r>
      <w:r w:rsidR="00B56D5E">
        <w:rPr>
          <w:bCs/>
          <w:noProof/>
        </w:rPr>
        <w:t>long-term care</w:t>
      </w:r>
      <w:r w:rsidR="0023144E" w:rsidRPr="00FE3FA5">
        <w:rPr>
          <w:bCs/>
          <w:noProof/>
        </w:rPr>
        <w:t xml:space="preserve"> than </w:t>
      </w:r>
      <w:r w:rsidR="00833BE3">
        <w:rPr>
          <w:bCs/>
          <w:noProof/>
        </w:rPr>
        <w:t>those</w:t>
      </w:r>
      <w:r w:rsidR="00833BE3" w:rsidRPr="00FE3FA5">
        <w:rPr>
          <w:bCs/>
          <w:noProof/>
        </w:rPr>
        <w:t xml:space="preserve"> </w:t>
      </w:r>
      <w:r w:rsidR="0023144E" w:rsidRPr="00FE3FA5">
        <w:rPr>
          <w:bCs/>
          <w:noProof/>
        </w:rPr>
        <w:t>with higher incomes</w:t>
      </w:r>
      <w:r w:rsidR="00FB3034">
        <w:rPr>
          <w:bCs/>
          <w:noProof/>
        </w:rPr>
        <w:t>.</w:t>
      </w:r>
      <w:r w:rsidR="00B057FD">
        <w:rPr>
          <w:bCs/>
          <w:noProof/>
        </w:rPr>
        <w:t xml:space="preserve"> </w:t>
      </w:r>
      <w:r w:rsidR="00B5062B" w:rsidRPr="00FE3FA5">
        <w:rPr>
          <w:rFonts w:eastAsia="Arial Unicode MS"/>
          <w:noProof/>
        </w:rPr>
        <w:t>Furthermore</w:t>
      </w:r>
      <w:r w:rsidR="00B5062B">
        <w:rPr>
          <w:rFonts w:eastAsia="Arial Unicode MS"/>
          <w:noProof/>
        </w:rPr>
        <w:t>,</w:t>
      </w:r>
      <w:r w:rsidR="00B5062B" w:rsidRPr="00FE3FA5">
        <w:rPr>
          <w:noProof/>
        </w:rPr>
        <w:t xml:space="preserve"> </w:t>
      </w:r>
      <w:r w:rsidR="00B057FD" w:rsidRPr="00FE3FA5">
        <w:rPr>
          <w:noProof/>
        </w:rPr>
        <w:t>persons with disabilities</w:t>
      </w:r>
      <w:r w:rsidR="00FB3034">
        <w:rPr>
          <w:noProof/>
        </w:rPr>
        <w:t>,</w:t>
      </w:r>
      <w:r w:rsidR="00B057FD" w:rsidRPr="00FE3FA5">
        <w:rPr>
          <w:noProof/>
        </w:rPr>
        <w:t xml:space="preserve"> </w:t>
      </w:r>
      <w:r w:rsidR="00B057FD">
        <w:rPr>
          <w:noProof/>
        </w:rPr>
        <w:t xml:space="preserve">who </w:t>
      </w:r>
      <w:r w:rsidR="00B057FD" w:rsidRPr="00FE3FA5">
        <w:rPr>
          <w:noProof/>
        </w:rPr>
        <w:t xml:space="preserve">represent a large </w:t>
      </w:r>
      <w:r w:rsidR="00AB344C">
        <w:rPr>
          <w:noProof/>
        </w:rPr>
        <w:t>proportion</w:t>
      </w:r>
      <w:r w:rsidR="00AB344C" w:rsidRPr="00FE3FA5">
        <w:rPr>
          <w:noProof/>
        </w:rPr>
        <w:t xml:space="preserve"> </w:t>
      </w:r>
      <w:r w:rsidR="00B057FD" w:rsidRPr="00FE3FA5">
        <w:rPr>
          <w:noProof/>
        </w:rPr>
        <w:t xml:space="preserve">of </w:t>
      </w:r>
      <w:r w:rsidR="00AB344C">
        <w:rPr>
          <w:noProof/>
        </w:rPr>
        <w:t>those</w:t>
      </w:r>
      <w:r w:rsidR="00AB344C" w:rsidRPr="00FE3FA5">
        <w:rPr>
          <w:noProof/>
        </w:rPr>
        <w:t xml:space="preserve"> </w:t>
      </w:r>
      <w:r w:rsidR="00B057FD" w:rsidRPr="00FE3FA5">
        <w:rPr>
          <w:noProof/>
        </w:rPr>
        <w:t xml:space="preserve">in need of </w:t>
      </w:r>
      <w:r w:rsidR="00B56D5E">
        <w:rPr>
          <w:noProof/>
        </w:rPr>
        <w:t>long-term care</w:t>
      </w:r>
      <w:r w:rsidR="00FB3034">
        <w:rPr>
          <w:noProof/>
        </w:rPr>
        <w:t>,</w:t>
      </w:r>
      <w:r w:rsidR="00B057FD" w:rsidDel="00B057FD">
        <w:rPr>
          <w:noProof/>
        </w:rPr>
        <w:t xml:space="preserve"> </w:t>
      </w:r>
      <w:r w:rsidR="00B057FD">
        <w:rPr>
          <w:noProof/>
        </w:rPr>
        <w:t>are also confronted with access</w:t>
      </w:r>
      <w:r w:rsidR="00D45457">
        <w:rPr>
          <w:noProof/>
        </w:rPr>
        <w:t>ibility</w:t>
      </w:r>
      <w:r w:rsidR="00B057FD">
        <w:rPr>
          <w:noProof/>
        </w:rPr>
        <w:t xml:space="preserve"> challenges.</w:t>
      </w:r>
    </w:p>
    <w:p w14:paraId="3AC1AC1E" w14:textId="77777777" w:rsidR="00FE3FA5" w:rsidRPr="00FE3FA5" w:rsidRDefault="00FE3FA5" w:rsidP="005F1B23">
      <w:pPr>
        <w:rPr>
          <w:rFonts w:eastAsia="Arial Unicode MS"/>
          <w:noProof/>
          <w:u w:val="single"/>
        </w:rPr>
      </w:pPr>
      <w:r w:rsidRPr="00FE3FA5">
        <w:rPr>
          <w:rFonts w:eastAsia="Arial Unicode MS"/>
          <w:noProof/>
          <w:u w:val="single"/>
        </w:rPr>
        <w:t>Quality challenge</w:t>
      </w:r>
    </w:p>
    <w:p w14:paraId="32F4C348" w14:textId="77777777" w:rsidR="00FE3FA5" w:rsidRPr="00FE3FA5" w:rsidRDefault="00833BE3" w:rsidP="005F1B23">
      <w:pPr>
        <w:rPr>
          <w:rFonts w:eastAsia="Arial Unicode MS"/>
          <w:noProof/>
        </w:rPr>
      </w:pPr>
      <w:r>
        <w:rPr>
          <w:rFonts w:eastAsia="Arial Unicode MS"/>
          <w:b/>
          <w:noProof/>
        </w:rPr>
        <w:t>L</w:t>
      </w:r>
      <w:r w:rsidR="00B56D5E">
        <w:rPr>
          <w:rFonts w:eastAsia="Arial Unicode MS"/>
          <w:b/>
          <w:noProof/>
        </w:rPr>
        <w:t>ong-term care</w:t>
      </w:r>
      <w:r w:rsidR="00FE3FA5" w:rsidRPr="00FE3FA5">
        <w:rPr>
          <w:rFonts w:eastAsia="Arial Unicode MS"/>
          <w:b/>
          <w:noProof/>
        </w:rPr>
        <w:t xml:space="preserve"> quality standards and their assurance mechanisms are often weak.</w:t>
      </w:r>
      <w:r w:rsidR="00FE3FA5" w:rsidRPr="00FE3FA5">
        <w:rPr>
          <w:rFonts w:eastAsia="Arial Unicode MS"/>
          <w:noProof/>
        </w:rPr>
        <w:t xml:space="preserve"> Many Member States traditionally have a </w:t>
      </w:r>
      <w:r w:rsidR="00AB344C">
        <w:rPr>
          <w:rFonts w:eastAsia="Arial Unicode MS"/>
          <w:noProof/>
        </w:rPr>
        <w:t>robust</w:t>
      </w:r>
      <w:r w:rsidR="00AB344C" w:rsidRPr="00FE3FA5">
        <w:rPr>
          <w:rFonts w:eastAsia="Arial Unicode MS"/>
          <w:noProof/>
        </w:rPr>
        <w:t xml:space="preserve"> </w:t>
      </w:r>
      <w:r w:rsidR="00FE3FA5" w:rsidRPr="00FE3FA5">
        <w:rPr>
          <w:rFonts w:eastAsia="Arial Unicode MS"/>
          <w:noProof/>
        </w:rPr>
        <w:t>set of regulations and standards applicable to residential care</w:t>
      </w:r>
      <w:r w:rsidR="00297EB9">
        <w:rPr>
          <w:rFonts w:eastAsia="Arial Unicode MS"/>
          <w:noProof/>
        </w:rPr>
        <w:t xml:space="preserve">. By contrast, </w:t>
      </w:r>
      <w:r w:rsidR="00D45457">
        <w:rPr>
          <w:rFonts w:eastAsia="Arial Unicode MS"/>
          <w:noProof/>
        </w:rPr>
        <w:t>such standards</w:t>
      </w:r>
      <w:r w:rsidR="00297EB9">
        <w:rPr>
          <w:rFonts w:eastAsia="Arial Unicode MS"/>
          <w:noProof/>
        </w:rPr>
        <w:t xml:space="preserve"> are often less well </w:t>
      </w:r>
      <w:r w:rsidR="00FE3FA5" w:rsidRPr="00FE3FA5">
        <w:rPr>
          <w:rFonts w:eastAsia="Arial Unicode MS"/>
          <w:noProof/>
        </w:rPr>
        <w:t xml:space="preserve">developed for home and community-based care. </w:t>
      </w:r>
      <w:r w:rsidR="00B057FD">
        <w:rPr>
          <w:rFonts w:eastAsia="Arial Unicode MS"/>
          <w:noProof/>
        </w:rPr>
        <w:t xml:space="preserve">Even when in place, </w:t>
      </w:r>
      <w:r w:rsidR="00FE3FA5" w:rsidRPr="00FE3FA5">
        <w:rPr>
          <w:rFonts w:eastAsia="Arial Unicode MS"/>
          <w:noProof/>
        </w:rPr>
        <w:t xml:space="preserve">quality standards are </w:t>
      </w:r>
      <w:r w:rsidR="00FB3034">
        <w:rPr>
          <w:rFonts w:eastAsia="Arial Unicode MS"/>
          <w:noProof/>
        </w:rPr>
        <w:t>o</w:t>
      </w:r>
      <w:r w:rsidR="00FB3034" w:rsidRPr="00FE3FA5">
        <w:rPr>
          <w:rFonts w:eastAsia="Arial Unicode MS"/>
          <w:noProof/>
        </w:rPr>
        <w:t>ften</w:t>
      </w:r>
      <w:r w:rsidR="00FB3034">
        <w:rPr>
          <w:rFonts w:eastAsia="Arial Unicode MS"/>
          <w:noProof/>
        </w:rPr>
        <w:t xml:space="preserve"> </w:t>
      </w:r>
      <w:r w:rsidR="00FE3FA5" w:rsidRPr="00FE3FA5">
        <w:rPr>
          <w:rFonts w:eastAsia="Arial Unicode MS"/>
          <w:noProof/>
        </w:rPr>
        <w:t>limited to basic nutrition and hygiene requirements</w:t>
      </w:r>
      <w:r w:rsidR="00AB344C">
        <w:rPr>
          <w:rFonts w:eastAsia="Arial Unicode MS"/>
          <w:noProof/>
        </w:rPr>
        <w:t>.</w:t>
      </w:r>
      <w:r w:rsidR="00FE3FA5" w:rsidRPr="00FE3FA5">
        <w:rPr>
          <w:rFonts w:eastAsia="Arial Unicode MS"/>
          <w:noProof/>
        </w:rPr>
        <w:t xml:space="preserve"> </w:t>
      </w:r>
      <w:r w:rsidR="00AB344C">
        <w:rPr>
          <w:rFonts w:eastAsia="Arial Unicode MS"/>
          <w:noProof/>
        </w:rPr>
        <w:t>They</w:t>
      </w:r>
      <w:r w:rsidR="00AB344C" w:rsidRPr="00FE3FA5">
        <w:rPr>
          <w:rFonts w:eastAsia="Arial Unicode MS"/>
          <w:noProof/>
        </w:rPr>
        <w:t xml:space="preserve"> </w:t>
      </w:r>
      <w:r w:rsidR="00B057FD">
        <w:rPr>
          <w:rFonts w:eastAsia="Arial Unicode MS"/>
          <w:noProof/>
        </w:rPr>
        <w:t>d</w:t>
      </w:r>
      <w:r w:rsidR="00FE3FA5" w:rsidRPr="00FE3FA5">
        <w:rPr>
          <w:rFonts w:eastAsia="Arial Unicode MS"/>
          <w:noProof/>
        </w:rPr>
        <w:t xml:space="preserve">o not </w:t>
      </w:r>
      <w:r w:rsidR="00762175" w:rsidRPr="00FE3FA5">
        <w:rPr>
          <w:rFonts w:eastAsia="Arial Unicode MS"/>
          <w:noProof/>
        </w:rPr>
        <w:t>consider</w:t>
      </w:r>
      <w:r w:rsidR="00FE3FA5" w:rsidRPr="00FE3FA5">
        <w:rPr>
          <w:rFonts w:eastAsia="Arial Unicode MS"/>
          <w:noProof/>
        </w:rPr>
        <w:t xml:space="preserve"> the well-being and quality of life of </w:t>
      </w:r>
      <w:r w:rsidR="00AB344C">
        <w:rPr>
          <w:rFonts w:eastAsia="Arial Unicode MS"/>
          <w:noProof/>
        </w:rPr>
        <w:t>people</w:t>
      </w:r>
      <w:r w:rsidR="00AB344C" w:rsidRPr="00FE3FA5">
        <w:rPr>
          <w:rFonts w:eastAsia="Arial Unicode MS"/>
          <w:noProof/>
        </w:rPr>
        <w:t xml:space="preserve"> </w:t>
      </w:r>
      <w:r w:rsidR="00FE3FA5" w:rsidRPr="00FE3FA5">
        <w:rPr>
          <w:rFonts w:eastAsia="Arial Unicode MS"/>
          <w:noProof/>
        </w:rPr>
        <w:t xml:space="preserve">receiving care. </w:t>
      </w:r>
      <w:r w:rsidR="00B057FD">
        <w:rPr>
          <w:rFonts w:eastAsia="Arial Unicode MS"/>
          <w:noProof/>
        </w:rPr>
        <w:t>Furthermore</w:t>
      </w:r>
      <w:r w:rsidR="00FE3FA5" w:rsidRPr="00FE3FA5">
        <w:rPr>
          <w:rFonts w:eastAsia="Arial Unicode MS"/>
          <w:noProof/>
        </w:rPr>
        <w:t xml:space="preserve">, compliance by all </w:t>
      </w:r>
      <w:r w:rsidR="00B56D5E">
        <w:rPr>
          <w:rFonts w:eastAsia="Arial Unicode MS"/>
          <w:noProof/>
        </w:rPr>
        <w:t>long-term care</w:t>
      </w:r>
      <w:r w:rsidR="00FE3FA5" w:rsidRPr="00FE3FA5">
        <w:rPr>
          <w:rFonts w:eastAsia="Arial Unicode MS"/>
          <w:noProof/>
        </w:rPr>
        <w:t xml:space="preserve"> providers, </w:t>
      </w:r>
      <w:r w:rsidR="00AB344C">
        <w:rPr>
          <w:rFonts w:eastAsia="Arial Unicode MS"/>
          <w:noProof/>
        </w:rPr>
        <w:t>both</w:t>
      </w:r>
      <w:r w:rsidR="00AB344C" w:rsidRPr="00FE3FA5">
        <w:rPr>
          <w:rFonts w:eastAsia="Arial Unicode MS"/>
          <w:noProof/>
        </w:rPr>
        <w:t xml:space="preserve"> </w:t>
      </w:r>
      <w:r w:rsidR="00FE3FA5" w:rsidRPr="00FE3FA5">
        <w:rPr>
          <w:rFonts w:eastAsia="Arial Unicode MS"/>
          <w:noProof/>
        </w:rPr>
        <w:t>public and private, is uneven and many Member States lack appropriate quality assurance mechanisms.</w:t>
      </w:r>
    </w:p>
    <w:p w14:paraId="72F46676" w14:textId="77777777" w:rsidR="00FE3FA5" w:rsidRPr="00FE3FA5" w:rsidRDefault="00FE3FA5" w:rsidP="005F1B23">
      <w:pPr>
        <w:rPr>
          <w:rFonts w:eastAsia="Arial Unicode MS"/>
          <w:noProof/>
          <w:u w:val="single"/>
        </w:rPr>
      </w:pPr>
      <w:r w:rsidRPr="00FE3FA5">
        <w:rPr>
          <w:rFonts w:eastAsia="Arial Unicode MS"/>
          <w:noProof/>
          <w:u w:val="single"/>
        </w:rPr>
        <w:t>Workforce challenge</w:t>
      </w:r>
    </w:p>
    <w:p w14:paraId="250BBDBF" w14:textId="77777777" w:rsidR="00FE3FA5" w:rsidRPr="00FE3FA5" w:rsidRDefault="00B5062B" w:rsidP="006042B4">
      <w:pPr>
        <w:rPr>
          <w:rFonts w:eastAsia="Calibri"/>
          <w:noProof/>
          <w:szCs w:val="24"/>
        </w:rPr>
      </w:pPr>
      <w:r>
        <w:rPr>
          <w:rFonts w:eastAsia="Arial Unicode MS"/>
          <w:b/>
          <w:noProof/>
        </w:rPr>
        <w:t xml:space="preserve">Workforce shortages and </w:t>
      </w:r>
      <w:r w:rsidR="00FB3034">
        <w:rPr>
          <w:rFonts w:eastAsia="Arial Unicode MS"/>
          <w:b/>
          <w:noProof/>
        </w:rPr>
        <w:t>non-standard</w:t>
      </w:r>
      <w:r>
        <w:rPr>
          <w:rFonts w:eastAsia="Arial Unicode MS"/>
          <w:b/>
          <w:noProof/>
        </w:rPr>
        <w:t xml:space="preserve"> forms of employment are widespread in </w:t>
      </w:r>
      <w:r w:rsidR="00B56D5E">
        <w:rPr>
          <w:rFonts w:eastAsia="Arial Unicode MS"/>
          <w:b/>
          <w:noProof/>
        </w:rPr>
        <w:t>long-term care</w:t>
      </w:r>
      <w:r>
        <w:rPr>
          <w:rFonts w:eastAsia="Arial Unicode MS"/>
          <w:b/>
          <w:noProof/>
        </w:rPr>
        <w:t>.</w:t>
      </w:r>
      <w:r w:rsidR="00FE3FA5" w:rsidRPr="00B4162F">
        <w:rPr>
          <w:rFonts w:eastAsia="Arial Unicode MS"/>
          <w:noProof/>
        </w:rPr>
        <w:t xml:space="preserve"> </w:t>
      </w:r>
      <w:r w:rsidR="00762175" w:rsidRPr="00B4162F">
        <w:rPr>
          <w:rFonts w:eastAsia="Arial Unicode MS"/>
          <w:noProof/>
        </w:rPr>
        <w:t>Most</w:t>
      </w:r>
      <w:r w:rsidR="00FE3FA5" w:rsidRPr="00B4162F">
        <w:rPr>
          <w:rFonts w:eastAsia="Arial Unicode MS"/>
          <w:noProof/>
        </w:rPr>
        <w:t xml:space="preserve"> Member States report </w:t>
      </w:r>
      <w:r>
        <w:rPr>
          <w:rFonts w:eastAsia="Arial Unicode MS"/>
          <w:noProof/>
        </w:rPr>
        <w:t xml:space="preserve">or expect </w:t>
      </w:r>
      <w:r w:rsidR="00FE3FA5" w:rsidRPr="00B4162F">
        <w:rPr>
          <w:rFonts w:eastAsia="Arial Unicode MS"/>
          <w:noProof/>
        </w:rPr>
        <w:t>significant numbers of unfilled vacancies</w:t>
      </w:r>
      <w:r>
        <w:rPr>
          <w:rFonts w:eastAsia="Arial Unicode MS"/>
          <w:noProof/>
        </w:rPr>
        <w:t xml:space="preserve">, especially </w:t>
      </w:r>
      <w:r w:rsidR="00AB344C">
        <w:rPr>
          <w:rFonts w:eastAsia="Arial Unicode MS"/>
          <w:noProof/>
        </w:rPr>
        <w:t>for</w:t>
      </w:r>
      <w:r w:rsidR="00AB344C" w:rsidRPr="00B4162F">
        <w:rPr>
          <w:rFonts w:eastAsia="Arial Unicode MS"/>
          <w:noProof/>
        </w:rPr>
        <w:t xml:space="preserve"> </w:t>
      </w:r>
      <w:r w:rsidR="00FE3FA5" w:rsidRPr="00B4162F">
        <w:rPr>
          <w:rFonts w:eastAsia="Arial Unicode MS"/>
          <w:noProof/>
        </w:rPr>
        <w:t xml:space="preserve">skilled care personnel, such as nurses. Unfilled job positions are particularly high in the sub-sector of services for older </w:t>
      </w:r>
      <w:r w:rsidR="00AB344C">
        <w:rPr>
          <w:rFonts w:eastAsia="Arial Unicode MS"/>
          <w:noProof/>
        </w:rPr>
        <w:t>people</w:t>
      </w:r>
      <w:r w:rsidR="00FE3FA5" w:rsidRPr="00B4162F">
        <w:rPr>
          <w:rFonts w:eastAsia="Arial Unicode MS"/>
          <w:noProof/>
        </w:rPr>
        <w:t xml:space="preserve">. </w:t>
      </w:r>
      <w:r w:rsidRPr="00EF6C0D">
        <w:rPr>
          <w:rFonts w:eastAsia="Arial Unicode MS"/>
          <w:noProof/>
        </w:rPr>
        <w:t xml:space="preserve">Attracting and retaining care workers is difficult </w:t>
      </w:r>
      <w:r w:rsidRPr="007A5907">
        <w:rPr>
          <w:rFonts w:eastAsia="Arial Unicode MS"/>
          <w:noProof/>
        </w:rPr>
        <w:t xml:space="preserve">due to </w:t>
      </w:r>
      <w:r w:rsidR="00DF6D4E">
        <w:rPr>
          <w:rFonts w:eastAsia="Arial Unicode MS"/>
          <w:noProof/>
        </w:rPr>
        <w:t>often poor</w:t>
      </w:r>
      <w:r w:rsidR="00DF6D4E" w:rsidRPr="007A5907">
        <w:rPr>
          <w:rFonts w:eastAsia="Arial Unicode MS"/>
          <w:noProof/>
        </w:rPr>
        <w:t xml:space="preserve"> </w:t>
      </w:r>
      <w:r w:rsidRPr="007A5907">
        <w:rPr>
          <w:rFonts w:eastAsia="Arial Unicode MS"/>
          <w:noProof/>
        </w:rPr>
        <w:t xml:space="preserve">working conditions and low wages, which could be alleviated </w:t>
      </w:r>
      <w:r w:rsidR="00AB344C">
        <w:rPr>
          <w:rFonts w:eastAsia="Arial Unicode MS"/>
          <w:noProof/>
        </w:rPr>
        <w:t>through</w:t>
      </w:r>
      <w:r w:rsidR="00AB344C" w:rsidRPr="007A5907">
        <w:rPr>
          <w:rFonts w:eastAsia="Arial Unicode MS"/>
          <w:noProof/>
        </w:rPr>
        <w:t xml:space="preserve"> </w:t>
      </w:r>
      <w:r w:rsidRPr="007A5907">
        <w:rPr>
          <w:rFonts w:eastAsia="Arial Unicode MS"/>
          <w:noProof/>
        </w:rPr>
        <w:t xml:space="preserve">social dialogue. However, </w:t>
      </w:r>
      <w:r w:rsidRPr="00EF6C0D">
        <w:rPr>
          <w:rFonts w:eastAsia="Arial Unicode MS"/>
          <w:noProof/>
        </w:rPr>
        <w:t>soc</w:t>
      </w:r>
      <w:r w:rsidR="00FE3FA5" w:rsidRPr="00EF6C0D">
        <w:rPr>
          <w:rFonts w:eastAsia="Arial Unicode MS"/>
          <w:noProof/>
        </w:rPr>
        <w:t xml:space="preserve">ial dialogue </w:t>
      </w:r>
      <w:r w:rsidR="00FE3FA5" w:rsidRPr="00EF6C0D">
        <w:rPr>
          <w:noProof/>
        </w:rPr>
        <w:t>plays a mixed</w:t>
      </w:r>
      <w:r w:rsidR="00FE3FA5" w:rsidRPr="00B4162F">
        <w:rPr>
          <w:noProof/>
        </w:rPr>
        <w:t xml:space="preserve"> role in </w:t>
      </w:r>
      <w:r w:rsidR="00B56D5E">
        <w:rPr>
          <w:noProof/>
        </w:rPr>
        <w:t>long-term care</w:t>
      </w:r>
      <w:r w:rsidR="00AB344C">
        <w:rPr>
          <w:noProof/>
        </w:rPr>
        <w:t>.</w:t>
      </w:r>
      <w:r w:rsidR="00FE3FA5" w:rsidRPr="00B4162F">
        <w:rPr>
          <w:noProof/>
        </w:rPr>
        <w:t xml:space="preserve"> </w:t>
      </w:r>
      <w:r w:rsidR="001D6EE8">
        <w:rPr>
          <w:noProof/>
        </w:rPr>
        <w:t>Only i</w:t>
      </w:r>
      <w:r w:rsidR="002E4B27" w:rsidRPr="002E4B27">
        <w:rPr>
          <w:noProof/>
        </w:rPr>
        <w:t>n few</w:t>
      </w:r>
      <w:r w:rsidR="00FE3FA5" w:rsidRPr="005443B9">
        <w:rPr>
          <w:noProof/>
        </w:rPr>
        <w:t xml:space="preserve"> Member States </w:t>
      </w:r>
      <w:r w:rsidR="001D6EE8">
        <w:rPr>
          <w:noProof/>
        </w:rPr>
        <w:t xml:space="preserve">are almost all </w:t>
      </w:r>
      <w:r w:rsidR="00B56D5E" w:rsidRPr="005443B9">
        <w:rPr>
          <w:noProof/>
        </w:rPr>
        <w:t>long-term care</w:t>
      </w:r>
      <w:r w:rsidR="00FE3FA5" w:rsidRPr="005443B9">
        <w:rPr>
          <w:noProof/>
        </w:rPr>
        <w:t xml:space="preserve"> workers covered by collective agreements</w:t>
      </w:r>
      <w:r w:rsidR="00AB344C" w:rsidRPr="005443B9">
        <w:rPr>
          <w:noProof/>
        </w:rPr>
        <w:t>.</w:t>
      </w:r>
      <w:r w:rsidR="00FE3FA5" w:rsidRPr="00B4162F">
        <w:rPr>
          <w:noProof/>
        </w:rPr>
        <w:t xml:space="preserve"> </w:t>
      </w:r>
      <w:r w:rsidR="00AB344C">
        <w:rPr>
          <w:noProof/>
        </w:rPr>
        <w:t>I</w:t>
      </w:r>
      <w:r w:rsidR="00FE3FA5" w:rsidRPr="00B4162F">
        <w:rPr>
          <w:noProof/>
        </w:rPr>
        <w:t>n other</w:t>
      </w:r>
      <w:r w:rsidR="009E6E7F">
        <w:rPr>
          <w:noProof/>
        </w:rPr>
        <w:t xml:space="preserve"> Member State</w:t>
      </w:r>
      <w:r w:rsidR="00FE3FA5" w:rsidRPr="00B4162F">
        <w:rPr>
          <w:noProof/>
        </w:rPr>
        <w:t>s</w:t>
      </w:r>
      <w:r w:rsidR="00AB344C">
        <w:rPr>
          <w:noProof/>
        </w:rPr>
        <w:t>,</w:t>
      </w:r>
      <w:r w:rsidR="00FE3FA5" w:rsidRPr="00B4162F">
        <w:rPr>
          <w:noProof/>
        </w:rPr>
        <w:t xml:space="preserve"> social dialogue </w:t>
      </w:r>
      <w:r w:rsidR="00AB344C">
        <w:rPr>
          <w:noProof/>
        </w:rPr>
        <w:t>is</w:t>
      </w:r>
      <w:r w:rsidR="00AB344C" w:rsidRPr="00B4162F">
        <w:rPr>
          <w:noProof/>
        </w:rPr>
        <w:t xml:space="preserve"> </w:t>
      </w:r>
      <w:r w:rsidR="00FE3FA5" w:rsidRPr="00B4162F">
        <w:rPr>
          <w:noProof/>
        </w:rPr>
        <w:t xml:space="preserve">almost absent </w:t>
      </w:r>
      <w:r w:rsidR="00A47647">
        <w:rPr>
          <w:noProof/>
        </w:rPr>
        <w:t>from</w:t>
      </w:r>
      <w:r w:rsidR="00A47647" w:rsidRPr="00B4162F">
        <w:rPr>
          <w:noProof/>
        </w:rPr>
        <w:t xml:space="preserve"> </w:t>
      </w:r>
      <w:r w:rsidR="00FE3FA5" w:rsidRPr="00B4162F">
        <w:rPr>
          <w:noProof/>
        </w:rPr>
        <w:t xml:space="preserve">the </w:t>
      </w:r>
      <w:r w:rsidR="00B56D5E">
        <w:rPr>
          <w:noProof/>
        </w:rPr>
        <w:t>long-term care</w:t>
      </w:r>
      <w:r w:rsidR="00FE3FA5" w:rsidRPr="00B4162F">
        <w:rPr>
          <w:noProof/>
        </w:rPr>
        <w:t xml:space="preserve"> </w:t>
      </w:r>
      <w:r w:rsidR="003F7EB8">
        <w:rPr>
          <w:noProof/>
        </w:rPr>
        <w:t>sector</w:t>
      </w:r>
      <w:r w:rsidR="00FE3FA5" w:rsidRPr="00D12A97">
        <w:rPr>
          <w:rStyle w:val="FootnoteReference"/>
          <w:noProof/>
        </w:rPr>
        <w:footnoteReference w:id="7"/>
      </w:r>
      <w:r w:rsidR="00FE3FA5" w:rsidRPr="00B4162F">
        <w:rPr>
          <w:noProof/>
        </w:rPr>
        <w:t>.</w:t>
      </w:r>
      <w:r w:rsidR="00FE3FA5" w:rsidRPr="00FE3FA5">
        <w:rPr>
          <w:noProof/>
        </w:rPr>
        <w:t xml:space="preserve"> </w:t>
      </w:r>
      <w:r w:rsidR="007D51B1">
        <w:rPr>
          <w:noProof/>
        </w:rPr>
        <w:t xml:space="preserve">Another challenge is addressing the specific situation of </w:t>
      </w:r>
      <w:r w:rsidR="007D51B1">
        <w:rPr>
          <w:rFonts w:eastAsia="Calibri"/>
          <w:noProof/>
          <w:szCs w:val="24"/>
        </w:rPr>
        <w:t>l</w:t>
      </w:r>
      <w:r w:rsidR="00FE3FA5" w:rsidRPr="00FE3FA5">
        <w:rPr>
          <w:rFonts w:eastAsia="Calibri"/>
          <w:noProof/>
          <w:szCs w:val="24"/>
        </w:rPr>
        <w:t>ive-in carers, who are usually mobile or migrant workers</w:t>
      </w:r>
      <w:r w:rsidR="00872EF0">
        <w:rPr>
          <w:rStyle w:val="FootnoteReference"/>
          <w:rFonts w:eastAsia="Calibri"/>
          <w:noProof/>
          <w:szCs w:val="24"/>
        </w:rPr>
        <w:footnoteReference w:id="8"/>
      </w:r>
      <w:r w:rsidR="00FE3FA5" w:rsidRPr="00FE3FA5">
        <w:rPr>
          <w:rFonts w:eastAsia="Calibri"/>
          <w:noProof/>
          <w:szCs w:val="24"/>
        </w:rPr>
        <w:t xml:space="preserve">, </w:t>
      </w:r>
      <w:r w:rsidR="00D45457">
        <w:rPr>
          <w:rFonts w:eastAsia="Calibri"/>
          <w:noProof/>
          <w:szCs w:val="24"/>
        </w:rPr>
        <w:t xml:space="preserve">being </w:t>
      </w:r>
      <w:r w:rsidR="00FE3FA5" w:rsidRPr="00FE3FA5">
        <w:rPr>
          <w:rFonts w:eastAsia="Calibri"/>
          <w:noProof/>
          <w:szCs w:val="24"/>
        </w:rPr>
        <w:t>particularly vulnerable</w:t>
      </w:r>
      <w:r w:rsidR="00DF6E63">
        <w:rPr>
          <w:rFonts w:eastAsia="Calibri"/>
          <w:noProof/>
          <w:szCs w:val="24"/>
        </w:rPr>
        <w:t xml:space="preserve">, especially if engaged in </w:t>
      </w:r>
      <w:r w:rsidR="00FE3FA5" w:rsidRPr="00FE3FA5">
        <w:rPr>
          <w:rFonts w:eastAsia="Calibri"/>
          <w:noProof/>
          <w:szCs w:val="24"/>
        </w:rPr>
        <w:t>undeclared work</w:t>
      </w:r>
      <w:r w:rsidR="00FE3FA5" w:rsidRPr="00D12A97">
        <w:rPr>
          <w:rStyle w:val="FootnoteReference"/>
          <w:noProof/>
        </w:rPr>
        <w:footnoteReference w:id="9"/>
      </w:r>
      <w:r w:rsidR="00FE3FA5" w:rsidRPr="00FE3FA5">
        <w:rPr>
          <w:rFonts w:eastAsia="Calibri"/>
          <w:noProof/>
          <w:szCs w:val="24"/>
        </w:rPr>
        <w:t xml:space="preserve">. </w:t>
      </w:r>
      <w:r>
        <w:rPr>
          <w:rFonts w:eastAsia="Calibri"/>
          <w:noProof/>
          <w:szCs w:val="24"/>
        </w:rPr>
        <w:t xml:space="preserve">Such workers </w:t>
      </w:r>
      <w:r w:rsidR="00FE3FA5" w:rsidRPr="00FE3FA5">
        <w:rPr>
          <w:rFonts w:eastAsia="Calibri"/>
          <w:noProof/>
          <w:szCs w:val="24"/>
        </w:rPr>
        <w:t xml:space="preserve">may </w:t>
      </w:r>
      <w:r w:rsidR="00FD55F4">
        <w:rPr>
          <w:rFonts w:eastAsia="Calibri"/>
          <w:noProof/>
          <w:szCs w:val="24"/>
        </w:rPr>
        <w:t>earn</w:t>
      </w:r>
      <w:r w:rsidR="00FD55F4" w:rsidRPr="00FE3FA5">
        <w:rPr>
          <w:rFonts w:eastAsia="Calibri"/>
          <w:noProof/>
          <w:szCs w:val="24"/>
        </w:rPr>
        <w:t xml:space="preserve"> </w:t>
      </w:r>
      <w:r w:rsidR="00FE3FA5" w:rsidRPr="00FE3FA5">
        <w:rPr>
          <w:rFonts w:eastAsia="Calibri"/>
          <w:noProof/>
          <w:szCs w:val="24"/>
        </w:rPr>
        <w:t>extremely low wages</w:t>
      </w:r>
      <w:r w:rsidR="00DF6E63">
        <w:rPr>
          <w:rFonts w:eastAsia="Calibri"/>
          <w:noProof/>
          <w:szCs w:val="24"/>
        </w:rPr>
        <w:t xml:space="preserve"> and their </w:t>
      </w:r>
      <w:r w:rsidR="00FE3FA5" w:rsidRPr="00FE3FA5">
        <w:rPr>
          <w:rFonts w:eastAsia="Calibri"/>
          <w:noProof/>
          <w:szCs w:val="24"/>
        </w:rPr>
        <w:t>working</w:t>
      </w:r>
      <w:r w:rsidR="005E2D62">
        <w:rPr>
          <w:rFonts w:eastAsia="Calibri"/>
          <w:noProof/>
          <w:szCs w:val="24"/>
        </w:rPr>
        <w:t>-</w:t>
      </w:r>
      <w:r w:rsidR="00FE3FA5" w:rsidRPr="00FE3FA5">
        <w:rPr>
          <w:rFonts w:eastAsia="Calibri"/>
          <w:noProof/>
          <w:szCs w:val="24"/>
        </w:rPr>
        <w:t xml:space="preserve">time arrangements, including adequate rest periods </w:t>
      </w:r>
      <w:r w:rsidR="00DF6E63">
        <w:rPr>
          <w:rFonts w:eastAsia="Calibri"/>
          <w:noProof/>
          <w:szCs w:val="24"/>
        </w:rPr>
        <w:t>and other working conditions</w:t>
      </w:r>
      <w:r w:rsidR="001416B5">
        <w:rPr>
          <w:rFonts w:eastAsia="Calibri"/>
          <w:noProof/>
          <w:szCs w:val="24"/>
        </w:rPr>
        <w:t>,</w:t>
      </w:r>
      <w:r w:rsidR="00DF6E63">
        <w:rPr>
          <w:rFonts w:eastAsia="Calibri"/>
          <w:noProof/>
          <w:szCs w:val="24"/>
        </w:rPr>
        <w:t xml:space="preserve"> </w:t>
      </w:r>
      <w:r w:rsidR="00FE3FA5" w:rsidRPr="00FE3FA5">
        <w:rPr>
          <w:rFonts w:eastAsia="Calibri"/>
          <w:noProof/>
          <w:szCs w:val="24"/>
        </w:rPr>
        <w:t>may be blurry</w:t>
      </w:r>
      <w:r w:rsidR="00FE3FA5" w:rsidRPr="00D12A97">
        <w:rPr>
          <w:rStyle w:val="FootnoteReference"/>
          <w:noProof/>
        </w:rPr>
        <w:footnoteReference w:id="10"/>
      </w:r>
      <w:r w:rsidR="00FE3FA5" w:rsidRPr="00FE3FA5">
        <w:rPr>
          <w:rFonts w:eastAsia="Calibri"/>
          <w:noProof/>
          <w:szCs w:val="24"/>
        </w:rPr>
        <w:t xml:space="preserve"> and </w:t>
      </w:r>
      <w:r w:rsidR="00DF6E63">
        <w:rPr>
          <w:rFonts w:eastAsia="Calibri"/>
          <w:noProof/>
          <w:szCs w:val="24"/>
        </w:rPr>
        <w:t>even</w:t>
      </w:r>
      <w:r w:rsidR="00DF6E63" w:rsidRPr="00FE3FA5">
        <w:rPr>
          <w:rFonts w:eastAsia="Calibri"/>
          <w:noProof/>
          <w:szCs w:val="24"/>
        </w:rPr>
        <w:t xml:space="preserve"> </w:t>
      </w:r>
      <w:r w:rsidR="00FE3FA5" w:rsidRPr="00FE3FA5">
        <w:rPr>
          <w:rFonts w:eastAsia="Calibri"/>
          <w:noProof/>
          <w:szCs w:val="24"/>
        </w:rPr>
        <w:t>not compliant with labour law.</w:t>
      </w:r>
      <w:r w:rsidR="003C16B8">
        <w:rPr>
          <w:rFonts w:eastAsia="Calibri"/>
          <w:noProof/>
          <w:szCs w:val="24"/>
        </w:rPr>
        <w:t xml:space="preserve"> </w:t>
      </w:r>
      <w:r w:rsidR="00FD55F4">
        <w:rPr>
          <w:rFonts w:eastAsia="Calibri"/>
          <w:noProof/>
          <w:szCs w:val="24"/>
        </w:rPr>
        <w:t xml:space="preserve">Furthermore, </w:t>
      </w:r>
      <w:r w:rsidR="00FD55F4">
        <w:rPr>
          <w:noProof/>
          <w:szCs w:val="24"/>
        </w:rPr>
        <w:t>t</w:t>
      </w:r>
      <w:r w:rsidR="002408D5" w:rsidRPr="00DD5587">
        <w:rPr>
          <w:noProof/>
          <w:szCs w:val="24"/>
        </w:rPr>
        <w:t>he care sector is one of the most gender-segregated sectors</w:t>
      </w:r>
      <w:r w:rsidR="002408D5">
        <w:rPr>
          <w:noProof/>
          <w:szCs w:val="24"/>
        </w:rPr>
        <w:t>. W</w:t>
      </w:r>
      <w:r w:rsidR="003C16B8" w:rsidRPr="003C16B8">
        <w:rPr>
          <w:rFonts w:eastAsia="Calibri"/>
          <w:noProof/>
          <w:szCs w:val="24"/>
        </w:rPr>
        <w:t>omen m</w:t>
      </w:r>
      <w:r w:rsidR="002408D5">
        <w:rPr>
          <w:rFonts w:eastAsia="Calibri"/>
          <w:noProof/>
          <w:szCs w:val="24"/>
        </w:rPr>
        <w:t xml:space="preserve">ake up 90% of the care workforce and gender stereotypes related to care provision are pervasive. </w:t>
      </w:r>
    </w:p>
    <w:p w14:paraId="4E7B0C0C" w14:textId="0E7623F3" w:rsidR="00FE3FA5" w:rsidRPr="00FE3FA5" w:rsidRDefault="00FE3FA5" w:rsidP="005F1B23">
      <w:pPr>
        <w:rPr>
          <w:rFonts w:eastAsia="Arial Unicode MS"/>
          <w:noProof/>
        </w:rPr>
      </w:pPr>
      <w:r w:rsidRPr="00FE3FA5">
        <w:rPr>
          <w:rFonts w:eastAsia="Arial Unicode MS"/>
          <w:b/>
          <w:noProof/>
        </w:rPr>
        <w:t xml:space="preserve">Informal care </w:t>
      </w:r>
      <w:r w:rsidR="00DE249A">
        <w:rPr>
          <w:rFonts w:eastAsia="Arial Unicode MS"/>
          <w:b/>
          <w:noProof/>
        </w:rPr>
        <w:t xml:space="preserve">represents </w:t>
      </w:r>
      <w:r w:rsidR="00762175">
        <w:rPr>
          <w:rFonts w:eastAsia="Arial Unicode MS"/>
          <w:b/>
          <w:noProof/>
        </w:rPr>
        <w:t>most</w:t>
      </w:r>
      <w:r w:rsidR="00DE249A">
        <w:rPr>
          <w:rFonts w:eastAsia="Arial Unicode MS"/>
          <w:b/>
          <w:noProof/>
        </w:rPr>
        <w:t xml:space="preserve"> care provision</w:t>
      </w:r>
      <w:r w:rsidR="00FB5EF1">
        <w:rPr>
          <w:rFonts w:eastAsia="Arial Unicode MS"/>
          <w:b/>
          <w:noProof/>
        </w:rPr>
        <w:t>,</w:t>
      </w:r>
      <w:r w:rsidRPr="00FE3FA5">
        <w:rPr>
          <w:rFonts w:eastAsia="Arial Unicode MS"/>
          <w:b/>
          <w:noProof/>
        </w:rPr>
        <w:t xml:space="preserve"> but comes with its own costs</w:t>
      </w:r>
      <w:r w:rsidRPr="00FE3FA5">
        <w:rPr>
          <w:rFonts w:eastAsia="Arial Unicode MS"/>
          <w:noProof/>
        </w:rPr>
        <w:t>. Around 52</w:t>
      </w:r>
      <w:r w:rsidR="00B17FD8">
        <w:rPr>
          <w:rFonts w:eastAsia="Arial Unicode MS"/>
          <w:noProof/>
        </w:rPr>
        <w:t> </w:t>
      </w:r>
      <w:r w:rsidRPr="00FE3FA5">
        <w:rPr>
          <w:rFonts w:eastAsia="Arial Unicode MS"/>
          <w:noProof/>
        </w:rPr>
        <w:t>million Europeans</w:t>
      </w:r>
      <w:r w:rsidR="009E6E7F">
        <w:rPr>
          <w:rFonts w:eastAsia="Arial Unicode MS"/>
          <w:noProof/>
        </w:rPr>
        <w:t>, that is to say</w:t>
      </w:r>
      <w:r w:rsidRPr="00FE3FA5">
        <w:rPr>
          <w:rFonts w:eastAsia="Arial Unicode MS"/>
          <w:noProof/>
        </w:rPr>
        <w:t xml:space="preserve"> </w:t>
      </w:r>
      <w:r w:rsidRPr="00FE3FA5">
        <w:rPr>
          <w:noProof/>
        </w:rPr>
        <w:t>14.4% of the population aged 18 to 74</w:t>
      </w:r>
      <w:r w:rsidR="009E6E7F">
        <w:rPr>
          <w:noProof/>
        </w:rPr>
        <w:t>,</w:t>
      </w:r>
      <w:r w:rsidRPr="00FE3FA5">
        <w:rPr>
          <w:noProof/>
        </w:rPr>
        <w:t xml:space="preserve"> </w:t>
      </w:r>
      <w:r w:rsidRPr="00FE3FA5">
        <w:rPr>
          <w:rFonts w:eastAsia="Arial Unicode MS"/>
          <w:noProof/>
        </w:rPr>
        <w:t xml:space="preserve">provide informal </w:t>
      </w:r>
      <w:r w:rsidR="00B56D5E">
        <w:rPr>
          <w:rFonts w:eastAsia="Arial Unicode MS"/>
          <w:noProof/>
        </w:rPr>
        <w:t>long-term care</w:t>
      </w:r>
      <w:r w:rsidRPr="00FE3FA5">
        <w:rPr>
          <w:rFonts w:eastAsia="Arial Unicode MS"/>
          <w:noProof/>
        </w:rPr>
        <w:t xml:space="preserve"> to family members or friends on a weekly basis, accounting for close to 80% of </w:t>
      </w:r>
      <w:r w:rsidR="00C92822">
        <w:rPr>
          <w:rFonts w:eastAsia="Arial Unicode MS"/>
          <w:noProof/>
        </w:rPr>
        <w:t xml:space="preserve">people providing </w:t>
      </w:r>
      <w:r w:rsidR="00B56D5E">
        <w:rPr>
          <w:rFonts w:eastAsia="Arial Unicode MS"/>
          <w:noProof/>
        </w:rPr>
        <w:t>long-term care</w:t>
      </w:r>
      <w:r w:rsidRPr="00FE3FA5">
        <w:rPr>
          <w:rFonts w:eastAsia="Arial Unicode MS"/>
          <w:noProof/>
        </w:rPr>
        <w:t xml:space="preserve"> at EU level</w:t>
      </w:r>
      <w:r w:rsidRPr="00D12A97">
        <w:rPr>
          <w:rStyle w:val="FootnoteReference"/>
          <w:noProof/>
        </w:rPr>
        <w:footnoteReference w:id="11"/>
      </w:r>
      <w:r w:rsidRPr="00FE3FA5">
        <w:rPr>
          <w:noProof/>
        </w:rPr>
        <w:t>.</w:t>
      </w:r>
      <w:r w:rsidRPr="00FE3FA5">
        <w:rPr>
          <w:rFonts w:eastAsia="Arial Unicode MS"/>
          <w:noProof/>
        </w:rPr>
        <w:t xml:space="preserve"> However, </w:t>
      </w:r>
      <w:r w:rsidR="00BB2910">
        <w:rPr>
          <w:rFonts w:eastAsia="Arial Unicode MS"/>
          <w:noProof/>
        </w:rPr>
        <w:t>c</w:t>
      </w:r>
      <w:r w:rsidR="00BB2910" w:rsidRPr="00FE3FA5">
        <w:rPr>
          <w:rFonts w:eastAsia="Arial Unicode MS"/>
          <w:noProof/>
        </w:rPr>
        <w:t>aring can be difficult, especially for older carers, affecting their own health and well</w:t>
      </w:r>
      <w:r w:rsidR="00B17FD8">
        <w:rPr>
          <w:rFonts w:eastAsia="Arial Unicode MS"/>
          <w:noProof/>
        </w:rPr>
        <w:t>-</w:t>
      </w:r>
      <w:r w:rsidR="00BB2910" w:rsidRPr="00FE3FA5">
        <w:rPr>
          <w:rFonts w:eastAsia="Arial Unicode MS"/>
          <w:noProof/>
        </w:rPr>
        <w:t>being</w:t>
      </w:r>
      <w:r w:rsidRPr="00FE3FA5">
        <w:rPr>
          <w:rFonts w:eastAsia="Arial Unicode MS"/>
          <w:noProof/>
        </w:rPr>
        <w:t>. Informal care also comes with (hidden) costs to the economy and the individual. Informal carers (who are usually women) are more likely to tak</w:t>
      </w:r>
      <w:r w:rsidR="00BB2910">
        <w:rPr>
          <w:rFonts w:eastAsia="Arial Unicode MS"/>
          <w:noProof/>
        </w:rPr>
        <w:t>e</w:t>
      </w:r>
      <w:r w:rsidRPr="00FE3FA5">
        <w:rPr>
          <w:rFonts w:eastAsia="Arial Unicode MS"/>
          <w:noProof/>
        </w:rPr>
        <w:t xml:space="preserve"> career breaks</w:t>
      </w:r>
      <w:r w:rsidR="00FD55F4">
        <w:rPr>
          <w:rFonts w:eastAsia="Arial Unicode MS"/>
          <w:noProof/>
        </w:rPr>
        <w:t>,</w:t>
      </w:r>
      <w:r w:rsidRPr="00FE3FA5">
        <w:rPr>
          <w:rFonts w:eastAsia="Arial Unicode MS"/>
          <w:noProof/>
        </w:rPr>
        <w:t xml:space="preserve"> opt for part-time work</w:t>
      </w:r>
      <w:r w:rsidR="00E96A70">
        <w:rPr>
          <w:rFonts w:eastAsia="Arial Unicode MS"/>
          <w:noProof/>
        </w:rPr>
        <w:t xml:space="preserve"> or withdraw from the labour market</w:t>
      </w:r>
      <w:r w:rsidRPr="00FE3FA5">
        <w:rPr>
          <w:rFonts w:eastAsia="Arial Unicode MS"/>
          <w:noProof/>
        </w:rPr>
        <w:t>, which adds to gender gaps</w:t>
      </w:r>
      <w:r w:rsidR="00DF39AD">
        <w:rPr>
          <w:rFonts w:eastAsia="Arial Unicode MS"/>
          <w:noProof/>
        </w:rPr>
        <w:t>,</w:t>
      </w:r>
      <w:r w:rsidRPr="00FE3FA5">
        <w:rPr>
          <w:rFonts w:eastAsia="Arial Unicode MS"/>
          <w:noProof/>
        </w:rPr>
        <w:t xml:space="preserve"> </w:t>
      </w:r>
      <w:r w:rsidR="00762175">
        <w:rPr>
          <w:rFonts w:eastAsia="Arial Unicode MS"/>
          <w:noProof/>
        </w:rPr>
        <w:t xml:space="preserve">and </w:t>
      </w:r>
      <w:r w:rsidR="00DF39AD">
        <w:rPr>
          <w:rFonts w:eastAsia="Arial Unicode MS"/>
          <w:noProof/>
        </w:rPr>
        <w:t xml:space="preserve">labour </w:t>
      </w:r>
      <w:r w:rsidRPr="00FE3FA5">
        <w:rPr>
          <w:rFonts w:eastAsia="Arial Unicode MS"/>
          <w:noProof/>
        </w:rPr>
        <w:t>and skills shortages.</w:t>
      </w:r>
    </w:p>
    <w:p w14:paraId="618A0305" w14:textId="77777777" w:rsidR="00FE3FA5" w:rsidRPr="00BC5D0C" w:rsidRDefault="00FE3FA5" w:rsidP="005F1B23">
      <w:pPr>
        <w:rPr>
          <w:rFonts w:eastAsia="Arial Unicode MS"/>
          <w:noProof/>
          <w:u w:val="single"/>
        </w:rPr>
      </w:pPr>
      <w:r w:rsidRPr="00BC5D0C">
        <w:rPr>
          <w:rFonts w:eastAsia="Arial Unicode MS"/>
          <w:noProof/>
          <w:u w:val="single"/>
        </w:rPr>
        <w:t>Funding challenge</w:t>
      </w:r>
    </w:p>
    <w:p w14:paraId="06A2CEC8" w14:textId="77777777" w:rsidR="00FE3FA5" w:rsidRPr="00BC5D0C" w:rsidRDefault="00860918" w:rsidP="005F1B23">
      <w:pPr>
        <w:rPr>
          <w:rFonts w:eastAsia="Arial Unicode MS"/>
          <w:noProof/>
        </w:rPr>
      </w:pPr>
      <w:r>
        <w:rPr>
          <w:rFonts w:eastAsia="Arial Unicode MS"/>
          <w:b/>
          <w:bCs/>
          <w:noProof/>
        </w:rPr>
        <w:t>P</w:t>
      </w:r>
      <w:r w:rsidR="00297EB9" w:rsidRPr="64EDEE97">
        <w:rPr>
          <w:rFonts w:eastAsia="Arial Unicode MS"/>
          <w:b/>
          <w:bCs/>
          <w:noProof/>
        </w:rPr>
        <w:t xml:space="preserve">ublic expenditure on </w:t>
      </w:r>
      <w:r w:rsidR="00B56D5E">
        <w:rPr>
          <w:rFonts w:eastAsia="Arial Unicode MS"/>
          <w:b/>
          <w:bCs/>
          <w:noProof/>
        </w:rPr>
        <w:t>long-term care</w:t>
      </w:r>
      <w:r w:rsidR="00297EB9" w:rsidRPr="64EDEE97">
        <w:rPr>
          <w:rFonts w:eastAsia="Arial Unicode MS"/>
          <w:b/>
          <w:bCs/>
          <w:noProof/>
        </w:rPr>
        <w:t xml:space="preserve"> </w:t>
      </w:r>
      <w:r>
        <w:rPr>
          <w:rFonts w:eastAsia="Arial Unicode MS"/>
          <w:b/>
          <w:bCs/>
          <w:noProof/>
        </w:rPr>
        <w:t>is expected to further increase significantly, requiring sustainable financing</w:t>
      </w:r>
      <w:r w:rsidR="00297EB9" w:rsidRPr="64EDEE97">
        <w:rPr>
          <w:rFonts w:eastAsia="Arial Unicode MS"/>
          <w:b/>
          <w:bCs/>
          <w:noProof/>
        </w:rPr>
        <w:t xml:space="preserve">. </w:t>
      </w:r>
      <w:r w:rsidR="00D81969">
        <w:rPr>
          <w:rFonts w:eastAsia="Arial Unicode MS"/>
          <w:noProof/>
        </w:rPr>
        <w:t>It</w:t>
      </w:r>
      <w:r w:rsidR="00FE3FA5" w:rsidRPr="00BC5D0C">
        <w:rPr>
          <w:rFonts w:eastAsia="Arial Unicode MS"/>
          <w:noProof/>
        </w:rPr>
        <w:t xml:space="preserve"> is projected to increase from 1.7% of GDP in 2019 to 2.5% of GDP in 2050, with marked variations across Member States</w:t>
      </w:r>
      <w:r w:rsidR="00FE3FA5" w:rsidRPr="00D12A97">
        <w:rPr>
          <w:rStyle w:val="FootnoteReference"/>
          <w:noProof/>
        </w:rPr>
        <w:footnoteReference w:id="12"/>
      </w:r>
      <w:r w:rsidR="00FE3FA5" w:rsidRPr="00BC5D0C">
        <w:rPr>
          <w:rFonts w:eastAsia="Arial Unicode MS"/>
          <w:noProof/>
        </w:rPr>
        <w:t xml:space="preserve">. </w:t>
      </w:r>
      <w:r w:rsidR="00297EB9" w:rsidRPr="00BC5D0C">
        <w:rPr>
          <w:rFonts w:eastAsia="Arial Unicode MS"/>
          <w:noProof/>
        </w:rPr>
        <w:t>Th</w:t>
      </w:r>
      <w:r w:rsidR="00297EB9">
        <w:rPr>
          <w:rFonts w:eastAsia="Arial Unicode MS"/>
          <w:noProof/>
        </w:rPr>
        <w:t>is</w:t>
      </w:r>
      <w:r w:rsidR="00297EB9" w:rsidRPr="00BC5D0C">
        <w:rPr>
          <w:rFonts w:eastAsia="Arial Unicode MS"/>
          <w:noProof/>
        </w:rPr>
        <w:t xml:space="preserve"> </w:t>
      </w:r>
      <w:r w:rsidR="00FE3FA5" w:rsidRPr="00BC5D0C">
        <w:rPr>
          <w:rFonts w:eastAsia="Arial Unicode MS"/>
          <w:noProof/>
        </w:rPr>
        <w:t xml:space="preserve">projected increase, </w:t>
      </w:r>
      <w:r>
        <w:rPr>
          <w:rFonts w:eastAsia="Arial Unicode MS"/>
          <w:noProof/>
        </w:rPr>
        <w:t>furthermore</w:t>
      </w:r>
      <w:r w:rsidR="00FE3FA5" w:rsidRPr="00BC5D0C">
        <w:rPr>
          <w:rFonts w:eastAsia="Arial Unicode MS"/>
          <w:noProof/>
        </w:rPr>
        <w:t xml:space="preserve">, may </w:t>
      </w:r>
      <w:r w:rsidR="00D81969">
        <w:rPr>
          <w:rFonts w:eastAsia="Arial Unicode MS"/>
          <w:noProof/>
        </w:rPr>
        <w:t xml:space="preserve">be largely </w:t>
      </w:r>
      <w:r w:rsidR="00297EB9">
        <w:rPr>
          <w:rFonts w:eastAsia="Arial Unicode MS"/>
          <w:noProof/>
        </w:rPr>
        <w:t>underestimate</w:t>
      </w:r>
      <w:r w:rsidR="00D81969">
        <w:rPr>
          <w:rFonts w:eastAsia="Arial Unicode MS"/>
          <w:noProof/>
        </w:rPr>
        <w:t>d</w:t>
      </w:r>
      <w:r w:rsidR="00B17FD8">
        <w:rPr>
          <w:rFonts w:eastAsia="Arial Unicode MS"/>
          <w:noProof/>
        </w:rPr>
        <w:t>.</w:t>
      </w:r>
      <w:r w:rsidR="00FE3FA5" w:rsidRPr="00BC5D0C">
        <w:rPr>
          <w:rFonts w:eastAsia="Arial Unicode MS"/>
          <w:noProof/>
        </w:rPr>
        <w:t xml:space="preserve"> </w:t>
      </w:r>
      <w:r w:rsidR="00B17FD8">
        <w:rPr>
          <w:rFonts w:eastAsia="Arial Unicode MS"/>
          <w:noProof/>
        </w:rPr>
        <w:t>I</w:t>
      </w:r>
      <w:r w:rsidR="00FE3FA5" w:rsidRPr="00BC5D0C">
        <w:rPr>
          <w:rFonts w:eastAsia="Arial Unicode MS"/>
          <w:noProof/>
        </w:rPr>
        <w:t>t does not take into account that the current substantial contribution of informal carers</w:t>
      </w:r>
      <w:r w:rsidR="009E6E7F">
        <w:rPr>
          <w:rFonts w:eastAsia="Arial Unicode MS"/>
          <w:noProof/>
        </w:rPr>
        <w:t>,</w:t>
      </w:r>
      <w:r w:rsidR="00FE3FA5" w:rsidRPr="00BC5D0C">
        <w:rPr>
          <w:rFonts w:eastAsia="Arial Unicode MS"/>
          <w:noProof/>
        </w:rPr>
        <w:t xml:space="preserve"> estimated</w:t>
      </w:r>
      <w:r w:rsidR="00466144">
        <w:rPr>
          <w:rFonts w:eastAsia="Arial Unicode MS"/>
          <w:noProof/>
        </w:rPr>
        <w:t xml:space="preserve"> currently</w:t>
      </w:r>
      <w:r w:rsidR="00FE3FA5" w:rsidRPr="00BC5D0C">
        <w:rPr>
          <w:rFonts w:eastAsia="Arial Unicode MS"/>
          <w:noProof/>
        </w:rPr>
        <w:t xml:space="preserve"> at </w:t>
      </w:r>
      <w:r w:rsidR="00FE3FA5" w:rsidRPr="00BC5D0C">
        <w:rPr>
          <w:noProof/>
        </w:rPr>
        <w:t xml:space="preserve">2.4% of </w:t>
      </w:r>
      <w:r w:rsidR="009E6E7F">
        <w:rPr>
          <w:noProof/>
        </w:rPr>
        <w:t xml:space="preserve">the Union’s </w:t>
      </w:r>
      <w:r w:rsidR="00FE3FA5" w:rsidRPr="00BC5D0C">
        <w:rPr>
          <w:noProof/>
        </w:rPr>
        <w:t>GDP</w:t>
      </w:r>
      <w:r w:rsidR="00FE3FA5" w:rsidRPr="00D12A97">
        <w:rPr>
          <w:rStyle w:val="FootnoteReference"/>
          <w:noProof/>
        </w:rPr>
        <w:footnoteReference w:id="13"/>
      </w:r>
      <w:r w:rsidR="00FE3FA5" w:rsidRPr="00BC5D0C">
        <w:rPr>
          <w:rFonts w:eastAsia="Arial Unicode MS"/>
          <w:noProof/>
        </w:rPr>
        <w:t>)</w:t>
      </w:r>
      <w:r w:rsidR="00AB641E">
        <w:rPr>
          <w:rFonts w:eastAsia="Arial Unicode MS"/>
          <w:noProof/>
        </w:rPr>
        <w:t>,</w:t>
      </w:r>
      <w:r w:rsidR="00D81969">
        <w:rPr>
          <w:rFonts w:eastAsia="Arial Unicode MS"/>
          <w:noProof/>
        </w:rPr>
        <w:t xml:space="preserve"> is unlikely to remain at the same level in future, due to chan</w:t>
      </w:r>
      <w:r w:rsidR="003A0525">
        <w:rPr>
          <w:rFonts w:eastAsia="Arial Unicode MS"/>
          <w:noProof/>
        </w:rPr>
        <w:t>g</w:t>
      </w:r>
      <w:r w:rsidR="00D81969">
        <w:rPr>
          <w:rFonts w:eastAsia="Arial Unicode MS"/>
          <w:noProof/>
        </w:rPr>
        <w:t xml:space="preserve">ing family structures and </w:t>
      </w:r>
      <w:r w:rsidR="00B17FD8">
        <w:rPr>
          <w:rFonts w:eastAsia="Arial Unicode MS"/>
          <w:noProof/>
        </w:rPr>
        <w:t xml:space="preserve">rising </w:t>
      </w:r>
      <w:r w:rsidR="00D81969">
        <w:rPr>
          <w:rFonts w:eastAsia="Arial Unicode MS"/>
          <w:noProof/>
        </w:rPr>
        <w:t xml:space="preserve">female employment. </w:t>
      </w:r>
      <w:r w:rsidR="00E46BEC">
        <w:rPr>
          <w:rFonts w:eastAsia="Arial Unicode MS"/>
          <w:noProof/>
        </w:rPr>
        <w:t>Fiscal</w:t>
      </w:r>
      <w:r w:rsidR="00E46BEC" w:rsidRPr="00EF6C0D">
        <w:rPr>
          <w:rFonts w:eastAsia="Arial Unicode MS"/>
          <w:noProof/>
        </w:rPr>
        <w:t xml:space="preserve"> </w:t>
      </w:r>
      <w:r w:rsidRPr="00EF6C0D">
        <w:rPr>
          <w:rFonts w:eastAsia="Arial Unicode MS"/>
          <w:noProof/>
        </w:rPr>
        <w:t>sustainability can be improved by ensuring c</w:t>
      </w:r>
      <w:r w:rsidR="007A4320" w:rsidRPr="00EF6C0D">
        <w:rPr>
          <w:rFonts w:eastAsia="Arial Unicode MS"/>
          <w:noProof/>
        </w:rPr>
        <w:t>ost</w:t>
      </w:r>
      <w:r w:rsidRPr="00EF6C0D">
        <w:rPr>
          <w:rFonts w:eastAsia="Arial Unicode MS"/>
          <w:noProof/>
        </w:rPr>
        <w:t>-</w:t>
      </w:r>
      <w:r w:rsidR="007A4320" w:rsidRPr="00EF6C0D">
        <w:rPr>
          <w:rFonts w:eastAsia="Arial Unicode MS"/>
          <w:noProof/>
        </w:rPr>
        <w:t xml:space="preserve">effectiveness </w:t>
      </w:r>
      <w:r w:rsidRPr="00EF6C0D">
        <w:rPr>
          <w:rFonts w:eastAsia="Arial Unicode MS"/>
          <w:noProof/>
        </w:rPr>
        <w:t xml:space="preserve">of </w:t>
      </w:r>
      <w:r w:rsidR="00B56D5E">
        <w:rPr>
          <w:rFonts w:eastAsia="Arial Unicode MS"/>
          <w:noProof/>
        </w:rPr>
        <w:t>long-term care</w:t>
      </w:r>
      <w:r w:rsidR="000E3C98">
        <w:rPr>
          <w:rFonts w:eastAsia="Arial Unicode MS"/>
          <w:noProof/>
        </w:rPr>
        <w:t>, for example</w:t>
      </w:r>
      <w:r w:rsidR="00D81969">
        <w:rPr>
          <w:rFonts w:eastAsia="Arial Unicode MS"/>
          <w:noProof/>
        </w:rPr>
        <w:t>,</w:t>
      </w:r>
      <w:r w:rsidR="000E3C98">
        <w:rPr>
          <w:rFonts w:eastAsia="Arial Unicode MS"/>
          <w:noProof/>
        </w:rPr>
        <w:t xml:space="preserve"> </w:t>
      </w:r>
      <w:r w:rsidR="00DF39AD">
        <w:rPr>
          <w:rFonts w:eastAsia="Arial Unicode MS"/>
          <w:noProof/>
        </w:rPr>
        <w:t>through</w:t>
      </w:r>
      <w:r w:rsidR="007A4320" w:rsidRPr="003C741A">
        <w:rPr>
          <w:rFonts w:eastAsia="Arial Unicode MS"/>
          <w:noProof/>
        </w:rPr>
        <w:t xml:space="preserve"> a coherent and integrated governance framework</w:t>
      </w:r>
      <w:r w:rsidR="000E3C98">
        <w:rPr>
          <w:rFonts w:eastAsia="Arial Unicode MS"/>
          <w:noProof/>
        </w:rPr>
        <w:t xml:space="preserve">, </w:t>
      </w:r>
      <w:r w:rsidR="00747A65">
        <w:rPr>
          <w:rFonts w:eastAsia="Arial Unicode MS"/>
          <w:noProof/>
        </w:rPr>
        <w:t xml:space="preserve">support for independent living and </w:t>
      </w:r>
      <w:r w:rsidR="000E3C98">
        <w:rPr>
          <w:rFonts w:eastAsia="Arial Unicode MS"/>
          <w:noProof/>
        </w:rPr>
        <w:t xml:space="preserve">better </w:t>
      </w:r>
      <w:r w:rsidR="00DF39AD">
        <w:rPr>
          <w:rFonts w:eastAsia="Arial Unicode MS"/>
          <w:noProof/>
        </w:rPr>
        <w:t>targeting</w:t>
      </w:r>
      <w:r w:rsidR="000E3C98">
        <w:rPr>
          <w:rFonts w:eastAsia="Arial Unicode MS"/>
          <w:noProof/>
        </w:rPr>
        <w:t xml:space="preserve"> </w:t>
      </w:r>
      <w:r w:rsidR="00DF39AD">
        <w:rPr>
          <w:rFonts w:eastAsia="Arial Unicode MS"/>
          <w:noProof/>
        </w:rPr>
        <w:t xml:space="preserve">of </w:t>
      </w:r>
      <w:r w:rsidR="00B56D5E">
        <w:rPr>
          <w:rFonts w:eastAsia="Arial Unicode MS"/>
          <w:noProof/>
        </w:rPr>
        <w:t>long-term care</w:t>
      </w:r>
      <w:r w:rsidR="000E3C98">
        <w:rPr>
          <w:rFonts w:eastAsia="Arial Unicode MS"/>
          <w:noProof/>
        </w:rPr>
        <w:t xml:space="preserve"> to personal needs</w:t>
      </w:r>
      <w:r w:rsidR="00A36051">
        <w:rPr>
          <w:rFonts w:eastAsia="Arial Unicode MS"/>
          <w:noProof/>
        </w:rPr>
        <w:t xml:space="preserve"> to make sure, for example, that people with low care needs are not being cared for in </w:t>
      </w:r>
      <w:r w:rsidR="00747A65">
        <w:rPr>
          <w:rFonts w:eastAsia="Arial Unicode MS"/>
          <w:noProof/>
        </w:rPr>
        <w:t xml:space="preserve">more expensive </w:t>
      </w:r>
      <w:r w:rsidR="00A36051">
        <w:rPr>
          <w:rFonts w:eastAsia="Arial Unicode MS"/>
          <w:noProof/>
        </w:rPr>
        <w:t>settings for severe needs</w:t>
      </w:r>
      <w:r w:rsidR="000E3C98">
        <w:rPr>
          <w:rFonts w:eastAsia="Arial Unicode MS"/>
          <w:noProof/>
        </w:rPr>
        <w:t>.</w:t>
      </w:r>
      <w:r w:rsidR="0076720D">
        <w:rPr>
          <w:rFonts w:eastAsia="Arial Unicode MS"/>
          <w:noProof/>
        </w:rPr>
        <w:t xml:space="preserve"> Furthermore, m</w:t>
      </w:r>
      <w:r w:rsidR="0076720D" w:rsidRPr="0076720D">
        <w:rPr>
          <w:rFonts w:eastAsia="Arial Unicode MS"/>
          <w:noProof/>
        </w:rPr>
        <w:t xml:space="preserve">ore ambitious actions on health promotion and disease prevention are needed to ensure that </w:t>
      </w:r>
      <w:r w:rsidR="00D25598">
        <w:rPr>
          <w:rFonts w:eastAsia="Arial Unicode MS"/>
          <w:noProof/>
        </w:rPr>
        <w:t>people</w:t>
      </w:r>
      <w:r w:rsidR="0076720D" w:rsidRPr="0076720D">
        <w:rPr>
          <w:rFonts w:eastAsia="Arial Unicode MS"/>
          <w:noProof/>
        </w:rPr>
        <w:t xml:space="preserve"> remain in good mental and physical health, that a strong workforce is ensured and that health care systems remain sustainable and resilient.  </w:t>
      </w:r>
    </w:p>
    <w:p w14:paraId="2EE37AB7" w14:textId="77777777" w:rsidR="00FE3FA5" w:rsidRPr="00555E2F" w:rsidRDefault="00FE3FA5" w:rsidP="005F1B23">
      <w:pPr>
        <w:rPr>
          <w:rFonts w:eastAsia="Arial Unicode MS"/>
          <w:noProof/>
          <w:u w:val="single"/>
        </w:rPr>
      </w:pPr>
      <w:r w:rsidRPr="00555E2F">
        <w:rPr>
          <w:rFonts w:eastAsia="Arial Unicode MS"/>
          <w:noProof/>
          <w:u w:val="single"/>
        </w:rPr>
        <w:t>Governance challenge</w:t>
      </w:r>
    </w:p>
    <w:p w14:paraId="67E790D3" w14:textId="77777777" w:rsidR="00555E2F" w:rsidRDefault="00FE3FA5" w:rsidP="00555E2F">
      <w:pPr>
        <w:rPr>
          <w:noProof/>
          <w:lang w:val="en-US"/>
        </w:rPr>
      </w:pPr>
      <w:r w:rsidRPr="00B4162F">
        <w:rPr>
          <w:rFonts w:eastAsia="Arial Unicode MS"/>
          <w:b/>
          <w:noProof/>
        </w:rPr>
        <w:t>In many Member States</w:t>
      </w:r>
      <w:r w:rsidR="00CC22A6">
        <w:rPr>
          <w:rFonts w:eastAsia="Arial Unicode MS"/>
          <w:b/>
          <w:noProof/>
        </w:rPr>
        <w:t>,</w:t>
      </w:r>
      <w:r w:rsidRPr="00B4162F">
        <w:rPr>
          <w:rFonts w:eastAsia="Arial Unicode MS"/>
          <w:b/>
          <w:noProof/>
        </w:rPr>
        <w:t xml:space="preserve"> </w:t>
      </w:r>
      <w:r w:rsidR="00B56D5E">
        <w:rPr>
          <w:rFonts w:eastAsia="Arial Unicode MS"/>
          <w:b/>
          <w:noProof/>
        </w:rPr>
        <w:t>long-term care</w:t>
      </w:r>
      <w:r w:rsidRPr="00B4162F">
        <w:rPr>
          <w:rFonts w:eastAsia="Arial Unicode MS"/>
          <w:b/>
          <w:noProof/>
        </w:rPr>
        <w:t xml:space="preserve"> </w:t>
      </w:r>
      <w:r w:rsidR="003B45C1">
        <w:rPr>
          <w:rFonts w:eastAsia="Arial Unicode MS"/>
          <w:b/>
          <w:noProof/>
        </w:rPr>
        <w:t>provision</w:t>
      </w:r>
      <w:r w:rsidR="003B45C1" w:rsidRPr="00B4162F">
        <w:rPr>
          <w:rFonts w:eastAsia="Arial Unicode MS"/>
          <w:b/>
          <w:noProof/>
        </w:rPr>
        <w:t xml:space="preserve"> </w:t>
      </w:r>
      <w:r w:rsidRPr="00B4162F">
        <w:rPr>
          <w:rFonts w:eastAsia="Arial Unicode MS"/>
          <w:b/>
          <w:noProof/>
        </w:rPr>
        <w:t>is often fragmented</w:t>
      </w:r>
      <w:r w:rsidRPr="00555E2F">
        <w:rPr>
          <w:rFonts w:eastAsia="Arial Unicode MS"/>
          <w:noProof/>
        </w:rPr>
        <w:t>, being organised in a complex system of services across health</w:t>
      </w:r>
      <w:r w:rsidR="00CC22A6">
        <w:rPr>
          <w:rFonts w:eastAsia="Arial Unicode MS"/>
          <w:noProof/>
        </w:rPr>
        <w:t>care</w:t>
      </w:r>
      <w:r w:rsidRPr="00555E2F">
        <w:rPr>
          <w:rFonts w:eastAsia="Arial Unicode MS"/>
          <w:noProof/>
        </w:rPr>
        <w:t xml:space="preserve"> and social care and other types of support</w:t>
      </w:r>
      <w:r w:rsidR="008D0A2A">
        <w:rPr>
          <w:rFonts w:eastAsia="Arial Unicode MS"/>
          <w:noProof/>
        </w:rPr>
        <w:t>,</w:t>
      </w:r>
      <w:r w:rsidR="00AA43C3">
        <w:rPr>
          <w:rFonts w:eastAsia="Arial Unicode MS"/>
          <w:noProof/>
        </w:rPr>
        <w:t xml:space="preserve"> </w:t>
      </w:r>
      <w:r w:rsidR="00CC22A6">
        <w:rPr>
          <w:rFonts w:eastAsia="Arial Unicode MS"/>
          <w:noProof/>
        </w:rPr>
        <w:t>and subject to a</w:t>
      </w:r>
      <w:r w:rsidR="00AA43C3">
        <w:rPr>
          <w:rFonts w:eastAsia="Arial Unicode MS"/>
          <w:noProof/>
        </w:rPr>
        <w:t xml:space="preserve"> national</w:t>
      </w:r>
      <w:r w:rsidR="00F55951">
        <w:rPr>
          <w:rFonts w:eastAsia="Arial Unicode MS"/>
          <w:noProof/>
        </w:rPr>
        <w:t xml:space="preserve">, </w:t>
      </w:r>
      <w:r w:rsidR="00AA43C3">
        <w:rPr>
          <w:rFonts w:eastAsia="Arial Unicode MS"/>
          <w:noProof/>
        </w:rPr>
        <w:t>regional</w:t>
      </w:r>
      <w:r w:rsidR="009E6E7F">
        <w:rPr>
          <w:rFonts w:eastAsia="Arial Unicode MS"/>
          <w:noProof/>
        </w:rPr>
        <w:t xml:space="preserve"> or </w:t>
      </w:r>
      <w:r w:rsidR="00AA43C3">
        <w:rPr>
          <w:rFonts w:eastAsia="Arial Unicode MS"/>
          <w:noProof/>
        </w:rPr>
        <w:t xml:space="preserve">local </w:t>
      </w:r>
      <w:r w:rsidR="009E6E7F">
        <w:rPr>
          <w:rFonts w:eastAsia="Arial Unicode MS"/>
          <w:noProof/>
        </w:rPr>
        <w:t xml:space="preserve">distribution </w:t>
      </w:r>
      <w:r w:rsidR="00D81969">
        <w:rPr>
          <w:rFonts w:eastAsia="Arial Unicode MS"/>
          <w:noProof/>
        </w:rPr>
        <w:t>of responsibilities</w:t>
      </w:r>
      <w:r w:rsidRPr="00555E2F">
        <w:rPr>
          <w:rFonts w:eastAsia="Arial Unicode MS"/>
          <w:noProof/>
        </w:rPr>
        <w:t>.</w:t>
      </w:r>
      <w:r w:rsidR="000B4CF5">
        <w:rPr>
          <w:rFonts w:eastAsia="Arial Unicode MS"/>
          <w:noProof/>
        </w:rPr>
        <w:t xml:space="preserve"> This contributes to differences in the availability and quality of long-term care services and reduces cost-</w:t>
      </w:r>
      <w:r w:rsidR="00D25598">
        <w:rPr>
          <w:rFonts w:eastAsia="Arial Unicode MS"/>
          <w:noProof/>
        </w:rPr>
        <w:t>effectiveness</w:t>
      </w:r>
      <w:r w:rsidR="000B4CF5">
        <w:rPr>
          <w:rFonts w:eastAsia="Arial Unicode MS"/>
          <w:noProof/>
        </w:rPr>
        <w:t xml:space="preserve">. </w:t>
      </w:r>
      <w:r w:rsidRPr="00555E2F">
        <w:rPr>
          <w:rFonts w:eastAsia="Arial Unicode MS"/>
          <w:noProof/>
        </w:rPr>
        <w:t xml:space="preserve">Indicators for monitoring </w:t>
      </w:r>
      <w:r w:rsidR="00B56D5E">
        <w:rPr>
          <w:rFonts w:eastAsia="Arial Unicode MS"/>
          <w:noProof/>
        </w:rPr>
        <w:t>long-term care</w:t>
      </w:r>
      <w:r w:rsidRPr="00555E2F">
        <w:rPr>
          <w:rFonts w:eastAsia="Arial Unicode MS"/>
          <w:noProof/>
        </w:rPr>
        <w:t xml:space="preserve"> vary</w:t>
      </w:r>
      <w:r w:rsidR="00747A65">
        <w:rPr>
          <w:rFonts w:eastAsia="Arial Unicode MS"/>
          <w:noProof/>
        </w:rPr>
        <w:t xml:space="preserve"> and a</w:t>
      </w:r>
      <w:r w:rsidRPr="00555E2F">
        <w:rPr>
          <w:rFonts w:eastAsia="Arial Unicode MS"/>
          <w:noProof/>
        </w:rPr>
        <w:t xml:space="preserve">dministrative data </w:t>
      </w:r>
      <w:r w:rsidR="00860918">
        <w:rPr>
          <w:rFonts w:eastAsia="Arial Unicode MS"/>
          <w:noProof/>
        </w:rPr>
        <w:t>tend</w:t>
      </w:r>
      <w:r w:rsidR="00BE384A">
        <w:rPr>
          <w:rFonts w:eastAsia="Arial Unicode MS"/>
          <w:noProof/>
        </w:rPr>
        <w:t>s</w:t>
      </w:r>
      <w:r w:rsidR="00860918">
        <w:rPr>
          <w:rFonts w:eastAsia="Arial Unicode MS"/>
          <w:noProof/>
        </w:rPr>
        <w:t xml:space="preserve"> to be fragmented at </w:t>
      </w:r>
      <w:r w:rsidR="00715CDF">
        <w:rPr>
          <w:rFonts w:eastAsia="Arial Unicode MS"/>
          <w:noProof/>
        </w:rPr>
        <w:t>national</w:t>
      </w:r>
      <w:r w:rsidR="00860918">
        <w:rPr>
          <w:rFonts w:eastAsia="Arial Unicode MS"/>
          <w:noProof/>
        </w:rPr>
        <w:t xml:space="preserve"> level and </w:t>
      </w:r>
      <w:r w:rsidR="00BE384A">
        <w:rPr>
          <w:rFonts w:eastAsia="Arial Unicode MS"/>
          <w:noProof/>
        </w:rPr>
        <w:t>is</w:t>
      </w:r>
      <w:r w:rsidR="00BE384A" w:rsidRPr="00555E2F">
        <w:rPr>
          <w:rFonts w:eastAsia="Arial Unicode MS"/>
          <w:noProof/>
        </w:rPr>
        <w:t xml:space="preserve"> </w:t>
      </w:r>
      <w:r w:rsidRPr="00555E2F">
        <w:rPr>
          <w:rFonts w:eastAsia="Arial Unicode MS"/>
          <w:noProof/>
        </w:rPr>
        <w:t xml:space="preserve">often not available or comparable at the </w:t>
      </w:r>
      <w:r w:rsidR="009E6E7F">
        <w:rPr>
          <w:rFonts w:eastAsia="Arial Unicode MS"/>
          <w:noProof/>
        </w:rPr>
        <w:t>Union</w:t>
      </w:r>
      <w:r w:rsidR="009E6E7F" w:rsidRPr="00555E2F">
        <w:rPr>
          <w:rFonts w:eastAsia="Arial Unicode MS"/>
          <w:noProof/>
        </w:rPr>
        <w:t xml:space="preserve"> </w:t>
      </w:r>
      <w:r w:rsidRPr="00555E2F">
        <w:rPr>
          <w:rFonts w:eastAsia="Arial Unicode MS"/>
          <w:noProof/>
        </w:rPr>
        <w:t>level.</w:t>
      </w:r>
      <w:r w:rsidR="000B4CF5">
        <w:rPr>
          <w:rFonts w:eastAsia="Arial Unicode MS"/>
          <w:noProof/>
        </w:rPr>
        <w:t xml:space="preserve"> This </w:t>
      </w:r>
      <w:r w:rsidR="000B4CF5" w:rsidRPr="000B4CF5">
        <w:rPr>
          <w:rFonts w:eastAsia="Arial Unicode MS"/>
          <w:noProof/>
        </w:rPr>
        <w:t>hampers efficiency and limits</w:t>
      </w:r>
      <w:r w:rsidR="00747A65">
        <w:rPr>
          <w:rFonts w:eastAsia="Arial Unicode MS"/>
          <w:noProof/>
        </w:rPr>
        <w:t xml:space="preserve"> also</w:t>
      </w:r>
      <w:r w:rsidR="000B4CF5" w:rsidRPr="000B4CF5">
        <w:rPr>
          <w:rFonts w:eastAsia="Arial Unicode MS"/>
          <w:noProof/>
        </w:rPr>
        <w:t xml:space="preserve"> the possibility for </w:t>
      </w:r>
      <w:r w:rsidR="00747A65">
        <w:rPr>
          <w:rFonts w:eastAsia="Arial Unicode MS"/>
          <w:noProof/>
        </w:rPr>
        <w:t xml:space="preserve">effective monitoring and </w:t>
      </w:r>
      <w:r w:rsidR="000B4CF5" w:rsidRPr="000B4CF5">
        <w:rPr>
          <w:rFonts w:eastAsia="Arial Unicode MS"/>
          <w:noProof/>
        </w:rPr>
        <w:t>mutual learning.</w:t>
      </w:r>
      <w:r w:rsidRPr="00FE3FA5">
        <w:rPr>
          <w:rFonts w:eastAsia="Arial Unicode MS"/>
          <w:noProof/>
        </w:rPr>
        <w:t xml:space="preserve"> </w:t>
      </w:r>
      <w:r w:rsidR="008D0A2A">
        <w:rPr>
          <w:noProof/>
          <w:lang w:val="en-US"/>
        </w:rPr>
        <w:t>L</w:t>
      </w:r>
      <w:r w:rsidR="00B56D5E">
        <w:rPr>
          <w:noProof/>
          <w:lang w:val="en-US"/>
        </w:rPr>
        <w:t>ong-term care</w:t>
      </w:r>
      <w:r w:rsidR="00555E2F" w:rsidRPr="00EF6C0D">
        <w:rPr>
          <w:noProof/>
          <w:lang w:val="en-US"/>
        </w:rPr>
        <w:t xml:space="preserve"> involves a variety of </w:t>
      </w:r>
      <w:r w:rsidR="008D0A2A">
        <w:rPr>
          <w:noProof/>
          <w:lang w:val="en-US"/>
        </w:rPr>
        <w:t>players</w:t>
      </w:r>
      <w:r w:rsidR="00555E2F" w:rsidRPr="003C741A">
        <w:rPr>
          <w:noProof/>
          <w:lang w:val="en-US"/>
        </w:rPr>
        <w:t xml:space="preserve">, including </w:t>
      </w:r>
      <w:r w:rsidR="008D0A2A">
        <w:rPr>
          <w:noProof/>
          <w:lang w:val="en-US"/>
        </w:rPr>
        <w:t>those</w:t>
      </w:r>
      <w:r w:rsidR="008D0A2A" w:rsidRPr="003C741A">
        <w:rPr>
          <w:noProof/>
          <w:lang w:val="en-US"/>
        </w:rPr>
        <w:t xml:space="preserve"> </w:t>
      </w:r>
      <w:r w:rsidR="00555E2F" w:rsidRPr="003C741A">
        <w:rPr>
          <w:noProof/>
          <w:lang w:val="en-US"/>
        </w:rPr>
        <w:t xml:space="preserve">in need of </w:t>
      </w:r>
      <w:r w:rsidR="00B56D5E">
        <w:rPr>
          <w:noProof/>
          <w:lang w:val="en-US"/>
        </w:rPr>
        <w:t>long-term care</w:t>
      </w:r>
      <w:r w:rsidR="00555E2F" w:rsidRPr="003C741A">
        <w:rPr>
          <w:noProof/>
          <w:lang w:val="en-US"/>
        </w:rPr>
        <w:t xml:space="preserve">, their family members and </w:t>
      </w:r>
      <w:r w:rsidR="00555E2F" w:rsidRPr="00270B7E">
        <w:rPr>
          <w:noProof/>
        </w:rPr>
        <w:t>organisations</w:t>
      </w:r>
      <w:r w:rsidR="00555E2F" w:rsidRPr="003C741A">
        <w:rPr>
          <w:noProof/>
          <w:lang w:val="en-US"/>
        </w:rPr>
        <w:t xml:space="preserve"> representing</w:t>
      </w:r>
      <w:r w:rsidR="00555E2F" w:rsidRPr="00555E2F">
        <w:rPr>
          <w:noProof/>
          <w:lang w:val="en-US"/>
        </w:rPr>
        <w:t xml:space="preserve"> them, relevant authorities (national, regional, local), social partners, civil society </w:t>
      </w:r>
      <w:r w:rsidR="00555E2F" w:rsidRPr="00270B7E">
        <w:rPr>
          <w:noProof/>
        </w:rPr>
        <w:t>organisations</w:t>
      </w:r>
      <w:r w:rsidR="00555E2F" w:rsidRPr="00555E2F">
        <w:rPr>
          <w:noProof/>
          <w:lang w:val="en-US"/>
        </w:rPr>
        <w:t xml:space="preserve">, social economy </w:t>
      </w:r>
      <w:r w:rsidR="008D0A2A" w:rsidRPr="00270B7E">
        <w:rPr>
          <w:noProof/>
        </w:rPr>
        <w:t>organisations</w:t>
      </w:r>
      <w:r w:rsidR="00555E2F" w:rsidRPr="00555E2F">
        <w:rPr>
          <w:noProof/>
          <w:lang w:val="en-US"/>
        </w:rPr>
        <w:t xml:space="preserve">, </w:t>
      </w:r>
      <w:r w:rsidR="00B56D5E">
        <w:rPr>
          <w:noProof/>
          <w:lang w:val="en-US"/>
        </w:rPr>
        <w:t>long-term care</w:t>
      </w:r>
      <w:r w:rsidR="00555E2F" w:rsidRPr="00555E2F">
        <w:rPr>
          <w:noProof/>
          <w:lang w:val="en-US"/>
        </w:rPr>
        <w:t xml:space="preserve"> providers</w:t>
      </w:r>
      <w:r w:rsidR="008D0A2A">
        <w:rPr>
          <w:noProof/>
          <w:lang w:val="en-US"/>
        </w:rPr>
        <w:t>,</w:t>
      </w:r>
      <w:r w:rsidR="00555E2F" w:rsidRPr="00555E2F">
        <w:rPr>
          <w:noProof/>
          <w:lang w:val="en-US"/>
        </w:rPr>
        <w:t xml:space="preserve"> </w:t>
      </w:r>
      <w:r w:rsidR="008D0A2A">
        <w:rPr>
          <w:noProof/>
          <w:lang w:val="en-US"/>
        </w:rPr>
        <w:t>and</w:t>
      </w:r>
      <w:r w:rsidR="00555E2F" w:rsidRPr="00555E2F">
        <w:rPr>
          <w:noProof/>
          <w:lang w:val="en-US"/>
        </w:rPr>
        <w:t xml:space="preserve"> bodies responsible for promoting social inclusion and integration and protection of fundamental rights, including national equality bodies.</w:t>
      </w:r>
      <w:r w:rsidR="003F4044">
        <w:rPr>
          <w:noProof/>
          <w:lang w:val="en-US"/>
        </w:rPr>
        <w:t xml:space="preserve"> </w:t>
      </w:r>
      <w:r w:rsidR="003F4044" w:rsidRPr="003F4044">
        <w:rPr>
          <w:noProof/>
          <w:lang w:val="en-US"/>
        </w:rPr>
        <w:t xml:space="preserve">Sound policy governance is needed to ensure that all the available resources are well targeted, </w:t>
      </w:r>
      <w:r w:rsidR="007D51B1">
        <w:rPr>
          <w:noProof/>
          <w:lang w:val="en-US"/>
        </w:rPr>
        <w:t xml:space="preserve">including </w:t>
      </w:r>
      <w:r w:rsidR="003F4044" w:rsidRPr="003F4044">
        <w:rPr>
          <w:noProof/>
          <w:lang w:val="en-US"/>
        </w:rPr>
        <w:t xml:space="preserve">by collecting evidence, conducting a mapping of available infrastructure and services, individual needs assessment and gap analysis, while </w:t>
      </w:r>
      <w:r w:rsidR="003F4044" w:rsidRPr="004F31A2">
        <w:rPr>
          <w:noProof/>
          <w:lang w:val="en-US"/>
        </w:rPr>
        <w:t xml:space="preserve">taking </w:t>
      </w:r>
      <w:r w:rsidR="00270B7E" w:rsidRPr="004F31A2">
        <w:rPr>
          <w:noProof/>
          <w:lang w:val="en-US"/>
        </w:rPr>
        <w:t xml:space="preserve">into </w:t>
      </w:r>
      <w:r w:rsidR="003F4044" w:rsidRPr="004F31A2">
        <w:rPr>
          <w:noProof/>
          <w:lang w:val="en-US"/>
        </w:rPr>
        <w:t>account</w:t>
      </w:r>
      <w:r w:rsidR="003F4044" w:rsidRPr="003F4044">
        <w:rPr>
          <w:noProof/>
          <w:lang w:val="en-US"/>
        </w:rPr>
        <w:t xml:space="preserve"> territorial inequalities and demographic challenges.</w:t>
      </w:r>
    </w:p>
    <w:p w14:paraId="39ABE065" w14:textId="77777777" w:rsidR="00FE3FA5" w:rsidRPr="00FE3FA5" w:rsidRDefault="00FE3FA5" w:rsidP="002646A8">
      <w:pPr>
        <w:keepNext/>
        <w:widowControl w:val="0"/>
        <w:rPr>
          <w:rFonts w:eastAsia="Arial Unicode MS"/>
          <w:noProof/>
          <w:u w:val="single"/>
        </w:rPr>
      </w:pPr>
      <w:r w:rsidRPr="00FE3FA5">
        <w:rPr>
          <w:rFonts w:eastAsia="Arial Unicode MS"/>
          <w:noProof/>
          <w:u w:val="single"/>
        </w:rPr>
        <w:t>Objectives of the proposal</w:t>
      </w:r>
    </w:p>
    <w:p w14:paraId="11CC5232" w14:textId="77777777" w:rsidR="00FE3FA5" w:rsidRDefault="00C62CC5" w:rsidP="005F1B23">
      <w:pPr>
        <w:rPr>
          <w:rFonts w:eastAsia="Arial Unicode MS"/>
          <w:noProof/>
        </w:rPr>
      </w:pPr>
      <w:r>
        <w:rPr>
          <w:rFonts w:eastAsia="Arial Unicode MS"/>
          <w:noProof/>
        </w:rPr>
        <w:t xml:space="preserve">The </w:t>
      </w:r>
      <w:hyperlink r:id="rId13" w:history="1">
        <w:r w:rsidRPr="00C62CC5">
          <w:rPr>
            <w:rStyle w:val="Hyperlink"/>
            <w:rFonts w:eastAsia="Arial Unicode MS"/>
            <w:b/>
            <w:noProof/>
          </w:rPr>
          <w:t>European Pillar of Social Rights Action Plan</w:t>
        </w:r>
      </w:hyperlink>
      <w:r w:rsidR="007B4E13">
        <w:rPr>
          <w:rStyle w:val="FootnoteReference"/>
          <w:rFonts w:eastAsia="Arial Unicode MS"/>
          <w:b/>
          <w:noProof/>
          <w:color w:val="0000FF" w:themeColor="hyperlink"/>
          <w:u w:val="single"/>
        </w:rPr>
        <w:footnoteReference w:id="14"/>
      </w:r>
      <w:r>
        <w:rPr>
          <w:rFonts w:eastAsia="Arial Unicode MS"/>
          <w:noProof/>
        </w:rPr>
        <w:t xml:space="preserve"> announced an </w:t>
      </w:r>
      <w:r w:rsidR="000E6315">
        <w:rPr>
          <w:rFonts w:eastAsia="Arial Unicode MS"/>
          <w:noProof/>
        </w:rPr>
        <w:t>initiative</w:t>
      </w:r>
      <w:r>
        <w:rPr>
          <w:rFonts w:eastAsia="Arial Unicode MS"/>
          <w:noProof/>
        </w:rPr>
        <w:t xml:space="preserve"> </w:t>
      </w:r>
      <w:r w:rsidR="002C7F6E">
        <w:rPr>
          <w:rFonts w:eastAsia="Arial Unicode MS"/>
          <w:noProof/>
        </w:rPr>
        <w:t xml:space="preserve">in 2022 </w:t>
      </w:r>
      <w:r>
        <w:rPr>
          <w:rFonts w:eastAsia="Arial Unicode MS"/>
          <w:noProof/>
        </w:rPr>
        <w:t xml:space="preserve">on </w:t>
      </w:r>
      <w:r w:rsidR="00B56D5E">
        <w:rPr>
          <w:rFonts w:eastAsia="Arial Unicode MS"/>
          <w:noProof/>
        </w:rPr>
        <w:t>long-term care</w:t>
      </w:r>
      <w:r>
        <w:rPr>
          <w:rFonts w:eastAsia="Arial Unicode MS"/>
          <w:noProof/>
        </w:rPr>
        <w:t xml:space="preserve">. </w:t>
      </w:r>
      <w:r w:rsidR="003B45C1">
        <w:rPr>
          <w:rFonts w:eastAsia="Arial Unicode MS"/>
          <w:noProof/>
        </w:rPr>
        <w:t>I</w:t>
      </w:r>
      <w:r w:rsidR="00FE3FA5" w:rsidRPr="00FE3FA5">
        <w:rPr>
          <w:rFonts w:eastAsia="Arial Unicode MS"/>
          <w:noProof/>
        </w:rPr>
        <w:t xml:space="preserve">n </w:t>
      </w:r>
      <w:r>
        <w:rPr>
          <w:rFonts w:eastAsia="Arial Unicode MS"/>
          <w:noProof/>
        </w:rPr>
        <w:t>the</w:t>
      </w:r>
      <w:r w:rsidRPr="00FE3FA5">
        <w:rPr>
          <w:rFonts w:eastAsia="Arial Unicode MS"/>
          <w:noProof/>
        </w:rPr>
        <w:t xml:space="preserve"> </w:t>
      </w:r>
      <w:hyperlink r:id="rId14" w:history="1">
        <w:r w:rsidR="00FE3FA5" w:rsidRPr="00FE3FA5">
          <w:rPr>
            <w:rFonts w:eastAsia="Arial Unicode MS"/>
            <w:b/>
            <w:noProof/>
            <w:color w:val="0000FF" w:themeColor="hyperlink"/>
            <w:u w:val="single"/>
          </w:rPr>
          <w:t>2021 State of the Union speech</w:t>
        </w:r>
      </w:hyperlink>
      <w:r w:rsidR="00FE3FA5" w:rsidRPr="00FE3FA5">
        <w:rPr>
          <w:rFonts w:eastAsia="Arial Unicode MS"/>
          <w:noProof/>
        </w:rPr>
        <w:t>, the President of the European Commission</w:t>
      </w:r>
      <w:r w:rsidR="002C7F6E">
        <w:rPr>
          <w:rFonts w:eastAsia="Arial Unicode MS"/>
          <w:noProof/>
        </w:rPr>
        <w:t>,</w:t>
      </w:r>
      <w:r w:rsidR="00FE3FA5" w:rsidRPr="00FE3FA5">
        <w:rPr>
          <w:rFonts w:eastAsia="Arial Unicode MS"/>
          <w:noProof/>
        </w:rPr>
        <w:t xml:space="preserve"> Ursula von der Leyen</w:t>
      </w:r>
      <w:r w:rsidR="002C7F6E">
        <w:rPr>
          <w:rFonts w:eastAsia="Arial Unicode MS"/>
          <w:noProof/>
        </w:rPr>
        <w:t>,</w:t>
      </w:r>
      <w:r w:rsidR="00FE3FA5" w:rsidRPr="00FE3FA5">
        <w:rPr>
          <w:rFonts w:eastAsia="Arial Unicode MS"/>
          <w:noProof/>
        </w:rPr>
        <w:t xml:space="preserve"> announced a new European Care Strategy to support men and women in finding the best care and the best life balance for them. Th</w:t>
      </w:r>
      <w:r w:rsidR="002C7F6E">
        <w:rPr>
          <w:rFonts w:eastAsia="Arial Unicode MS"/>
          <w:noProof/>
        </w:rPr>
        <w:t>e present</w:t>
      </w:r>
      <w:r w:rsidR="00FE3FA5" w:rsidRPr="00FE3FA5">
        <w:rPr>
          <w:rFonts w:eastAsia="Arial Unicode MS"/>
          <w:noProof/>
        </w:rPr>
        <w:t xml:space="preserve"> proposal </w:t>
      </w:r>
      <w:r w:rsidR="00C85BEC">
        <w:rPr>
          <w:rFonts w:eastAsia="Arial Unicode MS"/>
          <w:noProof/>
        </w:rPr>
        <w:t>for</w:t>
      </w:r>
      <w:r w:rsidR="00B37158">
        <w:rPr>
          <w:rFonts w:eastAsia="Arial Unicode MS"/>
          <w:noProof/>
        </w:rPr>
        <w:t xml:space="preserve"> a Council </w:t>
      </w:r>
      <w:r w:rsidR="002C7F6E">
        <w:rPr>
          <w:rFonts w:eastAsia="Arial Unicode MS"/>
          <w:noProof/>
        </w:rPr>
        <w:t>r</w:t>
      </w:r>
      <w:r w:rsidR="00B37158">
        <w:rPr>
          <w:rFonts w:eastAsia="Arial Unicode MS"/>
          <w:noProof/>
        </w:rPr>
        <w:t xml:space="preserve">ecommendation </w:t>
      </w:r>
      <w:r w:rsidR="00FE3FA5" w:rsidRPr="00FE3FA5">
        <w:rPr>
          <w:rFonts w:eastAsia="Arial Unicode MS"/>
          <w:noProof/>
        </w:rPr>
        <w:t xml:space="preserve">aims to </w:t>
      </w:r>
      <w:r w:rsidR="00FE3FA5" w:rsidRPr="00FE3FA5">
        <w:rPr>
          <w:rFonts w:eastAsia="Arial Unicode MS"/>
          <w:b/>
          <w:noProof/>
        </w:rPr>
        <w:t xml:space="preserve">support Member States in their efforts to improve access to affordable high-quality </w:t>
      </w:r>
      <w:r w:rsidR="00B56D5E">
        <w:rPr>
          <w:rFonts w:eastAsia="Arial Unicode MS"/>
          <w:b/>
          <w:noProof/>
        </w:rPr>
        <w:t>long-term care</w:t>
      </w:r>
      <w:r w:rsidR="002C7F6E">
        <w:rPr>
          <w:rFonts w:eastAsia="Arial Unicode MS"/>
          <w:b/>
          <w:noProof/>
        </w:rPr>
        <w:t>.</w:t>
      </w:r>
      <w:r w:rsidR="00B37158" w:rsidRPr="00DD3530">
        <w:rPr>
          <w:rFonts w:eastAsia="Arial Unicode MS"/>
          <w:bCs/>
          <w:noProof/>
        </w:rPr>
        <w:t xml:space="preserve"> </w:t>
      </w:r>
      <w:r w:rsidR="002C7F6E" w:rsidRPr="00DD3530">
        <w:rPr>
          <w:rFonts w:eastAsia="Arial Unicode MS"/>
          <w:bCs/>
          <w:noProof/>
        </w:rPr>
        <w:t>It</w:t>
      </w:r>
      <w:r w:rsidR="002C7F6E">
        <w:rPr>
          <w:rFonts w:eastAsia="Arial Unicode MS"/>
          <w:noProof/>
        </w:rPr>
        <w:t xml:space="preserve"> will </w:t>
      </w:r>
      <w:r w:rsidR="00B37158" w:rsidRPr="00FE3FA5">
        <w:rPr>
          <w:rFonts w:eastAsia="Arial Unicode MS"/>
          <w:noProof/>
        </w:rPr>
        <w:t>provid</w:t>
      </w:r>
      <w:r w:rsidR="002C7F6E">
        <w:rPr>
          <w:rFonts w:eastAsia="Arial Unicode MS"/>
          <w:noProof/>
        </w:rPr>
        <w:t>e</w:t>
      </w:r>
      <w:r w:rsidR="00B37158">
        <w:rPr>
          <w:rFonts w:eastAsia="Arial Unicode MS"/>
          <w:noProof/>
        </w:rPr>
        <w:t xml:space="preserve"> </w:t>
      </w:r>
      <w:r w:rsidR="00FE3FA5" w:rsidRPr="00FE3FA5">
        <w:rPr>
          <w:rFonts w:eastAsia="Arial Unicode MS"/>
          <w:noProof/>
        </w:rPr>
        <w:t xml:space="preserve">guidelines on the direction of reforms to address the </w:t>
      </w:r>
      <w:r w:rsidR="003B45C1">
        <w:rPr>
          <w:rFonts w:eastAsia="Arial Unicode MS"/>
          <w:noProof/>
        </w:rPr>
        <w:t>shared</w:t>
      </w:r>
      <w:r w:rsidR="003B45C1" w:rsidRPr="00FE3FA5">
        <w:rPr>
          <w:rFonts w:eastAsia="Arial Unicode MS"/>
          <w:noProof/>
        </w:rPr>
        <w:t xml:space="preserve"> </w:t>
      </w:r>
      <w:r w:rsidR="00FE3FA5" w:rsidRPr="00FE3FA5">
        <w:rPr>
          <w:rFonts w:eastAsia="Arial Unicode MS"/>
          <w:noProof/>
        </w:rPr>
        <w:t>challenges of affordability, availability, quality, and the care workforce</w:t>
      </w:r>
      <w:r w:rsidR="002C7F6E">
        <w:rPr>
          <w:rFonts w:eastAsia="Arial Unicode MS"/>
          <w:noProof/>
        </w:rPr>
        <w:t>,</w:t>
      </w:r>
      <w:r w:rsidR="00FE3FA5" w:rsidRPr="00FE3FA5">
        <w:rPr>
          <w:rFonts w:eastAsia="Arial Unicode MS"/>
          <w:noProof/>
        </w:rPr>
        <w:t xml:space="preserve"> </w:t>
      </w:r>
      <w:r w:rsidR="002C7F6E">
        <w:rPr>
          <w:rFonts w:eastAsia="Arial Unicode MS"/>
          <w:noProof/>
        </w:rPr>
        <w:t>and on</w:t>
      </w:r>
      <w:r w:rsidR="00FE3FA5" w:rsidRPr="00FE3FA5">
        <w:rPr>
          <w:rFonts w:eastAsia="Arial Unicode MS"/>
          <w:noProof/>
        </w:rPr>
        <w:t xml:space="preserve"> sound policy governance in </w:t>
      </w:r>
      <w:r w:rsidR="00B56D5E">
        <w:rPr>
          <w:rFonts w:eastAsia="Arial Unicode MS"/>
          <w:noProof/>
        </w:rPr>
        <w:t>long-term care</w:t>
      </w:r>
      <w:r w:rsidR="00FE3FA5" w:rsidRPr="00FE3FA5">
        <w:rPr>
          <w:rFonts w:eastAsia="Arial Unicode MS"/>
          <w:noProof/>
        </w:rPr>
        <w:t>. Th</w:t>
      </w:r>
      <w:r w:rsidR="009E6E7F">
        <w:rPr>
          <w:rFonts w:eastAsia="Arial Unicode MS"/>
          <w:noProof/>
        </w:rPr>
        <w:t>at</w:t>
      </w:r>
      <w:r w:rsidR="00FE3FA5" w:rsidRPr="00FE3FA5">
        <w:rPr>
          <w:rFonts w:eastAsia="Arial Unicode MS"/>
          <w:noProof/>
        </w:rPr>
        <w:t xml:space="preserve"> will </w:t>
      </w:r>
      <w:r w:rsidR="003B45C1">
        <w:rPr>
          <w:rFonts w:eastAsia="Arial Unicode MS"/>
          <w:noProof/>
        </w:rPr>
        <w:t>further</w:t>
      </w:r>
      <w:r w:rsidR="00FE3FA5" w:rsidRPr="00FE3FA5">
        <w:rPr>
          <w:rFonts w:eastAsia="Arial Unicode MS"/>
          <w:noProof/>
        </w:rPr>
        <w:t xml:space="preserve"> structure </w:t>
      </w:r>
      <w:r w:rsidR="009E6E7F">
        <w:rPr>
          <w:rFonts w:eastAsia="Arial Unicode MS"/>
          <w:noProof/>
        </w:rPr>
        <w:t>Union</w:t>
      </w:r>
      <w:r w:rsidR="009E6E7F" w:rsidRPr="00FE3FA5">
        <w:rPr>
          <w:rFonts w:eastAsia="Arial Unicode MS"/>
          <w:noProof/>
        </w:rPr>
        <w:t xml:space="preserve"> </w:t>
      </w:r>
      <w:r w:rsidR="00FE3FA5" w:rsidRPr="00FE3FA5">
        <w:rPr>
          <w:rFonts w:eastAsia="Arial Unicode MS"/>
          <w:noProof/>
        </w:rPr>
        <w:t xml:space="preserve">cooperation on </w:t>
      </w:r>
      <w:r w:rsidR="00B56D5E">
        <w:rPr>
          <w:rFonts w:eastAsia="Arial Unicode MS"/>
          <w:noProof/>
        </w:rPr>
        <w:t>long-term care</w:t>
      </w:r>
      <w:r w:rsidR="00FE3FA5" w:rsidRPr="00FE3FA5">
        <w:rPr>
          <w:rFonts w:eastAsia="Arial Unicode MS"/>
          <w:noProof/>
        </w:rPr>
        <w:t>, while st</w:t>
      </w:r>
      <w:r w:rsidR="005F1B23">
        <w:rPr>
          <w:rFonts w:eastAsia="Arial Unicode MS"/>
          <w:noProof/>
        </w:rPr>
        <w:t>riving for upward convergence.</w:t>
      </w:r>
    </w:p>
    <w:p w14:paraId="6679F0EC" w14:textId="77777777" w:rsidR="00FE3FA5" w:rsidRPr="00FE3FA5" w:rsidRDefault="00FE3FA5" w:rsidP="005F1B23">
      <w:pPr>
        <w:rPr>
          <w:rFonts w:eastAsia="Arial Unicode MS"/>
          <w:b/>
          <w:noProof/>
          <w:color w:val="000000"/>
          <w:u w:color="000000"/>
          <w:bdr w:val="nil"/>
          <w:lang w:val="en-US" w:eastAsia="en-GB"/>
        </w:rPr>
      </w:pPr>
      <w:r w:rsidRPr="00FE3FA5">
        <w:rPr>
          <w:rFonts w:eastAsia="Arial Unicode MS"/>
          <w:b/>
          <w:noProof/>
          <w:color w:val="000000"/>
          <w:u w:color="000000"/>
          <w:bdr w:val="nil"/>
          <w:lang w:val="en-US" w:eastAsia="en-GB"/>
        </w:rPr>
        <w:t>•</w:t>
      </w:r>
      <w:r w:rsidRPr="00FE3FA5">
        <w:rPr>
          <w:rFonts w:eastAsia="Arial Unicode MS"/>
          <w:b/>
          <w:noProof/>
          <w:color w:val="000000"/>
          <w:u w:color="000000"/>
          <w:bdr w:val="nil"/>
          <w:lang w:val="en-US" w:eastAsia="en-GB"/>
        </w:rPr>
        <w:tab/>
      </w:r>
      <w:r w:rsidRPr="00FE3FA5">
        <w:rPr>
          <w:rFonts w:eastAsia="Arial Unicode MS"/>
          <w:b/>
          <w:noProof/>
        </w:rPr>
        <w:t>Consistency with existing policy provisions in the policy area</w:t>
      </w:r>
    </w:p>
    <w:p w14:paraId="6F1C86BE" w14:textId="77777777" w:rsidR="00BC5D0C" w:rsidRDefault="00FE3FA5" w:rsidP="00BC5D0C">
      <w:pPr>
        <w:rPr>
          <w:noProof/>
        </w:rPr>
      </w:pPr>
      <w:r w:rsidRPr="00FE3FA5">
        <w:rPr>
          <w:rFonts w:eastAsia="Arial Unicode MS"/>
          <w:noProof/>
        </w:rPr>
        <w:t xml:space="preserve">The proposal </w:t>
      </w:r>
      <w:r w:rsidR="00BC3C5F">
        <w:rPr>
          <w:rFonts w:eastAsia="Arial Unicode MS"/>
          <w:noProof/>
        </w:rPr>
        <w:t>supports the implementation</w:t>
      </w:r>
      <w:r w:rsidRPr="00FE3FA5">
        <w:rPr>
          <w:rFonts w:eastAsia="Arial Unicode MS"/>
          <w:noProof/>
        </w:rPr>
        <w:t xml:space="preserve"> </w:t>
      </w:r>
      <w:r w:rsidR="002024C0">
        <w:rPr>
          <w:rFonts w:eastAsia="Arial Unicode MS"/>
          <w:noProof/>
        </w:rPr>
        <w:t xml:space="preserve">of </w:t>
      </w:r>
      <w:r w:rsidRPr="00FE3FA5">
        <w:rPr>
          <w:rFonts w:eastAsia="Arial Unicode MS"/>
          <w:noProof/>
        </w:rPr>
        <w:t xml:space="preserve">the </w:t>
      </w:r>
      <w:hyperlink r:id="rId15" w:history="1">
        <w:r w:rsidRPr="00FE3FA5">
          <w:rPr>
            <w:rFonts w:eastAsia="Arial Unicode MS"/>
            <w:b/>
            <w:noProof/>
            <w:color w:val="0000FF" w:themeColor="hyperlink"/>
            <w:u w:val="single"/>
          </w:rPr>
          <w:t>European Pillar of Social Rights</w:t>
        </w:r>
      </w:hyperlink>
      <w:r w:rsidR="00DF568F">
        <w:rPr>
          <w:rStyle w:val="FootnoteReference"/>
          <w:rFonts w:eastAsia="Arial Unicode MS"/>
          <w:b/>
          <w:noProof/>
          <w:color w:val="0000FF" w:themeColor="hyperlink"/>
          <w:u w:val="single"/>
        </w:rPr>
        <w:footnoteReference w:id="15"/>
      </w:r>
      <w:r w:rsidRPr="00FE3FA5">
        <w:rPr>
          <w:rFonts w:eastAsia="Arial Unicode MS"/>
          <w:noProof/>
        </w:rPr>
        <w:t>, which states</w:t>
      </w:r>
      <w:r w:rsidR="00BC5D0C">
        <w:rPr>
          <w:rFonts w:eastAsia="Arial Unicode MS"/>
          <w:noProof/>
        </w:rPr>
        <w:t>,</w:t>
      </w:r>
      <w:r w:rsidRPr="00FE3FA5">
        <w:rPr>
          <w:rFonts w:eastAsia="Arial Unicode MS"/>
          <w:noProof/>
        </w:rPr>
        <w:t xml:space="preserve"> </w:t>
      </w:r>
      <w:r w:rsidR="00BC5D0C">
        <w:rPr>
          <w:rFonts w:eastAsia="Arial Unicode MS"/>
          <w:noProof/>
        </w:rPr>
        <w:t xml:space="preserve">in its </w:t>
      </w:r>
      <w:r w:rsidR="002024C0">
        <w:rPr>
          <w:rFonts w:eastAsia="Arial Unicode MS"/>
          <w:noProof/>
        </w:rPr>
        <w:t>P</w:t>
      </w:r>
      <w:r w:rsidR="00BC5D0C">
        <w:rPr>
          <w:rFonts w:eastAsia="Arial Unicode MS"/>
          <w:noProof/>
        </w:rPr>
        <w:t xml:space="preserve">rinciple 18, </w:t>
      </w:r>
      <w:r w:rsidRPr="00FE3FA5">
        <w:rPr>
          <w:rFonts w:eastAsia="Arial Unicode MS"/>
          <w:noProof/>
        </w:rPr>
        <w:t xml:space="preserve">that everyone has the right to affordable </w:t>
      </w:r>
      <w:r w:rsidR="00B56D5E">
        <w:rPr>
          <w:rFonts w:eastAsia="Arial Unicode MS"/>
          <w:noProof/>
        </w:rPr>
        <w:t>long-term care</w:t>
      </w:r>
      <w:r w:rsidRPr="00FE3FA5">
        <w:rPr>
          <w:rFonts w:eastAsia="Arial Unicode MS"/>
          <w:noProof/>
        </w:rPr>
        <w:t xml:space="preserve"> services of good quality, in particular home</w:t>
      </w:r>
      <w:r w:rsidR="00C76C00">
        <w:rPr>
          <w:rFonts w:eastAsia="Arial Unicode MS"/>
          <w:noProof/>
        </w:rPr>
        <w:t xml:space="preserve"> </w:t>
      </w:r>
      <w:r w:rsidRPr="00FE3FA5">
        <w:rPr>
          <w:rFonts w:eastAsia="Arial Unicode MS"/>
          <w:noProof/>
        </w:rPr>
        <w:t xml:space="preserve">care and community-based services. </w:t>
      </w:r>
      <w:r w:rsidR="00BC5D0C">
        <w:rPr>
          <w:rFonts w:eastAsia="Arial Unicode MS"/>
          <w:noProof/>
        </w:rPr>
        <w:t xml:space="preserve">It also contributes to the implementation of </w:t>
      </w:r>
      <w:r w:rsidR="002024C0">
        <w:rPr>
          <w:rFonts w:eastAsia="Arial Unicode MS"/>
          <w:noProof/>
        </w:rPr>
        <w:t>P</w:t>
      </w:r>
      <w:r w:rsidR="00BC5D0C">
        <w:rPr>
          <w:rFonts w:eastAsia="Arial Unicode MS"/>
          <w:noProof/>
        </w:rPr>
        <w:t>rinciple</w:t>
      </w:r>
      <w:r w:rsidR="00BC5D0C">
        <w:rPr>
          <w:noProof/>
        </w:rPr>
        <w:t xml:space="preserve"> </w:t>
      </w:r>
      <w:r w:rsidR="00BC5D0C" w:rsidRPr="00FE3FA5">
        <w:rPr>
          <w:noProof/>
        </w:rPr>
        <w:t xml:space="preserve">9 on work-life balance for </w:t>
      </w:r>
      <w:r w:rsidR="002024C0">
        <w:rPr>
          <w:noProof/>
        </w:rPr>
        <w:t>people</w:t>
      </w:r>
      <w:r w:rsidR="002024C0" w:rsidRPr="00FE3FA5">
        <w:rPr>
          <w:noProof/>
        </w:rPr>
        <w:t xml:space="preserve"> </w:t>
      </w:r>
      <w:r w:rsidR="00BC5D0C" w:rsidRPr="00FE3FA5">
        <w:rPr>
          <w:noProof/>
        </w:rPr>
        <w:t xml:space="preserve">with care responsibilities and </w:t>
      </w:r>
      <w:r w:rsidR="002024C0">
        <w:rPr>
          <w:noProof/>
        </w:rPr>
        <w:t>P</w:t>
      </w:r>
      <w:r w:rsidR="00BC5D0C" w:rsidRPr="00FE3FA5">
        <w:rPr>
          <w:noProof/>
        </w:rPr>
        <w:t xml:space="preserve">rinciple 17 on the rights of </w:t>
      </w:r>
      <w:r w:rsidR="00BC5D0C">
        <w:rPr>
          <w:noProof/>
        </w:rPr>
        <w:t>persons</w:t>
      </w:r>
      <w:r w:rsidR="00BC5D0C" w:rsidRPr="00FE3FA5">
        <w:rPr>
          <w:noProof/>
        </w:rPr>
        <w:t xml:space="preserve"> with disabilities. </w:t>
      </w:r>
    </w:p>
    <w:p w14:paraId="346A0E47" w14:textId="77777777" w:rsidR="00C93A8C" w:rsidRPr="00FE3FA5" w:rsidRDefault="00C93A8C" w:rsidP="00BC5D0C">
      <w:pPr>
        <w:rPr>
          <w:noProof/>
        </w:rPr>
      </w:pPr>
      <w:r w:rsidRPr="00C93A8C">
        <w:rPr>
          <w:noProof/>
        </w:rPr>
        <w:t xml:space="preserve">This proposal is a key action under the </w:t>
      </w:r>
      <w:r w:rsidRPr="00C93A8C">
        <w:rPr>
          <w:b/>
          <w:noProof/>
        </w:rPr>
        <w:t>Commission Communication</w:t>
      </w:r>
      <w:r w:rsidRPr="00C93A8C">
        <w:rPr>
          <w:noProof/>
        </w:rPr>
        <w:t xml:space="preserve"> </w:t>
      </w:r>
      <w:r w:rsidRPr="00C93A8C">
        <w:rPr>
          <w:b/>
          <w:i/>
          <w:noProof/>
        </w:rPr>
        <w:t>European care strategy</w:t>
      </w:r>
      <w:r w:rsidRPr="002F4227">
        <w:rPr>
          <w:rStyle w:val="FootnoteReference"/>
          <w:noProof/>
        </w:rPr>
        <w:footnoteReference w:id="16"/>
      </w:r>
      <w:r w:rsidRPr="00C93A8C">
        <w:rPr>
          <w:noProof/>
        </w:rPr>
        <w:t>. It contributes to the lifelong approach to care promoted therein and focuses on social protection</w:t>
      </w:r>
      <w:r w:rsidRPr="005A7EA2">
        <w:rPr>
          <w:rFonts w:eastAsia="Arial Unicode MS"/>
          <w:noProof/>
        </w:rPr>
        <w:t xml:space="preserve"> </w:t>
      </w:r>
      <w:r>
        <w:rPr>
          <w:rFonts w:eastAsia="Arial Unicode MS"/>
          <w:noProof/>
        </w:rPr>
        <w:t xml:space="preserve">for long-term care </w:t>
      </w:r>
      <w:r w:rsidRPr="005A7EA2">
        <w:rPr>
          <w:rFonts w:eastAsia="Arial Unicode MS"/>
          <w:noProof/>
        </w:rPr>
        <w:t xml:space="preserve">and </w:t>
      </w:r>
      <w:r>
        <w:rPr>
          <w:rFonts w:eastAsia="Arial Unicode MS"/>
          <w:noProof/>
        </w:rPr>
        <w:t xml:space="preserve">the </w:t>
      </w:r>
      <w:r w:rsidRPr="005A7EA2">
        <w:rPr>
          <w:rFonts w:eastAsia="Arial Unicode MS"/>
          <w:noProof/>
        </w:rPr>
        <w:t xml:space="preserve">enabling conditions for its effective </w:t>
      </w:r>
      <w:r>
        <w:rPr>
          <w:rFonts w:eastAsia="Arial Unicode MS"/>
          <w:noProof/>
        </w:rPr>
        <w:t>provision</w:t>
      </w:r>
    </w:p>
    <w:p w14:paraId="63B278F5" w14:textId="77777777" w:rsidR="00B83F8A" w:rsidRPr="00FE3FA5" w:rsidRDefault="00B83F8A" w:rsidP="00B83F8A">
      <w:pPr>
        <w:rPr>
          <w:noProof/>
        </w:rPr>
      </w:pPr>
      <w:r>
        <w:rPr>
          <w:noProof/>
        </w:rPr>
        <w:t xml:space="preserve">Policy developments and challenges in </w:t>
      </w:r>
      <w:r w:rsidR="00B56D5E">
        <w:rPr>
          <w:noProof/>
        </w:rPr>
        <w:t>long-term care</w:t>
      </w:r>
      <w:r>
        <w:rPr>
          <w:noProof/>
        </w:rPr>
        <w:t xml:space="preserve"> are monitored through t</w:t>
      </w:r>
      <w:r w:rsidRPr="00FE3FA5">
        <w:rPr>
          <w:noProof/>
        </w:rPr>
        <w:t xml:space="preserve">he </w:t>
      </w:r>
      <w:r w:rsidRPr="00B83F8A">
        <w:rPr>
          <w:b/>
          <w:noProof/>
        </w:rPr>
        <w:t>European Semester</w:t>
      </w:r>
      <w:r>
        <w:rPr>
          <w:noProof/>
        </w:rPr>
        <w:t>.</w:t>
      </w:r>
      <w:r w:rsidRPr="00FE3FA5">
        <w:rPr>
          <w:noProof/>
        </w:rPr>
        <w:t xml:space="preserve"> </w:t>
      </w:r>
      <w:r w:rsidR="00752DB9">
        <w:rPr>
          <w:noProof/>
        </w:rPr>
        <w:t xml:space="preserve">In past years, </w:t>
      </w:r>
      <w:r w:rsidR="003F532A">
        <w:rPr>
          <w:noProof/>
        </w:rPr>
        <w:t>s</w:t>
      </w:r>
      <w:r w:rsidR="003F532A" w:rsidRPr="00FE3FA5">
        <w:rPr>
          <w:noProof/>
        </w:rPr>
        <w:t xml:space="preserve">everal </w:t>
      </w:r>
      <w:r w:rsidRPr="00FE3FA5">
        <w:rPr>
          <w:noProof/>
        </w:rPr>
        <w:t>Member States received country</w:t>
      </w:r>
      <w:r w:rsidR="00DD09D8">
        <w:rPr>
          <w:noProof/>
        </w:rPr>
        <w:t>-</w:t>
      </w:r>
      <w:r w:rsidRPr="00FE3FA5">
        <w:rPr>
          <w:noProof/>
        </w:rPr>
        <w:t xml:space="preserve">specific recommendations on </w:t>
      </w:r>
      <w:r w:rsidR="00DD09D8">
        <w:rPr>
          <w:noProof/>
        </w:rPr>
        <w:t>various</w:t>
      </w:r>
      <w:r w:rsidR="00DD09D8" w:rsidRPr="00FE3FA5">
        <w:rPr>
          <w:noProof/>
        </w:rPr>
        <w:t xml:space="preserve"> </w:t>
      </w:r>
      <w:r w:rsidRPr="00FE3FA5">
        <w:rPr>
          <w:noProof/>
        </w:rPr>
        <w:t xml:space="preserve">aspects of </w:t>
      </w:r>
      <w:r w:rsidR="00B56D5E">
        <w:rPr>
          <w:noProof/>
        </w:rPr>
        <w:t>long-term care</w:t>
      </w:r>
      <w:r w:rsidRPr="00FE3FA5">
        <w:rPr>
          <w:noProof/>
        </w:rPr>
        <w:t xml:space="preserve">, including </w:t>
      </w:r>
      <w:r>
        <w:rPr>
          <w:noProof/>
        </w:rPr>
        <w:t xml:space="preserve">access, quality, affordability, </w:t>
      </w:r>
      <w:r w:rsidR="00DD09D8">
        <w:rPr>
          <w:noProof/>
        </w:rPr>
        <w:t xml:space="preserve">increasing </w:t>
      </w:r>
      <w:r>
        <w:rPr>
          <w:noProof/>
        </w:rPr>
        <w:t xml:space="preserve">women’s participation </w:t>
      </w:r>
      <w:r w:rsidR="00DD09D8">
        <w:rPr>
          <w:noProof/>
        </w:rPr>
        <w:t xml:space="preserve">in </w:t>
      </w:r>
      <w:r>
        <w:rPr>
          <w:noProof/>
        </w:rPr>
        <w:t xml:space="preserve">the labour market, and </w:t>
      </w:r>
      <w:r w:rsidRPr="00FE3FA5">
        <w:rPr>
          <w:noProof/>
        </w:rPr>
        <w:t xml:space="preserve">sustainability. </w:t>
      </w:r>
      <w:r>
        <w:rPr>
          <w:noProof/>
        </w:rPr>
        <w:t>T</w:t>
      </w:r>
      <w:r w:rsidRPr="00FE3FA5">
        <w:rPr>
          <w:rFonts w:eastAsia="Times New Roman"/>
          <w:noProof/>
          <w:szCs w:val="24"/>
          <w:lang w:eastAsia="en-GB"/>
        </w:rPr>
        <w:t>he</w:t>
      </w:r>
      <w:r>
        <w:rPr>
          <w:rFonts w:eastAsia="Times New Roman"/>
          <w:noProof/>
          <w:szCs w:val="24"/>
          <w:lang w:eastAsia="en-GB"/>
        </w:rPr>
        <w:t xml:space="preserve"> </w:t>
      </w:r>
      <w:hyperlink r:id="rId16" w:history="1">
        <w:r w:rsidRPr="00BA0A67">
          <w:rPr>
            <w:rStyle w:val="Hyperlink"/>
            <w:rFonts w:eastAsia="Times New Roman"/>
            <w:b/>
            <w:noProof/>
            <w:szCs w:val="24"/>
            <w:lang w:eastAsia="en-GB"/>
          </w:rPr>
          <w:t>Employment Guidelines</w:t>
        </w:r>
      </w:hyperlink>
      <w:r>
        <w:rPr>
          <w:rFonts w:eastAsia="Times New Roman"/>
          <w:noProof/>
          <w:szCs w:val="24"/>
          <w:lang w:eastAsia="en-GB"/>
        </w:rPr>
        <w:t xml:space="preserve"> call for a</w:t>
      </w:r>
      <w:r w:rsidRPr="00BA0A67">
        <w:rPr>
          <w:rFonts w:eastAsia="Times New Roman"/>
          <w:noProof/>
          <w:szCs w:val="24"/>
          <w:lang w:eastAsia="en-GB"/>
        </w:rPr>
        <w:t>dequate and</w:t>
      </w:r>
      <w:r>
        <w:rPr>
          <w:rFonts w:eastAsia="Times New Roman"/>
          <w:noProof/>
          <w:szCs w:val="24"/>
          <w:lang w:eastAsia="en-GB"/>
        </w:rPr>
        <w:t xml:space="preserve"> </w:t>
      </w:r>
      <w:r w:rsidRPr="00BA0A67">
        <w:rPr>
          <w:rFonts w:eastAsia="Times New Roman"/>
          <w:noProof/>
          <w:szCs w:val="24"/>
          <w:lang w:eastAsia="en-GB"/>
        </w:rPr>
        <w:t>inclusive social protection systems</w:t>
      </w:r>
      <w:r w:rsidR="00DD09D8">
        <w:rPr>
          <w:rFonts w:eastAsia="Times New Roman"/>
          <w:noProof/>
          <w:szCs w:val="24"/>
          <w:lang w:eastAsia="en-GB"/>
        </w:rPr>
        <w:t>.</w:t>
      </w:r>
      <w:r>
        <w:rPr>
          <w:rFonts w:eastAsia="Times New Roman"/>
          <w:noProof/>
          <w:szCs w:val="24"/>
          <w:lang w:eastAsia="en-GB"/>
        </w:rPr>
        <w:t xml:space="preserve"> </w:t>
      </w:r>
      <w:r w:rsidR="00DD09D8">
        <w:rPr>
          <w:rFonts w:eastAsia="Times New Roman"/>
          <w:noProof/>
          <w:szCs w:val="24"/>
          <w:lang w:eastAsia="en-GB"/>
        </w:rPr>
        <w:t xml:space="preserve">They also </w:t>
      </w:r>
      <w:r>
        <w:rPr>
          <w:rFonts w:eastAsia="Times New Roman"/>
          <w:noProof/>
          <w:szCs w:val="24"/>
          <w:lang w:eastAsia="en-GB"/>
        </w:rPr>
        <w:t>state that t</w:t>
      </w:r>
      <w:r w:rsidRPr="00BA0A67">
        <w:rPr>
          <w:rFonts w:eastAsia="Times New Roman"/>
          <w:noProof/>
          <w:szCs w:val="24"/>
          <w:lang w:eastAsia="en-GB"/>
        </w:rPr>
        <w:t xml:space="preserve">imely and equal access to affordable </w:t>
      </w:r>
      <w:r w:rsidR="00B56D5E">
        <w:rPr>
          <w:rFonts w:eastAsia="Times New Roman"/>
          <w:noProof/>
          <w:szCs w:val="24"/>
          <w:lang w:eastAsia="en-GB"/>
        </w:rPr>
        <w:t>long-term care</w:t>
      </w:r>
      <w:r w:rsidRPr="00BA0A67">
        <w:rPr>
          <w:rFonts w:eastAsia="Times New Roman"/>
          <w:noProof/>
          <w:szCs w:val="24"/>
          <w:lang w:eastAsia="en-GB"/>
        </w:rPr>
        <w:t xml:space="preserve"> and healthcare services, including prevention and healthcare promotion, </w:t>
      </w:r>
      <w:r w:rsidR="00DD09D8">
        <w:rPr>
          <w:rFonts w:eastAsia="Times New Roman"/>
          <w:noProof/>
          <w:szCs w:val="24"/>
          <w:lang w:eastAsia="en-GB"/>
        </w:rPr>
        <w:t xml:space="preserve">is </w:t>
      </w:r>
      <w:r w:rsidRPr="00BA0A67">
        <w:rPr>
          <w:rFonts w:eastAsia="Times New Roman"/>
          <w:noProof/>
          <w:szCs w:val="24"/>
          <w:lang w:eastAsia="en-GB"/>
        </w:rPr>
        <w:t>particularly relevant, in light of the COVID-19 crisis and in a context of ageing</w:t>
      </w:r>
      <w:r>
        <w:rPr>
          <w:rFonts w:eastAsia="Times New Roman"/>
          <w:noProof/>
          <w:szCs w:val="24"/>
          <w:lang w:eastAsia="en-GB"/>
        </w:rPr>
        <w:t xml:space="preserve"> </w:t>
      </w:r>
      <w:r w:rsidRPr="00BA0A67">
        <w:rPr>
          <w:rFonts w:eastAsia="Times New Roman"/>
          <w:noProof/>
          <w:szCs w:val="24"/>
          <w:lang w:eastAsia="en-GB"/>
        </w:rPr>
        <w:t>societies.</w:t>
      </w:r>
      <w:r>
        <w:rPr>
          <w:rFonts w:eastAsia="Times New Roman"/>
          <w:noProof/>
          <w:szCs w:val="24"/>
          <w:lang w:eastAsia="en-GB"/>
        </w:rPr>
        <w:t xml:space="preserve"> </w:t>
      </w:r>
      <w:r w:rsidRPr="00FE3FA5">
        <w:rPr>
          <w:noProof/>
        </w:rPr>
        <w:t xml:space="preserve">The </w:t>
      </w:r>
      <w:hyperlink r:id="rId17" w:history="1">
        <w:r w:rsidRPr="00FE3FA5">
          <w:rPr>
            <w:b/>
            <w:noProof/>
            <w:color w:val="0000FF" w:themeColor="hyperlink"/>
            <w:u w:val="single"/>
          </w:rPr>
          <w:t>2022 Joint Employment Report</w:t>
        </w:r>
      </w:hyperlink>
      <w:r w:rsidRPr="00FE3FA5">
        <w:rPr>
          <w:noProof/>
        </w:rPr>
        <w:t xml:space="preserve"> highlights the importance of </w:t>
      </w:r>
      <w:r w:rsidR="00B56D5E">
        <w:rPr>
          <w:noProof/>
        </w:rPr>
        <w:t>long-term care</w:t>
      </w:r>
      <w:r w:rsidRPr="00FE3FA5">
        <w:rPr>
          <w:noProof/>
        </w:rPr>
        <w:t xml:space="preserve"> services to increase the labour market participation of women</w:t>
      </w:r>
      <w:r w:rsidR="005D3E3A">
        <w:rPr>
          <w:noProof/>
        </w:rPr>
        <w:t>.</w:t>
      </w:r>
      <w:r w:rsidRPr="00FE3FA5">
        <w:rPr>
          <w:noProof/>
        </w:rPr>
        <w:t xml:space="preserve"> </w:t>
      </w:r>
      <w:r w:rsidR="005D3E3A">
        <w:rPr>
          <w:noProof/>
        </w:rPr>
        <w:t>It also underscores</w:t>
      </w:r>
      <w:r w:rsidR="005D3E3A" w:rsidRPr="00FE3FA5">
        <w:rPr>
          <w:noProof/>
        </w:rPr>
        <w:t xml:space="preserve"> </w:t>
      </w:r>
      <w:r w:rsidRPr="00FE3FA5">
        <w:rPr>
          <w:noProof/>
        </w:rPr>
        <w:t xml:space="preserve">the fact that population ageing is expected to lead to a </w:t>
      </w:r>
      <w:r w:rsidR="005D3E3A">
        <w:rPr>
          <w:noProof/>
        </w:rPr>
        <w:t>great</w:t>
      </w:r>
      <w:r w:rsidR="005D3E3A" w:rsidRPr="00FE3FA5">
        <w:rPr>
          <w:noProof/>
        </w:rPr>
        <w:t xml:space="preserve"> </w:t>
      </w:r>
      <w:r w:rsidRPr="00FE3FA5">
        <w:rPr>
          <w:noProof/>
        </w:rPr>
        <w:t xml:space="preserve">increase in the demand for </w:t>
      </w:r>
      <w:r w:rsidR="00B56D5E">
        <w:rPr>
          <w:noProof/>
        </w:rPr>
        <w:t>long-term care</w:t>
      </w:r>
      <w:r w:rsidRPr="00FE3FA5">
        <w:rPr>
          <w:noProof/>
        </w:rPr>
        <w:t>. The Report calls</w:t>
      </w:r>
      <w:r w:rsidR="005D3E3A">
        <w:rPr>
          <w:noProof/>
        </w:rPr>
        <w:t xml:space="preserve"> on</w:t>
      </w:r>
      <w:r w:rsidRPr="00FE3FA5">
        <w:rPr>
          <w:noProof/>
        </w:rPr>
        <w:t xml:space="preserve"> Member States to </w:t>
      </w:r>
      <w:r w:rsidR="005D3E3A">
        <w:rPr>
          <w:noProof/>
        </w:rPr>
        <w:t>increase</w:t>
      </w:r>
      <w:r w:rsidR="005D3E3A" w:rsidRPr="00FE3FA5">
        <w:rPr>
          <w:noProof/>
        </w:rPr>
        <w:t xml:space="preserve"> </w:t>
      </w:r>
      <w:r w:rsidRPr="00FE3FA5">
        <w:rPr>
          <w:noProof/>
        </w:rPr>
        <w:t xml:space="preserve">the provision of quality, affordable and sustainable </w:t>
      </w:r>
      <w:r w:rsidR="00B56D5E">
        <w:rPr>
          <w:noProof/>
        </w:rPr>
        <w:t>long-term care</w:t>
      </w:r>
      <w:r w:rsidRPr="00FE3FA5">
        <w:rPr>
          <w:noProof/>
        </w:rPr>
        <w:t xml:space="preserve"> services.</w:t>
      </w:r>
    </w:p>
    <w:p w14:paraId="50D72D90" w14:textId="77777777" w:rsidR="00FE3FA5" w:rsidRPr="00FE3FA5" w:rsidRDefault="00FE3FA5" w:rsidP="00BA0A67">
      <w:pPr>
        <w:rPr>
          <w:rFonts w:eastAsia="Times New Roman"/>
          <w:noProof/>
          <w:szCs w:val="24"/>
          <w:lang w:eastAsia="en-GB"/>
        </w:rPr>
      </w:pPr>
      <w:r w:rsidRPr="00FE3FA5">
        <w:rPr>
          <w:rFonts w:eastAsia="Times New Roman"/>
          <w:noProof/>
          <w:szCs w:val="24"/>
          <w:lang w:eastAsia="en-GB"/>
        </w:rPr>
        <w:t>The proposal is consistent with and builds upon existing social protection</w:t>
      </w:r>
      <w:r w:rsidR="00762175" w:rsidRPr="00762175">
        <w:rPr>
          <w:rFonts w:eastAsia="Times New Roman"/>
          <w:noProof/>
          <w:szCs w:val="24"/>
          <w:lang w:eastAsia="en-GB"/>
        </w:rPr>
        <w:t xml:space="preserve"> </w:t>
      </w:r>
      <w:r w:rsidR="00762175" w:rsidRPr="00FE3FA5">
        <w:rPr>
          <w:rFonts w:eastAsia="Times New Roman"/>
          <w:noProof/>
          <w:szCs w:val="24"/>
          <w:lang w:eastAsia="en-GB"/>
        </w:rPr>
        <w:t>policies</w:t>
      </w:r>
      <w:r w:rsidRPr="00FE3FA5">
        <w:rPr>
          <w:rFonts w:eastAsia="Times New Roman"/>
          <w:noProof/>
          <w:szCs w:val="24"/>
          <w:lang w:eastAsia="en-GB"/>
        </w:rPr>
        <w:t xml:space="preserve">. In particular, in the context of the </w:t>
      </w:r>
      <w:r w:rsidRPr="00FE3FA5">
        <w:rPr>
          <w:rFonts w:eastAsia="Times New Roman"/>
          <w:b/>
          <w:noProof/>
          <w:szCs w:val="24"/>
          <w:lang w:eastAsia="en-GB"/>
        </w:rPr>
        <w:t>Social Open Method of Coordination</w:t>
      </w:r>
      <w:r w:rsidRPr="00FE3FA5">
        <w:rPr>
          <w:rFonts w:eastAsia="Times New Roman"/>
          <w:noProof/>
          <w:szCs w:val="24"/>
          <w:lang w:eastAsia="en-GB"/>
        </w:rPr>
        <w:t xml:space="preserve">, Member States have agreed common objectives related to </w:t>
      </w:r>
      <w:r w:rsidR="00B56D5E">
        <w:rPr>
          <w:rFonts w:eastAsia="Times New Roman"/>
          <w:noProof/>
          <w:szCs w:val="24"/>
          <w:lang w:eastAsia="en-GB"/>
        </w:rPr>
        <w:t>long-term care</w:t>
      </w:r>
      <w:r w:rsidRPr="00FE3FA5">
        <w:rPr>
          <w:rFonts w:eastAsia="Times New Roman"/>
          <w:noProof/>
          <w:szCs w:val="24"/>
          <w:lang w:eastAsia="en-GB"/>
        </w:rPr>
        <w:t xml:space="preserve">, </w:t>
      </w:r>
      <w:r w:rsidR="00C61C88">
        <w:rPr>
          <w:rFonts w:eastAsia="Times New Roman"/>
          <w:noProof/>
          <w:szCs w:val="24"/>
          <w:lang w:eastAsia="en-GB"/>
        </w:rPr>
        <w:t>as follows</w:t>
      </w:r>
      <w:r w:rsidRPr="00FE3FA5">
        <w:rPr>
          <w:rFonts w:eastAsia="Times New Roman"/>
          <w:noProof/>
          <w:szCs w:val="24"/>
          <w:lang w:eastAsia="en-GB"/>
        </w:rPr>
        <w:t>:</w:t>
      </w:r>
    </w:p>
    <w:p w14:paraId="69FBCFFE" w14:textId="77777777" w:rsidR="00FE3FA5" w:rsidRPr="00FE3FA5" w:rsidRDefault="00C61C88" w:rsidP="001924FA">
      <w:pPr>
        <w:pStyle w:val="Bullet0"/>
        <w:numPr>
          <w:ilvl w:val="0"/>
          <w:numId w:val="15"/>
        </w:numPr>
        <w:rPr>
          <w:noProof/>
        </w:rPr>
      </w:pPr>
      <w:r>
        <w:rPr>
          <w:noProof/>
        </w:rPr>
        <w:t xml:space="preserve">to </w:t>
      </w:r>
      <w:r w:rsidR="00FE3FA5" w:rsidRPr="00FE3FA5">
        <w:rPr>
          <w:noProof/>
        </w:rPr>
        <w:t xml:space="preserve">guarantee access for all to adequate health and </w:t>
      </w:r>
      <w:r w:rsidR="00B56D5E">
        <w:rPr>
          <w:noProof/>
        </w:rPr>
        <w:t>long-term care</w:t>
      </w:r>
      <w:r w:rsidR="00FE3FA5" w:rsidRPr="00FE3FA5">
        <w:rPr>
          <w:noProof/>
        </w:rPr>
        <w:t xml:space="preserve"> and ensure that the need for care does not lead to poverty and financial dependency, address inequities in access to care and in health outcomes</w:t>
      </w:r>
      <w:r w:rsidR="00C273F5">
        <w:rPr>
          <w:noProof/>
        </w:rPr>
        <w:t>;</w:t>
      </w:r>
    </w:p>
    <w:p w14:paraId="7C672593" w14:textId="77777777" w:rsidR="00FE3FA5" w:rsidRPr="00FE3FA5" w:rsidRDefault="00C61C88" w:rsidP="005F1B23">
      <w:pPr>
        <w:pStyle w:val="Bullet0"/>
        <w:rPr>
          <w:noProof/>
        </w:rPr>
      </w:pPr>
      <w:r>
        <w:rPr>
          <w:noProof/>
        </w:rPr>
        <w:t xml:space="preserve">to </w:t>
      </w:r>
      <w:r w:rsidR="00FE3FA5" w:rsidRPr="00FE3FA5">
        <w:rPr>
          <w:noProof/>
        </w:rPr>
        <w:t xml:space="preserve">promote quality in health and </w:t>
      </w:r>
      <w:r w:rsidR="00B56D5E">
        <w:rPr>
          <w:noProof/>
        </w:rPr>
        <w:t>long-term care</w:t>
      </w:r>
      <w:r w:rsidR="00FE3FA5" w:rsidRPr="00FE3FA5">
        <w:rPr>
          <w:noProof/>
        </w:rPr>
        <w:t xml:space="preserve"> and adapt care to the changing needs and preferences of society and individuals, notably by establishing quality standards reflecting best international practice and by strengthening the responsibility of health professionals and of patients and care recipients</w:t>
      </w:r>
      <w:r w:rsidR="00C273F5">
        <w:rPr>
          <w:noProof/>
        </w:rPr>
        <w:t>;</w:t>
      </w:r>
    </w:p>
    <w:p w14:paraId="1C198498" w14:textId="77777777" w:rsidR="00FE3FA5" w:rsidRPr="00FE3FA5" w:rsidRDefault="00C61C88" w:rsidP="005F1B23">
      <w:pPr>
        <w:pStyle w:val="Bullet0"/>
        <w:rPr>
          <w:noProof/>
        </w:rPr>
      </w:pPr>
      <w:r>
        <w:rPr>
          <w:noProof/>
        </w:rPr>
        <w:t xml:space="preserve">to </w:t>
      </w:r>
      <w:r w:rsidR="00FE3FA5" w:rsidRPr="00FE3FA5">
        <w:rPr>
          <w:noProof/>
        </w:rPr>
        <w:t xml:space="preserve">ensure that adequate and </w:t>
      </w:r>
      <w:r w:rsidR="00752DB9" w:rsidRPr="00FE3FA5">
        <w:rPr>
          <w:noProof/>
        </w:rPr>
        <w:t>high-quality</w:t>
      </w:r>
      <w:r w:rsidR="00FE3FA5" w:rsidRPr="00FE3FA5">
        <w:rPr>
          <w:noProof/>
        </w:rPr>
        <w:t xml:space="preserve"> health and </w:t>
      </w:r>
      <w:r w:rsidR="00B56D5E">
        <w:rPr>
          <w:noProof/>
        </w:rPr>
        <w:t>long-term care</w:t>
      </w:r>
      <w:r w:rsidR="00FE3FA5" w:rsidRPr="00FE3FA5">
        <w:rPr>
          <w:noProof/>
        </w:rPr>
        <w:t xml:space="preserve"> remains affordable and sustainable</w:t>
      </w:r>
      <w:r w:rsidR="00C273F5">
        <w:rPr>
          <w:noProof/>
        </w:rPr>
        <w:t>,</w:t>
      </w:r>
      <w:r w:rsidR="00FE3FA5" w:rsidRPr="00FE3FA5">
        <w:rPr>
          <w:noProof/>
        </w:rPr>
        <w:t xml:space="preserve"> by promoting healthy and active lifestyles, good human resources for the care sector and a rational use of resources, notably through appropriate incentives for users and providers, good governance</w:t>
      </w:r>
      <w:r w:rsidR="00C273F5">
        <w:rPr>
          <w:noProof/>
        </w:rPr>
        <w:t>,</w:t>
      </w:r>
      <w:r w:rsidR="00FE3FA5" w:rsidRPr="00FE3FA5">
        <w:rPr>
          <w:noProof/>
        </w:rPr>
        <w:t xml:space="preserve"> and coordination between care systems and institutions.</w:t>
      </w:r>
    </w:p>
    <w:p w14:paraId="1A008F5E" w14:textId="77777777" w:rsidR="00DD7051" w:rsidRDefault="00FE3FA5" w:rsidP="005F1B23">
      <w:pPr>
        <w:rPr>
          <w:noProof/>
        </w:rPr>
      </w:pPr>
      <w:r w:rsidRPr="00FE3FA5">
        <w:rPr>
          <w:noProof/>
        </w:rPr>
        <w:t>The propos</w:t>
      </w:r>
      <w:r w:rsidR="00C273F5">
        <w:rPr>
          <w:noProof/>
        </w:rPr>
        <w:t>ed</w:t>
      </w:r>
      <w:r w:rsidRPr="00FE3FA5">
        <w:rPr>
          <w:noProof/>
        </w:rPr>
        <w:t xml:space="preserve"> </w:t>
      </w:r>
      <w:r w:rsidR="00BA0A67">
        <w:rPr>
          <w:noProof/>
        </w:rPr>
        <w:t xml:space="preserve">Council </w:t>
      </w:r>
      <w:r w:rsidR="00C273F5">
        <w:rPr>
          <w:noProof/>
        </w:rPr>
        <w:t>r</w:t>
      </w:r>
      <w:r w:rsidR="00BA0A67">
        <w:rPr>
          <w:noProof/>
        </w:rPr>
        <w:t xml:space="preserve">ecommendation on long-term care </w:t>
      </w:r>
      <w:r w:rsidR="00BA0A67" w:rsidRPr="00BA0A67">
        <w:rPr>
          <w:noProof/>
        </w:rPr>
        <w:t xml:space="preserve">addresses </w:t>
      </w:r>
      <w:r w:rsidR="000E6315">
        <w:rPr>
          <w:noProof/>
        </w:rPr>
        <w:t>key</w:t>
      </w:r>
      <w:r w:rsidR="00BA0A67" w:rsidRPr="00BA0A67">
        <w:rPr>
          <w:noProof/>
        </w:rPr>
        <w:t xml:space="preserve"> challenges identified in the </w:t>
      </w:r>
      <w:hyperlink r:id="rId18" w:history="1">
        <w:r w:rsidR="00BA0A67" w:rsidRPr="00BA0A67">
          <w:rPr>
            <w:rStyle w:val="Hyperlink"/>
            <w:b/>
            <w:noProof/>
          </w:rPr>
          <w:t>2021 Report on long-term care</w:t>
        </w:r>
      </w:hyperlink>
      <w:r w:rsidR="00C273F5">
        <w:rPr>
          <w:noProof/>
        </w:rPr>
        <w:t xml:space="preserve">, </w:t>
      </w:r>
      <w:r w:rsidR="000E6315">
        <w:rPr>
          <w:noProof/>
        </w:rPr>
        <w:t>prepared jointly by the E</w:t>
      </w:r>
      <w:r w:rsidR="000E6315" w:rsidRPr="000E6315">
        <w:rPr>
          <w:noProof/>
        </w:rPr>
        <w:t>uropean Commission and the Social Protection Committee</w:t>
      </w:r>
      <w:r w:rsidR="00BA0A67">
        <w:rPr>
          <w:noProof/>
        </w:rPr>
        <w:t xml:space="preserve">. It </w:t>
      </w:r>
      <w:r w:rsidRPr="00FE3FA5">
        <w:rPr>
          <w:noProof/>
        </w:rPr>
        <w:t xml:space="preserve">will therefore </w:t>
      </w:r>
      <w:r w:rsidR="00BE384A">
        <w:rPr>
          <w:noProof/>
        </w:rPr>
        <w:t xml:space="preserve">deepen </w:t>
      </w:r>
      <w:r w:rsidRPr="00FE3FA5">
        <w:rPr>
          <w:noProof/>
        </w:rPr>
        <w:t xml:space="preserve">the ongoing EU-level cooperation on social protection and, more specifically, on </w:t>
      </w:r>
      <w:r w:rsidR="00B56D5E">
        <w:rPr>
          <w:noProof/>
        </w:rPr>
        <w:t>long-term care</w:t>
      </w:r>
      <w:r w:rsidRPr="00FE3FA5">
        <w:rPr>
          <w:noProof/>
        </w:rPr>
        <w:t>, by establishing a shared understanding on the direction of the reforms.</w:t>
      </w:r>
    </w:p>
    <w:p w14:paraId="2288BBF4" w14:textId="3EE20815" w:rsidR="00FE3FA5" w:rsidRPr="00FE3FA5" w:rsidRDefault="00BE384A" w:rsidP="005F1B23">
      <w:pPr>
        <w:rPr>
          <w:noProof/>
          <w:highlight w:val="yellow"/>
        </w:rPr>
      </w:pPr>
      <w:r>
        <w:rPr>
          <w:noProof/>
        </w:rPr>
        <w:t>While t</w:t>
      </w:r>
      <w:r w:rsidR="00FE3FA5" w:rsidRPr="00FE3FA5">
        <w:rPr>
          <w:noProof/>
        </w:rPr>
        <w:t>here are no previous E</w:t>
      </w:r>
      <w:r w:rsidR="00C273F5">
        <w:rPr>
          <w:noProof/>
        </w:rPr>
        <w:t>U</w:t>
      </w:r>
      <w:r w:rsidR="00FE3FA5" w:rsidRPr="00FE3FA5">
        <w:rPr>
          <w:noProof/>
        </w:rPr>
        <w:t xml:space="preserve"> legislative initiatives </w:t>
      </w:r>
      <w:r w:rsidR="00C273F5">
        <w:rPr>
          <w:noProof/>
        </w:rPr>
        <w:t xml:space="preserve">specifically </w:t>
      </w:r>
      <w:r w:rsidR="00FE3FA5" w:rsidRPr="00FE3FA5">
        <w:rPr>
          <w:noProof/>
        </w:rPr>
        <w:t xml:space="preserve">focusing on </w:t>
      </w:r>
      <w:r w:rsidR="00B56D5E">
        <w:rPr>
          <w:noProof/>
        </w:rPr>
        <w:t>long-term care</w:t>
      </w:r>
      <w:r>
        <w:rPr>
          <w:noProof/>
        </w:rPr>
        <w:t xml:space="preserve">, </w:t>
      </w:r>
      <w:r w:rsidR="00FE3FA5" w:rsidRPr="00FE3FA5">
        <w:rPr>
          <w:noProof/>
        </w:rPr>
        <w:t xml:space="preserve">some are of relevance to </w:t>
      </w:r>
      <w:r w:rsidR="00B56D5E">
        <w:rPr>
          <w:noProof/>
        </w:rPr>
        <w:t>long-term care</w:t>
      </w:r>
      <w:r w:rsidR="00FE3FA5" w:rsidRPr="00FE3FA5">
        <w:rPr>
          <w:noProof/>
        </w:rPr>
        <w:t xml:space="preserve"> and thus complement the proposal. The </w:t>
      </w:r>
      <w:r w:rsidR="00FE3FA5" w:rsidRPr="00FE3FA5">
        <w:rPr>
          <w:b/>
          <w:noProof/>
        </w:rPr>
        <w:t>Work-Life Balance Directive</w:t>
      </w:r>
      <w:r w:rsidR="00FE3FA5" w:rsidRPr="00D12A97">
        <w:rPr>
          <w:rStyle w:val="FootnoteReference"/>
          <w:noProof/>
        </w:rPr>
        <w:footnoteReference w:id="17"/>
      </w:r>
      <w:r w:rsidR="00FE3FA5" w:rsidRPr="00FE3FA5">
        <w:rPr>
          <w:noProof/>
        </w:rPr>
        <w:t xml:space="preserve"> </w:t>
      </w:r>
      <w:r w:rsidR="005402CD" w:rsidRPr="005402CD">
        <w:rPr>
          <w:noProof/>
        </w:rPr>
        <w:t xml:space="preserve">introduces </w:t>
      </w:r>
      <w:r w:rsidR="005402CD">
        <w:rPr>
          <w:noProof/>
        </w:rPr>
        <w:t xml:space="preserve">the </w:t>
      </w:r>
      <w:r w:rsidR="005402CD" w:rsidRPr="005402CD">
        <w:rPr>
          <w:noProof/>
        </w:rPr>
        <w:t xml:space="preserve">possibility for </w:t>
      </w:r>
      <w:r w:rsidR="005402CD">
        <w:rPr>
          <w:noProof/>
        </w:rPr>
        <w:t xml:space="preserve">the </w:t>
      </w:r>
      <w:r w:rsidR="005402CD" w:rsidRPr="005402CD">
        <w:rPr>
          <w:noProof/>
        </w:rPr>
        <w:t xml:space="preserve">employed to use a carers’ leave </w:t>
      </w:r>
      <w:r w:rsidR="00FE3FA5" w:rsidRPr="00FE3FA5">
        <w:rPr>
          <w:noProof/>
        </w:rPr>
        <w:t xml:space="preserve">and promotes flexible forms of employment, which are of relevance to informal carers of working age. </w:t>
      </w:r>
      <w:r w:rsidR="00FE3FA5" w:rsidRPr="002717D3">
        <w:rPr>
          <w:noProof/>
        </w:rPr>
        <w:t>The current proposal</w:t>
      </w:r>
      <w:r w:rsidR="00C911ED" w:rsidRPr="002717D3">
        <w:rPr>
          <w:noProof/>
        </w:rPr>
        <w:t xml:space="preserve"> </w:t>
      </w:r>
      <w:r w:rsidR="00B52A10" w:rsidRPr="002717D3">
        <w:rPr>
          <w:noProof/>
        </w:rPr>
        <w:t xml:space="preserve">refers in the recitals to </w:t>
      </w:r>
      <w:r w:rsidR="00C911ED" w:rsidRPr="002717D3">
        <w:rPr>
          <w:noProof/>
        </w:rPr>
        <w:t xml:space="preserve">the Directive as </w:t>
      </w:r>
      <w:r w:rsidR="00B52A10" w:rsidRPr="002717D3">
        <w:rPr>
          <w:noProof/>
        </w:rPr>
        <w:t xml:space="preserve">being </w:t>
      </w:r>
      <w:r w:rsidR="00C911ED" w:rsidRPr="002717D3">
        <w:rPr>
          <w:noProof/>
        </w:rPr>
        <w:t>relevant</w:t>
      </w:r>
      <w:r w:rsidR="00B52A10" w:rsidRPr="002717D3">
        <w:rPr>
          <w:noProof/>
        </w:rPr>
        <w:t xml:space="preserve"> EU law</w:t>
      </w:r>
      <w:r w:rsidR="00C911ED" w:rsidRPr="002717D3">
        <w:rPr>
          <w:noProof/>
        </w:rPr>
        <w:t>.</w:t>
      </w:r>
    </w:p>
    <w:p w14:paraId="729F38F5" w14:textId="77777777" w:rsidR="00FE3FA5" w:rsidRPr="00FE3FA5" w:rsidRDefault="00FE3FA5" w:rsidP="005F1B23">
      <w:pPr>
        <w:rPr>
          <w:noProof/>
        </w:rPr>
      </w:pPr>
      <w:r w:rsidRPr="00FE3FA5">
        <w:rPr>
          <w:noProof/>
        </w:rPr>
        <w:t>The Commission proposal</w:t>
      </w:r>
      <w:r w:rsidR="009E6E7F" w:rsidRPr="00D12A97">
        <w:rPr>
          <w:rStyle w:val="FootnoteReference"/>
          <w:noProof/>
        </w:rPr>
        <w:footnoteReference w:id="18"/>
      </w:r>
      <w:r w:rsidRPr="00FE3FA5">
        <w:rPr>
          <w:noProof/>
        </w:rPr>
        <w:t xml:space="preserve"> to revise </w:t>
      </w:r>
      <w:r w:rsidRPr="00FE3FA5">
        <w:rPr>
          <w:b/>
          <w:noProof/>
        </w:rPr>
        <w:t>Regulation</w:t>
      </w:r>
      <w:r w:rsidR="00367B8B">
        <w:rPr>
          <w:b/>
          <w:noProof/>
        </w:rPr>
        <w:t xml:space="preserve"> (EC) No</w:t>
      </w:r>
      <w:r w:rsidRPr="00FE3FA5">
        <w:rPr>
          <w:b/>
          <w:noProof/>
        </w:rPr>
        <w:t xml:space="preserve"> 883/2004 </w:t>
      </w:r>
      <w:r w:rsidR="009E6E7F">
        <w:rPr>
          <w:b/>
          <w:noProof/>
        </w:rPr>
        <w:t>of the European Parliament and of the Council</w:t>
      </w:r>
      <w:r w:rsidR="009E6E7F">
        <w:rPr>
          <w:rStyle w:val="FootnoteReference"/>
          <w:b/>
          <w:noProof/>
        </w:rPr>
        <w:footnoteReference w:id="19"/>
      </w:r>
      <w:r w:rsidRPr="00FE3FA5">
        <w:rPr>
          <w:noProof/>
        </w:rPr>
        <w:t xml:space="preserve"> aims to bring legal clarity and transparency regarding access to </w:t>
      </w:r>
      <w:r w:rsidR="00B56D5E">
        <w:rPr>
          <w:noProof/>
        </w:rPr>
        <w:t>long-term care</w:t>
      </w:r>
      <w:r w:rsidRPr="00FE3FA5">
        <w:rPr>
          <w:noProof/>
        </w:rPr>
        <w:t xml:space="preserve"> benefits when residing in another Member State. The proposal </w:t>
      </w:r>
      <w:r w:rsidR="00C85BEC">
        <w:rPr>
          <w:noProof/>
        </w:rPr>
        <w:t xml:space="preserve">for a Council </w:t>
      </w:r>
      <w:r w:rsidR="00367B8B">
        <w:rPr>
          <w:noProof/>
        </w:rPr>
        <w:t>r</w:t>
      </w:r>
      <w:r w:rsidR="00C85BEC">
        <w:rPr>
          <w:noProof/>
        </w:rPr>
        <w:t>ecommendat</w:t>
      </w:r>
      <w:r w:rsidR="007C46DE">
        <w:rPr>
          <w:noProof/>
        </w:rPr>
        <w:t>i</w:t>
      </w:r>
      <w:r w:rsidR="00C85BEC">
        <w:rPr>
          <w:noProof/>
        </w:rPr>
        <w:t xml:space="preserve">on on long-term care </w:t>
      </w:r>
      <w:r w:rsidRPr="00FE3FA5">
        <w:rPr>
          <w:noProof/>
        </w:rPr>
        <w:t>does not</w:t>
      </w:r>
      <w:r w:rsidR="00367B8B">
        <w:rPr>
          <w:noProof/>
        </w:rPr>
        <w:t xml:space="preserve"> as such</w:t>
      </w:r>
      <w:r w:rsidRPr="00FE3FA5">
        <w:rPr>
          <w:noProof/>
        </w:rPr>
        <w:t xml:space="preserve"> address the free movement of </w:t>
      </w:r>
      <w:r w:rsidR="00840B97">
        <w:rPr>
          <w:noProof/>
        </w:rPr>
        <w:t>people</w:t>
      </w:r>
      <w:r w:rsidR="00840B97" w:rsidRPr="00FE3FA5">
        <w:rPr>
          <w:noProof/>
        </w:rPr>
        <w:t xml:space="preserve"> </w:t>
      </w:r>
      <w:r w:rsidRPr="00FE3FA5">
        <w:rPr>
          <w:noProof/>
        </w:rPr>
        <w:t xml:space="preserve">in need of </w:t>
      </w:r>
      <w:r w:rsidR="00B56D5E">
        <w:rPr>
          <w:noProof/>
        </w:rPr>
        <w:t>long-term care</w:t>
      </w:r>
      <w:r w:rsidRPr="00FE3FA5">
        <w:rPr>
          <w:noProof/>
        </w:rPr>
        <w:t xml:space="preserve"> or </w:t>
      </w:r>
      <w:r w:rsidR="00367B8B">
        <w:rPr>
          <w:noProof/>
        </w:rPr>
        <w:t xml:space="preserve">the </w:t>
      </w:r>
      <w:r w:rsidRPr="00FE3FA5">
        <w:rPr>
          <w:noProof/>
        </w:rPr>
        <w:t xml:space="preserve">transferability of </w:t>
      </w:r>
      <w:r w:rsidR="00B56D5E">
        <w:rPr>
          <w:noProof/>
        </w:rPr>
        <w:t>long-term care</w:t>
      </w:r>
      <w:r w:rsidRPr="00FE3FA5">
        <w:rPr>
          <w:noProof/>
        </w:rPr>
        <w:t xml:space="preserve"> benefits</w:t>
      </w:r>
      <w:r w:rsidR="00367B8B">
        <w:rPr>
          <w:noProof/>
        </w:rPr>
        <w:t>. Rather</w:t>
      </w:r>
      <w:r w:rsidRPr="00FE3FA5">
        <w:rPr>
          <w:noProof/>
        </w:rPr>
        <w:t xml:space="preserve">, </w:t>
      </w:r>
      <w:r w:rsidR="00367B8B">
        <w:rPr>
          <w:noProof/>
        </w:rPr>
        <w:t xml:space="preserve">it </w:t>
      </w:r>
      <w:r w:rsidRPr="00FE3FA5">
        <w:rPr>
          <w:noProof/>
        </w:rPr>
        <w:t xml:space="preserve">focuses on the coverage of </w:t>
      </w:r>
      <w:r w:rsidR="00B56D5E">
        <w:rPr>
          <w:noProof/>
        </w:rPr>
        <w:t>long-term care</w:t>
      </w:r>
      <w:r w:rsidRPr="00FE3FA5">
        <w:rPr>
          <w:noProof/>
        </w:rPr>
        <w:t xml:space="preserve"> by national social protection in general and on the key enabling conditions for its effective functioning, i.e. the existence of </w:t>
      </w:r>
      <w:r w:rsidR="005E2D62">
        <w:rPr>
          <w:noProof/>
        </w:rPr>
        <w:t>appropriate</w:t>
      </w:r>
      <w:r w:rsidR="005E2D62" w:rsidRPr="00FE3FA5">
        <w:rPr>
          <w:noProof/>
        </w:rPr>
        <w:t xml:space="preserve"> </w:t>
      </w:r>
      <w:r w:rsidRPr="00FE3FA5">
        <w:rPr>
          <w:noProof/>
        </w:rPr>
        <w:t>and high</w:t>
      </w:r>
      <w:r w:rsidR="00367B8B">
        <w:rPr>
          <w:noProof/>
        </w:rPr>
        <w:t>-</w:t>
      </w:r>
      <w:r w:rsidRPr="00FE3FA5">
        <w:rPr>
          <w:noProof/>
        </w:rPr>
        <w:t>quality</w:t>
      </w:r>
      <w:r w:rsidR="00367B8B">
        <w:rPr>
          <w:noProof/>
        </w:rPr>
        <w:t>,</w:t>
      </w:r>
      <w:r w:rsidRPr="00FE3FA5">
        <w:rPr>
          <w:noProof/>
        </w:rPr>
        <w:t xml:space="preserve"> </w:t>
      </w:r>
      <w:r w:rsidR="00B56D5E">
        <w:rPr>
          <w:noProof/>
        </w:rPr>
        <w:t>long-term care</w:t>
      </w:r>
      <w:r w:rsidRPr="00FE3FA5">
        <w:rPr>
          <w:noProof/>
        </w:rPr>
        <w:t xml:space="preserve"> services and carers.</w:t>
      </w:r>
    </w:p>
    <w:p w14:paraId="61590D7B" w14:textId="77777777" w:rsidR="00FE3FA5" w:rsidRPr="00FE3FA5" w:rsidRDefault="00FE3FA5" w:rsidP="005F1B23">
      <w:pPr>
        <w:rPr>
          <w:noProof/>
        </w:rPr>
      </w:pPr>
      <w:r w:rsidRPr="00FE3FA5">
        <w:rPr>
          <w:noProof/>
        </w:rPr>
        <w:t>Th</w:t>
      </w:r>
      <w:r w:rsidR="00A6550D">
        <w:rPr>
          <w:noProof/>
        </w:rPr>
        <w:t>is</w:t>
      </w:r>
      <w:r w:rsidRPr="00FE3FA5">
        <w:rPr>
          <w:noProof/>
        </w:rPr>
        <w:t xml:space="preserve"> proposal is consistent with and without prejudice to </w:t>
      </w:r>
      <w:r w:rsidR="009E6E7F">
        <w:rPr>
          <w:b/>
          <w:noProof/>
        </w:rPr>
        <w:t xml:space="preserve">Union </w:t>
      </w:r>
      <w:r w:rsidR="00367B8B">
        <w:rPr>
          <w:b/>
          <w:noProof/>
        </w:rPr>
        <w:t>law on</w:t>
      </w:r>
      <w:r w:rsidRPr="00FE3FA5">
        <w:rPr>
          <w:b/>
          <w:noProof/>
        </w:rPr>
        <w:t xml:space="preserve"> </w:t>
      </w:r>
      <w:r w:rsidR="00FF722B">
        <w:rPr>
          <w:b/>
          <w:noProof/>
        </w:rPr>
        <w:t xml:space="preserve">working conditions </w:t>
      </w:r>
      <w:r w:rsidRPr="00FE3FA5">
        <w:rPr>
          <w:noProof/>
        </w:rPr>
        <w:t xml:space="preserve">as far as it applies to </w:t>
      </w:r>
      <w:r w:rsidR="00B56D5E">
        <w:rPr>
          <w:noProof/>
        </w:rPr>
        <w:t>long-term care</w:t>
      </w:r>
      <w:r w:rsidRPr="00FE3FA5">
        <w:rPr>
          <w:noProof/>
        </w:rPr>
        <w:t xml:space="preserve"> workers.</w:t>
      </w:r>
    </w:p>
    <w:p w14:paraId="306718E7" w14:textId="77777777" w:rsidR="00FE3FA5" w:rsidRPr="00FE3FA5" w:rsidRDefault="00FE3FA5" w:rsidP="005F1B23">
      <w:pPr>
        <w:rPr>
          <w:rFonts w:cstheme="minorHAnsi"/>
          <w:noProof/>
        </w:rPr>
      </w:pPr>
      <w:r w:rsidRPr="00FE3FA5">
        <w:rPr>
          <w:rFonts w:cstheme="minorHAnsi"/>
          <w:noProof/>
        </w:rPr>
        <w:t xml:space="preserve">The </w:t>
      </w:r>
      <w:r w:rsidRPr="00FE3FA5">
        <w:rPr>
          <w:rFonts w:cstheme="minorHAnsi"/>
          <w:b/>
          <w:noProof/>
        </w:rPr>
        <w:t>European accessibility act</w:t>
      </w:r>
      <w:r w:rsidRPr="00D12A97">
        <w:rPr>
          <w:rStyle w:val="FootnoteReference"/>
          <w:noProof/>
        </w:rPr>
        <w:footnoteReference w:id="20"/>
      </w:r>
      <w:r w:rsidRPr="00FE3FA5">
        <w:rPr>
          <w:rFonts w:cstheme="minorHAnsi"/>
          <w:b/>
          <w:noProof/>
        </w:rPr>
        <w:t xml:space="preserve"> </w:t>
      </w:r>
      <w:r w:rsidRPr="00FE3FA5">
        <w:rPr>
          <w:rFonts w:cstheme="minorHAnsi"/>
          <w:noProof/>
        </w:rPr>
        <w:t xml:space="preserve">aims to improve the functioning of the </w:t>
      </w:r>
      <w:r w:rsidR="005E2D62">
        <w:rPr>
          <w:rFonts w:cstheme="minorHAnsi"/>
          <w:noProof/>
        </w:rPr>
        <w:t>single</w:t>
      </w:r>
      <w:r w:rsidR="005E2D62" w:rsidRPr="00FE3FA5">
        <w:rPr>
          <w:rFonts w:cstheme="minorHAnsi"/>
          <w:noProof/>
        </w:rPr>
        <w:t xml:space="preserve"> </w:t>
      </w:r>
      <w:r w:rsidRPr="00FE3FA5">
        <w:rPr>
          <w:rFonts w:cstheme="minorHAnsi"/>
          <w:noProof/>
        </w:rPr>
        <w:t>market for accessible products and services</w:t>
      </w:r>
      <w:r w:rsidR="00367B8B">
        <w:rPr>
          <w:rFonts w:cstheme="minorHAnsi"/>
          <w:noProof/>
        </w:rPr>
        <w:t>.</w:t>
      </w:r>
      <w:r w:rsidRPr="00FE3FA5">
        <w:rPr>
          <w:rFonts w:cstheme="minorHAnsi"/>
          <w:noProof/>
        </w:rPr>
        <w:t xml:space="preserve"> </w:t>
      </w:r>
      <w:r w:rsidR="00367B8B">
        <w:rPr>
          <w:rFonts w:cstheme="minorHAnsi"/>
          <w:noProof/>
        </w:rPr>
        <w:t xml:space="preserve">It </w:t>
      </w:r>
      <w:r w:rsidRPr="00FE3FA5">
        <w:rPr>
          <w:rFonts w:cstheme="minorHAnsi"/>
          <w:noProof/>
        </w:rPr>
        <w:t xml:space="preserve">covers </w:t>
      </w:r>
      <w:r w:rsidRPr="00FE3FA5">
        <w:rPr>
          <w:bCs/>
          <w:noProof/>
        </w:rPr>
        <w:t>products and services</w:t>
      </w:r>
      <w:r w:rsidRPr="00FE3FA5">
        <w:rPr>
          <w:noProof/>
        </w:rPr>
        <w:t xml:space="preserve"> that have been identified as being most important for persons with disabilities while being most likely to have diverging accessibility requirements across EU countries. </w:t>
      </w:r>
      <w:r w:rsidR="00901B06" w:rsidRPr="00901B06">
        <w:rPr>
          <w:noProof/>
        </w:rPr>
        <w:t>Further</w:t>
      </w:r>
      <w:r w:rsidR="00367B8B">
        <w:rPr>
          <w:noProof/>
        </w:rPr>
        <w:t>more,</w:t>
      </w:r>
      <w:r w:rsidR="00901B06" w:rsidRPr="00901B06">
        <w:rPr>
          <w:noProof/>
        </w:rPr>
        <w:t xml:space="preserve"> the </w:t>
      </w:r>
      <w:r w:rsidR="00901B06" w:rsidRPr="00901B06">
        <w:rPr>
          <w:b/>
          <w:bCs/>
          <w:noProof/>
        </w:rPr>
        <w:t>Web Accessibility Directiv</w:t>
      </w:r>
      <w:r w:rsidR="00901B06" w:rsidRPr="00901B06">
        <w:rPr>
          <w:noProof/>
        </w:rPr>
        <w:t>e</w:t>
      </w:r>
      <w:r w:rsidR="00901B06" w:rsidRPr="00832CC7">
        <w:rPr>
          <w:rStyle w:val="FootnoteReference"/>
          <w:noProof/>
        </w:rPr>
        <w:footnoteReference w:id="21"/>
      </w:r>
      <w:r w:rsidR="00901B06" w:rsidRPr="00901B06">
        <w:rPr>
          <w:noProof/>
        </w:rPr>
        <w:t xml:space="preserve"> already requires </w:t>
      </w:r>
      <w:r w:rsidR="009F6825">
        <w:rPr>
          <w:noProof/>
        </w:rPr>
        <w:t xml:space="preserve">websites and mobile applications of </w:t>
      </w:r>
      <w:r w:rsidR="00901B06" w:rsidRPr="00901B06">
        <w:rPr>
          <w:noProof/>
        </w:rPr>
        <w:t xml:space="preserve">public sector </w:t>
      </w:r>
      <w:r w:rsidR="009F6825">
        <w:rPr>
          <w:noProof/>
        </w:rPr>
        <w:t xml:space="preserve">bodies, including </w:t>
      </w:r>
      <w:r w:rsidR="00901B06" w:rsidRPr="00901B06">
        <w:rPr>
          <w:noProof/>
        </w:rPr>
        <w:t>information, online contact and applications forms, to</w:t>
      </w:r>
      <w:r w:rsidR="00BD39A9">
        <w:rPr>
          <w:noProof/>
        </w:rPr>
        <w:t xml:space="preserve"> be accessible</w:t>
      </w:r>
      <w:r w:rsidR="00BD39A9" w:rsidRPr="00901B06" w:rsidDel="009F6825">
        <w:rPr>
          <w:noProof/>
        </w:rPr>
        <w:t xml:space="preserve"> </w:t>
      </w:r>
      <w:r w:rsidR="00AD6C78">
        <w:rPr>
          <w:noProof/>
        </w:rPr>
        <w:t xml:space="preserve">to </w:t>
      </w:r>
      <w:r w:rsidR="009F6825">
        <w:rPr>
          <w:noProof/>
        </w:rPr>
        <w:t>users, in particular</w:t>
      </w:r>
      <w:r w:rsidR="00901B06" w:rsidRPr="00901B06">
        <w:rPr>
          <w:noProof/>
        </w:rPr>
        <w:t xml:space="preserve"> persons with disabilities. </w:t>
      </w:r>
      <w:r w:rsidRPr="00FE3FA5">
        <w:rPr>
          <w:noProof/>
        </w:rPr>
        <w:t xml:space="preserve">This proposal calls </w:t>
      </w:r>
      <w:r w:rsidR="00367B8B">
        <w:rPr>
          <w:noProof/>
        </w:rPr>
        <w:t xml:space="preserve">on </w:t>
      </w:r>
      <w:r w:rsidRPr="00FE3FA5">
        <w:rPr>
          <w:noProof/>
        </w:rPr>
        <w:t xml:space="preserve">Member States to ensure that long-term care </w:t>
      </w:r>
      <w:r w:rsidR="00901B06">
        <w:rPr>
          <w:noProof/>
        </w:rPr>
        <w:t xml:space="preserve">information, </w:t>
      </w:r>
      <w:r w:rsidRPr="00FE3FA5">
        <w:rPr>
          <w:noProof/>
        </w:rPr>
        <w:t>services and facilities are accessible to persons with disabilities.</w:t>
      </w:r>
    </w:p>
    <w:p w14:paraId="7E331B00" w14:textId="77777777" w:rsidR="00FE3FA5" w:rsidRPr="00FE3FA5" w:rsidRDefault="00FE3FA5" w:rsidP="005F1B23">
      <w:pPr>
        <w:rPr>
          <w:rFonts w:eastAsia="Arial Unicode MS"/>
          <w:b/>
          <w:noProof/>
        </w:rPr>
      </w:pPr>
      <w:r w:rsidRPr="00FE3FA5">
        <w:rPr>
          <w:rFonts w:eastAsia="Arial Unicode MS"/>
          <w:b/>
          <w:noProof/>
          <w:color w:val="000000"/>
          <w:u w:color="000000"/>
          <w:bdr w:val="nil"/>
          <w:lang w:val="en-US" w:eastAsia="en-GB"/>
        </w:rPr>
        <w:t>•</w:t>
      </w:r>
      <w:r w:rsidRPr="00FE3FA5">
        <w:rPr>
          <w:rFonts w:eastAsia="Arial Unicode MS"/>
          <w:b/>
          <w:noProof/>
          <w:color w:val="000000"/>
          <w:u w:color="000000"/>
          <w:bdr w:val="nil"/>
          <w:lang w:val="en-US" w:eastAsia="en-GB"/>
        </w:rPr>
        <w:tab/>
      </w:r>
      <w:r w:rsidRPr="00FE3FA5">
        <w:rPr>
          <w:rFonts w:eastAsia="Arial Unicode MS"/>
          <w:b/>
          <w:noProof/>
        </w:rPr>
        <w:t>Consistency with other Union policies</w:t>
      </w:r>
    </w:p>
    <w:p w14:paraId="099FBAFA" w14:textId="77777777" w:rsidR="00FE3FA5" w:rsidRPr="00FE3FA5" w:rsidRDefault="00FE3FA5" w:rsidP="005F1B23">
      <w:pPr>
        <w:rPr>
          <w:rFonts w:eastAsia="Arial Unicode MS"/>
          <w:noProof/>
        </w:rPr>
      </w:pPr>
      <w:r w:rsidRPr="00FE3FA5">
        <w:rPr>
          <w:noProof/>
        </w:rPr>
        <w:t xml:space="preserve">The proposal </w:t>
      </w:r>
      <w:r w:rsidRPr="00FE3FA5">
        <w:rPr>
          <w:rFonts w:eastAsia="Arial Unicode MS"/>
          <w:noProof/>
        </w:rPr>
        <w:t xml:space="preserve">follows up the debate launched under the </w:t>
      </w:r>
      <w:hyperlink r:id="rId19" w:history="1">
        <w:r w:rsidRPr="00FE3FA5">
          <w:rPr>
            <w:rFonts w:eastAsia="Arial Unicode MS"/>
            <w:b/>
            <w:noProof/>
            <w:color w:val="0000FF" w:themeColor="hyperlink"/>
            <w:u w:val="single"/>
          </w:rPr>
          <w:t>Green Paper on Ageing</w:t>
        </w:r>
      </w:hyperlink>
      <w:r w:rsidR="00FD0D1C">
        <w:rPr>
          <w:rFonts w:eastAsia="Arial Unicode MS"/>
          <w:noProof/>
        </w:rPr>
        <w:t>.</w:t>
      </w:r>
      <w:r w:rsidRPr="00FE3FA5">
        <w:rPr>
          <w:rFonts w:eastAsia="Arial Unicode MS"/>
          <w:noProof/>
        </w:rPr>
        <w:t xml:space="preserve"> </w:t>
      </w:r>
      <w:r w:rsidR="00FD0D1C">
        <w:rPr>
          <w:rFonts w:eastAsia="Arial Unicode MS"/>
          <w:noProof/>
        </w:rPr>
        <w:t>This</w:t>
      </w:r>
      <w:r w:rsidR="00FD0D1C" w:rsidRPr="00FE3FA5">
        <w:rPr>
          <w:rFonts w:eastAsia="Arial Unicode MS"/>
          <w:noProof/>
        </w:rPr>
        <w:t xml:space="preserve"> </w:t>
      </w:r>
      <w:r w:rsidRPr="00FE3FA5">
        <w:rPr>
          <w:rFonts w:eastAsia="Arial Unicode MS"/>
          <w:noProof/>
        </w:rPr>
        <w:t xml:space="preserve">highlighted the need for an integrated approach to </w:t>
      </w:r>
      <w:r w:rsidR="00B56D5E">
        <w:rPr>
          <w:rFonts w:eastAsia="Arial Unicode MS"/>
          <w:noProof/>
        </w:rPr>
        <w:t>long-term care</w:t>
      </w:r>
      <w:r w:rsidRPr="00FE3FA5">
        <w:rPr>
          <w:rFonts w:eastAsia="Arial Unicode MS"/>
          <w:noProof/>
        </w:rPr>
        <w:t xml:space="preserve"> that is accessible, affordable and of high quality, that is centred around the care recipient’s needs</w:t>
      </w:r>
      <w:r w:rsidR="00FD0D1C">
        <w:rPr>
          <w:rFonts w:eastAsia="Arial Unicode MS"/>
          <w:noProof/>
        </w:rPr>
        <w:t>,</w:t>
      </w:r>
      <w:r w:rsidRPr="00FE3FA5">
        <w:rPr>
          <w:rFonts w:eastAsia="Arial Unicode MS"/>
          <w:noProof/>
        </w:rPr>
        <w:t xml:space="preserve"> and</w:t>
      </w:r>
      <w:r w:rsidR="00FD0D1C">
        <w:rPr>
          <w:rFonts w:eastAsia="Arial Unicode MS"/>
          <w:noProof/>
        </w:rPr>
        <w:t xml:space="preserve"> that</w:t>
      </w:r>
      <w:r w:rsidRPr="00FE3FA5">
        <w:rPr>
          <w:rFonts w:eastAsia="Arial Unicode MS"/>
          <w:noProof/>
        </w:rPr>
        <w:t xml:space="preserve"> aims at supporting </w:t>
      </w:r>
      <w:r w:rsidR="00FD0D1C">
        <w:rPr>
          <w:rFonts w:eastAsia="Arial Unicode MS"/>
          <w:noProof/>
        </w:rPr>
        <w:t xml:space="preserve">every </w:t>
      </w:r>
      <w:r w:rsidRPr="00FE3FA5">
        <w:rPr>
          <w:rFonts w:eastAsia="Arial Unicode MS"/>
          <w:noProof/>
        </w:rPr>
        <w:t xml:space="preserve">individual’s independence as long as possible. Respondents considered focusing on increasing the provision of home- and community-based care </w:t>
      </w:r>
      <w:r w:rsidR="00FD0D1C">
        <w:rPr>
          <w:rFonts w:eastAsia="Arial Unicode MS"/>
          <w:noProof/>
        </w:rPr>
        <w:t xml:space="preserve">as </w:t>
      </w:r>
      <w:r w:rsidRPr="00FE3FA5">
        <w:rPr>
          <w:rFonts w:eastAsia="Arial Unicode MS"/>
          <w:noProof/>
        </w:rPr>
        <w:t xml:space="preserve">key to enable ‘ageing-in-place’. Such person-centred care services were said to be </w:t>
      </w:r>
      <w:r w:rsidR="00FD0D1C" w:rsidRPr="00FE3FA5">
        <w:rPr>
          <w:rFonts w:eastAsia="Arial Unicode MS"/>
          <w:noProof/>
        </w:rPr>
        <w:t xml:space="preserve">best </w:t>
      </w:r>
      <w:r w:rsidRPr="00FE3FA5">
        <w:rPr>
          <w:rFonts w:eastAsia="Arial Unicode MS"/>
          <w:noProof/>
        </w:rPr>
        <w:t>created through co-development with all stakeholders. In addition, new technologies and digital solutions were said to improve care delivery, in particular in rural and remote areas.</w:t>
      </w:r>
    </w:p>
    <w:p w14:paraId="4FD4B28E" w14:textId="77777777" w:rsidR="00FE3FA5" w:rsidRPr="00FE3FA5" w:rsidRDefault="008350C2" w:rsidP="005F1B23">
      <w:pPr>
        <w:rPr>
          <w:noProof/>
        </w:rPr>
      </w:pPr>
      <w:r>
        <w:rPr>
          <w:rFonts w:eastAsia="Arial Unicode MS"/>
          <w:noProof/>
        </w:rPr>
        <w:t>The proposal</w:t>
      </w:r>
      <w:r w:rsidRPr="00FE3FA5">
        <w:rPr>
          <w:rFonts w:eastAsia="Arial Unicode MS"/>
          <w:noProof/>
        </w:rPr>
        <w:t xml:space="preserve"> </w:t>
      </w:r>
      <w:r w:rsidR="00FE3FA5" w:rsidRPr="00FE3FA5">
        <w:rPr>
          <w:rFonts w:eastAsia="Arial Unicode MS"/>
          <w:noProof/>
        </w:rPr>
        <w:t xml:space="preserve">has </w:t>
      </w:r>
      <w:r>
        <w:rPr>
          <w:rFonts w:eastAsia="Arial Unicode MS"/>
          <w:noProof/>
        </w:rPr>
        <w:t>close links</w:t>
      </w:r>
      <w:r w:rsidR="00FE3FA5" w:rsidRPr="00FE3FA5">
        <w:rPr>
          <w:rFonts w:eastAsia="Arial Unicode MS"/>
          <w:noProof/>
        </w:rPr>
        <w:t xml:space="preserve"> with the </w:t>
      </w:r>
      <w:hyperlink r:id="rId20" w:history="1">
        <w:r w:rsidR="00FE3FA5" w:rsidRPr="00FE3FA5">
          <w:rPr>
            <w:rFonts w:eastAsia="Arial Unicode MS"/>
            <w:b/>
            <w:noProof/>
            <w:color w:val="0000FF" w:themeColor="hyperlink"/>
            <w:u w:val="single"/>
          </w:rPr>
          <w:t>Strategy for the Rights of Persons with Disabilities</w:t>
        </w:r>
      </w:hyperlink>
      <w:r w:rsidR="00FE3FA5" w:rsidRPr="00FE3FA5">
        <w:rPr>
          <w:rFonts w:eastAsia="Arial Unicode MS"/>
          <w:noProof/>
        </w:rPr>
        <w:t xml:space="preserve">, </w:t>
      </w:r>
      <w:r w:rsidR="00FE3FA5" w:rsidRPr="00FE3FA5">
        <w:rPr>
          <w:noProof/>
        </w:rPr>
        <w:t xml:space="preserve">as there is a strong correlation between disability and </w:t>
      </w:r>
      <w:r w:rsidR="00BC1956">
        <w:rPr>
          <w:noProof/>
        </w:rPr>
        <w:t>the need for long-term care</w:t>
      </w:r>
      <w:r>
        <w:rPr>
          <w:noProof/>
        </w:rPr>
        <w:t>.</w:t>
      </w:r>
      <w:r w:rsidR="00FE3FA5" w:rsidRPr="00FE3FA5">
        <w:rPr>
          <w:noProof/>
        </w:rPr>
        <w:t xml:space="preserve"> </w:t>
      </w:r>
      <w:r>
        <w:rPr>
          <w:noProof/>
        </w:rPr>
        <w:t>There are also links</w:t>
      </w:r>
      <w:r w:rsidR="00FE3FA5" w:rsidRPr="00FE3FA5">
        <w:rPr>
          <w:noProof/>
        </w:rPr>
        <w:t xml:space="preserve"> with the </w:t>
      </w:r>
      <w:hyperlink r:id="rId21" w:history="1">
        <w:r w:rsidR="00FE3FA5" w:rsidRPr="00FE3FA5">
          <w:rPr>
            <w:b/>
            <w:noProof/>
            <w:color w:val="0000FF" w:themeColor="hyperlink"/>
            <w:u w:val="single"/>
          </w:rPr>
          <w:t>European Skills Agenda</w:t>
        </w:r>
      </w:hyperlink>
      <w:r w:rsidR="00FE3FA5" w:rsidRPr="00FE3FA5">
        <w:rPr>
          <w:noProof/>
        </w:rPr>
        <w:t>, which contributes to upskilling and reskilling</w:t>
      </w:r>
      <w:r w:rsidR="0057344C">
        <w:rPr>
          <w:noProof/>
        </w:rPr>
        <w:t xml:space="preserve"> across the </w:t>
      </w:r>
      <w:r w:rsidR="0057344C" w:rsidRPr="00983772">
        <w:rPr>
          <w:noProof/>
        </w:rPr>
        <w:t>U</w:t>
      </w:r>
      <w:r w:rsidR="00E84E0C">
        <w:rPr>
          <w:noProof/>
        </w:rPr>
        <w:t>nion, including</w:t>
      </w:r>
      <w:r w:rsidR="00FE3FA5" w:rsidRPr="00FE3FA5">
        <w:rPr>
          <w:noProof/>
        </w:rPr>
        <w:t xml:space="preserve"> in the </w:t>
      </w:r>
      <w:r w:rsidR="00B56D5E">
        <w:rPr>
          <w:noProof/>
        </w:rPr>
        <w:t>long-term care</w:t>
      </w:r>
      <w:r w:rsidR="00FE3FA5" w:rsidRPr="00FE3FA5">
        <w:rPr>
          <w:noProof/>
        </w:rPr>
        <w:t xml:space="preserve"> sector.</w:t>
      </w:r>
      <w:r w:rsidR="00630FD3">
        <w:rPr>
          <w:noProof/>
        </w:rPr>
        <w:t xml:space="preserve"> There are also </w:t>
      </w:r>
      <w:r w:rsidR="00091C38">
        <w:rPr>
          <w:noProof/>
        </w:rPr>
        <w:t>links</w:t>
      </w:r>
      <w:r w:rsidR="00630FD3">
        <w:rPr>
          <w:noProof/>
        </w:rPr>
        <w:t xml:space="preserve"> with the </w:t>
      </w:r>
      <w:hyperlink r:id="rId22" w:history="1">
        <w:r w:rsidR="00630FD3" w:rsidRPr="621F2A5F">
          <w:rPr>
            <w:rStyle w:val="Hyperlink"/>
            <w:b/>
            <w:bCs/>
            <w:noProof/>
          </w:rPr>
          <w:t>New Pact on Migration and Asylum</w:t>
        </w:r>
      </w:hyperlink>
      <w:r w:rsidR="00630FD3">
        <w:rPr>
          <w:noProof/>
        </w:rPr>
        <w:t xml:space="preserve">, notably the </w:t>
      </w:r>
      <w:hyperlink r:id="rId23" w:history="1">
        <w:r w:rsidR="00630FD3" w:rsidRPr="621F2A5F">
          <w:rPr>
            <w:rStyle w:val="Hyperlink"/>
            <w:b/>
            <w:bCs/>
            <w:noProof/>
          </w:rPr>
          <w:t>Skills and Talent package</w:t>
        </w:r>
      </w:hyperlink>
      <w:r w:rsidR="00630FD3">
        <w:rPr>
          <w:noProof/>
        </w:rPr>
        <w:t xml:space="preserve">, which includes a focus on attracting workers for the </w:t>
      </w:r>
      <w:r w:rsidR="00091C38">
        <w:rPr>
          <w:noProof/>
        </w:rPr>
        <w:t xml:space="preserve">long-term </w:t>
      </w:r>
      <w:r w:rsidR="00630FD3">
        <w:rPr>
          <w:noProof/>
        </w:rPr>
        <w:t>care sector.</w:t>
      </w:r>
    </w:p>
    <w:p w14:paraId="2DD2D218" w14:textId="77777777" w:rsidR="00FE3FA5" w:rsidRDefault="008350C2" w:rsidP="005F1B23">
      <w:pPr>
        <w:rPr>
          <w:noProof/>
        </w:rPr>
      </w:pPr>
      <w:r>
        <w:rPr>
          <w:noProof/>
        </w:rPr>
        <w:t>The proposal</w:t>
      </w:r>
      <w:r w:rsidRPr="00FE3FA5">
        <w:rPr>
          <w:noProof/>
        </w:rPr>
        <w:t xml:space="preserve"> </w:t>
      </w:r>
      <w:r w:rsidR="00FE3FA5" w:rsidRPr="00FE3FA5">
        <w:rPr>
          <w:noProof/>
        </w:rPr>
        <w:t xml:space="preserve">is also of relevance </w:t>
      </w:r>
      <w:r>
        <w:rPr>
          <w:noProof/>
        </w:rPr>
        <w:t>for</w:t>
      </w:r>
      <w:r w:rsidRPr="00FE3FA5">
        <w:rPr>
          <w:noProof/>
        </w:rPr>
        <w:t xml:space="preserve"> </w:t>
      </w:r>
      <w:r w:rsidR="00FE3FA5" w:rsidRPr="00FE3FA5">
        <w:rPr>
          <w:rFonts w:eastAsia="Arial Unicode MS"/>
          <w:noProof/>
        </w:rPr>
        <w:t xml:space="preserve">the </w:t>
      </w:r>
      <w:hyperlink r:id="rId24" w:history="1">
        <w:r w:rsidR="00FE3FA5" w:rsidRPr="00FE3FA5">
          <w:rPr>
            <w:rFonts w:eastAsia="Arial Unicode MS"/>
            <w:b/>
            <w:noProof/>
            <w:color w:val="0000FF" w:themeColor="hyperlink"/>
            <w:u w:val="single"/>
          </w:rPr>
          <w:t>Gender Equality Strategy</w:t>
        </w:r>
      </w:hyperlink>
      <w:r w:rsidR="00FE3FA5" w:rsidRPr="00FE3FA5">
        <w:rPr>
          <w:rFonts w:eastAsia="Arial Unicode MS"/>
          <w:noProof/>
        </w:rPr>
        <w:t xml:space="preserve">, as most </w:t>
      </w:r>
      <w:r w:rsidRPr="00FE3FA5">
        <w:rPr>
          <w:noProof/>
        </w:rPr>
        <w:t xml:space="preserve">caregivers and </w:t>
      </w:r>
      <w:r>
        <w:rPr>
          <w:rFonts w:eastAsia="Arial Unicode MS"/>
          <w:noProof/>
        </w:rPr>
        <w:t>people</w:t>
      </w:r>
      <w:r w:rsidR="00FB067E">
        <w:rPr>
          <w:noProof/>
        </w:rPr>
        <w:t xml:space="preserve"> in need of </w:t>
      </w:r>
      <w:r w:rsidR="00B56D5E">
        <w:rPr>
          <w:noProof/>
        </w:rPr>
        <w:t>long-term care</w:t>
      </w:r>
      <w:r w:rsidR="00FB067E">
        <w:rPr>
          <w:noProof/>
        </w:rPr>
        <w:t xml:space="preserve"> </w:t>
      </w:r>
      <w:r w:rsidR="00FE3FA5" w:rsidRPr="00FE3FA5">
        <w:rPr>
          <w:noProof/>
        </w:rPr>
        <w:t xml:space="preserve">are women. </w:t>
      </w:r>
      <w:r w:rsidR="005402CD" w:rsidRPr="005402CD">
        <w:rPr>
          <w:noProof/>
        </w:rPr>
        <w:t xml:space="preserve">The strategy frames the European Commission’s work on gender </w:t>
      </w:r>
      <w:r w:rsidR="00AD6C78">
        <w:rPr>
          <w:noProof/>
        </w:rPr>
        <w:t>e</w:t>
      </w:r>
      <w:r w:rsidR="005402CD" w:rsidRPr="005402CD">
        <w:rPr>
          <w:noProof/>
        </w:rPr>
        <w:t>quality. The key objectives are among other things challenging gender stereotypes, addressing the gender pay and pension gaps an</w:t>
      </w:r>
      <w:r w:rsidR="00F55951">
        <w:rPr>
          <w:noProof/>
        </w:rPr>
        <w:t xml:space="preserve">d closing the gender care gap. </w:t>
      </w:r>
      <w:r w:rsidR="00FE3FA5" w:rsidRPr="00FE3FA5">
        <w:rPr>
          <w:noProof/>
        </w:rPr>
        <w:t xml:space="preserve">The proposal is complementary to policies promoting work-life balance, as access to </w:t>
      </w:r>
      <w:r w:rsidR="00B56D5E">
        <w:rPr>
          <w:noProof/>
        </w:rPr>
        <w:t>long-term care</w:t>
      </w:r>
      <w:r w:rsidR="00FE3FA5" w:rsidRPr="00FE3FA5">
        <w:rPr>
          <w:noProof/>
        </w:rPr>
        <w:t xml:space="preserve"> and affordable quality </w:t>
      </w:r>
      <w:r w:rsidR="00B56D5E">
        <w:rPr>
          <w:noProof/>
        </w:rPr>
        <w:t>long-term care</w:t>
      </w:r>
      <w:r w:rsidR="00FE3FA5" w:rsidRPr="00FE3FA5">
        <w:rPr>
          <w:noProof/>
        </w:rPr>
        <w:t xml:space="preserve"> is seen as one of the tools to help reconcile work and family life. The </w:t>
      </w:r>
      <w:hyperlink r:id="rId25" w:history="1">
        <w:r w:rsidR="00FE3FA5" w:rsidRPr="00FE3FA5">
          <w:rPr>
            <w:b/>
            <w:noProof/>
            <w:color w:val="0000FF" w:themeColor="hyperlink"/>
            <w:u w:val="single"/>
          </w:rPr>
          <w:t>Work-Life Balance Communication</w:t>
        </w:r>
      </w:hyperlink>
      <w:r w:rsidR="00FE3FA5" w:rsidRPr="00FE3FA5">
        <w:rPr>
          <w:noProof/>
        </w:rPr>
        <w:t xml:space="preserve"> acknowledged the need to provide access to affordable</w:t>
      </w:r>
      <w:r w:rsidR="006150A8">
        <w:rPr>
          <w:noProof/>
        </w:rPr>
        <w:t>,</w:t>
      </w:r>
      <w:r w:rsidR="00FE3FA5" w:rsidRPr="00FE3FA5">
        <w:rPr>
          <w:noProof/>
        </w:rPr>
        <w:t xml:space="preserve"> good quality</w:t>
      </w:r>
      <w:r w:rsidR="006150A8">
        <w:rPr>
          <w:noProof/>
        </w:rPr>
        <w:t>,</w:t>
      </w:r>
      <w:r w:rsidR="00FE3FA5" w:rsidRPr="00FE3FA5">
        <w:rPr>
          <w:noProof/>
        </w:rPr>
        <w:t xml:space="preserve"> formal care services across </w:t>
      </w:r>
      <w:r w:rsidR="006150A8">
        <w:rPr>
          <w:noProof/>
        </w:rPr>
        <w:t xml:space="preserve">the </w:t>
      </w:r>
      <w:r w:rsidR="00FE3FA5" w:rsidRPr="00FE3FA5">
        <w:rPr>
          <w:noProof/>
        </w:rPr>
        <w:t>E</w:t>
      </w:r>
      <w:r w:rsidR="006150A8">
        <w:rPr>
          <w:noProof/>
        </w:rPr>
        <w:t>U</w:t>
      </w:r>
      <w:r w:rsidR="00FE3FA5" w:rsidRPr="00FE3FA5">
        <w:rPr>
          <w:noProof/>
        </w:rPr>
        <w:t xml:space="preserve"> to remove obstacles to employment, especially for women.</w:t>
      </w:r>
    </w:p>
    <w:p w14:paraId="0BD2BAC3" w14:textId="77777777" w:rsidR="00555E2F" w:rsidRDefault="00555E2F" w:rsidP="005F1B23">
      <w:pPr>
        <w:rPr>
          <w:noProof/>
        </w:rPr>
      </w:pPr>
      <w:r>
        <w:rPr>
          <w:noProof/>
        </w:rPr>
        <w:t xml:space="preserve">Social economy </w:t>
      </w:r>
      <w:r w:rsidR="006150A8">
        <w:rPr>
          <w:noProof/>
        </w:rPr>
        <w:t>bodies</w:t>
      </w:r>
      <w:r>
        <w:rPr>
          <w:noProof/>
        </w:rPr>
        <w:t>, including cooperatives, mutual benefits societies, associations and foundations</w:t>
      </w:r>
      <w:r w:rsidR="00762175">
        <w:rPr>
          <w:noProof/>
        </w:rPr>
        <w:t>,</w:t>
      </w:r>
      <w:r>
        <w:rPr>
          <w:noProof/>
        </w:rPr>
        <w:t xml:space="preserve"> </w:t>
      </w:r>
      <w:r w:rsidR="00762175">
        <w:rPr>
          <w:noProof/>
        </w:rPr>
        <w:t>and</w:t>
      </w:r>
      <w:r>
        <w:rPr>
          <w:noProof/>
        </w:rPr>
        <w:t xml:space="preserve"> social enterprises are </w:t>
      </w:r>
      <w:r w:rsidR="006150A8">
        <w:rPr>
          <w:noProof/>
        </w:rPr>
        <w:t xml:space="preserve">major </w:t>
      </w:r>
      <w:r>
        <w:rPr>
          <w:noProof/>
        </w:rPr>
        <w:t xml:space="preserve">partners for public </w:t>
      </w:r>
      <w:r w:rsidR="009A1140">
        <w:rPr>
          <w:noProof/>
        </w:rPr>
        <w:t>authorities</w:t>
      </w:r>
      <w:r>
        <w:rPr>
          <w:noProof/>
        </w:rPr>
        <w:t xml:space="preserve"> in the provision of long-term care. The proposal, therefore, has </w:t>
      </w:r>
      <w:r w:rsidR="006150A8">
        <w:rPr>
          <w:noProof/>
        </w:rPr>
        <w:t xml:space="preserve">connections </w:t>
      </w:r>
      <w:r>
        <w:rPr>
          <w:noProof/>
        </w:rPr>
        <w:t xml:space="preserve">with the </w:t>
      </w:r>
      <w:hyperlink r:id="rId26" w:history="1">
        <w:r w:rsidRPr="00BC5D0C">
          <w:rPr>
            <w:rStyle w:val="Hyperlink"/>
            <w:b/>
            <w:noProof/>
          </w:rPr>
          <w:t>So</w:t>
        </w:r>
        <w:r w:rsidR="009A1140" w:rsidRPr="00BC5D0C">
          <w:rPr>
            <w:rStyle w:val="Hyperlink"/>
            <w:b/>
            <w:noProof/>
          </w:rPr>
          <w:t>cial Economy Action Plan</w:t>
        </w:r>
      </w:hyperlink>
      <w:r w:rsidR="006150A8">
        <w:rPr>
          <w:noProof/>
        </w:rPr>
        <w:t xml:space="preserve">. It </w:t>
      </w:r>
      <w:r>
        <w:rPr>
          <w:noProof/>
        </w:rPr>
        <w:t xml:space="preserve">can help boost the care economy and improve working conditions in the care </w:t>
      </w:r>
      <w:r w:rsidR="009707F1">
        <w:rPr>
          <w:noProof/>
        </w:rPr>
        <w:t>sector</w:t>
      </w:r>
      <w:r w:rsidR="009A1140">
        <w:rPr>
          <w:noProof/>
        </w:rPr>
        <w:t xml:space="preserve">, </w:t>
      </w:r>
      <w:r w:rsidR="006150A8">
        <w:rPr>
          <w:noProof/>
        </w:rPr>
        <w:t>thereby</w:t>
      </w:r>
      <w:r w:rsidR="009A1140">
        <w:rPr>
          <w:noProof/>
        </w:rPr>
        <w:t xml:space="preserve"> helping to address the challenges of </w:t>
      </w:r>
      <w:r>
        <w:rPr>
          <w:noProof/>
        </w:rPr>
        <w:t>social economy</w:t>
      </w:r>
      <w:r w:rsidR="009A1140">
        <w:rPr>
          <w:noProof/>
        </w:rPr>
        <w:t xml:space="preserve"> </w:t>
      </w:r>
      <w:r w:rsidR="006150A8">
        <w:rPr>
          <w:noProof/>
        </w:rPr>
        <w:t xml:space="preserve">players </w:t>
      </w:r>
      <w:r w:rsidR="009707F1">
        <w:rPr>
          <w:noProof/>
        </w:rPr>
        <w:t>as well</w:t>
      </w:r>
      <w:r w:rsidR="009A1140">
        <w:rPr>
          <w:noProof/>
        </w:rPr>
        <w:t>.</w:t>
      </w:r>
    </w:p>
    <w:p w14:paraId="2E538EBA" w14:textId="190F3F87" w:rsidR="0076720D" w:rsidRDefault="0076720D" w:rsidP="005F1B23">
      <w:pPr>
        <w:rPr>
          <w:noProof/>
        </w:rPr>
      </w:pPr>
      <w:r>
        <w:rPr>
          <w:noProof/>
        </w:rPr>
        <w:t>The proposal complements EU initiatives in the area of health prevention. In particular, it builds on t</w:t>
      </w:r>
      <w:r w:rsidRPr="0076720D">
        <w:rPr>
          <w:noProof/>
        </w:rPr>
        <w:t xml:space="preserve">he </w:t>
      </w:r>
      <w:hyperlink r:id="rId27" w:history="1">
        <w:r w:rsidRPr="00DD3530">
          <w:rPr>
            <w:rStyle w:val="Hyperlink"/>
            <w:b/>
            <w:noProof/>
          </w:rPr>
          <w:t>Health</w:t>
        </w:r>
        <w:r w:rsidR="00370811">
          <w:rPr>
            <w:rStyle w:val="Hyperlink"/>
            <w:b/>
            <w:noProof/>
          </w:rPr>
          <w:t>ier</w:t>
        </w:r>
        <w:r w:rsidRPr="00DD3530">
          <w:rPr>
            <w:rStyle w:val="Hyperlink"/>
            <w:b/>
            <w:noProof/>
          </w:rPr>
          <w:t xml:space="preserve"> Together</w:t>
        </w:r>
      </w:hyperlink>
      <w:r w:rsidRPr="0076720D">
        <w:rPr>
          <w:noProof/>
        </w:rPr>
        <w:t xml:space="preserve"> initiative and </w:t>
      </w:r>
      <w:hyperlink r:id="rId28" w:history="1">
        <w:r w:rsidRPr="00DD3530">
          <w:rPr>
            <w:rStyle w:val="Hyperlink"/>
            <w:b/>
            <w:noProof/>
          </w:rPr>
          <w:t>Europe’s Beating Cancer Plan</w:t>
        </w:r>
      </w:hyperlink>
      <w:r>
        <w:rPr>
          <w:noProof/>
        </w:rPr>
        <w:t>, which</w:t>
      </w:r>
      <w:r w:rsidRPr="0076720D">
        <w:rPr>
          <w:noProof/>
        </w:rPr>
        <w:t xml:space="preserve"> address the prevention, treatment and care of non-communicable diseases. One of the pillars of the Cancer Plan addresses the quality of life for patients and survivors and has several actions to ensure that they live long, fulfilling lives. </w:t>
      </w:r>
    </w:p>
    <w:p w14:paraId="56973EC6" w14:textId="77777777" w:rsidR="003B45C1" w:rsidRDefault="00BC5D0C" w:rsidP="005F1B23">
      <w:pPr>
        <w:rPr>
          <w:noProof/>
        </w:rPr>
      </w:pPr>
      <w:r w:rsidRPr="00BC5D0C">
        <w:rPr>
          <w:noProof/>
        </w:rPr>
        <w:t>This proposal also supports</w:t>
      </w:r>
      <w:r w:rsidR="006150A8">
        <w:rPr>
          <w:noProof/>
        </w:rPr>
        <w:t xml:space="preserve"> the</w:t>
      </w:r>
      <w:r w:rsidRPr="00BC5D0C">
        <w:rPr>
          <w:noProof/>
        </w:rPr>
        <w:t xml:space="preserve"> </w:t>
      </w:r>
      <w:r w:rsidRPr="00BC5D0C">
        <w:rPr>
          <w:b/>
          <w:noProof/>
        </w:rPr>
        <w:t xml:space="preserve">green and digital </w:t>
      </w:r>
      <w:r w:rsidR="003117FE" w:rsidRPr="00BC5D0C">
        <w:rPr>
          <w:b/>
          <w:noProof/>
        </w:rPr>
        <w:t>transitions</w:t>
      </w:r>
      <w:r w:rsidRPr="00BC5D0C">
        <w:rPr>
          <w:noProof/>
        </w:rPr>
        <w:t xml:space="preserve">, as it promotes the use of digital technologies in </w:t>
      </w:r>
      <w:r w:rsidR="00B56D5E">
        <w:rPr>
          <w:noProof/>
        </w:rPr>
        <w:t>long-term care</w:t>
      </w:r>
      <w:r w:rsidRPr="00BC5D0C">
        <w:rPr>
          <w:noProof/>
        </w:rPr>
        <w:t xml:space="preserve"> and compliance of </w:t>
      </w:r>
      <w:r w:rsidR="00B56D5E">
        <w:rPr>
          <w:noProof/>
        </w:rPr>
        <w:t>long-term care</w:t>
      </w:r>
      <w:r w:rsidRPr="00BC5D0C">
        <w:rPr>
          <w:noProof/>
        </w:rPr>
        <w:t xml:space="preserve"> </w:t>
      </w:r>
      <w:r w:rsidR="00BC1956">
        <w:rPr>
          <w:noProof/>
        </w:rPr>
        <w:t>provision</w:t>
      </w:r>
      <w:r w:rsidR="00BC1956" w:rsidRPr="00BC5D0C">
        <w:rPr>
          <w:noProof/>
        </w:rPr>
        <w:t xml:space="preserve"> </w:t>
      </w:r>
      <w:r w:rsidRPr="00BC5D0C">
        <w:rPr>
          <w:noProof/>
        </w:rPr>
        <w:t>with environmental</w:t>
      </w:r>
      <w:r w:rsidRPr="00771220">
        <w:rPr>
          <w:noProof/>
        </w:rPr>
        <w:t xml:space="preserve"> and energy</w:t>
      </w:r>
      <w:r w:rsidR="006150A8">
        <w:rPr>
          <w:noProof/>
        </w:rPr>
        <w:t>-</w:t>
      </w:r>
      <w:r w:rsidRPr="00771220">
        <w:rPr>
          <w:noProof/>
        </w:rPr>
        <w:t>sav</w:t>
      </w:r>
      <w:r w:rsidRPr="001C6494">
        <w:rPr>
          <w:noProof/>
        </w:rPr>
        <w:t>ing</w:t>
      </w:r>
      <w:r>
        <w:rPr>
          <w:noProof/>
        </w:rPr>
        <w:t xml:space="preserve"> requirements.</w:t>
      </w:r>
      <w:r w:rsidR="003B45C1">
        <w:rPr>
          <w:noProof/>
        </w:rPr>
        <w:t xml:space="preserve"> </w:t>
      </w:r>
      <w:r w:rsidR="00901B06" w:rsidRPr="00901B06">
        <w:rPr>
          <w:noProof/>
        </w:rPr>
        <w:t xml:space="preserve">Thus, it is also aligned with the </w:t>
      </w:r>
      <w:hyperlink r:id="rId29" w:history="1">
        <w:r w:rsidR="00901B06" w:rsidRPr="00901B06">
          <w:rPr>
            <w:rStyle w:val="Hyperlink"/>
            <w:b/>
            <w:noProof/>
          </w:rPr>
          <w:t>EU Communication on Enabling the Digital transformation of Health and Care in the Digital Single Market</w:t>
        </w:r>
      </w:hyperlink>
      <w:r w:rsidR="00901B06" w:rsidRPr="00DD3530">
        <w:rPr>
          <w:rStyle w:val="Hyperlink"/>
          <w:b/>
          <w:noProof/>
        </w:rPr>
        <w:t>; empowering citizens and building a healthier society</w:t>
      </w:r>
      <w:r w:rsidR="00901B06" w:rsidRPr="00901B06">
        <w:rPr>
          <w:noProof/>
        </w:rPr>
        <w:t>.</w:t>
      </w:r>
    </w:p>
    <w:p w14:paraId="03501D88" w14:textId="77777777" w:rsidR="0000673B" w:rsidRDefault="0000673B" w:rsidP="0000673B">
      <w:pPr>
        <w:rPr>
          <w:rFonts w:eastAsia="Calibri" w:cstheme="minorHAnsi"/>
          <w:noProof/>
          <w:szCs w:val="24"/>
        </w:rPr>
      </w:pPr>
      <w:r>
        <w:rPr>
          <w:rFonts w:eastAsia="Calibri" w:cstheme="minorHAnsi"/>
          <w:noProof/>
          <w:szCs w:val="24"/>
        </w:rPr>
        <w:t xml:space="preserve">The proposal also responds to the </w:t>
      </w:r>
      <w:hyperlink r:id="rId30" w:history="1">
        <w:r w:rsidRPr="008711EE">
          <w:rPr>
            <w:rStyle w:val="Hyperlink"/>
            <w:rFonts w:eastAsia="Calibri" w:cstheme="minorHAnsi"/>
            <w:b/>
            <w:noProof/>
            <w:szCs w:val="24"/>
          </w:rPr>
          <w:t xml:space="preserve">Conference on the Future of Europe </w:t>
        </w:r>
        <w:r w:rsidR="00890448">
          <w:rPr>
            <w:rStyle w:val="Hyperlink"/>
            <w:rFonts w:eastAsia="Calibri" w:cstheme="minorHAnsi"/>
            <w:b/>
            <w:noProof/>
            <w:szCs w:val="24"/>
          </w:rPr>
          <w:t>p</w:t>
        </w:r>
        <w:r w:rsidRPr="008711EE">
          <w:rPr>
            <w:rStyle w:val="Hyperlink"/>
            <w:rFonts w:eastAsia="Calibri" w:cstheme="minorHAnsi"/>
            <w:b/>
            <w:noProof/>
            <w:szCs w:val="24"/>
          </w:rPr>
          <w:t>roposal</w:t>
        </w:r>
      </w:hyperlink>
      <w:r>
        <w:rPr>
          <w:rFonts w:eastAsia="Calibri" w:cstheme="minorHAnsi"/>
          <w:noProof/>
          <w:szCs w:val="24"/>
        </w:rPr>
        <w:t xml:space="preserve"> on </w:t>
      </w:r>
      <w:r w:rsidRPr="00DE025D">
        <w:rPr>
          <w:noProof/>
        </w:rPr>
        <w:t>demographic transition</w:t>
      </w:r>
      <w:r>
        <w:rPr>
          <w:rFonts w:eastAsia="Calibri" w:cstheme="minorHAnsi"/>
          <w:noProof/>
          <w:szCs w:val="24"/>
        </w:rPr>
        <w:t xml:space="preserve"> </w:t>
      </w:r>
      <w:r w:rsidR="00925E76">
        <w:rPr>
          <w:rFonts w:eastAsia="Calibri" w:cstheme="minorHAnsi"/>
          <w:noProof/>
          <w:szCs w:val="24"/>
        </w:rPr>
        <w:t>(proposal No</w:t>
      </w:r>
      <w:r w:rsidR="00890448">
        <w:rPr>
          <w:rFonts w:eastAsia="Calibri" w:cstheme="minorHAnsi"/>
          <w:noProof/>
          <w:szCs w:val="24"/>
        </w:rPr>
        <w:t>. </w:t>
      </w:r>
      <w:r w:rsidR="00925E76">
        <w:rPr>
          <w:rFonts w:eastAsia="Calibri" w:cstheme="minorHAnsi"/>
          <w:noProof/>
          <w:szCs w:val="24"/>
        </w:rPr>
        <w:t>15)</w:t>
      </w:r>
      <w:r w:rsidR="00890448">
        <w:rPr>
          <w:rFonts w:eastAsia="Calibri" w:cstheme="minorHAnsi"/>
          <w:noProof/>
          <w:szCs w:val="24"/>
        </w:rPr>
        <w:t>.</w:t>
      </w:r>
      <w:r w:rsidR="00925E76">
        <w:rPr>
          <w:rFonts w:eastAsia="Calibri" w:cstheme="minorHAnsi"/>
          <w:noProof/>
          <w:szCs w:val="24"/>
        </w:rPr>
        <w:t xml:space="preserve"> </w:t>
      </w:r>
      <w:r w:rsidR="00890448">
        <w:rPr>
          <w:rFonts w:eastAsia="Calibri" w:cstheme="minorHAnsi"/>
          <w:noProof/>
          <w:szCs w:val="24"/>
        </w:rPr>
        <w:t xml:space="preserve">This </w:t>
      </w:r>
      <w:r>
        <w:rPr>
          <w:rFonts w:eastAsia="Calibri" w:cstheme="minorHAnsi"/>
          <w:noProof/>
          <w:szCs w:val="24"/>
        </w:rPr>
        <w:t>calls for appropriate care for older people that take</w:t>
      </w:r>
      <w:r w:rsidR="005308D9">
        <w:rPr>
          <w:rFonts w:eastAsia="Calibri" w:cstheme="minorHAnsi"/>
          <w:noProof/>
          <w:szCs w:val="24"/>
        </w:rPr>
        <w:t>s</w:t>
      </w:r>
      <w:r>
        <w:rPr>
          <w:rFonts w:eastAsia="Calibri" w:cstheme="minorHAnsi"/>
          <w:noProof/>
          <w:szCs w:val="24"/>
        </w:rPr>
        <w:t xml:space="preserve"> into account </w:t>
      </w:r>
      <w:r w:rsidR="00890448">
        <w:rPr>
          <w:rFonts w:eastAsia="Calibri" w:cstheme="minorHAnsi"/>
          <w:noProof/>
          <w:szCs w:val="24"/>
        </w:rPr>
        <w:t xml:space="preserve">the needs of </w:t>
      </w:r>
      <w:r>
        <w:rPr>
          <w:rFonts w:eastAsia="Calibri" w:cstheme="minorHAnsi"/>
          <w:noProof/>
          <w:szCs w:val="24"/>
        </w:rPr>
        <w:t>both care receivers and caregivers.</w:t>
      </w:r>
    </w:p>
    <w:p w14:paraId="33899797" w14:textId="2D6A63B8" w:rsidR="00FE3FA5" w:rsidRDefault="009E6E7F" w:rsidP="00FE3FA5">
      <w:pPr>
        <w:rPr>
          <w:noProof/>
        </w:rPr>
      </w:pPr>
      <w:r>
        <w:rPr>
          <w:noProof/>
        </w:rPr>
        <w:t xml:space="preserve">The </w:t>
      </w:r>
      <w:r w:rsidRPr="009E6E7F">
        <w:rPr>
          <w:b/>
          <w:noProof/>
        </w:rPr>
        <w:t>funding at Union level</w:t>
      </w:r>
      <w:r>
        <w:rPr>
          <w:noProof/>
        </w:rPr>
        <w:t xml:space="preserve"> </w:t>
      </w:r>
      <w:r w:rsidR="00FE3FA5" w:rsidRPr="00FE3FA5">
        <w:rPr>
          <w:noProof/>
        </w:rPr>
        <w:t xml:space="preserve">is available to support investments in accessible, affordable and quality </w:t>
      </w:r>
      <w:r w:rsidR="00B56D5E">
        <w:rPr>
          <w:noProof/>
        </w:rPr>
        <w:t>long-term care</w:t>
      </w:r>
      <w:r w:rsidR="006F4EE7">
        <w:rPr>
          <w:noProof/>
        </w:rPr>
        <w:t xml:space="preserve">, </w:t>
      </w:r>
      <w:r w:rsidR="006F4EE7" w:rsidRPr="006F4EE7">
        <w:rPr>
          <w:noProof/>
        </w:rPr>
        <w:t xml:space="preserve">in particular in </w:t>
      </w:r>
      <w:r w:rsidR="006F4EE7">
        <w:rPr>
          <w:noProof/>
        </w:rPr>
        <w:t>h</w:t>
      </w:r>
      <w:r w:rsidR="006F4EE7" w:rsidRPr="006F4EE7">
        <w:rPr>
          <w:noProof/>
        </w:rPr>
        <w:t>ome</w:t>
      </w:r>
      <w:r w:rsidR="006F4EE7">
        <w:rPr>
          <w:noProof/>
        </w:rPr>
        <w:t xml:space="preserve"> and </w:t>
      </w:r>
      <w:r w:rsidR="006F4EE7" w:rsidRPr="006F4EE7">
        <w:rPr>
          <w:noProof/>
        </w:rPr>
        <w:t xml:space="preserve">community-based </w:t>
      </w:r>
      <w:r w:rsidR="006F4EE7">
        <w:rPr>
          <w:noProof/>
        </w:rPr>
        <w:t xml:space="preserve">care </w:t>
      </w:r>
      <w:r w:rsidR="006F4EE7" w:rsidRPr="006F4EE7">
        <w:rPr>
          <w:noProof/>
        </w:rPr>
        <w:t>setting</w:t>
      </w:r>
      <w:r w:rsidR="006F4EE7">
        <w:rPr>
          <w:noProof/>
        </w:rPr>
        <w:t>s</w:t>
      </w:r>
      <w:r w:rsidR="006F4EE7" w:rsidRPr="006F4EE7">
        <w:rPr>
          <w:noProof/>
        </w:rPr>
        <w:t xml:space="preserve">, including for older </w:t>
      </w:r>
      <w:r w:rsidR="00A12C4A">
        <w:rPr>
          <w:noProof/>
        </w:rPr>
        <w:t>people</w:t>
      </w:r>
      <w:r w:rsidR="006F4EE7" w:rsidRPr="006F4EE7">
        <w:rPr>
          <w:noProof/>
        </w:rPr>
        <w:t xml:space="preserve">, </w:t>
      </w:r>
      <w:r w:rsidR="004A092B">
        <w:rPr>
          <w:noProof/>
        </w:rPr>
        <w:t>persons</w:t>
      </w:r>
      <w:r w:rsidR="00A12C4A" w:rsidRPr="006F4EE7">
        <w:rPr>
          <w:noProof/>
        </w:rPr>
        <w:t xml:space="preserve"> </w:t>
      </w:r>
      <w:r w:rsidR="006F4EE7" w:rsidRPr="006F4EE7">
        <w:rPr>
          <w:noProof/>
        </w:rPr>
        <w:t xml:space="preserve">with disabilities and geographically remote populations </w:t>
      </w:r>
      <w:r w:rsidR="00A12C4A">
        <w:rPr>
          <w:noProof/>
        </w:rPr>
        <w:t>and</w:t>
      </w:r>
      <w:r w:rsidR="00BC1956">
        <w:rPr>
          <w:noProof/>
        </w:rPr>
        <w:t xml:space="preserve"> to</w:t>
      </w:r>
      <w:r w:rsidR="006F4EE7" w:rsidRPr="006F4EE7">
        <w:rPr>
          <w:noProof/>
        </w:rPr>
        <w:t xml:space="preserve"> support to social economy </w:t>
      </w:r>
      <w:r w:rsidR="00A12C4A">
        <w:rPr>
          <w:noProof/>
        </w:rPr>
        <w:t>players</w:t>
      </w:r>
      <w:r w:rsidR="00A12C4A" w:rsidRPr="006F4EE7">
        <w:rPr>
          <w:noProof/>
        </w:rPr>
        <w:t xml:space="preserve"> </w:t>
      </w:r>
      <w:r w:rsidR="006F4EE7" w:rsidRPr="006F4EE7">
        <w:rPr>
          <w:noProof/>
        </w:rPr>
        <w:t>offering these services</w:t>
      </w:r>
      <w:r w:rsidR="00FE3FA5" w:rsidRPr="00FE3FA5">
        <w:rPr>
          <w:noProof/>
        </w:rPr>
        <w:t xml:space="preserve">. </w:t>
      </w:r>
      <w:r>
        <w:rPr>
          <w:noProof/>
        </w:rPr>
        <w:t>Union</w:t>
      </w:r>
      <w:r w:rsidR="00A12C4A">
        <w:rPr>
          <w:noProof/>
        </w:rPr>
        <w:t xml:space="preserve"> funds</w:t>
      </w:r>
      <w:r w:rsidR="00FE3FA5" w:rsidRPr="00FE3FA5">
        <w:rPr>
          <w:noProof/>
        </w:rPr>
        <w:t xml:space="preserve"> include the </w:t>
      </w:r>
      <w:hyperlink r:id="rId31" w:history="1">
        <w:r w:rsidR="00FE3FA5" w:rsidRPr="009E5AA7">
          <w:rPr>
            <w:b/>
            <w:noProof/>
            <w:color w:val="0000FF" w:themeColor="hyperlink"/>
            <w:u w:val="single"/>
          </w:rPr>
          <w:t>European Regional Development Fund</w:t>
        </w:r>
      </w:hyperlink>
      <w:r w:rsidR="00FE3FA5" w:rsidRPr="00FE3FA5">
        <w:rPr>
          <w:noProof/>
        </w:rPr>
        <w:t xml:space="preserve">, the </w:t>
      </w:r>
      <w:hyperlink r:id="rId32" w:history="1">
        <w:r w:rsidR="00FE3FA5" w:rsidRPr="009E5AA7">
          <w:rPr>
            <w:b/>
            <w:noProof/>
            <w:color w:val="0000FF" w:themeColor="hyperlink"/>
            <w:u w:val="single"/>
          </w:rPr>
          <w:t>European Social Fund plus</w:t>
        </w:r>
      </w:hyperlink>
      <w:r w:rsidR="00FE3FA5" w:rsidRPr="00FE3FA5">
        <w:rPr>
          <w:noProof/>
        </w:rPr>
        <w:t xml:space="preserve">, including </w:t>
      </w:r>
      <w:r w:rsidR="00FE3FA5" w:rsidRPr="00706F00">
        <w:rPr>
          <w:noProof/>
        </w:rPr>
        <w:t>its</w:t>
      </w:r>
      <w:r w:rsidR="00FE3FA5" w:rsidRPr="009E5AA7">
        <w:rPr>
          <w:b/>
          <w:noProof/>
        </w:rPr>
        <w:t xml:space="preserve"> </w:t>
      </w:r>
      <w:hyperlink r:id="rId33" w:history="1">
        <w:r w:rsidR="00FE3FA5" w:rsidRPr="009E5AA7">
          <w:rPr>
            <w:b/>
            <w:noProof/>
            <w:color w:val="0000FF" w:themeColor="hyperlink"/>
            <w:u w:val="single"/>
          </w:rPr>
          <w:t>Employment and Social Innovation strand</w:t>
        </w:r>
      </w:hyperlink>
      <w:r w:rsidR="00FE3FA5" w:rsidRPr="00FE3FA5">
        <w:rPr>
          <w:noProof/>
        </w:rPr>
        <w:t xml:space="preserve">, </w:t>
      </w:r>
      <w:r w:rsidR="00870D93">
        <w:rPr>
          <w:noProof/>
        </w:rPr>
        <w:t xml:space="preserve">the </w:t>
      </w:r>
      <w:hyperlink r:id="rId34" w:history="1">
        <w:r w:rsidR="00870D93" w:rsidRPr="00870D93">
          <w:rPr>
            <w:rStyle w:val="Hyperlink"/>
            <w:b/>
            <w:noProof/>
          </w:rPr>
          <w:t>European Agricultural Fund for Rural Development</w:t>
        </w:r>
      </w:hyperlink>
      <w:r w:rsidR="00870D93">
        <w:rPr>
          <w:noProof/>
        </w:rPr>
        <w:t>,</w:t>
      </w:r>
      <w:r w:rsidR="00870D93" w:rsidRPr="00870D93">
        <w:rPr>
          <w:noProof/>
        </w:rPr>
        <w:t xml:space="preserve"> </w:t>
      </w:r>
      <w:r w:rsidR="00FE3FA5" w:rsidRPr="00FE3FA5">
        <w:rPr>
          <w:noProof/>
        </w:rPr>
        <w:t xml:space="preserve">the </w:t>
      </w:r>
      <w:hyperlink r:id="rId35" w:history="1">
        <w:r w:rsidR="00FE3FA5" w:rsidRPr="009E5AA7">
          <w:rPr>
            <w:b/>
            <w:noProof/>
            <w:color w:val="0000FF" w:themeColor="hyperlink"/>
            <w:u w:val="single"/>
          </w:rPr>
          <w:t>Just Transition Fund</w:t>
        </w:r>
      </w:hyperlink>
      <w:r w:rsidR="00FE3FA5" w:rsidRPr="00FE3FA5">
        <w:rPr>
          <w:noProof/>
        </w:rPr>
        <w:t xml:space="preserve">, </w:t>
      </w:r>
      <w:hyperlink r:id="rId36" w:history="1">
        <w:r w:rsidR="00FE3FA5" w:rsidRPr="009E5AA7">
          <w:rPr>
            <w:b/>
            <w:noProof/>
            <w:color w:val="0000FF" w:themeColor="hyperlink"/>
            <w:u w:val="single"/>
          </w:rPr>
          <w:t>Horizon Europe</w:t>
        </w:r>
      </w:hyperlink>
      <w:r w:rsidR="00A12C4A">
        <w:rPr>
          <w:noProof/>
        </w:rPr>
        <w:t xml:space="preserve">, </w:t>
      </w:r>
      <w:r w:rsidR="00A12C4A" w:rsidRPr="00FE3FA5">
        <w:rPr>
          <w:noProof/>
        </w:rPr>
        <w:t xml:space="preserve">the </w:t>
      </w:r>
      <w:hyperlink r:id="rId37" w:history="1">
        <w:r w:rsidR="00FE3FA5" w:rsidRPr="009E5AA7">
          <w:rPr>
            <w:b/>
            <w:noProof/>
            <w:color w:val="0000FF" w:themeColor="hyperlink"/>
            <w:u w:val="single"/>
          </w:rPr>
          <w:t>Digital Europe Programme</w:t>
        </w:r>
      </w:hyperlink>
      <w:r w:rsidR="00752DB9">
        <w:rPr>
          <w:noProof/>
        </w:rPr>
        <w:t>, and</w:t>
      </w:r>
      <w:r w:rsidR="00752DB9" w:rsidRPr="00752DB9">
        <w:rPr>
          <w:noProof/>
        </w:rPr>
        <w:t xml:space="preserve"> </w:t>
      </w:r>
      <w:r w:rsidR="00752DB9" w:rsidRPr="00FE3FA5">
        <w:rPr>
          <w:noProof/>
        </w:rPr>
        <w:t xml:space="preserve">the </w:t>
      </w:r>
      <w:hyperlink r:id="rId38" w:history="1">
        <w:r w:rsidR="00752DB9" w:rsidRPr="009E5AA7">
          <w:rPr>
            <w:b/>
            <w:noProof/>
            <w:color w:val="0000FF" w:themeColor="hyperlink"/>
            <w:u w:val="single"/>
          </w:rPr>
          <w:t>Recovery and Resilience Facility</w:t>
        </w:r>
      </w:hyperlink>
      <w:r w:rsidR="00752DB9" w:rsidRPr="00DE025D">
        <w:rPr>
          <w:noProof/>
        </w:rPr>
        <w:t xml:space="preserve"> for eligible reforms and investments in the context of the recovery from the COVID-19 pandemic.</w:t>
      </w:r>
      <w:r w:rsidR="00370811" w:rsidRPr="00370811">
        <w:rPr>
          <w:noProof/>
        </w:rPr>
        <w:t xml:space="preserve"> </w:t>
      </w:r>
      <w:r w:rsidR="00370811">
        <w:rPr>
          <w:noProof/>
        </w:rPr>
        <w:t xml:space="preserve">Technical support is available from </w:t>
      </w:r>
      <w:r w:rsidR="00370811" w:rsidRPr="00FE3FA5">
        <w:rPr>
          <w:noProof/>
        </w:rPr>
        <w:t xml:space="preserve">the </w:t>
      </w:r>
      <w:hyperlink r:id="rId39" w:history="1">
        <w:r w:rsidR="00370811" w:rsidRPr="009E5AA7">
          <w:rPr>
            <w:b/>
            <w:noProof/>
            <w:color w:val="0000FF" w:themeColor="hyperlink"/>
            <w:u w:val="single"/>
          </w:rPr>
          <w:t>Technical Support Instrument</w:t>
        </w:r>
      </w:hyperlink>
      <w:r w:rsidR="00370811" w:rsidRPr="00AA5152">
        <w:rPr>
          <w:noProof/>
        </w:rPr>
        <w:t>.</w:t>
      </w:r>
      <w:r w:rsidR="00370811">
        <w:rPr>
          <w:noProof/>
        </w:rPr>
        <w:t xml:space="preserve"> </w:t>
      </w:r>
      <w:r w:rsidR="00AA0285">
        <w:rPr>
          <w:noProof/>
        </w:rPr>
        <w:t>The Union fund</w:t>
      </w:r>
      <w:r w:rsidR="0009032C">
        <w:rPr>
          <w:noProof/>
        </w:rPr>
        <w:t>s have different investment priorities</w:t>
      </w:r>
      <w:r w:rsidR="00AA0285">
        <w:rPr>
          <w:noProof/>
        </w:rPr>
        <w:t xml:space="preserve">. For example, the European Regional Development Fund </w:t>
      </w:r>
      <w:r w:rsidR="00617DF3">
        <w:rPr>
          <w:noProof/>
        </w:rPr>
        <w:t>has as priority focus</w:t>
      </w:r>
      <w:r w:rsidR="00BC1956">
        <w:rPr>
          <w:noProof/>
        </w:rPr>
        <w:t xml:space="preserve"> </w:t>
      </w:r>
      <w:r w:rsidR="00AA0285" w:rsidRPr="00AA0285">
        <w:rPr>
          <w:noProof/>
        </w:rPr>
        <w:t>supporting non-residential family- and community-based services.</w:t>
      </w:r>
    </w:p>
    <w:p w14:paraId="408943A4" w14:textId="77777777" w:rsidR="00FE3FA5" w:rsidRPr="00FE3FA5" w:rsidRDefault="00FE3FA5" w:rsidP="005F1B23">
      <w:pPr>
        <w:rPr>
          <w:b/>
          <w:smallCaps/>
          <w:noProof/>
        </w:rPr>
      </w:pPr>
      <w:r w:rsidRPr="00FE3FA5">
        <w:rPr>
          <w:b/>
          <w:smallCaps/>
          <w:noProof/>
        </w:rPr>
        <w:t>2.</w:t>
      </w:r>
      <w:r w:rsidRPr="00FE3FA5">
        <w:rPr>
          <w:b/>
          <w:smallCaps/>
          <w:noProof/>
        </w:rPr>
        <w:tab/>
        <w:t>LEGAL BASIS, SUBSIDIARITY AND PROPORTIONALITY</w:t>
      </w:r>
    </w:p>
    <w:p w14:paraId="6CF4B581" w14:textId="77777777" w:rsidR="00FE3FA5" w:rsidRPr="00FE3FA5" w:rsidRDefault="00FE3FA5" w:rsidP="005F1B23">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t>Legal basis</w:t>
      </w:r>
    </w:p>
    <w:p w14:paraId="02E40848" w14:textId="58887319" w:rsidR="00FE3FA5" w:rsidRPr="00FE3FA5" w:rsidRDefault="00FE3FA5" w:rsidP="00FE3FA5">
      <w:pPr>
        <w:rPr>
          <w:noProof/>
          <w:szCs w:val="24"/>
          <w:lang w:eastAsia="de-DE"/>
        </w:rPr>
      </w:pPr>
      <w:r w:rsidRPr="00FE3FA5">
        <w:rPr>
          <w:noProof/>
          <w:szCs w:val="24"/>
          <w:lang w:eastAsia="de-DE"/>
        </w:rPr>
        <w:t xml:space="preserve">The proposal will support the Union's aims </w:t>
      </w:r>
      <w:r w:rsidR="008B2643">
        <w:rPr>
          <w:noProof/>
          <w:szCs w:val="24"/>
          <w:lang w:eastAsia="de-DE"/>
        </w:rPr>
        <w:t>set out</w:t>
      </w:r>
      <w:r w:rsidR="008B2643" w:rsidRPr="00FE3FA5">
        <w:rPr>
          <w:noProof/>
          <w:szCs w:val="24"/>
          <w:lang w:eastAsia="de-DE"/>
        </w:rPr>
        <w:t xml:space="preserve"> </w:t>
      </w:r>
      <w:r w:rsidRPr="00FE3FA5">
        <w:rPr>
          <w:noProof/>
          <w:szCs w:val="24"/>
          <w:lang w:eastAsia="de-DE"/>
        </w:rPr>
        <w:t xml:space="preserve">in Article 3 of the Treaty </w:t>
      </w:r>
      <w:r w:rsidR="00C03B47">
        <w:rPr>
          <w:noProof/>
          <w:szCs w:val="24"/>
          <w:lang w:eastAsia="de-DE"/>
        </w:rPr>
        <w:t>of the Functioning of</w:t>
      </w:r>
      <w:r w:rsidRPr="00FE3FA5">
        <w:rPr>
          <w:noProof/>
          <w:szCs w:val="24"/>
          <w:lang w:eastAsia="de-DE"/>
        </w:rPr>
        <w:t xml:space="preserve"> E</w:t>
      </w:r>
      <w:r w:rsidR="008B2643">
        <w:rPr>
          <w:noProof/>
          <w:szCs w:val="24"/>
          <w:lang w:eastAsia="de-DE"/>
        </w:rPr>
        <w:t xml:space="preserve">uropean </w:t>
      </w:r>
      <w:r w:rsidRPr="00FE3FA5">
        <w:rPr>
          <w:noProof/>
          <w:szCs w:val="24"/>
          <w:lang w:eastAsia="de-DE"/>
        </w:rPr>
        <w:t>U</w:t>
      </w:r>
      <w:r w:rsidR="008B2643">
        <w:rPr>
          <w:noProof/>
          <w:szCs w:val="24"/>
          <w:lang w:eastAsia="de-DE"/>
        </w:rPr>
        <w:t>nion</w:t>
      </w:r>
      <w:r w:rsidRPr="00FE3FA5">
        <w:rPr>
          <w:noProof/>
          <w:szCs w:val="24"/>
          <w:lang w:eastAsia="de-DE"/>
        </w:rPr>
        <w:t xml:space="preserve"> </w:t>
      </w:r>
      <w:r w:rsidR="00C03B47">
        <w:rPr>
          <w:noProof/>
          <w:szCs w:val="24"/>
          <w:lang w:eastAsia="de-DE"/>
        </w:rPr>
        <w:t xml:space="preserve">(TFEU) </w:t>
      </w:r>
      <w:r w:rsidRPr="00FE3FA5">
        <w:rPr>
          <w:noProof/>
          <w:szCs w:val="24"/>
          <w:lang w:eastAsia="de-DE"/>
        </w:rPr>
        <w:t xml:space="preserve">to promote the well-being of its peoples, the sustainable development of Europe aiming at full employment and social progress, </w:t>
      </w:r>
      <w:r w:rsidR="008B2643">
        <w:rPr>
          <w:noProof/>
          <w:szCs w:val="24"/>
          <w:lang w:eastAsia="de-DE"/>
        </w:rPr>
        <w:t>and</w:t>
      </w:r>
      <w:r w:rsidR="008B2643" w:rsidRPr="00FE3FA5">
        <w:rPr>
          <w:noProof/>
          <w:szCs w:val="24"/>
          <w:lang w:eastAsia="de-DE"/>
        </w:rPr>
        <w:t xml:space="preserve"> </w:t>
      </w:r>
      <w:r w:rsidRPr="00FE3FA5">
        <w:rPr>
          <w:noProof/>
          <w:szCs w:val="24"/>
          <w:lang w:eastAsia="de-DE"/>
        </w:rPr>
        <w:t xml:space="preserve">also to promote social justice and protection, equality between women and men and solidarity between generations. Pursuant to Article 9 </w:t>
      </w:r>
      <w:r w:rsidR="00CE2C7B">
        <w:rPr>
          <w:noProof/>
          <w:szCs w:val="24"/>
          <w:lang w:eastAsia="de-DE"/>
        </w:rPr>
        <w:t>TFEU</w:t>
      </w:r>
      <w:r w:rsidRPr="00FE3FA5">
        <w:rPr>
          <w:noProof/>
          <w:szCs w:val="24"/>
          <w:lang w:eastAsia="de-DE"/>
        </w:rPr>
        <w:t xml:space="preserve">, the Union, in defining and implementing its policies and activities, </w:t>
      </w:r>
      <w:r w:rsidR="008B2643">
        <w:rPr>
          <w:noProof/>
          <w:szCs w:val="24"/>
          <w:lang w:eastAsia="de-DE"/>
        </w:rPr>
        <w:t>‘</w:t>
      </w:r>
      <w:r w:rsidRPr="00FE3FA5">
        <w:rPr>
          <w:noProof/>
          <w:szCs w:val="24"/>
          <w:lang w:eastAsia="de-DE"/>
        </w:rPr>
        <w:t>shall take into account requirements linked to the promotion of a high level of employment, the guarantee of adequate social protection, the fight against social exclusion</w:t>
      </w:r>
      <w:r w:rsidR="008B2643">
        <w:rPr>
          <w:noProof/>
          <w:szCs w:val="24"/>
          <w:lang w:eastAsia="de-DE"/>
        </w:rPr>
        <w:t>,</w:t>
      </w:r>
      <w:r w:rsidRPr="00FE3FA5">
        <w:rPr>
          <w:noProof/>
          <w:szCs w:val="24"/>
          <w:lang w:eastAsia="de-DE"/>
        </w:rPr>
        <w:t xml:space="preserve"> and a high level of education, training and protection of human health.</w:t>
      </w:r>
      <w:r w:rsidR="008B2643">
        <w:rPr>
          <w:noProof/>
          <w:szCs w:val="24"/>
          <w:lang w:eastAsia="de-DE"/>
        </w:rPr>
        <w:t>’</w:t>
      </w:r>
    </w:p>
    <w:p w14:paraId="011E73B9" w14:textId="77777777" w:rsidR="00FE3FA5" w:rsidRPr="00FE3FA5" w:rsidRDefault="00FE3FA5" w:rsidP="00FE3FA5">
      <w:pPr>
        <w:rPr>
          <w:noProof/>
          <w:szCs w:val="24"/>
          <w:lang w:eastAsia="de-DE"/>
        </w:rPr>
      </w:pPr>
      <w:r w:rsidRPr="00FE3FA5">
        <w:rPr>
          <w:noProof/>
          <w:szCs w:val="24"/>
          <w:lang w:eastAsia="de-DE"/>
        </w:rPr>
        <w:t xml:space="preserve">The </w:t>
      </w:r>
      <w:r w:rsidR="008B2643">
        <w:rPr>
          <w:noProof/>
          <w:szCs w:val="24"/>
          <w:lang w:eastAsia="de-DE"/>
        </w:rPr>
        <w:t xml:space="preserve">proposed </w:t>
      </w:r>
      <w:r w:rsidRPr="00FE3FA5">
        <w:rPr>
          <w:noProof/>
          <w:szCs w:val="24"/>
          <w:lang w:eastAsia="de-DE"/>
        </w:rPr>
        <w:t xml:space="preserve">Council </w:t>
      </w:r>
      <w:r w:rsidR="008B2643">
        <w:rPr>
          <w:noProof/>
          <w:szCs w:val="24"/>
          <w:lang w:eastAsia="de-DE"/>
        </w:rPr>
        <w:t>r</w:t>
      </w:r>
      <w:r w:rsidRPr="00FE3FA5">
        <w:rPr>
          <w:noProof/>
          <w:szCs w:val="24"/>
          <w:lang w:eastAsia="de-DE"/>
        </w:rPr>
        <w:t xml:space="preserve">ecommendation is based on Article 292 TFEU in combination with Article 153(1)(k) TFEU, which allows the Union to act with regard to </w:t>
      </w:r>
      <w:r w:rsidR="008B2643">
        <w:rPr>
          <w:noProof/>
          <w:szCs w:val="24"/>
          <w:lang w:eastAsia="de-DE"/>
        </w:rPr>
        <w:t>‘</w:t>
      </w:r>
      <w:r w:rsidRPr="00FE3FA5">
        <w:rPr>
          <w:noProof/>
          <w:szCs w:val="24"/>
          <w:lang w:eastAsia="de-DE"/>
        </w:rPr>
        <w:t>the modernisation of social protection systems</w:t>
      </w:r>
      <w:r w:rsidR="008B2643">
        <w:rPr>
          <w:noProof/>
          <w:szCs w:val="24"/>
          <w:lang w:eastAsia="de-DE"/>
        </w:rPr>
        <w:t>’</w:t>
      </w:r>
      <w:r w:rsidRPr="00FE3FA5">
        <w:rPr>
          <w:noProof/>
          <w:szCs w:val="24"/>
          <w:lang w:eastAsia="de-DE"/>
        </w:rPr>
        <w:t>. In this field, the Union can only adopt measures designed to encourage cooperation between Member States.</w:t>
      </w:r>
    </w:p>
    <w:p w14:paraId="084A3137" w14:textId="639D9BF6" w:rsidR="00BC67C7" w:rsidRDefault="008B2643" w:rsidP="00BC67C7">
      <w:pPr>
        <w:rPr>
          <w:noProof/>
        </w:rPr>
      </w:pPr>
      <w:r>
        <w:rPr>
          <w:noProof/>
        </w:rPr>
        <w:t>‘</w:t>
      </w:r>
      <w:r w:rsidR="00682B0D">
        <w:rPr>
          <w:noProof/>
        </w:rPr>
        <w:t>Modernisation</w:t>
      </w:r>
      <w:r>
        <w:rPr>
          <w:noProof/>
        </w:rPr>
        <w:t>’</w:t>
      </w:r>
      <w:r w:rsidR="00BC67C7">
        <w:rPr>
          <w:noProof/>
        </w:rPr>
        <w:t xml:space="preserve"> </w:t>
      </w:r>
      <w:r w:rsidR="00E84E0C">
        <w:rPr>
          <w:noProof/>
        </w:rPr>
        <w:t>i</w:t>
      </w:r>
      <w:r w:rsidR="00BC67C7">
        <w:rPr>
          <w:noProof/>
        </w:rPr>
        <w:t xml:space="preserve">s </w:t>
      </w:r>
      <w:r w:rsidR="00682B0D">
        <w:rPr>
          <w:noProof/>
        </w:rPr>
        <w:t xml:space="preserve">commonly understood to refer to </w:t>
      </w:r>
      <w:r w:rsidR="00BC67C7">
        <w:rPr>
          <w:noProof/>
        </w:rPr>
        <w:t xml:space="preserve">the process of adjusting something to updated needs or habits or to recent techniques, methods, or ideas. Recent examples of </w:t>
      </w:r>
      <w:r w:rsidR="00762175">
        <w:rPr>
          <w:noProof/>
        </w:rPr>
        <w:t>E</w:t>
      </w:r>
      <w:r w:rsidR="00BC67C7">
        <w:rPr>
          <w:noProof/>
        </w:rPr>
        <w:t xml:space="preserve">U acts explicitly claiming to aim at modernisation appear </w:t>
      </w:r>
      <w:r>
        <w:rPr>
          <w:noProof/>
        </w:rPr>
        <w:t xml:space="preserve">also </w:t>
      </w:r>
      <w:r w:rsidR="00BC67C7">
        <w:rPr>
          <w:noProof/>
        </w:rPr>
        <w:t xml:space="preserve">to </w:t>
      </w:r>
      <w:r w:rsidR="00682B0D">
        <w:rPr>
          <w:noProof/>
        </w:rPr>
        <w:t>understand the concept in this way</w:t>
      </w:r>
      <w:r w:rsidR="00BC67C7">
        <w:rPr>
          <w:rStyle w:val="FootnoteReference"/>
          <w:noProof/>
        </w:rPr>
        <w:footnoteReference w:id="22"/>
      </w:r>
      <w:r w:rsidR="00BC67C7">
        <w:rPr>
          <w:noProof/>
        </w:rPr>
        <w:t xml:space="preserve">. The proposed </w:t>
      </w:r>
      <w:r>
        <w:rPr>
          <w:noProof/>
        </w:rPr>
        <w:t>r</w:t>
      </w:r>
      <w:r w:rsidR="00BC67C7">
        <w:rPr>
          <w:noProof/>
        </w:rPr>
        <w:t xml:space="preserve">ecommendation will promote </w:t>
      </w:r>
      <w:r w:rsidR="007E7864">
        <w:rPr>
          <w:noProof/>
        </w:rPr>
        <w:t xml:space="preserve">the modernisation </w:t>
      </w:r>
      <w:r w:rsidR="00BC67C7">
        <w:rPr>
          <w:noProof/>
        </w:rPr>
        <w:t>of social protection systems</w:t>
      </w:r>
      <w:r w:rsidR="00715CDF">
        <w:rPr>
          <w:noProof/>
        </w:rPr>
        <w:t xml:space="preserve"> </w:t>
      </w:r>
      <w:r w:rsidR="00BC67C7">
        <w:rPr>
          <w:noProof/>
        </w:rPr>
        <w:t xml:space="preserve">by using innovative approaches and actions to improve coverage, adequacy and quality of </w:t>
      </w:r>
      <w:r w:rsidR="00B56D5E">
        <w:rPr>
          <w:noProof/>
        </w:rPr>
        <w:t>long-term care</w:t>
      </w:r>
      <w:r w:rsidR="00BC67C7">
        <w:rPr>
          <w:noProof/>
        </w:rPr>
        <w:t xml:space="preserve"> in order to face the needs in a rapidly ageing society</w:t>
      </w:r>
      <w:r w:rsidR="00682B0D">
        <w:rPr>
          <w:noProof/>
        </w:rPr>
        <w:t xml:space="preserve">, </w:t>
      </w:r>
      <w:r w:rsidR="00682B0D" w:rsidRPr="00682B0D">
        <w:rPr>
          <w:noProof/>
        </w:rPr>
        <w:t>while taking into account budgetary constraints</w:t>
      </w:r>
      <w:r w:rsidR="00A7221E">
        <w:rPr>
          <w:noProof/>
        </w:rPr>
        <w:t xml:space="preserve"> </w:t>
      </w:r>
      <w:r w:rsidR="00A7221E">
        <w:rPr>
          <w:rFonts w:eastAsia="Calibri"/>
          <w:noProof/>
          <w:szCs w:val="24"/>
        </w:rPr>
        <w:t>and ensuring the overall sustainability of public finances</w:t>
      </w:r>
      <w:r w:rsidR="00BC67C7">
        <w:rPr>
          <w:noProof/>
        </w:rPr>
        <w:t>.</w:t>
      </w:r>
    </w:p>
    <w:p w14:paraId="214ECD83" w14:textId="77777777" w:rsidR="00FE3FA5" w:rsidRDefault="00FE3FA5" w:rsidP="005F1B23">
      <w:pPr>
        <w:rPr>
          <w:rFonts w:eastAsia="Times New Roman"/>
          <w:noProof/>
          <w:szCs w:val="20"/>
        </w:rPr>
      </w:pPr>
      <w:r w:rsidRPr="00FE3FA5">
        <w:rPr>
          <w:rFonts w:eastAsia="Times New Roman"/>
          <w:noProof/>
          <w:szCs w:val="20"/>
        </w:rPr>
        <w:t xml:space="preserve">The proposal focuses on social protection for </w:t>
      </w:r>
      <w:r w:rsidR="00B56D5E">
        <w:rPr>
          <w:rFonts w:eastAsia="Times New Roman"/>
          <w:noProof/>
          <w:szCs w:val="20"/>
        </w:rPr>
        <w:t>long-term care</w:t>
      </w:r>
      <w:r w:rsidRPr="00FE3FA5">
        <w:rPr>
          <w:rFonts w:eastAsia="Times New Roman"/>
          <w:noProof/>
          <w:szCs w:val="20"/>
        </w:rPr>
        <w:t xml:space="preserve"> for all </w:t>
      </w:r>
      <w:r w:rsidR="008B2643" w:rsidRPr="00FE3FA5">
        <w:rPr>
          <w:rFonts w:eastAsia="Times New Roman"/>
          <w:noProof/>
          <w:szCs w:val="20"/>
        </w:rPr>
        <w:t xml:space="preserve">population </w:t>
      </w:r>
      <w:r w:rsidRPr="00FE3FA5">
        <w:rPr>
          <w:rFonts w:eastAsia="Times New Roman"/>
          <w:noProof/>
          <w:szCs w:val="20"/>
        </w:rPr>
        <w:t xml:space="preserve">groups, irrespective of their current or former employment status and their presence or not on the labour market. Furthermore, the proposal also addresses the key enabling conditions for the effective functioning of social protection for </w:t>
      </w:r>
      <w:r w:rsidR="00B56D5E">
        <w:rPr>
          <w:rFonts w:eastAsia="Times New Roman"/>
          <w:noProof/>
          <w:szCs w:val="20"/>
        </w:rPr>
        <w:t>long-term care</w:t>
      </w:r>
      <w:r w:rsidRPr="00FE3FA5">
        <w:rPr>
          <w:rFonts w:eastAsia="Times New Roman"/>
          <w:noProof/>
          <w:szCs w:val="20"/>
        </w:rPr>
        <w:t xml:space="preserve">, including services, </w:t>
      </w:r>
      <w:r w:rsidR="007C7773">
        <w:rPr>
          <w:rFonts w:eastAsia="Times New Roman"/>
          <w:noProof/>
          <w:szCs w:val="20"/>
        </w:rPr>
        <w:t>the</w:t>
      </w:r>
      <w:r w:rsidRPr="00FE3FA5">
        <w:rPr>
          <w:rFonts w:eastAsia="Times New Roman"/>
          <w:noProof/>
          <w:szCs w:val="20"/>
        </w:rPr>
        <w:t xml:space="preserve"> workforce and policy governance.</w:t>
      </w:r>
    </w:p>
    <w:p w14:paraId="672EECB1" w14:textId="77777777" w:rsidR="00FE3FA5" w:rsidRPr="00FE3FA5" w:rsidRDefault="00FE3FA5" w:rsidP="005F1B23">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t>Subsidiarity (for non-exclusive competence)</w:t>
      </w:r>
    </w:p>
    <w:p w14:paraId="0E3B2702" w14:textId="77777777" w:rsidR="00FE3FA5" w:rsidRPr="00FE3FA5" w:rsidRDefault="00FE3FA5" w:rsidP="005F1B23">
      <w:pPr>
        <w:rPr>
          <w:rFonts w:eastAsia="Arial Unicode MS"/>
          <w:noProof/>
        </w:rPr>
      </w:pPr>
      <w:r w:rsidRPr="00FE3FA5">
        <w:rPr>
          <w:rFonts w:eastAsia="Arial Unicode MS"/>
          <w:noProof/>
        </w:rPr>
        <w:t>While long-term care falls under the responsibility of Member States, the Union has the competence to support and complement their actions. The proposal ensures the added</w:t>
      </w:r>
      <w:r w:rsidR="00762175">
        <w:rPr>
          <w:rFonts w:eastAsia="Arial Unicode MS"/>
          <w:noProof/>
        </w:rPr>
        <w:t xml:space="preserve"> </w:t>
      </w:r>
      <w:r w:rsidRPr="00FE3FA5">
        <w:rPr>
          <w:rFonts w:eastAsia="Arial Unicode MS"/>
          <w:noProof/>
        </w:rPr>
        <w:t>value of action at EU level. It will uphold a political commitment to ensure access to affordable</w:t>
      </w:r>
      <w:r w:rsidR="00DB2F4B">
        <w:rPr>
          <w:rFonts w:eastAsia="Arial Unicode MS"/>
          <w:noProof/>
        </w:rPr>
        <w:t>,</w:t>
      </w:r>
      <w:r w:rsidRPr="00FE3FA5">
        <w:rPr>
          <w:rFonts w:eastAsia="Arial Unicode MS"/>
          <w:noProof/>
        </w:rPr>
        <w:t xml:space="preserve"> high-quality</w:t>
      </w:r>
      <w:r w:rsidR="00DB2F4B">
        <w:rPr>
          <w:rFonts w:eastAsia="Arial Unicode MS"/>
          <w:noProof/>
        </w:rPr>
        <w:t>,</w:t>
      </w:r>
      <w:r w:rsidRPr="00FE3FA5">
        <w:rPr>
          <w:rFonts w:eastAsia="Arial Unicode MS"/>
          <w:noProof/>
        </w:rPr>
        <w:t xml:space="preserve"> long-term care </w:t>
      </w:r>
      <w:r w:rsidR="00DB2F4B">
        <w:rPr>
          <w:rFonts w:eastAsia="Arial Unicode MS"/>
          <w:noProof/>
        </w:rPr>
        <w:t>set out</w:t>
      </w:r>
      <w:r w:rsidR="00DB2F4B" w:rsidRPr="00FE3FA5">
        <w:rPr>
          <w:rFonts w:eastAsia="Arial Unicode MS"/>
          <w:noProof/>
        </w:rPr>
        <w:t xml:space="preserve"> </w:t>
      </w:r>
      <w:r w:rsidRPr="00FE3FA5">
        <w:rPr>
          <w:rFonts w:eastAsia="Arial Unicode MS"/>
          <w:noProof/>
        </w:rPr>
        <w:t xml:space="preserve">in the </w:t>
      </w:r>
      <w:hyperlink r:id="rId40" w:history="1">
        <w:r w:rsidRPr="00FE3FA5">
          <w:rPr>
            <w:rFonts w:eastAsia="Arial Unicode MS"/>
            <w:noProof/>
            <w:color w:val="0000FF" w:themeColor="hyperlink"/>
            <w:u w:val="single"/>
          </w:rPr>
          <w:t>European Pillar of Social Rights</w:t>
        </w:r>
      </w:hyperlink>
      <w:r w:rsidRPr="00FE3FA5">
        <w:rPr>
          <w:rFonts w:eastAsia="Arial Unicode MS"/>
          <w:noProof/>
        </w:rPr>
        <w:t>.</w:t>
      </w:r>
    </w:p>
    <w:p w14:paraId="0E543000" w14:textId="77777777" w:rsidR="00FE3FA5" w:rsidRPr="00FE3FA5" w:rsidRDefault="00FE3FA5" w:rsidP="005F1B23">
      <w:pPr>
        <w:rPr>
          <w:rFonts w:eastAsia="Arial Unicode MS"/>
          <w:noProof/>
          <w:highlight w:val="yellow"/>
        </w:rPr>
      </w:pPr>
      <w:r w:rsidRPr="00FE3FA5">
        <w:rPr>
          <w:rFonts w:eastAsia="Arial Unicode MS"/>
          <w:noProof/>
        </w:rPr>
        <w:t>The COVID-19 pandemic especially highlighted the need for a dedicated EU</w:t>
      </w:r>
      <w:r w:rsidR="00DB2F4B">
        <w:rPr>
          <w:rFonts w:eastAsia="Arial Unicode MS"/>
          <w:noProof/>
        </w:rPr>
        <w:t>-</w:t>
      </w:r>
      <w:r w:rsidRPr="00FE3FA5">
        <w:rPr>
          <w:rFonts w:eastAsia="Arial Unicode MS"/>
          <w:noProof/>
        </w:rPr>
        <w:t xml:space="preserve">level instrument to support Member States in addressing the structural challenges of their long-term care systems. The </w:t>
      </w:r>
      <w:r w:rsidR="00DB2F4B">
        <w:rPr>
          <w:rFonts w:eastAsia="Arial Unicode MS"/>
          <w:noProof/>
        </w:rPr>
        <w:t>r</w:t>
      </w:r>
      <w:r w:rsidRPr="00FE3FA5">
        <w:rPr>
          <w:rFonts w:eastAsia="Arial Unicode MS"/>
          <w:noProof/>
        </w:rPr>
        <w:t xml:space="preserve">ecommendation will provide guidance and set key principles for improving national long-term care systems, which will also help to better target the significant EU funding and </w:t>
      </w:r>
      <w:r w:rsidR="00DB2F4B">
        <w:rPr>
          <w:rFonts w:eastAsia="Arial Unicode MS"/>
          <w:noProof/>
        </w:rPr>
        <w:t>improve</w:t>
      </w:r>
      <w:r w:rsidR="00DB2F4B" w:rsidRPr="00FE3FA5">
        <w:rPr>
          <w:rFonts w:eastAsia="Arial Unicode MS"/>
          <w:noProof/>
        </w:rPr>
        <w:t xml:space="preserve"> </w:t>
      </w:r>
      <w:r w:rsidRPr="00FE3FA5">
        <w:rPr>
          <w:rFonts w:eastAsia="Arial Unicode MS"/>
          <w:noProof/>
        </w:rPr>
        <w:t>the quality of investments. Progress in this area across the EU will help to ensure that, no matter where one lives in the EU, one has access to affordable</w:t>
      </w:r>
      <w:r w:rsidR="00DB2F4B">
        <w:rPr>
          <w:rFonts w:eastAsia="Arial Unicode MS"/>
          <w:noProof/>
        </w:rPr>
        <w:t>,</w:t>
      </w:r>
      <w:r w:rsidRPr="00FE3FA5">
        <w:rPr>
          <w:rFonts w:eastAsia="Arial Unicode MS"/>
          <w:noProof/>
        </w:rPr>
        <w:t xml:space="preserve"> high</w:t>
      </w:r>
      <w:r w:rsidR="00DB2F4B">
        <w:rPr>
          <w:rFonts w:eastAsia="Arial Unicode MS"/>
          <w:noProof/>
        </w:rPr>
        <w:t>-</w:t>
      </w:r>
      <w:r w:rsidRPr="00FE3FA5">
        <w:rPr>
          <w:rFonts w:eastAsia="Arial Unicode MS"/>
          <w:noProof/>
        </w:rPr>
        <w:t>quality</w:t>
      </w:r>
      <w:r w:rsidR="00DB2F4B">
        <w:rPr>
          <w:rFonts w:eastAsia="Arial Unicode MS"/>
          <w:noProof/>
        </w:rPr>
        <w:t>,</w:t>
      </w:r>
      <w:r w:rsidRPr="00FE3FA5">
        <w:rPr>
          <w:rFonts w:eastAsia="Arial Unicode MS"/>
          <w:noProof/>
        </w:rPr>
        <w:t xml:space="preserve"> long-term care. It will also contribute to enhancing upward convergence </w:t>
      </w:r>
      <w:r w:rsidR="00DB2F4B">
        <w:rPr>
          <w:rFonts w:eastAsia="Arial Unicode MS"/>
          <w:noProof/>
        </w:rPr>
        <w:t>for</w:t>
      </w:r>
      <w:r w:rsidR="00DB2F4B" w:rsidRPr="00FE3FA5">
        <w:rPr>
          <w:rFonts w:eastAsia="Arial Unicode MS"/>
          <w:noProof/>
        </w:rPr>
        <w:t xml:space="preserve"> </w:t>
      </w:r>
      <w:r w:rsidRPr="00FE3FA5">
        <w:rPr>
          <w:rFonts w:eastAsia="Arial Unicode MS"/>
          <w:noProof/>
        </w:rPr>
        <w:t>robust social protection systems and</w:t>
      </w:r>
      <w:r w:rsidR="00DB2F4B">
        <w:rPr>
          <w:rFonts w:eastAsia="Arial Unicode MS"/>
          <w:noProof/>
        </w:rPr>
        <w:t xml:space="preserve"> for</w:t>
      </w:r>
      <w:r w:rsidRPr="00FE3FA5">
        <w:rPr>
          <w:rFonts w:eastAsia="Arial Unicode MS"/>
          <w:noProof/>
        </w:rPr>
        <w:t xml:space="preserve"> </w:t>
      </w:r>
      <w:r w:rsidR="00DB2F4B" w:rsidRPr="00FE3FA5">
        <w:rPr>
          <w:rFonts w:eastAsia="Arial Unicode MS"/>
          <w:noProof/>
        </w:rPr>
        <w:t xml:space="preserve">formal long-term care </w:t>
      </w:r>
      <w:r w:rsidR="00DB2F4B">
        <w:rPr>
          <w:rFonts w:eastAsia="Arial Unicode MS"/>
          <w:noProof/>
        </w:rPr>
        <w:t xml:space="preserve">that </w:t>
      </w:r>
      <w:r w:rsidR="00BC1956">
        <w:rPr>
          <w:rFonts w:eastAsia="Arial Unicode MS"/>
          <w:noProof/>
        </w:rPr>
        <w:t xml:space="preserve">is </w:t>
      </w:r>
      <w:r w:rsidRPr="00FE3FA5">
        <w:rPr>
          <w:rFonts w:eastAsia="Arial Unicode MS"/>
          <w:noProof/>
        </w:rPr>
        <w:t xml:space="preserve">accessible, affordable and </w:t>
      </w:r>
      <w:r w:rsidR="00DB2F4B">
        <w:rPr>
          <w:rFonts w:eastAsia="Arial Unicode MS"/>
          <w:noProof/>
        </w:rPr>
        <w:t xml:space="preserve">of </w:t>
      </w:r>
      <w:r w:rsidRPr="00FE3FA5">
        <w:rPr>
          <w:rFonts w:eastAsia="Arial Unicode MS"/>
          <w:noProof/>
        </w:rPr>
        <w:t>quality. It will contribute to upholding the key values of safeguarding human rights, reducing inequalities</w:t>
      </w:r>
      <w:r w:rsidR="0035709D">
        <w:rPr>
          <w:rFonts w:eastAsia="Arial Unicode MS"/>
          <w:noProof/>
        </w:rPr>
        <w:t>,</w:t>
      </w:r>
      <w:r w:rsidRPr="00FE3FA5">
        <w:rPr>
          <w:rFonts w:eastAsia="Arial Unicode MS"/>
          <w:noProof/>
        </w:rPr>
        <w:t xml:space="preserve"> and strengthening social cohesion.</w:t>
      </w:r>
    </w:p>
    <w:p w14:paraId="4EC23349" w14:textId="77777777" w:rsidR="00FE3FA5" w:rsidRPr="00FE3FA5" w:rsidRDefault="00FE3FA5" w:rsidP="005F1B23">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t>Proportionality</w:t>
      </w:r>
    </w:p>
    <w:p w14:paraId="0B3655B5" w14:textId="77777777" w:rsidR="00FE3FA5" w:rsidRPr="00FE3FA5" w:rsidRDefault="00FE3FA5" w:rsidP="005F1B23">
      <w:pPr>
        <w:rPr>
          <w:rFonts w:eastAsia="Arial Unicode MS"/>
          <w:noProof/>
        </w:rPr>
      </w:pPr>
      <w:r w:rsidRPr="00FE3FA5">
        <w:rPr>
          <w:noProof/>
        </w:rPr>
        <w:t xml:space="preserve">The proposal complements Member State efforts </w:t>
      </w:r>
      <w:r w:rsidR="0035709D">
        <w:rPr>
          <w:noProof/>
        </w:rPr>
        <w:t>on</w:t>
      </w:r>
      <w:r w:rsidRPr="00FE3FA5">
        <w:rPr>
          <w:noProof/>
        </w:rPr>
        <w:t xml:space="preserve"> long-term care. It respects Member State practices and the diversity of systems. It recognises that different national, regional or local situations could lead to differences in how the </w:t>
      </w:r>
      <w:r w:rsidR="00177111">
        <w:rPr>
          <w:noProof/>
        </w:rPr>
        <w:t>r</w:t>
      </w:r>
      <w:r w:rsidRPr="00FE3FA5">
        <w:rPr>
          <w:noProof/>
        </w:rPr>
        <w:t xml:space="preserve">ecommendation is implemented. The proposal does not propose any extension of EU regulatory power or binding commitments on Member States. Member States will decide, according to their national circumstances, how they can make best use of the Council </w:t>
      </w:r>
      <w:r w:rsidR="00177111">
        <w:rPr>
          <w:noProof/>
        </w:rPr>
        <w:t>r</w:t>
      </w:r>
      <w:r w:rsidRPr="00FE3FA5">
        <w:rPr>
          <w:noProof/>
        </w:rPr>
        <w:t>ecommendation. Proportionality also played a key role in guiding the choice of the instrument.</w:t>
      </w:r>
    </w:p>
    <w:p w14:paraId="3E82C098" w14:textId="77777777" w:rsidR="00FE3FA5" w:rsidRPr="00FE3FA5" w:rsidRDefault="00FE3FA5" w:rsidP="005F1B23">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t>Choice of the instrument</w:t>
      </w:r>
    </w:p>
    <w:p w14:paraId="392357C4" w14:textId="16491E03" w:rsidR="00FE3FA5" w:rsidRPr="00FE3FA5" w:rsidRDefault="00FE3FA5" w:rsidP="005F1B23">
      <w:pPr>
        <w:rPr>
          <w:rFonts w:eastAsia="Arial Unicode MS"/>
          <w:noProof/>
        </w:rPr>
      </w:pPr>
      <w:r w:rsidRPr="00FE3FA5">
        <w:rPr>
          <w:rFonts w:eastAsia="Arial Unicode MS"/>
          <w:noProof/>
        </w:rPr>
        <w:t xml:space="preserve">The instrument is a proposal for a Council recommendation, which abides by the principles of subsidiarity and proportionality. It builds on the existing body of </w:t>
      </w:r>
      <w:r w:rsidR="009E6E7F">
        <w:rPr>
          <w:rFonts w:eastAsia="Arial Unicode MS"/>
          <w:noProof/>
        </w:rPr>
        <w:t>the</w:t>
      </w:r>
      <w:r w:rsidR="009E6E7F" w:rsidRPr="00FE3FA5">
        <w:rPr>
          <w:rFonts w:eastAsia="Arial Unicode MS"/>
          <w:noProof/>
        </w:rPr>
        <w:t xml:space="preserve"> </w:t>
      </w:r>
      <w:r w:rsidRPr="00FE3FA5">
        <w:rPr>
          <w:rFonts w:eastAsia="Arial Unicode MS"/>
          <w:noProof/>
        </w:rPr>
        <w:t xml:space="preserve">Union law and </w:t>
      </w:r>
      <w:r w:rsidR="009E6E7F">
        <w:rPr>
          <w:rFonts w:eastAsia="Arial Unicode MS"/>
          <w:noProof/>
        </w:rPr>
        <w:t>conforms</w:t>
      </w:r>
      <w:r w:rsidRPr="00FE3FA5">
        <w:rPr>
          <w:rFonts w:eastAsia="Arial Unicode MS"/>
          <w:noProof/>
        </w:rPr>
        <w:t xml:space="preserve"> with the type of instruments available for EU actions in the area of social policy. As a legal instrument, the proposal </w:t>
      </w:r>
      <w:r w:rsidR="007E7864">
        <w:rPr>
          <w:rFonts w:eastAsia="Arial Unicode MS"/>
          <w:noProof/>
        </w:rPr>
        <w:t xml:space="preserve">for a Council recommendation </w:t>
      </w:r>
      <w:r w:rsidRPr="00FE3FA5">
        <w:rPr>
          <w:rFonts w:eastAsia="Arial Unicode MS"/>
          <w:noProof/>
        </w:rPr>
        <w:t xml:space="preserve">signals the </w:t>
      </w:r>
      <w:r w:rsidR="00177111" w:rsidRPr="00FE3FA5">
        <w:rPr>
          <w:rFonts w:eastAsia="Arial Unicode MS"/>
          <w:noProof/>
        </w:rPr>
        <w:t xml:space="preserve">commitment </w:t>
      </w:r>
      <w:r w:rsidR="00177111">
        <w:rPr>
          <w:rFonts w:eastAsia="Arial Unicode MS"/>
          <w:noProof/>
        </w:rPr>
        <w:t xml:space="preserve">of </w:t>
      </w:r>
      <w:r w:rsidRPr="00FE3FA5">
        <w:rPr>
          <w:rFonts w:eastAsia="Arial Unicode MS"/>
          <w:noProof/>
        </w:rPr>
        <w:t xml:space="preserve">Member States to the measures laid down in this </w:t>
      </w:r>
      <w:r w:rsidR="00177111">
        <w:rPr>
          <w:rFonts w:eastAsia="Arial Unicode MS"/>
          <w:noProof/>
        </w:rPr>
        <w:t>r</w:t>
      </w:r>
      <w:r w:rsidRPr="00FE3FA5">
        <w:rPr>
          <w:rFonts w:eastAsia="Arial Unicode MS"/>
          <w:noProof/>
        </w:rPr>
        <w:t xml:space="preserve">ecommendation and provides a strong political basis for cooperation at </w:t>
      </w:r>
      <w:r w:rsidR="009E6E7F">
        <w:rPr>
          <w:rFonts w:eastAsia="Arial Unicode MS"/>
          <w:noProof/>
        </w:rPr>
        <w:t>Union</w:t>
      </w:r>
      <w:r w:rsidR="009E6E7F" w:rsidRPr="00FE3FA5">
        <w:rPr>
          <w:rFonts w:eastAsia="Arial Unicode MS"/>
          <w:noProof/>
        </w:rPr>
        <w:t xml:space="preserve"> </w:t>
      </w:r>
      <w:r w:rsidRPr="00FE3FA5">
        <w:rPr>
          <w:rFonts w:eastAsia="Arial Unicode MS"/>
          <w:noProof/>
        </w:rPr>
        <w:t xml:space="preserve">level in </w:t>
      </w:r>
      <w:r w:rsidR="009E6E7F">
        <w:rPr>
          <w:rFonts w:eastAsia="Arial Unicode MS"/>
          <w:noProof/>
        </w:rPr>
        <w:t>long-term care</w:t>
      </w:r>
      <w:r w:rsidRPr="00FE3FA5">
        <w:rPr>
          <w:rFonts w:eastAsia="Arial Unicode MS"/>
          <w:noProof/>
        </w:rPr>
        <w:t>, while fully respecting the remit of Member States.</w:t>
      </w:r>
    </w:p>
    <w:p w14:paraId="1BEADE29" w14:textId="77777777" w:rsidR="00FE3FA5" w:rsidRPr="00FE3FA5" w:rsidRDefault="00FE3FA5" w:rsidP="005F1B23">
      <w:pPr>
        <w:rPr>
          <w:b/>
          <w:smallCaps/>
          <w:noProof/>
        </w:rPr>
      </w:pPr>
      <w:r w:rsidRPr="00FE3FA5">
        <w:rPr>
          <w:b/>
          <w:smallCaps/>
          <w:noProof/>
        </w:rPr>
        <w:t>3.</w:t>
      </w:r>
      <w:r w:rsidRPr="00FE3FA5">
        <w:rPr>
          <w:b/>
          <w:smallCaps/>
          <w:noProof/>
        </w:rPr>
        <w:tab/>
        <w:t xml:space="preserve">RESULTS OF </w:t>
      </w:r>
      <w:r w:rsidRPr="00DD3530">
        <w:rPr>
          <w:b/>
          <w:i/>
          <w:iCs/>
          <w:smallCaps/>
          <w:noProof/>
        </w:rPr>
        <w:t>EX</w:t>
      </w:r>
      <w:r w:rsidR="00177111" w:rsidRPr="00DD3530">
        <w:rPr>
          <w:b/>
          <w:i/>
          <w:iCs/>
          <w:smallCaps/>
          <w:noProof/>
        </w:rPr>
        <w:t xml:space="preserve"> </w:t>
      </w:r>
      <w:r w:rsidRPr="00DD3530">
        <w:rPr>
          <w:b/>
          <w:i/>
          <w:iCs/>
          <w:smallCaps/>
          <w:noProof/>
        </w:rPr>
        <w:t>POST</w:t>
      </w:r>
      <w:r w:rsidRPr="00FE3FA5">
        <w:rPr>
          <w:b/>
          <w:smallCaps/>
          <w:noProof/>
        </w:rPr>
        <w:t xml:space="preserve"> EVALUATIONS, STAKEHOLDER CONSULTATIONS AND IMPACT ASSESSMENTS</w:t>
      </w:r>
    </w:p>
    <w:p w14:paraId="1C598A36" w14:textId="77777777" w:rsidR="00FE3FA5" w:rsidRPr="00FE3FA5" w:rsidRDefault="00FE3FA5" w:rsidP="005F1B23">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r>
      <w:r w:rsidRPr="00DD3530">
        <w:rPr>
          <w:rFonts w:eastAsia="Arial Unicode MS"/>
          <w:b/>
          <w:i/>
          <w:iCs/>
          <w:noProof/>
          <w:u w:color="000000"/>
          <w:bdr w:val="nil"/>
          <w:lang w:val="en-US" w:eastAsia="en-GB"/>
        </w:rPr>
        <w:t>Ex</w:t>
      </w:r>
      <w:r w:rsidR="00177111" w:rsidRPr="00DD3530">
        <w:rPr>
          <w:rFonts w:eastAsia="Arial Unicode MS"/>
          <w:b/>
          <w:i/>
          <w:iCs/>
          <w:noProof/>
          <w:u w:color="000000"/>
          <w:bdr w:val="nil"/>
          <w:lang w:val="en-US" w:eastAsia="en-GB"/>
        </w:rPr>
        <w:t xml:space="preserve"> </w:t>
      </w:r>
      <w:r w:rsidRPr="00DD3530">
        <w:rPr>
          <w:rFonts w:eastAsia="Arial Unicode MS"/>
          <w:b/>
          <w:i/>
          <w:iCs/>
          <w:noProof/>
          <w:u w:color="000000"/>
          <w:bdr w:val="nil"/>
          <w:lang w:val="en-US" w:eastAsia="en-GB"/>
        </w:rPr>
        <w:t>post</w:t>
      </w:r>
      <w:r w:rsidRPr="00FE3FA5">
        <w:rPr>
          <w:rFonts w:eastAsia="Arial Unicode MS"/>
          <w:b/>
          <w:noProof/>
          <w:u w:color="000000"/>
          <w:bdr w:val="nil"/>
          <w:lang w:val="en-US" w:eastAsia="en-GB"/>
        </w:rPr>
        <w:t xml:space="preserve"> evaluations/fitness checks of existing legislation</w:t>
      </w:r>
    </w:p>
    <w:p w14:paraId="3217FFC0" w14:textId="77777777" w:rsidR="00FE3FA5" w:rsidRPr="00FE3FA5" w:rsidRDefault="00FE3FA5" w:rsidP="005F1B23">
      <w:pPr>
        <w:rPr>
          <w:rFonts w:eastAsia="Arial Unicode MS"/>
          <w:noProof/>
        </w:rPr>
      </w:pPr>
      <w:r w:rsidRPr="00FE3FA5">
        <w:rPr>
          <w:noProof/>
        </w:rPr>
        <w:t>Not applicable</w:t>
      </w:r>
      <w:r w:rsidR="00177111">
        <w:rPr>
          <w:noProof/>
        </w:rPr>
        <w:t>.</w:t>
      </w:r>
    </w:p>
    <w:p w14:paraId="5DBB4330" w14:textId="77777777" w:rsidR="00FE3FA5" w:rsidRPr="00FE3FA5" w:rsidRDefault="00FE3FA5" w:rsidP="0044325E">
      <w:pPr>
        <w:keepNext/>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t>Stakeholder consultations</w:t>
      </w:r>
    </w:p>
    <w:p w14:paraId="740D6B7D" w14:textId="77777777" w:rsidR="00FE3FA5" w:rsidRPr="00FE3FA5" w:rsidRDefault="00FE3FA5" w:rsidP="005F1B23">
      <w:pPr>
        <w:rPr>
          <w:rFonts w:eastAsia="Arial Unicode MS"/>
          <w:noProof/>
        </w:rPr>
      </w:pPr>
      <w:r w:rsidRPr="00FE3FA5">
        <w:rPr>
          <w:rFonts w:eastAsia="Arial Unicode MS"/>
          <w:noProof/>
        </w:rPr>
        <w:t xml:space="preserve">The </w:t>
      </w:r>
      <w:r w:rsidR="005C3418">
        <w:rPr>
          <w:rFonts w:eastAsia="Arial Unicode MS"/>
          <w:b/>
          <w:noProof/>
        </w:rPr>
        <w:t>c</w:t>
      </w:r>
      <w:r w:rsidRPr="00620D3D">
        <w:rPr>
          <w:rFonts w:eastAsia="Arial Unicode MS"/>
          <w:b/>
          <w:noProof/>
        </w:rPr>
        <w:t xml:space="preserve">all for </w:t>
      </w:r>
      <w:r w:rsidR="005C3418">
        <w:rPr>
          <w:rFonts w:eastAsia="Arial Unicode MS"/>
          <w:b/>
          <w:noProof/>
        </w:rPr>
        <w:t>e</w:t>
      </w:r>
      <w:r w:rsidRPr="00620D3D">
        <w:rPr>
          <w:rFonts w:eastAsia="Arial Unicode MS"/>
          <w:b/>
          <w:noProof/>
        </w:rPr>
        <w:t>vidence</w:t>
      </w:r>
      <w:r w:rsidRPr="00FE3FA5">
        <w:rPr>
          <w:rFonts w:eastAsia="Arial Unicode MS"/>
          <w:noProof/>
        </w:rPr>
        <w:t xml:space="preserve"> on the European </w:t>
      </w:r>
      <w:r w:rsidR="005C3418">
        <w:rPr>
          <w:rFonts w:eastAsia="Arial Unicode MS"/>
          <w:noProof/>
        </w:rPr>
        <w:t>c</w:t>
      </w:r>
      <w:r w:rsidRPr="00FE3FA5">
        <w:rPr>
          <w:rFonts w:eastAsia="Arial Unicode MS"/>
          <w:noProof/>
        </w:rPr>
        <w:t xml:space="preserve">are </w:t>
      </w:r>
      <w:r w:rsidR="005C3418">
        <w:rPr>
          <w:rFonts w:eastAsia="Arial Unicode MS"/>
          <w:noProof/>
        </w:rPr>
        <w:t>s</w:t>
      </w:r>
      <w:r w:rsidRPr="00FE3FA5">
        <w:rPr>
          <w:rFonts w:eastAsia="Arial Unicode MS"/>
          <w:noProof/>
        </w:rPr>
        <w:t xml:space="preserve">trategy was published on the </w:t>
      </w:r>
      <w:r w:rsidRPr="00DD3530">
        <w:rPr>
          <w:rFonts w:eastAsia="Arial Unicode MS"/>
          <w:i/>
          <w:iCs/>
          <w:noProof/>
        </w:rPr>
        <w:t xml:space="preserve">Have your </w:t>
      </w:r>
      <w:r w:rsidR="005C3418" w:rsidRPr="00DD3530">
        <w:rPr>
          <w:rFonts w:eastAsia="Arial Unicode MS"/>
          <w:i/>
          <w:iCs/>
          <w:noProof/>
        </w:rPr>
        <w:t>s</w:t>
      </w:r>
      <w:r w:rsidRPr="00DD3530">
        <w:rPr>
          <w:rFonts w:eastAsia="Arial Unicode MS"/>
          <w:i/>
          <w:iCs/>
          <w:noProof/>
        </w:rPr>
        <w:t>ay</w:t>
      </w:r>
      <w:r w:rsidRPr="00FE3FA5">
        <w:rPr>
          <w:rFonts w:eastAsia="Arial Unicode MS"/>
          <w:noProof/>
        </w:rPr>
        <w:t xml:space="preserve"> </w:t>
      </w:r>
      <w:hyperlink r:id="rId41">
        <w:r w:rsidRPr="00FE3FA5">
          <w:rPr>
            <w:rFonts w:eastAsia="Arial Unicode MS"/>
            <w:noProof/>
            <w:color w:val="0000FF" w:themeColor="hyperlink"/>
            <w:u w:val="single"/>
          </w:rPr>
          <w:t>web page</w:t>
        </w:r>
      </w:hyperlink>
      <w:r w:rsidRPr="00FE3FA5">
        <w:rPr>
          <w:rFonts w:eastAsia="Arial Unicode MS"/>
          <w:noProof/>
        </w:rPr>
        <w:t xml:space="preserve"> and </w:t>
      </w:r>
      <w:r w:rsidR="005C3418">
        <w:rPr>
          <w:rFonts w:eastAsia="Arial Unicode MS"/>
          <w:noProof/>
        </w:rPr>
        <w:t xml:space="preserve">was </w:t>
      </w:r>
      <w:r w:rsidRPr="00FE3FA5">
        <w:rPr>
          <w:rFonts w:eastAsia="Arial Unicode MS"/>
          <w:noProof/>
        </w:rPr>
        <w:t xml:space="preserve">open for public feedback from 1 </w:t>
      </w:r>
      <w:r w:rsidR="005C3418">
        <w:rPr>
          <w:rFonts w:eastAsia="Arial Unicode MS"/>
          <w:noProof/>
        </w:rPr>
        <w:t>to</w:t>
      </w:r>
      <w:r w:rsidRPr="00FE3FA5">
        <w:rPr>
          <w:rFonts w:eastAsia="Arial Unicode MS"/>
          <w:noProof/>
        </w:rPr>
        <w:t xml:space="preserve"> 29</w:t>
      </w:r>
      <w:r w:rsidR="005E2D62">
        <w:rPr>
          <w:rFonts w:eastAsia="Arial Unicode MS"/>
          <w:noProof/>
        </w:rPr>
        <w:t> March 2022</w:t>
      </w:r>
      <w:r w:rsidRPr="00FE3FA5">
        <w:rPr>
          <w:rFonts w:eastAsia="Arial Unicode MS"/>
          <w:noProof/>
        </w:rPr>
        <w:t>. The Commission received 123 contributions, most from NGOs (64). The most recurrent topics raised during the consultations were access to and availability of care services, social protection and affordability of care services, quality of care services, care workers and informal care</w:t>
      </w:r>
      <w:r w:rsidR="002E7447">
        <w:rPr>
          <w:rFonts w:eastAsia="Arial Unicode MS"/>
          <w:noProof/>
        </w:rPr>
        <w:t>r</w:t>
      </w:r>
      <w:r w:rsidRPr="00FE3FA5">
        <w:rPr>
          <w:rFonts w:eastAsia="Arial Unicode MS"/>
          <w:noProof/>
        </w:rPr>
        <w:t>s, socio-economic and territorial inequalities, gender dimension, active and healthy ageing and prevention policies, financing of care services, governance/coordination aspects, potential of digitalisation and innovation for the care sector</w:t>
      </w:r>
      <w:r w:rsidR="00627DDF">
        <w:rPr>
          <w:rFonts w:eastAsia="Arial Unicode MS"/>
          <w:noProof/>
        </w:rPr>
        <w:t>,</w:t>
      </w:r>
      <w:r w:rsidRPr="00FE3FA5">
        <w:rPr>
          <w:rFonts w:eastAsia="Arial Unicode MS"/>
          <w:noProof/>
        </w:rPr>
        <w:t xml:space="preserve"> and the COVID-19 pandemic and its impact.</w:t>
      </w:r>
    </w:p>
    <w:p w14:paraId="41E19F8F" w14:textId="77777777" w:rsidR="00FE3FA5" w:rsidRPr="00FE3FA5" w:rsidRDefault="00FE3FA5" w:rsidP="005F1B23">
      <w:pPr>
        <w:rPr>
          <w:rFonts w:eastAsia="Times New Roman"/>
          <w:noProof/>
          <w:spacing w:val="-1"/>
          <w:szCs w:val="24"/>
        </w:rPr>
      </w:pPr>
      <w:r w:rsidRPr="00FE3FA5">
        <w:rPr>
          <w:rFonts w:eastAsia="Times New Roman"/>
          <w:noProof/>
          <w:spacing w:val="-1"/>
          <w:szCs w:val="24"/>
        </w:rPr>
        <w:t xml:space="preserve">The </w:t>
      </w:r>
      <w:r w:rsidRPr="00620D3D">
        <w:rPr>
          <w:rFonts w:eastAsia="Times New Roman"/>
          <w:b/>
          <w:noProof/>
          <w:spacing w:val="-1"/>
          <w:szCs w:val="24"/>
        </w:rPr>
        <w:t>targeted consultations</w:t>
      </w:r>
      <w:r w:rsidRPr="00FE3FA5">
        <w:rPr>
          <w:rFonts w:eastAsia="Times New Roman"/>
          <w:noProof/>
          <w:spacing w:val="-1"/>
          <w:szCs w:val="24"/>
        </w:rPr>
        <w:t xml:space="preserve"> included exploratory debates with the </w:t>
      </w:r>
      <w:r w:rsidR="00627DDF">
        <w:rPr>
          <w:rFonts w:eastAsia="Times New Roman"/>
          <w:noProof/>
          <w:spacing w:val="-1"/>
          <w:szCs w:val="24"/>
        </w:rPr>
        <w:t>h</w:t>
      </w:r>
      <w:r w:rsidRPr="00FE3FA5">
        <w:rPr>
          <w:rFonts w:eastAsia="Times New Roman"/>
          <w:noProof/>
          <w:spacing w:val="-1"/>
          <w:szCs w:val="24"/>
        </w:rPr>
        <w:t>igh</w:t>
      </w:r>
      <w:r w:rsidR="00627DDF">
        <w:rPr>
          <w:rFonts w:eastAsia="Times New Roman"/>
          <w:noProof/>
          <w:spacing w:val="-1"/>
          <w:szCs w:val="24"/>
        </w:rPr>
        <w:t>-l</w:t>
      </w:r>
      <w:r w:rsidRPr="00FE3FA5">
        <w:rPr>
          <w:rFonts w:eastAsia="Times New Roman"/>
          <w:noProof/>
          <w:spacing w:val="-1"/>
          <w:szCs w:val="24"/>
        </w:rPr>
        <w:t xml:space="preserve">evel </w:t>
      </w:r>
      <w:r w:rsidR="00627DDF">
        <w:rPr>
          <w:rFonts w:eastAsia="Times New Roman"/>
          <w:noProof/>
          <w:spacing w:val="-1"/>
          <w:szCs w:val="24"/>
        </w:rPr>
        <w:t>g</w:t>
      </w:r>
      <w:r w:rsidRPr="00FE3FA5">
        <w:rPr>
          <w:rFonts w:eastAsia="Times New Roman"/>
          <w:noProof/>
          <w:spacing w:val="-1"/>
          <w:szCs w:val="24"/>
        </w:rPr>
        <w:t xml:space="preserve">roup on </w:t>
      </w:r>
      <w:r w:rsidR="00627DDF">
        <w:rPr>
          <w:rFonts w:eastAsia="Times New Roman"/>
          <w:noProof/>
          <w:spacing w:val="-1"/>
          <w:szCs w:val="24"/>
        </w:rPr>
        <w:t>g</w:t>
      </w:r>
      <w:r w:rsidRPr="00FE3FA5">
        <w:rPr>
          <w:rFonts w:eastAsia="Times New Roman"/>
          <w:noProof/>
          <w:spacing w:val="-1"/>
          <w:szCs w:val="24"/>
        </w:rPr>
        <w:t xml:space="preserve">ender </w:t>
      </w:r>
      <w:r w:rsidR="00627DDF">
        <w:rPr>
          <w:rFonts w:eastAsia="Times New Roman"/>
          <w:noProof/>
          <w:spacing w:val="-1"/>
          <w:szCs w:val="24"/>
        </w:rPr>
        <w:t>m</w:t>
      </w:r>
      <w:r w:rsidRPr="00FE3FA5">
        <w:rPr>
          <w:rFonts w:eastAsia="Times New Roman"/>
          <w:noProof/>
          <w:spacing w:val="-1"/>
          <w:szCs w:val="24"/>
        </w:rPr>
        <w:t>ainstreaming (28</w:t>
      </w:r>
      <w:r w:rsidR="005E2D62">
        <w:rPr>
          <w:rFonts w:eastAsia="Times New Roman"/>
          <w:noProof/>
          <w:spacing w:val="-1"/>
          <w:szCs w:val="24"/>
        </w:rPr>
        <w:t> </w:t>
      </w:r>
      <w:r w:rsidRPr="00FE3FA5">
        <w:rPr>
          <w:rFonts w:eastAsia="Times New Roman"/>
          <w:noProof/>
          <w:spacing w:val="-1"/>
          <w:szCs w:val="24"/>
        </w:rPr>
        <w:t>January</w:t>
      </w:r>
      <w:r w:rsidR="00B503E5">
        <w:rPr>
          <w:rFonts w:eastAsia="Times New Roman"/>
          <w:noProof/>
          <w:spacing w:val="-1"/>
          <w:szCs w:val="24"/>
        </w:rPr>
        <w:t xml:space="preserve"> 2022</w:t>
      </w:r>
      <w:r w:rsidRPr="00FE3FA5">
        <w:rPr>
          <w:rFonts w:eastAsia="Times New Roman"/>
          <w:noProof/>
          <w:spacing w:val="-1"/>
          <w:szCs w:val="24"/>
        </w:rPr>
        <w:t xml:space="preserve">) and </w:t>
      </w:r>
      <w:r w:rsidR="00627DDF">
        <w:rPr>
          <w:rFonts w:eastAsia="Times New Roman"/>
          <w:noProof/>
          <w:spacing w:val="-1"/>
          <w:szCs w:val="24"/>
        </w:rPr>
        <w:t>with</w:t>
      </w:r>
      <w:r w:rsidR="00627DDF" w:rsidRPr="00FE3FA5">
        <w:rPr>
          <w:rFonts w:eastAsia="Times New Roman"/>
          <w:noProof/>
          <w:spacing w:val="-1"/>
          <w:szCs w:val="24"/>
        </w:rPr>
        <w:t xml:space="preserve"> </w:t>
      </w:r>
      <w:r w:rsidRPr="00FE3FA5">
        <w:rPr>
          <w:rFonts w:eastAsia="Times New Roman"/>
          <w:noProof/>
          <w:spacing w:val="-1"/>
          <w:szCs w:val="24"/>
        </w:rPr>
        <w:t>Member State representatives in</w:t>
      </w:r>
      <w:r w:rsidR="00627DDF">
        <w:rPr>
          <w:rFonts w:eastAsia="Times New Roman"/>
          <w:noProof/>
          <w:spacing w:val="-1"/>
          <w:szCs w:val="24"/>
        </w:rPr>
        <w:t xml:space="preserve"> both</w:t>
      </w:r>
      <w:r w:rsidRPr="00FE3FA5">
        <w:rPr>
          <w:rFonts w:eastAsia="Times New Roman"/>
          <w:noProof/>
          <w:spacing w:val="-1"/>
          <w:szCs w:val="24"/>
        </w:rPr>
        <w:t xml:space="preserve"> the Social Protection Committee (17</w:t>
      </w:r>
      <w:r w:rsidR="005E2D62">
        <w:rPr>
          <w:rFonts w:eastAsia="Times New Roman"/>
          <w:noProof/>
          <w:spacing w:val="-1"/>
          <w:szCs w:val="24"/>
        </w:rPr>
        <w:t> </w:t>
      </w:r>
      <w:r w:rsidRPr="00FE3FA5">
        <w:rPr>
          <w:rFonts w:eastAsia="Times New Roman"/>
          <w:noProof/>
          <w:spacing w:val="-1"/>
          <w:szCs w:val="24"/>
        </w:rPr>
        <w:t>March</w:t>
      </w:r>
      <w:r w:rsidR="00B503E5">
        <w:rPr>
          <w:rFonts w:eastAsia="Times New Roman"/>
          <w:noProof/>
          <w:spacing w:val="-1"/>
          <w:szCs w:val="24"/>
        </w:rPr>
        <w:t xml:space="preserve"> 2022</w:t>
      </w:r>
      <w:r w:rsidRPr="00FE3FA5">
        <w:rPr>
          <w:rFonts w:eastAsia="Times New Roman"/>
          <w:noProof/>
          <w:spacing w:val="-1"/>
          <w:szCs w:val="24"/>
        </w:rPr>
        <w:t xml:space="preserve">) and </w:t>
      </w:r>
      <w:r w:rsidR="00627DDF" w:rsidRPr="00FE3FA5">
        <w:rPr>
          <w:rFonts w:eastAsia="Times New Roman"/>
          <w:noProof/>
          <w:spacing w:val="-1"/>
          <w:szCs w:val="24"/>
        </w:rPr>
        <w:t xml:space="preserve">the </w:t>
      </w:r>
      <w:r w:rsidRPr="00FE3FA5">
        <w:rPr>
          <w:rFonts w:eastAsia="Times New Roman"/>
          <w:noProof/>
          <w:spacing w:val="-1"/>
          <w:szCs w:val="24"/>
        </w:rPr>
        <w:t>Employment Committee (1</w:t>
      </w:r>
      <w:r w:rsidR="005E2D62">
        <w:rPr>
          <w:rFonts w:eastAsia="Times New Roman"/>
          <w:noProof/>
          <w:spacing w:val="-1"/>
          <w:szCs w:val="24"/>
        </w:rPr>
        <w:t> </w:t>
      </w:r>
      <w:r w:rsidRPr="00FE3FA5">
        <w:rPr>
          <w:rFonts w:eastAsia="Times New Roman"/>
          <w:noProof/>
          <w:spacing w:val="-1"/>
          <w:szCs w:val="24"/>
        </w:rPr>
        <w:t>April</w:t>
      </w:r>
      <w:r w:rsidR="00B503E5">
        <w:rPr>
          <w:rFonts w:eastAsia="Times New Roman"/>
          <w:noProof/>
          <w:spacing w:val="-1"/>
          <w:szCs w:val="24"/>
        </w:rPr>
        <w:t xml:space="preserve"> 2022</w:t>
      </w:r>
      <w:r w:rsidRPr="00FE3FA5">
        <w:rPr>
          <w:rFonts w:eastAsia="Times New Roman"/>
          <w:noProof/>
          <w:spacing w:val="-1"/>
          <w:szCs w:val="24"/>
        </w:rPr>
        <w:t>)</w:t>
      </w:r>
      <w:r w:rsidR="00627DDF">
        <w:rPr>
          <w:rFonts w:eastAsia="Times New Roman"/>
          <w:noProof/>
          <w:spacing w:val="-1"/>
          <w:szCs w:val="24"/>
        </w:rPr>
        <w:t>. There was also</w:t>
      </w:r>
      <w:r w:rsidRPr="00FE3FA5">
        <w:rPr>
          <w:rFonts w:eastAsia="Times New Roman"/>
          <w:noProof/>
          <w:spacing w:val="-1"/>
          <w:szCs w:val="24"/>
        </w:rPr>
        <w:t xml:space="preserve"> a strategic dialogue with civil society organisations (11</w:t>
      </w:r>
      <w:r w:rsidR="005E2D62">
        <w:rPr>
          <w:rFonts w:eastAsia="Times New Roman"/>
          <w:noProof/>
          <w:spacing w:val="-1"/>
          <w:szCs w:val="24"/>
        </w:rPr>
        <w:t> </w:t>
      </w:r>
      <w:r w:rsidRPr="00FE3FA5">
        <w:rPr>
          <w:rFonts w:eastAsia="Times New Roman"/>
          <w:noProof/>
          <w:spacing w:val="-1"/>
          <w:szCs w:val="24"/>
        </w:rPr>
        <w:t>March</w:t>
      </w:r>
      <w:r w:rsidR="00B503E5">
        <w:rPr>
          <w:rFonts w:eastAsia="Times New Roman"/>
          <w:noProof/>
          <w:spacing w:val="-1"/>
          <w:szCs w:val="24"/>
        </w:rPr>
        <w:t xml:space="preserve"> 2022</w:t>
      </w:r>
      <w:r w:rsidRPr="00FE3FA5">
        <w:rPr>
          <w:rFonts w:eastAsia="Times New Roman"/>
          <w:noProof/>
          <w:spacing w:val="-1"/>
          <w:szCs w:val="24"/>
        </w:rPr>
        <w:t>), a joint hearing of the Committees of the European Parliament on Employment and Social Affairs and Women’s Rights and Gender Equality (24</w:t>
      </w:r>
      <w:r w:rsidR="005E2D62">
        <w:rPr>
          <w:rFonts w:eastAsia="Times New Roman"/>
          <w:noProof/>
          <w:spacing w:val="-1"/>
          <w:szCs w:val="24"/>
        </w:rPr>
        <w:t> </w:t>
      </w:r>
      <w:r w:rsidRPr="00FE3FA5">
        <w:rPr>
          <w:rFonts w:eastAsia="Times New Roman"/>
          <w:noProof/>
          <w:spacing w:val="-1"/>
          <w:szCs w:val="24"/>
        </w:rPr>
        <w:t>March</w:t>
      </w:r>
      <w:r w:rsidR="00B503E5">
        <w:rPr>
          <w:rFonts w:eastAsia="Times New Roman"/>
          <w:noProof/>
          <w:spacing w:val="-1"/>
          <w:szCs w:val="24"/>
        </w:rPr>
        <w:t xml:space="preserve"> 2022</w:t>
      </w:r>
      <w:r w:rsidRPr="00FE3FA5">
        <w:rPr>
          <w:rFonts w:eastAsia="Times New Roman"/>
          <w:noProof/>
          <w:spacing w:val="-1"/>
          <w:szCs w:val="24"/>
        </w:rPr>
        <w:t xml:space="preserve">) and a dedicated hearing with social partners </w:t>
      </w:r>
      <w:r w:rsidR="00B503E5">
        <w:rPr>
          <w:rFonts w:eastAsia="Times New Roman"/>
          <w:noProof/>
          <w:spacing w:val="-1"/>
          <w:szCs w:val="24"/>
        </w:rPr>
        <w:t xml:space="preserve">at Union level </w:t>
      </w:r>
      <w:r w:rsidRPr="00FE3FA5">
        <w:rPr>
          <w:rFonts w:eastAsia="Times New Roman"/>
          <w:noProof/>
          <w:spacing w:val="-1"/>
          <w:szCs w:val="24"/>
        </w:rPr>
        <w:t>(7</w:t>
      </w:r>
      <w:r w:rsidR="005E2D62">
        <w:rPr>
          <w:rFonts w:eastAsia="Times New Roman"/>
          <w:noProof/>
          <w:spacing w:val="-1"/>
          <w:szCs w:val="24"/>
        </w:rPr>
        <w:t> </w:t>
      </w:r>
      <w:r w:rsidRPr="00FE3FA5">
        <w:rPr>
          <w:rFonts w:eastAsia="Times New Roman"/>
          <w:noProof/>
          <w:spacing w:val="-1"/>
          <w:szCs w:val="24"/>
        </w:rPr>
        <w:t>April</w:t>
      </w:r>
      <w:r w:rsidR="00B503E5">
        <w:rPr>
          <w:rFonts w:eastAsia="Times New Roman"/>
          <w:noProof/>
          <w:spacing w:val="-1"/>
          <w:szCs w:val="24"/>
        </w:rPr>
        <w:t xml:space="preserve"> 2022</w:t>
      </w:r>
      <w:r w:rsidRPr="00FE3FA5">
        <w:rPr>
          <w:rFonts w:eastAsia="Times New Roman"/>
          <w:noProof/>
          <w:spacing w:val="-1"/>
          <w:szCs w:val="24"/>
        </w:rPr>
        <w:t>).</w:t>
      </w:r>
    </w:p>
    <w:p w14:paraId="07B30240" w14:textId="77777777" w:rsidR="00FE3FA5" w:rsidRPr="00FE3FA5" w:rsidRDefault="00FE3FA5" w:rsidP="005F1B23">
      <w:pPr>
        <w:rPr>
          <w:rFonts w:eastAsia="Times New Roman"/>
          <w:noProof/>
          <w:spacing w:val="-1"/>
          <w:szCs w:val="24"/>
        </w:rPr>
      </w:pPr>
      <w:r w:rsidRPr="00FE3FA5">
        <w:rPr>
          <w:rFonts w:eastAsia="Times New Roman"/>
          <w:noProof/>
          <w:spacing w:val="-1"/>
          <w:szCs w:val="24"/>
        </w:rPr>
        <w:t xml:space="preserve">The role of robust social protection and its impact on access to and affordability of high-quality </w:t>
      </w:r>
      <w:r w:rsidR="008B2FE6">
        <w:rPr>
          <w:rFonts w:eastAsia="Times New Roman"/>
          <w:noProof/>
          <w:spacing w:val="-1"/>
          <w:szCs w:val="24"/>
        </w:rPr>
        <w:t xml:space="preserve">long-term </w:t>
      </w:r>
      <w:r w:rsidRPr="00FE3FA5">
        <w:rPr>
          <w:rFonts w:eastAsia="Times New Roman"/>
          <w:noProof/>
          <w:spacing w:val="-1"/>
          <w:szCs w:val="24"/>
        </w:rPr>
        <w:t xml:space="preserve">care services was highlighted by many </w:t>
      </w:r>
      <w:r w:rsidR="00D809D9" w:rsidRPr="00FE3FA5">
        <w:rPr>
          <w:rFonts w:eastAsia="Times New Roman"/>
          <w:noProof/>
          <w:spacing w:val="-1"/>
          <w:szCs w:val="24"/>
        </w:rPr>
        <w:t>respondents</w:t>
      </w:r>
      <w:r w:rsidRPr="00FE3FA5">
        <w:rPr>
          <w:rFonts w:eastAsia="Times New Roman"/>
          <w:noProof/>
          <w:spacing w:val="-1"/>
          <w:szCs w:val="24"/>
        </w:rPr>
        <w:t xml:space="preserve">, including Member States, social partners and civil society. </w:t>
      </w:r>
      <w:r w:rsidRPr="00FE3FA5">
        <w:rPr>
          <w:rFonts w:eastAsia="Calibri"/>
          <w:noProof/>
          <w:szCs w:val="24"/>
          <w:lang w:eastAsia="en-GB"/>
        </w:rPr>
        <w:t xml:space="preserve">The importance of person-centred approaches and the need for </w:t>
      </w:r>
      <w:r w:rsidR="002508FC">
        <w:rPr>
          <w:rFonts w:eastAsia="Calibri"/>
          <w:noProof/>
          <w:szCs w:val="24"/>
          <w:lang w:eastAsia="en-GB"/>
        </w:rPr>
        <w:t>greater</w:t>
      </w:r>
      <w:r w:rsidR="002508FC" w:rsidRPr="00FE3FA5">
        <w:rPr>
          <w:rFonts w:eastAsia="Calibri"/>
          <w:noProof/>
          <w:szCs w:val="24"/>
          <w:lang w:eastAsia="en-GB"/>
        </w:rPr>
        <w:t xml:space="preserve"> </w:t>
      </w:r>
      <w:r w:rsidRPr="00FE3FA5">
        <w:rPr>
          <w:rFonts w:eastAsia="Calibri"/>
          <w:noProof/>
          <w:szCs w:val="24"/>
          <w:lang w:eastAsia="en-GB"/>
        </w:rPr>
        <w:t xml:space="preserve">integration between care and healthcare services was highlighted, especially by civil society organisations. </w:t>
      </w:r>
      <w:r w:rsidR="005E2D62">
        <w:rPr>
          <w:rFonts w:eastAsia="Calibri"/>
          <w:noProof/>
          <w:szCs w:val="24"/>
          <w:lang w:eastAsia="en-GB"/>
        </w:rPr>
        <w:t>A</w:t>
      </w:r>
      <w:r w:rsidR="005E2D62">
        <w:rPr>
          <w:noProof/>
        </w:rPr>
        <w:t>ppropriate</w:t>
      </w:r>
      <w:r w:rsidR="005E2D62" w:rsidRPr="00FE3FA5">
        <w:rPr>
          <w:noProof/>
        </w:rPr>
        <w:t xml:space="preserve"> </w:t>
      </w:r>
      <w:r w:rsidRPr="00FE3FA5">
        <w:rPr>
          <w:rFonts w:eastAsia="Times New Roman"/>
          <w:noProof/>
          <w:spacing w:val="-1"/>
          <w:szCs w:val="24"/>
        </w:rPr>
        <w:t xml:space="preserve">public funding and investment in care services, including by using all available </w:t>
      </w:r>
      <w:r w:rsidR="00B503E5">
        <w:rPr>
          <w:rFonts w:eastAsia="Times New Roman"/>
          <w:noProof/>
          <w:spacing w:val="-1"/>
          <w:szCs w:val="24"/>
        </w:rPr>
        <w:t>Union</w:t>
      </w:r>
      <w:r w:rsidR="00B503E5" w:rsidRPr="00FE3FA5">
        <w:rPr>
          <w:rFonts w:eastAsia="Times New Roman"/>
          <w:noProof/>
          <w:spacing w:val="-1"/>
          <w:szCs w:val="24"/>
        </w:rPr>
        <w:t xml:space="preserve"> </w:t>
      </w:r>
      <w:r w:rsidRPr="00FE3FA5">
        <w:rPr>
          <w:rFonts w:eastAsia="Times New Roman"/>
          <w:noProof/>
          <w:spacing w:val="-1"/>
          <w:szCs w:val="24"/>
        </w:rPr>
        <w:t xml:space="preserve">instruments, were deemed crucial to </w:t>
      </w:r>
      <w:r w:rsidR="00B503E5">
        <w:rPr>
          <w:rFonts w:eastAsia="Times New Roman"/>
          <w:noProof/>
          <w:spacing w:val="-1"/>
          <w:szCs w:val="24"/>
        </w:rPr>
        <w:t>that</w:t>
      </w:r>
      <w:r w:rsidR="00B503E5" w:rsidRPr="00FE3FA5">
        <w:rPr>
          <w:rFonts w:eastAsia="Times New Roman"/>
          <w:noProof/>
          <w:spacing w:val="-1"/>
          <w:szCs w:val="24"/>
        </w:rPr>
        <w:t xml:space="preserve"> </w:t>
      </w:r>
      <w:r w:rsidRPr="00FE3FA5">
        <w:rPr>
          <w:rFonts w:eastAsia="Times New Roman"/>
          <w:noProof/>
          <w:spacing w:val="-1"/>
          <w:szCs w:val="24"/>
        </w:rPr>
        <w:t xml:space="preserve">end. The need to use the </w:t>
      </w:r>
      <w:r w:rsidR="002508FC">
        <w:rPr>
          <w:rFonts w:eastAsia="Times New Roman"/>
          <w:noProof/>
          <w:spacing w:val="-1"/>
          <w:szCs w:val="24"/>
        </w:rPr>
        <w:t>Recovery and Resilience Facility</w:t>
      </w:r>
      <w:r w:rsidR="002508FC" w:rsidRPr="00FE3FA5">
        <w:rPr>
          <w:rFonts w:eastAsia="Times New Roman"/>
          <w:noProof/>
          <w:spacing w:val="-1"/>
          <w:szCs w:val="24"/>
        </w:rPr>
        <w:t xml:space="preserve"> </w:t>
      </w:r>
      <w:r w:rsidRPr="00FE3FA5">
        <w:rPr>
          <w:rFonts w:eastAsia="Times New Roman"/>
          <w:noProof/>
          <w:spacing w:val="-1"/>
          <w:szCs w:val="24"/>
        </w:rPr>
        <w:t>for care was echoed by social partners.</w:t>
      </w:r>
    </w:p>
    <w:p w14:paraId="796A07CB" w14:textId="3DE1763F" w:rsidR="00FE3FA5" w:rsidRPr="00FE3FA5" w:rsidRDefault="002508FC" w:rsidP="005F1B23">
      <w:pPr>
        <w:rPr>
          <w:rFonts w:eastAsia="Times New Roman"/>
          <w:noProof/>
          <w:spacing w:val="-1"/>
          <w:szCs w:val="24"/>
        </w:rPr>
      </w:pPr>
      <w:r>
        <w:rPr>
          <w:rFonts w:eastAsia="Times New Roman"/>
          <w:noProof/>
          <w:spacing w:val="-1"/>
          <w:szCs w:val="24"/>
        </w:rPr>
        <w:t>I</w:t>
      </w:r>
      <w:r w:rsidR="00FE3FA5" w:rsidRPr="00FE3FA5">
        <w:rPr>
          <w:rFonts w:eastAsia="Times New Roman"/>
          <w:noProof/>
          <w:spacing w:val="-1"/>
          <w:szCs w:val="24"/>
        </w:rPr>
        <w:t xml:space="preserve">mprovement of working conditions </w:t>
      </w:r>
      <w:r w:rsidR="008B2FE6">
        <w:rPr>
          <w:rFonts w:eastAsia="Times New Roman"/>
          <w:noProof/>
          <w:spacing w:val="-1"/>
          <w:szCs w:val="24"/>
        </w:rPr>
        <w:t xml:space="preserve">in the long-term care sector </w:t>
      </w:r>
      <w:r w:rsidR="00FE3FA5" w:rsidRPr="00FE3FA5">
        <w:rPr>
          <w:rFonts w:eastAsia="Times New Roman"/>
          <w:noProof/>
          <w:spacing w:val="-1"/>
          <w:szCs w:val="24"/>
        </w:rPr>
        <w:t xml:space="preserve">was a key topic </w:t>
      </w:r>
      <w:r>
        <w:rPr>
          <w:rFonts w:eastAsia="Times New Roman"/>
          <w:noProof/>
          <w:spacing w:val="-1"/>
          <w:szCs w:val="24"/>
        </w:rPr>
        <w:t>in</w:t>
      </w:r>
      <w:r w:rsidRPr="00FE3FA5">
        <w:rPr>
          <w:rFonts w:eastAsia="Times New Roman"/>
          <w:noProof/>
          <w:spacing w:val="-1"/>
          <w:szCs w:val="24"/>
        </w:rPr>
        <w:t xml:space="preserve"> </w:t>
      </w:r>
      <w:r w:rsidR="00FE3FA5" w:rsidRPr="00FE3FA5">
        <w:rPr>
          <w:rFonts w:eastAsia="Times New Roman"/>
          <w:noProof/>
          <w:spacing w:val="-1"/>
          <w:szCs w:val="24"/>
        </w:rPr>
        <w:t xml:space="preserve">all consultation events and written contributions. MEPs </w:t>
      </w:r>
      <w:r>
        <w:rPr>
          <w:rFonts w:eastAsia="Times New Roman"/>
          <w:noProof/>
          <w:spacing w:val="-1"/>
          <w:szCs w:val="24"/>
        </w:rPr>
        <w:t>highlighted</w:t>
      </w:r>
      <w:r w:rsidRPr="00FE3FA5">
        <w:rPr>
          <w:rFonts w:eastAsia="Times New Roman"/>
          <w:noProof/>
          <w:spacing w:val="-1"/>
          <w:szCs w:val="24"/>
        </w:rPr>
        <w:t xml:space="preserve"> </w:t>
      </w:r>
      <w:r w:rsidR="00FE3FA5" w:rsidRPr="00FE3FA5">
        <w:rPr>
          <w:rFonts w:eastAsia="Times New Roman"/>
          <w:noProof/>
          <w:spacing w:val="-1"/>
          <w:szCs w:val="24"/>
        </w:rPr>
        <w:t xml:space="preserve">underfunding and understaffing </w:t>
      </w:r>
      <w:r>
        <w:rPr>
          <w:rFonts w:eastAsia="Times New Roman"/>
          <w:noProof/>
          <w:spacing w:val="-1"/>
          <w:szCs w:val="24"/>
        </w:rPr>
        <w:t>in</w:t>
      </w:r>
      <w:r w:rsidRPr="00FE3FA5">
        <w:rPr>
          <w:rFonts w:eastAsia="Times New Roman"/>
          <w:noProof/>
          <w:spacing w:val="-1"/>
          <w:szCs w:val="24"/>
        </w:rPr>
        <w:t xml:space="preserve"> </w:t>
      </w:r>
      <w:r w:rsidR="00FE3FA5" w:rsidRPr="00FE3FA5">
        <w:rPr>
          <w:rFonts w:eastAsia="Times New Roman"/>
          <w:noProof/>
          <w:spacing w:val="-1"/>
          <w:szCs w:val="24"/>
        </w:rPr>
        <w:t xml:space="preserve">the care sector and its high </w:t>
      </w:r>
      <w:r w:rsidRPr="00FE3FA5">
        <w:rPr>
          <w:rFonts w:eastAsia="Times New Roman"/>
          <w:noProof/>
          <w:spacing w:val="-1"/>
          <w:szCs w:val="24"/>
        </w:rPr>
        <w:t xml:space="preserve">potential </w:t>
      </w:r>
      <w:r>
        <w:rPr>
          <w:rFonts w:eastAsia="Times New Roman"/>
          <w:noProof/>
          <w:spacing w:val="-1"/>
          <w:szCs w:val="24"/>
        </w:rPr>
        <w:t xml:space="preserve">for </w:t>
      </w:r>
      <w:r w:rsidR="00FE3FA5" w:rsidRPr="00FE3FA5">
        <w:rPr>
          <w:rFonts w:eastAsia="Times New Roman"/>
          <w:noProof/>
          <w:spacing w:val="-1"/>
          <w:szCs w:val="24"/>
        </w:rPr>
        <w:t xml:space="preserve">job creation and innovation. They called for addressing the low unionisation in the sector and highlighted the role of education and training in ensuring qualified </w:t>
      </w:r>
      <w:r w:rsidR="00FB067E">
        <w:rPr>
          <w:rFonts w:eastAsia="Times New Roman"/>
          <w:noProof/>
          <w:spacing w:val="-1"/>
          <w:szCs w:val="24"/>
        </w:rPr>
        <w:t>workers</w:t>
      </w:r>
      <w:r w:rsidR="00FE3FA5" w:rsidRPr="00FE3FA5">
        <w:rPr>
          <w:rFonts w:eastAsia="Times New Roman"/>
          <w:noProof/>
          <w:spacing w:val="-1"/>
          <w:szCs w:val="24"/>
        </w:rPr>
        <w:t xml:space="preserve"> and professionali</w:t>
      </w:r>
      <w:r w:rsidR="002E7447">
        <w:rPr>
          <w:rFonts w:eastAsia="Times New Roman"/>
          <w:noProof/>
          <w:spacing w:val="-1"/>
          <w:szCs w:val="24"/>
        </w:rPr>
        <w:t>s</w:t>
      </w:r>
      <w:r w:rsidR="00FE3FA5" w:rsidRPr="00FE3FA5">
        <w:rPr>
          <w:rFonts w:eastAsia="Times New Roman"/>
          <w:noProof/>
          <w:spacing w:val="-1"/>
          <w:szCs w:val="24"/>
        </w:rPr>
        <w:t xml:space="preserve">ation. Social partners also mentioned the role of social dialogue and the importance of </w:t>
      </w:r>
      <w:r w:rsidR="002E7447">
        <w:rPr>
          <w:rFonts w:eastAsia="Times New Roman"/>
          <w:noProof/>
          <w:spacing w:val="-1"/>
          <w:szCs w:val="24"/>
        </w:rPr>
        <w:t>sufficient</w:t>
      </w:r>
      <w:r w:rsidR="002E7447" w:rsidRPr="00FE3FA5">
        <w:rPr>
          <w:rFonts w:eastAsia="Times New Roman"/>
          <w:noProof/>
          <w:spacing w:val="-1"/>
          <w:szCs w:val="24"/>
        </w:rPr>
        <w:t xml:space="preserve"> </w:t>
      </w:r>
      <w:r w:rsidR="00FE3FA5" w:rsidRPr="00FE3FA5">
        <w:rPr>
          <w:rFonts w:eastAsia="Times New Roman"/>
          <w:noProof/>
          <w:spacing w:val="-1"/>
          <w:szCs w:val="24"/>
        </w:rPr>
        <w:t xml:space="preserve">staffing levels to ensure quality and person-centred delivery. Social partners stressed that migrant workers, domestic workers and </w:t>
      </w:r>
      <w:r w:rsidR="0035709D">
        <w:rPr>
          <w:rFonts w:eastAsia="Times New Roman"/>
          <w:noProof/>
          <w:spacing w:val="-1"/>
          <w:szCs w:val="24"/>
        </w:rPr>
        <w:t>people</w:t>
      </w:r>
      <w:r w:rsidR="0035709D" w:rsidRPr="00FE3FA5">
        <w:rPr>
          <w:rFonts w:eastAsia="Times New Roman"/>
          <w:noProof/>
          <w:spacing w:val="-1"/>
          <w:szCs w:val="24"/>
        </w:rPr>
        <w:t xml:space="preserve"> </w:t>
      </w:r>
      <w:r w:rsidR="00FE3FA5" w:rsidRPr="00FE3FA5">
        <w:rPr>
          <w:rFonts w:eastAsia="Times New Roman"/>
          <w:noProof/>
          <w:spacing w:val="-1"/>
          <w:szCs w:val="24"/>
        </w:rPr>
        <w:t xml:space="preserve">in personal household services should benefit </w:t>
      </w:r>
      <w:r w:rsidR="002E7447">
        <w:rPr>
          <w:rFonts w:eastAsia="Times New Roman"/>
          <w:noProof/>
          <w:spacing w:val="-1"/>
          <w:szCs w:val="24"/>
        </w:rPr>
        <w:t>from</w:t>
      </w:r>
      <w:r w:rsidR="002E7447" w:rsidRPr="00FE3FA5">
        <w:rPr>
          <w:rFonts w:eastAsia="Times New Roman"/>
          <w:noProof/>
          <w:spacing w:val="-1"/>
          <w:szCs w:val="24"/>
        </w:rPr>
        <w:t xml:space="preserve"> </w:t>
      </w:r>
      <w:r w:rsidR="00FE3FA5" w:rsidRPr="00FE3FA5">
        <w:rPr>
          <w:rFonts w:eastAsia="Times New Roman"/>
          <w:noProof/>
          <w:spacing w:val="-1"/>
          <w:szCs w:val="24"/>
        </w:rPr>
        <w:t xml:space="preserve">the same social and labour rights as workers in the mainstream care sector. Member States are aware of </w:t>
      </w:r>
      <w:r w:rsidR="00FB067E">
        <w:rPr>
          <w:rFonts w:eastAsia="Times New Roman"/>
          <w:noProof/>
          <w:spacing w:val="-1"/>
          <w:szCs w:val="24"/>
        </w:rPr>
        <w:t>worker</w:t>
      </w:r>
      <w:r w:rsidR="00FE3FA5" w:rsidRPr="00FE3FA5">
        <w:rPr>
          <w:rFonts w:eastAsia="Times New Roman"/>
          <w:noProof/>
          <w:spacing w:val="-1"/>
          <w:szCs w:val="24"/>
        </w:rPr>
        <w:t xml:space="preserve"> shortages and some are developing strategies to attract more workers, including men, to the care sector. Several civil society organisations called for a definition of the legal status for informal carers.</w:t>
      </w:r>
    </w:p>
    <w:p w14:paraId="73B9FFF0" w14:textId="77777777" w:rsidR="00FE3FA5" w:rsidRPr="00FE3FA5" w:rsidRDefault="00FE3FA5" w:rsidP="005F1B23">
      <w:pPr>
        <w:rPr>
          <w:rFonts w:eastAsia="Times New Roman"/>
          <w:noProof/>
          <w:spacing w:val="-1"/>
          <w:szCs w:val="24"/>
        </w:rPr>
      </w:pPr>
      <w:r w:rsidRPr="00FE3FA5">
        <w:rPr>
          <w:rFonts w:eastAsia="Times New Roman"/>
          <w:noProof/>
          <w:spacing w:val="-1"/>
          <w:szCs w:val="24"/>
        </w:rPr>
        <w:t>Regarding implementation,</w:t>
      </w:r>
      <w:r w:rsidR="000E6315">
        <w:rPr>
          <w:rFonts w:eastAsia="Times New Roman"/>
          <w:noProof/>
          <w:spacing w:val="-1"/>
          <w:szCs w:val="24"/>
        </w:rPr>
        <w:t xml:space="preserve"> c</w:t>
      </w:r>
      <w:r w:rsidRPr="00FE3FA5">
        <w:rPr>
          <w:rFonts w:eastAsia="Times New Roman"/>
          <w:noProof/>
          <w:spacing w:val="-1"/>
          <w:szCs w:val="24"/>
        </w:rPr>
        <w:t>ivil society organisations supported monitoring based on indicators and targets</w:t>
      </w:r>
      <w:r w:rsidR="00636EA4">
        <w:rPr>
          <w:rFonts w:eastAsia="Times New Roman"/>
          <w:noProof/>
          <w:spacing w:val="-1"/>
          <w:szCs w:val="24"/>
        </w:rPr>
        <w:t>,</w:t>
      </w:r>
      <w:r w:rsidRPr="00FE3FA5">
        <w:rPr>
          <w:rFonts w:eastAsia="Times New Roman"/>
          <w:noProof/>
          <w:spacing w:val="-1"/>
          <w:szCs w:val="24"/>
        </w:rPr>
        <w:t xml:space="preserve"> and called for national action plans for implementation to be developed by Member States.</w:t>
      </w:r>
      <w:r w:rsidR="000E6315">
        <w:rPr>
          <w:rFonts w:eastAsia="Times New Roman"/>
          <w:noProof/>
          <w:spacing w:val="-1"/>
          <w:szCs w:val="24"/>
        </w:rPr>
        <w:t xml:space="preserve"> S</w:t>
      </w:r>
      <w:r w:rsidR="000E6315" w:rsidRPr="00FE3FA5">
        <w:rPr>
          <w:rFonts w:eastAsia="Times New Roman"/>
          <w:noProof/>
          <w:spacing w:val="-1"/>
          <w:szCs w:val="24"/>
        </w:rPr>
        <w:t xml:space="preserve">ocial partners considered </w:t>
      </w:r>
      <w:r w:rsidR="000E6315">
        <w:rPr>
          <w:rFonts w:eastAsia="Times New Roman"/>
          <w:noProof/>
          <w:spacing w:val="-1"/>
          <w:szCs w:val="24"/>
        </w:rPr>
        <w:t xml:space="preserve">it important to monitor progress </w:t>
      </w:r>
      <w:r w:rsidR="000E6315" w:rsidRPr="00FE3FA5">
        <w:rPr>
          <w:rFonts w:eastAsia="Times New Roman"/>
          <w:noProof/>
          <w:spacing w:val="-1"/>
          <w:szCs w:val="24"/>
        </w:rPr>
        <w:t xml:space="preserve">in addressing challenges in the </w:t>
      </w:r>
      <w:r w:rsidR="00B56D5E">
        <w:rPr>
          <w:rFonts w:eastAsia="Times New Roman"/>
          <w:noProof/>
          <w:spacing w:val="-1"/>
          <w:szCs w:val="24"/>
        </w:rPr>
        <w:t>long-term care</w:t>
      </w:r>
      <w:r w:rsidR="000E6315" w:rsidRPr="00FE3FA5">
        <w:rPr>
          <w:rFonts w:eastAsia="Times New Roman"/>
          <w:noProof/>
          <w:spacing w:val="-1"/>
          <w:szCs w:val="24"/>
        </w:rPr>
        <w:t xml:space="preserve"> sector</w:t>
      </w:r>
      <w:r w:rsidR="000E6315">
        <w:rPr>
          <w:rFonts w:eastAsia="Times New Roman"/>
          <w:noProof/>
          <w:spacing w:val="-1"/>
          <w:szCs w:val="24"/>
        </w:rPr>
        <w:t xml:space="preserve"> by building on </w:t>
      </w:r>
      <w:r w:rsidR="000E6315" w:rsidRPr="00FE3FA5">
        <w:rPr>
          <w:rFonts w:eastAsia="Times New Roman"/>
          <w:noProof/>
          <w:spacing w:val="-1"/>
          <w:szCs w:val="24"/>
        </w:rPr>
        <w:t>European Semester</w:t>
      </w:r>
      <w:r w:rsidR="000E6315">
        <w:rPr>
          <w:rFonts w:eastAsia="Times New Roman"/>
          <w:noProof/>
          <w:spacing w:val="-1"/>
          <w:szCs w:val="24"/>
        </w:rPr>
        <w:t xml:space="preserve"> framework arrangements</w:t>
      </w:r>
      <w:r w:rsidR="000E6315" w:rsidRPr="00FE3FA5">
        <w:rPr>
          <w:rFonts w:eastAsia="Times New Roman"/>
          <w:noProof/>
          <w:spacing w:val="-1"/>
          <w:szCs w:val="24"/>
        </w:rPr>
        <w:t xml:space="preserve">. </w:t>
      </w:r>
      <w:r w:rsidR="00BC1956">
        <w:rPr>
          <w:rFonts w:eastAsia="Times New Roman"/>
          <w:noProof/>
          <w:spacing w:val="-1"/>
          <w:szCs w:val="24"/>
        </w:rPr>
        <w:t>In</w:t>
      </w:r>
      <w:r w:rsidR="008B2FE6">
        <w:rPr>
          <w:rFonts w:eastAsia="Times New Roman"/>
          <w:noProof/>
          <w:spacing w:val="-1"/>
          <w:szCs w:val="24"/>
        </w:rPr>
        <w:t xml:space="preserve"> the </w:t>
      </w:r>
      <w:r w:rsidR="008B2FE6" w:rsidRPr="000411CB">
        <w:rPr>
          <w:rFonts w:eastAsia="Times New Roman"/>
          <w:b/>
          <w:bCs/>
          <w:noProof/>
          <w:spacing w:val="-1"/>
          <w:szCs w:val="24"/>
        </w:rPr>
        <w:t>Social Protection Committee</w:t>
      </w:r>
      <w:r w:rsidR="008B2FE6">
        <w:rPr>
          <w:rFonts w:eastAsia="Times New Roman"/>
          <w:noProof/>
          <w:spacing w:val="-1"/>
          <w:szCs w:val="24"/>
        </w:rPr>
        <w:t xml:space="preserve"> (</w:t>
      </w:r>
      <w:r w:rsidR="008B2FE6" w:rsidRPr="00FE3FA5">
        <w:rPr>
          <w:rFonts w:eastAsia="Times New Roman"/>
          <w:noProof/>
          <w:spacing w:val="-1"/>
          <w:szCs w:val="24"/>
        </w:rPr>
        <w:t>SPC</w:t>
      </w:r>
      <w:r w:rsidR="008B2FE6">
        <w:rPr>
          <w:rFonts w:eastAsia="Times New Roman"/>
          <w:noProof/>
          <w:spacing w:val="-1"/>
          <w:szCs w:val="24"/>
        </w:rPr>
        <w:t>)</w:t>
      </w:r>
      <w:r w:rsidR="008B2FE6" w:rsidRPr="00FE3FA5">
        <w:rPr>
          <w:rFonts w:eastAsia="Times New Roman"/>
          <w:noProof/>
          <w:spacing w:val="-1"/>
          <w:szCs w:val="24"/>
        </w:rPr>
        <w:t xml:space="preserve"> </w:t>
      </w:r>
      <w:r w:rsidR="008B2FE6">
        <w:rPr>
          <w:rFonts w:eastAsia="Times New Roman"/>
          <w:noProof/>
          <w:spacing w:val="-1"/>
          <w:szCs w:val="24"/>
        </w:rPr>
        <w:t xml:space="preserve">and </w:t>
      </w:r>
      <w:r w:rsidR="008B2FE6" w:rsidRPr="000411CB">
        <w:rPr>
          <w:rFonts w:eastAsia="Times New Roman"/>
          <w:b/>
          <w:bCs/>
          <w:noProof/>
          <w:spacing w:val="-1"/>
          <w:szCs w:val="24"/>
        </w:rPr>
        <w:t>Employment Committee</w:t>
      </w:r>
      <w:r w:rsidR="008B2FE6" w:rsidRPr="00840AD8">
        <w:rPr>
          <w:rFonts w:eastAsia="Times New Roman"/>
          <w:noProof/>
          <w:spacing w:val="-1"/>
          <w:szCs w:val="24"/>
        </w:rPr>
        <w:t xml:space="preserve"> </w:t>
      </w:r>
      <w:r w:rsidR="008B2FE6">
        <w:rPr>
          <w:rFonts w:eastAsia="Times New Roman"/>
          <w:noProof/>
          <w:spacing w:val="-1"/>
          <w:szCs w:val="24"/>
        </w:rPr>
        <w:t>(</w:t>
      </w:r>
      <w:r w:rsidR="008B2FE6" w:rsidRPr="00FE3FA5">
        <w:rPr>
          <w:rFonts w:eastAsia="Times New Roman"/>
          <w:noProof/>
          <w:spacing w:val="-1"/>
          <w:szCs w:val="24"/>
        </w:rPr>
        <w:t>EMCO</w:t>
      </w:r>
      <w:r w:rsidR="008B2FE6">
        <w:rPr>
          <w:rFonts w:eastAsia="Times New Roman"/>
          <w:noProof/>
          <w:spacing w:val="-1"/>
          <w:szCs w:val="24"/>
        </w:rPr>
        <w:t>)</w:t>
      </w:r>
      <w:r w:rsidR="00636EA4">
        <w:rPr>
          <w:rFonts w:eastAsia="Times New Roman"/>
          <w:noProof/>
          <w:spacing w:val="-1"/>
          <w:szCs w:val="24"/>
        </w:rPr>
        <w:t xml:space="preserve">, </w:t>
      </w:r>
      <w:r w:rsidRPr="00FE3FA5">
        <w:rPr>
          <w:rFonts w:eastAsia="Times New Roman"/>
          <w:noProof/>
          <w:spacing w:val="-1"/>
          <w:szCs w:val="24"/>
        </w:rPr>
        <w:t xml:space="preserve">Member States also </w:t>
      </w:r>
      <w:r w:rsidR="00BC1956">
        <w:rPr>
          <w:rFonts w:eastAsia="Times New Roman"/>
          <w:noProof/>
          <w:spacing w:val="-1"/>
          <w:szCs w:val="24"/>
        </w:rPr>
        <w:t>stressed</w:t>
      </w:r>
      <w:r w:rsidRPr="00FE3FA5">
        <w:rPr>
          <w:rFonts w:eastAsia="Times New Roman"/>
          <w:noProof/>
          <w:spacing w:val="-1"/>
          <w:szCs w:val="24"/>
        </w:rPr>
        <w:t xml:space="preserve"> the need to improve the evidence base and supported a continued exchange of good practices. </w:t>
      </w:r>
      <w:r w:rsidR="008B2FE6" w:rsidRPr="008B2FE6">
        <w:rPr>
          <w:rFonts w:eastAsia="Times New Roman"/>
          <w:noProof/>
          <w:spacing w:val="-1"/>
          <w:szCs w:val="24"/>
        </w:rPr>
        <w:t>Some Member States shared concerns</w:t>
      </w:r>
      <w:r w:rsidR="00996FBD">
        <w:rPr>
          <w:rFonts w:eastAsia="Times New Roman"/>
          <w:noProof/>
          <w:spacing w:val="-1"/>
          <w:szCs w:val="24"/>
        </w:rPr>
        <w:t xml:space="preserve"> regarding</w:t>
      </w:r>
      <w:r w:rsidR="008B2FE6" w:rsidRPr="008B2FE6">
        <w:rPr>
          <w:rFonts w:eastAsia="Times New Roman"/>
          <w:noProof/>
          <w:spacing w:val="-1"/>
          <w:szCs w:val="24"/>
        </w:rPr>
        <w:t xml:space="preserve"> potentially increased administrative burden and highlighted the importance of consistency and synergies with related policy initiatives at EU and international level. </w:t>
      </w:r>
      <w:r w:rsidRPr="00FE3FA5">
        <w:rPr>
          <w:rFonts w:eastAsia="Times New Roman"/>
          <w:noProof/>
          <w:spacing w:val="-1"/>
          <w:szCs w:val="24"/>
        </w:rPr>
        <w:t xml:space="preserve">During the exploratory debates with </w:t>
      </w:r>
      <w:r w:rsidR="00636EA4">
        <w:rPr>
          <w:rFonts w:eastAsia="Times New Roman"/>
          <w:noProof/>
          <w:spacing w:val="-1"/>
          <w:szCs w:val="24"/>
        </w:rPr>
        <w:t>these two committees</w:t>
      </w:r>
      <w:r w:rsidRPr="00FE3FA5">
        <w:rPr>
          <w:rFonts w:eastAsia="Times New Roman"/>
          <w:noProof/>
          <w:spacing w:val="-1"/>
          <w:szCs w:val="24"/>
        </w:rPr>
        <w:t xml:space="preserve">, several Member States pointed out that the initiative should be developed in full respect of national </w:t>
      </w:r>
      <w:r w:rsidR="00636EA4">
        <w:rPr>
          <w:rFonts w:eastAsia="Times New Roman"/>
          <w:noProof/>
          <w:spacing w:val="-1"/>
          <w:szCs w:val="24"/>
        </w:rPr>
        <w:t>responsibilities</w:t>
      </w:r>
      <w:r w:rsidR="00636EA4" w:rsidRPr="00FE3FA5">
        <w:rPr>
          <w:rFonts w:eastAsia="Times New Roman"/>
          <w:noProof/>
          <w:spacing w:val="-1"/>
          <w:szCs w:val="24"/>
        </w:rPr>
        <w:t xml:space="preserve"> </w:t>
      </w:r>
      <w:r w:rsidRPr="00FE3FA5">
        <w:rPr>
          <w:rFonts w:eastAsia="Times New Roman"/>
          <w:noProof/>
          <w:spacing w:val="-1"/>
          <w:szCs w:val="24"/>
        </w:rPr>
        <w:t>and the principles of subsidiarity and proportionality, also taking into account the different national circumstances and set-up of care systems.</w:t>
      </w:r>
    </w:p>
    <w:p w14:paraId="419C8A81" w14:textId="77777777" w:rsidR="00FE3FA5" w:rsidRPr="00FE3FA5" w:rsidRDefault="00FE3FA5" w:rsidP="005F1B23">
      <w:pPr>
        <w:rPr>
          <w:rFonts w:eastAsia="Arial Unicode MS"/>
          <w:noProof/>
        </w:rPr>
      </w:pPr>
      <w:r w:rsidRPr="00FE3FA5">
        <w:rPr>
          <w:rFonts w:eastAsia="Arial Unicode MS"/>
          <w:noProof/>
        </w:rPr>
        <w:t xml:space="preserve">The Commission received contributions or held exchanges of views with the </w:t>
      </w:r>
      <w:r w:rsidRPr="00442FA0">
        <w:rPr>
          <w:rFonts w:eastAsia="Arial Unicode MS"/>
          <w:b/>
          <w:bCs/>
          <w:noProof/>
        </w:rPr>
        <w:t>European</w:t>
      </w:r>
      <w:r w:rsidRPr="00FE3FA5">
        <w:rPr>
          <w:rFonts w:eastAsia="Arial Unicode MS"/>
          <w:noProof/>
        </w:rPr>
        <w:t xml:space="preserve"> </w:t>
      </w:r>
      <w:r w:rsidRPr="00B3681A">
        <w:rPr>
          <w:rFonts w:eastAsia="Arial Unicode MS"/>
          <w:b/>
          <w:noProof/>
        </w:rPr>
        <w:t>Economic and Social Committee</w:t>
      </w:r>
      <w:r w:rsidRPr="00FE3FA5">
        <w:rPr>
          <w:rFonts w:eastAsia="Arial Unicode MS"/>
          <w:noProof/>
        </w:rPr>
        <w:t xml:space="preserve"> (EESC) </w:t>
      </w:r>
      <w:r w:rsidR="00636EA4">
        <w:rPr>
          <w:rFonts w:eastAsia="Arial Unicode MS"/>
          <w:noProof/>
        </w:rPr>
        <w:t>and</w:t>
      </w:r>
      <w:r w:rsidRPr="00FE3FA5">
        <w:rPr>
          <w:rFonts w:eastAsia="Arial Unicode MS"/>
          <w:noProof/>
        </w:rPr>
        <w:t xml:space="preserve"> the</w:t>
      </w:r>
      <w:r w:rsidR="00526FEA">
        <w:rPr>
          <w:rFonts w:eastAsia="Arial Unicode MS"/>
          <w:noProof/>
        </w:rPr>
        <w:t xml:space="preserve"> </w:t>
      </w:r>
      <w:r w:rsidR="00526FEA" w:rsidRPr="00B3681A">
        <w:rPr>
          <w:rFonts w:eastAsia="Arial Unicode MS"/>
          <w:b/>
          <w:noProof/>
        </w:rPr>
        <w:t>Committee of the Regions</w:t>
      </w:r>
      <w:r w:rsidR="00526FEA">
        <w:rPr>
          <w:rFonts w:eastAsia="Arial Unicode MS"/>
          <w:noProof/>
        </w:rPr>
        <w:t xml:space="preserve"> (CoR):</w:t>
      </w:r>
    </w:p>
    <w:p w14:paraId="2D7A5B7E" w14:textId="77777777" w:rsidR="00FE3FA5" w:rsidRPr="00FE3FA5" w:rsidRDefault="00FE3FA5" w:rsidP="005460C2">
      <w:pPr>
        <w:pStyle w:val="Bullet0"/>
        <w:numPr>
          <w:ilvl w:val="0"/>
          <w:numId w:val="10"/>
        </w:numPr>
        <w:rPr>
          <w:noProof/>
        </w:rPr>
      </w:pPr>
      <w:r w:rsidRPr="00FE3FA5">
        <w:rPr>
          <w:noProof/>
        </w:rPr>
        <w:t xml:space="preserve">The </w:t>
      </w:r>
      <w:r w:rsidRPr="005F1B23">
        <w:rPr>
          <w:b/>
          <w:noProof/>
        </w:rPr>
        <w:t>EESC</w:t>
      </w:r>
      <w:r w:rsidRPr="00FE3FA5">
        <w:rPr>
          <w:noProof/>
        </w:rPr>
        <w:t xml:space="preserve"> is concerned about the precarious situation of live-in carers, who are often migrant or mobile women, and has </w:t>
      </w:r>
      <w:r w:rsidR="0035709D">
        <w:rPr>
          <w:noProof/>
        </w:rPr>
        <w:t>made</w:t>
      </w:r>
      <w:r w:rsidRPr="00FE3FA5">
        <w:rPr>
          <w:noProof/>
        </w:rPr>
        <w:t xml:space="preserve"> recommendations to improve it, including via regularisation of their situation and supporting their professionalisation</w:t>
      </w:r>
      <w:r w:rsidRPr="00D12A97">
        <w:rPr>
          <w:rStyle w:val="FootnoteReference"/>
          <w:noProof/>
        </w:rPr>
        <w:footnoteReference w:id="23"/>
      </w:r>
      <w:r w:rsidRPr="00FE3FA5">
        <w:rPr>
          <w:noProof/>
        </w:rPr>
        <w:t xml:space="preserve">. The EESC welcomes the Commission's initiative to establish a new European </w:t>
      </w:r>
      <w:r w:rsidR="00737930">
        <w:rPr>
          <w:noProof/>
        </w:rPr>
        <w:t>c</w:t>
      </w:r>
      <w:r w:rsidRPr="00FE3FA5">
        <w:rPr>
          <w:noProof/>
        </w:rPr>
        <w:t xml:space="preserve">are </w:t>
      </w:r>
      <w:r w:rsidR="00737930">
        <w:rPr>
          <w:noProof/>
        </w:rPr>
        <w:t>s</w:t>
      </w:r>
      <w:r w:rsidRPr="00FE3FA5">
        <w:rPr>
          <w:noProof/>
        </w:rPr>
        <w:t>trategy and calls for its swift implementation</w:t>
      </w:r>
      <w:r w:rsidRPr="00D12A97">
        <w:rPr>
          <w:rStyle w:val="FootnoteReference"/>
          <w:noProof/>
        </w:rPr>
        <w:footnoteReference w:id="24"/>
      </w:r>
      <w:r w:rsidR="00737930" w:rsidRPr="00FE3FA5">
        <w:rPr>
          <w:noProof/>
        </w:rPr>
        <w:t>.</w:t>
      </w:r>
      <w:r w:rsidRPr="00FE3FA5">
        <w:rPr>
          <w:noProof/>
        </w:rPr>
        <w:t xml:space="preserve"> It urges the European Commission and Member States to develop</w:t>
      </w:r>
      <w:r w:rsidR="00737930">
        <w:rPr>
          <w:noProof/>
        </w:rPr>
        <w:t>,</w:t>
      </w:r>
      <w:r w:rsidRPr="00FE3FA5">
        <w:rPr>
          <w:noProof/>
        </w:rPr>
        <w:t xml:space="preserve"> in the short term</w:t>
      </w:r>
      <w:r w:rsidR="00737930">
        <w:rPr>
          <w:noProof/>
        </w:rPr>
        <w:t>,</w:t>
      </w:r>
      <w:r w:rsidRPr="00FE3FA5">
        <w:rPr>
          <w:noProof/>
        </w:rPr>
        <w:t xml:space="preserve"> principles relating to care for older </w:t>
      </w:r>
      <w:r w:rsidR="00737930">
        <w:rPr>
          <w:noProof/>
        </w:rPr>
        <w:t>people</w:t>
      </w:r>
      <w:r w:rsidR="00737930" w:rsidRPr="00FE3FA5">
        <w:rPr>
          <w:noProof/>
        </w:rPr>
        <w:t xml:space="preserve"> </w:t>
      </w:r>
      <w:r w:rsidRPr="00FE3FA5">
        <w:rPr>
          <w:noProof/>
        </w:rPr>
        <w:t>within the European Pillar of Social Rights Action Plan.</w:t>
      </w:r>
    </w:p>
    <w:p w14:paraId="4A14C870" w14:textId="77777777" w:rsidR="00FE3FA5" w:rsidRPr="00B37158" w:rsidRDefault="00693BC2" w:rsidP="005460C2">
      <w:pPr>
        <w:pStyle w:val="Bullet0"/>
        <w:numPr>
          <w:ilvl w:val="0"/>
          <w:numId w:val="10"/>
        </w:numPr>
        <w:rPr>
          <w:noProof/>
          <w:lang w:val="en-IE"/>
        </w:rPr>
      </w:pPr>
      <w:r>
        <w:rPr>
          <w:noProof/>
        </w:rPr>
        <w:t>I</w:t>
      </w:r>
      <w:r w:rsidRPr="00FE3FA5">
        <w:rPr>
          <w:noProof/>
        </w:rPr>
        <w:t>n July 2021</w:t>
      </w:r>
      <w:r>
        <w:rPr>
          <w:noProof/>
        </w:rPr>
        <w:t>,</w:t>
      </w:r>
      <w:r w:rsidRPr="00FE3FA5">
        <w:rPr>
          <w:noProof/>
        </w:rPr>
        <w:t xml:space="preserve"> </w:t>
      </w:r>
      <w:r>
        <w:rPr>
          <w:noProof/>
        </w:rPr>
        <w:t>t</w:t>
      </w:r>
      <w:r w:rsidR="00FE3FA5" w:rsidRPr="00FE3FA5">
        <w:rPr>
          <w:noProof/>
        </w:rPr>
        <w:t xml:space="preserve">he </w:t>
      </w:r>
      <w:r w:rsidR="00FE3FA5" w:rsidRPr="005F1B23">
        <w:rPr>
          <w:b/>
          <w:noProof/>
        </w:rPr>
        <w:t>Co</w:t>
      </w:r>
      <w:r w:rsidR="00B3681A">
        <w:rPr>
          <w:b/>
          <w:noProof/>
        </w:rPr>
        <w:t>R</w:t>
      </w:r>
      <w:r w:rsidR="00FE3FA5" w:rsidRPr="00FE3FA5">
        <w:rPr>
          <w:noProof/>
        </w:rPr>
        <w:t xml:space="preserve"> adopted an opinion on the </w:t>
      </w:r>
      <w:r w:rsidR="00FE3FA5" w:rsidRPr="00442FA0">
        <w:rPr>
          <w:i/>
          <w:iCs/>
          <w:noProof/>
          <w:lang w:val="en-US"/>
        </w:rPr>
        <w:t>Future plan for care workers and care services – local and regional opportunities in the context of a European challenge</w:t>
      </w:r>
      <w:r w:rsidR="00FE3FA5" w:rsidRPr="00D12A97">
        <w:rPr>
          <w:rStyle w:val="FootnoteReference"/>
          <w:noProof/>
        </w:rPr>
        <w:footnoteReference w:id="25"/>
      </w:r>
      <w:r>
        <w:rPr>
          <w:i/>
          <w:iCs/>
          <w:noProof/>
          <w:lang w:val="en-IE"/>
        </w:rPr>
        <w:t>.</w:t>
      </w:r>
      <w:r w:rsidR="00526FEA" w:rsidRPr="00B37158">
        <w:rPr>
          <w:noProof/>
          <w:lang w:val="en-IE"/>
        </w:rPr>
        <w:t xml:space="preserve"> </w:t>
      </w:r>
      <w:r>
        <w:rPr>
          <w:noProof/>
          <w:lang w:val="en-IE"/>
        </w:rPr>
        <w:t xml:space="preserve">The opinion </w:t>
      </w:r>
      <w:r w:rsidR="00526FEA" w:rsidRPr="00B37158">
        <w:rPr>
          <w:noProof/>
          <w:lang w:val="en-IE"/>
        </w:rPr>
        <w:t>calls on the Commission to publish a European quality framework for long-term care and for an efficient system of comprehensive data collection and analysis</w:t>
      </w:r>
      <w:r w:rsidR="00FE3FA5" w:rsidRPr="00B37158">
        <w:rPr>
          <w:noProof/>
          <w:lang w:val="en-IE"/>
        </w:rPr>
        <w:t>.</w:t>
      </w:r>
    </w:p>
    <w:p w14:paraId="1A5A5E76" w14:textId="77777777" w:rsidR="00FE3FA5" w:rsidRDefault="004F4A95" w:rsidP="00620D3D">
      <w:pPr>
        <w:rPr>
          <w:rFonts w:eastAsia="Arial Unicode MS"/>
          <w:noProof/>
          <w:lang w:val="en-IE"/>
        </w:rPr>
      </w:pPr>
      <w:r w:rsidRPr="00D12A97">
        <w:rPr>
          <w:noProof/>
        </w:rPr>
        <w:t xml:space="preserve">The </w:t>
      </w:r>
      <w:r w:rsidRPr="00620D3D">
        <w:rPr>
          <w:b/>
          <w:noProof/>
        </w:rPr>
        <w:t>European Parliament</w:t>
      </w:r>
      <w:r w:rsidRPr="00D12A97">
        <w:rPr>
          <w:noProof/>
        </w:rPr>
        <w:t xml:space="preserve"> called on the Commission to present a plan to ensure the mental health, dignity and well</w:t>
      </w:r>
      <w:r w:rsidR="00693BC2">
        <w:rPr>
          <w:noProof/>
        </w:rPr>
        <w:t>-</w:t>
      </w:r>
      <w:r w:rsidRPr="00D12A97">
        <w:rPr>
          <w:noProof/>
        </w:rPr>
        <w:t xml:space="preserve">being of </w:t>
      </w:r>
      <w:r w:rsidR="00693BC2">
        <w:rPr>
          <w:noProof/>
        </w:rPr>
        <w:t>people</w:t>
      </w:r>
      <w:r w:rsidRPr="00D12A97">
        <w:rPr>
          <w:noProof/>
        </w:rPr>
        <w:t xml:space="preserve">, including older </w:t>
      </w:r>
      <w:r w:rsidR="00693BC2">
        <w:rPr>
          <w:noProof/>
        </w:rPr>
        <w:t>people</w:t>
      </w:r>
      <w:r w:rsidRPr="00804C2D">
        <w:rPr>
          <w:rStyle w:val="FootnoteReference"/>
          <w:noProof/>
        </w:rPr>
        <w:footnoteReference w:id="26"/>
      </w:r>
      <w:r w:rsidRPr="00D12A97">
        <w:rPr>
          <w:noProof/>
        </w:rPr>
        <w:t xml:space="preserve">, </w:t>
      </w:r>
      <w:r w:rsidR="00693BC2">
        <w:rPr>
          <w:noProof/>
        </w:rPr>
        <w:t xml:space="preserve">and </w:t>
      </w:r>
      <w:r w:rsidRPr="00804C2D">
        <w:rPr>
          <w:noProof/>
        </w:rPr>
        <w:t>underline</w:t>
      </w:r>
      <w:r>
        <w:rPr>
          <w:noProof/>
        </w:rPr>
        <w:t>d</w:t>
      </w:r>
      <w:r w:rsidRPr="00804C2D">
        <w:rPr>
          <w:noProof/>
        </w:rPr>
        <w:t xml:space="preserve"> the key role of adequately funded social protection schemes in making care affordable and truly accessible</w:t>
      </w:r>
      <w:r w:rsidRPr="00804C2D">
        <w:rPr>
          <w:rStyle w:val="FootnoteReference"/>
          <w:noProof/>
        </w:rPr>
        <w:footnoteReference w:id="27"/>
      </w:r>
      <w:r w:rsidRPr="00804C2D">
        <w:rPr>
          <w:noProof/>
        </w:rPr>
        <w:t xml:space="preserve">. It </w:t>
      </w:r>
      <w:r w:rsidR="00650F97">
        <w:rPr>
          <w:noProof/>
        </w:rPr>
        <w:t xml:space="preserve">also </w:t>
      </w:r>
      <w:r w:rsidRPr="00804C2D">
        <w:rPr>
          <w:noProof/>
        </w:rPr>
        <w:t>call</w:t>
      </w:r>
      <w:r>
        <w:rPr>
          <w:noProof/>
        </w:rPr>
        <w:t>ed</w:t>
      </w:r>
      <w:r w:rsidRPr="00D12A97">
        <w:rPr>
          <w:noProof/>
        </w:rPr>
        <w:t xml:space="preserve"> </w:t>
      </w:r>
      <w:r w:rsidRPr="00804C2D">
        <w:rPr>
          <w:noProof/>
        </w:rPr>
        <w:t>on Member States to ensure equal access to health and care services and on the Commission to put forward a ‘care deal for Europe’</w:t>
      </w:r>
      <w:r>
        <w:rPr>
          <w:rStyle w:val="FootnoteReference"/>
          <w:noProof/>
        </w:rPr>
        <w:footnoteReference w:id="28"/>
      </w:r>
      <w:r w:rsidRPr="00804C2D">
        <w:rPr>
          <w:noProof/>
        </w:rPr>
        <w:t>.</w:t>
      </w:r>
      <w:r>
        <w:rPr>
          <w:noProof/>
        </w:rPr>
        <w:t xml:space="preserve"> </w:t>
      </w:r>
      <w:r w:rsidR="00146C8D">
        <w:rPr>
          <w:noProof/>
        </w:rPr>
        <w:t>In its</w:t>
      </w:r>
      <w:r>
        <w:rPr>
          <w:noProof/>
        </w:rPr>
        <w:t xml:space="preserve"> </w:t>
      </w:r>
      <w:r w:rsidR="00146C8D">
        <w:rPr>
          <w:noProof/>
        </w:rPr>
        <w:t xml:space="preserve">most recent </w:t>
      </w:r>
      <w:r w:rsidRPr="00FE3FA5">
        <w:rPr>
          <w:rFonts w:eastAsia="Arial Unicode MS"/>
          <w:noProof/>
          <w:lang w:val="en-IE"/>
        </w:rPr>
        <w:t>own initiative report ‘Towards a C</w:t>
      </w:r>
      <w:r>
        <w:rPr>
          <w:rFonts w:eastAsia="Arial Unicode MS"/>
          <w:noProof/>
          <w:lang w:val="en-IE"/>
        </w:rPr>
        <w:t>ommon European action on care’</w:t>
      </w:r>
      <w:r w:rsidR="00706F00">
        <w:rPr>
          <w:rStyle w:val="FootnoteReference"/>
          <w:rFonts w:eastAsia="Arial Unicode MS"/>
          <w:noProof/>
          <w:lang w:val="en-IE"/>
        </w:rPr>
        <w:footnoteReference w:id="29"/>
      </w:r>
      <w:r w:rsidR="00146C8D">
        <w:rPr>
          <w:rFonts w:eastAsia="Arial Unicode MS"/>
          <w:noProof/>
          <w:lang w:val="en-IE"/>
        </w:rPr>
        <w:t xml:space="preserve">, it called for </w:t>
      </w:r>
      <w:r w:rsidR="00146C8D" w:rsidRPr="00146C8D">
        <w:rPr>
          <w:rFonts w:eastAsia="Arial Unicode MS"/>
          <w:noProof/>
          <w:lang w:val="en-IE"/>
        </w:rPr>
        <w:t>the Commission to present an ambitious, robust and future-proof European care strategy that builds on everyone’s right to affordable, ac</w:t>
      </w:r>
      <w:r w:rsidR="00146C8D">
        <w:rPr>
          <w:rFonts w:eastAsia="Arial Unicode MS"/>
          <w:noProof/>
          <w:lang w:val="en-IE"/>
        </w:rPr>
        <w:t xml:space="preserve">cessible and high-quality care </w:t>
      </w:r>
      <w:r w:rsidR="00146C8D" w:rsidRPr="00146C8D">
        <w:rPr>
          <w:rFonts w:eastAsia="Arial Unicode MS"/>
          <w:noProof/>
          <w:lang w:val="en-IE"/>
        </w:rPr>
        <w:t>and the individual rights and needs of both care recipients and carers, and that encompasses the entire life course, targeting and responding to the needs of people at critical periods throughout their lifetime, laying the ground for continuity of care services throughout the lifespan and fostering solidarity between generations</w:t>
      </w:r>
      <w:r w:rsidR="00146C8D">
        <w:rPr>
          <w:rFonts w:eastAsia="Arial Unicode MS"/>
          <w:noProof/>
          <w:lang w:val="en-IE"/>
        </w:rPr>
        <w:t>.</w:t>
      </w:r>
    </w:p>
    <w:p w14:paraId="17E68C51" w14:textId="77777777" w:rsidR="0070625F" w:rsidRDefault="0070625F" w:rsidP="00620D3D">
      <w:pPr>
        <w:rPr>
          <w:rFonts w:eastAsia="Arial Unicode MS"/>
          <w:noProof/>
          <w:lang w:val="en-IE"/>
        </w:rPr>
      </w:pPr>
      <w:r w:rsidRPr="00D12A97">
        <w:rPr>
          <w:noProof/>
        </w:rPr>
        <w:t xml:space="preserve">The </w:t>
      </w:r>
      <w:r w:rsidRPr="00442FA0">
        <w:rPr>
          <w:b/>
          <w:noProof/>
        </w:rPr>
        <w:t>Council</w:t>
      </w:r>
      <w:r w:rsidRPr="00D12A97">
        <w:rPr>
          <w:noProof/>
        </w:rPr>
        <w:t xml:space="preserve"> </w:t>
      </w:r>
      <w:r w:rsidRPr="00804C2D">
        <w:rPr>
          <w:noProof/>
        </w:rPr>
        <w:t>invited Member States and the Commission to improve the availability of high-quality long-term care and the sustainability and adequacy of social protection systems</w:t>
      </w:r>
      <w:r w:rsidRPr="00804C2D">
        <w:rPr>
          <w:rStyle w:val="FootnoteReference"/>
          <w:noProof/>
        </w:rPr>
        <w:footnoteReference w:id="30"/>
      </w:r>
      <w:r w:rsidRPr="00804C2D">
        <w:rPr>
          <w:noProof/>
        </w:rPr>
        <w:t xml:space="preserve">, </w:t>
      </w:r>
      <w:r>
        <w:rPr>
          <w:noProof/>
        </w:rPr>
        <w:t xml:space="preserve">to </w:t>
      </w:r>
      <w:r w:rsidRPr="00804C2D">
        <w:rPr>
          <w:noProof/>
        </w:rPr>
        <w:t>use digitalisation to make</w:t>
      </w:r>
      <w:r w:rsidRPr="00D12A97">
        <w:rPr>
          <w:noProof/>
        </w:rPr>
        <w:t xml:space="preserve"> health, social and long-term care services easily accessible and user</w:t>
      </w:r>
      <w:r>
        <w:rPr>
          <w:noProof/>
        </w:rPr>
        <w:t>-</w:t>
      </w:r>
      <w:r w:rsidRPr="00D12A97">
        <w:rPr>
          <w:noProof/>
        </w:rPr>
        <w:t>friendly</w:t>
      </w:r>
      <w:r w:rsidRPr="00804C2D">
        <w:rPr>
          <w:rStyle w:val="FootnoteReference"/>
          <w:noProof/>
        </w:rPr>
        <w:footnoteReference w:id="31"/>
      </w:r>
      <w:r w:rsidRPr="00D12A97">
        <w:rPr>
          <w:noProof/>
        </w:rPr>
        <w:t xml:space="preserve">, and </w:t>
      </w:r>
      <w:r>
        <w:rPr>
          <w:noProof/>
        </w:rPr>
        <w:t xml:space="preserve">to </w:t>
      </w:r>
      <w:r w:rsidRPr="00D12A97">
        <w:rPr>
          <w:noProof/>
        </w:rPr>
        <w:t>develop services that provide person-centred and integrated care, including for persons with disabilities</w:t>
      </w:r>
      <w:r w:rsidRPr="00804C2D">
        <w:rPr>
          <w:rStyle w:val="FootnoteReference"/>
          <w:noProof/>
        </w:rPr>
        <w:footnoteReference w:id="32"/>
      </w:r>
      <w:r w:rsidRPr="00D12A97">
        <w:rPr>
          <w:noProof/>
        </w:rPr>
        <w:t>.</w:t>
      </w:r>
    </w:p>
    <w:p w14:paraId="02A1C2CA" w14:textId="77777777" w:rsidR="00FE3FA5" w:rsidRPr="00FE3FA5" w:rsidRDefault="00FE3FA5" w:rsidP="00832AA4">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t>Collection and use of expertise</w:t>
      </w:r>
    </w:p>
    <w:p w14:paraId="12BA7E2D" w14:textId="77777777" w:rsidR="00FE3FA5" w:rsidRPr="00804C2D" w:rsidRDefault="00FE3FA5" w:rsidP="005F1B23">
      <w:pPr>
        <w:rPr>
          <w:noProof/>
        </w:rPr>
      </w:pPr>
      <w:r w:rsidRPr="00FE3FA5">
        <w:rPr>
          <w:noProof/>
        </w:rPr>
        <w:t xml:space="preserve">The proposal is underpinned by a </w:t>
      </w:r>
      <w:r w:rsidRPr="00D910EB">
        <w:rPr>
          <w:b/>
          <w:noProof/>
        </w:rPr>
        <w:t>Commission staff working document</w:t>
      </w:r>
      <w:r w:rsidR="00FC053C" w:rsidRPr="00FC053C">
        <w:rPr>
          <w:rStyle w:val="FootnoteReference"/>
          <w:noProof/>
        </w:rPr>
        <w:footnoteReference w:id="33"/>
      </w:r>
      <w:r w:rsidRPr="00FE3FA5">
        <w:rPr>
          <w:noProof/>
        </w:rPr>
        <w:t xml:space="preserve">  and is </w:t>
      </w:r>
      <w:r w:rsidRPr="00804C2D">
        <w:rPr>
          <w:noProof/>
        </w:rPr>
        <w:t>based on the most recent relevant studies and reports, including:</w:t>
      </w:r>
    </w:p>
    <w:p w14:paraId="17874012" w14:textId="77777777" w:rsidR="00FE3FA5" w:rsidRPr="00BC5D0C" w:rsidRDefault="00814892" w:rsidP="005460C2">
      <w:pPr>
        <w:pStyle w:val="Bullet0"/>
        <w:numPr>
          <w:ilvl w:val="0"/>
          <w:numId w:val="11"/>
        </w:numPr>
        <w:rPr>
          <w:noProof/>
        </w:rPr>
      </w:pPr>
      <w:hyperlink r:id="rId42" w:history="1">
        <w:r w:rsidR="00FE3FA5" w:rsidRPr="00442FA0">
          <w:rPr>
            <w:rStyle w:val="Hyperlink"/>
            <w:i/>
            <w:iCs/>
            <w:noProof/>
          </w:rPr>
          <w:t xml:space="preserve">2021 Long-term </w:t>
        </w:r>
        <w:r w:rsidR="00693BC2" w:rsidRPr="00442FA0">
          <w:rPr>
            <w:rStyle w:val="Hyperlink"/>
            <w:i/>
            <w:iCs/>
            <w:noProof/>
          </w:rPr>
          <w:t>c</w:t>
        </w:r>
        <w:r w:rsidR="00FE3FA5" w:rsidRPr="00442FA0">
          <w:rPr>
            <w:rStyle w:val="Hyperlink"/>
            <w:i/>
            <w:iCs/>
            <w:noProof/>
          </w:rPr>
          <w:t xml:space="preserve">are </w:t>
        </w:r>
        <w:r w:rsidR="00693BC2" w:rsidRPr="00442FA0">
          <w:rPr>
            <w:rStyle w:val="Hyperlink"/>
            <w:i/>
            <w:iCs/>
            <w:noProof/>
          </w:rPr>
          <w:t>r</w:t>
        </w:r>
        <w:r w:rsidR="00FE3FA5" w:rsidRPr="00442FA0">
          <w:rPr>
            <w:rStyle w:val="Hyperlink"/>
            <w:i/>
            <w:iCs/>
            <w:noProof/>
          </w:rPr>
          <w:t>eport</w:t>
        </w:r>
      </w:hyperlink>
      <w:r w:rsidR="00FE3FA5" w:rsidRPr="00BC5D0C">
        <w:rPr>
          <w:noProof/>
        </w:rPr>
        <w:t>, jointly prepared by the Social Protection Committee and the European Commission</w:t>
      </w:r>
      <w:r w:rsidR="005C0DD1">
        <w:rPr>
          <w:noProof/>
        </w:rPr>
        <w:t xml:space="preserve"> (DG EMPL)</w:t>
      </w:r>
      <w:r w:rsidR="00FE3FA5" w:rsidRPr="00BC5D0C">
        <w:rPr>
          <w:noProof/>
        </w:rPr>
        <w:t>;</w:t>
      </w:r>
    </w:p>
    <w:p w14:paraId="3AB1B41A" w14:textId="77777777" w:rsidR="00FE3FA5" w:rsidRPr="00BC5D0C" w:rsidRDefault="00FE3FA5" w:rsidP="005460C2">
      <w:pPr>
        <w:pStyle w:val="Bullet0"/>
        <w:numPr>
          <w:ilvl w:val="0"/>
          <w:numId w:val="11"/>
        </w:numPr>
        <w:rPr>
          <w:noProof/>
        </w:rPr>
      </w:pPr>
      <w:r w:rsidRPr="00442FA0">
        <w:rPr>
          <w:i/>
          <w:iCs/>
          <w:noProof/>
        </w:rPr>
        <w:t>Estimating the Effects of Social Protection for Long-Term Care in Old Age in Europe</w:t>
      </w:r>
      <w:r w:rsidRPr="00BC5D0C">
        <w:rPr>
          <w:noProof/>
        </w:rPr>
        <w:t>, Organisation for Economic Cooperation and Development (OECD) (forthcoming);</w:t>
      </w:r>
    </w:p>
    <w:p w14:paraId="4E5720D0" w14:textId="77777777" w:rsidR="00FE3FA5" w:rsidRPr="00BC5D0C" w:rsidRDefault="00814892" w:rsidP="005460C2">
      <w:pPr>
        <w:pStyle w:val="Bullet0"/>
        <w:numPr>
          <w:ilvl w:val="0"/>
          <w:numId w:val="11"/>
        </w:numPr>
        <w:rPr>
          <w:noProof/>
        </w:rPr>
      </w:pPr>
      <w:hyperlink r:id="rId43" w:history="1">
        <w:r w:rsidR="00FE3FA5" w:rsidRPr="00442FA0">
          <w:rPr>
            <w:rStyle w:val="Hyperlink"/>
            <w:i/>
            <w:iCs/>
            <w:noProof/>
          </w:rPr>
          <w:t>Challenges in long-term care in Europe</w:t>
        </w:r>
      </w:hyperlink>
      <w:r w:rsidR="00FE3FA5" w:rsidRPr="00BC5D0C">
        <w:rPr>
          <w:noProof/>
        </w:rPr>
        <w:t>, European Social Policy Network (2018);</w:t>
      </w:r>
    </w:p>
    <w:p w14:paraId="7F929D75" w14:textId="77777777" w:rsidR="00FE3FA5" w:rsidRPr="00BC5D0C" w:rsidRDefault="00814892" w:rsidP="005460C2">
      <w:pPr>
        <w:pStyle w:val="Bullet0"/>
        <w:numPr>
          <w:ilvl w:val="0"/>
          <w:numId w:val="11"/>
        </w:numPr>
        <w:rPr>
          <w:noProof/>
        </w:rPr>
      </w:pPr>
      <w:hyperlink r:id="rId44" w:history="1">
        <w:r w:rsidR="00FE3FA5" w:rsidRPr="00442FA0">
          <w:rPr>
            <w:rStyle w:val="Hyperlink"/>
            <w:i/>
            <w:iCs/>
            <w:noProof/>
          </w:rPr>
          <w:t>Mapping long-term care quality practices in the EU</w:t>
        </w:r>
      </w:hyperlink>
      <w:r w:rsidR="00FE3FA5" w:rsidRPr="00BC5D0C">
        <w:rPr>
          <w:noProof/>
        </w:rPr>
        <w:t xml:space="preserve">, </w:t>
      </w:r>
      <w:r w:rsidR="00801127" w:rsidRPr="00801127">
        <w:rPr>
          <w:noProof/>
        </w:rPr>
        <w:t xml:space="preserve">European Social Policy Network </w:t>
      </w:r>
      <w:r w:rsidR="00FE3FA5" w:rsidRPr="00BC5D0C">
        <w:rPr>
          <w:noProof/>
        </w:rPr>
        <w:t>(2020)</w:t>
      </w:r>
      <w:r w:rsidR="00A873FC">
        <w:rPr>
          <w:noProof/>
        </w:rPr>
        <w:t>;</w:t>
      </w:r>
    </w:p>
    <w:p w14:paraId="36AF7FCD" w14:textId="77777777" w:rsidR="00FE3FA5" w:rsidRPr="00BC5D0C" w:rsidRDefault="00814892" w:rsidP="005460C2">
      <w:pPr>
        <w:pStyle w:val="Bullet0"/>
        <w:numPr>
          <w:ilvl w:val="0"/>
          <w:numId w:val="11"/>
        </w:numPr>
        <w:rPr>
          <w:noProof/>
        </w:rPr>
      </w:pPr>
      <w:hyperlink r:id="rId45" w:history="1">
        <w:r w:rsidR="00FE3FA5" w:rsidRPr="00442FA0">
          <w:rPr>
            <w:rStyle w:val="Hyperlink"/>
            <w:i/>
            <w:iCs/>
            <w:noProof/>
          </w:rPr>
          <w:t>Study on exploring the incidence and costs of informal long-term care in the European Union</w:t>
        </w:r>
      </w:hyperlink>
      <w:r w:rsidR="00FE3FA5" w:rsidRPr="00BC5D0C">
        <w:rPr>
          <w:noProof/>
        </w:rPr>
        <w:t>, Ecorys (2021);</w:t>
      </w:r>
    </w:p>
    <w:p w14:paraId="05C69D57" w14:textId="77777777" w:rsidR="00FE3FA5" w:rsidRPr="00BC5D0C" w:rsidRDefault="00814892" w:rsidP="005460C2">
      <w:pPr>
        <w:pStyle w:val="Bullet0"/>
        <w:numPr>
          <w:ilvl w:val="0"/>
          <w:numId w:val="11"/>
        </w:numPr>
        <w:rPr>
          <w:noProof/>
        </w:rPr>
      </w:pPr>
      <w:hyperlink r:id="rId46" w:history="1">
        <w:r w:rsidR="00FE3FA5" w:rsidRPr="00442FA0">
          <w:rPr>
            <w:rStyle w:val="Hyperlink"/>
            <w:i/>
            <w:iCs/>
            <w:noProof/>
          </w:rPr>
          <w:t>Study on the long-term care supply and market in EU Member States</w:t>
        </w:r>
      </w:hyperlink>
      <w:r w:rsidR="00FE3FA5" w:rsidRPr="00BC5D0C">
        <w:rPr>
          <w:noProof/>
        </w:rPr>
        <w:t>, KPMG (2021);</w:t>
      </w:r>
    </w:p>
    <w:p w14:paraId="2F8EB91F" w14:textId="77777777" w:rsidR="00FE3FA5" w:rsidRPr="00BC5D0C" w:rsidRDefault="00814892" w:rsidP="005460C2">
      <w:pPr>
        <w:pStyle w:val="Bullet0"/>
        <w:numPr>
          <w:ilvl w:val="0"/>
          <w:numId w:val="11"/>
        </w:numPr>
        <w:rPr>
          <w:noProof/>
        </w:rPr>
      </w:pPr>
      <w:hyperlink r:id="rId47" w:history="1">
        <w:r w:rsidR="00FE3FA5" w:rsidRPr="00442FA0">
          <w:rPr>
            <w:rStyle w:val="Hyperlink"/>
            <w:i/>
            <w:iCs/>
            <w:noProof/>
          </w:rPr>
          <w:t>COVID-19 and older people: Impact on their lives, support and care</w:t>
        </w:r>
      </w:hyperlink>
      <w:r w:rsidR="00FE3FA5" w:rsidRPr="00BC5D0C">
        <w:rPr>
          <w:noProof/>
        </w:rPr>
        <w:t>, Eurofound (2021);</w:t>
      </w:r>
    </w:p>
    <w:p w14:paraId="11609BAD" w14:textId="77777777" w:rsidR="00FE3FA5" w:rsidRPr="00BC5D0C" w:rsidRDefault="00814892" w:rsidP="005460C2">
      <w:pPr>
        <w:pStyle w:val="Bullet0"/>
        <w:numPr>
          <w:ilvl w:val="0"/>
          <w:numId w:val="11"/>
        </w:numPr>
        <w:rPr>
          <w:noProof/>
        </w:rPr>
      </w:pPr>
      <w:hyperlink r:id="rId48" w:history="1">
        <w:r w:rsidR="00FE3FA5" w:rsidRPr="00442FA0">
          <w:rPr>
            <w:rStyle w:val="Hyperlink"/>
            <w:i/>
            <w:iCs/>
            <w:noProof/>
          </w:rPr>
          <w:t>Who Cares? Attracting and Retaining Care Workers</w:t>
        </w:r>
      </w:hyperlink>
      <w:r w:rsidR="00FE3FA5" w:rsidRPr="00BC5D0C">
        <w:rPr>
          <w:noProof/>
        </w:rPr>
        <w:t>, OECD (2020);</w:t>
      </w:r>
    </w:p>
    <w:p w14:paraId="42410547" w14:textId="77777777" w:rsidR="00FE3FA5" w:rsidRDefault="00814892" w:rsidP="005460C2">
      <w:pPr>
        <w:pStyle w:val="Bullet0"/>
        <w:numPr>
          <w:ilvl w:val="0"/>
          <w:numId w:val="11"/>
        </w:numPr>
        <w:rPr>
          <w:noProof/>
        </w:rPr>
      </w:pPr>
      <w:hyperlink r:id="rId49" w:history="1">
        <w:r w:rsidR="00FE3FA5" w:rsidRPr="00442FA0">
          <w:rPr>
            <w:rStyle w:val="Hyperlink"/>
            <w:i/>
            <w:iCs/>
            <w:noProof/>
          </w:rPr>
          <w:t>Long-term care workforce: employment and working conditions</w:t>
        </w:r>
      </w:hyperlink>
      <w:r w:rsidR="00FE3FA5" w:rsidRPr="00BC5D0C">
        <w:rPr>
          <w:noProof/>
        </w:rPr>
        <w:t>, Eurofound (2021);</w:t>
      </w:r>
    </w:p>
    <w:p w14:paraId="53744EEE" w14:textId="77777777" w:rsidR="00860918" w:rsidRDefault="00814892" w:rsidP="005460C2">
      <w:pPr>
        <w:pStyle w:val="Bullet0"/>
        <w:numPr>
          <w:ilvl w:val="0"/>
          <w:numId w:val="11"/>
        </w:numPr>
        <w:rPr>
          <w:noProof/>
        </w:rPr>
      </w:pPr>
      <w:hyperlink r:id="rId50" w:history="1">
        <w:r w:rsidR="00860918" w:rsidRPr="00442FA0">
          <w:rPr>
            <w:rStyle w:val="Hyperlink"/>
            <w:i/>
            <w:iCs/>
            <w:noProof/>
          </w:rPr>
          <w:t>The 2021 Ageing Report:</w:t>
        </w:r>
      </w:hyperlink>
      <w:r w:rsidR="00860918" w:rsidRPr="00442FA0">
        <w:rPr>
          <w:i/>
          <w:iCs/>
          <w:noProof/>
        </w:rPr>
        <w:t xml:space="preserve"> </w:t>
      </w:r>
      <w:r w:rsidR="00860918" w:rsidRPr="00442FA0">
        <w:rPr>
          <w:rStyle w:val="Hyperlink"/>
          <w:i/>
          <w:iCs/>
          <w:noProof/>
        </w:rPr>
        <w:t>Economic and Budgetary Projections for the EU Member States (2019-2070),</w:t>
      </w:r>
      <w:r w:rsidR="00860918" w:rsidRPr="00442FA0">
        <w:rPr>
          <w:rStyle w:val="Hyperlink"/>
          <w:noProof/>
        </w:rPr>
        <w:t xml:space="preserve"> </w:t>
      </w:r>
      <w:r w:rsidR="00860918">
        <w:rPr>
          <w:noProof/>
        </w:rPr>
        <w:t>European Commission (DG ECFIN), Economic Policy Committee (Ageing Working Group).</w:t>
      </w:r>
    </w:p>
    <w:p w14:paraId="3004EE02" w14:textId="77777777" w:rsidR="00FE3FA5" w:rsidRPr="00804C2D" w:rsidRDefault="00FE3FA5" w:rsidP="005F1B23">
      <w:pPr>
        <w:rPr>
          <w:rFonts w:eastAsia="Arial Unicode MS"/>
          <w:b/>
          <w:noProof/>
          <w:u w:color="000000"/>
          <w:bdr w:val="nil"/>
          <w:lang w:val="en-US" w:eastAsia="en-GB"/>
        </w:rPr>
      </w:pPr>
      <w:r w:rsidRPr="00804C2D">
        <w:rPr>
          <w:rFonts w:eastAsia="Arial Unicode MS"/>
          <w:b/>
          <w:noProof/>
          <w:u w:color="000000"/>
          <w:bdr w:val="nil"/>
          <w:lang w:val="en-US" w:eastAsia="en-GB"/>
        </w:rPr>
        <w:t>•</w:t>
      </w:r>
      <w:r w:rsidRPr="00804C2D">
        <w:rPr>
          <w:rFonts w:eastAsia="Arial Unicode MS"/>
          <w:b/>
          <w:noProof/>
          <w:u w:color="000000"/>
          <w:bdr w:val="nil"/>
          <w:lang w:val="en-US" w:eastAsia="en-GB"/>
        </w:rPr>
        <w:tab/>
        <w:t>Impact assessment</w:t>
      </w:r>
    </w:p>
    <w:p w14:paraId="482B8BA2" w14:textId="4FA2B471" w:rsidR="00FE3FA5" w:rsidRPr="00771220" w:rsidRDefault="00FE3FA5" w:rsidP="005F1B23">
      <w:pPr>
        <w:rPr>
          <w:noProof/>
        </w:rPr>
      </w:pPr>
      <w:r w:rsidRPr="00FE3FA5">
        <w:rPr>
          <w:noProof/>
        </w:rPr>
        <w:t xml:space="preserve">The </w:t>
      </w:r>
      <w:r w:rsidR="00B503E5">
        <w:rPr>
          <w:noProof/>
        </w:rPr>
        <w:t xml:space="preserve">proposed </w:t>
      </w:r>
      <w:r w:rsidRPr="00FE3FA5">
        <w:rPr>
          <w:noProof/>
        </w:rPr>
        <w:t>instrument offers guidance to Member States on how to improve access to affordable</w:t>
      </w:r>
      <w:r w:rsidR="00F72AB5">
        <w:rPr>
          <w:noProof/>
        </w:rPr>
        <w:t>,</w:t>
      </w:r>
      <w:r w:rsidRPr="00FE3FA5">
        <w:rPr>
          <w:noProof/>
        </w:rPr>
        <w:t xml:space="preserve"> high</w:t>
      </w:r>
      <w:r w:rsidR="00F72AB5">
        <w:rPr>
          <w:noProof/>
        </w:rPr>
        <w:t>-</w:t>
      </w:r>
      <w:r w:rsidRPr="00FE3FA5">
        <w:rPr>
          <w:noProof/>
        </w:rPr>
        <w:t>quality</w:t>
      </w:r>
      <w:r w:rsidR="00F72AB5">
        <w:rPr>
          <w:noProof/>
        </w:rPr>
        <w:t>,</w:t>
      </w:r>
      <w:r w:rsidRPr="00FE3FA5">
        <w:rPr>
          <w:noProof/>
        </w:rPr>
        <w:t xml:space="preserve"> long-term care, allowing Member States the flexibility to design and implement measures according to their national practices. Consequently, no impact assessment is needed. Furthermore, the impact of </w:t>
      </w:r>
      <w:r w:rsidR="00B503E5" w:rsidRPr="00FE3FA5">
        <w:rPr>
          <w:noProof/>
        </w:rPr>
        <w:t>th</w:t>
      </w:r>
      <w:r w:rsidR="00B503E5">
        <w:rPr>
          <w:noProof/>
        </w:rPr>
        <w:t>is</w:t>
      </w:r>
      <w:r w:rsidR="00B503E5" w:rsidRPr="00FE3FA5">
        <w:rPr>
          <w:noProof/>
        </w:rPr>
        <w:t xml:space="preserve"> </w:t>
      </w:r>
      <w:r w:rsidR="00F72AB5">
        <w:rPr>
          <w:noProof/>
        </w:rPr>
        <w:t>r</w:t>
      </w:r>
      <w:r w:rsidRPr="00FE3FA5">
        <w:rPr>
          <w:noProof/>
        </w:rPr>
        <w:t>ecommendation will depend not only on how Member States implement the measures, but also on country-specific circumstances, such as the macroeconomic situation, the design of social protection systems and social services</w:t>
      </w:r>
      <w:r w:rsidR="00F72AB5">
        <w:rPr>
          <w:noProof/>
        </w:rPr>
        <w:t>,</w:t>
      </w:r>
      <w:r w:rsidRPr="00FE3FA5">
        <w:rPr>
          <w:noProof/>
        </w:rPr>
        <w:t xml:space="preserve"> and the</w:t>
      </w:r>
      <w:r w:rsidR="00996FBD">
        <w:rPr>
          <w:noProof/>
        </w:rPr>
        <w:t xml:space="preserve"> structure and</w:t>
      </w:r>
      <w:r w:rsidRPr="00FE3FA5">
        <w:rPr>
          <w:noProof/>
        </w:rPr>
        <w:t xml:space="preserve"> functioning of the labour market</w:t>
      </w:r>
      <w:r w:rsidR="00F72AB5">
        <w:rPr>
          <w:noProof/>
        </w:rPr>
        <w:t>.</w:t>
      </w:r>
      <w:r w:rsidRPr="00FE3FA5">
        <w:rPr>
          <w:noProof/>
        </w:rPr>
        <w:t xml:space="preserve"> </w:t>
      </w:r>
      <w:r w:rsidR="00F72AB5">
        <w:rPr>
          <w:noProof/>
        </w:rPr>
        <w:t>Th</w:t>
      </w:r>
      <w:r w:rsidR="00B503E5">
        <w:rPr>
          <w:noProof/>
        </w:rPr>
        <w:t>ose circumstance</w:t>
      </w:r>
      <w:r w:rsidR="007C2C3F">
        <w:rPr>
          <w:noProof/>
        </w:rPr>
        <w:t>s</w:t>
      </w:r>
      <w:r w:rsidR="00B503E5">
        <w:rPr>
          <w:noProof/>
        </w:rPr>
        <w:t xml:space="preserve"> </w:t>
      </w:r>
      <w:r w:rsidRPr="00FE3FA5">
        <w:rPr>
          <w:noProof/>
        </w:rPr>
        <w:t xml:space="preserve">make it difficult to disentangle the specific impact of the proposal from other factors. </w:t>
      </w:r>
      <w:r w:rsidR="00771220" w:rsidRPr="00771220">
        <w:rPr>
          <w:noProof/>
        </w:rPr>
        <w:t xml:space="preserve">The proposal </w:t>
      </w:r>
      <w:r w:rsidR="00CA34FD">
        <w:rPr>
          <w:noProof/>
        </w:rPr>
        <w:t>is</w:t>
      </w:r>
      <w:r w:rsidR="00771220" w:rsidRPr="00771220">
        <w:rPr>
          <w:noProof/>
        </w:rPr>
        <w:t xml:space="preserve"> accompanie</w:t>
      </w:r>
      <w:r w:rsidR="00DE249A">
        <w:rPr>
          <w:noProof/>
        </w:rPr>
        <w:t>d</w:t>
      </w:r>
      <w:r w:rsidR="00771220" w:rsidRPr="00771220">
        <w:rPr>
          <w:noProof/>
        </w:rPr>
        <w:t xml:space="preserve"> by a </w:t>
      </w:r>
      <w:r w:rsidR="00F72AB5">
        <w:rPr>
          <w:noProof/>
        </w:rPr>
        <w:t>s</w:t>
      </w:r>
      <w:r w:rsidR="00771220" w:rsidRPr="00771220">
        <w:rPr>
          <w:noProof/>
        </w:rPr>
        <w:t xml:space="preserve">taff </w:t>
      </w:r>
      <w:r w:rsidR="00F72AB5">
        <w:rPr>
          <w:noProof/>
        </w:rPr>
        <w:t>w</w:t>
      </w:r>
      <w:r w:rsidR="00771220" w:rsidRPr="00771220">
        <w:rPr>
          <w:noProof/>
        </w:rPr>
        <w:t xml:space="preserve">orking </w:t>
      </w:r>
      <w:r w:rsidR="00F72AB5">
        <w:rPr>
          <w:noProof/>
        </w:rPr>
        <w:t>d</w:t>
      </w:r>
      <w:r w:rsidR="00771220" w:rsidRPr="00771220">
        <w:rPr>
          <w:noProof/>
        </w:rPr>
        <w:t>ocument, which tak</w:t>
      </w:r>
      <w:r w:rsidR="00F72AB5">
        <w:rPr>
          <w:noProof/>
        </w:rPr>
        <w:t>e</w:t>
      </w:r>
      <w:r w:rsidR="00CA34FD">
        <w:rPr>
          <w:noProof/>
        </w:rPr>
        <w:t>s</w:t>
      </w:r>
      <w:r w:rsidR="00771220" w:rsidRPr="00771220">
        <w:rPr>
          <w:noProof/>
        </w:rPr>
        <w:t xml:space="preserve"> stock of the long-term care challenges and explore</w:t>
      </w:r>
      <w:r w:rsidR="00CA34FD">
        <w:rPr>
          <w:noProof/>
        </w:rPr>
        <w:t>s</w:t>
      </w:r>
      <w:r w:rsidR="00771220" w:rsidRPr="00771220">
        <w:rPr>
          <w:noProof/>
        </w:rPr>
        <w:t xml:space="preserve"> possible avenues for action</w:t>
      </w:r>
      <w:r w:rsidR="00771220">
        <w:rPr>
          <w:noProof/>
        </w:rPr>
        <w:t>.</w:t>
      </w:r>
    </w:p>
    <w:p w14:paraId="49989593" w14:textId="77777777" w:rsidR="00FE3FA5" w:rsidRPr="00FE3FA5" w:rsidRDefault="00FE3FA5" w:rsidP="005F1B23">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t>Regulatory fitness and simplification</w:t>
      </w:r>
    </w:p>
    <w:p w14:paraId="7DAF0C6E" w14:textId="77777777" w:rsidR="00FE3FA5" w:rsidRPr="00FE3FA5" w:rsidRDefault="00FE3FA5" w:rsidP="005F1B23">
      <w:pPr>
        <w:rPr>
          <w:noProof/>
        </w:rPr>
      </w:pPr>
      <w:r w:rsidRPr="00FE3FA5">
        <w:rPr>
          <w:noProof/>
        </w:rPr>
        <w:t>Not applicable.</w:t>
      </w:r>
    </w:p>
    <w:p w14:paraId="3F7CC49B" w14:textId="77777777" w:rsidR="00FE3FA5" w:rsidRPr="00FE3FA5" w:rsidRDefault="00FE3FA5" w:rsidP="005F1B23">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t>Fundamental rights</w:t>
      </w:r>
    </w:p>
    <w:p w14:paraId="308F56D6" w14:textId="77777777" w:rsidR="00FE3FA5" w:rsidRPr="00FE3FA5" w:rsidRDefault="00FE3FA5" w:rsidP="005F1B23">
      <w:pPr>
        <w:rPr>
          <w:noProof/>
        </w:rPr>
      </w:pPr>
      <w:r w:rsidRPr="00FE3FA5">
        <w:rPr>
          <w:noProof/>
        </w:rPr>
        <w:t>Th</w:t>
      </w:r>
      <w:r w:rsidR="000B7748">
        <w:rPr>
          <w:noProof/>
        </w:rPr>
        <w:t>is</w:t>
      </w:r>
      <w:r w:rsidRPr="00FE3FA5">
        <w:rPr>
          <w:noProof/>
        </w:rPr>
        <w:t xml:space="preserve"> </w:t>
      </w:r>
      <w:r w:rsidR="00F72AB5">
        <w:rPr>
          <w:noProof/>
        </w:rPr>
        <w:t>r</w:t>
      </w:r>
      <w:r w:rsidRPr="00FE3FA5">
        <w:rPr>
          <w:noProof/>
        </w:rPr>
        <w:t xml:space="preserve">ecommendation respects the fundamental rights and observes the principles recognised by the </w:t>
      </w:r>
      <w:hyperlink r:id="rId51" w:history="1">
        <w:r w:rsidRPr="00FE3FA5">
          <w:rPr>
            <w:noProof/>
            <w:color w:val="0000FF" w:themeColor="hyperlink"/>
            <w:u w:val="single"/>
          </w:rPr>
          <w:t>Charter of Fundamental Rights of the European Union</w:t>
        </w:r>
      </w:hyperlink>
      <w:r w:rsidRPr="00FE3FA5">
        <w:rPr>
          <w:noProof/>
        </w:rPr>
        <w:t>. In particular, th</w:t>
      </w:r>
      <w:r w:rsidR="000B7748">
        <w:rPr>
          <w:noProof/>
        </w:rPr>
        <w:t>is</w:t>
      </w:r>
      <w:r w:rsidRPr="00FE3FA5">
        <w:rPr>
          <w:noProof/>
        </w:rPr>
        <w:t xml:space="preserve"> </w:t>
      </w:r>
      <w:r w:rsidR="00705D6E">
        <w:rPr>
          <w:noProof/>
        </w:rPr>
        <w:t>r</w:t>
      </w:r>
      <w:r w:rsidRPr="00FE3FA5">
        <w:rPr>
          <w:noProof/>
        </w:rPr>
        <w:t>ecommendation respects the principle of non-discrimination (Article 21</w:t>
      </w:r>
      <w:r w:rsidR="000B7748">
        <w:rPr>
          <w:noProof/>
        </w:rPr>
        <w:t xml:space="preserve"> of the Charter</w:t>
      </w:r>
      <w:r w:rsidRPr="00FE3FA5">
        <w:rPr>
          <w:noProof/>
        </w:rPr>
        <w:t>) and contributes to safeguard the rights of the child (Article 24</w:t>
      </w:r>
      <w:r w:rsidR="000B7748">
        <w:rPr>
          <w:noProof/>
        </w:rPr>
        <w:t xml:space="preserve"> of the Charter</w:t>
      </w:r>
      <w:r w:rsidRPr="00FE3FA5">
        <w:rPr>
          <w:noProof/>
        </w:rPr>
        <w:t>), the rights of the elderly to lead a life of dignity and independence and to participate in social and cultural life (Article 25</w:t>
      </w:r>
      <w:r w:rsidR="000B7748">
        <w:rPr>
          <w:noProof/>
        </w:rPr>
        <w:t xml:space="preserve"> </w:t>
      </w:r>
      <w:r w:rsidR="000B7748" w:rsidRPr="000B7748">
        <w:rPr>
          <w:noProof/>
        </w:rPr>
        <w:t>of the Charter</w:t>
      </w:r>
      <w:r w:rsidRPr="00FE3FA5">
        <w:rPr>
          <w:noProof/>
        </w:rPr>
        <w:t>), the right of persons with disabilities to benefit from measures designed to ensure their independence, social and occupational integration and participation in the life of the community (Article 26</w:t>
      </w:r>
      <w:r w:rsidR="000B7748">
        <w:rPr>
          <w:noProof/>
        </w:rPr>
        <w:t xml:space="preserve"> </w:t>
      </w:r>
      <w:r w:rsidR="000B7748" w:rsidRPr="000B7748">
        <w:rPr>
          <w:noProof/>
        </w:rPr>
        <w:t>of the Charter</w:t>
      </w:r>
      <w:r w:rsidRPr="00FE3FA5">
        <w:rPr>
          <w:noProof/>
        </w:rPr>
        <w:t>), the right of a family to enjoy legal, economic and social protection (Article 33</w:t>
      </w:r>
      <w:r w:rsidR="000B7748">
        <w:rPr>
          <w:noProof/>
        </w:rPr>
        <w:t xml:space="preserve"> </w:t>
      </w:r>
      <w:r w:rsidR="000B7748" w:rsidRPr="000B7748">
        <w:rPr>
          <w:noProof/>
        </w:rPr>
        <w:t>of the Charter</w:t>
      </w:r>
      <w:r w:rsidRPr="00FE3FA5">
        <w:rPr>
          <w:noProof/>
        </w:rPr>
        <w:t>), and the entitlement to social security benefits and social services providing protection in cases such as maternity, illness, industrial accidents, dependency or old age, and in the case of loss of employment, in accordance with the rules laid down by Union law and national laws and practices (Article 34</w:t>
      </w:r>
      <w:r w:rsidR="000B7748">
        <w:rPr>
          <w:noProof/>
        </w:rPr>
        <w:t xml:space="preserve"> </w:t>
      </w:r>
      <w:r w:rsidR="000B7748" w:rsidRPr="000B7748">
        <w:rPr>
          <w:noProof/>
        </w:rPr>
        <w:t>of the Charter</w:t>
      </w:r>
      <w:r w:rsidRPr="00FE3FA5">
        <w:rPr>
          <w:noProof/>
        </w:rPr>
        <w:t>).</w:t>
      </w:r>
    </w:p>
    <w:p w14:paraId="06031222" w14:textId="77777777" w:rsidR="00FE3FA5" w:rsidRPr="00FE3FA5" w:rsidRDefault="00FE3FA5" w:rsidP="005F1B23">
      <w:pPr>
        <w:rPr>
          <w:b/>
          <w:smallCaps/>
          <w:noProof/>
        </w:rPr>
      </w:pPr>
      <w:r w:rsidRPr="00FE3FA5">
        <w:rPr>
          <w:b/>
          <w:smallCaps/>
          <w:noProof/>
        </w:rPr>
        <w:t>4.</w:t>
      </w:r>
      <w:r w:rsidRPr="00FE3FA5">
        <w:rPr>
          <w:b/>
          <w:smallCaps/>
          <w:noProof/>
        </w:rPr>
        <w:tab/>
        <w:t>BUDGETARY IMPLICATIONS</w:t>
      </w:r>
    </w:p>
    <w:p w14:paraId="3EDB5348" w14:textId="77777777" w:rsidR="00FE3FA5" w:rsidRPr="00FE3FA5" w:rsidRDefault="00FE3FA5" w:rsidP="005F1B23">
      <w:pPr>
        <w:rPr>
          <w:rFonts w:eastAsia="Arial Unicode MS"/>
          <w:noProof/>
          <w:color w:val="000000"/>
          <w:szCs w:val="24"/>
          <w:bdr w:val="none" w:sz="0" w:space="0" w:color="auto" w:frame="1"/>
          <w:lang w:val="en-US" w:eastAsia="en-GB"/>
        </w:rPr>
      </w:pPr>
      <w:r w:rsidRPr="00FE3FA5">
        <w:rPr>
          <w:rFonts w:eastAsia="Arial Unicode MS"/>
          <w:noProof/>
          <w:color w:val="000000"/>
          <w:szCs w:val="24"/>
          <w:bdr w:val="none" w:sz="0" w:space="0" w:color="auto" w:frame="1"/>
          <w:lang w:val="en-US" w:eastAsia="en-GB"/>
        </w:rPr>
        <w:t xml:space="preserve">This proposal has no financial implications for the </w:t>
      </w:r>
      <w:r w:rsidR="000B7748">
        <w:rPr>
          <w:rFonts w:eastAsia="Arial Unicode MS"/>
          <w:noProof/>
          <w:color w:val="000000"/>
          <w:szCs w:val="24"/>
          <w:bdr w:val="none" w:sz="0" w:space="0" w:color="auto" w:frame="1"/>
          <w:lang w:val="en-US" w:eastAsia="en-GB"/>
        </w:rPr>
        <w:t>Union</w:t>
      </w:r>
      <w:r w:rsidR="000B7748" w:rsidRPr="00FE3FA5">
        <w:rPr>
          <w:rFonts w:eastAsia="Arial Unicode MS"/>
          <w:noProof/>
          <w:color w:val="000000"/>
          <w:szCs w:val="24"/>
          <w:bdr w:val="none" w:sz="0" w:space="0" w:color="auto" w:frame="1"/>
          <w:lang w:val="en-US" w:eastAsia="en-GB"/>
        </w:rPr>
        <w:t xml:space="preserve"> </w:t>
      </w:r>
      <w:r w:rsidRPr="00FE3FA5">
        <w:rPr>
          <w:rFonts w:eastAsia="Arial Unicode MS"/>
          <w:noProof/>
          <w:color w:val="000000"/>
          <w:szCs w:val="24"/>
          <w:bdr w:val="none" w:sz="0" w:space="0" w:color="auto" w:frame="1"/>
          <w:lang w:val="en-US" w:eastAsia="en-GB"/>
        </w:rPr>
        <w:t>budget.</w:t>
      </w:r>
    </w:p>
    <w:p w14:paraId="7F16BC15" w14:textId="77777777" w:rsidR="00FE3FA5" w:rsidRPr="00FE3FA5" w:rsidRDefault="00FE3FA5" w:rsidP="005F1B23">
      <w:pPr>
        <w:rPr>
          <w:b/>
          <w:smallCaps/>
          <w:noProof/>
        </w:rPr>
      </w:pPr>
      <w:r w:rsidRPr="00FE3FA5">
        <w:rPr>
          <w:b/>
          <w:smallCaps/>
          <w:noProof/>
        </w:rPr>
        <w:t>5.</w:t>
      </w:r>
      <w:r w:rsidRPr="00FE3FA5">
        <w:rPr>
          <w:b/>
          <w:smallCaps/>
          <w:noProof/>
        </w:rPr>
        <w:tab/>
        <w:t>OTHER ELEMENTS</w:t>
      </w:r>
    </w:p>
    <w:p w14:paraId="263A640C" w14:textId="77777777" w:rsidR="00FE3FA5" w:rsidRPr="00FE3FA5" w:rsidRDefault="00FE3FA5" w:rsidP="005F1B23">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t>Implementation plans and monitoring, evaluation and reporting arrangements</w:t>
      </w:r>
    </w:p>
    <w:p w14:paraId="291CE1EC" w14:textId="609B8E72" w:rsidR="00FE3FA5" w:rsidRPr="003327F8" w:rsidRDefault="00FE3FA5" w:rsidP="005F1B23">
      <w:pPr>
        <w:rPr>
          <w:noProof/>
        </w:rPr>
      </w:pPr>
      <w:r w:rsidRPr="00BD30A5">
        <w:rPr>
          <w:noProof/>
        </w:rPr>
        <w:t xml:space="preserve">It is proposed that the Commission monitors the </w:t>
      </w:r>
      <w:r w:rsidR="00FC10A0" w:rsidRPr="00BD30A5">
        <w:rPr>
          <w:noProof/>
        </w:rPr>
        <w:t xml:space="preserve">implementation of this </w:t>
      </w:r>
      <w:r w:rsidR="003778AA" w:rsidRPr="00BD30A5">
        <w:rPr>
          <w:noProof/>
        </w:rPr>
        <w:t>r</w:t>
      </w:r>
      <w:r w:rsidRPr="00BD30A5">
        <w:rPr>
          <w:noProof/>
        </w:rPr>
        <w:t xml:space="preserve">ecommendation in the context of the European Semester and </w:t>
      </w:r>
      <w:r w:rsidR="008A027E" w:rsidRPr="003327F8">
        <w:rPr>
          <w:noProof/>
        </w:rPr>
        <w:t>with</w:t>
      </w:r>
      <w:r w:rsidR="003778AA" w:rsidRPr="003327F8">
        <w:rPr>
          <w:noProof/>
        </w:rPr>
        <w:t xml:space="preserve"> </w:t>
      </w:r>
      <w:r w:rsidRPr="003327F8">
        <w:rPr>
          <w:noProof/>
        </w:rPr>
        <w:t xml:space="preserve">the Social Protection </w:t>
      </w:r>
      <w:r w:rsidR="003778AA" w:rsidRPr="003327F8">
        <w:rPr>
          <w:noProof/>
        </w:rPr>
        <w:t xml:space="preserve">Committee </w:t>
      </w:r>
      <w:r w:rsidRPr="003327F8">
        <w:rPr>
          <w:noProof/>
        </w:rPr>
        <w:t xml:space="preserve">and </w:t>
      </w:r>
      <w:r w:rsidR="003778AA" w:rsidRPr="003327F8">
        <w:rPr>
          <w:noProof/>
        </w:rPr>
        <w:t xml:space="preserve">the </w:t>
      </w:r>
      <w:r w:rsidRPr="008F1491">
        <w:rPr>
          <w:noProof/>
        </w:rPr>
        <w:t>Employment Committee</w:t>
      </w:r>
      <w:r w:rsidR="0035709D" w:rsidRPr="00870D93">
        <w:rPr>
          <w:noProof/>
        </w:rPr>
        <w:t xml:space="preserve">. </w:t>
      </w:r>
      <w:r w:rsidR="00FC10A0" w:rsidRPr="00870D93">
        <w:rPr>
          <w:noProof/>
        </w:rPr>
        <w:t>M</w:t>
      </w:r>
      <w:r w:rsidR="0035709D" w:rsidRPr="00870D93">
        <w:rPr>
          <w:noProof/>
        </w:rPr>
        <w:t>onitoring should be based</w:t>
      </w:r>
      <w:r w:rsidRPr="00870D93">
        <w:rPr>
          <w:noProof/>
        </w:rPr>
        <w:t xml:space="preserve"> on national action plans to be submitted to the Commission by Member States within </w:t>
      </w:r>
      <w:r w:rsidR="003778AA" w:rsidRPr="007D0828">
        <w:rPr>
          <w:noProof/>
        </w:rPr>
        <w:t>1 </w:t>
      </w:r>
      <w:r w:rsidRPr="007D0828">
        <w:rPr>
          <w:noProof/>
        </w:rPr>
        <w:t>year</w:t>
      </w:r>
      <w:r w:rsidRPr="00BD30A5">
        <w:rPr>
          <w:noProof/>
        </w:rPr>
        <w:t xml:space="preserve"> of the </w:t>
      </w:r>
      <w:r w:rsidR="000846D5" w:rsidRPr="00BD30A5">
        <w:rPr>
          <w:noProof/>
        </w:rPr>
        <w:t xml:space="preserve">recommendation’s </w:t>
      </w:r>
      <w:r w:rsidRPr="003327F8">
        <w:rPr>
          <w:noProof/>
        </w:rPr>
        <w:t>adoption and subsequent progress reports.</w:t>
      </w:r>
    </w:p>
    <w:p w14:paraId="5413F21A" w14:textId="181EB834" w:rsidR="00FE3FA5" w:rsidRPr="00BD30A5" w:rsidRDefault="00FE3FA5" w:rsidP="005F1B23">
      <w:pPr>
        <w:rPr>
          <w:noProof/>
        </w:rPr>
      </w:pPr>
      <w:r w:rsidRPr="008F1491">
        <w:rPr>
          <w:noProof/>
        </w:rPr>
        <w:t xml:space="preserve">The proposal recommends that Member States nominate a national </w:t>
      </w:r>
      <w:r w:rsidR="00B56D5E" w:rsidRPr="00870D93">
        <w:rPr>
          <w:noProof/>
        </w:rPr>
        <w:t>long-term care</w:t>
      </w:r>
      <w:r w:rsidRPr="00870D93">
        <w:rPr>
          <w:noProof/>
        </w:rPr>
        <w:t xml:space="preserve"> </w:t>
      </w:r>
      <w:r w:rsidR="00BB3A3A" w:rsidRPr="007D0828">
        <w:rPr>
          <w:noProof/>
        </w:rPr>
        <w:t>c</w:t>
      </w:r>
      <w:r w:rsidRPr="007D0828">
        <w:rPr>
          <w:noProof/>
        </w:rPr>
        <w:t xml:space="preserve">oordinator, equipped with </w:t>
      </w:r>
      <w:r w:rsidR="00EB2DD5" w:rsidRPr="007D0828">
        <w:rPr>
          <w:noProof/>
        </w:rPr>
        <w:t xml:space="preserve">adequate </w:t>
      </w:r>
      <w:r w:rsidRPr="007D0828">
        <w:rPr>
          <w:noProof/>
        </w:rPr>
        <w:t xml:space="preserve">resources and mandate, who will effectively coordinate and monitor the implementation </w:t>
      </w:r>
      <w:r w:rsidR="00FC10A0" w:rsidRPr="007D0828">
        <w:rPr>
          <w:noProof/>
        </w:rPr>
        <w:t>of t</w:t>
      </w:r>
      <w:r w:rsidR="00FC10A0" w:rsidRPr="00BD30A5">
        <w:rPr>
          <w:noProof/>
        </w:rPr>
        <w:t xml:space="preserve">his recommendation </w:t>
      </w:r>
      <w:r w:rsidRPr="00BD30A5">
        <w:rPr>
          <w:noProof/>
        </w:rPr>
        <w:t xml:space="preserve">and act as a contact </w:t>
      </w:r>
      <w:r w:rsidR="007C473C" w:rsidRPr="00BD30A5">
        <w:rPr>
          <w:noProof/>
        </w:rPr>
        <w:t>at Union level</w:t>
      </w:r>
      <w:r w:rsidRPr="00BD30A5">
        <w:rPr>
          <w:noProof/>
        </w:rPr>
        <w:t xml:space="preserve">. The Commission will work jointly with the </w:t>
      </w:r>
      <w:r w:rsidR="00B56D5E" w:rsidRPr="00BD30A5">
        <w:rPr>
          <w:noProof/>
        </w:rPr>
        <w:t>long-term care</w:t>
      </w:r>
      <w:r w:rsidRPr="00BD30A5">
        <w:rPr>
          <w:noProof/>
        </w:rPr>
        <w:t xml:space="preserve"> </w:t>
      </w:r>
      <w:r w:rsidR="00BB3A3A" w:rsidRPr="00BD30A5">
        <w:rPr>
          <w:noProof/>
        </w:rPr>
        <w:t>c</w:t>
      </w:r>
      <w:r w:rsidRPr="00BD30A5">
        <w:rPr>
          <w:noProof/>
        </w:rPr>
        <w:t>oordinators</w:t>
      </w:r>
      <w:r w:rsidR="007C473C" w:rsidRPr="00BD30A5">
        <w:rPr>
          <w:noProof/>
        </w:rPr>
        <w:t xml:space="preserve">, </w:t>
      </w:r>
      <w:r w:rsidRPr="00BD30A5">
        <w:rPr>
          <w:noProof/>
        </w:rPr>
        <w:t xml:space="preserve">the Social Protection Committee </w:t>
      </w:r>
      <w:r w:rsidR="007C473C" w:rsidRPr="00BD30A5">
        <w:rPr>
          <w:noProof/>
        </w:rPr>
        <w:t>and the Employment Committee</w:t>
      </w:r>
      <w:r w:rsidR="00BD30A5" w:rsidRPr="00BD30A5">
        <w:rPr>
          <w:noProof/>
        </w:rPr>
        <w:t xml:space="preserve">, as well as all other relevant stakeholders, </w:t>
      </w:r>
      <w:r w:rsidRPr="00BD30A5">
        <w:rPr>
          <w:noProof/>
        </w:rPr>
        <w:t xml:space="preserve">to facilitate mutual learning, share experiences, and follow up on Member State actions taken to implement </w:t>
      </w:r>
      <w:r w:rsidR="00FC10A0" w:rsidRPr="00BD30A5">
        <w:rPr>
          <w:noProof/>
        </w:rPr>
        <w:t xml:space="preserve">this </w:t>
      </w:r>
      <w:r w:rsidR="00BB3A3A" w:rsidRPr="00BD30A5">
        <w:rPr>
          <w:noProof/>
        </w:rPr>
        <w:t>r</w:t>
      </w:r>
      <w:r w:rsidRPr="00BD30A5">
        <w:rPr>
          <w:noProof/>
        </w:rPr>
        <w:t>ecommendation.</w:t>
      </w:r>
    </w:p>
    <w:p w14:paraId="1C3BA158" w14:textId="3E0272A6" w:rsidR="00FE3FA5" w:rsidRPr="00BD30A5" w:rsidRDefault="00FE3FA5" w:rsidP="005F1B23">
      <w:pPr>
        <w:rPr>
          <w:noProof/>
        </w:rPr>
      </w:pPr>
      <w:r w:rsidRPr="00BD30A5">
        <w:rPr>
          <w:noProof/>
        </w:rPr>
        <w:t xml:space="preserve">It is proposed that the Commission </w:t>
      </w:r>
      <w:r w:rsidR="00BD30A5" w:rsidRPr="00BD30A5">
        <w:rPr>
          <w:noProof/>
        </w:rPr>
        <w:t xml:space="preserve">takes stock of progress regularly with </w:t>
      </w:r>
      <w:r w:rsidRPr="00BD30A5">
        <w:rPr>
          <w:noProof/>
        </w:rPr>
        <w:t xml:space="preserve">the Social Protection Committee </w:t>
      </w:r>
      <w:r w:rsidR="00BD30A5" w:rsidRPr="00BD30A5">
        <w:rPr>
          <w:noProof/>
        </w:rPr>
        <w:t xml:space="preserve">and, where relevant, the Employment Committee, regarding </w:t>
      </w:r>
      <w:r w:rsidRPr="00BD30A5">
        <w:rPr>
          <w:noProof/>
        </w:rPr>
        <w:t xml:space="preserve">the implementation </w:t>
      </w:r>
      <w:r w:rsidR="00FC10A0" w:rsidRPr="00BD30A5">
        <w:rPr>
          <w:noProof/>
        </w:rPr>
        <w:t xml:space="preserve">of this recommendation </w:t>
      </w:r>
      <w:r w:rsidR="0035709D" w:rsidRPr="00BD30A5">
        <w:rPr>
          <w:noProof/>
        </w:rPr>
        <w:t xml:space="preserve">based </w:t>
      </w:r>
      <w:r w:rsidRPr="00BD30A5">
        <w:rPr>
          <w:noProof/>
        </w:rPr>
        <w:t xml:space="preserve">on </w:t>
      </w:r>
      <w:r w:rsidR="00BD30A5" w:rsidRPr="00BD30A5">
        <w:rPr>
          <w:noProof/>
        </w:rPr>
        <w:t xml:space="preserve">national action plans and </w:t>
      </w:r>
      <w:r w:rsidRPr="00BD30A5">
        <w:rPr>
          <w:noProof/>
        </w:rPr>
        <w:t>progress reports from Member States</w:t>
      </w:r>
      <w:r w:rsidR="0035709D" w:rsidRPr="00BD30A5">
        <w:rPr>
          <w:noProof/>
        </w:rPr>
        <w:t xml:space="preserve">. The Commission </w:t>
      </w:r>
      <w:r w:rsidR="00BD30A5" w:rsidRPr="00BD30A5">
        <w:rPr>
          <w:noProof/>
        </w:rPr>
        <w:t xml:space="preserve">will </w:t>
      </w:r>
      <w:r w:rsidR="0035709D" w:rsidRPr="00BD30A5">
        <w:rPr>
          <w:noProof/>
        </w:rPr>
        <w:t>also</w:t>
      </w:r>
      <w:r w:rsidRPr="00BD30A5">
        <w:rPr>
          <w:noProof/>
        </w:rPr>
        <w:t xml:space="preserve"> engage</w:t>
      </w:r>
      <w:r w:rsidR="0035709D" w:rsidRPr="00BD30A5">
        <w:rPr>
          <w:noProof/>
        </w:rPr>
        <w:t xml:space="preserve"> with the </w:t>
      </w:r>
      <w:r w:rsidR="00225C1B" w:rsidRPr="003327F8">
        <w:rPr>
          <w:noProof/>
        </w:rPr>
        <w:t xml:space="preserve">Social Protection Committee </w:t>
      </w:r>
      <w:r w:rsidRPr="003327F8">
        <w:rPr>
          <w:noProof/>
        </w:rPr>
        <w:t xml:space="preserve">to </w:t>
      </w:r>
      <w:r w:rsidR="00996FBD" w:rsidRPr="003327F8">
        <w:rPr>
          <w:noProof/>
        </w:rPr>
        <w:t xml:space="preserve">further </w:t>
      </w:r>
      <w:r w:rsidRPr="003327F8">
        <w:rPr>
          <w:noProof/>
        </w:rPr>
        <w:t xml:space="preserve">develop </w:t>
      </w:r>
      <w:r w:rsidR="00996FBD" w:rsidRPr="003327F8">
        <w:rPr>
          <w:noProof/>
        </w:rPr>
        <w:t>the</w:t>
      </w:r>
      <w:r w:rsidRPr="003327F8">
        <w:rPr>
          <w:noProof/>
        </w:rPr>
        <w:t xml:space="preserve"> framework </w:t>
      </w:r>
      <w:r w:rsidR="002839DC" w:rsidRPr="003327F8">
        <w:rPr>
          <w:noProof/>
        </w:rPr>
        <w:t>of indicators</w:t>
      </w:r>
      <w:r w:rsidR="00996FBD" w:rsidRPr="003327F8">
        <w:rPr>
          <w:noProof/>
        </w:rPr>
        <w:t xml:space="preserve"> for long-term care</w:t>
      </w:r>
      <w:r w:rsidR="002839DC" w:rsidRPr="008F1491">
        <w:rPr>
          <w:noProof/>
        </w:rPr>
        <w:t xml:space="preserve"> </w:t>
      </w:r>
      <w:r w:rsidRPr="00870D93">
        <w:rPr>
          <w:noProof/>
        </w:rPr>
        <w:t>to</w:t>
      </w:r>
      <w:r w:rsidR="00996FBD" w:rsidRPr="00870D93">
        <w:rPr>
          <w:noProof/>
        </w:rPr>
        <w:t xml:space="preserve"> help</w:t>
      </w:r>
      <w:r w:rsidRPr="00870D93">
        <w:rPr>
          <w:noProof/>
        </w:rPr>
        <w:t xml:space="preserve"> </w:t>
      </w:r>
      <w:r w:rsidR="00996FBD" w:rsidRPr="00870D93">
        <w:rPr>
          <w:noProof/>
        </w:rPr>
        <w:t>monitor</w:t>
      </w:r>
      <w:r w:rsidRPr="00870D93">
        <w:rPr>
          <w:noProof/>
        </w:rPr>
        <w:t xml:space="preserve"> the </w:t>
      </w:r>
      <w:r w:rsidR="00225C1B" w:rsidRPr="00870D93">
        <w:rPr>
          <w:noProof/>
        </w:rPr>
        <w:t>r</w:t>
      </w:r>
      <w:r w:rsidR="00225C1B" w:rsidRPr="007D0828">
        <w:rPr>
          <w:noProof/>
        </w:rPr>
        <w:t xml:space="preserve">ecommendation’s </w:t>
      </w:r>
      <w:r w:rsidRPr="007D0828">
        <w:rPr>
          <w:noProof/>
        </w:rPr>
        <w:t>implementation</w:t>
      </w:r>
      <w:r w:rsidR="00225C1B" w:rsidRPr="007D0828">
        <w:rPr>
          <w:noProof/>
        </w:rPr>
        <w:t>,</w:t>
      </w:r>
      <w:r w:rsidRPr="007D0828">
        <w:rPr>
          <w:noProof/>
        </w:rPr>
        <w:t xml:space="preserve"> and </w:t>
      </w:r>
      <w:r w:rsidR="00996FBD" w:rsidRPr="007D0828">
        <w:rPr>
          <w:noProof/>
        </w:rPr>
        <w:t xml:space="preserve">prepare </w:t>
      </w:r>
      <w:r w:rsidRPr="00BD30A5">
        <w:rPr>
          <w:noProof/>
        </w:rPr>
        <w:t>joint reports</w:t>
      </w:r>
      <w:r w:rsidR="00996FBD" w:rsidRPr="00BD30A5">
        <w:rPr>
          <w:noProof/>
        </w:rPr>
        <w:t xml:space="preserve"> to analyse common long-term care challenges</w:t>
      </w:r>
      <w:r w:rsidRPr="00BD30A5">
        <w:rPr>
          <w:noProof/>
        </w:rPr>
        <w:t>.</w:t>
      </w:r>
    </w:p>
    <w:p w14:paraId="36A974E7" w14:textId="77777777" w:rsidR="00FE3FA5" w:rsidRPr="00FE3FA5" w:rsidRDefault="00FE3FA5" w:rsidP="005F1B23">
      <w:pPr>
        <w:rPr>
          <w:noProof/>
        </w:rPr>
      </w:pPr>
      <w:r w:rsidRPr="00BD30A5">
        <w:rPr>
          <w:noProof/>
        </w:rPr>
        <w:t>Finally, after an initial period of its implementation, the Commission will take stock of progress made an</w:t>
      </w:r>
      <w:r w:rsidR="00D804EE" w:rsidRPr="00BD30A5">
        <w:rPr>
          <w:noProof/>
        </w:rPr>
        <w:t>d report to the Council within 5</w:t>
      </w:r>
      <w:r w:rsidRPr="00BD30A5">
        <w:rPr>
          <w:noProof/>
        </w:rPr>
        <w:t xml:space="preserve"> years after the adoption.</w:t>
      </w:r>
    </w:p>
    <w:p w14:paraId="1DF683C8" w14:textId="77777777" w:rsidR="00FE3FA5" w:rsidRPr="00FE3FA5" w:rsidRDefault="00FE3FA5" w:rsidP="005F1B23">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t>Explanatory documents (for directives)</w:t>
      </w:r>
    </w:p>
    <w:p w14:paraId="152A5C89" w14:textId="77777777" w:rsidR="00FE3FA5" w:rsidRPr="00FE3FA5" w:rsidRDefault="00FE3FA5" w:rsidP="005F1B23">
      <w:pPr>
        <w:rPr>
          <w:noProof/>
        </w:rPr>
      </w:pPr>
      <w:r w:rsidRPr="00FE3FA5">
        <w:rPr>
          <w:noProof/>
        </w:rPr>
        <w:t>Not applicable.</w:t>
      </w:r>
    </w:p>
    <w:p w14:paraId="152CB52F" w14:textId="77777777" w:rsidR="00FE3FA5" w:rsidRPr="00FE3FA5" w:rsidRDefault="00FE3FA5" w:rsidP="005F1B23">
      <w:pPr>
        <w:rPr>
          <w:rFonts w:eastAsia="Arial Unicode MS"/>
          <w:b/>
          <w:noProof/>
          <w:u w:color="000000"/>
          <w:bdr w:val="nil"/>
          <w:lang w:val="en-US" w:eastAsia="en-GB"/>
        </w:rPr>
      </w:pPr>
      <w:r w:rsidRPr="00FE3FA5">
        <w:rPr>
          <w:rFonts w:eastAsia="Arial Unicode MS"/>
          <w:b/>
          <w:noProof/>
          <w:u w:color="000000"/>
          <w:bdr w:val="nil"/>
          <w:lang w:val="en-US" w:eastAsia="en-GB"/>
        </w:rPr>
        <w:t>•</w:t>
      </w:r>
      <w:r w:rsidRPr="00FE3FA5">
        <w:rPr>
          <w:rFonts w:eastAsia="Arial Unicode MS"/>
          <w:b/>
          <w:noProof/>
          <w:u w:color="000000"/>
          <w:bdr w:val="nil"/>
          <w:lang w:val="en-US" w:eastAsia="en-GB"/>
        </w:rPr>
        <w:tab/>
      </w:r>
      <w:r w:rsidRPr="007D0828">
        <w:rPr>
          <w:rFonts w:eastAsia="Arial Unicode MS"/>
          <w:b/>
          <w:noProof/>
          <w:u w:color="000000"/>
          <w:bdr w:val="nil"/>
          <w:lang w:val="en-US" w:eastAsia="en-GB"/>
        </w:rPr>
        <w:t>Detailed explanation of the specific provisions of the proposal</w:t>
      </w:r>
    </w:p>
    <w:p w14:paraId="6F2F9580" w14:textId="77777777" w:rsidR="00FE3FA5" w:rsidRPr="00FE3FA5" w:rsidRDefault="00225C1B" w:rsidP="00FE3FA5">
      <w:pPr>
        <w:rPr>
          <w:rFonts w:eastAsia="Times New Roman"/>
          <w:noProof/>
          <w:szCs w:val="24"/>
          <w:lang w:eastAsia="en-GB"/>
        </w:rPr>
      </w:pPr>
      <w:r>
        <w:rPr>
          <w:rFonts w:eastAsia="Times New Roman"/>
          <w:noProof/>
          <w:szCs w:val="24"/>
          <w:lang w:eastAsia="en-GB"/>
        </w:rPr>
        <w:t>Paragraphs</w:t>
      </w:r>
      <w:r w:rsidRPr="00FE3FA5">
        <w:rPr>
          <w:rFonts w:eastAsia="Times New Roman"/>
          <w:noProof/>
          <w:szCs w:val="24"/>
          <w:lang w:eastAsia="en-GB"/>
        </w:rPr>
        <w:t xml:space="preserve"> </w:t>
      </w:r>
      <w:r w:rsidR="00FE3FA5" w:rsidRPr="00FE3FA5">
        <w:rPr>
          <w:rFonts w:eastAsia="Times New Roman"/>
          <w:noProof/>
          <w:szCs w:val="24"/>
          <w:lang w:eastAsia="en-GB"/>
        </w:rPr>
        <w:t xml:space="preserve">1-2 define the objective of the </w:t>
      </w:r>
      <w:r>
        <w:rPr>
          <w:rFonts w:eastAsia="Times New Roman"/>
          <w:noProof/>
          <w:szCs w:val="24"/>
          <w:lang w:eastAsia="en-GB"/>
        </w:rPr>
        <w:t>r</w:t>
      </w:r>
      <w:r w:rsidR="00FE3FA5" w:rsidRPr="00FE3FA5">
        <w:rPr>
          <w:rFonts w:eastAsia="Times New Roman"/>
          <w:noProof/>
          <w:szCs w:val="24"/>
          <w:lang w:eastAsia="en-GB"/>
        </w:rPr>
        <w:t xml:space="preserve">ecommendation and its personal scope (all </w:t>
      </w:r>
      <w:r>
        <w:rPr>
          <w:rFonts w:eastAsia="Times New Roman"/>
          <w:noProof/>
          <w:szCs w:val="24"/>
          <w:lang w:eastAsia="en-GB"/>
        </w:rPr>
        <w:t>people</w:t>
      </w:r>
      <w:r w:rsidRPr="00FE3FA5">
        <w:rPr>
          <w:rFonts w:eastAsia="Times New Roman"/>
          <w:noProof/>
          <w:szCs w:val="24"/>
          <w:lang w:eastAsia="en-GB"/>
        </w:rPr>
        <w:t xml:space="preserve"> </w:t>
      </w:r>
      <w:r w:rsidR="00FE3FA5" w:rsidRPr="00FE3FA5">
        <w:rPr>
          <w:rFonts w:eastAsia="Times New Roman"/>
          <w:noProof/>
          <w:szCs w:val="24"/>
          <w:lang w:eastAsia="en-GB"/>
        </w:rPr>
        <w:t xml:space="preserve">in need of </w:t>
      </w:r>
      <w:r w:rsidR="00B56D5E">
        <w:rPr>
          <w:rFonts w:eastAsia="Times New Roman"/>
          <w:noProof/>
          <w:szCs w:val="24"/>
          <w:lang w:eastAsia="en-GB"/>
        </w:rPr>
        <w:t>long-term care</w:t>
      </w:r>
      <w:r w:rsidR="00FE3FA5" w:rsidRPr="00FE3FA5">
        <w:rPr>
          <w:rFonts w:eastAsia="Times New Roman"/>
          <w:noProof/>
          <w:szCs w:val="24"/>
          <w:lang w:eastAsia="en-GB"/>
        </w:rPr>
        <w:t xml:space="preserve"> and their carers) and material scope (all types of </w:t>
      </w:r>
      <w:r w:rsidR="00B56D5E">
        <w:rPr>
          <w:rFonts w:eastAsia="Times New Roman"/>
          <w:noProof/>
          <w:szCs w:val="24"/>
          <w:lang w:eastAsia="en-GB"/>
        </w:rPr>
        <w:t>long-term care</w:t>
      </w:r>
      <w:r w:rsidR="00FE3FA5" w:rsidRPr="00FE3FA5">
        <w:rPr>
          <w:rFonts w:eastAsia="Times New Roman"/>
          <w:noProof/>
          <w:szCs w:val="24"/>
          <w:lang w:eastAsia="en-GB"/>
        </w:rPr>
        <w:t xml:space="preserve"> settings).</w:t>
      </w:r>
    </w:p>
    <w:p w14:paraId="0F875001" w14:textId="7EF52B2F" w:rsidR="00FE3FA5" w:rsidRPr="00FE3FA5" w:rsidRDefault="00225C1B" w:rsidP="00FE3FA5">
      <w:pPr>
        <w:rPr>
          <w:rFonts w:eastAsia="Times New Roman"/>
          <w:noProof/>
          <w:szCs w:val="24"/>
          <w:lang w:eastAsia="en-GB"/>
        </w:rPr>
      </w:pPr>
      <w:r>
        <w:rPr>
          <w:rFonts w:eastAsia="Times New Roman"/>
          <w:noProof/>
          <w:szCs w:val="24"/>
          <w:lang w:eastAsia="en-GB"/>
        </w:rPr>
        <w:t>Paragraph</w:t>
      </w:r>
      <w:r w:rsidRPr="00FE3FA5">
        <w:rPr>
          <w:rFonts w:eastAsia="Times New Roman"/>
          <w:noProof/>
          <w:szCs w:val="24"/>
          <w:lang w:eastAsia="en-GB"/>
        </w:rPr>
        <w:t xml:space="preserve"> </w:t>
      </w:r>
      <w:r w:rsidR="00FE3FA5" w:rsidRPr="00FE3FA5">
        <w:rPr>
          <w:rFonts w:eastAsia="Times New Roman"/>
          <w:noProof/>
          <w:szCs w:val="24"/>
          <w:lang w:eastAsia="en-GB"/>
        </w:rPr>
        <w:t xml:space="preserve">3 contains definitions </w:t>
      </w:r>
      <w:r>
        <w:rPr>
          <w:rFonts w:eastAsia="Times New Roman"/>
          <w:noProof/>
          <w:szCs w:val="24"/>
          <w:lang w:eastAsia="en-GB"/>
        </w:rPr>
        <w:t>that</w:t>
      </w:r>
      <w:r w:rsidRPr="00FE3FA5">
        <w:rPr>
          <w:rFonts w:eastAsia="Times New Roman"/>
          <w:noProof/>
          <w:szCs w:val="24"/>
          <w:lang w:eastAsia="en-GB"/>
        </w:rPr>
        <w:t xml:space="preserve"> </w:t>
      </w:r>
      <w:r w:rsidR="00FE3FA5" w:rsidRPr="00FE3FA5">
        <w:rPr>
          <w:rFonts w:eastAsia="Times New Roman"/>
          <w:noProof/>
          <w:szCs w:val="24"/>
          <w:lang w:eastAsia="en-GB"/>
        </w:rPr>
        <w:t xml:space="preserve">are applied for the purpose of the </w:t>
      </w:r>
      <w:r>
        <w:rPr>
          <w:rFonts w:eastAsia="Times New Roman"/>
          <w:noProof/>
          <w:szCs w:val="24"/>
          <w:lang w:eastAsia="en-GB"/>
        </w:rPr>
        <w:t>r</w:t>
      </w:r>
      <w:r w:rsidR="00FE3FA5" w:rsidRPr="00FE3FA5">
        <w:rPr>
          <w:rFonts w:eastAsia="Times New Roman"/>
          <w:noProof/>
          <w:szCs w:val="24"/>
          <w:lang w:eastAsia="en-GB"/>
        </w:rPr>
        <w:t>ecommenda</w:t>
      </w:r>
      <w:r w:rsidR="00901B06">
        <w:rPr>
          <w:rFonts w:eastAsia="Times New Roman"/>
          <w:noProof/>
          <w:szCs w:val="24"/>
          <w:lang w:eastAsia="en-GB"/>
        </w:rPr>
        <w:t>ti</w:t>
      </w:r>
      <w:r w:rsidR="00FE3FA5" w:rsidRPr="00FE3FA5">
        <w:rPr>
          <w:rFonts w:eastAsia="Times New Roman"/>
          <w:noProof/>
          <w:szCs w:val="24"/>
          <w:lang w:eastAsia="en-GB"/>
        </w:rPr>
        <w:t>on</w:t>
      </w:r>
      <w:r w:rsidR="00996FBD">
        <w:rPr>
          <w:rFonts w:eastAsia="Times New Roman"/>
          <w:noProof/>
          <w:szCs w:val="24"/>
          <w:lang w:eastAsia="en-GB"/>
        </w:rPr>
        <w:t xml:space="preserve">, building whenever available on definitions agreed in the context of </w:t>
      </w:r>
      <w:r w:rsidR="003327F8">
        <w:rPr>
          <w:rFonts w:eastAsia="Times New Roman"/>
          <w:noProof/>
          <w:szCs w:val="24"/>
          <w:lang w:eastAsia="en-GB"/>
        </w:rPr>
        <w:t>the Social Protection Committee</w:t>
      </w:r>
      <w:r w:rsidR="00FE3FA5" w:rsidRPr="00FE3FA5">
        <w:rPr>
          <w:rFonts w:eastAsia="Times New Roman"/>
          <w:noProof/>
          <w:szCs w:val="24"/>
          <w:lang w:eastAsia="en-GB"/>
        </w:rPr>
        <w:t>.</w:t>
      </w:r>
    </w:p>
    <w:p w14:paraId="5514FD9E" w14:textId="77777777" w:rsidR="00FE3FA5" w:rsidRPr="00FE3FA5" w:rsidRDefault="00225C1B" w:rsidP="00FE3FA5">
      <w:pPr>
        <w:rPr>
          <w:rFonts w:eastAsia="Times New Roman"/>
          <w:noProof/>
          <w:szCs w:val="24"/>
          <w:lang w:eastAsia="en-GB"/>
        </w:rPr>
      </w:pPr>
      <w:r>
        <w:rPr>
          <w:rFonts w:eastAsia="Times New Roman"/>
          <w:noProof/>
          <w:szCs w:val="24"/>
          <w:lang w:eastAsia="en-GB"/>
        </w:rPr>
        <w:t>Paragraph</w:t>
      </w:r>
      <w:r w:rsidRPr="00FE3FA5">
        <w:rPr>
          <w:rFonts w:eastAsia="Times New Roman"/>
          <w:noProof/>
          <w:szCs w:val="24"/>
          <w:lang w:eastAsia="en-GB"/>
        </w:rPr>
        <w:t xml:space="preserve"> </w:t>
      </w:r>
      <w:r w:rsidR="00FE3FA5" w:rsidRPr="00FE3FA5">
        <w:rPr>
          <w:rFonts w:eastAsia="Times New Roman"/>
          <w:noProof/>
          <w:szCs w:val="24"/>
          <w:lang w:eastAsia="en-GB"/>
        </w:rPr>
        <w:t xml:space="preserve">4 recommends that Member States improve the adequacy of their social protection for </w:t>
      </w:r>
      <w:r w:rsidR="00B56D5E">
        <w:rPr>
          <w:rFonts w:eastAsia="Times New Roman"/>
          <w:noProof/>
          <w:szCs w:val="24"/>
          <w:lang w:eastAsia="en-GB"/>
        </w:rPr>
        <w:t>long-term care</w:t>
      </w:r>
      <w:r w:rsidR="00FE3FA5" w:rsidRPr="00FE3FA5">
        <w:rPr>
          <w:rFonts w:eastAsia="Times New Roman"/>
          <w:noProof/>
          <w:szCs w:val="24"/>
          <w:lang w:eastAsia="en-GB"/>
        </w:rPr>
        <w:t xml:space="preserve">, so that </w:t>
      </w:r>
      <w:r w:rsidR="004F370A">
        <w:rPr>
          <w:rFonts w:eastAsia="Times New Roman"/>
          <w:noProof/>
          <w:szCs w:val="24"/>
          <w:lang w:eastAsia="en-GB"/>
        </w:rPr>
        <w:t xml:space="preserve">long-term care is </w:t>
      </w:r>
      <w:r w:rsidR="00FE3FA5" w:rsidRPr="00FE3FA5">
        <w:rPr>
          <w:rFonts w:eastAsia="Times New Roman"/>
          <w:noProof/>
          <w:szCs w:val="24"/>
          <w:lang w:eastAsia="en-GB"/>
        </w:rPr>
        <w:t>timely, comprehensive</w:t>
      </w:r>
      <w:r w:rsidR="009F46C1">
        <w:rPr>
          <w:rFonts w:eastAsia="Times New Roman"/>
          <w:noProof/>
          <w:szCs w:val="24"/>
          <w:lang w:eastAsia="en-GB"/>
        </w:rPr>
        <w:t>,</w:t>
      </w:r>
      <w:r w:rsidR="00FE3FA5" w:rsidRPr="00FE3FA5">
        <w:rPr>
          <w:rFonts w:eastAsia="Times New Roman"/>
          <w:noProof/>
          <w:szCs w:val="24"/>
          <w:lang w:eastAsia="en-GB"/>
        </w:rPr>
        <w:t xml:space="preserve"> and affordable to </w:t>
      </w:r>
      <w:r w:rsidR="009F46C1">
        <w:rPr>
          <w:rFonts w:eastAsia="Times New Roman"/>
          <w:noProof/>
          <w:szCs w:val="24"/>
          <w:lang w:eastAsia="en-GB"/>
        </w:rPr>
        <w:t>those</w:t>
      </w:r>
      <w:r w:rsidR="009F46C1" w:rsidRPr="00FE3FA5">
        <w:rPr>
          <w:rFonts w:eastAsia="Times New Roman"/>
          <w:noProof/>
          <w:szCs w:val="24"/>
          <w:lang w:eastAsia="en-GB"/>
        </w:rPr>
        <w:t xml:space="preserve"> </w:t>
      </w:r>
      <w:r w:rsidR="00FE3FA5" w:rsidRPr="00FE3FA5">
        <w:rPr>
          <w:rFonts w:eastAsia="Times New Roman"/>
          <w:noProof/>
          <w:szCs w:val="24"/>
          <w:lang w:eastAsia="en-GB"/>
        </w:rPr>
        <w:t>who need it.</w:t>
      </w:r>
    </w:p>
    <w:p w14:paraId="2B6387F5" w14:textId="77777777" w:rsidR="003327F8" w:rsidRDefault="009F46C1" w:rsidP="00FE3FA5">
      <w:pPr>
        <w:rPr>
          <w:rFonts w:eastAsia="Times New Roman"/>
          <w:noProof/>
          <w:szCs w:val="24"/>
          <w:lang w:eastAsia="en-GB"/>
        </w:rPr>
      </w:pPr>
      <w:r w:rsidRPr="00996FBD">
        <w:rPr>
          <w:rFonts w:eastAsia="Times New Roman"/>
          <w:noProof/>
          <w:szCs w:val="24"/>
          <w:lang w:eastAsia="en-GB"/>
        </w:rPr>
        <w:t xml:space="preserve">Paragraph </w:t>
      </w:r>
      <w:r w:rsidR="00FE3FA5" w:rsidRPr="00996FBD">
        <w:rPr>
          <w:rFonts w:eastAsia="Times New Roman"/>
          <w:noProof/>
          <w:szCs w:val="24"/>
          <w:lang w:eastAsia="en-GB"/>
        </w:rPr>
        <w:t xml:space="preserve">5 recommends that Member States </w:t>
      </w:r>
      <w:r w:rsidR="001C6494" w:rsidRPr="00996FBD">
        <w:rPr>
          <w:rFonts w:eastAsia="Times New Roman"/>
          <w:noProof/>
          <w:szCs w:val="24"/>
          <w:lang w:eastAsia="en-GB"/>
        </w:rPr>
        <w:t xml:space="preserve">increase </w:t>
      </w:r>
      <w:r w:rsidR="00FE3FA5" w:rsidRPr="00996FBD">
        <w:rPr>
          <w:rFonts w:eastAsia="Times New Roman"/>
          <w:noProof/>
          <w:szCs w:val="24"/>
          <w:lang w:eastAsia="en-GB"/>
        </w:rPr>
        <w:t xml:space="preserve">the </w:t>
      </w:r>
      <w:r w:rsidR="001C6494" w:rsidRPr="00996FBD">
        <w:rPr>
          <w:rFonts w:eastAsia="Times New Roman"/>
          <w:noProof/>
          <w:szCs w:val="24"/>
          <w:lang w:eastAsia="en-GB"/>
        </w:rPr>
        <w:t xml:space="preserve">offer </w:t>
      </w:r>
      <w:r w:rsidR="00FE3FA5" w:rsidRPr="00996FBD">
        <w:rPr>
          <w:rFonts w:eastAsia="Times New Roman"/>
          <w:noProof/>
          <w:szCs w:val="24"/>
          <w:lang w:eastAsia="en-GB"/>
        </w:rPr>
        <w:t xml:space="preserve">of </w:t>
      </w:r>
      <w:r w:rsidR="00B56D5E" w:rsidRPr="00996FBD">
        <w:rPr>
          <w:rFonts w:eastAsia="Times New Roman"/>
          <w:noProof/>
          <w:szCs w:val="24"/>
          <w:lang w:eastAsia="en-GB"/>
        </w:rPr>
        <w:t>long-term care</w:t>
      </w:r>
      <w:r w:rsidR="00FE3FA5" w:rsidRPr="00996FBD">
        <w:rPr>
          <w:rFonts w:eastAsia="Times New Roman"/>
          <w:noProof/>
          <w:szCs w:val="24"/>
          <w:lang w:eastAsia="en-GB"/>
        </w:rPr>
        <w:t xml:space="preserve"> services, while making sure that there is a balanced mix of services</w:t>
      </w:r>
      <w:r w:rsidR="004F370A">
        <w:rPr>
          <w:rFonts w:eastAsia="Times New Roman"/>
          <w:noProof/>
          <w:szCs w:val="24"/>
          <w:lang w:eastAsia="en-GB"/>
        </w:rPr>
        <w:t xml:space="preserve"> in all care settings</w:t>
      </w:r>
      <w:r w:rsidR="00FE3FA5" w:rsidRPr="00996FBD">
        <w:rPr>
          <w:rFonts w:eastAsia="Times New Roman"/>
          <w:noProof/>
          <w:szCs w:val="24"/>
          <w:lang w:eastAsia="en-GB"/>
        </w:rPr>
        <w:t xml:space="preserve">, </w:t>
      </w:r>
      <w:r w:rsidR="003654C6" w:rsidRPr="00996FBD">
        <w:rPr>
          <w:rFonts w:eastAsia="Times New Roman"/>
          <w:noProof/>
          <w:szCs w:val="24"/>
          <w:lang w:eastAsia="en-GB"/>
        </w:rPr>
        <w:t>including</w:t>
      </w:r>
      <w:r w:rsidR="00FE3FA5" w:rsidRPr="00996FBD">
        <w:rPr>
          <w:rFonts w:eastAsia="Times New Roman"/>
          <w:noProof/>
          <w:szCs w:val="24"/>
          <w:lang w:eastAsia="en-GB"/>
        </w:rPr>
        <w:t xml:space="preserve"> by </w:t>
      </w:r>
      <w:r w:rsidR="004F370A">
        <w:rPr>
          <w:rFonts w:eastAsia="Times New Roman"/>
          <w:noProof/>
          <w:szCs w:val="24"/>
          <w:lang w:eastAsia="en-GB"/>
        </w:rPr>
        <w:t>developing and/or improving</w:t>
      </w:r>
      <w:r w:rsidR="004F370A" w:rsidRPr="00996FBD">
        <w:rPr>
          <w:rFonts w:eastAsia="Times New Roman"/>
          <w:noProof/>
          <w:szCs w:val="24"/>
          <w:lang w:eastAsia="en-GB"/>
        </w:rPr>
        <w:t xml:space="preserve"> </w:t>
      </w:r>
      <w:r w:rsidR="00406C66" w:rsidRPr="00996FBD">
        <w:rPr>
          <w:rFonts w:eastAsia="Times New Roman"/>
          <w:noProof/>
          <w:szCs w:val="24"/>
          <w:lang w:eastAsia="en-GB"/>
        </w:rPr>
        <w:t>home care</w:t>
      </w:r>
      <w:r w:rsidR="00FE3FA5" w:rsidRPr="00996FBD">
        <w:rPr>
          <w:rFonts w:eastAsia="Times New Roman"/>
          <w:noProof/>
          <w:szCs w:val="24"/>
          <w:lang w:eastAsia="en-GB"/>
        </w:rPr>
        <w:t xml:space="preserve"> and community-based care, closing territorial gaps</w:t>
      </w:r>
      <w:r w:rsidR="009845B7" w:rsidRPr="00996FBD">
        <w:rPr>
          <w:rFonts w:eastAsia="Times New Roman"/>
          <w:noProof/>
          <w:szCs w:val="24"/>
          <w:lang w:eastAsia="en-GB"/>
        </w:rPr>
        <w:t xml:space="preserve">, </w:t>
      </w:r>
      <w:r w:rsidR="004F370A">
        <w:rPr>
          <w:rFonts w:eastAsia="Times New Roman"/>
          <w:noProof/>
          <w:szCs w:val="24"/>
          <w:lang w:eastAsia="en-GB"/>
        </w:rPr>
        <w:t xml:space="preserve">rolling out </w:t>
      </w:r>
      <w:r w:rsidR="009845B7" w:rsidRPr="00996FBD">
        <w:rPr>
          <w:rFonts w:eastAsia="Times New Roman"/>
          <w:noProof/>
          <w:szCs w:val="24"/>
          <w:lang w:eastAsia="en-GB"/>
        </w:rPr>
        <w:t xml:space="preserve">accessible </w:t>
      </w:r>
      <w:r w:rsidR="004F370A">
        <w:rPr>
          <w:rFonts w:eastAsia="Times New Roman"/>
          <w:noProof/>
          <w:szCs w:val="24"/>
          <w:lang w:eastAsia="en-GB"/>
        </w:rPr>
        <w:t xml:space="preserve">innovative technology and </w:t>
      </w:r>
      <w:r w:rsidR="009845B7" w:rsidRPr="00996FBD">
        <w:rPr>
          <w:rFonts w:eastAsia="Times New Roman"/>
          <w:noProof/>
          <w:szCs w:val="24"/>
          <w:lang w:eastAsia="en-GB"/>
        </w:rPr>
        <w:t>digital solutions</w:t>
      </w:r>
      <w:r w:rsidR="00FE3FA5" w:rsidRPr="00996FBD">
        <w:rPr>
          <w:rFonts w:eastAsia="Times New Roman"/>
          <w:noProof/>
          <w:szCs w:val="24"/>
          <w:lang w:eastAsia="en-GB"/>
        </w:rPr>
        <w:t xml:space="preserve"> and ensuring accessibility </w:t>
      </w:r>
      <w:r w:rsidR="000D07EF" w:rsidRPr="00996FBD">
        <w:rPr>
          <w:rFonts w:eastAsia="Times New Roman"/>
          <w:noProof/>
          <w:szCs w:val="24"/>
          <w:lang w:eastAsia="en-GB"/>
        </w:rPr>
        <w:t xml:space="preserve">for </w:t>
      </w:r>
      <w:r w:rsidR="00FE3FA5" w:rsidRPr="00996FBD">
        <w:rPr>
          <w:rFonts w:eastAsia="Times New Roman"/>
          <w:noProof/>
          <w:szCs w:val="24"/>
          <w:lang w:eastAsia="en-GB"/>
        </w:rPr>
        <w:t>persons with disabilities</w:t>
      </w:r>
      <w:r w:rsidR="000D07EF" w:rsidRPr="00996FBD">
        <w:rPr>
          <w:rFonts w:eastAsia="Times New Roman"/>
          <w:noProof/>
          <w:szCs w:val="24"/>
          <w:lang w:eastAsia="en-GB"/>
        </w:rPr>
        <w:t>.</w:t>
      </w:r>
    </w:p>
    <w:p w14:paraId="21528CA3" w14:textId="2E7320A6" w:rsidR="00920819" w:rsidRPr="00FE3FA5" w:rsidRDefault="000D07EF" w:rsidP="00FE3FA5">
      <w:pPr>
        <w:rPr>
          <w:rFonts w:eastAsia="Times New Roman"/>
          <w:noProof/>
          <w:szCs w:val="24"/>
          <w:lang w:eastAsia="en-GB"/>
        </w:rPr>
      </w:pPr>
      <w:r>
        <w:rPr>
          <w:rFonts w:eastAsia="Times New Roman"/>
          <w:noProof/>
          <w:szCs w:val="24"/>
          <w:lang w:eastAsia="en-GB"/>
        </w:rPr>
        <w:t>Paragraph</w:t>
      </w:r>
      <w:r w:rsidRPr="00FE3FA5">
        <w:rPr>
          <w:rFonts w:eastAsia="Times New Roman"/>
          <w:noProof/>
          <w:szCs w:val="24"/>
          <w:lang w:eastAsia="en-GB"/>
        </w:rPr>
        <w:t xml:space="preserve"> </w:t>
      </w:r>
      <w:r w:rsidR="00FE3FA5" w:rsidRPr="00FE3FA5">
        <w:rPr>
          <w:rFonts w:eastAsia="Times New Roman"/>
          <w:noProof/>
          <w:szCs w:val="24"/>
          <w:lang w:eastAsia="en-GB"/>
        </w:rPr>
        <w:t xml:space="preserve">6 recommends that Member States </w:t>
      </w:r>
      <w:r w:rsidR="00920819">
        <w:rPr>
          <w:noProof/>
        </w:rPr>
        <w:t>ensure that high-quality criteria and standards are established and strictly applied in</w:t>
      </w:r>
      <w:r w:rsidR="00920819" w:rsidRPr="00804C2D">
        <w:rPr>
          <w:noProof/>
        </w:rPr>
        <w:t xml:space="preserve"> all</w:t>
      </w:r>
      <w:r w:rsidR="00920819">
        <w:rPr>
          <w:noProof/>
        </w:rPr>
        <w:t xml:space="preserve"> long-term care settings, tailored to their characteristics,</w:t>
      </w:r>
      <w:r w:rsidR="00920819" w:rsidRPr="000A2D18">
        <w:rPr>
          <w:noProof/>
        </w:rPr>
        <w:t xml:space="preserve"> </w:t>
      </w:r>
      <w:r w:rsidR="00920819">
        <w:rPr>
          <w:noProof/>
        </w:rPr>
        <w:t>by all</w:t>
      </w:r>
      <w:r w:rsidR="00920819" w:rsidRPr="00804C2D">
        <w:rPr>
          <w:noProof/>
        </w:rPr>
        <w:t xml:space="preserve"> long-term care providers irrespective of their legal status</w:t>
      </w:r>
      <w:r w:rsidR="00920819">
        <w:rPr>
          <w:noProof/>
        </w:rPr>
        <w:t xml:space="preserve">. To this effect, Member States are invited to </w:t>
      </w:r>
      <w:r w:rsidR="00FE3FA5" w:rsidRPr="00FE3FA5">
        <w:rPr>
          <w:rFonts w:eastAsia="Times New Roman"/>
          <w:noProof/>
          <w:szCs w:val="24"/>
          <w:lang w:eastAsia="en-GB"/>
        </w:rPr>
        <w:t xml:space="preserve">establish a quality framework for </w:t>
      </w:r>
      <w:r w:rsidR="00B56D5E">
        <w:rPr>
          <w:rFonts w:eastAsia="Times New Roman"/>
          <w:noProof/>
          <w:szCs w:val="24"/>
          <w:lang w:eastAsia="en-GB"/>
        </w:rPr>
        <w:t>long-term care</w:t>
      </w:r>
      <w:r w:rsidR="00FE3FA5" w:rsidRPr="00FE3FA5">
        <w:rPr>
          <w:rFonts w:eastAsia="Times New Roman"/>
          <w:noProof/>
          <w:szCs w:val="24"/>
          <w:lang w:eastAsia="en-GB"/>
        </w:rPr>
        <w:t xml:space="preserve"> </w:t>
      </w:r>
      <w:r w:rsidR="00920819">
        <w:rPr>
          <w:rFonts w:eastAsia="Times New Roman"/>
          <w:noProof/>
          <w:szCs w:val="24"/>
          <w:lang w:eastAsia="en-GB"/>
        </w:rPr>
        <w:t xml:space="preserve">guided by the </w:t>
      </w:r>
      <w:r w:rsidR="00920819" w:rsidRPr="00FE3FA5">
        <w:rPr>
          <w:rFonts w:eastAsia="Times New Roman"/>
          <w:noProof/>
          <w:szCs w:val="24"/>
          <w:lang w:eastAsia="en-GB"/>
        </w:rPr>
        <w:t>quality principles set ou</w:t>
      </w:r>
      <w:r w:rsidR="00920819">
        <w:rPr>
          <w:rFonts w:eastAsia="Times New Roman"/>
          <w:noProof/>
          <w:szCs w:val="24"/>
          <w:lang w:eastAsia="en-GB"/>
        </w:rPr>
        <w:t>t</w:t>
      </w:r>
      <w:r w:rsidR="00920819" w:rsidRPr="00FE3FA5">
        <w:rPr>
          <w:rFonts w:eastAsia="Times New Roman"/>
          <w:noProof/>
          <w:szCs w:val="24"/>
          <w:lang w:eastAsia="en-GB"/>
        </w:rPr>
        <w:t xml:space="preserve"> in the </w:t>
      </w:r>
      <w:r w:rsidR="00920819">
        <w:rPr>
          <w:rFonts w:eastAsia="Times New Roman"/>
          <w:noProof/>
          <w:szCs w:val="24"/>
          <w:lang w:eastAsia="en-GB"/>
        </w:rPr>
        <w:t>a</w:t>
      </w:r>
      <w:r w:rsidR="00920819" w:rsidRPr="00FE3FA5">
        <w:rPr>
          <w:rFonts w:eastAsia="Times New Roman"/>
          <w:noProof/>
          <w:szCs w:val="24"/>
          <w:lang w:eastAsia="en-GB"/>
        </w:rPr>
        <w:t xml:space="preserve">nnex to the </w:t>
      </w:r>
      <w:r w:rsidR="00920819">
        <w:rPr>
          <w:rFonts w:eastAsia="Times New Roman"/>
          <w:noProof/>
          <w:szCs w:val="24"/>
          <w:lang w:eastAsia="en-GB"/>
        </w:rPr>
        <w:t>r</w:t>
      </w:r>
      <w:r w:rsidR="00920819" w:rsidRPr="00FE3FA5">
        <w:rPr>
          <w:rFonts w:eastAsia="Times New Roman"/>
          <w:noProof/>
          <w:szCs w:val="24"/>
          <w:lang w:eastAsia="en-GB"/>
        </w:rPr>
        <w:t>ecommendat</w:t>
      </w:r>
      <w:r w:rsidR="00920819">
        <w:rPr>
          <w:rFonts w:eastAsia="Times New Roman"/>
          <w:noProof/>
          <w:szCs w:val="24"/>
          <w:lang w:eastAsia="en-GB"/>
        </w:rPr>
        <w:t>i</w:t>
      </w:r>
      <w:r w:rsidR="00920819" w:rsidRPr="00FE3FA5">
        <w:rPr>
          <w:rFonts w:eastAsia="Times New Roman"/>
          <w:noProof/>
          <w:szCs w:val="24"/>
          <w:lang w:eastAsia="en-GB"/>
        </w:rPr>
        <w:t xml:space="preserve">on </w:t>
      </w:r>
      <w:r w:rsidR="00920819">
        <w:rPr>
          <w:rFonts w:eastAsia="Times New Roman"/>
          <w:noProof/>
          <w:szCs w:val="24"/>
          <w:lang w:eastAsia="en-GB"/>
        </w:rPr>
        <w:t>and includ</w:t>
      </w:r>
      <w:r w:rsidR="008F1491">
        <w:rPr>
          <w:rFonts w:eastAsia="Times New Roman"/>
          <w:noProof/>
          <w:szCs w:val="24"/>
          <w:lang w:eastAsia="en-GB"/>
        </w:rPr>
        <w:t>es</w:t>
      </w:r>
      <w:r w:rsidR="00920819">
        <w:rPr>
          <w:rFonts w:eastAsia="Times New Roman"/>
          <w:noProof/>
          <w:szCs w:val="24"/>
          <w:lang w:eastAsia="en-GB"/>
        </w:rPr>
        <w:t xml:space="preserve"> </w:t>
      </w:r>
      <w:r w:rsidR="00FE3FA5" w:rsidRPr="00FE3FA5">
        <w:rPr>
          <w:rFonts w:eastAsia="Times New Roman"/>
          <w:noProof/>
          <w:szCs w:val="24"/>
          <w:lang w:eastAsia="en-GB"/>
        </w:rPr>
        <w:t>a</w:t>
      </w:r>
      <w:r w:rsidR="00920819">
        <w:rPr>
          <w:rFonts w:eastAsia="Times New Roman"/>
          <w:noProof/>
          <w:szCs w:val="24"/>
          <w:lang w:eastAsia="en-GB"/>
        </w:rPr>
        <w:t>n appropriate</w:t>
      </w:r>
      <w:r w:rsidR="00FE3FA5" w:rsidRPr="00FE3FA5">
        <w:rPr>
          <w:rFonts w:eastAsia="Times New Roman"/>
          <w:noProof/>
          <w:szCs w:val="24"/>
          <w:lang w:eastAsia="en-GB"/>
        </w:rPr>
        <w:t xml:space="preserve"> quality assurance mecanism.</w:t>
      </w:r>
    </w:p>
    <w:p w14:paraId="76EA14D1" w14:textId="77777777" w:rsidR="00FE3FA5" w:rsidRPr="00FE3FA5" w:rsidRDefault="00F2422B" w:rsidP="00FE3FA5">
      <w:pPr>
        <w:rPr>
          <w:rFonts w:eastAsia="Times New Roman"/>
          <w:noProof/>
          <w:szCs w:val="24"/>
          <w:lang w:eastAsia="en-GB"/>
        </w:rPr>
      </w:pPr>
      <w:r>
        <w:rPr>
          <w:rFonts w:eastAsia="Times New Roman"/>
          <w:noProof/>
          <w:szCs w:val="24"/>
          <w:lang w:eastAsia="en-GB"/>
        </w:rPr>
        <w:t>Paragraphs</w:t>
      </w:r>
      <w:r w:rsidRPr="00FE3FA5">
        <w:rPr>
          <w:rFonts w:eastAsia="Times New Roman"/>
          <w:noProof/>
          <w:szCs w:val="24"/>
          <w:lang w:eastAsia="en-GB"/>
        </w:rPr>
        <w:t xml:space="preserve"> </w:t>
      </w:r>
      <w:r w:rsidR="00FE3FA5" w:rsidRPr="00FE3FA5">
        <w:rPr>
          <w:rFonts w:eastAsia="Times New Roman"/>
          <w:noProof/>
          <w:szCs w:val="24"/>
          <w:lang w:eastAsia="en-GB"/>
        </w:rPr>
        <w:t xml:space="preserve">7-8 recommend that Member States address skills needs and </w:t>
      </w:r>
      <w:r w:rsidR="00FB067E">
        <w:rPr>
          <w:rFonts w:eastAsia="Times New Roman"/>
          <w:noProof/>
          <w:szCs w:val="24"/>
          <w:lang w:eastAsia="en-GB"/>
        </w:rPr>
        <w:t>worker shortages</w:t>
      </w:r>
      <w:r w:rsidR="00FE3FA5" w:rsidRPr="00FE3FA5">
        <w:rPr>
          <w:rFonts w:eastAsia="Times New Roman"/>
          <w:noProof/>
          <w:szCs w:val="24"/>
          <w:lang w:eastAsia="en-GB"/>
        </w:rPr>
        <w:t xml:space="preserve"> and ensure fair working conditions.</w:t>
      </w:r>
    </w:p>
    <w:p w14:paraId="0D2D7A55" w14:textId="77777777" w:rsidR="00FE3FA5" w:rsidRPr="001C6494" w:rsidRDefault="00F2422B" w:rsidP="00FE3FA5">
      <w:pPr>
        <w:rPr>
          <w:rFonts w:eastAsia="Times New Roman"/>
          <w:noProof/>
          <w:szCs w:val="24"/>
          <w:lang w:eastAsia="en-GB"/>
        </w:rPr>
      </w:pPr>
      <w:r>
        <w:rPr>
          <w:rFonts w:eastAsia="Times New Roman"/>
          <w:noProof/>
          <w:szCs w:val="24"/>
          <w:lang w:eastAsia="en-GB"/>
        </w:rPr>
        <w:t>Paragraph</w:t>
      </w:r>
      <w:r w:rsidRPr="00FE3FA5">
        <w:rPr>
          <w:rFonts w:eastAsia="Times New Roman"/>
          <w:noProof/>
          <w:szCs w:val="24"/>
          <w:lang w:eastAsia="en-GB"/>
        </w:rPr>
        <w:t xml:space="preserve"> </w:t>
      </w:r>
      <w:r w:rsidR="00FE3FA5" w:rsidRPr="00FE3FA5">
        <w:rPr>
          <w:rFonts w:eastAsia="Times New Roman"/>
          <w:noProof/>
          <w:szCs w:val="24"/>
          <w:lang w:eastAsia="en-GB"/>
        </w:rPr>
        <w:t>9 recommends that Member States support informal carers, inc</w:t>
      </w:r>
      <w:r w:rsidR="003654C6">
        <w:rPr>
          <w:rFonts w:eastAsia="Times New Roman"/>
          <w:noProof/>
          <w:szCs w:val="24"/>
          <w:lang w:eastAsia="en-GB"/>
        </w:rPr>
        <w:t>l</w:t>
      </w:r>
      <w:r w:rsidR="00FE3FA5" w:rsidRPr="00FE3FA5">
        <w:rPr>
          <w:rFonts w:eastAsia="Times New Roman"/>
          <w:noProof/>
          <w:szCs w:val="24"/>
          <w:lang w:eastAsia="en-GB"/>
        </w:rPr>
        <w:t>uding by training, coun</w:t>
      </w:r>
      <w:r w:rsidR="003654C6">
        <w:rPr>
          <w:rFonts w:eastAsia="Times New Roman"/>
          <w:noProof/>
          <w:szCs w:val="24"/>
          <w:lang w:eastAsia="en-GB"/>
        </w:rPr>
        <w:t>s</w:t>
      </w:r>
      <w:r w:rsidR="00FE3FA5" w:rsidRPr="00FE3FA5">
        <w:rPr>
          <w:rFonts w:eastAsia="Times New Roman"/>
          <w:noProof/>
          <w:szCs w:val="24"/>
          <w:lang w:eastAsia="en-GB"/>
        </w:rPr>
        <w:t xml:space="preserve">elling, </w:t>
      </w:r>
      <w:r w:rsidR="00FE3FA5" w:rsidRPr="00C911ED">
        <w:rPr>
          <w:rFonts w:eastAsia="Times New Roman"/>
          <w:noProof/>
          <w:szCs w:val="24"/>
          <w:lang w:eastAsia="en-GB"/>
        </w:rPr>
        <w:t>psychological support, respite care and financial support</w:t>
      </w:r>
      <w:r w:rsidR="003654C6">
        <w:rPr>
          <w:rFonts w:eastAsia="Times New Roman"/>
          <w:noProof/>
          <w:szCs w:val="24"/>
          <w:lang w:eastAsia="en-GB"/>
        </w:rPr>
        <w:t>.</w:t>
      </w:r>
    </w:p>
    <w:p w14:paraId="24BAD1A4" w14:textId="77777777" w:rsidR="00FE3FA5" w:rsidRDefault="00F2422B" w:rsidP="00703B40">
      <w:pPr>
        <w:rPr>
          <w:rFonts w:eastAsia="Times New Roman"/>
          <w:noProof/>
          <w:szCs w:val="24"/>
          <w:lang w:eastAsia="en-GB"/>
        </w:rPr>
      </w:pPr>
      <w:r>
        <w:rPr>
          <w:rFonts w:eastAsia="Times New Roman"/>
          <w:noProof/>
          <w:szCs w:val="24"/>
          <w:lang w:eastAsia="en-GB"/>
        </w:rPr>
        <w:t>Paragraph</w:t>
      </w:r>
      <w:r w:rsidRPr="00FE3FA5">
        <w:rPr>
          <w:rFonts w:eastAsia="Times New Roman"/>
          <w:noProof/>
          <w:szCs w:val="24"/>
          <w:lang w:eastAsia="en-GB"/>
        </w:rPr>
        <w:t xml:space="preserve"> </w:t>
      </w:r>
      <w:r w:rsidR="00703B40" w:rsidRPr="001C6494">
        <w:rPr>
          <w:rFonts w:eastAsia="Times New Roman"/>
          <w:noProof/>
          <w:szCs w:val="24"/>
          <w:lang w:eastAsia="en-GB"/>
        </w:rPr>
        <w:t>1</w:t>
      </w:r>
      <w:r w:rsidR="00703B40">
        <w:rPr>
          <w:rFonts w:eastAsia="Times New Roman"/>
          <w:noProof/>
          <w:szCs w:val="24"/>
          <w:lang w:eastAsia="en-GB"/>
        </w:rPr>
        <w:t xml:space="preserve">0 </w:t>
      </w:r>
      <w:r w:rsidR="00FE3FA5" w:rsidRPr="001C6494">
        <w:rPr>
          <w:rFonts w:eastAsia="Times New Roman"/>
          <w:noProof/>
          <w:szCs w:val="24"/>
          <w:lang w:eastAsia="en-GB"/>
        </w:rPr>
        <w:t xml:space="preserve">recommends that Member States ensure sound policy governance in </w:t>
      </w:r>
      <w:r w:rsidR="00B56D5E">
        <w:rPr>
          <w:rFonts w:eastAsia="Times New Roman"/>
          <w:noProof/>
          <w:szCs w:val="24"/>
          <w:lang w:eastAsia="en-GB"/>
        </w:rPr>
        <w:t>long-term care</w:t>
      </w:r>
      <w:r w:rsidR="00FE3FA5" w:rsidRPr="001C6494">
        <w:rPr>
          <w:rFonts w:eastAsia="Times New Roman"/>
          <w:noProof/>
          <w:szCs w:val="24"/>
          <w:lang w:eastAsia="en-GB"/>
        </w:rPr>
        <w:t xml:space="preserve"> </w:t>
      </w:r>
      <w:r w:rsidR="001C6494" w:rsidRPr="001C6494">
        <w:rPr>
          <w:rFonts w:eastAsia="Times New Roman"/>
          <w:noProof/>
          <w:szCs w:val="24"/>
          <w:lang w:eastAsia="en-GB"/>
        </w:rPr>
        <w:t>by</w:t>
      </w:r>
      <w:r w:rsidR="00FE3FA5" w:rsidRPr="001C6494">
        <w:rPr>
          <w:rFonts w:eastAsia="Times New Roman"/>
          <w:noProof/>
          <w:szCs w:val="24"/>
          <w:lang w:eastAsia="en-GB"/>
        </w:rPr>
        <w:t xml:space="preserve"> </w:t>
      </w:r>
      <w:r w:rsidR="00996FBD">
        <w:rPr>
          <w:rFonts w:eastAsia="Times New Roman"/>
          <w:noProof/>
          <w:szCs w:val="24"/>
          <w:lang w:eastAsia="en-GB"/>
        </w:rPr>
        <w:t xml:space="preserve">designating </w:t>
      </w:r>
      <w:r w:rsidR="00D31F6A">
        <w:rPr>
          <w:rFonts w:eastAsia="Times New Roman"/>
          <w:noProof/>
          <w:szCs w:val="24"/>
          <w:lang w:eastAsia="en-GB"/>
        </w:rPr>
        <w:t xml:space="preserve">a national </w:t>
      </w:r>
      <w:r w:rsidR="00B56D5E">
        <w:rPr>
          <w:rFonts w:eastAsia="Times New Roman"/>
          <w:noProof/>
          <w:szCs w:val="24"/>
          <w:lang w:eastAsia="en-GB"/>
        </w:rPr>
        <w:t>long-term care</w:t>
      </w:r>
      <w:r w:rsidR="00D31F6A">
        <w:rPr>
          <w:rFonts w:eastAsia="Times New Roman"/>
          <w:noProof/>
          <w:szCs w:val="24"/>
          <w:lang w:eastAsia="en-GB"/>
        </w:rPr>
        <w:t xml:space="preserve"> coordinator, </w:t>
      </w:r>
      <w:r w:rsidR="001C6494" w:rsidRPr="001C6494">
        <w:rPr>
          <w:rFonts w:eastAsia="Times New Roman"/>
          <w:noProof/>
          <w:szCs w:val="24"/>
          <w:lang w:eastAsia="en-GB"/>
        </w:rPr>
        <w:t>involving</w:t>
      </w:r>
      <w:r w:rsidR="00FE3FA5" w:rsidRPr="001C6494">
        <w:rPr>
          <w:rFonts w:eastAsia="Times New Roman"/>
          <w:noProof/>
          <w:szCs w:val="24"/>
          <w:lang w:eastAsia="en-GB"/>
        </w:rPr>
        <w:t xml:space="preserve"> all releva</w:t>
      </w:r>
      <w:r w:rsidR="003117FE">
        <w:rPr>
          <w:rFonts w:eastAsia="Times New Roman"/>
          <w:noProof/>
          <w:szCs w:val="24"/>
          <w:lang w:eastAsia="en-GB"/>
        </w:rPr>
        <w:t>n</w:t>
      </w:r>
      <w:r w:rsidR="00FE3FA5" w:rsidRPr="001C6494">
        <w:rPr>
          <w:rFonts w:eastAsia="Times New Roman"/>
          <w:noProof/>
          <w:szCs w:val="24"/>
          <w:lang w:eastAsia="en-GB"/>
        </w:rPr>
        <w:t>t stakeholders</w:t>
      </w:r>
      <w:r w:rsidR="001C6494" w:rsidRPr="001C6494">
        <w:rPr>
          <w:rFonts w:eastAsia="Times New Roman"/>
          <w:noProof/>
          <w:szCs w:val="24"/>
          <w:lang w:eastAsia="en-GB"/>
        </w:rPr>
        <w:t xml:space="preserve">, </w:t>
      </w:r>
      <w:r>
        <w:rPr>
          <w:rFonts w:eastAsia="Times New Roman"/>
          <w:noProof/>
          <w:szCs w:val="24"/>
          <w:lang w:eastAsia="en-GB"/>
        </w:rPr>
        <w:t>increasing consistency</w:t>
      </w:r>
      <w:r w:rsidR="00FE3FA5" w:rsidRPr="001C6494">
        <w:rPr>
          <w:rFonts w:eastAsia="Times New Roman"/>
          <w:noProof/>
          <w:szCs w:val="24"/>
          <w:lang w:eastAsia="en-GB"/>
        </w:rPr>
        <w:t xml:space="preserve"> with other policy areas</w:t>
      </w:r>
      <w:r w:rsidR="001C6494" w:rsidRPr="001C6494">
        <w:rPr>
          <w:rFonts w:eastAsia="Times New Roman"/>
          <w:noProof/>
          <w:szCs w:val="24"/>
          <w:lang w:eastAsia="en-GB"/>
        </w:rPr>
        <w:t xml:space="preserve">, developing </w:t>
      </w:r>
      <w:r>
        <w:rPr>
          <w:rFonts w:eastAsia="Times New Roman"/>
          <w:noProof/>
          <w:szCs w:val="24"/>
          <w:lang w:eastAsia="en-GB"/>
        </w:rPr>
        <w:t xml:space="preserve">its </w:t>
      </w:r>
      <w:r w:rsidRPr="001C6494">
        <w:rPr>
          <w:rFonts w:eastAsia="Times New Roman"/>
          <w:noProof/>
          <w:szCs w:val="24"/>
          <w:lang w:eastAsia="en-GB"/>
        </w:rPr>
        <w:t>forecasting</w:t>
      </w:r>
      <w:r w:rsidRPr="001C6494" w:rsidDel="00B56D5E">
        <w:rPr>
          <w:rFonts w:eastAsia="Times New Roman"/>
          <w:noProof/>
          <w:szCs w:val="24"/>
          <w:lang w:eastAsia="en-GB"/>
        </w:rPr>
        <w:t xml:space="preserve"> </w:t>
      </w:r>
      <w:r>
        <w:rPr>
          <w:rFonts w:eastAsia="Times New Roman"/>
          <w:noProof/>
          <w:szCs w:val="24"/>
          <w:lang w:eastAsia="en-GB"/>
        </w:rPr>
        <w:t xml:space="preserve">of </w:t>
      </w:r>
      <w:r w:rsidR="00B56D5E">
        <w:rPr>
          <w:rFonts w:eastAsia="Times New Roman"/>
          <w:noProof/>
          <w:szCs w:val="24"/>
          <w:lang w:eastAsia="en-GB"/>
        </w:rPr>
        <w:t>long-term care</w:t>
      </w:r>
      <w:r w:rsidR="001C6494" w:rsidRPr="001C6494">
        <w:rPr>
          <w:rFonts w:eastAsia="Times New Roman"/>
          <w:noProof/>
          <w:szCs w:val="24"/>
          <w:lang w:eastAsia="en-GB"/>
        </w:rPr>
        <w:t xml:space="preserve"> needs, improving contingency planning</w:t>
      </w:r>
      <w:r w:rsidR="004140AB">
        <w:rPr>
          <w:rFonts w:eastAsia="Times New Roman"/>
          <w:noProof/>
          <w:szCs w:val="24"/>
          <w:lang w:eastAsia="en-GB"/>
        </w:rPr>
        <w:t xml:space="preserve"> (e.g. for dealing with pandemics or other external shocks)</w:t>
      </w:r>
      <w:r w:rsidR="007B3B86">
        <w:rPr>
          <w:rFonts w:eastAsia="Times New Roman"/>
          <w:noProof/>
          <w:szCs w:val="24"/>
          <w:lang w:eastAsia="en-GB"/>
        </w:rPr>
        <w:t xml:space="preserve"> and data collection</w:t>
      </w:r>
      <w:r w:rsidR="001C6494" w:rsidRPr="001C6494">
        <w:rPr>
          <w:rFonts w:eastAsia="Times New Roman"/>
          <w:noProof/>
          <w:szCs w:val="24"/>
          <w:lang w:eastAsia="en-GB"/>
        </w:rPr>
        <w:t xml:space="preserve">, raising awareness, </w:t>
      </w:r>
      <w:r w:rsidR="007B3B86">
        <w:rPr>
          <w:rFonts w:eastAsia="Times New Roman"/>
          <w:noProof/>
          <w:szCs w:val="24"/>
          <w:lang w:eastAsia="en-GB"/>
        </w:rPr>
        <w:t xml:space="preserve">and </w:t>
      </w:r>
      <w:r w:rsidR="005E4D65">
        <w:rPr>
          <w:rFonts w:eastAsia="Times New Roman"/>
          <w:noProof/>
          <w:szCs w:val="24"/>
          <w:lang w:eastAsia="en-GB"/>
        </w:rPr>
        <w:t>mobilising</w:t>
      </w:r>
      <w:r w:rsidR="005E4D65" w:rsidRPr="001C6494">
        <w:rPr>
          <w:rFonts w:eastAsia="Times New Roman"/>
          <w:noProof/>
          <w:szCs w:val="24"/>
          <w:lang w:eastAsia="en-GB"/>
        </w:rPr>
        <w:t xml:space="preserve"> </w:t>
      </w:r>
      <w:r w:rsidR="005E4D65">
        <w:rPr>
          <w:rFonts w:eastAsia="Times New Roman"/>
          <w:noProof/>
          <w:szCs w:val="24"/>
          <w:lang w:eastAsia="en-GB"/>
        </w:rPr>
        <w:t>available funding, including EU</w:t>
      </w:r>
      <w:r>
        <w:rPr>
          <w:rFonts w:eastAsia="Times New Roman"/>
          <w:noProof/>
          <w:szCs w:val="24"/>
          <w:lang w:eastAsia="en-GB"/>
        </w:rPr>
        <w:t xml:space="preserve"> funds</w:t>
      </w:r>
      <w:r w:rsidR="001D6988">
        <w:rPr>
          <w:rFonts w:eastAsia="Times New Roman"/>
          <w:noProof/>
          <w:szCs w:val="24"/>
          <w:lang w:eastAsia="en-GB"/>
        </w:rPr>
        <w:t>,</w:t>
      </w:r>
      <w:r w:rsidR="005E4D65">
        <w:rPr>
          <w:rFonts w:eastAsia="Times New Roman"/>
          <w:noProof/>
          <w:szCs w:val="24"/>
          <w:lang w:eastAsia="en-GB"/>
        </w:rPr>
        <w:t xml:space="preserve"> for </w:t>
      </w:r>
      <w:r w:rsidR="00B56D5E">
        <w:rPr>
          <w:rFonts w:eastAsia="Times New Roman"/>
          <w:noProof/>
          <w:szCs w:val="24"/>
          <w:lang w:eastAsia="en-GB"/>
        </w:rPr>
        <w:t>long-term care</w:t>
      </w:r>
      <w:r w:rsidR="005E4D65">
        <w:rPr>
          <w:rFonts w:eastAsia="Times New Roman"/>
          <w:noProof/>
          <w:szCs w:val="24"/>
          <w:lang w:eastAsia="en-GB"/>
        </w:rPr>
        <w:t xml:space="preserve"> reforms</w:t>
      </w:r>
      <w:r w:rsidR="001C6494" w:rsidRPr="001C6494">
        <w:rPr>
          <w:rFonts w:eastAsia="Times New Roman"/>
          <w:noProof/>
          <w:szCs w:val="24"/>
          <w:lang w:eastAsia="en-GB"/>
        </w:rPr>
        <w:t>.</w:t>
      </w:r>
    </w:p>
    <w:p w14:paraId="2E095459" w14:textId="11B84B63" w:rsidR="00F9345F" w:rsidRPr="001C6494" w:rsidRDefault="00F2422B" w:rsidP="00703B40">
      <w:pPr>
        <w:rPr>
          <w:rFonts w:eastAsia="Times New Roman"/>
          <w:noProof/>
          <w:szCs w:val="24"/>
          <w:lang w:eastAsia="en-GB"/>
        </w:rPr>
      </w:pPr>
      <w:r>
        <w:rPr>
          <w:rFonts w:eastAsia="Times New Roman"/>
          <w:noProof/>
          <w:szCs w:val="24"/>
          <w:lang w:eastAsia="en-GB"/>
        </w:rPr>
        <w:t>Paragraph</w:t>
      </w:r>
      <w:r w:rsidRPr="00FE3FA5">
        <w:rPr>
          <w:rFonts w:eastAsia="Times New Roman"/>
          <w:noProof/>
          <w:szCs w:val="24"/>
          <w:lang w:eastAsia="en-GB"/>
        </w:rPr>
        <w:t xml:space="preserve"> </w:t>
      </w:r>
      <w:r w:rsidR="007B3B86" w:rsidRPr="001C6494">
        <w:rPr>
          <w:rFonts w:eastAsia="Times New Roman"/>
          <w:noProof/>
          <w:szCs w:val="24"/>
          <w:lang w:eastAsia="en-GB"/>
        </w:rPr>
        <w:t>1</w:t>
      </w:r>
      <w:r w:rsidR="007B3B86">
        <w:rPr>
          <w:rFonts w:eastAsia="Times New Roman"/>
          <w:noProof/>
          <w:szCs w:val="24"/>
          <w:lang w:eastAsia="en-GB"/>
        </w:rPr>
        <w:t xml:space="preserve">1 </w:t>
      </w:r>
      <w:r w:rsidR="006B4CAD">
        <w:rPr>
          <w:rFonts w:eastAsia="Times New Roman"/>
          <w:noProof/>
          <w:szCs w:val="24"/>
          <w:lang w:eastAsia="en-GB"/>
        </w:rPr>
        <w:t>recommmend</w:t>
      </w:r>
      <w:r w:rsidR="009E5AA7">
        <w:rPr>
          <w:rFonts w:eastAsia="Times New Roman"/>
          <w:noProof/>
          <w:szCs w:val="24"/>
          <w:lang w:eastAsia="en-GB"/>
        </w:rPr>
        <w:t xml:space="preserve">s that </w:t>
      </w:r>
      <w:r w:rsidRPr="001C6494">
        <w:rPr>
          <w:rFonts w:eastAsia="Times New Roman"/>
          <w:noProof/>
          <w:szCs w:val="24"/>
          <w:lang w:eastAsia="en-GB"/>
        </w:rPr>
        <w:t xml:space="preserve"> </w:t>
      </w:r>
      <w:r w:rsidR="00BA0054">
        <w:rPr>
          <w:rFonts w:eastAsia="Times New Roman"/>
          <w:noProof/>
          <w:szCs w:val="24"/>
          <w:lang w:eastAsia="en-GB"/>
        </w:rPr>
        <w:t>Member State</w:t>
      </w:r>
      <w:r w:rsidR="00CE1CC3">
        <w:rPr>
          <w:rFonts w:eastAsia="Times New Roman"/>
          <w:noProof/>
          <w:szCs w:val="24"/>
          <w:lang w:eastAsia="en-GB"/>
        </w:rPr>
        <w:t>s</w:t>
      </w:r>
      <w:r w:rsidR="00BA0054">
        <w:rPr>
          <w:rFonts w:eastAsia="Times New Roman"/>
          <w:noProof/>
          <w:szCs w:val="24"/>
          <w:lang w:eastAsia="en-GB"/>
        </w:rPr>
        <w:t xml:space="preserve"> </w:t>
      </w:r>
      <w:r w:rsidR="00F9345F">
        <w:rPr>
          <w:rFonts w:eastAsia="Times New Roman"/>
          <w:noProof/>
          <w:szCs w:val="24"/>
          <w:lang w:eastAsia="en-GB"/>
        </w:rPr>
        <w:t xml:space="preserve">prepare and submit to the Commission a </w:t>
      </w:r>
      <w:r w:rsidR="007B3B86" w:rsidRPr="001C6494">
        <w:rPr>
          <w:rFonts w:eastAsia="Times New Roman"/>
          <w:noProof/>
          <w:szCs w:val="24"/>
          <w:lang w:eastAsia="en-GB"/>
        </w:rPr>
        <w:t xml:space="preserve">national action plan </w:t>
      </w:r>
      <w:r w:rsidR="00F9345F" w:rsidRPr="00F84D7A">
        <w:rPr>
          <w:noProof/>
          <w:lang w:eastAsia="en-GB"/>
        </w:rPr>
        <w:t>presenting measures to implement th</w:t>
      </w:r>
      <w:r w:rsidR="00F9345F">
        <w:rPr>
          <w:noProof/>
          <w:lang w:eastAsia="en-GB"/>
        </w:rPr>
        <w:t>is</w:t>
      </w:r>
      <w:r w:rsidR="00F9345F" w:rsidRPr="00F84D7A">
        <w:rPr>
          <w:noProof/>
          <w:lang w:eastAsia="en-GB"/>
        </w:rPr>
        <w:t xml:space="preserve"> Recommendation, taking into account national, regional and local circumstances</w:t>
      </w:r>
      <w:r w:rsidR="00F9345F" w:rsidRPr="00B82010">
        <w:rPr>
          <w:noProof/>
          <w:lang w:eastAsia="en-GB"/>
        </w:rPr>
        <w:t xml:space="preserve"> </w:t>
      </w:r>
      <w:r w:rsidR="007B3B86" w:rsidRPr="001C6494">
        <w:rPr>
          <w:rFonts w:eastAsia="Times New Roman"/>
          <w:noProof/>
          <w:szCs w:val="24"/>
          <w:lang w:eastAsia="en-GB"/>
        </w:rPr>
        <w:t>and</w:t>
      </w:r>
      <w:r w:rsidR="008F1491">
        <w:rPr>
          <w:rFonts w:eastAsia="Times New Roman"/>
          <w:noProof/>
          <w:szCs w:val="24"/>
          <w:lang w:eastAsia="en-GB"/>
        </w:rPr>
        <w:t>,</w:t>
      </w:r>
      <w:r w:rsidR="007B3B86" w:rsidRPr="001C6494">
        <w:rPr>
          <w:rFonts w:eastAsia="Times New Roman"/>
          <w:noProof/>
          <w:szCs w:val="24"/>
          <w:lang w:eastAsia="en-GB"/>
        </w:rPr>
        <w:t xml:space="preserve"> </w:t>
      </w:r>
      <w:r w:rsidR="008F1491">
        <w:rPr>
          <w:rFonts w:eastAsia="Times New Roman"/>
          <w:noProof/>
          <w:szCs w:val="24"/>
          <w:lang w:eastAsia="en-GB"/>
        </w:rPr>
        <w:t xml:space="preserve">subsequently, </w:t>
      </w:r>
      <w:r w:rsidR="00F9345F">
        <w:rPr>
          <w:rFonts w:eastAsia="Times New Roman"/>
          <w:noProof/>
          <w:szCs w:val="24"/>
          <w:lang w:eastAsia="en-GB"/>
        </w:rPr>
        <w:t xml:space="preserve">regular </w:t>
      </w:r>
      <w:r w:rsidR="007B3B86" w:rsidRPr="001C6494">
        <w:rPr>
          <w:rFonts w:eastAsia="Times New Roman"/>
          <w:noProof/>
          <w:szCs w:val="24"/>
          <w:lang w:eastAsia="en-GB"/>
        </w:rPr>
        <w:t>progress reports</w:t>
      </w:r>
      <w:r w:rsidR="006164A6">
        <w:rPr>
          <w:rFonts w:eastAsia="Times New Roman"/>
          <w:noProof/>
          <w:szCs w:val="24"/>
          <w:lang w:eastAsia="en-GB"/>
        </w:rPr>
        <w:t>.</w:t>
      </w:r>
    </w:p>
    <w:p w14:paraId="36F5B705" w14:textId="77777777" w:rsidR="00207631" w:rsidRDefault="00BA0054" w:rsidP="0041778C">
      <w:pPr>
        <w:rPr>
          <w:rFonts w:eastAsia="Times New Roman"/>
          <w:noProof/>
          <w:szCs w:val="24"/>
          <w:lang w:eastAsia="en-GB"/>
        </w:rPr>
      </w:pPr>
      <w:r>
        <w:rPr>
          <w:rFonts w:eastAsia="Times New Roman"/>
          <w:noProof/>
          <w:szCs w:val="24"/>
          <w:lang w:eastAsia="en-GB"/>
        </w:rPr>
        <w:t>Paragraph</w:t>
      </w:r>
      <w:r w:rsidRPr="00FE3FA5">
        <w:rPr>
          <w:rFonts w:eastAsia="Times New Roman"/>
          <w:noProof/>
          <w:szCs w:val="24"/>
          <w:lang w:eastAsia="en-GB"/>
        </w:rPr>
        <w:t xml:space="preserve"> </w:t>
      </w:r>
      <w:r w:rsidR="007B3B86" w:rsidRPr="001C6494">
        <w:rPr>
          <w:rFonts w:eastAsia="Times New Roman"/>
          <w:noProof/>
          <w:szCs w:val="24"/>
          <w:lang w:eastAsia="en-GB"/>
        </w:rPr>
        <w:t>1</w:t>
      </w:r>
      <w:r w:rsidR="007B3B86">
        <w:rPr>
          <w:rFonts w:eastAsia="Times New Roman"/>
          <w:noProof/>
          <w:szCs w:val="24"/>
          <w:lang w:eastAsia="en-GB"/>
        </w:rPr>
        <w:t>2</w:t>
      </w:r>
      <w:r w:rsidR="007B3B86" w:rsidRPr="001C6494">
        <w:rPr>
          <w:rFonts w:eastAsia="Times New Roman"/>
          <w:noProof/>
          <w:szCs w:val="24"/>
          <w:lang w:eastAsia="en-GB"/>
        </w:rPr>
        <w:t xml:space="preserve"> </w:t>
      </w:r>
      <w:r w:rsidR="00FE3FA5" w:rsidRPr="001C6494">
        <w:rPr>
          <w:rFonts w:eastAsia="Times New Roman"/>
          <w:noProof/>
          <w:szCs w:val="24"/>
          <w:lang w:eastAsia="en-GB"/>
        </w:rPr>
        <w:t xml:space="preserve">sets out how the Commission </w:t>
      </w:r>
      <w:r w:rsidR="00996FBD">
        <w:rPr>
          <w:rFonts w:eastAsia="Times New Roman"/>
          <w:noProof/>
          <w:szCs w:val="24"/>
          <w:lang w:eastAsia="en-GB"/>
        </w:rPr>
        <w:t>intends to</w:t>
      </w:r>
      <w:r w:rsidR="00996FBD" w:rsidRPr="001C6494">
        <w:rPr>
          <w:rFonts w:eastAsia="Times New Roman"/>
          <w:noProof/>
          <w:szCs w:val="24"/>
          <w:lang w:eastAsia="en-GB"/>
        </w:rPr>
        <w:t xml:space="preserve"> </w:t>
      </w:r>
      <w:r w:rsidR="00FE3FA5" w:rsidRPr="001C6494">
        <w:rPr>
          <w:rFonts w:eastAsia="Times New Roman"/>
          <w:noProof/>
          <w:szCs w:val="24"/>
          <w:lang w:eastAsia="en-GB"/>
        </w:rPr>
        <w:t>support the implementat</w:t>
      </w:r>
      <w:r w:rsidR="0038424A">
        <w:rPr>
          <w:rFonts w:eastAsia="Times New Roman"/>
          <w:noProof/>
          <w:szCs w:val="24"/>
          <w:lang w:eastAsia="en-GB"/>
        </w:rPr>
        <w:t>i</w:t>
      </w:r>
      <w:r w:rsidR="00FE3FA5" w:rsidRPr="001C6494">
        <w:rPr>
          <w:rFonts w:eastAsia="Times New Roman"/>
          <w:noProof/>
          <w:szCs w:val="24"/>
          <w:lang w:eastAsia="en-GB"/>
        </w:rPr>
        <w:t xml:space="preserve">on of this </w:t>
      </w:r>
      <w:r>
        <w:rPr>
          <w:rFonts w:eastAsia="Times New Roman"/>
          <w:noProof/>
          <w:szCs w:val="24"/>
          <w:lang w:eastAsia="en-GB"/>
        </w:rPr>
        <w:t>r</w:t>
      </w:r>
      <w:r w:rsidR="00FE3FA5" w:rsidRPr="001C6494">
        <w:rPr>
          <w:rFonts w:eastAsia="Times New Roman"/>
          <w:noProof/>
          <w:szCs w:val="24"/>
          <w:lang w:eastAsia="en-GB"/>
        </w:rPr>
        <w:t xml:space="preserve">ecommendation, including by mobilising EU funding, monitoring progress in the context of the European Semester and </w:t>
      </w:r>
      <w:r w:rsidR="002839DC">
        <w:rPr>
          <w:rFonts w:eastAsia="Times New Roman"/>
          <w:noProof/>
          <w:szCs w:val="24"/>
          <w:lang w:eastAsia="en-GB"/>
        </w:rPr>
        <w:t xml:space="preserve">with </w:t>
      </w:r>
      <w:r w:rsidR="00FE3FA5" w:rsidRPr="001C6494">
        <w:rPr>
          <w:rFonts w:eastAsia="Times New Roman"/>
          <w:noProof/>
          <w:szCs w:val="24"/>
          <w:lang w:eastAsia="en-GB"/>
        </w:rPr>
        <w:t xml:space="preserve">the Social Protection </w:t>
      </w:r>
      <w:r w:rsidRPr="001C6494">
        <w:rPr>
          <w:rFonts w:eastAsia="Times New Roman"/>
          <w:noProof/>
          <w:szCs w:val="24"/>
          <w:lang w:eastAsia="en-GB"/>
        </w:rPr>
        <w:t xml:space="preserve">Committee </w:t>
      </w:r>
      <w:r w:rsidR="00FE3FA5" w:rsidRPr="001C6494">
        <w:rPr>
          <w:rFonts w:eastAsia="Times New Roman"/>
          <w:noProof/>
          <w:szCs w:val="24"/>
          <w:lang w:eastAsia="en-GB"/>
        </w:rPr>
        <w:t>and</w:t>
      </w:r>
      <w:r>
        <w:rPr>
          <w:rFonts w:eastAsia="Times New Roman"/>
          <w:noProof/>
          <w:szCs w:val="24"/>
          <w:lang w:eastAsia="en-GB"/>
        </w:rPr>
        <w:t xml:space="preserve"> the</w:t>
      </w:r>
      <w:r w:rsidR="00FE3FA5" w:rsidRPr="001C6494">
        <w:rPr>
          <w:rFonts w:eastAsia="Times New Roman"/>
          <w:noProof/>
          <w:szCs w:val="24"/>
          <w:lang w:eastAsia="en-GB"/>
        </w:rPr>
        <w:t xml:space="preserve"> Employment Committee, establishing a framework</w:t>
      </w:r>
      <w:r w:rsidR="00996FBD">
        <w:rPr>
          <w:rFonts w:eastAsia="Times New Roman"/>
          <w:noProof/>
          <w:szCs w:val="24"/>
          <w:lang w:eastAsia="en-GB"/>
        </w:rPr>
        <w:t xml:space="preserve"> of indicators for monitoring,</w:t>
      </w:r>
      <w:r w:rsidR="00FE3FA5" w:rsidRPr="001C6494">
        <w:rPr>
          <w:rFonts w:eastAsia="Times New Roman"/>
          <w:noProof/>
          <w:szCs w:val="24"/>
          <w:lang w:eastAsia="en-GB"/>
        </w:rPr>
        <w:t xml:space="preserve"> facilitating mutual exchanges</w:t>
      </w:r>
      <w:r>
        <w:rPr>
          <w:rFonts w:eastAsia="Times New Roman"/>
          <w:noProof/>
          <w:szCs w:val="24"/>
          <w:lang w:eastAsia="en-GB"/>
        </w:rPr>
        <w:t>,</w:t>
      </w:r>
      <w:r w:rsidR="00FE3FA5" w:rsidRPr="001C6494">
        <w:rPr>
          <w:rFonts w:eastAsia="Times New Roman"/>
          <w:noProof/>
          <w:szCs w:val="24"/>
          <w:lang w:eastAsia="en-GB"/>
        </w:rPr>
        <w:t xml:space="preserve"> </w:t>
      </w:r>
      <w:r>
        <w:rPr>
          <w:rFonts w:eastAsia="Times New Roman"/>
          <w:noProof/>
          <w:szCs w:val="24"/>
          <w:lang w:eastAsia="en-GB"/>
        </w:rPr>
        <w:t>and</w:t>
      </w:r>
      <w:r w:rsidR="00FE3FA5" w:rsidRPr="001C6494">
        <w:rPr>
          <w:rFonts w:eastAsia="Times New Roman"/>
          <w:noProof/>
          <w:szCs w:val="24"/>
          <w:lang w:eastAsia="en-GB"/>
        </w:rPr>
        <w:t xml:space="preserve"> reporting to the Council on progress within </w:t>
      </w:r>
      <w:r w:rsidR="00DB2197">
        <w:rPr>
          <w:rFonts w:eastAsia="Times New Roman"/>
          <w:noProof/>
          <w:szCs w:val="24"/>
          <w:lang w:eastAsia="en-GB"/>
        </w:rPr>
        <w:t>5</w:t>
      </w:r>
      <w:r w:rsidR="00FE3FA5" w:rsidRPr="001C6494">
        <w:rPr>
          <w:rFonts w:eastAsia="Times New Roman"/>
          <w:noProof/>
          <w:szCs w:val="24"/>
          <w:lang w:eastAsia="en-GB"/>
        </w:rPr>
        <w:t xml:space="preserve"> years of the adoption.</w:t>
      </w:r>
    </w:p>
    <w:p w14:paraId="0B7B08BF" w14:textId="77777777" w:rsidR="00207631" w:rsidRDefault="00207631" w:rsidP="0041778C">
      <w:pPr>
        <w:rPr>
          <w:rFonts w:eastAsia="Times New Roman"/>
          <w:noProof/>
          <w:szCs w:val="24"/>
          <w:lang w:eastAsia="en-GB"/>
        </w:rPr>
        <w:sectPr w:rsidR="00207631" w:rsidSect="003E271A">
          <w:footerReference w:type="default" r:id="rId52"/>
          <w:footerReference w:type="first" r:id="rId53"/>
          <w:pgSz w:w="11907" w:h="16839"/>
          <w:pgMar w:top="1134" w:right="1417" w:bottom="1134" w:left="1417" w:header="709" w:footer="709" w:gutter="0"/>
          <w:cols w:space="708"/>
          <w:docGrid w:linePitch="360"/>
        </w:sectPr>
      </w:pPr>
    </w:p>
    <w:p w14:paraId="2BD25179" w14:textId="4F80A545" w:rsidR="003018D7" w:rsidRDefault="00D301A7" w:rsidP="00D301A7">
      <w:pPr>
        <w:pStyle w:val="Rfrenceinterinstitutionnelle"/>
        <w:rPr>
          <w:noProof/>
        </w:rPr>
      </w:pPr>
      <w:r w:rsidRPr="00D301A7">
        <w:t>2022/0264 (NLE)</w:t>
      </w:r>
    </w:p>
    <w:p w14:paraId="0A0B3745" w14:textId="7D3DA779" w:rsidR="001112E6" w:rsidRPr="000C5B3B" w:rsidRDefault="0004624B" w:rsidP="0004624B">
      <w:pPr>
        <w:pStyle w:val="Statut"/>
        <w:rPr>
          <w:noProof/>
        </w:rPr>
      </w:pPr>
      <w:r w:rsidRPr="0004624B">
        <w:rPr>
          <w:noProof/>
        </w:rPr>
        <w:t>Proposal for a</w:t>
      </w:r>
    </w:p>
    <w:p w14:paraId="6B54082A" w14:textId="07BCA8A9" w:rsidR="001112E6" w:rsidRPr="000C5B3B" w:rsidRDefault="0004624B" w:rsidP="0004624B">
      <w:pPr>
        <w:pStyle w:val="Typedudocument"/>
        <w:rPr>
          <w:noProof/>
        </w:rPr>
      </w:pPr>
      <w:r w:rsidRPr="0004624B">
        <w:rPr>
          <w:noProof/>
        </w:rPr>
        <w:t>COUNCIL RECOMMENDATION</w:t>
      </w:r>
    </w:p>
    <w:p w14:paraId="11CA12A5" w14:textId="52299A3D" w:rsidR="001112E6" w:rsidRPr="000C5B3B" w:rsidRDefault="0004624B" w:rsidP="0004624B">
      <w:pPr>
        <w:pStyle w:val="Titreobjet"/>
        <w:rPr>
          <w:noProof/>
        </w:rPr>
      </w:pPr>
      <w:r w:rsidRPr="0004624B">
        <w:rPr>
          <w:noProof/>
        </w:rPr>
        <w:t>on access to affordable high-quality long-term care</w:t>
      </w:r>
    </w:p>
    <w:p w14:paraId="103A0043" w14:textId="77777777" w:rsidR="001112E6" w:rsidRPr="00804C2D" w:rsidRDefault="001112E6" w:rsidP="00075714">
      <w:pPr>
        <w:pStyle w:val="Institutionquiagit"/>
        <w:rPr>
          <w:noProof/>
        </w:rPr>
      </w:pPr>
      <w:r w:rsidRPr="00804C2D">
        <w:rPr>
          <w:noProof/>
        </w:rPr>
        <w:t>THE COUNCIL OF THE EUROPEAN UNION,</w:t>
      </w:r>
    </w:p>
    <w:p w14:paraId="1C28C649" w14:textId="77777777" w:rsidR="001112E6" w:rsidRPr="00804C2D" w:rsidRDefault="001112E6" w:rsidP="00075714">
      <w:pPr>
        <w:rPr>
          <w:noProof/>
        </w:rPr>
      </w:pPr>
      <w:r w:rsidRPr="00804C2D">
        <w:rPr>
          <w:noProof/>
        </w:rPr>
        <w:t xml:space="preserve">Having regard to the Treaty on the Functioning of the European Union, and in particular </w:t>
      </w:r>
      <w:r w:rsidR="00D4321C" w:rsidRPr="00804C2D">
        <w:rPr>
          <w:noProof/>
        </w:rPr>
        <w:t>Article 292 in conjunction with Article 153(1)</w:t>
      </w:r>
      <w:r w:rsidR="00FC10A0">
        <w:rPr>
          <w:noProof/>
        </w:rPr>
        <w:t xml:space="preserve">, point </w:t>
      </w:r>
      <w:r w:rsidR="00D4321C" w:rsidRPr="00804C2D">
        <w:rPr>
          <w:noProof/>
        </w:rPr>
        <w:t xml:space="preserve">(k) </w:t>
      </w:r>
      <w:r w:rsidRPr="00804C2D">
        <w:rPr>
          <w:noProof/>
        </w:rPr>
        <w:t>thereof,</w:t>
      </w:r>
    </w:p>
    <w:p w14:paraId="634B9DFB" w14:textId="77777777" w:rsidR="001112E6" w:rsidRPr="00804C2D" w:rsidRDefault="001112E6" w:rsidP="00075714">
      <w:pPr>
        <w:rPr>
          <w:noProof/>
        </w:rPr>
      </w:pPr>
      <w:r w:rsidRPr="00804C2D">
        <w:rPr>
          <w:noProof/>
        </w:rPr>
        <w:t>Having regard to the proposal from the European Commission,</w:t>
      </w:r>
    </w:p>
    <w:p w14:paraId="66F8A09D" w14:textId="77777777" w:rsidR="001112E6" w:rsidRPr="00804C2D" w:rsidRDefault="001112E6" w:rsidP="00075714">
      <w:pPr>
        <w:rPr>
          <w:noProof/>
        </w:rPr>
      </w:pPr>
      <w:r w:rsidRPr="00804C2D">
        <w:rPr>
          <w:noProof/>
        </w:rPr>
        <w:t>Whereas:</w:t>
      </w:r>
    </w:p>
    <w:p w14:paraId="6B369F98" w14:textId="31C37D8B" w:rsidR="00FB7CD1" w:rsidRPr="000E32A0" w:rsidRDefault="00455E94" w:rsidP="00455E94">
      <w:pPr>
        <w:pStyle w:val="ManualConsidrant"/>
        <w:rPr>
          <w:noProof/>
        </w:rPr>
      </w:pPr>
      <w:r w:rsidRPr="00455E94">
        <w:t>(1)</w:t>
      </w:r>
      <w:r w:rsidRPr="00455E94">
        <w:tab/>
      </w:r>
      <w:r w:rsidR="006C3201" w:rsidRPr="000E32A0">
        <w:rPr>
          <w:noProof/>
        </w:rPr>
        <w:t>Accessible, affordable and high-q</w:t>
      </w:r>
      <w:r w:rsidR="0017388E" w:rsidRPr="000E32A0">
        <w:rPr>
          <w:noProof/>
        </w:rPr>
        <w:t xml:space="preserve">uality long-term care </w:t>
      </w:r>
      <w:r w:rsidR="00FB7CD1" w:rsidRPr="000E32A0">
        <w:rPr>
          <w:noProof/>
        </w:rPr>
        <w:t>allows</w:t>
      </w:r>
      <w:r w:rsidR="0017388E" w:rsidRPr="000E32A0">
        <w:rPr>
          <w:noProof/>
        </w:rPr>
        <w:t xml:space="preserve"> </w:t>
      </w:r>
      <w:r w:rsidR="00840B97" w:rsidRPr="000E32A0">
        <w:rPr>
          <w:noProof/>
        </w:rPr>
        <w:t xml:space="preserve">people </w:t>
      </w:r>
      <w:r w:rsidR="006C3201" w:rsidRPr="000E32A0">
        <w:rPr>
          <w:noProof/>
        </w:rPr>
        <w:t xml:space="preserve">in need of care to maintain autonomy </w:t>
      </w:r>
      <w:r w:rsidR="00025EDC" w:rsidRPr="000E32A0">
        <w:rPr>
          <w:noProof/>
        </w:rPr>
        <w:t xml:space="preserve">for as long as possible </w:t>
      </w:r>
      <w:r w:rsidR="006C3201" w:rsidRPr="000E32A0">
        <w:rPr>
          <w:noProof/>
        </w:rPr>
        <w:t>and li</w:t>
      </w:r>
      <w:r w:rsidR="00FB7CD1" w:rsidRPr="000E32A0">
        <w:rPr>
          <w:noProof/>
        </w:rPr>
        <w:t>v</w:t>
      </w:r>
      <w:r w:rsidR="006C3201" w:rsidRPr="000E32A0">
        <w:rPr>
          <w:noProof/>
        </w:rPr>
        <w:t xml:space="preserve">e in </w:t>
      </w:r>
      <w:r w:rsidR="0017388E" w:rsidRPr="000E32A0">
        <w:rPr>
          <w:noProof/>
        </w:rPr>
        <w:t>dignity</w:t>
      </w:r>
      <w:r w:rsidR="00980573" w:rsidRPr="000E32A0">
        <w:rPr>
          <w:noProof/>
        </w:rPr>
        <w:t xml:space="preserve">. It </w:t>
      </w:r>
      <w:r w:rsidR="00BB5DC8" w:rsidRPr="000E32A0">
        <w:rPr>
          <w:noProof/>
        </w:rPr>
        <w:t>help</w:t>
      </w:r>
      <w:r w:rsidR="00980573" w:rsidRPr="000E32A0">
        <w:rPr>
          <w:noProof/>
        </w:rPr>
        <w:t>s</w:t>
      </w:r>
      <w:r w:rsidR="00BB5DC8" w:rsidRPr="000E32A0">
        <w:rPr>
          <w:noProof/>
        </w:rPr>
        <w:t xml:space="preserve"> to </w:t>
      </w:r>
      <w:r w:rsidR="00980573" w:rsidRPr="000E32A0">
        <w:rPr>
          <w:noProof/>
        </w:rPr>
        <w:t xml:space="preserve">protect human rights, </w:t>
      </w:r>
      <w:r w:rsidR="006C3201" w:rsidRPr="000E32A0">
        <w:rPr>
          <w:noProof/>
        </w:rPr>
        <w:t>promot</w:t>
      </w:r>
      <w:r w:rsidR="00BB5DC8" w:rsidRPr="000E32A0">
        <w:rPr>
          <w:noProof/>
        </w:rPr>
        <w:t>e</w:t>
      </w:r>
      <w:r w:rsidR="006C3201" w:rsidRPr="000E32A0">
        <w:rPr>
          <w:noProof/>
        </w:rPr>
        <w:t xml:space="preserve"> social </w:t>
      </w:r>
      <w:r w:rsidR="006164A6" w:rsidRPr="000E32A0">
        <w:rPr>
          <w:noProof/>
        </w:rPr>
        <w:t>progress</w:t>
      </w:r>
      <w:r w:rsidR="006C3201" w:rsidRPr="000E32A0">
        <w:rPr>
          <w:noProof/>
        </w:rPr>
        <w:t xml:space="preserve"> and solidarity between generations, combat social exclusion and discrimination</w:t>
      </w:r>
      <w:r w:rsidR="00980573" w:rsidRPr="000E32A0">
        <w:rPr>
          <w:noProof/>
        </w:rPr>
        <w:t xml:space="preserve"> and can contribute to the creation of jobs</w:t>
      </w:r>
      <w:r w:rsidR="00FB7CD1" w:rsidRPr="000E32A0">
        <w:rPr>
          <w:noProof/>
        </w:rPr>
        <w:t>.</w:t>
      </w:r>
    </w:p>
    <w:p w14:paraId="29956E06" w14:textId="7C8C69CB" w:rsidR="00FC10A0" w:rsidRPr="000E32A0" w:rsidRDefault="00455E94" w:rsidP="00455E94">
      <w:pPr>
        <w:pStyle w:val="ManualConsidrant"/>
        <w:rPr>
          <w:noProof/>
        </w:rPr>
      </w:pPr>
      <w:r w:rsidRPr="00455E94">
        <w:t>(2)</w:t>
      </w:r>
      <w:r w:rsidRPr="00455E94">
        <w:tab/>
      </w:r>
      <w:r w:rsidR="00FC10A0" w:rsidRPr="000E32A0">
        <w:rPr>
          <w:noProof/>
        </w:rPr>
        <w:t>In November 2017, the European Parliament, the Council and the Commission proclaimed the European Pillar of Social Rights</w:t>
      </w:r>
      <w:r w:rsidR="00FC10A0" w:rsidRPr="000E32A0">
        <w:rPr>
          <w:rStyle w:val="FootnoteReference"/>
          <w:noProof/>
        </w:rPr>
        <w:footnoteReference w:id="34"/>
      </w:r>
      <w:r w:rsidR="00FC10A0" w:rsidRPr="000E32A0">
        <w:rPr>
          <w:noProof/>
        </w:rPr>
        <w:t>, setting out 20 principles to support well‐functioning and fair labour markets and welfare systems. Principle 18 on long-term care states that everyone has the right to affordable long-term care services of good quality, in particular home care and community-based services. Principle 9 promotes the right to work-life balance for people with care responsibilities. Principle 17 recognises the right of people with disabilities to inclusion, in particular to services that enable them to participate in the labour market and in society.</w:t>
      </w:r>
    </w:p>
    <w:p w14:paraId="64AAB3EB" w14:textId="491D1A72" w:rsidR="001C6494" w:rsidRDefault="00455E94" w:rsidP="00455E94">
      <w:pPr>
        <w:pStyle w:val="ManualConsidrant"/>
        <w:rPr>
          <w:noProof/>
        </w:rPr>
      </w:pPr>
      <w:r w:rsidRPr="00455E94">
        <w:t>(3)</w:t>
      </w:r>
      <w:r w:rsidRPr="00455E94">
        <w:tab/>
      </w:r>
      <w:r w:rsidR="001C6494">
        <w:rPr>
          <w:noProof/>
        </w:rPr>
        <w:t>Long-term care services</w:t>
      </w:r>
      <w:r w:rsidR="001C6494" w:rsidRPr="001C6494">
        <w:rPr>
          <w:noProof/>
        </w:rPr>
        <w:t xml:space="preserve"> </w:t>
      </w:r>
      <w:r w:rsidR="00C9765B">
        <w:rPr>
          <w:noProof/>
        </w:rPr>
        <w:t>organised</w:t>
      </w:r>
      <w:r w:rsidR="00C9765B" w:rsidRPr="001C6494">
        <w:rPr>
          <w:noProof/>
        </w:rPr>
        <w:t xml:space="preserve"> </w:t>
      </w:r>
      <w:r w:rsidR="001C6494" w:rsidRPr="001C6494">
        <w:rPr>
          <w:noProof/>
        </w:rPr>
        <w:t xml:space="preserve">by </w:t>
      </w:r>
      <w:r w:rsidR="00C9765B">
        <w:rPr>
          <w:noProof/>
        </w:rPr>
        <w:t xml:space="preserve">public authorities, at </w:t>
      </w:r>
      <w:r w:rsidR="002F3A2B">
        <w:rPr>
          <w:noProof/>
        </w:rPr>
        <w:t>national, regional or local</w:t>
      </w:r>
      <w:r w:rsidR="00C9765B">
        <w:rPr>
          <w:noProof/>
        </w:rPr>
        <w:t xml:space="preserve"> level</w:t>
      </w:r>
      <w:r w:rsidR="002F3A2B">
        <w:rPr>
          <w:noProof/>
        </w:rPr>
        <w:t>s</w:t>
      </w:r>
      <w:r w:rsidR="00C9765B">
        <w:rPr>
          <w:noProof/>
        </w:rPr>
        <w:t>,</w:t>
      </w:r>
      <w:r w:rsidR="001C6494" w:rsidRPr="001C6494">
        <w:rPr>
          <w:noProof/>
        </w:rPr>
        <w:t xml:space="preserve"> are primarily considered as social services of general interest as they have a clear social function</w:t>
      </w:r>
      <w:r w:rsidR="001C6494">
        <w:rPr>
          <w:noProof/>
        </w:rPr>
        <w:t xml:space="preserve">. They </w:t>
      </w:r>
      <w:r w:rsidR="001C6494" w:rsidRPr="001C6494">
        <w:rPr>
          <w:noProof/>
        </w:rPr>
        <w:t>facilitate social inclusion and safeguard fundamental rights of older people</w:t>
      </w:r>
      <w:r w:rsidR="001C6494">
        <w:rPr>
          <w:noProof/>
        </w:rPr>
        <w:t xml:space="preserve">, </w:t>
      </w:r>
      <w:r w:rsidR="001C6494" w:rsidRPr="001C6494">
        <w:rPr>
          <w:noProof/>
        </w:rPr>
        <w:t>complement and support the role of families in caring for t</w:t>
      </w:r>
      <w:r w:rsidR="001C6494">
        <w:rPr>
          <w:noProof/>
        </w:rPr>
        <w:t>he oldest members of societ</w:t>
      </w:r>
      <w:r w:rsidR="003117FE">
        <w:rPr>
          <w:noProof/>
        </w:rPr>
        <w:t>y</w:t>
      </w:r>
      <w:r w:rsidR="001C6494">
        <w:rPr>
          <w:noProof/>
        </w:rPr>
        <w:t>, and</w:t>
      </w:r>
      <w:r w:rsidR="001C6494" w:rsidRPr="001C6494">
        <w:rPr>
          <w:noProof/>
        </w:rPr>
        <w:t xml:space="preserve"> provide</w:t>
      </w:r>
      <w:r w:rsidR="00DC7F86">
        <w:rPr>
          <w:noProof/>
        </w:rPr>
        <w:t>, among others,</w:t>
      </w:r>
      <w:r w:rsidR="001C6494" w:rsidRPr="001C6494">
        <w:rPr>
          <w:noProof/>
        </w:rPr>
        <w:t xml:space="preserve"> assistance for people in permanent or tempora</w:t>
      </w:r>
      <w:r w:rsidR="00074DDD">
        <w:rPr>
          <w:noProof/>
        </w:rPr>
        <w:t>ry</w:t>
      </w:r>
      <w:r w:rsidR="001C6494" w:rsidRPr="001C6494">
        <w:rPr>
          <w:noProof/>
        </w:rPr>
        <w:t xml:space="preserve"> need</w:t>
      </w:r>
      <w:r w:rsidR="00E855D5">
        <w:rPr>
          <w:noProof/>
        </w:rPr>
        <w:t xml:space="preserve"> for care </w:t>
      </w:r>
    </w:p>
    <w:p w14:paraId="03C5331D" w14:textId="48178383" w:rsidR="00761C24" w:rsidRDefault="00455E94" w:rsidP="00455E94">
      <w:pPr>
        <w:pStyle w:val="ManualConsidrant"/>
        <w:rPr>
          <w:noProof/>
        </w:rPr>
      </w:pPr>
      <w:r w:rsidRPr="00455E94">
        <w:t>(4)</w:t>
      </w:r>
      <w:r w:rsidRPr="00455E94">
        <w:tab/>
      </w:r>
      <w:r w:rsidR="006164A6" w:rsidRPr="00804C2D">
        <w:rPr>
          <w:noProof/>
        </w:rPr>
        <w:t>Most</w:t>
      </w:r>
      <w:r w:rsidR="00761C24" w:rsidRPr="00804C2D">
        <w:rPr>
          <w:noProof/>
        </w:rPr>
        <w:t xml:space="preserve"> carers </w:t>
      </w:r>
      <w:r w:rsidR="00840B97">
        <w:rPr>
          <w:noProof/>
        </w:rPr>
        <w:t>and people</w:t>
      </w:r>
      <w:r w:rsidR="00761C24" w:rsidRPr="00804C2D">
        <w:rPr>
          <w:noProof/>
        </w:rPr>
        <w:t xml:space="preserve"> in need of long-term care are women. Women, on average, have lower incomes, including pensions, and are potentially less able to afford care, while at the same time living longer than men and thus more in need of care. Adequate</w:t>
      </w:r>
      <w:r w:rsidR="00996FBD">
        <w:rPr>
          <w:noProof/>
        </w:rPr>
        <w:t xml:space="preserve"> </w:t>
      </w:r>
      <w:r w:rsidR="00761C24" w:rsidRPr="00804C2D">
        <w:rPr>
          <w:noProof/>
        </w:rPr>
        <w:t>and affordable formal long-term care services together with policies to improve working conditions in the sector and reconcile paid employment and caring responsibilities could therefore be beneficial to gender equality.</w:t>
      </w:r>
    </w:p>
    <w:p w14:paraId="3F4692DD" w14:textId="5F3D273F" w:rsidR="00BC2550" w:rsidRPr="00D12A97" w:rsidRDefault="00455E94" w:rsidP="00455E94">
      <w:pPr>
        <w:pStyle w:val="ManualConsidrant"/>
        <w:rPr>
          <w:noProof/>
        </w:rPr>
      </w:pPr>
      <w:r w:rsidRPr="00455E94">
        <w:t>(5)</w:t>
      </w:r>
      <w:r w:rsidRPr="00455E94">
        <w:tab/>
      </w:r>
      <w:r w:rsidR="006C4D2F" w:rsidRPr="00D12A97">
        <w:rPr>
          <w:noProof/>
        </w:rPr>
        <w:t>This Recommendation promotes the application of Articles 21, 23, 24, 25, 26, 33 and 34 of the Charter of Fundamental Rights of the European Union</w:t>
      </w:r>
      <w:r w:rsidR="006C4D2F" w:rsidRPr="00B3681A">
        <w:rPr>
          <w:rStyle w:val="FootnoteReference"/>
          <w:noProof/>
        </w:rPr>
        <w:footnoteReference w:id="35"/>
      </w:r>
      <w:r w:rsidR="006C4D2F" w:rsidRPr="00D12A97">
        <w:rPr>
          <w:noProof/>
        </w:rPr>
        <w:t xml:space="preserve"> covering non-discrimination, equality between men and women, the rights of the child, the rights of the elderly, integration of persons with disabilities, and the rights to family and professional life and social security and social assistance.</w:t>
      </w:r>
    </w:p>
    <w:p w14:paraId="117CEC06" w14:textId="74759E0C" w:rsidR="004903D8" w:rsidRPr="00D12A97" w:rsidRDefault="00455E94" w:rsidP="00455E94">
      <w:pPr>
        <w:pStyle w:val="ManualConsidrant"/>
        <w:rPr>
          <w:noProof/>
        </w:rPr>
      </w:pPr>
      <w:r w:rsidRPr="00455E94">
        <w:t>(6)</w:t>
      </w:r>
      <w:r w:rsidRPr="00455E94">
        <w:tab/>
      </w:r>
      <w:r w:rsidR="006C4D2F" w:rsidRPr="00D12A97">
        <w:rPr>
          <w:noProof/>
        </w:rPr>
        <w:t>This Recommendation respects the United Nations Convention on the Rights of Persons with Disabilities</w:t>
      </w:r>
      <w:r w:rsidR="006C4D2F" w:rsidRPr="00804C2D">
        <w:rPr>
          <w:rStyle w:val="FootnoteReference"/>
          <w:noProof/>
        </w:rPr>
        <w:footnoteReference w:id="36"/>
      </w:r>
      <w:r w:rsidR="006C4D2F" w:rsidRPr="00D12A97">
        <w:rPr>
          <w:noProof/>
        </w:rPr>
        <w:t>, which recognises the equal right of all persons with disabilities to live independently in the community, with choices equal to others.</w:t>
      </w:r>
    </w:p>
    <w:p w14:paraId="00775D74" w14:textId="333ADE79" w:rsidR="003B544B" w:rsidRPr="00D12A97" w:rsidRDefault="00455E94" w:rsidP="00455E94">
      <w:pPr>
        <w:pStyle w:val="ManualConsidrant"/>
        <w:rPr>
          <w:noProof/>
        </w:rPr>
      </w:pPr>
      <w:r w:rsidRPr="00455E94">
        <w:t>(7)</w:t>
      </w:r>
      <w:r w:rsidRPr="00455E94">
        <w:tab/>
      </w:r>
      <w:r w:rsidR="433B18B3" w:rsidRPr="00D12A97">
        <w:rPr>
          <w:noProof/>
        </w:rPr>
        <w:t>T</w:t>
      </w:r>
      <w:r w:rsidR="26C088FB" w:rsidRPr="00D12A97">
        <w:rPr>
          <w:noProof/>
        </w:rPr>
        <w:t xml:space="preserve">he European Pillar of Social Rights </w:t>
      </w:r>
      <w:r w:rsidR="00CE1CC3">
        <w:rPr>
          <w:noProof/>
        </w:rPr>
        <w:t>a</w:t>
      </w:r>
      <w:r w:rsidR="26C088FB" w:rsidRPr="00D12A97">
        <w:rPr>
          <w:noProof/>
        </w:rPr>
        <w:t xml:space="preserve">ction </w:t>
      </w:r>
      <w:r w:rsidR="00CE1CC3">
        <w:rPr>
          <w:noProof/>
        </w:rPr>
        <w:t>p</w:t>
      </w:r>
      <w:r w:rsidR="26C088FB" w:rsidRPr="00D12A97">
        <w:rPr>
          <w:noProof/>
        </w:rPr>
        <w:t>lan</w:t>
      </w:r>
      <w:r w:rsidR="00481D1A">
        <w:rPr>
          <w:noProof/>
        </w:rPr>
        <w:t>, adopted by the Commission on 4 March 2021,</w:t>
      </w:r>
      <w:r w:rsidR="26C088FB" w:rsidRPr="00D12A97">
        <w:rPr>
          <w:noProof/>
        </w:rPr>
        <w:t xml:space="preserve"> </w:t>
      </w:r>
      <w:r w:rsidR="433B18B3" w:rsidRPr="00D12A97">
        <w:rPr>
          <w:noProof/>
        </w:rPr>
        <w:t>announced</w:t>
      </w:r>
      <w:r w:rsidR="26C088FB" w:rsidRPr="00D12A97">
        <w:rPr>
          <w:noProof/>
        </w:rPr>
        <w:t xml:space="preserve"> an initiative on </w:t>
      </w:r>
      <w:r w:rsidR="00A2543C" w:rsidRPr="00D12A97">
        <w:rPr>
          <w:noProof/>
        </w:rPr>
        <w:t>l</w:t>
      </w:r>
      <w:r w:rsidR="26C088FB" w:rsidRPr="00D12A97">
        <w:rPr>
          <w:noProof/>
        </w:rPr>
        <w:t>ong-</w:t>
      </w:r>
      <w:r w:rsidR="00A2543C" w:rsidRPr="00D12A97">
        <w:rPr>
          <w:noProof/>
        </w:rPr>
        <w:t>t</w:t>
      </w:r>
      <w:r w:rsidR="26C088FB" w:rsidRPr="00D12A97">
        <w:rPr>
          <w:noProof/>
        </w:rPr>
        <w:t xml:space="preserve">erm </w:t>
      </w:r>
      <w:r w:rsidR="00A2543C" w:rsidRPr="00D12A97">
        <w:rPr>
          <w:noProof/>
        </w:rPr>
        <w:t>c</w:t>
      </w:r>
      <w:r w:rsidR="26C088FB" w:rsidRPr="00D12A97">
        <w:rPr>
          <w:noProof/>
        </w:rPr>
        <w:t>are</w:t>
      </w:r>
      <w:r w:rsidR="00A2543C" w:rsidRPr="00D12A97">
        <w:rPr>
          <w:noProof/>
        </w:rPr>
        <w:t>,</w:t>
      </w:r>
      <w:r w:rsidR="26C088FB" w:rsidRPr="00D12A97">
        <w:rPr>
          <w:noProof/>
        </w:rPr>
        <w:t xml:space="preserve"> to set a framework for policy reforms to guide the development of sustainable long-term care that ensures better access to quality services for those in need</w:t>
      </w:r>
      <w:r w:rsidR="003C5D4D" w:rsidRPr="00D12A97">
        <w:rPr>
          <w:noProof/>
        </w:rPr>
        <w:t xml:space="preserve">, and </w:t>
      </w:r>
      <w:r w:rsidR="26C088FB" w:rsidRPr="00D12A97">
        <w:rPr>
          <w:noProof/>
        </w:rPr>
        <w:t>encourage</w:t>
      </w:r>
      <w:r w:rsidR="003C5D4D" w:rsidRPr="00D12A97">
        <w:rPr>
          <w:noProof/>
        </w:rPr>
        <w:t>d</w:t>
      </w:r>
      <w:r w:rsidR="26C088FB" w:rsidRPr="00D12A97">
        <w:rPr>
          <w:noProof/>
        </w:rPr>
        <w:t xml:space="preserve"> Member States to invest in </w:t>
      </w:r>
      <w:r w:rsidR="00074DDD">
        <w:rPr>
          <w:noProof/>
        </w:rPr>
        <w:t xml:space="preserve">the </w:t>
      </w:r>
      <w:r w:rsidR="26C088FB" w:rsidRPr="00D12A97">
        <w:rPr>
          <w:noProof/>
        </w:rPr>
        <w:t>health and care workforce, improving their working conditions and access to training.</w:t>
      </w:r>
    </w:p>
    <w:p w14:paraId="7E48D240" w14:textId="6DECDF2E" w:rsidR="00B624A2" w:rsidRPr="00804C2D" w:rsidRDefault="00455E94" w:rsidP="00455E94">
      <w:pPr>
        <w:pStyle w:val="ManualConsidrant"/>
        <w:rPr>
          <w:noProof/>
        </w:rPr>
      </w:pPr>
      <w:r w:rsidRPr="00455E94">
        <w:t>(8)</w:t>
      </w:r>
      <w:r w:rsidRPr="00455E94">
        <w:tab/>
      </w:r>
      <w:r w:rsidR="00B624A2" w:rsidRPr="00804C2D">
        <w:rPr>
          <w:noProof/>
        </w:rPr>
        <w:t xml:space="preserve">The </w:t>
      </w:r>
      <w:r w:rsidR="00B624A2" w:rsidRPr="00442FA0">
        <w:rPr>
          <w:i/>
          <w:iCs/>
          <w:noProof/>
        </w:rPr>
        <w:t>2021 Long-Term Care Report</w:t>
      </w:r>
      <w:r w:rsidR="00B624A2" w:rsidRPr="00804C2D">
        <w:rPr>
          <w:rStyle w:val="FootnoteReference"/>
          <w:noProof/>
        </w:rPr>
        <w:footnoteReference w:id="37"/>
      </w:r>
      <w:r w:rsidR="00B624A2" w:rsidRPr="00804C2D">
        <w:rPr>
          <w:noProof/>
        </w:rPr>
        <w:t xml:space="preserve"> of the Social Protection Committee</w:t>
      </w:r>
      <w:r w:rsidR="00E855D5">
        <w:rPr>
          <w:rStyle w:val="FootnoteReference"/>
          <w:noProof/>
        </w:rPr>
        <w:footnoteReference w:id="38"/>
      </w:r>
      <w:r w:rsidR="00B624A2" w:rsidRPr="00804C2D">
        <w:rPr>
          <w:noProof/>
        </w:rPr>
        <w:t xml:space="preserve"> </w:t>
      </w:r>
      <w:r w:rsidR="00C36E73">
        <w:rPr>
          <w:noProof/>
        </w:rPr>
        <w:t xml:space="preserve"> </w:t>
      </w:r>
      <w:r w:rsidR="00B624A2" w:rsidRPr="00804C2D">
        <w:rPr>
          <w:noProof/>
        </w:rPr>
        <w:t xml:space="preserve">and the Commission highlights that the demand for high-quality long-term care is set to rise and </w:t>
      </w:r>
      <w:r w:rsidR="004F4EFE">
        <w:rPr>
          <w:noProof/>
        </w:rPr>
        <w:t xml:space="preserve">that </w:t>
      </w:r>
      <w:r w:rsidR="00CE2C7B">
        <w:rPr>
          <w:noProof/>
        </w:rPr>
        <w:t>increasing</w:t>
      </w:r>
      <w:r w:rsidR="00CE2C7B" w:rsidRPr="00804C2D">
        <w:rPr>
          <w:noProof/>
        </w:rPr>
        <w:t xml:space="preserve"> </w:t>
      </w:r>
      <w:r w:rsidR="00B624A2" w:rsidRPr="00804C2D">
        <w:rPr>
          <w:noProof/>
        </w:rPr>
        <w:t xml:space="preserve">its provision can contribute to gender equality and social fairness. The Report identifies access, affordability, and quality as key challenges in long-term care, an </w:t>
      </w:r>
      <w:r w:rsidR="005E2D62">
        <w:rPr>
          <w:noProof/>
        </w:rPr>
        <w:t>appropriate</w:t>
      </w:r>
      <w:r w:rsidR="005E2D62" w:rsidRPr="00FE3FA5">
        <w:rPr>
          <w:noProof/>
        </w:rPr>
        <w:t xml:space="preserve"> </w:t>
      </w:r>
      <w:r w:rsidR="00B624A2" w:rsidRPr="00804C2D">
        <w:rPr>
          <w:noProof/>
        </w:rPr>
        <w:t>workforce as key to meeting the rising demand for high-quality services, while highlighting that informal care often comes with neglected costs.</w:t>
      </w:r>
    </w:p>
    <w:p w14:paraId="4AB6DA69" w14:textId="1991155A" w:rsidR="009636AC" w:rsidRPr="00D12A97" w:rsidRDefault="00455E94" w:rsidP="00455E94">
      <w:pPr>
        <w:pStyle w:val="ManualConsidrant"/>
        <w:rPr>
          <w:noProof/>
        </w:rPr>
      </w:pPr>
      <w:r w:rsidRPr="00455E94">
        <w:t>(9)</w:t>
      </w:r>
      <w:r w:rsidRPr="00455E94">
        <w:tab/>
      </w:r>
      <w:r w:rsidR="00A52B7E" w:rsidRPr="00D12A97">
        <w:rPr>
          <w:noProof/>
        </w:rPr>
        <w:t xml:space="preserve">Population ageing </w:t>
      </w:r>
      <w:r w:rsidR="00DB1E6F">
        <w:rPr>
          <w:noProof/>
        </w:rPr>
        <w:t>is expected to</w:t>
      </w:r>
      <w:r w:rsidR="00DB1E6F" w:rsidRPr="00D12A97">
        <w:rPr>
          <w:noProof/>
        </w:rPr>
        <w:t xml:space="preserve"> </w:t>
      </w:r>
      <w:r w:rsidR="00A52B7E" w:rsidRPr="00D12A97">
        <w:rPr>
          <w:noProof/>
        </w:rPr>
        <w:t xml:space="preserve">increase the demand for long-term care, as </w:t>
      </w:r>
      <w:r w:rsidR="00FD2AF8" w:rsidRPr="00D12A97">
        <w:rPr>
          <w:noProof/>
        </w:rPr>
        <w:t xml:space="preserve">decline in functional ability </w:t>
      </w:r>
      <w:r w:rsidR="00A52B7E" w:rsidRPr="00D12A97">
        <w:rPr>
          <w:noProof/>
        </w:rPr>
        <w:t xml:space="preserve">and the need for long-term care are associated with older ages. </w:t>
      </w:r>
      <w:r w:rsidR="002F672E" w:rsidRPr="00D12A97">
        <w:rPr>
          <w:noProof/>
        </w:rPr>
        <w:t xml:space="preserve">The number of </w:t>
      </w:r>
      <w:r w:rsidR="005F5BD6">
        <w:rPr>
          <w:noProof/>
        </w:rPr>
        <w:t>people</w:t>
      </w:r>
      <w:r w:rsidR="005F5BD6" w:rsidRPr="00D12A97">
        <w:rPr>
          <w:noProof/>
        </w:rPr>
        <w:t xml:space="preserve"> </w:t>
      </w:r>
      <w:r w:rsidR="002F672E" w:rsidRPr="00D12A97">
        <w:rPr>
          <w:noProof/>
        </w:rPr>
        <w:t>aged 65 or over is projected to increase by 41% over the next 30 years</w:t>
      </w:r>
      <w:r w:rsidR="00DB1E6F">
        <w:rPr>
          <w:noProof/>
        </w:rPr>
        <w:t>,</w:t>
      </w:r>
      <w:r w:rsidR="002F672E" w:rsidRPr="00D12A97">
        <w:rPr>
          <w:noProof/>
        </w:rPr>
        <w:t xml:space="preserve"> from 92.1</w:t>
      </w:r>
      <w:r w:rsidR="004F4EFE">
        <w:rPr>
          <w:noProof/>
        </w:rPr>
        <w:t> </w:t>
      </w:r>
      <w:r w:rsidR="002F672E" w:rsidRPr="00D12A97">
        <w:rPr>
          <w:noProof/>
        </w:rPr>
        <w:t>million in 2020 to 130.2</w:t>
      </w:r>
      <w:r w:rsidR="004F4EFE">
        <w:rPr>
          <w:noProof/>
        </w:rPr>
        <w:t> </w:t>
      </w:r>
      <w:r w:rsidR="002F672E" w:rsidRPr="00D12A97">
        <w:rPr>
          <w:noProof/>
        </w:rPr>
        <w:t xml:space="preserve">million in 2050, while the number of </w:t>
      </w:r>
      <w:r w:rsidR="005F5BD6">
        <w:rPr>
          <w:noProof/>
        </w:rPr>
        <w:t>people</w:t>
      </w:r>
      <w:r w:rsidR="005F5BD6" w:rsidRPr="00D12A97">
        <w:rPr>
          <w:noProof/>
        </w:rPr>
        <w:t xml:space="preserve"> </w:t>
      </w:r>
      <w:r w:rsidR="002F672E" w:rsidRPr="00D12A97">
        <w:rPr>
          <w:noProof/>
        </w:rPr>
        <w:t>aged 80 or over is projected to increase by 88%</w:t>
      </w:r>
      <w:r w:rsidR="00DB1E6F">
        <w:rPr>
          <w:noProof/>
        </w:rPr>
        <w:t>,</w:t>
      </w:r>
      <w:r w:rsidR="002F672E" w:rsidRPr="00D12A97">
        <w:rPr>
          <w:noProof/>
        </w:rPr>
        <w:t xml:space="preserve"> from 26.6</w:t>
      </w:r>
      <w:r w:rsidR="004F4EFE">
        <w:rPr>
          <w:noProof/>
        </w:rPr>
        <w:t> </w:t>
      </w:r>
      <w:r w:rsidR="002F672E" w:rsidRPr="00D12A97">
        <w:rPr>
          <w:noProof/>
        </w:rPr>
        <w:t>million in 2020 to 49.9</w:t>
      </w:r>
      <w:r w:rsidR="004F4EFE">
        <w:rPr>
          <w:noProof/>
        </w:rPr>
        <w:t> </w:t>
      </w:r>
      <w:r w:rsidR="002F672E" w:rsidRPr="00D12A97">
        <w:rPr>
          <w:noProof/>
        </w:rPr>
        <w:t>million in 2050</w:t>
      </w:r>
      <w:r w:rsidR="002F672E" w:rsidRPr="00804C2D">
        <w:rPr>
          <w:rStyle w:val="FootnoteReference"/>
          <w:noProof/>
        </w:rPr>
        <w:footnoteReference w:id="39"/>
      </w:r>
      <w:r w:rsidR="002F672E" w:rsidRPr="00D12A97">
        <w:rPr>
          <w:noProof/>
        </w:rPr>
        <w:t xml:space="preserve">. </w:t>
      </w:r>
    </w:p>
    <w:p w14:paraId="63E5C895" w14:textId="57ACC1BB" w:rsidR="00761C24" w:rsidRPr="00804C2D" w:rsidRDefault="00455E94" w:rsidP="00455E94">
      <w:pPr>
        <w:pStyle w:val="ManualConsidrant"/>
        <w:rPr>
          <w:noProof/>
        </w:rPr>
      </w:pPr>
      <w:r w:rsidRPr="00455E94">
        <w:t>(10)</w:t>
      </w:r>
      <w:r w:rsidRPr="00455E94">
        <w:tab/>
      </w:r>
      <w:r w:rsidR="00761C24" w:rsidRPr="00804C2D">
        <w:rPr>
          <w:noProof/>
        </w:rPr>
        <w:t xml:space="preserve">The COVID-19 pandemic has negatively affected long-term care systems and </w:t>
      </w:r>
      <w:r w:rsidR="003B3844">
        <w:rPr>
          <w:noProof/>
        </w:rPr>
        <w:t>exacerbated</w:t>
      </w:r>
      <w:r w:rsidR="003B3844" w:rsidRPr="00804C2D">
        <w:rPr>
          <w:noProof/>
        </w:rPr>
        <w:t xml:space="preserve"> </w:t>
      </w:r>
      <w:r w:rsidR="00761C24" w:rsidRPr="00804C2D">
        <w:rPr>
          <w:noProof/>
        </w:rPr>
        <w:t xml:space="preserve">many pre-existing structural weaknesses, in particular the </w:t>
      </w:r>
      <w:r w:rsidR="00AA2A22">
        <w:rPr>
          <w:noProof/>
        </w:rPr>
        <w:t>lack of quality services</w:t>
      </w:r>
      <w:r w:rsidR="004F4EFE">
        <w:rPr>
          <w:noProof/>
        </w:rPr>
        <w:t xml:space="preserve"> and</w:t>
      </w:r>
      <w:r w:rsidR="00761C24" w:rsidRPr="00804C2D">
        <w:rPr>
          <w:noProof/>
        </w:rPr>
        <w:t xml:space="preserve"> worker shortages, and </w:t>
      </w:r>
      <w:r w:rsidR="00DB1E6F">
        <w:rPr>
          <w:noProof/>
        </w:rPr>
        <w:t>highlighted</w:t>
      </w:r>
      <w:r w:rsidR="00DB1E6F" w:rsidRPr="00804C2D">
        <w:rPr>
          <w:noProof/>
        </w:rPr>
        <w:t xml:space="preserve"> </w:t>
      </w:r>
      <w:r w:rsidR="00761C24" w:rsidRPr="00804C2D">
        <w:rPr>
          <w:noProof/>
        </w:rPr>
        <w:t>the urgent need to strengthen the resilience of long-term care systems</w:t>
      </w:r>
      <w:r w:rsidR="00441429">
        <w:rPr>
          <w:noProof/>
        </w:rPr>
        <w:t xml:space="preserve"> and step up efforts to improve personal </w:t>
      </w:r>
      <w:r w:rsidR="003250FE">
        <w:rPr>
          <w:noProof/>
        </w:rPr>
        <w:t>autonomy</w:t>
      </w:r>
      <w:r w:rsidR="00441429">
        <w:rPr>
          <w:noProof/>
        </w:rPr>
        <w:t xml:space="preserve"> and facilitate independent living</w:t>
      </w:r>
      <w:r w:rsidR="00761C24" w:rsidRPr="00804C2D">
        <w:rPr>
          <w:noProof/>
        </w:rPr>
        <w:t>.</w:t>
      </w:r>
    </w:p>
    <w:p w14:paraId="30EE0941" w14:textId="52350925" w:rsidR="00A7221E" w:rsidRPr="00A7221E" w:rsidRDefault="00455E94" w:rsidP="00455E94">
      <w:pPr>
        <w:pStyle w:val="ManualConsidrant"/>
        <w:rPr>
          <w:noProof/>
        </w:rPr>
      </w:pPr>
      <w:r w:rsidRPr="00455E94">
        <w:t>(11)</w:t>
      </w:r>
      <w:r w:rsidRPr="00455E94">
        <w:tab/>
      </w:r>
      <w:r w:rsidR="00C83B7D" w:rsidRPr="00D12A97">
        <w:rPr>
          <w:noProof/>
        </w:rPr>
        <w:t>There are marked variations across Member States in terms of the level of public funding for long-term care, with some countries investing less than 1% of GDP, while some others spend</w:t>
      </w:r>
      <w:r w:rsidR="002956ED">
        <w:rPr>
          <w:noProof/>
        </w:rPr>
        <w:t>ing</w:t>
      </w:r>
      <w:r w:rsidR="00C83B7D" w:rsidRPr="00D12A97">
        <w:rPr>
          <w:noProof/>
        </w:rPr>
        <w:t xml:space="preserve"> more than 3% of GDP</w:t>
      </w:r>
      <w:r w:rsidR="00C83B7D" w:rsidRPr="00804C2D">
        <w:rPr>
          <w:rStyle w:val="FootnoteReference"/>
          <w:noProof/>
        </w:rPr>
        <w:footnoteReference w:id="40"/>
      </w:r>
      <w:r w:rsidR="00C83B7D" w:rsidRPr="00D12A97">
        <w:rPr>
          <w:noProof/>
        </w:rPr>
        <w:t>.</w:t>
      </w:r>
      <w:r w:rsidR="00EC7491" w:rsidRPr="00D12A97">
        <w:rPr>
          <w:noProof/>
        </w:rPr>
        <w:t xml:space="preserve"> In 2019, p</w:t>
      </w:r>
      <w:r w:rsidR="00A90777" w:rsidRPr="00D12A97">
        <w:rPr>
          <w:noProof/>
        </w:rPr>
        <w:t xml:space="preserve">ublic expenditure on long-term care </w:t>
      </w:r>
      <w:r w:rsidR="008F15CC" w:rsidRPr="00D12A97">
        <w:rPr>
          <w:noProof/>
        </w:rPr>
        <w:t xml:space="preserve">amounted to </w:t>
      </w:r>
      <w:r w:rsidR="00A90777" w:rsidRPr="00D12A97">
        <w:rPr>
          <w:noProof/>
        </w:rPr>
        <w:t xml:space="preserve">1.7% of </w:t>
      </w:r>
      <w:r w:rsidR="00DB1E6F">
        <w:rPr>
          <w:noProof/>
        </w:rPr>
        <w:t>the Union’s</w:t>
      </w:r>
      <w:r w:rsidR="00DB1E6F" w:rsidRPr="00D12A97">
        <w:rPr>
          <w:noProof/>
        </w:rPr>
        <w:t xml:space="preserve"> </w:t>
      </w:r>
      <w:r w:rsidR="00A90777" w:rsidRPr="00D12A97">
        <w:rPr>
          <w:noProof/>
        </w:rPr>
        <w:t>GDP</w:t>
      </w:r>
      <w:r w:rsidR="009636AC" w:rsidRPr="00804C2D">
        <w:rPr>
          <w:rStyle w:val="FootnoteReference"/>
          <w:noProof/>
        </w:rPr>
        <w:footnoteReference w:id="41"/>
      </w:r>
      <w:r w:rsidR="00A90777" w:rsidRPr="00D12A97">
        <w:rPr>
          <w:noProof/>
        </w:rPr>
        <w:t xml:space="preserve">, which is </w:t>
      </w:r>
      <w:r w:rsidR="005B7277" w:rsidRPr="00D12A97">
        <w:rPr>
          <w:noProof/>
        </w:rPr>
        <w:t xml:space="preserve">less than </w:t>
      </w:r>
      <w:r w:rsidR="00A90777" w:rsidRPr="00D12A97">
        <w:rPr>
          <w:noProof/>
        </w:rPr>
        <w:t xml:space="preserve">the </w:t>
      </w:r>
      <w:r w:rsidR="006C74F8" w:rsidRPr="00D12A97">
        <w:rPr>
          <w:noProof/>
        </w:rPr>
        <w:t xml:space="preserve">estimated </w:t>
      </w:r>
      <w:r w:rsidR="00A90777" w:rsidRPr="00D12A97">
        <w:rPr>
          <w:noProof/>
        </w:rPr>
        <w:t>value of hours of long-term care provided by informal carers</w:t>
      </w:r>
      <w:r w:rsidR="00DB1E6F">
        <w:rPr>
          <w:noProof/>
        </w:rPr>
        <w:t xml:space="preserve">, </w:t>
      </w:r>
      <w:r w:rsidR="00996FBD">
        <w:rPr>
          <w:noProof/>
        </w:rPr>
        <w:t>estimated to be around</w:t>
      </w:r>
      <w:r w:rsidR="00A90777" w:rsidRPr="00D12A97">
        <w:rPr>
          <w:noProof/>
        </w:rPr>
        <w:t xml:space="preserve"> 2.5% of EU GDP</w:t>
      </w:r>
      <w:r w:rsidR="009636AC" w:rsidRPr="00804C2D">
        <w:rPr>
          <w:rStyle w:val="FootnoteReference"/>
          <w:noProof/>
        </w:rPr>
        <w:footnoteReference w:id="42"/>
      </w:r>
      <w:r w:rsidR="00A90777" w:rsidRPr="00D12A97">
        <w:rPr>
          <w:noProof/>
        </w:rPr>
        <w:t>.</w:t>
      </w:r>
      <w:r w:rsidR="00EC7491" w:rsidRPr="00D12A97">
        <w:rPr>
          <w:noProof/>
        </w:rPr>
        <w:t xml:space="preserve"> </w:t>
      </w:r>
      <w:r w:rsidR="00D02603" w:rsidRPr="00D12A97">
        <w:rPr>
          <w:noProof/>
        </w:rPr>
        <w:t xml:space="preserve">In </w:t>
      </w:r>
      <w:r w:rsidR="00DB1E6F">
        <w:rPr>
          <w:noProof/>
        </w:rPr>
        <w:t>Member States</w:t>
      </w:r>
      <w:r w:rsidR="00DB1E6F" w:rsidRPr="00D12A97">
        <w:rPr>
          <w:noProof/>
        </w:rPr>
        <w:t xml:space="preserve"> </w:t>
      </w:r>
      <w:r w:rsidR="00D02603" w:rsidRPr="00D12A97">
        <w:rPr>
          <w:noProof/>
        </w:rPr>
        <w:t>with</w:t>
      </w:r>
      <w:r w:rsidR="00186287" w:rsidRPr="00D12A97">
        <w:rPr>
          <w:noProof/>
        </w:rPr>
        <w:t xml:space="preserve"> </w:t>
      </w:r>
      <w:r w:rsidR="00D02603" w:rsidRPr="00804C2D">
        <w:rPr>
          <w:noProof/>
        </w:rPr>
        <w:t>low public expenditure on long-term care, use of formal long-term services is m</w:t>
      </w:r>
      <w:r w:rsidR="003C0CE8" w:rsidRPr="00804C2D">
        <w:rPr>
          <w:noProof/>
        </w:rPr>
        <w:t>o</w:t>
      </w:r>
      <w:r w:rsidR="00D02603" w:rsidRPr="00804C2D">
        <w:rPr>
          <w:noProof/>
        </w:rPr>
        <w:t>re limited.</w:t>
      </w:r>
      <w:r w:rsidR="005D1F04">
        <w:rPr>
          <w:noProof/>
        </w:rPr>
        <w:t xml:space="preserve"> The growing demand for long-term care increas</w:t>
      </w:r>
      <w:r w:rsidR="002300CD">
        <w:rPr>
          <w:noProof/>
        </w:rPr>
        <w:t>es</w:t>
      </w:r>
      <w:r w:rsidR="005D1F04">
        <w:rPr>
          <w:noProof/>
        </w:rPr>
        <w:t xml:space="preserve"> the pressure on public expenditure</w:t>
      </w:r>
      <w:r w:rsidR="002300CD">
        <w:rPr>
          <w:noProof/>
        </w:rPr>
        <w:t>, while also calling for improving the</w:t>
      </w:r>
      <w:r w:rsidR="005D1F04">
        <w:rPr>
          <w:noProof/>
        </w:rPr>
        <w:t xml:space="preserve"> cost-effectiveness of long-term care provision, for example, via</w:t>
      </w:r>
      <w:r w:rsidR="00996FBD">
        <w:rPr>
          <w:noProof/>
        </w:rPr>
        <w:t xml:space="preserve"> health promotion and preventive policies,</w:t>
      </w:r>
      <w:r w:rsidR="005D1F04">
        <w:rPr>
          <w:noProof/>
        </w:rPr>
        <w:t xml:space="preserve"> better integration and </w:t>
      </w:r>
      <w:r w:rsidR="00B10FDC">
        <w:rPr>
          <w:noProof/>
        </w:rPr>
        <w:t>targeting</w:t>
      </w:r>
      <w:r w:rsidR="005D1F04">
        <w:rPr>
          <w:noProof/>
        </w:rPr>
        <w:t xml:space="preserve"> of services</w:t>
      </w:r>
      <w:r w:rsidR="00E415CF">
        <w:rPr>
          <w:noProof/>
        </w:rPr>
        <w:t xml:space="preserve">, collecting data and evidence, and </w:t>
      </w:r>
      <w:r w:rsidR="005D1F04">
        <w:rPr>
          <w:noProof/>
        </w:rPr>
        <w:t>using new and digital technologies</w:t>
      </w:r>
      <w:r w:rsidR="002300CD">
        <w:rPr>
          <w:noProof/>
        </w:rPr>
        <w:t>.</w:t>
      </w:r>
      <w:r w:rsidR="00A7221E">
        <w:rPr>
          <w:noProof/>
        </w:rPr>
        <w:t xml:space="preserve"> </w:t>
      </w:r>
      <w:r w:rsidR="0012314C" w:rsidRPr="00DE2BE7">
        <w:rPr>
          <w:noProof/>
        </w:rPr>
        <w:t>Policies conducive to the sustainable funding of long-term care are important for the sustainability of public finances, particularly in the context of ageing population and decreasing work force in the EU.</w:t>
      </w:r>
    </w:p>
    <w:p w14:paraId="7D1AECDB" w14:textId="4EFCC597" w:rsidR="00A90777" w:rsidRPr="00D12A97" w:rsidRDefault="00455E94" w:rsidP="00455E94">
      <w:pPr>
        <w:pStyle w:val="ManualConsidrant"/>
        <w:rPr>
          <w:noProof/>
        </w:rPr>
      </w:pPr>
      <w:r w:rsidRPr="00455E94">
        <w:t>(12)</w:t>
      </w:r>
      <w:r w:rsidRPr="00455E94">
        <w:tab/>
      </w:r>
      <w:r w:rsidR="009A54C3">
        <w:rPr>
          <w:noProof/>
        </w:rPr>
        <w:t>R</w:t>
      </w:r>
      <w:r w:rsidR="00EC7491" w:rsidRPr="00D12A97">
        <w:rPr>
          <w:noProof/>
        </w:rPr>
        <w:t>ely</w:t>
      </w:r>
      <w:r w:rsidR="00D02603" w:rsidRPr="00D12A97">
        <w:rPr>
          <w:noProof/>
        </w:rPr>
        <w:t>ing</w:t>
      </w:r>
      <w:r w:rsidR="00EC7491" w:rsidRPr="00D12A97">
        <w:rPr>
          <w:noProof/>
        </w:rPr>
        <w:t xml:space="preserve"> heavily on informal care will no</w:t>
      </w:r>
      <w:r w:rsidR="00AA2A22">
        <w:rPr>
          <w:noProof/>
        </w:rPr>
        <w:t>t</w:t>
      </w:r>
      <w:r w:rsidR="00EC7491" w:rsidRPr="00D12A97">
        <w:rPr>
          <w:noProof/>
        </w:rPr>
        <w:t xml:space="preserve"> be sustainable and </w:t>
      </w:r>
      <w:r w:rsidR="00947FB0">
        <w:rPr>
          <w:noProof/>
        </w:rPr>
        <w:t>formal care</w:t>
      </w:r>
      <w:r w:rsidR="00EC7491" w:rsidRPr="00D12A97">
        <w:rPr>
          <w:noProof/>
        </w:rPr>
        <w:t xml:space="preserve"> ne</w:t>
      </w:r>
      <w:r w:rsidR="00186287" w:rsidRPr="00D12A97">
        <w:rPr>
          <w:noProof/>
        </w:rPr>
        <w:t>e</w:t>
      </w:r>
      <w:r w:rsidR="00EC7491" w:rsidRPr="00D12A97">
        <w:rPr>
          <w:noProof/>
        </w:rPr>
        <w:t xml:space="preserve">ds </w:t>
      </w:r>
      <w:r w:rsidR="00947FB0">
        <w:rPr>
          <w:noProof/>
        </w:rPr>
        <w:t>and pressure on public budgets are expected to increase</w:t>
      </w:r>
      <w:r w:rsidR="00EC7491" w:rsidRPr="00D12A97">
        <w:rPr>
          <w:noProof/>
        </w:rPr>
        <w:t>.</w:t>
      </w:r>
    </w:p>
    <w:p w14:paraId="0CFD8526" w14:textId="710103D4" w:rsidR="00CB208E" w:rsidRPr="00804C2D" w:rsidRDefault="00455E94" w:rsidP="00455E94">
      <w:pPr>
        <w:pStyle w:val="ManualConsidrant"/>
        <w:rPr>
          <w:noProof/>
        </w:rPr>
      </w:pPr>
      <w:r w:rsidRPr="00455E94">
        <w:t>(13)</w:t>
      </w:r>
      <w:r w:rsidRPr="00455E94">
        <w:tab/>
      </w:r>
      <w:r w:rsidR="00CB208E" w:rsidRPr="00804C2D">
        <w:rPr>
          <w:noProof/>
        </w:rPr>
        <w:t xml:space="preserve">Social protection coverage for long-term care is limited and costs </w:t>
      </w:r>
      <w:r w:rsidR="0039432A" w:rsidRPr="00804C2D">
        <w:rPr>
          <w:noProof/>
        </w:rPr>
        <w:t xml:space="preserve">often </w:t>
      </w:r>
      <w:r w:rsidR="00CB208E" w:rsidRPr="00804C2D">
        <w:rPr>
          <w:noProof/>
        </w:rPr>
        <w:t xml:space="preserve">represent a serious barrier to accessing long-term care. For many households, </w:t>
      </w:r>
      <w:r w:rsidR="00DB1E6F">
        <w:rPr>
          <w:noProof/>
        </w:rPr>
        <w:t xml:space="preserve">financial reasons are at the top for </w:t>
      </w:r>
      <w:r w:rsidR="00CB208E" w:rsidRPr="00804C2D">
        <w:rPr>
          <w:noProof/>
        </w:rPr>
        <w:t xml:space="preserve">not using (more) professional </w:t>
      </w:r>
      <w:r w:rsidR="00406C66">
        <w:rPr>
          <w:noProof/>
        </w:rPr>
        <w:t>home</w:t>
      </w:r>
      <w:r w:rsidR="0039432A">
        <w:rPr>
          <w:noProof/>
        </w:rPr>
        <w:t>-</w:t>
      </w:r>
      <w:r w:rsidR="00406C66">
        <w:rPr>
          <w:noProof/>
        </w:rPr>
        <w:t>care</w:t>
      </w:r>
      <w:r w:rsidR="00CB208E" w:rsidRPr="00804C2D">
        <w:rPr>
          <w:noProof/>
        </w:rPr>
        <w:t xml:space="preserve"> services. Without adequate social protection, the estimated total costs of long-term care can often </w:t>
      </w:r>
      <w:r w:rsidR="009103C2" w:rsidRPr="00804C2D">
        <w:rPr>
          <w:noProof/>
        </w:rPr>
        <w:t>exceed a person’s income</w:t>
      </w:r>
      <w:r w:rsidR="00CB208E" w:rsidRPr="00804C2D">
        <w:rPr>
          <w:noProof/>
        </w:rPr>
        <w:t xml:space="preserve">. While arrangements of social protection vary across Member States, in some, public support is available only to a small </w:t>
      </w:r>
      <w:r w:rsidR="0039432A">
        <w:rPr>
          <w:noProof/>
        </w:rPr>
        <w:t>proportion</w:t>
      </w:r>
      <w:r w:rsidR="0039432A" w:rsidRPr="00804C2D">
        <w:rPr>
          <w:noProof/>
        </w:rPr>
        <w:t xml:space="preserve"> </w:t>
      </w:r>
      <w:r w:rsidR="00CB208E" w:rsidRPr="00804C2D">
        <w:rPr>
          <w:noProof/>
        </w:rPr>
        <w:t xml:space="preserve">of </w:t>
      </w:r>
      <w:r w:rsidR="00D53158">
        <w:rPr>
          <w:noProof/>
        </w:rPr>
        <w:t>people</w:t>
      </w:r>
      <w:r w:rsidR="00D53158" w:rsidRPr="00804C2D">
        <w:rPr>
          <w:noProof/>
        </w:rPr>
        <w:t xml:space="preserve"> </w:t>
      </w:r>
      <w:r w:rsidR="00CB208E" w:rsidRPr="00804C2D">
        <w:rPr>
          <w:noProof/>
        </w:rPr>
        <w:t xml:space="preserve">with long-term care needs. Even when available, social protection is often insufficient, as even after receiving support, on average, nearly half of older </w:t>
      </w:r>
      <w:r w:rsidR="00D53158">
        <w:rPr>
          <w:noProof/>
        </w:rPr>
        <w:t>people</w:t>
      </w:r>
      <w:r w:rsidR="00D53158" w:rsidRPr="00804C2D">
        <w:rPr>
          <w:noProof/>
        </w:rPr>
        <w:t xml:space="preserve"> </w:t>
      </w:r>
      <w:r w:rsidR="00CB208E" w:rsidRPr="00804C2D">
        <w:rPr>
          <w:noProof/>
        </w:rPr>
        <w:t xml:space="preserve">with long-term care needs are estimated to be below the poverty threshold after meeting the out-of-pocket costs of </w:t>
      </w:r>
      <w:r w:rsidR="00406C66">
        <w:rPr>
          <w:noProof/>
        </w:rPr>
        <w:t>home care</w:t>
      </w:r>
      <w:r w:rsidR="00CB208E" w:rsidRPr="00804C2D">
        <w:rPr>
          <w:noProof/>
        </w:rPr>
        <w:t>.</w:t>
      </w:r>
    </w:p>
    <w:p w14:paraId="74E9BDEC" w14:textId="4A8BD1EB" w:rsidR="00FE5311" w:rsidRPr="00804C2D" w:rsidRDefault="00455E94" w:rsidP="00455E94">
      <w:pPr>
        <w:pStyle w:val="ManualConsidrant"/>
        <w:rPr>
          <w:noProof/>
        </w:rPr>
      </w:pPr>
      <w:r w:rsidRPr="00455E94">
        <w:t>(14)</w:t>
      </w:r>
      <w:r w:rsidRPr="00455E94">
        <w:tab/>
      </w:r>
      <w:r w:rsidR="007E4F37" w:rsidRPr="00804C2D">
        <w:rPr>
          <w:noProof/>
        </w:rPr>
        <w:t xml:space="preserve">Many </w:t>
      </w:r>
      <w:r w:rsidR="00D53158">
        <w:rPr>
          <w:noProof/>
        </w:rPr>
        <w:t>people</w:t>
      </w:r>
      <w:r w:rsidR="00D53158" w:rsidRPr="00804C2D">
        <w:rPr>
          <w:noProof/>
        </w:rPr>
        <w:t xml:space="preserve"> </w:t>
      </w:r>
      <w:r w:rsidR="00A52B7E" w:rsidRPr="00804C2D">
        <w:rPr>
          <w:noProof/>
        </w:rPr>
        <w:t>can</w:t>
      </w:r>
      <w:r w:rsidR="007E4F37" w:rsidRPr="00804C2D">
        <w:rPr>
          <w:noProof/>
        </w:rPr>
        <w:t xml:space="preserve">not </w:t>
      </w:r>
      <w:r w:rsidR="00A52B7E" w:rsidRPr="00804C2D">
        <w:rPr>
          <w:noProof/>
        </w:rPr>
        <w:t>access the long-term care they need</w:t>
      </w:r>
      <w:r w:rsidR="00744F7B" w:rsidRPr="00804C2D">
        <w:rPr>
          <w:noProof/>
        </w:rPr>
        <w:t xml:space="preserve"> </w:t>
      </w:r>
      <w:r w:rsidR="002F4295" w:rsidRPr="00804C2D">
        <w:rPr>
          <w:noProof/>
        </w:rPr>
        <w:t>due</w:t>
      </w:r>
      <w:r w:rsidR="009A6B08">
        <w:rPr>
          <w:noProof/>
        </w:rPr>
        <w:t xml:space="preserve"> </w:t>
      </w:r>
      <w:r w:rsidR="00B862A9">
        <w:rPr>
          <w:noProof/>
        </w:rPr>
        <w:t xml:space="preserve">to </w:t>
      </w:r>
      <w:r w:rsidR="009A6B08">
        <w:rPr>
          <w:noProof/>
        </w:rPr>
        <w:t xml:space="preserve">an overall low offer </w:t>
      </w:r>
      <w:r w:rsidR="00B862A9">
        <w:rPr>
          <w:noProof/>
        </w:rPr>
        <w:t>of</w:t>
      </w:r>
      <w:r w:rsidR="009A6B08">
        <w:rPr>
          <w:noProof/>
        </w:rPr>
        <w:t xml:space="preserve"> services and</w:t>
      </w:r>
      <w:r w:rsidR="007C025F" w:rsidRPr="00804C2D">
        <w:rPr>
          <w:noProof/>
        </w:rPr>
        <w:t>,</w:t>
      </w:r>
      <w:r w:rsidR="002F4295" w:rsidRPr="00804C2D">
        <w:rPr>
          <w:noProof/>
        </w:rPr>
        <w:t xml:space="preserve"> </w:t>
      </w:r>
      <w:r w:rsidR="008C79B3" w:rsidRPr="00804C2D">
        <w:rPr>
          <w:noProof/>
        </w:rPr>
        <w:t>among other</w:t>
      </w:r>
      <w:r w:rsidR="0039432A">
        <w:rPr>
          <w:noProof/>
        </w:rPr>
        <w:t xml:space="preserve"> reasons</w:t>
      </w:r>
      <w:r w:rsidR="007C025F" w:rsidRPr="00804C2D">
        <w:rPr>
          <w:noProof/>
        </w:rPr>
        <w:t>,</w:t>
      </w:r>
      <w:r w:rsidR="008C79B3" w:rsidRPr="00804C2D">
        <w:rPr>
          <w:noProof/>
        </w:rPr>
        <w:t xml:space="preserve"> </w:t>
      </w:r>
      <w:r w:rsidR="002F4295" w:rsidRPr="00804C2D">
        <w:rPr>
          <w:noProof/>
        </w:rPr>
        <w:t xml:space="preserve">to the limited range of long-term care options and </w:t>
      </w:r>
      <w:r w:rsidR="009D1F92" w:rsidRPr="00804C2D">
        <w:rPr>
          <w:noProof/>
        </w:rPr>
        <w:t>territorial</w:t>
      </w:r>
      <w:r w:rsidR="002F4295" w:rsidRPr="00804C2D">
        <w:rPr>
          <w:noProof/>
        </w:rPr>
        <w:t xml:space="preserve"> gaps. </w:t>
      </w:r>
      <w:r w:rsidR="00FE5311" w:rsidRPr="00804C2D">
        <w:rPr>
          <w:noProof/>
        </w:rPr>
        <w:t>In many Member States</w:t>
      </w:r>
      <w:r w:rsidR="002F4295" w:rsidRPr="00804C2D">
        <w:rPr>
          <w:noProof/>
        </w:rPr>
        <w:t>,</w:t>
      </w:r>
      <w:r w:rsidR="00FE5311" w:rsidRPr="00804C2D">
        <w:rPr>
          <w:noProof/>
        </w:rPr>
        <w:t xml:space="preserve"> the choice of long-term care is </w:t>
      </w:r>
      <w:r w:rsidR="00CF4F13" w:rsidRPr="00804C2D">
        <w:rPr>
          <w:noProof/>
        </w:rPr>
        <w:t xml:space="preserve">limited. </w:t>
      </w:r>
      <w:r w:rsidR="008B4840" w:rsidRPr="00804C2D">
        <w:rPr>
          <w:noProof/>
        </w:rPr>
        <w:t>Whe</w:t>
      </w:r>
      <w:r w:rsidR="008B4840">
        <w:rPr>
          <w:noProof/>
        </w:rPr>
        <w:t>re</w:t>
      </w:r>
      <w:r w:rsidR="008B4840" w:rsidRPr="00804C2D">
        <w:rPr>
          <w:noProof/>
        </w:rPr>
        <w:t xml:space="preserve"> </w:t>
      </w:r>
      <w:r w:rsidR="00CF4F13" w:rsidRPr="00804C2D">
        <w:rPr>
          <w:noProof/>
        </w:rPr>
        <w:t xml:space="preserve">there is a choice, it is </w:t>
      </w:r>
      <w:r w:rsidR="00FE5311" w:rsidRPr="00804C2D">
        <w:rPr>
          <w:noProof/>
        </w:rPr>
        <w:t xml:space="preserve">mainly </w:t>
      </w:r>
      <w:r w:rsidR="00CF4F13" w:rsidRPr="00804C2D">
        <w:rPr>
          <w:noProof/>
        </w:rPr>
        <w:t>between</w:t>
      </w:r>
      <w:r w:rsidR="00FE5311" w:rsidRPr="00804C2D">
        <w:rPr>
          <w:noProof/>
        </w:rPr>
        <w:t xml:space="preserve"> informal care </w:t>
      </w:r>
      <w:r w:rsidR="00150C03" w:rsidRPr="00804C2D">
        <w:rPr>
          <w:noProof/>
        </w:rPr>
        <w:t>and</w:t>
      </w:r>
      <w:r w:rsidR="00FE5311" w:rsidRPr="00804C2D">
        <w:rPr>
          <w:noProof/>
        </w:rPr>
        <w:t xml:space="preserve"> residential care</w:t>
      </w:r>
      <w:r w:rsidR="00CF4F13" w:rsidRPr="00804C2D">
        <w:rPr>
          <w:noProof/>
        </w:rPr>
        <w:t>. T</w:t>
      </w:r>
      <w:r w:rsidR="002F4295" w:rsidRPr="00804C2D">
        <w:rPr>
          <w:noProof/>
        </w:rPr>
        <w:t xml:space="preserve">he supply of home and community-based long-term </w:t>
      </w:r>
      <w:r w:rsidR="00C7050B" w:rsidRPr="00804C2D">
        <w:rPr>
          <w:noProof/>
        </w:rPr>
        <w:t xml:space="preserve">care </w:t>
      </w:r>
      <w:r w:rsidR="002F4295" w:rsidRPr="00804C2D">
        <w:rPr>
          <w:noProof/>
        </w:rPr>
        <w:t xml:space="preserve">is </w:t>
      </w:r>
      <w:r w:rsidR="00C7050B" w:rsidRPr="00804C2D">
        <w:rPr>
          <w:noProof/>
        </w:rPr>
        <w:t xml:space="preserve">still </w:t>
      </w:r>
      <w:r w:rsidR="002F4295" w:rsidRPr="00804C2D">
        <w:rPr>
          <w:noProof/>
        </w:rPr>
        <w:t xml:space="preserve">low. In addition, </w:t>
      </w:r>
      <w:r w:rsidR="00FE5311" w:rsidRPr="00804C2D">
        <w:rPr>
          <w:noProof/>
        </w:rPr>
        <w:t>territorial disparities in long-term care</w:t>
      </w:r>
      <w:r w:rsidR="00C7050B" w:rsidRPr="00804C2D">
        <w:rPr>
          <w:noProof/>
        </w:rPr>
        <w:t xml:space="preserve"> </w:t>
      </w:r>
      <w:r w:rsidR="009D1F92" w:rsidRPr="00804C2D">
        <w:rPr>
          <w:noProof/>
        </w:rPr>
        <w:t xml:space="preserve">provision makes equal </w:t>
      </w:r>
      <w:r w:rsidR="00C7050B" w:rsidRPr="00804C2D">
        <w:rPr>
          <w:noProof/>
        </w:rPr>
        <w:t xml:space="preserve">access to long-term care </w:t>
      </w:r>
      <w:r w:rsidR="009D1F92" w:rsidRPr="00804C2D">
        <w:rPr>
          <w:noProof/>
        </w:rPr>
        <w:t xml:space="preserve">difficult, especially </w:t>
      </w:r>
      <w:r w:rsidR="00C7050B" w:rsidRPr="00804C2D">
        <w:rPr>
          <w:noProof/>
        </w:rPr>
        <w:t xml:space="preserve">in </w:t>
      </w:r>
      <w:r w:rsidR="002F4295" w:rsidRPr="00804C2D">
        <w:rPr>
          <w:noProof/>
        </w:rPr>
        <w:t>rural and depopulating areas</w:t>
      </w:r>
      <w:r w:rsidR="00C06B1B" w:rsidRPr="00804C2D">
        <w:rPr>
          <w:noProof/>
        </w:rPr>
        <w:t>.</w:t>
      </w:r>
      <w:r w:rsidR="001C2260">
        <w:rPr>
          <w:noProof/>
        </w:rPr>
        <w:t xml:space="preserve"> </w:t>
      </w:r>
      <w:r w:rsidR="003D5E02" w:rsidRPr="003D5E02">
        <w:rPr>
          <w:noProof/>
        </w:rPr>
        <w:t xml:space="preserve">The choice is even more limited for persons with disabilities </w:t>
      </w:r>
      <w:r w:rsidR="003250FE">
        <w:rPr>
          <w:noProof/>
        </w:rPr>
        <w:t>due to uneven accessibility of</w:t>
      </w:r>
      <w:r w:rsidR="003D5E02" w:rsidRPr="003D5E02">
        <w:rPr>
          <w:noProof/>
        </w:rPr>
        <w:t xml:space="preserve"> care services.</w:t>
      </w:r>
    </w:p>
    <w:p w14:paraId="4627ECA3" w14:textId="5C65DAE8" w:rsidR="0038179D" w:rsidRPr="00804C2D" w:rsidRDefault="00455E94" w:rsidP="00455E94">
      <w:pPr>
        <w:pStyle w:val="ManualConsidrant"/>
        <w:rPr>
          <w:noProof/>
        </w:rPr>
      </w:pPr>
      <w:r w:rsidRPr="00455E94">
        <w:t>(15)</w:t>
      </w:r>
      <w:r w:rsidRPr="00455E94">
        <w:tab/>
      </w:r>
      <w:r w:rsidR="008B4840">
        <w:rPr>
          <w:noProof/>
        </w:rPr>
        <w:t>I</w:t>
      </w:r>
      <w:r w:rsidR="00914350" w:rsidRPr="00804C2D">
        <w:rPr>
          <w:noProof/>
        </w:rPr>
        <w:t>n long-term care</w:t>
      </w:r>
      <w:r w:rsidR="008B4840">
        <w:rPr>
          <w:noProof/>
        </w:rPr>
        <w:t>, quality</w:t>
      </w:r>
      <w:r w:rsidR="00914350" w:rsidRPr="00804C2D">
        <w:rPr>
          <w:noProof/>
        </w:rPr>
        <w:t xml:space="preserve"> depends on a</w:t>
      </w:r>
      <w:r w:rsidR="00D16CE7">
        <w:rPr>
          <w:noProof/>
        </w:rPr>
        <w:t>n</w:t>
      </w:r>
      <w:r w:rsidR="00914350" w:rsidRPr="00804C2D">
        <w:rPr>
          <w:noProof/>
        </w:rPr>
        <w:t xml:space="preserve"> </w:t>
      </w:r>
      <w:r w:rsidR="00D16CE7">
        <w:rPr>
          <w:noProof/>
        </w:rPr>
        <w:t>effective</w:t>
      </w:r>
      <w:r w:rsidR="00D16CE7" w:rsidRPr="00804C2D">
        <w:rPr>
          <w:noProof/>
        </w:rPr>
        <w:t xml:space="preserve"> </w:t>
      </w:r>
      <w:r w:rsidR="00914350" w:rsidRPr="00804C2D">
        <w:rPr>
          <w:noProof/>
        </w:rPr>
        <w:t xml:space="preserve">quality assurance mechanism, which in many Member States is lacking or </w:t>
      </w:r>
      <w:r w:rsidR="0038179D" w:rsidRPr="00804C2D">
        <w:rPr>
          <w:noProof/>
        </w:rPr>
        <w:t xml:space="preserve">is </w:t>
      </w:r>
      <w:r w:rsidR="00CF4F13" w:rsidRPr="00804C2D">
        <w:rPr>
          <w:noProof/>
        </w:rPr>
        <w:t>under-resourced</w:t>
      </w:r>
      <w:r w:rsidR="00914350" w:rsidRPr="00804C2D">
        <w:rPr>
          <w:noProof/>
        </w:rPr>
        <w:t xml:space="preserve">. </w:t>
      </w:r>
      <w:r w:rsidR="00CF4F13" w:rsidRPr="00804C2D">
        <w:rPr>
          <w:noProof/>
        </w:rPr>
        <w:t xml:space="preserve">Quality assurance is often insufficient in home and community-based care. </w:t>
      </w:r>
      <w:r w:rsidR="009A6B08">
        <w:rPr>
          <w:noProof/>
        </w:rPr>
        <w:t>W</w:t>
      </w:r>
      <w:r w:rsidR="00CF4F13" w:rsidRPr="00804C2D">
        <w:rPr>
          <w:noProof/>
        </w:rPr>
        <w:t>hile quality of residential care is more regulated, q</w:t>
      </w:r>
      <w:r w:rsidR="006328A1" w:rsidRPr="00804C2D">
        <w:rPr>
          <w:noProof/>
        </w:rPr>
        <w:t xml:space="preserve">uality standards often </w:t>
      </w:r>
      <w:r w:rsidR="007A1EBE" w:rsidRPr="00804C2D">
        <w:rPr>
          <w:noProof/>
        </w:rPr>
        <w:t>focus on</w:t>
      </w:r>
      <w:r w:rsidR="006328A1" w:rsidRPr="00804C2D">
        <w:rPr>
          <w:noProof/>
        </w:rPr>
        <w:t xml:space="preserve"> </w:t>
      </w:r>
      <w:r w:rsidR="0038179D" w:rsidRPr="00804C2D">
        <w:rPr>
          <w:noProof/>
        </w:rPr>
        <w:t>clinical</w:t>
      </w:r>
      <w:r w:rsidR="006328A1" w:rsidRPr="00804C2D">
        <w:rPr>
          <w:noProof/>
        </w:rPr>
        <w:t xml:space="preserve"> outcomes and </w:t>
      </w:r>
      <w:r w:rsidR="002468FA" w:rsidRPr="00804C2D">
        <w:rPr>
          <w:noProof/>
        </w:rPr>
        <w:t xml:space="preserve">do not address sufficiently </w:t>
      </w:r>
      <w:r w:rsidR="006328A1" w:rsidRPr="00804C2D">
        <w:rPr>
          <w:noProof/>
        </w:rPr>
        <w:t xml:space="preserve">the </w:t>
      </w:r>
      <w:r w:rsidR="0038179D" w:rsidRPr="00804C2D">
        <w:rPr>
          <w:noProof/>
        </w:rPr>
        <w:t>quality</w:t>
      </w:r>
      <w:r w:rsidR="002468FA" w:rsidRPr="00804C2D">
        <w:rPr>
          <w:noProof/>
        </w:rPr>
        <w:t xml:space="preserve"> </w:t>
      </w:r>
      <w:r w:rsidR="0038179D" w:rsidRPr="00804C2D">
        <w:rPr>
          <w:noProof/>
        </w:rPr>
        <w:t>of</w:t>
      </w:r>
      <w:r w:rsidR="002468FA" w:rsidRPr="00804C2D">
        <w:rPr>
          <w:noProof/>
        </w:rPr>
        <w:t xml:space="preserve"> </w:t>
      </w:r>
      <w:r w:rsidR="0038179D" w:rsidRPr="00804C2D">
        <w:rPr>
          <w:noProof/>
        </w:rPr>
        <w:t xml:space="preserve">life </w:t>
      </w:r>
      <w:r w:rsidR="002468FA" w:rsidRPr="00804C2D">
        <w:rPr>
          <w:noProof/>
        </w:rPr>
        <w:t xml:space="preserve">of </w:t>
      </w:r>
      <w:r w:rsidR="00D53158">
        <w:rPr>
          <w:noProof/>
        </w:rPr>
        <w:t>people</w:t>
      </w:r>
      <w:r w:rsidR="00D53158" w:rsidRPr="00804C2D">
        <w:rPr>
          <w:noProof/>
        </w:rPr>
        <w:t xml:space="preserve"> </w:t>
      </w:r>
      <w:r w:rsidR="00FB067E" w:rsidRPr="00804C2D">
        <w:rPr>
          <w:noProof/>
        </w:rPr>
        <w:t>receiving care</w:t>
      </w:r>
      <w:r w:rsidR="002468FA" w:rsidRPr="00804C2D">
        <w:rPr>
          <w:noProof/>
        </w:rPr>
        <w:t xml:space="preserve"> </w:t>
      </w:r>
      <w:r w:rsidR="0038179D" w:rsidRPr="00804C2D">
        <w:rPr>
          <w:noProof/>
        </w:rPr>
        <w:t>and the</w:t>
      </w:r>
      <w:r w:rsidR="002468FA" w:rsidRPr="00804C2D">
        <w:rPr>
          <w:noProof/>
        </w:rPr>
        <w:t>ir</w:t>
      </w:r>
      <w:r w:rsidR="0038179D" w:rsidRPr="00804C2D">
        <w:rPr>
          <w:noProof/>
        </w:rPr>
        <w:t xml:space="preserve"> ability to live independently. </w:t>
      </w:r>
      <w:r w:rsidR="006328A1" w:rsidRPr="00804C2D">
        <w:rPr>
          <w:noProof/>
        </w:rPr>
        <w:t xml:space="preserve">Even when </w:t>
      </w:r>
      <w:r w:rsidR="00FF611C" w:rsidRPr="00804C2D">
        <w:rPr>
          <w:noProof/>
        </w:rPr>
        <w:t xml:space="preserve">quality </w:t>
      </w:r>
      <w:r w:rsidR="006328A1" w:rsidRPr="00804C2D">
        <w:rPr>
          <w:noProof/>
        </w:rPr>
        <w:t>standards are in place, the</w:t>
      </w:r>
      <w:r w:rsidR="009D1F92" w:rsidRPr="00804C2D">
        <w:rPr>
          <w:noProof/>
        </w:rPr>
        <w:t xml:space="preserve">ir enforcement is not always </w:t>
      </w:r>
      <w:r w:rsidR="00F649AA" w:rsidRPr="00804C2D">
        <w:rPr>
          <w:noProof/>
        </w:rPr>
        <w:t>effective</w:t>
      </w:r>
      <w:r w:rsidR="009D1F92" w:rsidRPr="00804C2D">
        <w:rPr>
          <w:noProof/>
        </w:rPr>
        <w:t>,</w:t>
      </w:r>
      <w:r w:rsidR="00F649AA" w:rsidRPr="00804C2D">
        <w:rPr>
          <w:noProof/>
        </w:rPr>
        <w:t xml:space="preserve"> </w:t>
      </w:r>
      <w:r w:rsidR="002468FA" w:rsidRPr="00804C2D">
        <w:rPr>
          <w:noProof/>
        </w:rPr>
        <w:t xml:space="preserve">often </w:t>
      </w:r>
      <w:r w:rsidR="00F649AA" w:rsidRPr="00804C2D">
        <w:rPr>
          <w:noProof/>
        </w:rPr>
        <w:t xml:space="preserve">due to </w:t>
      </w:r>
      <w:r w:rsidR="00C83B7D" w:rsidRPr="00804C2D">
        <w:rPr>
          <w:noProof/>
        </w:rPr>
        <w:t xml:space="preserve">inadequate </w:t>
      </w:r>
      <w:r w:rsidR="00F649AA" w:rsidRPr="00804C2D">
        <w:rPr>
          <w:noProof/>
        </w:rPr>
        <w:t>administrative set</w:t>
      </w:r>
      <w:r w:rsidR="002468FA" w:rsidRPr="00804C2D">
        <w:rPr>
          <w:noProof/>
        </w:rPr>
        <w:t>-</w:t>
      </w:r>
      <w:r w:rsidR="00F649AA" w:rsidRPr="00804C2D">
        <w:rPr>
          <w:noProof/>
        </w:rPr>
        <w:t>up or lack of resources</w:t>
      </w:r>
      <w:r w:rsidR="006328A1" w:rsidRPr="00804C2D">
        <w:rPr>
          <w:noProof/>
        </w:rPr>
        <w:t>.</w:t>
      </w:r>
      <w:r w:rsidR="00E855D5">
        <w:rPr>
          <w:noProof/>
        </w:rPr>
        <w:t xml:space="preserve"> Lack of high quality standards applied </w:t>
      </w:r>
      <w:r w:rsidR="006A085E">
        <w:rPr>
          <w:noProof/>
        </w:rPr>
        <w:t>strictly to both public and private care providers leads to situations of neglect and abuse of care recipients and poor working conditions for carers.</w:t>
      </w:r>
    </w:p>
    <w:p w14:paraId="04AE0442" w14:textId="17D4DE6E" w:rsidR="004E3E2E" w:rsidRPr="00804C2D" w:rsidRDefault="00455E94" w:rsidP="00455E94">
      <w:pPr>
        <w:pStyle w:val="ManualConsidrant"/>
        <w:rPr>
          <w:noProof/>
        </w:rPr>
      </w:pPr>
      <w:r w:rsidRPr="00455E94">
        <w:t>(16)</w:t>
      </w:r>
      <w:r w:rsidRPr="00455E94">
        <w:tab/>
      </w:r>
      <w:r w:rsidR="71663BA7" w:rsidRPr="00804C2D">
        <w:rPr>
          <w:noProof/>
        </w:rPr>
        <w:t>L</w:t>
      </w:r>
      <w:r w:rsidR="2AFC754B" w:rsidRPr="00804C2D">
        <w:rPr>
          <w:noProof/>
        </w:rPr>
        <w:t>ong-term care has a</w:t>
      </w:r>
      <w:r w:rsidR="009D1F92" w:rsidRPr="00804C2D">
        <w:rPr>
          <w:noProof/>
        </w:rPr>
        <w:t>n important</w:t>
      </w:r>
      <w:r w:rsidR="002524F7" w:rsidRPr="00804C2D">
        <w:rPr>
          <w:noProof/>
        </w:rPr>
        <w:t xml:space="preserve"> </w:t>
      </w:r>
      <w:r w:rsidR="00D16CE7">
        <w:rPr>
          <w:noProof/>
        </w:rPr>
        <w:t>social</w:t>
      </w:r>
      <w:r w:rsidR="00D16CE7" w:rsidRPr="00804C2D">
        <w:rPr>
          <w:noProof/>
        </w:rPr>
        <w:t xml:space="preserve"> </w:t>
      </w:r>
      <w:r w:rsidR="002524F7" w:rsidRPr="00804C2D">
        <w:rPr>
          <w:noProof/>
        </w:rPr>
        <w:t>value and</w:t>
      </w:r>
      <w:r w:rsidR="2AFC754B" w:rsidRPr="00804C2D">
        <w:rPr>
          <w:noProof/>
        </w:rPr>
        <w:t xml:space="preserve"> job creation potential</w:t>
      </w:r>
      <w:r w:rsidR="005416F3" w:rsidRPr="00804C2D">
        <w:rPr>
          <w:noProof/>
        </w:rPr>
        <w:t xml:space="preserve">, but </w:t>
      </w:r>
      <w:r w:rsidR="4C1F31D6" w:rsidRPr="00804C2D">
        <w:rPr>
          <w:noProof/>
        </w:rPr>
        <w:t>Member States struggle to attract and retain care workers</w:t>
      </w:r>
      <w:r w:rsidR="73F995E1" w:rsidRPr="00804C2D">
        <w:rPr>
          <w:noProof/>
        </w:rPr>
        <w:t xml:space="preserve"> due to </w:t>
      </w:r>
      <w:r w:rsidR="004E3E2E" w:rsidRPr="00804C2D">
        <w:rPr>
          <w:noProof/>
        </w:rPr>
        <w:t xml:space="preserve">inadequate skills, </w:t>
      </w:r>
      <w:r w:rsidR="73F995E1" w:rsidRPr="00804C2D">
        <w:rPr>
          <w:noProof/>
        </w:rPr>
        <w:t>d</w:t>
      </w:r>
      <w:r w:rsidR="4C1F31D6" w:rsidRPr="00804C2D">
        <w:rPr>
          <w:noProof/>
        </w:rPr>
        <w:t>ifficult working conditions</w:t>
      </w:r>
      <w:r w:rsidR="005416F3" w:rsidRPr="00804C2D">
        <w:rPr>
          <w:noProof/>
        </w:rPr>
        <w:t xml:space="preserve"> and </w:t>
      </w:r>
      <w:r w:rsidR="4C1F31D6" w:rsidRPr="00804C2D">
        <w:rPr>
          <w:noProof/>
        </w:rPr>
        <w:t xml:space="preserve">low </w:t>
      </w:r>
      <w:r w:rsidR="5A83C413" w:rsidRPr="00804C2D">
        <w:rPr>
          <w:noProof/>
        </w:rPr>
        <w:t>wages</w:t>
      </w:r>
      <w:r w:rsidR="004E3E2E" w:rsidRPr="00804C2D">
        <w:rPr>
          <w:noProof/>
        </w:rPr>
        <w:t>.</w:t>
      </w:r>
    </w:p>
    <w:p w14:paraId="22E5FFB1" w14:textId="41092B74" w:rsidR="004E3E2E" w:rsidRPr="00804C2D" w:rsidRDefault="00455E94" w:rsidP="00455E94">
      <w:pPr>
        <w:pStyle w:val="ManualConsidrant"/>
        <w:rPr>
          <w:noProof/>
        </w:rPr>
      </w:pPr>
      <w:r w:rsidRPr="00455E94">
        <w:t>(17)</w:t>
      </w:r>
      <w:r w:rsidRPr="00455E94">
        <w:tab/>
      </w:r>
      <w:r w:rsidR="008B4840">
        <w:rPr>
          <w:noProof/>
        </w:rPr>
        <w:t>The s</w:t>
      </w:r>
      <w:r w:rsidR="004E3E2E" w:rsidRPr="00804C2D">
        <w:rPr>
          <w:noProof/>
        </w:rPr>
        <w:t>kills require</w:t>
      </w:r>
      <w:r w:rsidR="008B4840">
        <w:rPr>
          <w:noProof/>
        </w:rPr>
        <w:t>d</w:t>
      </w:r>
      <w:r w:rsidR="004E3E2E" w:rsidRPr="00804C2D">
        <w:rPr>
          <w:noProof/>
        </w:rPr>
        <w:t xml:space="preserve"> in the care sector are increasingly complex. In addition to traditional skills and competences, carers often need to have technological expertise related to using new technologies, </w:t>
      </w:r>
      <w:r w:rsidR="00901B06">
        <w:rPr>
          <w:noProof/>
        </w:rPr>
        <w:t xml:space="preserve">digital </w:t>
      </w:r>
      <w:r w:rsidR="008B4840">
        <w:rPr>
          <w:noProof/>
        </w:rPr>
        <w:t xml:space="preserve">skills </w:t>
      </w:r>
      <w:r w:rsidR="00901B06">
        <w:rPr>
          <w:noProof/>
        </w:rPr>
        <w:t xml:space="preserve">and </w:t>
      </w:r>
      <w:r w:rsidR="004E3E2E" w:rsidRPr="00804C2D">
        <w:rPr>
          <w:noProof/>
        </w:rPr>
        <w:t>communication skills</w:t>
      </w:r>
      <w:r w:rsidR="008B4840">
        <w:rPr>
          <w:noProof/>
        </w:rPr>
        <w:t>,</w:t>
      </w:r>
      <w:r w:rsidR="004E3E2E" w:rsidRPr="00804C2D">
        <w:rPr>
          <w:noProof/>
        </w:rPr>
        <w:t xml:space="preserve"> often in a foreign language</w:t>
      </w:r>
      <w:r w:rsidR="00D16CE7">
        <w:rPr>
          <w:noProof/>
        </w:rPr>
        <w:t>,</w:t>
      </w:r>
      <w:r w:rsidR="004E3E2E" w:rsidRPr="00804C2D">
        <w:rPr>
          <w:noProof/>
        </w:rPr>
        <w:t xml:space="preserve"> </w:t>
      </w:r>
      <w:r w:rsidR="00D16CE7">
        <w:rPr>
          <w:noProof/>
        </w:rPr>
        <w:t>and</w:t>
      </w:r>
      <w:r w:rsidR="004E3E2E" w:rsidRPr="00804C2D">
        <w:rPr>
          <w:noProof/>
        </w:rPr>
        <w:t xml:space="preserve"> skills to handle complex needs and work in multidisciplinary teams. Without </w:t>
      </w:r>
      <w:r w:rsidR="005E2D62">
        <w:rPr>
          <w:noProof/>
        </w:rPr>
        <w:t>appropriate</w:t>
      </w:r>
      <w:r w:rsidR="005E2D62" w:rsidRPr="00FE3FA5">
        <w:rPr>
          <w:noProof/>
        </w:rPr>
        <w:t xml:space="preserve"> </w:t>
      </w:r>
      <w:r w:rsidR="004E3E2E" w:rsidRPr="00804C2D">
        <w:rPr>
          <w:noProof/>
        </w:rPr>
        <w:t xml:space="preserve">education and training policies, including on-the-job, the skills requirements can act </w:t>
      </w:r>
      <w:r w:rsidR="00D16CE7" w:rsidRPr="00804C2D">
        <w:rPr>
          <w:noProof/>
        </w:rPr>
        <w:t xml:space="preserve">for many </w:t>
      </w:r>
      <w:r w:rsidR="004E3E2E" w:rsidRPr="00804C2D">
        <w:rPr>
          <w:noProof/>
        </w:rPr>
        <w:t>as a barrier to enter or progress further in the sector.</w:t>
      </w:r>
    </w:p>
    <w:p w14:paraId="6C8EE71D" w14:textId="76269403" w:rsidR="005416F3" w:rsidRPr="00804C2D" w:rsidRDefault="00455E94" w:rsidP="00455E94">
      <w:pPr>
        <w:pStyle w:val="ManualConsidrant"/>
        <w:rPr>
          <w:noProof/>
        </w:rPr>
      </w:pPr>
      <w:r w:rsidRPr="00455E94">
        <w:t>(18)</w:t>
      </w:r>
      <w:r w:rsidRPr="00455E94">
        <w:tab/>
      </w:r>
      <w:r w:rsidR="00F27EBD" w:rsidRPr="00804C2D">
        <w:rPr>
          <w:noProof/>
        </w:rPr>
        <w:t xml:space="preserve">Long-term care workers often experience non-standard work arrangements, irregular working hours, shift work, physical or mental strains </w:t>
      </w:r>
      <w:r w:rsidR="005416F3" w:rsidRPr="00804C2D">
        <w:rPr>
          <w:noProof/>
        </w:rPr>
        <w:t>and</w:t>
      </w:r>
      <w:r w:rsidR="00F27EBD" w:rsidRPr="00804C2D">
        <w:rPr>
          <w:noProof/>
        </w:rPr>
        <w:t xml:space="preserve"> low wages</w:t>
      </w:r>
      <w:r w:rsidR="00FF611C" w:rsidRPr="00804C2D">
        <w:rPr>
          <w:noProof/>
        </w:rPr>
        <w:t>. L</w:t>
      </w:r>
      <w:r w:rsidR="00F27EBD" w:rsidRPr="00804C2D">
        <w:rPr>
          <w:noProof/>
        </w:rPr>
        <w:t>ow coverage of long-term care workers by collective agreements and limited public expenditure in long-term care</w:t>
      </w:r>
      <w:r w:rsidR="002524F7" w:rsidRPr="00804C2D">
        <w:rPr>
          <w:noProof/>
        </w:rPr>
        <w:t xml:space="preserve"> </w:t>
      </w:r>
      <w:r w:rsidR="00EC47E9" w:rsidRPr="00804C2D">
        <w:rPr>
          <w:noProof/>
        </w:rPr>
        <w:t>contribute</w:t>
      </w:r>
      <w:r w:rsidR="002524F7" w:rsidRPr="00804C2D">
        <w:rPr>
          <w:noProof/>
        </w:rPr>
        <w:t xml:space="preserve"> to low wages in the sector</w:t>
      </w:r>
      <w:r w:rsidR="00F27EBD" w:rsidRPr="00804C2D">
        <w:rPr>
          <w:noProof/>
        </w:rPr>
        <w:t>.</w:t>
      </w:r>
    </w:p>
    <w:p w14:paraId="41453E1E" w14:textId="62DDE853" w:rsidR="00312341" w:rsidRPr="00804C2D" w:rsidRDefault="00455E94" w:rsidP="00455E94">
      <w:pPr>
        <w:pStyle w:val="ManualConsidrant"/>
        <w:rPr>
          <w:noProof/>
        </w:rPr>
      </w:pPr>
      <w:r w:rsidRPr="00455E94">
        <w:t>(19)</w:t>
      </w:r>
      <w:r w:rsidRPr="00455E94">
        <w:tab/>
      </w:r>
      <w:r w:rsidR="00FD784E" w:rsidRPr="00804C2D">
        <w:rPr>
          <w:noProof/>
        </w:rPr>
        <w:t>Certain groups of workers, including live</w:t>
      </w:r>
      <w:r w:rsidR="00312341" w:rsidRPr="00804C2D">
        <w:rPr>
          <w:noProof/>
        </w:rPr>
        <w:t xml:space="preserve">-in carers </w:t>
      </w:r>
      <w:r w:rsidR="00EF5AA0" w:rsidRPr="00804C2D">
        <w:rPr>
          <w:noProof/>
        </w:rPr>
        <w:t>or</w:t>
      </w:r>
      <w:r w:rsidR="00312341" w:rsidRPr="00804C2D">
        <w:rPr>
          <w:noProof/>
        </w:rPr>
        <w:t xml:space="preserve"> domestic workers providing long-term care, face particularly difficult working conditions, including low wages, unfavourable working-time arrangements, undeclared work, </w:t>
      </w:r>
      <w:r w:rsidR="00150C03" w:rsidRPr="00804C2D">
        <w:rPr>
          <w:noProof/>
        </w:rPr>
        <w:t>and non</w:t>
      </w:r>
      <w:r w:rsidR="00312341" w:rsidRPr="00804C2D">
        <w:rPr>
          <w:noProof/>
        </w:rPr>
        <w:t>-compliance with essential labour protection rules and irregular forms of employment. The 2011 Domestic Workers Convention (No. 189)</w:t>
      </w:r>
      <w:r w:rsidR="00312341" w:rsidRPr="00804C2D">
        <w:rPr>
          <w:rStyle w:val="FootnoteReference"/>
          <w:noProof/>
        </w:rPr>
        <w:footnoteReference w:id="43"/>
      </w:r>
      <w:r w:rsidR="00312341" w:rsidRPr="00804C2D">
        <w:rPr>
          <w:noProof/>
        </w:rPr>
        <w:t xml:space="preserve"> of the International Labour Organization lays down basic rights and principles, and requires </w:t>
      </w:r>
      <w:r w:rsidR="008B4840">
        <w:rPr>
          <w:noProof/>
        </w:rPr>
        <w:t xml:space="preserve">country competent authorities </w:t>
      </w:r>
      <w:r w:rsidR="00312341" w:rsidRPr="00804C2D">
        <w:rPr>
          <w:noProof/>
        </w:rPr>
        <w:t xml:space="preserve">to take a series of measures with a view to </w:t>
      </w:r>
      <w:r w:rsidR="008B4840">
        <w:rPr>
          <w:noProof/>
        </w:rPr>
        <w:t>ensure</w:t>
      </w:r>
      <w:r w:rsidR="008B4840" w:rsidRPr="00804C2D">
        <w:rPr>
          <w:noProof/>
        </w:rPr>
        <w:t xml:space="preserve"> </w:t>
      </w:r>
      <w:r w:rsidR="00312341" w:rsidRPr="00804C2D">
        <w:rPr>
          <w:noProof/>
        </w:rPr>
        <w:t>decent work</w:t>
      </w:r>
      <w:r w:rsidR="008B4840">
        <w:rPr>
          <w:noProof/>
        </w:rPr>
        <w:t>ing conditions</w:t>
      </w:r>
      <w:r w:rsidR="00312341" w:rsidRPr="00804C2D">
        <w:rPr>
          <w:noProof/>
        </w:rPr>
        <w:t xml:space="preserve"> for domestic workers.</w:t>
      </w:r>
    </w:p>
    <w:p w14:paraId="186CE509" w14:textId="51D7E7A1" w:rsidR="00DF7B8D" w:rsidRPr="00804C2D" w:rsidRDefault="00455E94" w:rsidP="00455E94">
      <w:pPr>
        <w:pStyle w:val="ManualConsidrant"/>
        <w:rPr>
          <w:noProof/>
        </w:rPr>
      </w:pPr>
      <w:r w:rsidRPr="00455E94">
        <w:t>(20)</w:t>
      </w:r>
      <w:r w:rsidRPr="00455E94">
        <w:tab/>
      </w:r>
      <w:r w:rsidR="00F27EBD" w:rsidRPr="00804C2D">
        <w:rPr>
          <w:noProof/>
        </w:rPr>
        <w:t xml:space="preserve">Informal care has been essential in long-term care provision, </w:t>
      </w:r>
      <w:r w:rsidR="00EC47E9" w:rsidRPr="00804C2D">
        <w:rPr>
          <w:noProof/>
        </w:rPr>
        <w:t>as</w:t>
      </w:r>
      <w:r w:rsidR="00F27EBD" w:rsidRPr="00804C2D">
        <w:rPr>
          <w:noProof/>
        </w:rPr>
        <w:t xml:space="preserve"> informal carers, mostly women, traditionally carry out the bulk of caregiving, often due to a lack of accessible and affordable formal </w:t>
      </w:r>
      <w:r w:rsidR="00912BE0">
        <w:rPr>
          <w:noProof/>
        </w:rPr>
        <w:t xml:space="preserve">long-term </w:t>
      </w:r>
      <w:r w:rsidR="00F27EBD" w:rsidRPr="00804C2D">
        <w:rPr>
          <w:noProof/>
        </w:rPr>
        <w:t>care. Providing informal care can negatively affect carers’ physical and mental health and well-being and is a significant obstacle to employment, particularly for women. Th</w:t>
      </w:r>
      <w:r w:rsidR="002002AB">
        <w:rPr>
          <w:noProof/>
        </w:rPr>
        <w:t>at</w:t>
      </w:r>
      <w:r w:rsidR="00F27EBD" w:rsidRPr="00804C2D">
        <w:rPr>
          <w:noProof/>
        </w:rPr>
        <w:t xml:space="preserve"> has an immediate effect on their current income, and affects their old-age income due to a reduced accrual of pension rights, which can be even more significant for carers with additional childcare responsibilities.</w:t>
      </w:r>
      <w:r w:rsidR="00AA0C40">
        <w:rPr>
          <w:noProof/>
        </w:rPr>
        <w:t xml:space="preserve"> </w:t>
      </w:r>
      <w:r w:rsidR="008731BD" w:rsidRPr="008731BD">
        <w:rPr>
          <w:noProof/>
        </w:rPr>
        <w:t>Children</w:t>
      </w:r>
      <w:r w:rsidR="00263326">
        <w:rPr>
          <w:noProof/>
        </w:rPr>
        <w:t xml:space="preserve"> and young people</w:t>
      </w:r>
      <w:r w:rsidR="006D2AEB">
        <w:rPr>
          <w:noProof/>
        </w:rPr>
        <w:t xml:space="preserve"> with</w:t>
      </w:r>
      <w:r w:rsidR="008731BD" w:rsidRPr="008731BD">
        <w:rPr>
          <w:noProof/>
        </w:rPr>
        <w:t xml:space="preserve"> </w:t>
      </w:r>
      <w:r w:rsidR="006D2AEB" w:rsidRPr="008731BD">
        <w:rPr>
          <w:noProof/>
        </w:rPr>
        <w:t xml:space="preserve">a chronically ill family member </w:t>
      </w:r>
      <w:r w:rsidR="008731BD" w:rsidRPr="008731BD">
        <w:rPr>
          <w:noProof/>
        </w:rPr>
        <w:t xml:space="preserve">tend to have more mental health problems and more adverse outcomes </w:t>
      </w:r>
      <w:r w:rsidR="006D2AEB">
        <w:rPr>
          <w:noProof/>
        </w:rPr>
        <w:t>with</w:t>
      </w:r>
      <w:r w:rsidR="008731BD" w:rsidRPr="008731BD">
        <w:rPr>
          <w:noProof/>
        </w:rPr>
        <w:t xml:space="preserve"> long term effect on their income and inclusion in society.</w:t>
      </w:r>
    </w:p>
    <w:p w14:paraId="249B3F78" w14:textId="4F2ECF6A" w:rsidR="00BC336C" w:rsidRPr="00804C2D" w:rsidRDefault="00455E94" w:rsidP="00455E94">
      <w:pPr>
        <w:pStyle w:val="ManualConsidrant"/>
        <w:rPr>
          <w:noProof/>
        </w:rPr>
      </w:pPr>
      <w:r w:rsidRPr="00455E94">
        <w:t>(21)</w:t>
      </w:r>
      <w:r w:rsidRPr="00455E94">
        <w:tab/>
      </w:r>
      <w:r w:rsidR="002928C6" w:rsidRPr="00804C2D">
        <w:rPr>
          <w:noProof/>
        </w:rPr>
        <w:t>The</w:t>
      </w:r>
      <w:r w:rsidR="00D10C66">
        <w:rPr>
          <w:noProof/>
        </w:rPr>
        <w:t xml:space="preserve"> organisation of long-term care differs across the Union.</w:t>
      </w:r>
      <w:r w:rsidR="002928C6" w:rsidRPr="00804C2D">
        <w:rPr>
          <w:noProof/>
        </w:rPr>
        <w:t xml:space="preserve"> Long-term care is organised in an often complex system of services across health and social care and sometimes other types of support, such as housing and local activities</w:t>
      </w:r>
      <w:r w:rsidR="00BB42BE" w:rsidRPr="00804C2D">
        <w:rPr>
          <w:noProof/>
        </w:rPr>
        <w:t>. T</w:t>
      </w:r>
      <w:r w:rsidR="002928C6" w:rsidRPr="00804C2D">
        <w:rPr>
          <w:noProof/>
        </w:rPr>
        <w:t xml:space="preserve">here are </w:t>
      </w:r>
      <w:r w:rsidR="00BB42BE" w:rsidRPr="00804C2D">
        <w:rPr>
          <w:noProof/>
        </w:rPr>
        <w:t xml:space="preserve">also </w:t>
      </w:r>
      <w:r w:rsidR="002928C6" w:rsidRPr="00804C2D">
        <w:rPr>
          <w:noProof/>
        </w:rPr>
        <w:t>differences in terms of the roles played by the national, regional and local levels of administration.</w:t>
      </w:r>
      <w:r w:rsidR="00140B1B" w:rsidRPr="00804C2D">
        <w:rPr>
          <w:noProof/>
        </w:rPr>
        <w:t xml:space="preserve"> Indicators used for monitoring long-term care also vary and administrative data are often not available or comparable at U</w:t>
      </w:r>
      <w:r w:rsidR="00D10C66">
        <w:rPr>
          <w:noProof/>
        </w:rPr>
        <w:t>nion</w:t>
      </w:r>
      <w:r w:rsidR="00140B1B" w:rsidRPr="00804C2D">
        <w:rPr>
          <w:noProof/>
        </w:rPr>
        <w:t xml:space="preserve"> level</w:t>
      </w:r>
      <w:r w:rsidR="00BC336C" w:rsidRPr="00804C2D">
        <w:rPr>
          <w:noProof/>
        </w:rPr>
        <w:t>.</w:t>
      </w:r>
    </w:p>
    <w:p w14:paraId="72DEB715" w14:textId="07AE924A" w:rsidR="00A86E1A" w:rsidRPr="00804C2D" w:rsidRDefault="00455E94" w:rsidP="00455E94">
      <w:pPr>
        <w:pStyle w:val="ManualConsidrant"/>
        <w:rPr>
          <w:noProof/>
        </w:rPr>
      </w:pPr>
      <w:r w:rsidRPr="00455E94">
        <w:t>(22)</w:t>
      </w:r>
      <w:r w:rsidRPr="00455E94">
        <w:tab/>
      </w:r>
      <w:r w:rsidR="00A86E1A" w:rsidRPr="00804C2D">
        <w:rPr>
          <w:noProof/>
        </w:rPr>
        <w:t xml:space="preserve">Long-term care stakeholders include </w:t>
      </w:r>
      <w:r w:rsidR="00D53158">
        <w:rPr>
          <w:noProof/>
        </w:rPr>
        <w:t>those</w:t>
      </w:r>
      <w:r w:rsidR="00D53158" w:rsidRPr="00804C2D">
        <w:rPr>
          <w:noProof/>
        </w:rPr>
        <w:t xml:space="preserve"> </w:t>
      </w:r>
      <w:r w:rsidR="00A86E1A" w:rsidRPr="00804C2D">
        <w:rPr>
          <w:noProof/>
        </w:rPr>
        <w:t xml:space="preserve">in need of long-term care, their family members and organisations representing them, relevant authorities </w:t>
      </w:r>
      <w:r w:rsidR="00D10C66">
        <w:rPr>
          <w:noProof/>
        </w:rPr>
        <w:t xml:space="preserve">at </w:t>
      </w:r>
      <w:r w:rsidR="00A86E1A" w:rsidRPr="00804C2D">
        <w:rPr>
          <w:noProof/>
        </w:rPr>
        <w:t xml:space="preserve">national, regional, </w:t>
      </w:r>
      <w:r w:rsidR="00D10C66">
        <w:rPr>
          <w:noProof/>
        </w:rPr>
        <w:t xml:space="preserve">and </w:t>
      </w:r>
      <w:r w:rsidR="00A86E1A" w:rsidRPr="00804C2D">
        <w:rPr>
          <w:noProof/>
        </w:rPr>
        <w:t>local</w:t>
      </w:r>
      <w:r w:rsidR="00D10C66">
        <w:rPr>
          <w:noProof/>
        </w:rPr>
        <w:t xml:space="preserve"> level</w:t>
      </w:r>
      <w:r w:rsidR="00A86E1A" w:rsidRPr="00804C2D">
        <w:rPr>
          <w:noProof/>
        </w:rPr>
        <w:t>, social partners, civil society organisations, long-term care providers</w:t>
      </w:r>
      <w:r w:rsidR="00D16CE7">
        <w:rPr>
          <w:noProof/>
        </w:rPr>
        <w:t>,</w:t>
      </w:r>
      <w:r w:rsidR="00A86E1A" w:rsidRPr="00804C2D">
        <w:rPr>
          <w:noProof/>
        </w:rPr>
        <w:t xml:space="preserve"> </w:t>
      </w:r>
      <w:r w:rsidR="00D16CE7">
        <w:rPr>
          <w:noProof/>
        </w:rPr>
        <w:t>and</w:t>
      </w:r>
      <w:r w:rsidR="00A86E1A" w:rsidRPr="00804C2D">
        <w:rPr>
          <w:noProof/>
        </w:rPr>
        <w:t xml:space="preserve"> bodies responsible for promoting social inclusion and integration and protection of fundamental rights, including national equality bodies.</w:t>
      </w:r>
      <w:r w:rsidR="009436C9">
        <w:rPr>
          <w:noProof/>
        </w:rPr>
        <w:t xml:space="preserve"> </w:t>
      </w:r>
      <w:r w:rsidR="009436C9" w:rsidRPr="009436C9">
        <w:rPr>
          <w:noProof/>
        </w:rPr>
        <w:t xml:space="preserve">Social economy </w:t>
      </w:r>
      <w:r w:rsidR="00D16CE7">
        <w:rPr>
          <w:noProof/>
        </w:rPr>
        <w:t>bodies</w:t>
      </w:r>
      <w:r w:rsidR="009436C9" w:rsidRPr="009436C9">
        <w:rPr>
          <w:noProof/>
        </w:rPr>
        <w:t>, including cooperatives, mutual benefits societies, associations and foundations</w:t>
      </w:r>
      <w:r w:rsidR="00D16CE7">
        <w:rPr>
          <w:noProof/>
        </w:rPr>
        <w:t>,</w:t>
      </w:r>
      <w:r w:rsidR="009436C9" w:rsidRPr="009436C9">
        <w:rPr>
          <w:noProof/>
        </w:rPr>
        <w:t xml:space="preserve"> </w:t>
      </w:r>
      <w:r w:rsidR="00D16CE7">
        <w:rPr>
          <w:noProof/>
        </w:rPr>
        <w:t>and</w:t>
      </w:r>
      <w:r w:rsidR="009436C9" w:rsidRPr="009436C9">
        <w:rPr>
          <w:noProof/>
        </w:rPr>
        <w:t xml:space="preserve"> social enterprises</w:t>
      </w:r>
      <w:r w:rsidR="00BF2F87">
        <w:rPr>
          <w:noProof/>
        </w:rPr>
        <w:t>,</w:t>
      </w:r>
      <w:r w:rsidR="009436C9" w:rsidRPr="009436C9">
        <w:rPr>
          <w:noProof/>
        </w:rPr>
        <w:t xml:space="preserve"> are important partners for public authorities in the provision of long-term care.</w:t>
      </w:r>
    </w:p>
    <w:p w14:paraId="65228E52" w14:textId="0D3D673F" w:rsidR="004E7F7A" w:rsidRDefault="00455E94" w:rsidP="00455E94">
      <w:pPr>
        <w:pStyle w:val="ManualConsidrant"/>
        <w:rPr>
          <w:noProof/>
        </w:rPr>
      </w:pPr>
      <w:r w:rsidRPr="00455E94">
        <w:t>(23)</w:t>
      </w:r>
      <w:r w:rsidRPr="00455E94">
        <w:tab/>
      </w:r>
      <w:r w:rsidR="042434F3" w:rsidRPr="00804C2D">
        <w:rPr>
          <w:noProof/>
        </w:rPr>
        <w:t xml:space="preserve">The European Semester process, supported by the Social Scoreboard, has highlighted the challenges in long-term care, </w:t>
      </w:r>
      <w:r w:rsidR="00D10C66">
        <w:rPr>
          <w:noProof/>
        </w:rPr>
        <w:t>resulting in</w:t>
      </w:r>
      <w:r w:rsidR="00AA0C40">
        <w:rPr>
          <w:noProof/>
        </w:rPr>
        <w:t xml:space="preserve"> </w:t>
      </w:r>
      <w:r w:rsidR="00F34016">
        <w:rPr>
          <w:noProof/>
        </w:rPr>
        <w:t>some</w:t>
      </w:r>
      <w:r w:rsidR="042434F3" w:rsidRPr="00804C2D">
        <w:rPr>
          <w:noProof/>
        </w:rPr>
        <w:t xml:space="preserve"> Member States receiving country-specific recommendations</w:t>
      </w:r>
      <w:r w:rsidR="5373E266" w:rsidRPr="00804C2D">
        <w:rPr>
          <w:noProof/>
        </w:rPr>
        <w:t xml:space="preserve"> in that area</w:t>
      </w:r>
      <w:r w:rsidR="042434F3" w:rsidRPr="00804C2D">
        <w:rPr>
          <w:noProof/>
        </w:rPr>
        <w:t>. The Employment Guidelines</w:t>
      </w:r>
      <w:r w:rsidR="007862F4" w:rsidRPr="00804C2D">
        <w:rPr>
          <w:rStyle w:val="FootnoteReference"/>
          <w:noProof/>
        </w:rPr>
        <w:footnoteReference w:id="44"/>
      </w:r>
      <w:r w:rsidR="042434F3" w:rsidRPr="00804C2D">
        <w:rPr>
          <w:noProof/>
        </w:rPr>
        <w:t xml:space="preserve"> underline the importance of ensuring availability of affordable, accessible and quality long-term care.</w:t>
      </w:r>
      <w:r w:rsidR="009E630B" w:rsidRPr="00804C2D">
        <w:rPr>
          <w:noProof/>
        </w:rPr>
        <w:t xml:space="preserve"> The Open Method of Coordination for Social Protection and Social Inclusion </w:t>
      </w:r>
      <w:r w:rsidR="00D10C66">
        <w:rPr>
          <w:noProof/>
        </w:rPr>
        <w:t xml:space="preserve">aims to </w:t>
      </w:r>
      <w:r w:rsidR="00263326">
        <w:rPr>
          <w:noProof/>
        </w:rPr>
        <w:t>promote</w:t>
      </w:r>
      <w:r w:rsidR="009E630B" w:rsidRPr="00804C2D">
        <w:rPr>
          <w:noProof/>
        </w:rPr>
        <w:t xml:space="preserve"> accessible, high</w:t>
      </w:r>
      <w:r w:rsidR="00D16CE7">
        <w:rPr>
          <w:noProof/>
        </w:rPr>
        <w:t>-</w:t>
      </w:r>
      <w:r w:rsidR="009E630B" w:rsidRPr="00804C2D">
        <w:rPr>
          <w:noProof/>
        </w:rPr>
        <w:t>quality and sustainable long-term care and supports th</w:t>
      </w:r>
      <w:r w:rsidR="00F55951">
        <w:rPr>
          <w:noProof/>
        </w:rPr>
        <w:t>at</w:t>
      </w:r>
      <w:r w:rsidR="00D10C66">
        <w:rPr>
          <w:noProof/>
        </w:rPr>
        <w:t xml:space="preserve"> objective</w:t>
      </w:r>
      <w:r w:rsidR="009E630B" w:rsidRPr="00804C2D">
        <w:rPr>
          <w:noProof/>
        </w:rPr>
        <w:t xml:space="preserve"> through monitoring, multilateral surveillance of reforms, thematic work, and mutual learning.</w:t>
      </w:r>
      <w:r w:rsidR="00A70663" w:rsidRPr="00804C2D">
        <w:rPr>
          <w:noProof/>
        </w:rPr>
        <w:t xml:space="preserve"> The </w:t>
      </w:r>
      <w:r w:rsidR="00A854EC" w:rsidRPr="00804C2D">
        <w:rPr>
          <w:noProof/>
        </w:rPr>
        <w:t xml:space="preserve">Social Protection Committee developed a </w:t>
      </w:r>
      <w:r w:rsidR="00A70663" w:rsidRPr="00804C2D">
        <w:rPr>
          <w:noProof/>
        </w:rPr>
        <w:t>European quality framework for social services</w:t>
      </w:r>
      <w:r w:rsidR="00A70663" w:rsidRPr="00804C2D">
        <w:rPr>
          <w:rStyle w:val="FootnoteReference"/>
          <w:noProof/>
        </w:rPr>
        <w:footnoteReference w:id="45"/>
      </w:r>
      <w:r w:rsidR="00A854EC" w:rsidRPr="00804C2D">
        <w:rPr>
          <w:noProof/>
        </w:rPr>
        <w:t>, including</w:t>
      </w:r>
      <w:r w:rsidR="00A70663" w:rsidRPr="00804C2D">
        <w:rPr>
          <w:noProof/>
        </w:rPr>
        <w:t xml:space="preserve"> long-term care.</w:t>
      </w:r>
      <w:r w:rsidR="00F56E4E" w:rsidRPr="00804C2D">
        <w:rPr>
          <w:noProof/>
        </w:rPr>
        <w:t xml:space="preserve"> However</w:t>
      </w:r>
      <w:r w:rsidR="00201D4A">
        <w:rPr>
          <w:noProof/>
        </w:rPr>
        <w:t>,</w:t>
      </w:r>
      <w:r w:rsidR="00F56E4E" w:rsidRPr="00804C2D">
        <w:rPr>
          <w:noProof/>
        </w:rPr>
        <w:t xml:space="preserve"> there </w:t>
      </w:r>
      <w:r w:rsidR="00D10C66">
        <w:rPr>
          <w:noProof/>
        </w:rPr>
        <w:t>is still</w:t>
      </w:r>
      <w:r w:rsidR="00201D4A" w:rsidRPr="00804C2D">
        <w:rPr>
          <w:noProof/>
        </w:rPr>
        <w:t xml:space="preserve"> </w:t>
      </w:r>
      <w:r w:rsidR="00F56E4E" w:rsidRPr="00804C2D">
        <w:rPr>
          <w:noProof/>
        </w:rPr>
        <w:t xml:space="preserve">no </w:t>
      </w:r>
      <w:r w:rsidR="00D10C66">
        <w:rPr>
          <w:noProof/>
        </w:rPr>
        <w:t>Union</w:t>
      </w:r>
      <w:r w:rsidR="00D10C66" w:rsidRPr="00804C2D">
        <w:rPr>
          <w:noProof/>
        </w:rPr>
        <w:t xml:space="preserve"> </w:t>
      </w:r>
      <w:r w:rsidR="00F56E4E" w:rsidRPr="00804C2D">
        <w:rPr>
          <w:noProof/>
        </w:rPr>
        <w:t xml:space="preserve">comprehensive framework to guide </w:t>
      </w:r>
      <w:r w:rsidR="00227106" w:rsidRPr="00804C2D">
        <w:rPr>
          <w:noProof/>
        </w:rPr>
        <w:t>national</w:t>
      </w:r>
      <w:r w:rsidR="00F56E4E" w:rsidRPr="00804C2D">
        <w:rPr>
          <w:noProof/>
        </w:rPr>
        <w:t xml:space="preserve"> reforms </w:t>
      </w:r>
      <w:r w:rsidR="00227106" w:rsidRPr="00804C2D">
        <w:rPr>
          <w:noProof/>
        </w:rPr>
        <w:t>in</w:t>
      </w:r>
      <w:r w:rsidR="00F56E4E" w:rsidRPr="00804C2D">
        <w:rPr>
          <w:noProof/>
        </w:rPr>
        <w:t xml:space="preserve"> long-term care.</w:t>
      </w:r>
    </w:p>
    <w:p w14:paraId="79BADCFE" w14:textId="334F88BC" w:rsidR="004E7F7A" w:rsidRPr="00804C2D" w:rsidRDefault="00455E94" w:rsidP="00455E94">
      <w:pPr>
        <w:pStyle w:val="ManualConsidrant"/>
        <w:rPr>
          <w:noProof/>
        </w:rPr>
      </w:pPr>
      <w:r w:rsidRPr="00455E94">
        <w:t>(24)</w:t>
      </w:r>
      <w:r w:rsidRPr="00455E94">
        <w:tab/>
      </w:r>
      <w:r w:rsidR="00AE733B" w:rsidRPr="00804C2D">
        <w:rPr>
          <w:noProof/>
        </w:rPr>
        <w:t xml:space="preserve">The </w:t>
      </w:r>
      <w:r w:rsidR="00D10C66">
        <w:rPr>
          <w:noProof/>
        </w:rPr>
        <w:t xml:space="preserve">Union </w:t>
      </w:r>
      <w:r w:rsidR="003F2A91">
        <w:rPr>
          <w:noProof/>
        </w:rPr>
        <w:t xml:space="preserve">provides many </w:t>
      </w:r>
      <w:r w:rsidR="00AE733B" w:rsidRPr="00804C2D">
        <w:rPr>
          <w:noProof/>
        </w:rPr>
        <w:t xml:space="preserve">funding opportunities </w:t>
      </w:r>
      <w:r w:rsidR="003F2A91">
        <w:rPr>
          <w:noProof/>
        </w:rPr>
        <w:t>for</w:t>
      </w:r>
      <w:r w:rsidR="00AE733B" w:rsidRPr="00804C2D">
        <w:rPr>
          <w:noProof/>
        </w:rPr>
        <w:t xml:space="preserve"> long-term care</w:t>
      </w:r>
      <w:r w:rsidR="00B862A9">
        <w:rPr>
          <w:noProof/>
        </w:rPr>
        <w:t>,</w:t>
      </w:r>
      <w:r w:rsidR="003F2A91">
        <w:rPr>
          <w:noProof/>
        </w:rPr>
        <w:t xml:space="preserve"> targeting different investment priorities in </w:t>
      </w:r>
      <w:r w:rsidR="00D10C66">
        <w:rPr>
          <w:noProof/>
        </w:rPr>
        <w:t xml:space="preserve">accordance </w:t>
      </w:r>
      <w:r w:rsidR="003F2A91">
        <w:rPr>
          <w:noProof/>
        </w:rPr>
        <w:t xml:space="preserve">with the specific regulations of the </w:t>
      </w:r>
      <w:r w:rsidR="00D16CE7">
        <w:rPr>
          <w:noProof/>
        </w:rPr>
        <w:t xml:space="preserve">various </w:t>
      </w:r>
      <w:r w:rsidR="003F2A91">
        <w:rPr>
          <w:noProof/>
        </w:rPr>
        <w:t>funding programme</w:t>
      </w:r>
      <w:r w:rsidR="00D365FF">
        <w:rPr>
          <w:noProof/>
        </w:rPr>
        <w:t>s</w:t>
      </w:r>
      <w:r w:rsidR="00D16CE7">
        <w:rPr>
          <w:noProof/>
        </w:rPr>
        <w:t>,</w:t>
      </w:r>
      <w:r w:rsidR="003F2A91">
        <w:rPr>
          <w:noProof/>
        </w:rPr>
        <w:t xml:space="preserve"> </w:t>
      </w:r>
      <w:r w:rsidR="00D16CE7">
        <w:rPr>
          <w:noProof/>
        </w:rPr>
        <w:t xml:space="preserve">which </w:t>
      </w:r>
      <w:r w:rsidR="00AE733B" w:rsidRPr="00804C2D">
        <w:rPr>
          <w:noProof/>
        </w:rPr>
        <w:t>include the European Regional Development Fund</w:t>
      </w:r>
      <w:r w:rsidR="006D2AEB">
        <w:rPr>
          <w:noProof/>
        </w:rPr>
        <w:t xml:space="preserve"> (</w:t>
      </w:r>
      <w:r w:rsidR="00617DF3">
        <w:rPr>
          <w:noProof/>
        </w:rPr>
        <w:t xml:space="preserve">with priority </w:t>
      </w:r>
      <w:r w:rsidR="006D2AEB" w:rsidRPr="00441429">
        <w:rPr>
          <w:noProof/>
        </w:rPr>
        <w:t>focus</w:t>
      </w:r>
      <w:r w:rsidR="006D2AEB">
        <w:rPr>
          <w:noProof/>
        </w:rPr>
        <w:t xml:space="preserve"> on </w:t>
      </w:r>
      <w:r w:rsidR="006D2AEB" w:rsidRPr="00441429">
        <w:rPr>
          <w:noProof/>
        </w:rPr>
        <w:t>non-residential famil</w:t>
      </w:r>
      <w:r w:rsidR="006D2AEB">
        <w:rPr>
          <w:noProof/>
        </w:rPr>
        <w:t>y- and community-based services)</w:t>
      </w:r>
      <w:r w:rsidR="00AE733B" w:rsidRPr="00804C2D">
        <w:rPr>
          <w:noProof/>
        </w:rPr>
        <w:t xml:space="preserve">, the European Social Fund plus, </w:t>
      </w:r>
      <w:r w:rsidR="002C5F86" w:rsidRPr="00804C2D">
        <w:rPr>
          <w:noProof/>
        </w:rPr>
        <w:t>and</w:t>
      </w:r>
      <w:r w:rsidR="00463EB5" w:rsidRPr="00804C2D">
        <w:rPr>
          <w:noProof/>
        </w:rPr>
        <w:t xml:space="preserve"> its </w:t>
      </w:r>
      <w:r w:rsidR="00AE733B" w:rsidRPr="00804C2D">
        <w:rPr>
          <w:noProof/>
        </w:rPr>
        <w:t>Employment and Social Innovation strand,</w:t>
      </w:r>
      <w:r w:rsidR="001C2260">
        <w:rPr>
          <w:noProof/>
        </w:rPr>
        <w:t xml:space="preserve"> </w:t>
      </w:r>
      <w:r w:rsidR="00AE733B" w:rsidRPr="00804C2D">
        <w:rPr>
          <w:noProof/>
        </w:rPr>
        <w:t>the Just Transition Fund, Horizon Europe</w:t>
      </w:r>
      <w:r w:rsidR="00D16CE7">
        <w:rPr>
          <w:noProof/>
        </w:rPr>
        <w:t>,</w:t>
      </w:r>
      <w:r w:rsidR="00AE733B" w:rsidRPr="00804C2D">
        <w:rPr>
          <w:noProof/>
        </w:rPr>
        <w:t xml:space="preserve"> </w:t>
      </w:r>
      <w:r w:rsidR="00D57A93" w:rsidRPr="00804C2D">
        <w:rPr>
          <w:noProof/>
        </w:rPr>
        <w:t>the</w:t>
      </w:r>
      <w:r w:rsidR="00AE733B" w:rsidRPr="00804C2D">
        <w:rPr>
          <w:noProof/>
        </w:rPr>
        <w:t xml:space="preserve"> Digital Europe </w:t>
      </w:r>
      <w:r w:rsidR="00463EB5" w:rsidRPr="00804C2D">
        <w:rPr>
          <w:noProof/>
        </w:rPr>
        <w:t>P</w:t>
      </w:r>
      <w:r w:rsidR="00AE733B" w:rsidRPr="00804C2D">
        <w:rPr>
          <w:noProof/>
        </w:rPr>
        <w:t>rogramme</w:t>
      </w:r>
      <w:r w:rsidR="00201D4A">
        <w:rPr>
          <w:noProof/>
        </w:rPr>
        <w:t xml:space="preserve">, </w:t>
      </w:r>
      <w:r w:rsidR="00370811">
        <w:rPr>
          <w:noProof/>
          <w:color w:val="FF0000"/>
        </w:rPr>
        <w:t>support to design and implement reforms through the Technical Support Instrument</w:t>
      </w:r>
      <w:r w:rsidR="00370811">
        <w:rPr>
          <w:noProof/>
        </w:rPr>
        <w:t xml:space="preserve">, </w:t>
      </w:r>
      <w:r w:rsidR="00201D4A">
        <w:rPr>
          <w:noProof/>
        </w:rPr>
        <w:t>and</w:t>
      </w:r>
      <w:r w:rsidR="00201D4A" w:rsidRPr="00201D4A">
        <w:rPr>
          <w:noProof/>
        </w:rPr>
        <w:t xml:space="preserve"> </w:t>
      </w:r>
      <w:r w:rsidR="00201D4A" w:rsidRPr="00804C2D">
        <w:rPr>
          <w:noProof/>
        </w:rPr>
        <w:t>the Recovery and Resilience Facility</w:t>
      </w:r>
      <w:r w:rsidR="00201D4A">
        <w:rPr>
          <w:noProof/>
        </w:rPr>
        <w:t xml:space="preserve"> for eligible reforms and investments in the context of the recovery from the COVID-19 pandemic.</w:t>
      </w:r>
    </w:p>
    <w:p w14:paraId="10BCEA1F" w14:textId="71B12118" w:rsidR="009A6B08" w:rsidRDefault="00455E94" w:rsidP="00455E94">
      <w:pPr>
        <w:pStyle w:val="ManualConsidrant"/>
        <w:rPr>
          <w:noProof/>
        </w:rPr>
      </w:pPr>
      <w:r w:rsidRPr="00455E94">
        <w:t>(25)</w:t>
      </w:r>
      <w:r w:rsidRPr="00455E94">
        <w:tab/>
      </w:r>
      <w:r w:rsidR="00B94E23" w:rsidRPr="00804C2D">
        <w:rPr>
          <w:noProof/>
        </w:rPr>
        <w:t>Th</w:t>
      </w:r>
      <w:r w:rsidR="00586BD3" w:rsidRPr="00804C2D">
        <w:rPr>
          <w:noProof/>
        </w:rPr>
        <w:t xml:space="preserve">is Recommendation </w:t>
      </w:r>
      <w:r w:rsidR="00EC47E9" w:rsidRPr="00804C2D">
        <w:rPr>
          <w:noProof/>
        </w:rPr>
        <w:t>builds on</w:t>
      </w:r>
      <w:r w:rsidR="00586BD3" w:rsidRPr="00804C2D">
        <w:rPr>
          <w:noProof/>
        </w:rPr>
        <w:t xml:space="preserve"> Union law on working conditions</w:t>
      </w:r>
      <w:r w:rsidR="000263F7" w:rsidRPr="00804C2D">
        <w:rPr>
          <w:noProof/>
        </w:rPr>
        <w:t xml:space="preserve"> regarding transparent and predictable working conditions</w:t>
      </w:r>
      <w:r w:rsidR="00586BD3" w:rsidRPr="00804C2D">
        <w:rPr>
          <w:rStyle w:val="FootnoteReference"/>
          <w:noProof/>
        </w:rPr>
        <w:footnoteReference w:id="46"/>
      </w:r>
      <w:r w:rsidR="00586BD3" w:rsidRPr="00804C2D">
        <w:rPr>
          <w:noProof/>
        </w:rPr>
        <w:t>,</w:t>
      </w:r>
      <w:r w:rsidR="006F0FBA" w:rsidRPr="00804C2D">
        <w:rPr>
          <w:noProof/>
        </w:rPr>
        <w:t xml:space="preserve"> </w:t>
      </w:r>
      <w:r w:rsidR="00586BD3" w:rsidRPr="00804C2D">
        <w:rPr>
          <w:noProof/>
        </w:rPr>
        <w:t>work-life balance</w:t>
      </w:r>
      <w:r w:rsidR="00586BD3" w:rsidRPr="00804C2D">
        <w:rPr>
          <w:rStyle w:val="FootnoteReference"/>
          <w:noProof/>
        </w:rPr>
        <w:footnoteReference w:id="47"/>
      </w:r>
      <w:r w:rsidR="00CE5564">
        <w:rPr>
          <w:noProof/>
        </w:rPr>
        <w:t>,</w:t>
      </w:r>
      <w:r w:rsidR="00586BD3" w:rsidRPr="00804C2D">
        <w:rPr>
          <w:noProof/>
        </w:rPr>
        <w:t xml:space="preserve"> and health and safety at work</w:t>
      </w:r>
      <w:r w:rsidR="00586BD3" w:rsidRPr="00804C2D">
        <w:rPr>
          <w:rStyle w:val="FootnoteReference"/>
          <w:noProof/>
        </w:rPr>
        <w:footnoteReference w:id="48"/>
      </w:r>
      <w:r w:rsidR="00C140A8" w:rsidRPr="00804C2D">
        <w:rPr>
          <w:noProof/>
        </w:rPr>
        <w:t>, applicable and relevant to long</w:t>
      </w:r>
      <w:r w:rsidR="00227106" w:rsidRPr="00804C2D">
        <w:rPr>
          <w:noProof/>
        </w:rPr>
        <w:t>-</w:t>
      </w:r>
      <w:r w:rsidR="00C140A8" w:rsidRPr="00804C2D">
        <w:rPr>
          <w:noProof/>
        </w:rPr>
        <w:t>term care</w:t>
      </w:r>
      <w:r w:rsidR="00CB7961" w:rsidRPr="00804C2D">
        <w:rPr>
          <w:noProof/>
        </w:rPr>
        <w:t>.</w:t>
      </w:r>
    </w:p>
    <w:p w14:paraId="3A6E65D4" w14:textId="6C9A2CAF" w:rsidR="00D6419E" w:rsidRPr="00804C2D" w:rsidRDefault="00455E94" w:rsidP="00455E94">
      <w:pPr>
        <w:pStyle w:val="ManualConsidrant"/>
        <w:rPr>
          <w:noProof/>
        </w:rPr>
      </w:pPr>
      <w:r w:rsidRPr="00455E94">
        <w:t>(26)</w:t>
      </w:r>
      <w:r w:rsidRPr="00455E94">
        <w:tab/>
      </w:r>
      <w:r w:rsidR="00DE2504" w:rsidRPr="00804C2D">
        <w:rPr>
          <w:noProof/>
        </w:rPr>
        <w:t>In full respect of the principles of subsidiarity and proportionality</w:t>
      </w:r>
      <w:r w:rsidR="0030743A" w:rsidRPr="00804C2D">
        <w:rPr>
          <w:noProof/>
        </w:rPr>
        <w:t xml:space="preserve">, this Recommendation is without prejudice to the powers of Member States to </w:t>
      </w:r>
      <w:r w:rsidR="0059618C">
        <w:rPr>
          <w:noProof/>
        </w:rPr>
        <w:t xml:space="preserve"> </w:t>
      </w:r>
      <w:r w:rsidR="0030743A" w:rsidRPr="00804C2D">
        <w:rPr>
          <w:noProof/>
        </w:rPr>
        <w:t xml:space="preserve">organise their social protection systems and does not prevent them from maintaining or establishing provisions on social protection </w:t>
      </w:r>
      <w:r w:rsidR="0059618C">
        <w:rPr>
          <w:noProof/>
        </w:rPr>
        <w:t>which go beyond those recommended</w:t>
      </w:r>
      <w:r w:rsidR="002C64EC" w:rsidRPr="00804C2D">
        <w:rPr>
          <w:noProof/>
        </w:rPr>
        <w:t>,</w:t>
      </w:r>
    </w:p>
    <w:p w14:paraId="38454331" w14:textId="77777777" w:rsidR="00BF0B01" w:rsidRPr="00804C2D" w:rsidRDefault="00BF0B01" w:rsidP="00D12A97">
      <w:pPr>
        <w:pStyle w:val="Formuledadoption"/>
        <w:rPr>
          <w:noProof/>
        </w:rPr>
      </w:pPr>
      <w:r w:rsidRPr="00804C2D">
        <w:rPr>
          <w:noProof/>
        </w:rPr>
        <w:t>HAS ADOPTED THIS RECOMMENDATION:</w:t>
      </w:r>
    </w:p>
    <w:p w14:paraId="542F8C16" w14:textId="77777777" w:rsidR="008115EF" w:rsidRPr="00804C2D" w:rsidRDefault="008115EF" w:rsidP="008115EF">
      <w:pPr>
        <w:rPr>
          <w:b/>
          <w:noProof/>
        </w:rPr>
      </w:pPr>
      <w:r w:rsidRPr="00804C2D">
        <w:rPr>
          <w:b/>
          <w:noProof/>
        </w:rPr>
        <w:t>OBJECTIVE</w:t>
      </w:r>
      <w:r w:rsidR="00E45E64" w:rsidRPr="00804C2D">
        <w:rPr>
          <w:b/>
          <w:noProof/>
        </w:rPr>
        <w:t xml:space="preserve"> </w:t>
      </w:r>
      <w:r w:rsidR="00302F28" w:rsidRPr="00804C2D">
        <w:rPr>
          <w:b/>
          <w:noProof/>
        </w:rPr>
        <w:t>AND SCOPE</w:t>
      </w:r>
    </w:p>
    <w:p w14:paraId="3F1E074D" w14:textId="485128E1" w:rsidR="004C0455" w:rsidRPr="00804C2D" w:rsidRDefault="00455E94" w:rsidP="00455E94">
      <w:pPr>
        <w:pStyle w:val="ManualNumPar1"/>
        <w:rPr>
          <w:noProof/>
        </w:rPr>
      </w:pPr>
      <w:r w:rsidRPr="00455E94">
        <w:t>1.</w:t>
      </w:r>
      <w:r w:rsidRPr="00455E94">
        <w:tab/>
      </w:r>
      <w:r w:rsidR="00F072BF" w:rsidRPr="00804C2D">
        <w:rPr>
          <w:noProof/>
        </w:rPr>
        <w:t xml:space="preserve">This Recommendation </w:t>
      </w:r>
      <w:r w:rsidR="005141BA">
        <w:rPr>
          <w:noProof/>
        </w:rPr>
        <w:t xml:space="preserve">aims to </w:t>
      </w:r>
      <w:r w:rsidR="00175A28">
        <w:rPr>
          <w:noProof/>
        </w:rPr>
        <w:t>improve</w:t>
      </w:r>
      <w:r w:rsidR="001D2311" w:rsidRPr="00804C2D">
        <w:rPr>
          <w:noProof/>
        </w:rPr>
        <w:t xml:space="preserve"> </w:t>
      </w:r>
      <w:r w:rsidR="00FD7C4B" w:rsidRPr="00804C2D">
        <w:rPr>
          <w:noProof/>
        </w:rPr>
        <w:t>access to affordable</w:t>
      </w:r>
      <w:r w:rsidR="00F34016">
        <w:rPr>
          <w:noProof/>
        </w:rPr>
        <w:t>,</w:t>
      </w:r>
      <w:r w:rsidR="00FD7C4B" w:rsidRPr="00804C2D">
        <w:rPr>
          <w:noProof/>
        </w:rPr>
        <w:t xml:space="preserve"> high-quality long-term care to all </w:t>
      </w:r>
      <w:r w:rsidR="00D53158">
        <w:rPr>
          <w:noProof/>
        </w:rPr>
        <w:t>people</w:t>
      </w:r>
      <w:r w:rsidR="00D53158" w:rsidRPr="00804C2D">
        <w:rPr>
          <w:noProof/>
        </w:rPr>
        <w:t xml:space="preserve"> </w:t>
      </w:r>
      <w:r w:rsidR="00FD7C4B" w:rsidRPr="00804C2D">
        <w:rPr>
          <w:noProof/>
        </w:rPr>
        <w:t xml:space="preserve">who need </w:t>
      </w:r>
      <w:r w:rsidR="008F7F05" w:rsidRPr="00804C2D">
        <w:rPr>
          <w:noProof/>
        </w:rPr>
        <w:t>it</w:t>
      </w:r>
      <w:r w:rsidR="00BF0B01" w:rsidRPr="00804C2D">
        <w:rPr>
          <w:noProof/>
        </w:rPr>
        <w:t>.</w:t>
      </w:r>
    </w:p>
    <w:p w14:paraId="7E0AF09B" w14:textId="0007DA5F" w:rsidR="00BF0B01" w:rsidRPr="00804C2D" w:rsidRDefault="00455E94" w:rsidP="00455E94">
      <w:pPr>
        <w:pStyle w:val="ManualNumPar1"/>
        <w:rPr>
          <w:noProof/>
        </w:rPr>
      </w:pPr>
      <w:r w:rsidRPr="00455E94">
        <w:t>2.</w:t>
      </w:r>
      <w:r w:rsidRPr="00455E94">
        <w:tab/>
      </w:r>
      <w:r w:rsidR="00BF0B01" w:rsidRPr="00804C2D">
        <w:rPr>
          <w:noProof/>
        </w:rPr>
        <w:t xml:space="preserve">This Recommendation </w:t>
      </w:r>
      <w:r w:rsidR="00F640DA" w:rsidRPr="00804C2D">
        <w:rPr>
          <w:noProof/>
        </w:rPr>
        <w:t xml:space="preserve">concerns </w:t>
      </w:r>
      <w:r w:rsidR="00BF0B01" w:rsidRPr="00804C2D">
        <w:rPr>
          <w:noProof/>
        </w:rPr>
        <w:t xml:space="preserve">all </w:t>
      </w:r>
      <w:r w:rsidR="00D53158">
        <w:rPr>
          <w:noProof/>
        </w:rPr>
        <w:t>people</w:t>
      </w:r>
      <w:r w:rsidR="00D53158" w:rsidRPr="00804C2D">
        <w:rPr>
          <w:noProof/>
        </w:rPr>
        <w:t xml:space="preserve"> </w:t>
      </w:r>
      <w:r w:rsidR="00BF0B01" w:rsidRPr="00804C2D">
        <w:rPr>
          <w:noProof/>
        </w:rPr>
        <w:t>in need of long-term care</w:t>
      </w:r>
      <w:r w:rsidR="00F34016">
        <w:rPr>
          <w:noProof/>
        </w:rPr>
        <w:t>,</w:t>
      </w:r>
      <w:r w:rsidR="00BF0B01" w:rsidRPr="00804C2D">
        <w:rPr>
          <w:noProof/>
        </w:rPr>
        <w:t xml:space="preserve"> </w:t>
      </w:r>
      <w:r w:rsidR="00F34016">
        <w:rPr>
          <w:noProof/>
        </w:rPr>
        <w:t>and</w:t>
      </w:r>
      <w:r w:rsidR="00D17645" w:rsidRPr="00804C2D">
        <w:rPr>
          <w:noProof/>
        </w:rPr>
        <w:t xml:space="preserve"> formal and informal carers</w:t>
      </w:r>
      <w:r w:rsidR="00F97055" w:rsidRPr="00804C2D">
        <w:rPr>
          <w:noProof/>
        </w:rPr>
        <w:t>. It applies to</w:t>
      </w:r>
      <w:r w:rsidR="00F640DA" w:rsidRPr="00804C2D">
        <w:rPr>
          <w:noProof/>
        </w:rPr>
        <w:t xml:space="preserve"> long-term care provide</w:t>
      </w:r>
      <w:r w:rsidR="00F97055" w:rsidRPr="00804C2D">
        <w:rPr>
          <w:noProof/>
        </w:rPr>
        <w:t>d</w:t>
      </w:r>
      <w:r w:rsidR="00F640DA" w:rsidRPr="00804C2D">
        <w:rPr>
          <w:noProof/>
        </w:rPr>
        <w:t xml:space="preserve"> across all </w:t>
      </w:r>
      <w:r w:rsidR="001D2311" w:rsidRPr="00804C2D">
        <w:rPr>
          <w:noProof/>
        </w:rPr>
        <w:t xml:space="preserve">care </w:t>
      </w:r>
      <w:r w:rsidR="00F640DA" w:rsidRPr="00804C2D">
        <w:rPr>
          <w:noProof/>
        </w:rPr>
        <w:t>settings</w:t>
      </w:r>
      <w:r w:rsidR="00D17645" w:rsidRPr="00804C2D">
        <w:rPr>
          <w:noProof/>
        </w:rPr>
        <w:t>.</w:t>
      </w:r>
    </w:p>
    <w:p w14:paraId="04BD7022" w14:textId="77777777" w:rsidR="00D9621D" w:rsidRPr="00804C2D" w:rsidRDefault="00D9621D" w:rsidP="00D9621D">
      <w:pPr>
        <w:rPr>
          <w:b/>
          <w:noProof/>
        </w:rPr>
      </w:pPr>
      <w:r w:rsidRPr="00804C2D">
        <w:rPr>
          <w:b/>
          <w:noProof/>
        </w:rPr>
        <w:t>DEFINITIONS</w:t>
      </w:r>
    </w:p>
    <w:p w14:paraId="72838BB6" w14:textId="2B4137D6" w:rsidR="00D9621D" w:rsidRPr="00804C2D" w:rsidRDefault="00455E94" w:rsidP="00455E94">
      <w:pPr>
        <w:pStyle w:val="ManualNumPar1"/>
        <w:rPr>
          <w:noProof/>
        </w:rPr>
      </w:pPr>
      <w:r w:rsidRPr="00455E94">
        <w:t>3.</w:t>
      </w:r>
      <w:r w:rsidRPr="00455E94">
        <w:tab/>
      </w:r>
      <w:r w:rsidR="00D9621D" w:rsidRPr="00804C2D">
        <w:rPr>
          <w:noProof/>
        </w:rPr>
        <w:t>For the purpose o</w:t>
      </w:r>
      <w:r w:rsidR="00F515D5" w:rsidRPr="00804C2D">
        <w:rPr>
          <w:noProof/>
        </w:rPr>
        <w:t xml:space="preserve">f this Recommendation, </w:t>
      </w:r>
      <w:r w:rsidR="00D9621D" w:rsidRPr="00804C2D">
        <w:rPr>
          <w:noProof/>
        </w:rPr>
        <w:t>the following definitions apply:</w:t>
      </w:r>
    </w:p>
    <w:p w14:paraId="3B93AA45" w14:textId="168945A3" w:rsidR="00D9621D" w:rsidRPr="00804C2D" w:rsidRDefault="00455E94" w:rsidP="00455E94">
      <w:pPr>
        <w:pStyle w:val="Point1"/>
        <w:rPr>
          <w:noProof/>
        </w:rPr>
      </w:pPr>
      <w:r w:rsidRPr="00455E94">
        <w:t>(a)</w:t>
      </w:r>
      <w:r w:rsidRPr="00455E94">
        <w:tab/>
      </w:r>
      <w:r w:rsidR="07A0998D" w:rsidRPr="00804C2D">
        <w:rPr>
          <w:noProof/>
        </w:rPr>
        <w:t xml:space="preserve">‘long-term care’ means </w:t>
      </w:r>
      <w:r w:rsidR="00086050" w:rsidRPr="00086050">
        <w:rPr>
          <w:noProof/>
        </w:rPr>
        <w:t>a range of services and assistance for people who, as a result of mental and/or physical frailty and/or disability over an extended period of time, depend on help with daily living activities and/or are in need of some permanent nursing</w:t>
      </w:r>
      <w:r w:rsidR="00086050">
        <w:rPr>
          <w:noProof/>
        </w:rPr>
        <w:t xml:space="preserve"> </w:t>
      </w:r>
      <w:r w:rsidR="00086050" w:rsidRPr="00086050">
        <w:rPr>
          <w:noProof/>
        </w:rPr>
        <w:t>care. The daily living activities for which help is needed may be the self-care activities that a person must perform every day (Activities of Daily Living, such as bathing, dressing, eating, getting in and out of bed or a chair, moving around, using the</w:t>
      </w:r>
      <w:r w:rsidR="00270B7E">
        <w:rPr>
          <w:noProof/>
        </w:rPr>
        <w:t xml:space="preserve"> </w:t>
      </w:r>
      <w:r w:rsidR="00086050" w:rsidRPr="00086050">
        <w:rPr>
          <w:noProof/>
        </w:rPr>
        <w:t>toilet, and controlling bladder and bowel functions) or may be related to independent living (Instrumental Activities of Daily Living, such as preparing meals, managing money, shopping for groceries or personal items, performing light or heavy housework, and using a telephone)</w:t>
      </w:r>
      <w:r w:rsidR="007E513D">
        <w:rPr>
          <w:noProof/>
        </w:rPr>
        <w:t>;</w:t>
      </w:r>
    </w:p>
    <w:p w14:paraId="2AF7FB4D" w14:textId="61D72A93" w:rsidR="0096562D" w:rsidRPr="00804C2D" w:rsidRDefault="00455E94" w:rsidP="00455E94">
      <w:pPr>
        <w:pStyle w:val="Point1"/>
        <w:rPr>
          <w:noProof/>
        </w:rPr>
      </w:pPr>
      <w:r w:rsidRPr="00455E94">
        <w:t>(b)</w:t>
      </w:r>
      <w:r w:rsidRPr="00455E94">
        <w:tab/>
      </w:r>
      <w:r w:rsidR="0096562D" w:rsidRPr="00804C2D">
        <w:rPr>
          <w:noProof/>
        </w:rPr>
        <w:t>‘formal long-term care’ means</w:t>
      </w:r>
      <w:r w:rsidR="000A7197" w:rsidRPr="00804C2D">
        <w:rPr>
          <w:noProof/>
        </w:rPr>
        <w:t xml:space="preserve"> long-term care provided by professional long-term care workers</w:t>
      </w:r>
      <w:r w:rsidR="004F60DF">
        <w:rPr>
          <w:noProof/>
        </w:rPr>
        <w:t>, which can</w:t>
      </w:r>
      <w:r w:rsidR="00BF0B01" w:rsidRPr="00804C2D">
        <w:rPr>
          <w:noProof/>
        </w:rPr>
        <w:t xml:space="preserve"> </w:t>
      </w:r>
      <w:r w:rsidR="000A76CA" w:rsidRPr="00804C2D">
        <w:rPr>
          <w:noProof/>
        </w:rPr>
        <w:t>take the</w:t>
      </w:r>
      <w:r w:rsidR="00BF0B01" w:rsidRPr="00804C2D">
        <w:rPr>
          <w:noProof/>
        </w:rPr>
        <w:t xml:space="preserve"> form of </w:t>
      </w:r>
      <w:r w:rsidR="00406C66">
        <w:rPr>
          <w:noProof/>
        </w:rPr>
        <w:t>home care</w:t>
      </w:r>
      <w:r w:rsidR="00BF0B01" w:rsidRPr="00804C2D">
        <w:rPr>
          <w:noProof/>
        </w:rPr>
        <w:t>, community-based or residential care</w:t>
      </w:r>
      <w:r w:rsidR="007E513D">
        <w:rPr>
          <w:noProof/>
        </w:rPr>
        <w:t>;</w:t>
      </w:r>
    </w:p>
    <w:p w14:paraId="06707179" w14:textId="559C2228" w:rsidR="00E125FC" w:rsidRPr="00804C2D" w:rsidRDefault="00455E94" w:rsidP="00455E94">
      <w:pPr>
        <w:pStyle w:val="Point1"/>
        <w:rPr>
          <w:noProof/>
        </w:rPr>
      </w:pPr>
      <w:r w:rsidRPr="00455E94">
        <w:t>(c)</w:t>
      </w:r>
      <w:r w:rsidRPr="00455E94">
        <w:tab/>
      </w:r>
      <w:r w:rsidR="00E125FC" w:rsidRPr="00804C2D">
        <w:rPr>
          <w:noProof/>
        </w:rPr>
        <w:t>‘</w:t>
      </w:r>
      <w:r w:rsidR="00406C66">
        <w:rPr>
          <w:noProof/>
        </w:rPr>
        <w:t>home care</w:t>
      </w:r>
      <w:r w:rsidR="00E125FC" w:rsidRPr="00804C2D">
        <w:rPr>
          <w:noProof/>
        </w:rPr>
        <w:t xml:space="preserve">’ means </w:t>
      </w:r>
      <w:r w:rsidR="00227106" w:rsidRPr="00804C2D">
        <w:rPr>
          <w:noProof/>
        </w:rPr>
        <w:t xml:space="preserve">formal </w:t>
      </w:r>
      <w:r w:rsidR="00E125FC" w:rsidRPr="00804C2D">
        <w:rPr>
          <w:noProof/>
        </w:rPr>
        <w:t xml:space="preserve">long-term care provided in </w:t>
      </w:r>
      <w:r w:rsidR="00C92990" w:rsidRPr="00804C2D">
        <w:rPr>
          <w:noProof/>
        </w:rPr>
        <w:t>the</w:t>
      </w:r>
      <w:r w:rsidR="00E125FC" w:rsidRPr="00804C2D">
        <w:rPr>
          <w:noProof/>
        </w:rPr>
        <w:t xml:space="preserve"> recipient’s </w:t>
      </w:r>
      <w:r w:rsidR="00C92990" w:rsidRPr="00804C2D">
        <w:rPr>
          <w:noProof/>
        </w:rPr>
        <w:t xml:space="preserve">private </w:t>
      </w:r>
      <w:r w:rsidR="00E125FC" w:rsidRPr="00804C2D">
        <w:rPr>
          <w:noProof/>
        </w:rPr>
        <w:t xml:space="preserve">home, by </w:t>
      </w:r>
      <w:r w:rsidR="004F60DF">
        <w:rPr>
          <w:noProof/>
        </w:rPr>
        <w:t xml:space="preserve">one or more </w:t>
      </w:r>
      <w:r w:rsidR="00E125FC" w:rsidRPr="00804C2D">
        <w:rPr>
          <w:noProof/>
        </w:rPr>
        <w:t>professional long-term care worker</w:t>
      </w:r>
      <w:r w:rsidR="004F60DF">
        <w:rPr>
          <w:noProof/>
        </w:rPr>
        <w:t xml:space="preserve"> or workers</w:t>
      </w:r>
      <w:r w:rsidR="007E513D">
        <w:rPr>
          <w:noProof/>
        </w:rPr>
        <w:t>;</w:t>
      </w:r>
    </w:p>
    <w:p w14:paraId="22BDE0C9" w14:textId="3E90D730" w:rsidR="00E125FC" w:rsidRPr="00804C2D" w:rsidRDefault="00455E94" w:rsidP="00455E94">
      <w:pPr>
        <w:pStyle w:val="Point1"/>
        <w:rPr>
          <w:noProof/>
        </w:rPr>
      </w:pPr>
      <w:r w:rsidRPr="00455E94">
        <w:t>(d)</w:t>
      </w:r>
      <w:r w:rsidRPr="00455E94">
        <w:tab/>
      </w:r>
      <w:r w:rsidR="00E125FC" w:rsidRPr="00804C2D">
        <w:rPr>
          <w:noProof/>
        </w:rPr>
        <w:t xml:space="preserve">‘community-based care’ means </w:t>
      </w:r>
      <w:r w:rsidR="00227106" w:rsidRPr="00804C2D">
        <w:rPr>
          <w:noProof/>
        </w:rPr>
        <w:t xml:space="preserve">formal </w:t>
      </w:r>
      <w:r w:rsidR="00E125FC" w:rsidRPr="00804C2D">
        <w:rPr>
          <w:noProof/>
        </w:rPr>
        <w:t>long-term care provided and organised at community level, for example, in the form of adult day services or respite care</w:t>
      </w:r>
      <w:r w:rsidR="007E513D">
        <w:rPr>
          <w:noProof/>
        </w:rPr>
        <w:t>;</w:t>
      </w:r>
    </w:p>
    <w:p w14:paraId="696550D7" w14:textId="60191D95" w:rsidR="00E125FC" w:rsidRPr="00804C2D" w:rsidRDefault="00455E94" w:rsidP="00455E94">
      <w:pPr>
        <w:pStyle w:val="Point1"/>
        <w:rPr>
          <w:noProof/>
        </w:rPr>
      </w:pPr>
      <w:r w:rsidRPr="00455E94">
        <w:t>(e)</w:t>
      </w:r>
      <w:r w:rsidRPr="00455E94">
        <w:tab/>
      </w:r>
      <w:r w:rsidR="00E125FC" w:rsidRPr="00804C2D">
        <w:rPr>
          <w:noProof/>
        </w:rPr>
        <w:t xml:space="preserve">‘residential care’ means </w:t>
      </w:r>
      <w:r w:rsidR="00227106" w:rsidRPr="00804C2D">
        <w:rPr>
          <w:noProof/>
        </w:rPr>
        <w:t xml:space="preserve">formal </w:t>
      </w:r>
      <w:r w:rsidR="00E125FC" w:rsidRPr="00804C2D">
        <w:rPr>
          <w:noProof/>
        </w:rPr>
        <w:t xml:space="preserve">long-term care provided to </w:t>
      </w:r>
      <w:r w:rsidR="00D53158">
        <w:rPr>
          <w:noProof/>
        </w:rPr>
        <w:t>people</w:t>
      </w:r>
      <w:r w:rsidR="00D53158" w:rsidRPr="00804C2D">
        <w:rPr>
          <w:noProof/>
        </w:rPr>
        <w:t xml:space="preserve"> </w:t>
      </w:r>
      <w:r w:rsidR="00E125FC" w:rsidRPr="00804C2D">
        <w:rPr>
          <w:noProof/>
        </w:rPr>
        <w:t>staying in a residential long-term care setting</w:t>
      </w:r>
      <w:r w:rsidR="007E513D">
        <w:rPr>
          <w:noProof/>
        </w:rPr>
        <w:t>;</w:t>
      </w:r>
    </w:p>
    <w:p w14:paraId="6EDB2F6E" w14:textId="588421FF" w:rsidR="00BF0B01" w:rsidRPr="00804C2D" w:rsidRDefault="00455E94" w:rsidP="00455E94">
      <w:pPr>
        <w:pStyle w:val="Point1"/>
        <w:rPr>
          <w:noProof/>
        </w:rPr>
      </w:pPr>
      <w:r w:rsidRPr="00455E94">
        <w:t>(f)</w:t>
      </w:r>
      <w:r w:rsidRPr="00455E94">
        <w:tab/>
      </w:r>
      <w:r w:rsidR="00BF0B01" w:rsidRPr="00804C2D">
        <w:rPr>
          <w:noProof/>
        </w:rPr>
        <w:t>‘informal care’ means long-term care provided by someone in the social environment of the person in need of care</w:t>
      </w:r>
      <w:r w:rsidR="007E513D">
        <w:rPr>
          <w:noProof/>
        </w:rPr>
        <w:t xml:space="preserve">, including </w:t>
      </w:r>
      <w:r w:rsidR="00BF0B01" w:rsidRPr="00804C2D">
        <w:rPr>
          <w:noProof/>
        </w:rPr>
        <w:t>a partner, child, parent or other relative</w:t>
      </w:r>
      <w:r w:rsidR="007E513D">
        <w:rPr>
          <w:noProof/>
        </w:rPr>
        <w:t xml:space="preserve">, </w:t>
      </w:r>
      <w:r w:rsidR="00BF0B01" w:rsidRPr="00804C2D">
        <w:rPr>
          <w:noProof/>
        </w:rPr>
        <w:t>who is not hired as a long-term care professional</w:t>
      </w:r>
      <w:r w:rsidR="007E513D">
        <w:rPr>
          <w:noProof/>
        </w:rPr>
        <w:t>;</w:t>
      </w:r>
    </w:p>
    <w:p w14:paraId="69B77B4E" w14:textId="30AF84BD" w:rsidR="00E125FC" w:rsidRPr="00804C2D" w:rsidRDefault="00455E94" w:rsidP="00455E94">
      <w:pPr>
        <w:pStyle w:val="Point1"/>
        <w:rPr>
          <w:noProof/>
        </w:rPr>
      </w:pPr>
      <w:r w:rsidRPr="00455E94">
        <w:t>(g)</w:t>
      </w:r>
      <w:r w:rsidRPr="00455E94">
        <w:tab/>
      </w:r>
      <w:r w:rsidR="00E125FC" w:rsidRPr="00804C2D">
        <w:rPr>
          <w:noProof/>
        </w:rPr>
        <w:t xml:space="preserve">‘independent living’ </w:t>
      </w:r>
      <w:r w:rsidR="009B3017" w:rsidRPr="00804C2D">
        <w:rPr>
          <w:noProof/>
        </w:rPr>
        <w:t xml:space="preserve">means </w:t>
      </w:r>
      <w:r w:rsidR="006A085E">
        <w:rPr>
          <w:noProof/>
        </w:rPr>
        <w:t>that</w:t>
      </w:r>
      <w:r w:rsidR="009B3017" w:rsidRPr="00804C2D">
        <w:rPr>
          <w:noProof/>
        </w:rPr>
        <w:t xml:space="preserve"> all </w:t>
      </w:r>
      <w:r w:rsidR="00D53158">
        <w:rPr>
          <w:noProof/>
        </w:rPr>
        <w:t>people</w:t>
      </w:r>
      <w:r w:rsidR="00D53158" w:rsidRPr="00804C2D">
        <w:rPr>
          <w:noProof/>
        </w:rPr>
        <w:t xml:space="preserve"> </w:t>
      </w:r>
      <w:r w:rsidR="00BF0B01" w:rsidRPr="00804C2D">
        <w:rPr>
          <w:noProof/>
        </w:rPr>
        <w:t>in need of long-term care</w:t>
      </w:r>
      <w:r w:rsidR="009B3017" w:rsidRPr="00804C2D">
        <w:rPr>
          <w:noProof/>
        </w:rPr>
        <w:t xml:space="preserve"> </w:t>
      </w:r>
      <w:r w:rsidR="006A085E">
        <w:rPr>
          <w:noProof/>
        </w:rPr>
        <w:t>can</w:t>
      </w:r>
      <w:r w:rsidR="006A085E" w:rsidRPr="00804C2D">
        <w:rPr>
          <w:noProof/>
        </w:rPr>
        <w:t xml:space="preserve"> </w:t>
      </w:r>
      <w:r w:rsidR="009B3017" w:rsidRPr="00804C2D">
        <w:rPr>
          <w:noProof/>
        </w:rPr>
        <w:t>live in the community with choices equal to others</w:t>
      </w:r>
      <w:r w:rsidR="00BF0B01" w:rsidRPr="00804C2D">
        <w:rPr>
          <w:noProof/>
        </w:rPr>
        <w:t>,</w:t>
      </w:r>
      <w:r w:rsidR="009B3017" w:rsidRPr="00804C2D">
        <w:rPr>
          <w:noProof/>
        </w:rPr>
        <w:t xml:space="preserve"> have the opportunity to choose their place of residence and where and with whom they live on an equal basis with others</w:t>
      </w:r>
      <w:r w:rsidR="00F34016">
        <w:rPr>
          <w:noProof/>
        </w:rPr>
        <w:t>,</w:t>
      </w:r>
      <w:r w:rsidR="009B3017" w:rsidRPr="00804C2D">
        <w:rPr>
          <w:noProof/>
        </w:rPr>
        <w:t xml:space="preserve"> and </w:t>
      </w:r>
      <w:r w:rsidR="006A085E">
        <w:rPr>
          <w:noProof/>
        </w:rPr>
        <w:t xml:space="preserve">are </w:t>
      </w:r>
      <w:r w:rsidR="009B3017" w:rsidRPr="00804C2D">
        <w:rPr>
          <w:noProof/>
        </w:rPr>
        <w:t>not obliged to live in a particular living arrangement</w:t>
      </w:r>
      <w:r w:rsidR="007E513D">
        <w:rPr>
          <w:noProof/>
        </w:rPr>
        <w:t>;</w:t>
      </w:r>
    </w:p>
    <w:p w14:paraId="3F02525A" w14:textId="7D54939A" w:rsidR="00C92990" w:rsidRPr="00804C2D" w:rsidRDefault="00455E94" w:rsidP="00455E94">
      <w:pPr>
        <w:pStyle w:val="Point1"/>
        <w:rPr>
          <w:noProof/>
        </w:rPr>
      </w:pPr>
      <w:r w:rsidRPr="00455E94">
        <w:t>(h)</w:t>
      </w:r>
      <w:r w:rsidRPr="00455E94">
        <w:tab/>
      </w:r>
      <w:r w:rsidR="00C92990" w:rsidRPr="00804C2D">
        <w:rPr>
          <w:noProof/>
        </w:rPr>
        <w:t xml:space="preserve">‘domestic </w:t>
      </w:r>
      <w:r w:rsidR="00E220E4" w:rsidRPr="00804C2D">
        <w:rPr>
          <w:noProof/>
        </w:rPr>
        <w:t xml:space="preserve">long-term care </w:t>
      </w:r>
      <w:r w:rsidR="00C92990" w:rsidRPr="00804C2D">
        <w:rPr>
          <w:noProof/>
        </w:rPr>
        <w:t xml:space="preserve">worker’ means any person engaged in domestic work </w:t>
      </w:r>
      <w:r w:rsidR="006E26E5" w:rsidRPr="00804C2D">
        <w:rPr>
          <w:noProof/>
        </w:rPr>
        <w:t>who</w:t>
      </w:r>
      <w:r w:rsidR="00A7486B" w:rsidRPr="00804C2D">
        <w:rPr>
          <w:noProof/>
        </w:rPr>
        <w:t xml:space="preserve"> provides long-term care </w:t>
      </w:r>
      <w:r w:rsidR="00C92990" w:rsidRPr="00804C2D">
        <w:rPr>
          <w:noProof/>
        </w:rPr>
        <w:t>within an employment relationship</w:t>
      </w:r>
      <w:r w:rsidR="007E513D">
        <w:rPr>
          <w:noProof/>
        </w:rPr>
        <w:t>;</w:t>
      </w:r>
    </w:p>
    <w:p w14:paraId="571E1991" w14:textId="591B09D2" w:rsidR="00C92990" w:rsidRPr="00804C2D" w:rsidRDefault="00455E94" w:rsidP="00455E94">
      <w:pPr>
        <w:pStyle w:val="Point1"/>
        <w:rPr>
          <w:noProof/>
        </w:rPr>
      </w:pPr>
      <w:r w:rsidRPr="00455E94">
        <w:t>(i)</w:t>
      </w:r>
      <w:r w:rsidRPr="00455E94">
        <w:tab/>
      </w:r>
      <w:r w:rsidR="00C92990" w:rsidRPr="00804C2D">
        <w:rPr>
          <w:noProof/>
        </w:rPr>
        <w:t>‘live-in carer’ means a</w:t>
      </w:r>
      <w:r w:rsidR="00BC5378" w:rsidRPr="00804C2D">
        <w:rPr>
          <w:noProof/>
        </w:rPr>
        <w:t xml:space="preserve"> domestic</w:t>
      </w:r>
      <w:r w:rsidR="00C92990" w:rsidRPr="00804C2D">
        <w:rPr>
          <w:noProof/>
        </w:rPr>
        <w:t xml:space="preserve"> long-term care worker who lives in the care recipient’s household and provides long-term care</w:t>
      </w:r>
      <w:r w:rsidR="000041AB" w:rsidRPr="00804C2D">
        <w:rPr>
          <w:noProof/>
        </w:rPr>
        <w:t>.</w:t>
      </w:r>
    </w:p>
    <w:p w14:paraId="38C7A578" w14:textId="77777777" w:rsidR="006F0FBA" w:rsidRPr="00804C2D" w:rsidRDefault="00396EDE" w:rsidP="009A0A0A">
      <w:pPr>
        <w:rPr>
          <w:b/>
          <w:noProof/>
        </w:rPr>
      </w:pPr>
      <w:r w:rsidRPr="00804C2D">
        <w:rPr>
          <w:b/>
          <w:noProof/>
        </w:rPr>
        <w:t xml:space="preserve">ADEQUACY, </w:t>
      </w:r>
      <w:r w:rsidR="00344CF0" w:rsidRPr="00804C2D">
        <w:rPr>
          <w:b/>
          <w:noProof/>
        </w:rPr>
        <w:t xml:space="preserve">AVAILABILITY </w:t>
      </w:r>
      <w:r w:rsidRPr="00804C2D">
        <w:rPr>
          <w:b/>
          <w:noProof/>
        </w:rPr>
        <w:t>AND QUALITY</w:t>
      </w:r>
    </w:p>
    <w:p w14:paraId="5E23C59B" w14:textId="33C2F418" w:rsidR="000C47E3" w:rsidRPr="00804C2D" w:rsidRDefault="00455E94" w:rsidP="00455E94">
      <w:pPr>
        <w:pStyle w:val="ManualNumPar1"/>
        <w:rPr>
          <w:noProof/>
        </w:rPr>
      </w:pPr>
      <w:r w:rsidRPr="00455E94">
        <w:t>4.</w:t>
      </w:r>
      <w:r w:rsidRPr="00455E94">
        <w:tab/>
      </w:r>
      <w:r w:rsidR="00F16AAC" w:rsidRPr="00804C2D">
        <w:rPr>
          <w:noProof/>
        </w:rPr>
        <w:t xml:space="preserve">Member States </w:t>
      </w:r>
      <w:r w:rsidR="00C140A8" w:rsidRPr="00804C2D">
        <w:rPr>
          <w:noProof/>
        </w:rPr>
        <w:t>should</w:t>
      </w:r>
      <w:r w:rsidR="00F16AAC" w:rsidRPr="00804C2D">
        <w:rPr>
          <w:noProof/>
        </w:rPr>
        <w:t xml:space="preserve"> </w:t>
      </w:r>
      <w:r w:rsidR="000C47E3" w:rsidRPr="00804C2D">
        <w:rPr>
          <w:noProof/>
        </w:rPr>
        <w:t xml:space="preserve">improve the </w:t>
      </w:r>
      <w:r w:rsidR="002925A8" w:rsidRPr="00804C2D">
        <w:rPr>
          <w:noProof/>
        </w:rPr>
        <w:t xml:space="preserve">adequacy of </w:t>
      </w:r>
      <w:r w:rsidR="004967EB" w:rsidRPr="00804C2D">
        <w:rPr>
          <w:noProof/>
        </w:rPr>
        <w:t xml:space="preserve">social protection </w:t>
      </w:r>
      <w:r w:rsidR="008C2986">
        <w:rPr>
          <w:noProof/>
        </w:rPr>
        <w:t>for long-term care</w:t>
      </w:r>
      <w:r w:rsidR="004F339D" w:rsidRPr="00804C2D">
        <w:rPr>
          <w:noProof/>
        </w:rPr>
        <w:t xml:space="preserve">, in particular </w:t>
      </w:r>
      <w:r w:rsidR="004967EB" w:rsidRPr="00804C2D">
        <w:rPr>
          <w:noProof/>
        </w:rPr>
        <w:t>by</w:t>
      </w:r>
      <w:r w:rsidR="0030743A" w:rsidRPr="00804C2D">
        <w:rPr>
          <w:noProof/>
        </w:rPr>
        <w:t xml:space="preserve"> </w:t>
      </w:r>
      <w:r w:rsidR="00DE2504" w:rsidRPr="00804C2D">
        <w:rPr>
          <w:noProof/>
        </w:rPr>
        <w:t>e</w:t>
      </w:r>
      <w:r w:rsidR="009200D8" w:rsidRPr="00804C2D">
        <w:rPr>
          <w:noProof/>
        </w:rPr>
        <w:t>nsuring</w:t>
      </w:r>
      <w:r w:rsidR="00DE2504" w:rsidRPr="00804C2D">
        <w:rPr>
          <w:noProof/>
        </w:rPr>
        <w:t xml:space="preserve"> that</w:t>
      </w:r>
      <w:r w:rsidR="007E513D">
        <w:rPr>
          <w:noProof/>
        </w:rPr>
        <w:t xml:space="preserve"> long-term care</w:t>
      </w:r>
      <w:r w:rsidR="00E76599">
        <w:rPr>
          <w:noProof/>
        </w:rPr>
        <w:t xml:space="preserve"> </w:t>
      </w:r>
      <w:r w:rsidR="007E513D">
        <w:rPr>
          <w:noProof/>
        </w:rPr>
        <w:t>is</w:t>
      </w:r>
      <w:r w:rsidR="004F339D" w:rsidRPr="00804C2D">
        <w:rPr>
          <w:noProof/>
        </w:rPr>
        <w:t>:</w:t>
      </w:r>
    </w:p>
    <w:p w14:paraId="1D60C36C" w14:textId="7CE9E353" w:rsidR="00FA350B" w:rsidRPr="00804C2D" w:rsidRDefault="00455E94" w:rsidP="00455E94">
      <w:pPr>
        <w:pStyle w:val="Point1"/>
        <w:rPr>
          <w:noProof/>
        </w:rPr>
      </w:pPr>
      <w:r w:rsidRPr="00455E94">
        <w:t>(a)</w:t>
      </w:r>
      <w:r w:rsidRPr="00455E94">
        <w:tab/>
      </w:r>
      <w:r w:rsidR="004B19DD" w:rsidRPr="00804C2D">
        <w:rPr>
          <w:noProof/>
        </w:rPr>
        <w:t>timely</w:t>
      </w:r>
      <w:r w:rsidR="00CE3173" w:rsidRPr="00804C2D">
        <w:rPr>
          <w:noProof/>
        </w:rPr>
        <w:t xml:space="preserve">, </w:t>
      </w:r>
      <w:r w:rsidR="00D36B52" w:rsidRPr="00804C2D">
        <w:rPr>
          <w:noProof/>
        </w:rPr>
        <w:t>allowing</w:t>
      </w:r>
      <w:r w:rsidR="004B19DD" w:rsidRPr="00804C2D">
        <w:rPr>
          <w:noProof/>
        </w:rPr>
        <w:t xml:space="preserve"> </w:t>
      </w:r>
      <w:r w:rsidR="00D53158">
        <w:rPr>
          <w:noProof/>
        </w:rPr>
        <w:t>people</w:t>
      </w:r>
      <w:r w:rsidR="00D53158" w:rsidRPr="00804C2D">
        <w:rPr>
          <w:noProof/>
        </w:rPr>
        <w:t xml:space="preserve"> </w:t>
      </w:r>
      <w:r w:rsidR="00DF262B" w:rsidRPr="00804C2D">
        <w:rPr>
          <w:noProof/>
        </w:rPr>
        <w:t xml:space="preserve">in need of long-term care to </w:t>
      </w:r>
      <w:r w:rsidR="002925A8" w:rsidRPr="00804C2D">
        <w:rPr>
          <w:noProof/>
        </w:rPr>
        <w:t>r</w:t>
      </w:r>
      <w:r w:rsidR="00887A29" w:rsidRPr="00804C2D">
        <w:rPr>
          <w:noProof/>
        </w:rPr>
        <w:t>ecei</w:t>
      </w:r>
      <w:r w:rsidR="002925A8" w:rsidRPr="00804C2D">
        <w:rPr>
          <w:noProof/>
        </w:rPr>
        <w:t xml:space="preserve">ve the necessary </w:t>
      </w:r>
      <w:r w:rsidR="00887A29" w:rsidRPr="00804C2D">
        <w:rPr>
          <w:noProof/>
        </w:rPr>
        <w:t>care</w:t>
      </w:r>
      <w:r w:rsidR="002925A8" w:rsidRPr="00804C2D">
        <w:rPr>
          <w:noProof/>
        </w:rPr>
        <w:t xml:space="preserve"> as soon as</w:t>
      </w:r>
      <w:r w:rsidR="002011C4">
        <w:rPr>
          <w:noProof/>
        </w:rPr>
        <w:t>,</w:t>
      </w:r>
      <w:r w:rsidR="002925A8" w:rsidRPr="00804C2D">
        <w:rPr>
          <w:noProof/>
        </w:rPr>
        <w:t xml:space="preserve"> and </w:t>
      </w:r>
      <w:r w:rsidR="00FB419F">
        <w:rPr>
          <w:noProof/>
        </w:rPr>
        <w:t xml:space="preserve">for </w:t>
      </w:r>
      <w:r w:rsidR="002925A8" w:rsidRPr="00804C2D">
        <w:rPr>
          <w:noProof/>
        </w:rPr>
        <w:t>as long as</w:t>
      </w:r>
      <w:r w:rsidR="002011C4">
        <w:rPr>
          <w:noProof/>
        </w:rPr>
        <w:t>,</w:t>
      </w:r>
      <w:r w:rsidR="002925A8" w:rsidRPr="00804C2D">
        <w:rPr>
          <w:noProof/>
        </w:rPr>
        <w:t xml:space="preserve"> needed</w:t>
      </w:r>
      <w:r w:rsidR="007E513D">
        <w:rPr>
          <w:noProof/>
        </w:rPr>
        <w:t>;</w:t>
      </w:r>
    </w:p>
    <w:p w14:paraId="2435C03B" w14:textId="2A4D9214" w:rsidR="00385F0C" w:rsidRPr="00804C2D" w:rsidRDefault="00455E94" w:rsidP="00455E94">
      <w:pPr>
        <w:pStyle w:val="Point1"/>
        <w:rPr>
          <w:noProof/>
        </w:rPr>
      </w:pPr>
      <w:r w:rsidRPr="00455E94">
        <w:t>(b)</w:t>
      </w:r>
      <w:r w:rsidRPr="00455E94">
        <w:tab/>
      </w:r>
      <w:r w:rsidR="00887A29" w:rsidRPr="00804C2D">
        <w:rPr>
          <w:noProof/>
        </w:rPr>
        <w:t xml:space="preserve">comprehensive, covering </w:t>
      </w:r>
      <w:r w:rsidR="002925A8" w:rsidRPr="00804C2D">
        <w:rPr>
          <w:noProof/>
        </w:rPr>
        <w:t>all long-term care needs, arising from mental and/or physical decline in functional ability, assessed on the basis of clear and objective eligibility criteria</w:t>
      </w:r>
      <w:r w:rsidR="007E513D">
        <w:rPr>
          <w:noProof/>
        </w:rPr>
        <w:t>;</w:t>
      </w:r>
    </w:p>
    <w:p w14:paraId="3D1C618A" w14:textId="0EF363EF" w:rsidR="002925A8" w:rsidRPr="00804C2D" w:rsidRDefault="00455E94" w:rsidP="00455E94">
      <w:pPr>
        <w:pStyle w:val="Point1"/>
        <w:rPr>
          <w:noProof/>
        </w:rPr>
      </w:pPr>
      <w:r w:rsidRPr="00455E94">
        <w:t>(c)</w:t>
      </w:r>
      <w:r w:rsidRPr="00455E94">
        <w:tab/>
      </w:r>
      <w:r w:rsidR="00250D57" w:rsidRPr="00804C2D">
        <w:rPr>
          <w:noProof/>
        </w:rPr>
        <w:t xml:space="preserve">affordable, enabling </w:t>
      </w:r>
      <w:r w:rsidR="00D53158">
        <w:rPr>
          <w:noProof/>
        </w:rPr>
        <w:t>people</w:t>
      </w:r>
      <w:r w:rsidR="00D53158" w:rsidRPr="00804C2D">
        <w:rPr>
          <w:noProof/>
        </w:rPr>
        <w:t xml:space="preserve"> </w:t>
      </w:r>
      <w:r w:rsidR="00385F0C" w:rsidRPr="00804C2D">
        <w:rPr>
          <w:noProof/>
        </w:rPr>
        <w:t>in need of long-term care</w:t>
      </w:r>
      <w:r w:rsidR="00C464BC" w:rsidRPr="00804C2D">
        <w:rPr>
          <w:noProof/>
        </w:rPr>
        <w:t xml:space="preserve"> to</w:t>
      </w:r>
      <w:r w:rsidR="00385F0C" w:rsidRPr="00804C2D">
        <w:rPr>
          <w:noProof/>
        </w:rPr>
        <w:t xml:space="preserve"> maintain a decent standard of living and </w:t>
      </w:r>
      <w:r w:rsidR="002011C4">
        <w:rPr>
          <w:noProof/>
        </w:rPr>
        <w:t>protecting</w:t>
      </w:r>
      <w:r w:rsidR="002011C4" w:rsidRPr="00804C2D">
        <w:rPr>
          <w:noProof/>
        </w:rPr>
        <w:t xml:space="preserve"> </w:t>
      </w:r>
      <w:r w:rsidR="00385F0C" w:rsidRPr="00804C2D">
        <w:rPr>
          <w:noProof/>
        </w:rPr>
        <w:t>them from poverty</w:t>
      </w:r>
      <w:r w:rsidR="00040FDB">
        <w:rPr>
          <w:noProof/>
        </w:rPr>
        <w:t xml:space="preserve"> </w:t>
      </w:r>
      <w:r w:rsidR="00040FDB" w:rsidRPr="00040FDB">
        <w:rPr>
          <w:noProof/>
        </w:rPr>
        <w:t>du</w:t>
      </w:r>
      <w:r w:rsidR="00040FDB">
        <w:rPr>
          <w:noProof/>
        </w:rPr>
        <w:t>e to their long-term care needs</w:t>
      </w:r>
      <w:r w:rsidR="00385F0C" w:rsidRPr="00804C2D">
        <w:rPr>
          <w:noProof/>
        </w:rPr>
        <w:t>.</w:t>
      </w:r>
    </w:p>
    <w:p w14:paraId="04D6B744" w14:textId="7EB8B48C" w:rsidR="00D77324" w:rsidRPr="00804C2D" w:rsidRDefault="00455E94" w:rsidP="00455E94">
      <w:pPr>
        <w:pStyle w:val="ManualNumPar1"/>
        <w:rPr>
          <w:noProof/>
        </w:rPr>
      </w:pPr>
      <w:r w:rsidRPr="00455E94">
        <w:t>5.</w:t>
      </w:r>
      <w:r w:rsidRPr="00455E94">
        <w:tab/>
      </w:r>
      <w:r w:rsidR="00D77324" w:rsidRPr="00804C2D">
        <w:rPr>
          <w:noProof/>
        </w:rPr>
        <w:t xml:space="preserve">Member States </w:t>
      </w:r>
      <w:r w:rsidR="000B15AC" w:rsidRPr="00804C2D">
        <w:rPr>
          <w:noProof/>
        </w:rPr>
        <w:t>should</w:t>
      </w:r>
      <w:r w:rsidR="00D77324" w:rsidRPr="00804C2D">
        <w:rPr>
          <w:noProof/>
        </w:rPr>
        <w:t xml:space="preserve"> </w:t>
      </w:r>
      <w:r w:rsidR="0074599F">
        <w:rPr>
          <w:noProof/>
        </w:rPr>
        <w:t>increase the offer of</w:t>
      </w:r>
      <w:r w:rsidR="00735AEC" w:rsidRPr="00804C2D">
        <w:rPr>
          <w:noProof/>
        </w:rPr>
        <w:t xml:space="preserve"> long-term care services, while providing </w:t>
      </w:r>
      <w:r w:rsidR="00454C99" w:rsidRPr="00804C2D">
        <w:rPr>
          <w:noProof/>
        </w:rPr>
        <w:t xml:space="preserve">a balanced mix </w:t>
      </w:r>
      <w:r w:rsidR="008547A0">
        <w:rPr>
          <w:noProof/>
        </w:rPr>
        <w:t>of long-term care options</w:t>
      </w:r>
      <w:r w:rsidR="00C339C8">
        <w:rPr>
          <w:noProof/>
        </w:rPr>
        <w:t xml:space="preserve"> and</w:t>
      </w:r>
      <w:r w:rsidR="006A085E">
        <w:rPr>
          <w:noProof/>
        </w:rPr>
        <w:t xml:space="preserve"> in all care settings</w:t>
      </w:r>
      <w:r w:rsidR="008547A0">
        <w:rPr>
          <w:noProof/>
        </w:rPr>
        <w:t xml:space="preserve"> </w:t>
      </w:r>
      <w:r w:rsidR="00CF603D" w:rsidRPr="00804C2D">
        <w:rPr>
          <w:noProof/>
        </w:rPr>
        <w:t>to cater for different long-term care needs and support</w:t>
      </w:r>
      <w:r w:rsidR="00E415CF">
        <w:rPr>
          <w:noProof/>
        </w:rPr>
        <w:t>ing</w:t>
      </w:r>
      <w:r w:rsidR="00CF603D" w:rsidRPr="00804C2D">
        <w:rPr>
          <w:noProof/>
        </w:rPr>
        <w:t xml:space="preserve"> the freedom of choice of </w:t>
      </w:r>
      <w:r w:rsidR="00D53158">
        <w:rPr>
          <w:noProof/>
        </w:rPr>
        <w:t>people</w:t>
      </w:r>
      <w:r w:rsidR="00D53158" w:rsidRPr="00804C2D">
        <w:rPr>
          <w:noProof/>
        </w:rPr>
        <w:t xml:space="preserve"> </w:t>
      </w:r>
      <w:r w:rsidR="00CF603D" w:rsidRPr="00804C2D">
        <w:rPr>
          <w:noProof/>
        </w:rPr>
        <w:t>in need of care,</w:t>
      </w:r>
      <w:r w:rsidR="00454C99" w:rsidRPr="00804C2D">
        <w:rPr>
          <w:noProof/>
        </w:rPr>
        <w:t xml:space="preserve"> </w:t>
      </w:r>
      <w:r w:rsidR="00AD04DD">
        <w:rPr>
          <w:noProof/>
        </w:rPr>
        <w:t>including</w:t>
      </w:r>
      <w:r w:rsidR="00CF603D" w:rsidRPr="00804C2D">
        <w:rPr>
          <w:noProof/>
        </w:rPr>
        <w:t xml:space="preserve"> by</w:t>
      </w:r>
      <w:r w:rsidR="00D77324" w:rsidRPr="00804C2D">
        <w:rPr>
          <w:noProof/>
        </w:rPr>
        <w:t>:</w:t>
      </w:r>
    </w:p>
    <w:p w14:paraId="3C414DCC" w14:textId="61BF309C" w:rsidR="0042450F" w:rsidRPr="00804C2D" w:rsidRDefault="00455E94" w:rsidP="00455E94">
      <w:pPr>
        <w:pStyle w:val="Point1"/>
        <w:rPr>
          <w:noProof/>
        </w:rPr>
      </w:pPr>
      <w:r w:rsidRPr="00455E94">
        <w:t>(a)</w:t>
      </w:r>
      <w:r w:rsidRPr="00455E94">
        <w:tab/>
      </w:r>
      <w:r w:rsidR="00CF603D" w:rsidRPr="00804C2D">
        <w:rPr>
          <w:noProof/>
        </w:rPr>
        <w:t xml:space="preserve">developing and/or </w:t>
      </w:r>
      <w:r w:rsidR="00CE2C7B">
        <w:rPr>
          <w:noProof/>
        </w:rPr>
        <w:t>improving</w:t>
      </w:r>
      <w:r w:rsidR="00CE2C7B" w:rsidRPr="00804C2D">
        <w:rPr>
          <w:noProof/>
        </w:rPr>
        <w:t xml:space="preserve"> </w:t>
      </w:r>
      <w:r w:rsidR="00406C66">
        <w:rPr>
          <w:noProof/>
        </w:rPr>
        <w:t>home care</w:t>
      </w:r>
      <w:r w:rsidR="00CF603D" w:rsidRPr="00804C2D">
        <w:rPr>
          <w:noProof/>
        </w:rPr>
        <w:t xml:space="preserve"> and community-based care</w:t>
      </w:r>
      <w:r w:rsidR="007E513D">
        <w:rPr>
          <w:noProof/>
        </w:rPr>
        <w:t>;</w:t>
      </w:r>
    </w:p>
    <w:p w14:paraId="30525763" w14:textId="7D5FDD71" w:rsidR="00417AB5" w:rsidRPr="00804C2D" w:rsidRDefault="00455E94" w:rsidP="00455E94">
      <w:pPr>
        <w:pStyle w:val="Point1"/>
        <w:rPr>
          <w:noProof/>
        </w:rPr>
      </w:pPr>
      <w:r w:rsidRPr="00455E94">
        <w:t>(b)</w:t>
      </w:r>
      <w:r w:rsidRPr="00455E94">
        <w:tab/>
      </w:r>
      <w:r w:rsidR="000B15AC" w:rsidRPr="00804C2D">
        <w:rPr>
          <w:noProof/>
        </w:rPr>
        <w:t xml:space="preserve">closing </w:t>
      </w:r>
      <w:r w:rsidR="000963F4" w:rsidRPr="00804C2D">
        <w:rPr>
          <w:noProof/>
        </w:rPr>
        <w:t xml:space="preserve">territorial gaps in </w:t>
      </w:r>
      <w:r w:rsidR="008547A0">
        <w:rPr>
          <w:noProof/>
        </w:rPr>
        <w:t xml:space="preserve">availability of and </w:t>
      </w:r>
      <w:r w:rsidR="000963F4" w:rsidRPr="00804C2D">
        <w:rPr>
          <w:noProof/>
        </w:rPr>
        <w:t>access to long-term care, in particular in rural and depopulating areas</w:t>
      </w:r>
      <w:r w:rsidR="007E513D">
        <w:rPr>
          <w:noProof/>
        </w:rPr>
        <w:t>;</w:t>
      </w:r>
    </w:p>
    <w:p w14:paraId="61EF475B" w14:textId="25EFD8E0" w:rsidR="00B862A9" w:rsidRDefault="00455E94" w:rsidP="00455E94">
      <w:pPr>
        <w:pStyle w:val="Point1"/>
        <w:rPr>
          <w:noProof/>
        </w:rPr>
      </w:pPr>
      <w:r w:rsidRPr="00455E94">
        <w:t>(c)</w:t>
      </w:r>
      <w:r w:rsidRPr="00455E94">
        <w:tab/>
      </w:r>
      <w:r w:rsidR="00B862A9">
        <w:rPr>
          <w:noProof/>
        </w:rPr>
        <w:t>roll</w:t>
      </w:r>
      <w:r w:rsidR="003F2A91">
        <w:rPr>
          <w:noProof/>
        </w:rPr>
        <w:t>ing</w:t>
      </w:r>
      <w:r w:rsidR="00B862A9">
        <w:rPr>
          <w:noProof/>
        </w:rPr>
        <w:t xml:space="preserve">-out accessible </w:t>
      </w:r>
      <w:r w:rsidR="00EA3DE9" w:rsidRPr="008131E7">
        <w:rPr>
          <w:rFonts w:cstheme="minorHAnsi"/>
          <w:noProof/>
          <w:szCs w:val="24"/>
        </w:rPr>
        <w:t xml:space="preserve">innovative technology and </w:t>
      </w:r>
      <w:r w:rsidR="00B862A9">
        <w:rPr>
          <w:noProof/>
        </w:rPr>
        <w:t>digital so</w:t>
      </w:r>
      <w:r w:rsidR="00113D4A">
        <w:rPr>
          <w:noProof/>
        </w:rPr>
        <w:t>lution</w:t>
      </w:r>
      <w:r w:rsidR="00B862A9">
        <w:rPr>
          <w:noProof/>
        </w:rPr>
        <w:t>s</w:t>
      </w:r>
      <w:r w:rsidR="00EA3DE9">
        <w:rPr>
          <w:noProof/>
        </w:rPr>
        <w:t xml:space="preserve"> in the provision of care services</w:t>
      </w:r>
      <w:r w:rsidR="009A7336">
        <w:rPr>
          <w:noProof/>
        </w:rPr>
        <w:t>,</w:t>
      </w:r>
      <w:r w:rsidR="00E832A7">
        <w:rPr>
          <w:noProof/>
        </w:rPr>
        <w:t xml:space="preserve"> </w:t>
      </w:r>
      <w:r w:rsidR="00F805B4">
        <w:rPr>
          <w:noProof/>
        </w:rPr>
        <w:t>including</w:t>
      </w:r>
      <w:r w:rsidR="00E832A7">
        <w:rPr>
          <w:noProof/>
        </w:rPr>
        <w:t xml:space="preserve"> to support independent living</w:t>
      </w:r>
      <w:r w:rsidR="007E513D">
        <w:rPr>
          <w:noProof/>
        </w:rPr>
        <w:t>;</w:t>
      </w:r>
    </w:p>
    <w:p w14:paraId="33915875" w14:textId="588FF67C" w:rsidR="004A54BC" w:rsidRDefault="00455E94" w:rsidP="00455E94">
      <w:pPr>
        <w:pStyle w:val="Point1"/>
        <w:rPr>
          <w:noProof/>
        </w:rPr>
      </w:pPr>
      <w:r w:rsidRPr="00455E94">
        <w:t>(d)</w:t>
      </w:r>
      <w:r w:rsidRPr="00455E94">
        <w:tab/>
      </w:r>
      <w:r w:rsidR="004A54BC" w:rsidRPr="00804C2D">
        <w:rPr>
          <w:noProof/>
        </w:rPr>
        <w:t xml:space="preserve">ensuring that long-term care services and facilities are accessible to persons with </w:t>
      </w:r>
      <w:r w:rsidR="004A54BC">
        <w:rPr>
          <w:noProof/>
        </w:rPr>
        <w:t xml:space="preserve">specific needs and </w:t>
      </w:r>
      <w:r w:rsidR="004A54BC" w:rsidRPr="00804C2D">
        <w:rPr>
          <w:noProof/>
        </w:rPr>
        <w:t>disabilities</w:t>
      </w:r>
      <w:r w:rsidR="004A54BC">
        <w:rPr>
          <w:noProof/>
        </w:rPr>
        <w:t xml:space="preserve">, </w:t>
      </w:r>
      <w:r w:rsidR="004A54BC" w:rsidRPr="006209DB">
        <w:rPr>
          <w:noProof/>
        </w:rPr>
        <w:t xml:space="preserve">respecting </w:t>
      </w:r>
      <w:r w:rsidR="004A54BC">
        <w:rPr>
          <w:noProof/>
        </w:rPr>
        <w:t xml:space="preserve">the </w:t>
      </w:r>
      <w:r w:rsidR="004A54BC" w:rsidRPr="006209DB">
        <w:rPr>
          <w:noProof/>
        </w:rPr>
        <w:t>equal right of all persons with disabilities to live independently in the community, with choices equal to others</w:t>
      </w:r>
      <w:r w:rsidR="004A54BC">
        <w:rPr>
          <w:noProof/>
        </w:rPr>
        <w:t>.</w:t>
      </w:r>
    </w:p>
    <w:p w14:paraId="69FB57A5" w14:textId="2D4C0607" w:rsidR="0042450F" w:rsidRPr="00B74538" w:rsidRDefault="00455E94" w:rsidP="00455E94">
      <w:pPr>
        <w:pStyle w:val="ManualNumPar1"/>
        <w:rPr>
          <w:noProof/>
        </w:rPr>
      </w:pPr>
      <w:r w:rsidRPr="00455E94">
        <w:t>6.</w:t>
      </w:r>
      <w:r w:rsidRPr="00455E94">
        <w:tab/>
      </w:r>
      <w:r w:rsidR="004A54BC">
        <w:rPr>
          <w:noProof/>
        </w:rPr>
        <w:t>Member States should</w:t>
      </w:r>
      <w:r w:rsidR="00EB2DD5">
        <w:rPr>
          <w:noProof/>
        </w:rPr>
        <w:t xml:space="preserve"> ensure that high-quality criteria and standards are established</w:t>
      </w:r>
      <w:r w:rsidR="004A54BC">
        <w:rPr>
          <w:noProof/>
        </w:rPr>
        <w:t xml:space="preserve"> </w:t>
      </w:r>
      <w:r w:rsidR="00FA1BD0">
        <w:rPr>
          <w:noProof/>
        </w:rPr>
        <w:t>for</w:t>
      </w:r>
      <w:r w:rsidR="00EB2DD5" w:rsidRPr="00804C2D">
        <w:rPr>
          <w:noProof/>
        </w:rPr>
        <w:t xml:space="preserve"> all</w:t>
      </w:r>
      <w:r w:rsidR="00EB2DD5">
        <w:rPr>
          <w:noProof/>
        </w:rPr>
        <w:t xml:space="preserve"> long-term care settings, tailored to their characteristics</w:t>
      </w:r>
      <w:r w:rsidR="002F3BA5">
        <w:rPr>
          <w:noProof/>
        </w:rPr>
        <w:t>,</w:t>
      </w:r>
      <w:r w:rsidR="000A2D18" w:rsidRPr="000A2D18">
        <w:rPr>
          <w:noProof/>
        </w:rPr>
        <w:t xml:space="preserve"> </w:t>
      </w:r>
      <w:r w:rsidR="00FA1BD0">
        <w:rPr>
          <w:noProof/>
        </w:rPr>
        <w:t xml:space="preserve">and </w:t>
      </w:r>
      <w:r w:rsidR="00C339C8">
        <w:rPr>
          <w:noProof/>
        </w:rPr>
        <w:t xml:space="preserve">strictly </w:t>
      </w:r>
      <w:r w:rsidR="00FA1BD0">
        <w:rPr>
          <w:noProof/>
        </w:rPr>
        <w:t>appl</w:t>
      </w:r>
      <w:r w:rsidR="00C339C8">
        <w:rPr>
          <w:noProof/>
        </w:rPr>
        <w:t>ied</w:t>
      </w:r>
      <w:r w:rsidR="00B74538">
        <w:rPr>
          <w:noProof/>
        </w:rPr>
        <w:t xml:space="preserve"> </w:t>
      </w:r>
      <w:r w:rsidR="00FA1BD0">
        <w:rPr>
          <w:noProof/>
        </w:rPr>
        <w:t xml:space="preserve">to </w:t>
      </w:r>
      <w:r w:rsidR="000A2D18">
        <w:rPr>
          <w:noProof/>
        </w:rPr>
        <w:t>all</w:t>
      </w:r>
      <w:r w:rsidR="000A2D18" w:rsidRPr="00804C2D">
        <w:rPr>
          <w:noProof/>
        </w:rPr>
        <w:t xml:space="preserve"> long-term care providers irrespective of their legal status</w:t>
      </w:r>
      <w:r w:rsidR="00EB2DD5">
        <w:rPr>
          <w:noProof/>
        </w:rPr>
        <w:t xml:space="preserve">. To this effect, </w:t>
      </w:r>
      <w:r w:rsidR="00BE56A3">
        <w:rPr>
          <w:noProof/>
        </w:rPr>
        <w:t>Member States</w:t>
      </w:r>
      <w:r w:rsidR="00EB2DD5">
        <w:rPr>
          <w:noProof/>
        </w:rPr>
        <w:t xml:space="preserve"> should </w:t>
      </w:r>
      <w:r w:rsidR="00107663">
        <w:rPr>
          <w:noProof/>
        </w:rPr>
        <w:t xml:space="preserve">ensure </w:t>
      </w:r>
      <w:r w:rsidR="004A54BC">
        <w:rPr>
          <w:noProof/>
        </w:rPr>
        <w:t xml:space="preserve">a quality framework for long-term care which is guided by the quality principles set out in the Annex </w:t>
      </w:r>
      <w:r w:rsidR="004A54BC" w:rsidRPr="00B74538">
        <w:rPr>
          <w:noProof/>
        </w:rPr>
        <w:t xml:space="preserve">and </w:t>
      </w:r>
      <w:r w:rsidR="004E387E" w:rsidRPr="00B74538">
        <w:rPr>
          <w:noProof/>
        </w:rPr>
        <w:t>includ</w:t>
      </w:r>
      <w:r w:rsidR="0088643E" w:rsidRPr="00B74538">
        <w:rPr>
          <w:noProof/>
        </w:rPr>
        <w:t>es</w:t>
      </w:r>
      <w:r w:rsidR="00C339C8">
        <w:rPr>
          <w:noProof/>
        </w:rPr>
        <w:t xml:space="preserve"> </w:t>
      </w:r>
      <w:r w:rsidR="00E139BE" w:rsidRPr="00B74538">
        <w:rPr>
          <w:noProof/>
        </w:rPr>
        <w:t>an appropriate quality assurance mechanism</w:t>
      </w:r>
      <w:r w:rsidR="0042450F" w:rsidRPr="00B74538">
        <w:rPr>
          <w:noProof/>
        </w:rPr>
        <w:t>, that:</w:t>
      </w:r>
    </w:p>
    <w:p w14:paraId="6A5E384B" w14:textId="1047CB39" w:rsidR="0042450F" w:rsidRPr="00804C2D" w:rsidRDefault="00455E94" w:rsidP="00455E94">
      <w:pPr>
        <w:pStyle w:val="Point1"/>
        <w:rPr>
          <w:noProof/>
        </w:rPr>
      </w:pPr>
      <w:r w:rsidRPr="00455E94">
        <w:t>(a)</w:t>
      </w:r>
      <w:r w:rsidRPr="00455E94">
        <w:tab/>
      </w:r>
      <w:r w:rsidR="00B74538">
        <w:rPr>
          <w:noProof/>
        </w:rPr>
        <w:t>enforces compliance with quality criteria and standards</w:t>
      </w:r>
      <w:r w:rsidR="000A2D18">
        <w:rPr>
          <w:noProof/>
        </w:rPr>
        <w:t xml:space="preserve"> across all </w:t>
      </w:r>
      <w:r w:rsidR="00B74538">
        <w:rPr>
          <w:noProof/>
        </w:rPr>
        <w:t xml:space="preserve">long-term </w:t>
      </w:r>
      <w:r w:rsidR="000A2D18">
        <w:rPr>
          <w:noProof/>
        </w:rPr>
        <w:t>care settings</w:t>
      </w:r>
      <w:r w:rsidR="003E30B8">
        <w:rPr>
          <w:noProof/>
        </w:rPr>
        <w:t xml:space="preserve"> </w:t>
      </w:r>
      <w:r w:rsidR="00B74538">
        <w:rPr>
          <w:noProof/>
        </w:rPr>
        <w:t xml:space="preserve">and providers </w:t>
      </w:r>
      <w:r w:rsidR="0042450F" w:rsidRPr="00804C2D">
        <w:rPr>
          <w:noProof/>
        </w:rPr>
        <w:t>in collaboration with long-term care providers and</w:t>
      </w:r>
      <w:r w:rsidR="002011C4">
        <w:rPr>
          <w:noProof/>
        </w:rPr>
        <w:t xml:space="preserve"> </w:t>
      </w:r>
      <w:r w:rsidR="00D53158">
        <w:rPr>
          <w:noProof/>
        </w:rPr>
        <w:t>people</w:t>
      </w:r>
      <w:r w:rsidR="00D53158" w:rsidRPr="00804C2D">
        <w:rPr>
          <w:noProof/>
        </w:rPr>
        <w:t xml:space="preserve"> </w:t>
      </w:r>
      <w:r w:rsidR="0042450F" w:rsidRPr="00804C2D">
        <w:rPr>
          <w:noProof/>
        </w:rPr>
        <w:t>receiving long-term care</w:t>
      </w:r>
      <w:r w:rsidR="002011C4">
        <w:rPr>
          <w:noProof/>
        </w:rPr>
        <w:t>,</w:t>
      </w:r>
      <w:r w:rsidR="0042450F" w:rsidRPr="00804C2D">
        <w:rPr>
          <w:noProof/>
        </w:rPr>
        <w:t xml:space="preserve"> </w:t>
      </w:r>
    </w:p>
    <w:p w14:paraId="3BA28FE7" w14:textId="5B3B62BD" w:rsidR="00E139BE" w:rsidRPr="00804C2D" w:rsidRDefault="00455E94" w:rsidP="00455E94">
      <w:pPr>
        <w:pStyle w:val="Point1"/>
        <w:rPr>
          <w:noProof/>
        </w:rPr>
      </w:pPr>
      <w:r w:rsidRPr="00455E94">
        <w:t>(b)</w:t>
      </w:r>
      <w:r w:rsidRPr="00455E94">
        <w:tab/>
      </w:r>
      <w:r w:rsidR="00183727" w:rsidRPr="00804C2D">
        <w:rPr>
          <w:noProof/>
        </w:rPr>
        <w:t xml:space="preserve">provides </w:t>
      </w:r>
      <w:r w:rsidR="00E139BE" w:rsidRPr="00804C2D">
        <w:rPr>
          <w:noProof/>
        </w:rPr>
        <w:t xml:space="preserve">incentives </w:t>
      </w:r>
      <w:r w:rsidR="00183727" w:rsidRPr="00804C2D">
        <w:rPr>
          <w:noProof/>
        </w:rPr>
        <w:t>to</w:t>
      </w:r>
      <w:r w:rsidR="00E139BE" w:rsidRPr="00804C2D">
        <w:rPr>
          <w:noProof/>
        </w:rPr>
        <w:t xml:space="preserve"> </w:t>
      </w:r>
      <w:r w:rsidR="00924E58" w:rsidRPr="00804C2D">
        <w:rPr>
          <w:noProof/>
        </w:rPr>
        <w:t xml:space="preserve">and enhances the capacity of </w:t>
      </w:r>
      <w:r w:rsidR="00E139BE" w:rsidRPr="00804C2D">
        <w:rPr>
          <w:noProof/>
        </w:rPr>
        <w:t xml:space="preserve">long-term care providers to go beyond the minimum </w:t>
      </w:r>
      <w:r w:rsidR="00FC55A2" w:rsidRPr="00804C2D">
        <w:rPr>
          <w:noProof/>
        </w:rPr>
        <w:t xml:space="preserve">quality </w:t>
      </w:r>
      <w:r w:rsidR="00E139BE" w:rsidRPr="00804C2D">
        <w:rPr>
          <w:noProof/>
        </w:rPr>
        <w:t>standards</w:t>
      </w:r>
      <w:r w:rsidR="001A3DA7">
        <w:rPr>
          <w:noProof/>
        </w:rPr>
        <w:t xml:space="preserve"> and </w:t>
      </w:r>
      <w:r w:rsidR="001A3DA7" w:rsidRPr="00804C2D">
        <w:rPr>
          <w:noProof/>
        </w:rPr>
        <w:t>to improve quality continuously</w:t>
      </w:r>
      <w:r w:rsidR="001A3DA7">
        <w:rPr>
          <w:noProof/>
        </w:rPr>
        <w:t>,</w:t>
      </w:r>
    </w:p>
    <w:p w14:paraId="66777804" w14:textId="1D0B72AF" w:rsidR="00A47A78" w:rsidRPr="00804C2D" w:rsidRDefault="00455E94" w:rsidP="00455E94">
      <w:pPr>
        <w:pStyle w:val="Point1"/>
        <w:rPr>
          <w:noProof/>
        </w:rPr>
      </w:pPr>
      <w:r w:rsidRPr="00455E94">
        <w:t>(c)</w:t>
      </w:r>
      <w:r w:rsidRPr="00455E94">
        <w:tab/>
      </w:r>
      <w:r w:rsidR="00183727" w:rsidRPr="00804C2D">
        <w:rPr>
          <w:noProof/>
        </w:rPr>
        <w:t xml:space="preserve">secures </w:t>
      </w:r>
      <w:r w:rsidR="00A47A78" w:rsidRPr="00804C2D">
        <w:rPr>
          <w:noProof/>
        </w:rPr>
        <w:t xml:space="preserve">sufficient resources </w:t>
      </w:r>
      <w:r w:rsidR="00183727" w:rsidRPr="00804C2D">
        <w:rPr>
          <w:noProof/>
        </w:rPr>
        <w:t>for</w:t>
      </w:r>
      <w:r w:rsidR="00A47A78" w:rsidRPr="00804C2D">
        <w:rPr>
          <w:noProof/>
        </w:rPr>
        <w:t xml:space="preserve"> quality assurance at national, regional and local levels and </w:t>
      </w:r>
      <w:r w:rsidR="00183727" w:rsidRPr="00804C2D">
        <w:rPr>
          <w:noProof/>
        </w:rPr>
        <w:t xml:space="preserve">encourages </w:t>
      </w:r>
      <w:r w:rsidR="00A47A78" w:rsidRPr="00804C2D">
        <w:rPr>
          <w:noProof/>
        </w:rPr>
        <w:t>long-term care providers to have budgets for quality management,</w:t>
      </w:r>
    </w:p>
    <w:p w14:paraId="10442F43" w14:textId="7FD15734" w:rsidR="00D3549E" w:rsidRPr="00804C2D" w:rsidRDefault="00455E94" w:rsidP="00455E94">
      <w:pPr>
        <w:pStyle w:val="Point1"/>
        <w:rPr>
          <w:noProof/>
        </w:rPr>
      </w:pPr>
      <w:r w:rsidRPr="00455E94">
        <w:t>(d)</w:t>
      </w:r>
      <w:r w:rsidRPr="00455E94">
        <w:tab/>
      </w:r>
      <w:r w:rsidR="00183727" w:rsidRPr="00804C2D">
        <w:rPr>
          <w:noProof/>
        </w:rPr>
        <w:t xml:space="preserve">ensures, where relevant, </w:t>
      </w:r>
      <w:r w:rsidR="006F0FBA" w:rsidRPr="00804C2D">
        <w:rPr>
          <w:noProof/>
        </w:rPr>
        <w:t xml:space="preserve">that </w:t>
      </w:r>
      <w:r w:rsidR="00A47A78" w:rsidRPr="00804C2D">
        <w:rPr>
          <w:noProof/>
        </w:rPr>
        <w:t xml:space="preserve">requirements </w:t>
      </w:r>
      <w:r w:rsidR="00DF6BA3">
        <w:rPr>
          <w:noProof/>
        </w:rPr>
        <w:t>regarding the</w:t>
      </w:r>
      <w:r w:rsidR="00DF6BA3" w:rsidRPr="00804C2D">
        <w:rPr>
          <w:noProof/>
        </w:rPr>
        <w:t xml:space="preserve"> </w:t>
      </w:r>
      <w:r w:rsidR="00A47A78" w:rsidRPr="00804C2D">
        <w:rPr>
          <w:noProof/>
        </w:rPr>
        <w:t xml:space="preserve">quality of long-term care </w:t>
      </w:r>
      <w:r w:rsidR="00D8458D" w:rsidRPr="00804C2D">
        <w:rPr>
          <w:noProof/>
        </w:rPr>
        <w:t>are integrate</w:t>
      </w:r>
      <w:r w:rsidR="00077935" w:rsidRPr="00804C2D">
        <w:rPr>
          <w:noProof/>
        </w:rPr>
        <w:t>d</w:t>
      </w:r>
      <w:r w:rsidR="00D8458D" w:rsidRPr="00804C2D">
        <w:rPr>
          <w:noProof/>
        </w:rPr>
        <w:t xml:space="preserve"> </w:t>
      </w:r>
      <w:r w:rsidR="00A47A78" w:rsidRPr="00804C2D">
        <w:rPr>
          <w:noProof/>
        </w:rPr>
        <w:t>in public procurement,</w:t>
      </w:r>
    </w:p>
    <w:p w14:paraId="22D5CFD8" w14:textId="7FF1F1AC" w:rsidR="009E2755" w:rsidRPr="00804C2D" w:rsidRDefault="00455E94" w:rsidP="00455E94">
      <w:pPr>
        <w:pStyle w:val="Point1"/>
        <w:rPr>
          <w:noProof/>
        </w:rPr>
      </w:pPr>
      <w:r w:rsidRPr="00455E94">
        <w:t>(e)</w:t>
      </w:r>
      <w:r w:rsidRPr="00455E94">
        <w:tab/>
      </w:r>
      <w:r w:rsidR="00183727" w:rsidRPr="00804C2D">
        <w:rPr>
          <w:noProof/>
        </w:rPr>
        <w:t>promotes</w:t>
      </w:r>
      <w:r w:rsidR="00183727" w:rsidRPr="00804C2D" w:rsidDel="00183727">
        <w:rPr>
          <w:noProof/>
        </w:rPr>
        <w:t xml:space="preserve"> </w:t>
      </w:r>
      <w:r w:rsidR="007E5BA9" w:rsidRPr="00804C2D">
        <w:rPr>
          <w:noProof/>
        </w:rPr>
        <w:t>independent living and inclusion in the community</w:t>
      </w:r>
      <w:r w:rsidR="00183727" w:rsidRPr="00804C2D">
        <w:rPr>
          <w:noProof/>
        </w:rPr>
        <w:t xml:space="preserve"> in all long</w:t>
      </w:r>
      <w:r w:rsidR="00AA2EA0" w:rsidRPr="00804C2D">
        <w:rPr>
          <w:noProof/>
        </w:rPr>
        <w:t>-</w:t>
      </w:r>
      <w:r w:rsidR="00183727" w:rsidRPr="00804C2D">
        <w:rPr>
          <w:noProof/>
        </w:rPr>
        <w:t xml:space="preserve">term care </w:t>
      </w:r>
      <w:r w:rsidR="00735AEC" w:rsidRPr="00804C2D">
        <w:rPr>
          <w:noProof/>
        </w:rPr>
        <w:t>settings</w:t>
      </w:r>
      <w:r w:rsidR="00393790" w:rsidRPr="00804C2D">
        <w:rPr>
          <w:noProof/>
        </w:rPr>
        <w:t>.</w:t>
      </w:r>
    </w:p>
    <w:p w14:paraId="7F935546" w14:textId="77777777" w:rsidR="00FD16FC" w:rsidRPr="00804C2D" w:rsidRDefault="004528CF" w:rsidP="00A96C8E">
      <w:pPr>
        <w:rPr>
          <w:b/>
          <w:noProof/>
        </w:rPr>
      </w:pPr>
      <w:r w:rsidRPr="00804C2D">
        <w:rPr>
          <w:b/>
          <w:noProof/>
        </w:rPr>
        <w:t>CARERS</w:t>
      </w:r>
    </w:p>
    <w:p w14:paraId="523B6D64" w14:textId="17785F6F" w:rsidR="005024EB" w:rsidRPr="00804C2D" w:rsidRDefault="00455E94" w:rsidP="00455E94">
      <w:pPr>
        <w:pStyle w:val="ManualNumPar1"/>
        <w:rPr>
          <w:noProof/>
        </w:rPr>
      </w:pPr>
      <w:r w:rsidRPr="00455E94">
        <w:t>7.</w:t>
      </w:r>
      <w:r w:rsidRPr="00455E94">
        <w:tab/>
      </w:r>
      <w:r w:rsidR="005024EB" w:rsidRPr="00804C2D">
        <w:rPr>
          <w:noProof/>
        </w:rPr>
        <w:t>Member States should ensure fair working conditions in long-term care, in particular by:</w:t>
      </w:r>
    </w:p>
    <w:p w14:paraId="4CE0850C" w14:textId="57314030" w:rsidR="005024EB" w:rsidRPr="00804C2D" w:rsidRDefault="00455E94" w:rsidP="00455E94">
      <w:pPr>
        <w:pStyle w:val="Point1"/>
        <w:rPr>
          <w:noProof/>
        </w:rPr>
      </w:pPr>
      <w:r w:rsidRPr="00455E94">
        <w:t>(a)</w:t>
      </w:r>
      <w:r w:rsidRPr="00455E94">
        <w:tab/>
      </w:r>
      <w:r w:rsidR="005024EB" w:rsidRPr="00804C2D">
        <w:rPr>
          <w:noProof/>
        </w:rPr>
        <w:t>promoting national social dialogue and collective bargaining in long-term care, including support</w:t>
      </w:r>
      <w:r w:rsidR="005024EB">
        <w:rPr>
          <w:noProof/>
        </w:rPr>
        <w:t>ing</w:t>
      </w:r>
      <w:r w:rsidR="005024EB" w:rsidRPr="00804C2D">
        <w:rPr>
          <w:noProof/>
        </w:rPr>
        <w:t xml:space="preserve"> the development of attractive wages in the sector, while respecting the autonomy of social partners</w:t>
      </w:r>
      <w:r w:rsidR="005024EB">
        <w:rPr>
          <w:noProof/>
        </w:rPr>
        <w:t>;</w:t>
      </w:r>
    </w:p>
    <w:p w14:paraId="5C5CF087" w14:textId="3657890B" w:rsidR="005024EB" w:rsidRPr="00804C2D" w:rsidRDefault="00455E94" w:rsidP="00455E94">
      <w:pPr>
        <w:pStyle w:val="Point1"/>
        <w:rPr>
          <w:noProof/>
        </w:rPr>
      </w:pPr>
      <w:r w:rsidRPr="00455E94">
        <w:t>(b)</w:t>
      </w:r>
      <w:r w:rsidRPr="00455E94">
        <w:tab/>
      </w:r>
      <w:r w:rsidR="005024EB" w:rsidRPr="00804C2D">
        <w:rPr>
          <w:noProof/>
        </w:rPr>
        <w:t xml:space="preserve">without prejudice to Union law on occupational health and safety and while ensuring its effective application, promoting </w:t>
      </w:r>
      <w:r w:rsidR="005024EB">
        <w:rPr>
          <w:noProof/>
        </w:rPr>
        <w:t xml:space="preserve">the </w:t>
      </w:r>
      <w:r w:rsidR="005024EB" w:rsidRPr="00804C2D">
        <w:rPr>
          <w:noProof/>
        </w:rPr>
        <w:t>highest standards in occupational health and safety for all long-term care workers</w:t>
      </w:r>
      <w:r w:rsidR="005024EB">
        <w:rPr>
          <w:noProof/>
        </w:rPr>
        <w:t>;</w:t>
      </w:r>
    </w:p>
    <w:p w14:paraId="74845CB5" w14:textId="6520CCA3" w:rsidR="005024EB" w:rsidRPr="00804C2D" w:rsidRDefault="00455E94" w:rsidP="00455E94">
      <w:pPr>
        <w:pStyle w:val="Point1"/>
        <w:rPr>
          <w:noProof/>
        </w:rPr>
      </w:pPr>
      <w:r w:rsidRPr="00455E94">
        <w:t>(c)</w:t>
      </w:r>
      <w:r w:rsidRPr="00455E94">
        <w:tab/>
      </w:r>
      <w:r w:rsidR="005024EB" w:rsidRPr="00804C2D">
        <w:rPr>
          <w:noProof/>
        </w:rPr>
        <w:t>addressing the challenges of vulnerable groups of workers, such as domestic long-term care workers</w:t>
      </w:r>
      <w:r w:rsidR="005024EB">
        <w:rPr>
          <w:noProof/>
        </w:rPr>
        <w:t xml:space="preserve">, </w:t>
      </w:r>
      <w:r w:rsidR="005024EB" w:rsidRPr="00804C2D">
        <w:rPr>
          <w:noProof/>
        </w:rPr>
        <w:t>live-in carers</w:t>
      </w:r>
      <w:r w:rsidR="005024EB">
        <w:rPr>
          <w:noProof/>
        </w:rPr>
        <w:t xml:space="preserve"> and migrant care workers,</w:t>
      </w:r>
      <w:r w:rsidR="005024EB" w:rsidRPr="00804C2D">
        <w:rPr>
          <w:noProof/>
        </w:rPr>
        <w:t xml:space="preserve"> including by providing for effective regulation and professionalisation of </w:t>
      </w:r>
      <w:r w:rsidR="005024EB">
        <w:rPr>
          <w:noProof/>
        </w:rPr>
        <w:t>such</w:t>
      </w:r>
      <w:r w:rsidR="005024EB" w:rsidRPr="00804C2D">
        <w:rPr>
          <w:noProof/>
        </w:rPr>
        <w:t xml:space="preserve"> care work.</w:t>
      </w:r>
    </w:p>
    <w:p w14:paraId="14E57AA7" w14:textId="43E93847" w:rsidR="00FD4F27" w:rsidRPr="00804C2D" w:rsidRDefault="00455E94" w:rsidP="00455E94">
      <w:pPr>
        <w:pStyle w:val="ManualNumPar1"/>
        <w:rPr>
          <w:noProof/>
        </w:rPr>
      </w:pPr>
      <w:r w:rsidRPr="00455E94">
        <w:t>8.</w:t>
      </w:r>
      <w:r w:rsidRPr="00455E94">
        <w:tab/>
      </w:r>
      <w:r w:rsidR="00FD4F27" w:rsidRPr="00804C2D">
        <w:rPr>
          <w:noProof/>
        </w:rPr>
        <w:t>Member States</w:t>
      </w:r>
      <w:r w:rsidR="003F532A">
        <w:rPr>
          <w:noProof/>
        </w:rPr>
        <w:t>, in collaboration</w:t>
      </w:r>
      <w:r w:rsidR="00DF6BA3">
        <w:rPr>
          <w:noProof/>
        </w:rPr>
        <w:t>,</w:t>
      </w:r>
      <w:r w:rsidR="003F532A">
        <w:rPr>
          <w:noProof/>
        </w:rPr>
        <w:t xml:space="preserve"> </w:t>
      </w:r>
      <w:r w:rsidR="002011C4">
        <w:rPr>
          <w:noProof/>
        </w:rPr>
        <w:t>where relevant</w:t>
      </w:r>
      <w:r w:rsidR="00DF6BA3">
        <w:rPr>
          <w:noProof/>
        </w:rPr>
        <w:t>,</w:t>
      </w:r>
      <w:r w:rsidR="002011C4">
        <w:rPr>
          <w:noProof/>
        </w:rPr>
        <w:t xml:space="preserve"> </w:t>
      </w:r>
      <w:r w:rsidR="003F532A">
        <w:rPr>
          <w:noProof/>
        </w:rPr>
        <w:t>with social partners</w:t>
      </w:r>
      <w:r w:rsidR="002767B7">
        <w:rPr>
          <w:noProof/>
        </w:rPr>
        <w:t xml:space="preserve">, </w:t>
      </w:r>
      <w:r w:rsidR="00936AC2">
        <w:rPr>
          <w:noProof/>
        </w:rPr>
        <w:t xml:space="preserve">long-term care </w:t>
      </w:r>
      <w:r w:rsidR="002767B7">
        <w:rPr>
          <w:noProof/>
        </w:rPr>
        <w:t>providers</w:t>
      </w:r>
      <w:r w:rsidR="003F532A">
        <w:rPr>
          <w:noProof/>
        </w:rPr>
        <w:t xml:space="preserve"> and </w:t>
      </w:r>
      <w:r w:rsidR="002767B7">
        <w:rPr>
          <w:noProof/>
        </w:rPr>
        <w:t xml:space="preserve">other </w:t>
      </w:r>
      <w:r w:rsidR="003F532A">
        <w:rPr>
          <w:noProof/>
        </w:rPr>
        <w:t xml:space="preserve">stakeholders, </w:t>
      </w:r>
      <w:r w:rsidR="0005141C" w:rsidRPr="00804C2D">
        <w:rPr>
          <w:noProof/>
        </w:rPr>
        <w:t>should</w:t>
      </w:r>
      <w:r w:rsidR="00FD4F27" w:rsidRPr="00804C2D">
        <w:rPr>
          <w:noProof/>
        </w:rPr>
        <w:t xml:space="preserve"> </w:t>
      </w:r>
      <w:r w:rsidR="007F442B" w:rsidRPr="00804C2D">
        <w:rPr>
          <w:noProof/>
        </w:rPr>
        <w:t>address skills</w:t>
      </w:r>
      <w:r w:rsidR="00661EA7" w:rsidRPr="00804C2D">
        <w:rPr>
          <w:noProof/>
        </w:rPr>
        <w:t xml:space="preserve"> needs</w:t>
      </w:r>
      <w:r w:rsidR="007F442B" w:rsidRPr="00804C2D">
        <w:rPr>
          <w:noProof/>
        </w:rPr>
        <w:t xml:space="preserve"> and </w:t>
      </w:r>
      <w:r w:rsidR="00FB067E" w:rsidRPr="00804C2D">
        <w:rPr>
          <w:noProof/>
        </w:rPr>
        <w:t>worker</w:t>
      </w:r>
      <w:r w:rsidR="00661EA7" w:rsidRPr="00804C2D">
        <w:rPr>
          <w:noProof/>
        </w:rPr>
        <w:t xml:space="preserve"> </w:t>
      </w:r>
      <w:r w:rsidR="007F442B" w:rsidRPr="00804C2D">
        <w:rPr>
          <w:noProof/>
        </w:rPr>
        <w:t xml:space="preserve">shortages </w:t>
      </w:r>
      <w:r w:rsidR="000C3DDC" w:rsidRPr="00804C2D">
        <w:rPr>
          <w:noProof/>
        </w:rPr>
        <w:t xml:space="preserve">in </w:t>
      </w:r>
      <w:r w:rsidR="007F442B" w:rsidRPr="00804C2D">
        <w:rPr>
          <w:noProof/>
        </w:rPr>
        <w:t>long-term care</w:t>
      </w:r>
      <w:r w:rsidR="00FD4F27" w:rsidRPr="00804C2D">
        <w:rPr>
          <w:noProof/>
        </w:rPr>
        <w:t xml:space="preserve">, in particular </w:t>
      </w:r>
      <w:r w:rsidR="00766F9F" w:rsidRPr="00804C2D">
        <w:rPr>
          <w:noProof/>
        </w:rPr>
        <w:t>by</w:t>
      </w:r>
      <w:r w:rsidR="00FD4F27" w:rsidRPr="00804C2D">
        <w:rPr>
          <w:noProof/>
        </w:rPr>
        <w:t>:</w:t>
      </w:r>
    </w:p>
    <w:p w14:paraId="429F058D" w14:textId="260FB6EC" w:rsidR="00661EA7" w:rsidRPr="00804C2D" w:rsidRDefault="00455E94" w:rsidP="00455E94">
      <w:pPr>
        <w:pStyle w:val="Point1"/>
        <w:rPr>
          <w:noProof/>
        </w:rPr>
      </w:pPr>
      <w:r w:rsidRPr="00455E94">
        <w:t>(a)</w:t>
      </w:r>
      <w:r w:rsidRPr="00455E94">
        <w:tab/>
      </w:r>
      <w:r w:rsidR="000C3DDC" w:rsidRPr="00804C2D">
        <w:rPr>
          <w:noProof/>
        </w:rPr>
        <w:t>d</w:t>
      </w:r>
      <w:r w:rsidR="00C7584D" w:rsidRPr="00804C2D">
        <w:rPr>
          <w:noProof/>
        </w:rPr>
        <w:t>esigning and</w:t>
      </w:r>
      <w:r w:rsidR="00C41283" w:rsidRPr="00804C2D">
        <w:rPr>
          <w:noProof/>
        </w:rPr>
        <w:t xml:space="preserve"> i</w:t>
      </w:r>
      <w:r w:rsidR="00A006D5" w:rsidRPr="00804C2D">
        <w:rPr>
          <w:noProof/>
        </w:rPr>
        <w:t>mprov</w:t>
      </w:r>
      <w:r w:rsidR="00766F9F" w:rsidRPr="00804C2D">
        <w:rPr>
          <w:noProof/>
        </w:rPr>
        <w:t>ing</w:t>
      </w:r>
      <w:r w:rsidR="00661EA7" w:rsidRPr="00804C2D">
        <w:rPr>
          <w:noProof/>
        </w:rPr>
        <w:t xml:space="preserve"> the</w:t>
      </w:r>
      <w:r w:rsidR="00A006D5" w:rsidRPr="00804C2D">
        <w:rPr>
          <w:noProof/>
        </w:rPr>
        <w:t xml:space="preserve"> initial </w:t>
      </w:r>
      <w:r w:rsidR="00FD4F27" w:rsidRPr="00804C2D">
        <w:rPr>
          <w:noProof/>
        </w:rPr>
        <w:t xml:space="preserve">and continuous </w:t>
      </w:r>
      <w:r w:rsidR="00A006D5" w:rsidRPr="00804C2D">
        <w:rPr>
          <w:noProof/>
        </w:rPr>
        <w:t xml:space="preserve">education and training to equip </w:t>
      </w:r>
      <w:r w:rsidR="005268BC" w:rsidRPr="00804C2D">
        <w:rPr>
          <w:noProof/>
        </w:rPr>
        <w:t xml:space="preserve">current and future </w:t>
      </w:r>
      <w:r w:rsidR="00A006D5" w:rsidRPr="00804C2D">
        <w:rPr>
          <w:noProof/>
        </w:rPr>
        <w:t>long-term care workers with the necessary skills and competences</w:t>
      </w:r>
      <w:r w:rsidR="007A5DDC">
        <w:rPr>
          <w:noProof/>
        </w:rPr>
        <w:t>,</w:t>
      </w:r>
      <w:r w:rsidR="007A5DDC" w:rsidRPr="007A5DDC">
        <w:rPr>
          <w:noProof/>
        </w:rPr>
        <w:t xml:space="preserve"> including digital</w:t>
      </w:r>
      <w:r w:rsidR="00DF6BA3">
        <w:rPr>
          <w:noProof/>
        </w:rPr>
        <w:t>;</w:t>
      </w:r>
    </w:p>
    <w:p w14:paraId="69A4C47E" w14:textId="60C95005" w:rsidR="00CD5154" w:rsidRPr="00804C2D" w:rsidRDefault="00455E94" w:rsidP="00455E94">
      <w:pPr>
        <w:pStyle w:val="Point1"/>
        <w:rPr>
          <w:noProof/>
        </w:rPr>
      </w:pPr>
      <w:r w:rsidRPr="00455E94">
        <w:t>(b)</w:t>
      </w:r>
      <w:r w:rsidRPr="00455E94">
        <w:tab/>
      </w:r>
      <w:r w:rsidR="0062668D" w:rsidRPr="00804C2D">
        <w:rPr>
          <w:noProof/>
        </w:rPr>
        <w:t>b</w:t>
      </w:r>
      <w:r w:rsidR="00FD4F27" w:rsidRPr="00804C2D">
        <w:rPr>
          <w:noProof/>
        </w:rPr>
        <w:t>uild</w:t>
      </w:r>
      <w:r w:rsidR="00766F9F" w:rsidRPr="00804C2D">
        <w:rPr>
          <w:noProof/>
        </w:rPr>
        <w:t>ing</w:t>
      </w:r>
      <w:r w:rsidR="00FD4F27" w:rsidRPr="00804C2D">
        <w:rPr>
          <w:noProof/>
        </w:rPr>
        <w:t xml:space="preserve"> career pathways in the </w:t>
      </w:r>
      <w:r w:rsidR="00873AE3">
        <w:rPr>
          <w:noProof/>
        </w:rPr>
        <w:t xml:space="preserve">long-term </w:t>
      </w:r>
      <w:r w:rsidR="00FD4F27" w:rsidRPr="00804C2D">
        <w:rPr>
          <w:noProof/>
        </w:rPr>
        <w:t>care sector</w:t>
      </w:r>
      <w:r w:rsidR="00CD5154" w:rsidRPr="00804C2D">
        <w:rPr>
          <w:noProof/>
        </w:rPr>
        <w:t xml:space="preserve">, </w:t>
      </w:r>
      <w:r w:rsidR="00A350D8" w:rsidRPr="00804C2D">
        <w:rPr>
          <w:noProof/>
        </w:rPr>
        <w:t>including</w:t>
      </w:r>
      <w:r w:rsidR="00CD5154" w:rsidRPr="00804C2D">
        <w:rPr>
          <w:noProof/>
        </w:rPr>
        <w:t xml:space="preserve"> </w:t>
      </w:r>
      <w:r w:rsidR="00471B01">
        <w:rPr>
          <w:noProof/>
        </w:rPr>
        <w:t>through</w:t>
      </w:r>
      <w:r w:rsidR="00471B01" w:rsidRPr="00804C2D">
        <w:rPr>
          <w:noProof/>
        </w:rPr>
        <w:t xml:space="preserve"> </w:t>
      </w:r>
      <w:r w:rsidR="00FD4F27" w:rsidRPr="00804C2D">
        <w:rPr>
          <w:noProof/>
        </w:rPr>
        <w:t>upskilling</w:t>
      </w:r>
      <w:r w:rsidR="00CD5154" w:rsidRPr="00804C2D">
        <w:rPr>
          <w:noProof/>
        </w:rPr>
        <w:t xml:space="preserve">, </w:t>
      </w:r>
      <w:r w:rsidR="00FD4F27" w:rsidRPr="00804C2D">
        <w:rPr>
          <w:noProof/>
        </w:rPr>
        <w:t xml:space="preserve">reskilling, </w:t>
      </w:r>
      <w:r w:rsidR="00CD5154" w:rsidRPr="00804C2D">
        <w:rPr>
          <w:noProof/>
        </w:rPr>
        <w:t xml:space="preserve">skills </w:t>
      </w:r>
      <w:r w:rsidR="00FD4F27" w:rsidRPr="00804C2D">
        <w:rPr>
          <w:noProof/>
        </w:rPr>
        <w:t>validation</w:t>
      </w:r>
      <w:r w:rsidR="00CD5154" w:rsidRPr="00804C2D">
        <w:rPr>
          <w:noProof/>
        </w:rPr>
        <w:t>,</w:t>
      </w:r>
      <w:r w:rsidR="00C565F2" w:rsidRPr="00804C2D">
        <w:rPr>
          <w:noProof/>
        </w:rPr>
        <w:t xml:space="preserve"> </w:t>
      </w:r>
      <w:r w:rsidR="00CD5154" w:rsidRPr="00804C2D">
        <w:rPr>
          <w:noProof/>
        </w:rPr>
        <w:t>and information and guidance services</w:t>
      </w:r>
      <w:r w:rsidR="00DF6BA3">
        <w:rPr>
          <w:noProof/>
        </w:rPr>
        <w:t>;</w:t>
      </w:r>
    </w:p>
    <w:p w14:paraId="7113008B" w14:textId="00ABFB03" w:rsidR="00B50C8B" w:rsidRDefault="00455E94" w:rsidP="00455E94">
      <w:pPr>
        <w:pStyle w:val="Point1"/>
        <w:rPr>
          <w:noProof/>
        </w:rPr>
      </w:pPr>
      <w:r w:rsidRPr="00455E94">
        <w:t>(c)</w:t>
      </w:r>
      <w:r w:rsidRPr="00455E94">
        <w:tab/>
      </w:r>
      <w:r w:rsidR="004F3A31" w:rsidRPr="00804C2D">
        <w:rPr>
          <w:noProof/>
        </w:rPr>
        <w:t>establish</w:t>
      </w:r>
      <w:r w:rsidR="00766F9F" w:rsidRPr="00804C2D">
        <w:rPr>
          <w:noProof/>
        </w:rPr>
        <w:t>ing</w:t>
      </w:r>
      <w:r w:rsidR="004F3A31" w:rsidRPr="00804C2D">
        <w:rPr>
          <w:noProof/>
        </w:rPr>
        <w:t xml:space="preserve"> pathways to a regular employment status</w:t>
      </w:r>
      <w:r w:rsidR="00714AA4" w:rsidRPr="00804C2D">
        <w:rPr>
          <w:noProof/>
        </w:rPr>
        <w:t xml:space="preserve"> </w:t>
      </w:r>
      <w:r w:rsidR="004F3A31" w:rsidRPr="00804C2D">
        <w:rPr>
          <w:noProof/>
        </w:rPr>
        <w:t xml:space="preserve">for undeclared </w:t>
      </w:r>
      <w:r w:rsidR="00873AE3">
        <w:rPr>
          <w:noProof/>
        </w:rPr>
        <w:t xml:space="preserve">long-term care </w:t>
      </w:r>
      <w:r w:rsidR="00A3616B" w:rsidRPr="00804C2D">
        <w:rPr>
          <w:noProof/>
        </w:rPr>
        <w:t>workers</w:t>
      </w:r>
      <w:r w:rsidR="001E6032">
        <w:rPr>
          <w:noProof/>
        </w:rPr>
        <w:t>;</w:t>
      </w:r>
      <w:r w:rsidR="004F3A31" w:rsidRPr="00804C2D">
        <w:rPr>
          <w:noProof/>
        </w:rPr>
        <w:t xml:space="preserve"> </w:t>
      </w:r>
    </w:p>
    <w:p w14:paraId="0108CE7C" w14:textId="0773CDD4" w:rsidR="004F3A31" w:rsidRPr="00804C2D" w:rsidRDefault="00455E94" w:rsidP="00455E94">
      <w:pPr>
        <w:pStyle w:val="Point1"/>
        <w:rPr>
          <w:noProof/>
        </w:rPr>
      </w:pPr>
      <w:r w:rsidRPr="00455E94">
        <w:t>(d)</w:t>
      </w:r>
      <w:r w:rsidRPr="00455E94">
        <w:tab/>
      </w:r>
      <w:r w:rsidR="007146E9">
        <w:rPr>
          <w:noProof/>
        </w:rPr>
        <w:t xml:space="preserve">exploring legal migration pathways </w:t>
      </w:r>
      <w:r w:rsidR="00B50C8B" w:rsidRPr="00270B7E">
        <w:rPr>
          <w:noProof/>
        </w:rPr>
        <w:t xml:space="preserve">for </w:t>
      </w:r>
      <w:r w:rsidR="001E6032">
        <w:rPr>
          <w:noProof/>
        </w:rPr>
        <w:t>long-term care workers;</w:t>
      </w:r>
    </w:p>
    <w:p w14:paraId="49E6136F" w14:textId="2E4E287B" w:rsidR="00451103" w:rsidRPr="00804C2D" w:rsidRDefault="00455E94" w:rsidP="00455E94">
      <w:pPr>
        <w:pStyle w:val="Point1"/>
        <w:rPr>
          <w:noProof/>
        </w:rPr>
      </w:pPr>
      <w:r w:rsidRPr="00455E94">
        <w:t>(e)</w:t>
      </w:r>
      <w:r w:rsidRPr="00455E94">
        <w:tab/>
      </w:r>
      <w:r w:rsidR="00F3442A">
        <w:rPr>
          <w:noProof/>
        </w:rPr>
        <w:t>strengthening</w:t>
      </w:r>
      <w:r w:rsidR="00C30FFE" w:rsidRPr="00804C2D">
        <w:rPr>
          <w:noProof/>
        </w:rPr>
        <w:t xml:space="preserve"> </w:t>
      </w:r>
      <w:r w:rsidR="007F442B" w:rsidRPr="00804C2D">
        <w:rPr>
          <w:noProof/>
        </w:rPr>
        <w:t xml:space="preserve">professional standards, offering attractive professional status and career prospects to </w:t>
      </w:r>
      <w:r w:rsidR="00873AE3">
        <w:rPr>
          <w:noProof/>
        </w:rPr>
        <w:t xml:space="preserve">long-term </w:t>
      </w:r>
      <w:r w:rsidR="007F442B" w:rsidRPr="00804C2D">
        <w:rPr>
          <w:noProof/>
        </w:rPr>
        <w:t xml:space="preserve">carers, including </w:t>
      </w:r>
      <w:r w:rsidR="00873AE3">
        <w:rPr>
          <w:noProof/>
        </w:rPr>
        <w:t>to</w:t>
      </w:r>
      <w:r w:rsidR="00873AE3" w:rsidRPr="00804C2D">
        <w:rPr>
          <w:noProof/>
        </w:rPr>
        <w:t xml:space="preserve"> </w:t>
      </w:r>
      <w:r w:rsidR="009200D8" w:rsidRPr="00804C2D">
        <w:rPr>
          <w:noProof/>
        </w:rPr>
        <w:t xml:space="preserve">those </w:t>
      </w:r>
      <w:r w:rsidR="007F442B" w:rsidRPr="00804C2D">
        <w:rPr>
          <w:noProof/>
        </w:rPr>
        <w:t>with low or no qualification</w:t>
      </w:r>
      <w:r w:rsidR="00C30FFE">
        <w:rPr>
          <w:noProof/>
        </w:rPr>
        <w:t>s</w:t>
      </w:r>
      <w:r w:rsidR="00DF6BA3">
        <w:rPr>
          <w:noProof/>
        </w:rPr>
        <w:t>;</w:t>
      </w:r>
    </w:p>
    <w:p w14:paraId="1A845F7F" w14:textId="1F7D8B1A" w:rsidR="00ED095A" w:rsidRPr="00804C2D" w:rsidRDefault="00455E94" w:rsidP="00455E94">
      <w:pPr>
        <w:pStyle w:val="Point1"/>
        <w:rPr>
          <w:noProof/>
        </w:rPr>
      </w:pPr>
      <w:r w:rsidRPr="00455E94">
        <w:t>(f)</w:t>
      </w:r>
      <w:r w:rsidRPr="00455E94">
        <w:tab/>
      </w:r>
      <w:r w:rsidR="00451103" w:rsidRPr="00804C2D">
        <w:rPr>
          <w:noProof/>
        </w:rPr>
        <w:t xml:space="preserve">implementing measures to tackle gender stereotypes and gender segregation and to make the </w:t>
      </w:r>
      <w:r w:rsidR="00873AE3">
        <w:rPr>
          <w:noProof/>
        </w:rPr>
        <w:t xml:space="preserve">long-term </w:t>
      </w:r>
      <w:r w:rsidR="00451103" w:rsidRPr="00804C2D">
        <w:rPr>
          <w:noProof/>
        </w:rPr>
        <w:t>care profession attractive to both men and women.</w:t>
      </w:r>
    </w:p>
    <w:p w14:paraId="635045BB" w14:textId="0DF2323A" w:rsidR="00234A76" w:rsidRPr="00804C2D" w:rsidRDefault="00455E94" w:rsidP="00455E94">
      <w:pPr>
        <w:pStyle w:val="ManualNumPar1"/>
        <w:rPr>
          <w:noProof/>
          <w:lang w:eastAsia="en-GB"/>
        </w:rPr>
      </w:pPr>
      <w:bookmarkStart w:id="1" w:name="_Hlk112591158"/>
      <w:r w:rsidRPr="00455E94">
        <w:t>9.</w:t>
      </w:r>
      <w:r w:rsidRPr="00455E94">
        <w:tab/>
      </w:r>
      <w:r w:rsidR="005E1821" w:rsidRPr="00804C2D">
        <w:rPr>
          <w:noProof/>
        </w:rPr>
        <w:t xml:space="preserve">Member States </w:t>
      </w:r>
      <w:r w:rsidR="00234A76" w:rsidRPr="00804C2D">
        <w:rPr>
          <w:noProof/>
        </w:rPr>
        <w:t>should</w:t>
      </w:r>
      <w:r w:rsidR="005E1821" w:rsidRPr="00804C2D">
        <w:rPr>
          <w:noProof/>
        </w:rPr>
        <w:t xml:space="preserve"> </w:t>
      </w:r>
      <w:r w:rsidR="008C6040" w:rsidRPr="00804C2D">
        <w:rPr>
          <w:noProof/>
        </w:rPr>
        <w:t>e</w:t>
      </w:r>
      <w:r w:rsidR="00A13A32" w:rsidRPr="00804C2D">
        <w:rPr>
          <w:noProof/>
        </w:rPr>
        <w:t xml:space="preserve">stablish clear procedures to identify </w:t>
      </w:r>
      <w:r w:rsidR="007E5D0D" w:rsidRPr="00804C2D">
        <w:rPr>
          <w:noProof/>
        </w:rPr>
        <w:t>informal carers</w:t>
      </w:r>
      <w:r w:rsidR="00541C83" w:rsidRPr="00804C2D">
        <w:rPr>
          <w:noProof/>
        </w:rPr>
        <w:t xml:space="preserve"> and support them in their caregiving activities by</w:t>
      </w:r>
      <w:r w:rsidR="00234A76" w:rsidRPr="00804C2D">
        <w:rPr>
          <w:noProof/>
        </w:rPr>
        <w:t>:</w:t>
      </w:r>
    </w:p>
    <w:bookmarkEnd w:id="1"/>
    <w:p w14:paraId="198FF26C" w14:textId="0E3E7A9B" w:rsidR="00234A76" w:rsidRPr="00804C2D" w:rsidRDefault="00455E94" w:rsidP="00455E94">
      <w:pPr>
        <w:pStyle w:val="Point1"/>
        <w:rPr>
          <w:noProof/>
          <w:lang w:eastAsia="en-GB"/>
        </w:rPr>
      </w:pPr>
      <w:r w:rsidRPr="00455E94">
        <w:t>(a)</w:t>
      </w:r>
      <w:r w:rsidRPr="00455E94">
        <w:tab/>
      </w:r>
      <w:r w:rsidR="00081406" w:rsidRPr="00804C2D">
        <w:rPr>
          <w:noProof/>
          <w:lang w:eastAsia="en-GB"/>
        </w:rPr>
        <w:t xml:space="preserve">facilitating their cooperation with </w:t>
      </w:r>
      <w:r w:rsidR="00323DB3" w:rsidRPr="00804C2D">
        <w:rPr>
          <w:noProof/>
          <w:lang w:eastAsia="en-GB"/>
        </w:rPr>
        <w:t xml:space="preserve">long-term </w:t>
      </w:r>
      <w:r w:rsidR="00081406" w:rsidRPr="00804C2D">
        <w:rPr>
          <w:noProof/>
          <w:lang w:eastAsia="en-GB"/>
        </w:rPr>
        <w:t>care workers</w:t>
      </w:r>
      <w:r w:rsidR="00471B01">
        <w:rPr>
          <w:noProof/>
          <w:lang w:eastAsia="en-GB"/>
        </w:rPr>
        <w:t>;</w:t>
      </w:r>
    </w:p>
    <w:p w14:paraId="4253EAC2" w14:textId="36DE6E69" w:rsidR="00234A76" w:rsidRPr="00804C2D" w:rsidRDefault="00455E94" w:rsidP="00455E94">
      <w:pPr>
        <w:pStyle w:val="Point1"/>
        <w:rPr>
          <w:noProof/>
          <w:lang w:eastAsia="en-GB"/>
        </w:rPr>
      </w:pPr>
      <w:r w:rsidRPr="00455E94">
        <w:t>(b)</w:t>
      </w:r>
      <w:r w:rsidRPr="00455E94">
        <w:tab/>
      </w:r>
      <w:r w:rsidR="00527D57" w:rsidRPr="00804C2D">
        <w:rPr>
          <w:noProof/>
          <w:lang w:eastAsia="en-GB"/>
        </w:rPr>
        <w:t>helping them to</w:t>
      </w:r>
      <w:r w:rsidR="002B5BA1" w:rsidRPr="00804C2D">
        <w:rPr>
          <w:noProof/>
          <w:lang w:eastAsia="en-GB"/>
        </w:rPr>
        <w:t xml:space="preserve"> </w:t>
      </w:r>
      <w:r w:rsidR="00081406" w:rsidRPr="00804C2D">
        <w:rPr>
          <w:noProof/>
          <w:lang w:eastAsia="en-GB"/>
        </w:rPr>
        <w:t xml:space="preserve">access the necessary training, counselling, healthcare, psychological support </w:t>
      </w:r>
      <w:r w:rsidR="00527D57" w:rsidRPr="00804C2D">
        <w:rPr>
          <w:noProof/>
          <w:lang w:eastAsia="en-GB"/>
        </w:rPr>
        <w:t xml:space="preserve">and </w:t>
      </w:r>
      <w:r w:rsidR="00081406" w:rsidRPr="00804C2D">
        <w:rPr>
          <w:noProof/>
          <w:lang w:eastAsia="en-GB"/>
        </w:rPr>
        <w:t>respite care</w:t>
      </w:r>
      <w:r w:rsidR="00471B01">
        <w:rPr>
          <w:noProof/>
          <w:lang w:eastAsia="en-GB"/>
        </w:rPr>
        <w:t>;</w:t>
      </w:r>
    </w:p>
    <w:p w14:paraId="2861DFEE" w14:textId="120076E8" w:rsidR="0012464D" w:rsidRPr="00804C2D" w:rsidRDefault="00455E94" w:rsidP="00455E94">
      <w:pPr>
        <w:pStyle w:val="Point1"/>
        <w:rPr>
          <w:noProof/>
          <w:lang w:eastAsia="en-GB"/>
        </w:rPr>
      </w:pPr>
      <w:bookmarkStart w:id="2" w:name="_Hlk112591169"/>
      <w:r w:rsidRPr="00455E94">
        <w:t>(c)</w:t>
      </w:r>
      <w:r w:rsidRPr="00455E94">
        <w:tab/>
      </w:r>
      <w:r w:rsidR="00527D57" w:rsidRPr="00804C2D">
        <w:rPr>
          <w:noProof/>
          <w:lang w:eastAsia="en-GB"/>
        </w:rPr>
        <w:t>provid</w:t>
      </w:r>
      <w:r w:rsidR="00234A76" w:rsidRPr="00804C2D">
        <w:rPr>
          <w:noProof/>
          <w:lang w:eastAsia="en-GB"/>
        </w:rPr>
        <w:t>ing them</w:t>
      </w:r>
      <w:r w:rsidR="00081406" w:rsidRPr="00804C2D">
        <w:rPr>
          <w:noProof/>
          <w:lang w:eastAsia="en-GB"/>
        </w:rPr>
        <w:t xml:space="preserve"> with </w:t>
      </w:r>
      <w:r w:rsidR="00EB2DD5">
        <w:rPr>
          <w:noProof/>
        </w:rPr>
        <w:t>adequate</w:t>
      </w:r>
      <w:r w:rsidR="00EB2DD5" w:rsidRPr="00FE3FA5">
        <w:rPr>
          <w:noProof/>
        </w:rPr>
        <w:t xml:space="preserve"> </w:t>
      </w:r>
      <w:r w:rsidR="00081406" w:rsidRPr="00804C2D">
        <w:rPr>
          <w:noProof/>
          <w:lang w:eastAsia="en-GB"/>
        </w:rPr>
        <w:t xml:space="preserve">financial support, while making sure that such support measures do not </w:t>
      </w:r>
      <w:r w:rsidR="00471B01">
        <w:rPr>
          <w:noProof/>
          <w:lang w:eastAsia="en-GB"/>
        </w:rPr>
        <w:t>deter</w:t>
      </w:r>
      <w:r w:rsidR="00CC625C" w:rsidRPr="00804C2D">
        <w:rPr>
          <w:noProof/>
          <w:lang w:eastAsia="en-GB"/>
        </w:rPr>
        <w:t xml:space="preserve"> </w:t>
      </w:r>
      <w:r w:rsidR="00081406" w:rsidRPr="00804C2D">
        <w:rPr>
          <w:noProof/>
          <w:lang w:eastAsia="en-GB"/>
        </w:rPr>
        <w:t>labour market participation.</w:t>
      </w:r>
    </w:p>
    <w:bookmarkEnd w:id="2"/>
    <w:p w14:paraId="4DD883ED" w14:textId="77777777" w:rsidR="00FD16FC" w:rsidRPr="00804C2D" w:rsidRDefault="004528CF" w:rsidP="00964E87">
      <w:pPr>
        <w:rPr>
          <w:b/>
          <w:noProof/>
        </w:rPr>
      </w:pPr>
      <w:r w:rsidRPr="00804C2D">
        <w:rPr>
          <w:b/>
          <w:noProof/>
        </w:rPr>
        <w:t>GOVERNANCE</w:t>
      </w:r>
      <w:r w:rsidR="00C947A4">
        <w:rPr>
          <w:b/>
          <w:noProof/>
        </w:rPr>
        <w:t>, MONITORING AND REPORTING</w:t>
      </w:r>
    </w:p>
    <w:p w14:paraId="064A0C78" w14:textId="0A8E5932" w:rsidR="00C947A4" w:rsidRPr="00C947A4" w:rsidRDefault="00455E94" w:rsidP="00455E94">
      <w:pPr>
        <w:pStyle w:val="ManualNumPar1"/>
        <w:rPr>
          <w:noProof/>
        </w:rPr>
      </w:pPr>
      <w:r w:rsidRPr="00455E94">
        <w:t>10.</w:t>
      </w:r>
      <w:r w:rsidRPr="00455E94">
        <w:tab/>
      </w:r>
      <w:r w:rsidR="00C947A4" w:rsidRPr="00C947A4">
        <w:rPr>
          <w:noProof/>
        </w:rPr>
        <w:t xml:space="preserve">Member States </w:t>
      </w:r>
      <w:r w:rsidR="000335BA">
        <w:rPr>
          <w:noProof/>
        </w:rPr>
        <w:t>should</w:t>
      </w:r>
      <w:r w:rsidR="00837E82" w:rsidRPr="00C947A4">
        <w:rPr>
          <w:noProof/>
        </w:rPr>
        <w:t xml:space="preserve"> </w:t>
      </w:r>
      <w:r w:rsidR="00295487">
        <w:rPr>
          <w:noProof/>
        </w:rPr>
        <w:t>ensure sound policy governance in long-term care</w:t>
      </w:r>
      <w:r w:rsidR="00C457CE">
        <w:rPr>
          <w:noProof/>
        </w:rPr>
        <w:t xml:space="preserve"> and</w:t>
      </w:r>
      <w:r w:rsidR="003117FE">
        <w:rPr>
          <w:noProof/>
        </w:rPr>
        <w:t xml:space="preserve"> </w:t>
      </w:r>
      <w:r w:rsidR="000C2529">
        <w:rPr>
          <w:noProof/>
        </w:rPr>
        <w:t>ensure</w:t>
      </w:r>
      <w:r w:rsidR="000C2529" w:rsidRPr="00C947A4">
        <w:rPr>
          <w:noProof/>
        </w:rPr>
        <w:t xml:space="preserve"> </w:t>
      </w:r>
      <w:r w:rsidR="003117FE" w:rsidRPr="00C947A4">
        <w:rPr>
          <w:noProof/>
        </w:rPr>
        <w:t xml:space="preserve">a coordination mechanism to design and deploy actions and investments </w:t>
      </w:r>
      <w:r w:rsidR="003117FE">
        <w:rPr>
          <w:noProof/>
        </w:rPr>
        <w:t>in th</w:t>
      </w:r>
      <w:r w:rsidR="000815EC">
        <w:rPr>
          <w:noProof/>
        </w:rPr>
        <w:t>at</w:t>
      </w:r>
      <w:r w:rsidR="003117FE">
        <w:rPr>
          <w:noProof/>
        </w:rPr>
        <w:t xml:space="preserve"> area</w:t>
      </w:r>
      <w:r w:rsidR="00295487">
        <w:rPr>
          <w:noProof/>
        </w:rPr>
        <w:t xml:space="preserve">, </w:t>
      </w:r>
      <w:r w:rsidR="00C947A4" w:rsidRPr="00C947A4">
        <w:rPr>
          <w:noProof/>
        </w:rPr>
        <w:t>in particular by:</w:t>
      </w:r>
    </w:p>
    <w:p w14:paraId="0FD126FC" w14:textId="3E6D84D9" w:rsidR="008729FC" w:rsidRDefault="00455E94" w:rsidP="00455E94">
      <w:pPr>
        <w:pStyle w:val="Point1"/>
        <w:rPr>
          <w:noProof/>
          <w:lang w:eastAsia="en-GB"/>
        </w:rPr>
      </w:pPr>
      <w:r w:rsidRPr="00455E94">
        <w:t>(a)</w:t>
      </w:r>
      <w:r w:rsidRPr="00455E94">
        <w:tab/>
      </w:r>
      <w:r w:rsidR="003117FE" w:rsidRPr="003117FE" w:rsidDel="006042B4">
        <w:rPr>
          <w:noProof/>
          <w:lang w:eastAsia="en-GB"/>
        </w:rPr>
        <w:t xml:space="preserve">appointing a national long-term care coordinator, </w:t>
      </w:r>
      <w:r w:rsidR="00C30FFE">
        <w:rPr>
          <w:noProof/>
          <w:lang w:eastAsia="en-GB"/>
        </w:rPr>
        <w:t>supplied</w:t>
      </w:r>
      <w:r w:rsidR="00C30FFE" w:rsidRPr="003117FE" w:rsidDel="006042B4">
        <w:rPr>
          <w:noProof/>
          <w:lang w:eastAsia="en-GB"/>
        </w:rPr>
        <w:t xml:space="preserve"> </w:t>
      </w:r>
      <w:r w:rsidR="003117FE" w:rsidRPr="003117FE" w:rsidDel="006042B4">
        <w:rPr>
          <w:noProof/>
          <w:lang w:eastAsia="en-GB"/>
        </w:rPr>
        <w:t xml:space="preserve">with </w:t>
      </w:r>
      <w:r w:rsidR="00EB2DD5">
        <w:rPr>
          <w:noProof/>
        </w:rPr>
        <w:t>adequate</w:t>
      </w:r>
      <w:r w:rsidR="00EB2DD5" w:rsidRPr="00FE3FA5">
        <w:rPr>
          <w:noProof/>
        </w:rPr>
        <w:t xml:space="preserve"> </w:t>
      </w:r>
      <w:r w:rsidR="003117FE" w:rsidRPr="003117FE" w:rsidDel="006042B4">
        <w:rPr>
          <w:noProof/>
          <w:lang w:eastAsia="en-GB"/>
        </w:rPr>
        <w:t xml:space="preserve">resources and </w:t>
      </w:r>
      <w:r w:rsidR="00C30FFE">
        <w:rPr>
          <w:noProof/>
          <w:lang w:eastAsia="en-GB"/>
        </w:rPr>
        <w:t xml:space="preserve">a </w:t>
      </w:r>
      <w:r w:rsidR="003117FE" w:rsidRPr="003117FE" w:rsidDel="006042B4">
        <w:rPr>
          <w:noProof/>
          <w:lang w:eastAsia="en-GB"/>
        </w:rPr>
        <w:t xml:space="preserve">mandate enabling the effective coordination and monitoring of the implementation of this Recommendation at national level and acting as a contact point at </w:t>
      </w:r>
      <w:r w:rsidR="00210D93">
        <w:rPr>
          <w:noProof/>
          <w:lang w:eastAsia="en-GB"/>
        </w:rPr>
        <w:t>Union</w:t>
      </w:r>
      <w:r w:rsidR="003117FE" w:rsidRPr="003117FE" w:rsidDel="006042B4">
        <w:rPr>
          <w:noProof/>
          <w:lang w:eastAsia="en-GB"/>
        </w:rPr>
        <w:t xml:space="preserve"> level</w:t>
      </w:r>
      <w:r w:rsidR="00210D93">
        <w:rPr>
          <w:noProof/>
          <w:lang w:eastAsia="en-GB"/>
        </w:rPr>
        <w:t>;</w:t>
      </w:r>
    </w:p>
    <w:p w14:paraId="08C38A71" w14:textId="2E02D9E2" w:rsidR="008729FC" w:rsidRDefault="00455E94" w:rsidP="00455E94">
      <w:pPr>
        <w:pStyle w:val="Point1"/>
        <w:rPr>
          <w:noProof/>
          <w:lang w:eastAsia="en-GB"/>
        </w:rPr>
      </w:pPr>
      <w:r w:rsidRPr="00455E94">
        <w:t>(b)</w:t>
      </w:r>
      <w:r w:rsidRPr="00455E94">
        <w:tab/>
      </w:r>
      <w:r w:rsidR="00C947A4" w:rsidRPr="00C947A4">
        <w:rPr>
          <w:noProof/>
          <w:lang w:eastAsia="en-GB"/>
        </w:rPr>
        <w:t xml:space="preserve">involving all relevant stakeholders at national, regional and local levels in the preparation, implementation, monitoring and evaluation of long-term care policies and improving </w:t>
      </w:r>
      <w:r w:rsidR="00152377">
        <w:rPr>
          <w:noProof/>
          <w:lang w:eastAsia="en-GB"/>
        </w:rPr>
        <w:t>the</w:t>
      </w:r>
      <w:r w:rsidR="00152377" w:rsidRPr="00C947A4">
        <w:rPr>
          <w:noProof/>
          <w:lang w:eastAsia="en-GB"/>
        </w:rPr>
        <w:t xml:space="preserve"> </w:t>
      </w:r>
      <w:r w:rsidR="005E2D62">
        <w:rPr>
          <w:noProof/>
          <w:lang w:eastAsia="en-GB"/>
        </w:rPr>
        <w:t>consistency</w:t>
      </w:r>
      <w:r w:rsidR="005E2D62" w:rsidRPr="00C947A4">
        <w:rPr>
          <w:noProof/>
          <w:lang w:eastAsia="en-GB"/>
        </w:rPr>
        <w:t xml:space="preserve"> </w:t>
      </w:r>
      <w:r w:rsidR="00152377">
        <w:rPr>
          <w:noProof/>
          <w:lang w:eastAsia="en-GB"/>
        </w:rPr>
        <w:t xml:space="preserve">of long-term care policies </w:t>
      </w:r>
      <w:r w:rsidR="00C947A4" w:rsidRPr="00C947A4">
        <w:rPr>
          <w:noProof/>
          <w:lang w:eastAsia="en-GB"/>
        </w:rPr>
        <w:t>with other relevant policies, including healthcare, employment, education and training, broader social protection and social inclusion, gender equality, and disability</w:t>
      </w:r>
      <w:r w:rsidR="00295487">
        <w:rPr>
          <w:noProof/>
          <w:lang w:eastAsia="en-GB"/>
        </w:rPr>
        <w:t xml:space="preserve"> rights</w:t>
      </w:r>
      <w:r w:rsidR="00210D93">
        <w:rPr>
          <w:noProof/>
          <w:lang w:eastAsia="en-GB"/>
        </w:rPr>
        <w:t>;</w:t>
      </w:r>
    </w:p>
    <w:p w14:paraId="6A017F7B" w14:textId="414C7A76" w:rsidR="008729FC" w:rsidRDefault="00455E94" w:rsidP="00455E94">
      <w:pPr>
        <w:pStyle w:val="Point1"/>
        <w:rPr>
          <w:noProof/>
          <w:lang w:eastAsia="en-GB"/>
        </w:rPr>
      </w:pPr>
      <w:r w:rsidRPr="00455E94">
        <w:t>(c)</w:t>
      </w:r>
      <w:r w:rsidRPr="00455E94">
        <w:tab/>
      </w:r>
      <w:r w:rsidR="00E415CF" w:rsidRPr="00C947A4">
        <w:rPr>
          <w:noProof/>
          <w:lang w:eastAsia="en-GB"/>
        </w:rPr>
        <w:t>developing a national framework for data collection and evaluation, underpinned by relevant indicators</w:t>
      </w:r>
      <w:r w:rsidR="00E415CF">
        <w:rPr>
          <w:noProof/>
          <w:lang w:eastAsia="en-GB"/>
        </w:rPr>
        <w:t>,</w:t>
      </w:r>
      <w:r w:rsidR="00E415CF" w:rsidRPr="00C947A4">
        <w:rPr>
          <w:noProof/>
          <w:lang w:eastAsia="en-GB"/>
        </w:rPr>
        <w:t xml:space="preserve"> </w:t>
      </w:r>
      <w:r w:rsidR="00E415CF">
        <w:rPr>
          <w:noProof/>
          <w:lang w:eastAsia="en-GB"/>
        </w:rPr>
        <w:t>collection of evidence</w:t>
      </w:r>
      <w:r w:rsidR="00447F3F">
        <w:rPr>
          <w:noProof/>
          <w:lang w:eastAsia="en-GB"/>
        </w:rPr>
        <w:t>,</w:t>
      </w:r>
      <w:r w:rsidR="00647BAC">
        <w:rPr>
          <w:noProof/>
          <w:lang w:eastAsia="en-GB"/>
        </w:rPr>
        <w:t xml:space="preserve"> including on gaps and inequalities in long-term care provision</w:t>
      </w:r>
      <w:r w:rsidR="00E415CF">
        <w:rPr>
          <w:noProof/>
          <w:lang w:eastAsia="en-GB"/>
        </w:rPr>
        <w:t xml:space="preserve">, lessons learned </w:t>
      </w:r>
      <w:r w:rsidR="00E415CF" w:rsidRPr="00C947A4">
        <w:rPr>
          <w:noProof/>
          <w:lang w:eastAsia="en-GB"/>
        </w:rPr>
        <w:t>and successful practices</w:t>
      </w:r>
      <w:r w:rsidR="00C30FFE">
        <w:rPr>
          <w:noProof/>
          <w:lang w:eastAsia="en-GB"/>
        </w:rPr>
        <w:t>,</w:t>
      </w:r>
      <w:r w:rsidR="00E415CF" w:rsidRPr="00C947A4">
        <w:rPr>
          <w:noProof/>
          <w:lang w:eastAsia="en-GB"/>
        </w:rPr>
        <w:t xml:space="preserve"> </w:t>
      </w:r>
      <w:r w:rsidR="00C30FFE">
        <w:rPr>
          <w:noProof/>
          <w:lang w:eastAsia="en-GB"/>
        </w:rPr>
        <w:t>and</w:t>
      </w:r>
      <w:r w:rsidR="00E415CF" w:rsidRPr="00C947A4">
        <w:rPr>
          <w:noProof/>
          <w:lang w:eastAsia="en-GB"/>
        </w:rPr>
        <w:t xml:space="preserve"> feedback from </w:t>
      </w:r>
      <w:r w:rsidR="00D53158">
        <w:rPr>
          <w:noProof/>
          <w:lang w:eastAsia="en-GB"/>
        </w:rPr>
        <w:t>people</w:t>
      </w:r>
      <w:r w:rsidR="00D53158" w:rsidRPr="00C947A4">
        <w:rPr>
          <w:noProof/>
          <w:lang w:eastAsia="en-GB"/>
        </w:rPr>
        <w:t xml:space="preserve"> </w:t>
      </w:r>
      <w:r w:rsidR="00E415CF">
        <w:rPr>
          <w:noProof/>
          <w:lang w:eastAsia="en-GB"/>
        </w:rPr>
        <w:t>receivin</w:t>
      </w:r>
      <w:r w:rsidR="00E415CF" w:rsidRPr="00C947A4">
        <w:rPr>
          <w:noProof/>
          <w:lang w:eastAsia="en-GB"/>
        </w:rPr>
        <w:t>g care and other stakeholders</w:t>
      </w:r>
      <w:r w:rsidR="00210D93">
        <w:rPr>
          <w:noProof/>
          <w:lang w:eastAsia="en-GB"/>
        </w:rPr>
        <w:t>;</w:t>
      </w:r>
    </w:p>
    <w:p w14:paraId="3B8A0080" w14:textId="375B36A7" w:rsidR="00C947A4" w:rsidRPr="00C947A4" w:rsidRDefault="00455E94" w:rsidP="00455E94">
      <w:pPr>
        <w:pStyle w:val="Point1"/>
        <w:rPr>
          <w:noProof/>
          <w:lang w:eastAsia="en-GB"/>
        </w:rPr>
      </w:pPr>
      <w:r w:rsidRPr="00455E94">
        <w:t>(d)</w:t>
      </w:r>
      <w:r w:rsidRPr="00455E94">
        <w:tab/>
      </w:r>
      <w:r w:rsidR="00C947A4" w:rsidRPr="00C947A4">
        <w:rPr>
          <w:noProof/>
          <w:lang w:eastAsia="en-GB"/>
        </w:rPr>
        <w:t>developing a mechanism for forecasting long-term care needs at national, regional and local levels and integrating it into the planning of long-term care provision</w:t>
      </w:r>
      <w:r w:rsidR="00210D93">
        <w:rPr>
          <w:noProof/>
          <w:lang w:eastAsia="en-GB"/>
        </w:rPr>
        <w:t>;</w:t>
      </w:r>
    </w:p>
    <w:p w14:paraId="384207D1" w14:textId="4DF12668" w:rsidR="00C947A4" w:rsidRPr="00C947A4" w:rsidRDefault="00455E94" w:rsidP="00455E94">
      <w:pPr>
        <w:pStyle w:val="Point1"/>
        <w:rPr>
          <w:noProof/>
          <w:lang w:eastAsia="en-GB"/>
        </w:rPr>
      </w:pPr>
      <w:r w:rsidRPr="00455E94">
        <w:t>(e)</w:t>
      </w:r>
      <w:r w:rsidRPr="00455E94">
        <w:tab/>
      </w:r>
      <w:r w:rsidR="00C947A4" w:rsidRPr="00C947A4">
        <w:rPr>
          <w:noProof/>
          <w:lang w:eastAsia="en-GB"/>
        </w:rPr>
        <w:t>strengthening contingency planning and capacity to ensure continuity of long-term care provision when confronted with unforeseen circumstances and emergencies</w:t>
      </w:r>
      <w:r w:rsidR="00210D93">
        <w:rPr>
          <w:noProof/>
          <w:lang w:eastAsia="en-GB"/>
        </w:rPr>
        <w:t>;</w:t>
      </w:r>
    </w:p>
    <w:p w14:paraId="5832A42E" w14:textId="4BA682B5" w:rsidR="00C947A4" w:rsidRPr="00C947A4" w:rsidRDefault="00455E94" w:rsidP="00455E94">
      <w:pPr>
        <w:pStyle w:val="Point1"/>
        <w:rPr>
          <w:noProof/>
          <w:lang w:eastAsia="en-GB"/>
        </w:rPr>
      </w:pPr>
      <w:r w:rsidRPr="00455E94">
        <w:t>(f)</w:t>
      </w:r>
      <w:r w:rsidRPr="00455E94">
        <w:tab/>
      </w:r>
      <w:r w:rsidR="00C947A4" w:rsidRPr="00C947A4">
        <w:rPr>
          <w:noProof/>
          <w:lang w:eastAsia="en-GB"/>
        </w:rPr>
        <w:t xml:space="preserve">taking measures to raise awareness, encourage and facilitate the take-up of the available long-term care services </w:t>
      </w:r>
      <w:r w:rsidR="0044576A">
        <w:rPr>
          <w:noProof/>
          <w:lang w:eastAsia="en-GB"/>
        </w:rPr>
        <w:t xml:space="preserve">and support </w:t>
      </w:r>
      <w:r w:rsidR="00295487">
        <w:rPr>
          <w:noProof/>
          <w:lang w:eastAsia="en-GB"/>
        </w:rPr>
        <w:t xml:space="preserve">by </w:t>
      </w:r>
      <w:r w:rsidR="00D53158">
        <w:rPr>
          <w:noProof/>
          <w:lang w:eastAsia="en-GB"/>
        </w:rPr>
        <w:t>people</w:t>
      </w:r>
      <w:r w:rsidR="00D53158" w:rsidRPr="00C947A4">
        <w:rPr>
          <w:noProof/>
          <w:lang w:eastAsia="en-GB"/>
        </w:rPr>
        <w:t xml:space="preserve"> </w:t>
      </w:r>
      <w:r w:rsidR="00C947A4" w:rsidRPr="00C947A4">
        <w:rPr>
          <w:noProof/>
          <w:lang w:eastAsia="en-GB"/>
        </w:rPr>
        <w:t>in need of long-term care, their families, long-term care workers and informal carers, including at regional and local levels</w:t>
      </w:r>
      <w:r w:rsidR="00210D93">
        <w:rPr>
          <w:noProof/>
          <w:lang w:eastAsia="en-GB"/>
        </w:rPr>
        <w:t>;</w:t>
      </w:r>
    </w:p>
    <w:p w14:paraId="29D16EF3" w14:textId="5AFA33EA" w:rsidR="001A070E" w:rsidRPr="008729FC" w:rsidRDefault="00455E94" w:rsidP="00455E94">
      <w:pPr>
        <w:pStyle w:val="Point1"/>
        <w:rPr>
          <w:noProof/>
          <w:lang w:eastAsia="en-GB"/>
        </w:rPr>
      </w:pPr>
      <w:r w:rsidRPr="00455E94">
        <w:t>(g)</w:t>
      </w:r>
      <w:r w:rsidRPr="00455E94">
        <w:tab/>
      </w:r>
      <w:r w:rsidR="00837E82">
        <w:rPr>
          <w:noProof/>
          <w:lang w:eastAsia="en-GB"/>
        </w:rPr>
        <w:t xml:space="preserve">mobilising </w:t>
      </w:r>
      <w:r w:rsidR="00675591">
        <w:rPr>
          <w:noProof/>
          <w:lang w:eastAsia="en-GB"/>
        </w:rPr>
        <w:t>and making cost-</w:t>
      </w:r>
      <w:r w:rsidR="00675591" w:rsidRPr="008729FC">
        <w:rPr>
          <w:noProof/>
          <w:lang w:eastAsia="en-GB"/>
        </w:rPr>
        <w:t xml:space="preserve">effective use of </w:t>
      </w:r>
      <w:r w:rsidR="00EB2DD5" w:rsidRPr="008729FC">
        <w:rPr>
          <w:noProof/>
          <w:lang w:eastAsia="en-GB"/>
        </w:rPr>
        <w:t xml:space="preserve">adequate </w:t>
      </w:r>
      <w:r w:rsidR="00837E82" w:rsidRPr="008729FC">
        <w:rPr>
          <w:noProof/>
          <w:lang w:eastAsia="en-GB"/>
        </w:rPr>
        <w:t xml:space="preserve">and sustainable funding </w:t>
      </w:r>
      <w:r w:rsidR="00FB419F" w:rsidRPr="008729FC">
        <w:rPr>
          <w:noProof/>
          <w:lang w:eastAsia="en-GB"/>
        </w:rPr>
        <w:t>for long-term care,</w:t>
      </w:r>
      <w:r w:rsidR="00675591" w:rsidRPr="008729FC">
        <w:rPr>
          <w:noProof/>
          <w:lang w:eastAsia="en-GB"/>
        </w:rPr>
        <w:t xml:space="preserve"> </w:t>
      </w:r>
      <w:r w:rsidR="00CD4BDF" w:rsidRPr="008729FC">
        <w:rPr>
          <w:noProof/>
          <w:lang w:eastAsia="en-GB"/>
        </w:rPr>
        <w:t>including by</w:t>
      </w:r>
      <w:r w:rsidR="00FB419F" w:rsidRPr="008729FC">
        <w:rPr>
          <w:noProof/>
          <w:lang w:eastAsia="en-GB"/>
        </w:rPr>
        <w:t xml:space="preserve"> making </w:t>
      </w:r>
      <w:r w:rsidR="00837E82" w:rsidRPr="008729FC">
        <w:rPr>
          <w:noProof/>
          <w:lang w:eastAsia="en-GB"/>
        </w:rPr>
        <w:t>use of Union funds and instruments</w:t>
      </w:r>
      <w:r w:rsidR="002A19EB" w:rsidRPr="008729FC">
        <w:rPr>
          <w:noProof/>
          <w:lang w:eastAsia="en-GB"/>
        </w:rPr>
        <w:t xml:space="preserve"> and by pursuing policies conducive to the sustainable funding of care services that are coherent with the overall sustainability of public finances.</w:t>
      </w:r>
    </w:p>
    <w:p w14:paraId="629A2BE1" w14:textId="4954F2FA" w:rsidR="003117FE" w:rsidRPr="00B82010" w:rsidRDefault="00455E94" w:rsidP="00455E94">
      <w:pPr>
        <w:pStyle w:val="ManualNumPar1"/>
        <w:rPr>
          <w:noProof/>
          <w:lang w:eastAsia="en-GB"/>
        </w:rPr>
      </w:pPr>
      <w:r w:rsidRPr="00455E94">
        <w:t>11.</w:t>
      </w:r>
      <w:r w:rsidRPr="00455E94">
        <w:tab/>
      </w:r>
      <w:r w:rsidR="001A070E">
        <w:rPr>
          <w:noProof/>
          <w:lang w:eastAsia="en-GB"/>
        </w:rPr>
        <w:t xml:space="preserve">Member States are recommended to </w:t>
      </w:r>
      <w:r w:rsidR="003117FE" w:rsidRPr="00F84D7A">
        <w:rPr>
          <w:noProof/>
          <w:lang w:eastAsia="en-GB"/>
        </w:rPr>
        <w:t>submi</w:t>
      </w:r>
      <w:r w:rsidR="001A070E">
        <w:rPr>
          <w:noProof/>
          <w:lang w:eastAsia="en-GB"/>
        </w:rPr>
        <w:t>t</w:t>
      </w:r>
      <w:r w:rsidR="003117FE" w:rsidRPr="00F84D7A">
        <w:rPr>
          <w:noProof/>
          <w:lang w:eastAsia="en-GB"/>
        </w:rPr>
        <w:t xml:space="preserve"> to the Commission</w:t>
      </w:r>
      <w:r w:rsidR="00210D93">
        <w:rPr>
          <w:noProof/>
          <w:lang w:eastAsia="en-GB"/>
        </w:rPr>
        <w:t>,</w:t>
      </w:r>
      <w:r w:rsidR="003117FE" w:rsidRPr="00F84D7A">
        <w:rPr>
          <w:noProof/>
          <w:lang w:eastAsia="en-GB"/>
        </w:rPr>
        <w:t xml:space="preserve"> </w:t>
      </w:r>
      <w:r w:rsidR="00210D93">
        <w:rPr>
          <w:noProof/>
          <w:lang w:eastAsia="en-GB"/>
        </w:rPr>
        <w:t>w</w:t>
      </w:r>
      <w:r w:rsidR="00210D93" w:rsidRPr="00B82010">
        <w:rPr>
          <w:noProof/>
          <w:lang w:eastAsia="en-GB"/>
        </w:rPr>
        <w:t xml:space="preserve">ithin 12 months </w:t>
      </w:r>
      <w:r w:rsidR="00210D93">
        <w:rPr>
          <w:noProof/>
          <w:lang w:eastAsia="en-GB"/>
        </w:rPr>
        <w:t>of</w:t>
      </w:r>
      <w:r w:rsidR="00210D93" w:rsidRPr="00B82010">
        <w:rPr>
          <w:noProof/>
          <w:lang w:eastAsia="en-GB"/>
        </w:rPr>
        <w:t xml:space="preserve"> the adoption of this Recommendation, </w:t>
      </w:r>
      <w:r w:rsidR="003117FE" w:rsidRPr="00F84D7A">
        <w:rPr>
          <w:noProof/>
          <w:lang w:eastAsia="en-GB"/>
        </w:rPr>
        <w:t>a national action plan presenting measures to implement th</w:t>
      </w:r>
      <w:r w:rsidR="00210D93">
        <w:rPr>
          <w:noProof/>
          <w:lang w:eastAsia="en-GB"/>
        </w:rPr>
        <w:t>is</w:t>
      </w:r>
      <w:r w:rsidR="003117FE" w:rsidRPr="00F84D7A">
        <w:rPr>
          <w:noProof/>
          <w:lang w:eastAsia="en-GB"/>
        </w:rPr>
        <w:t xml:space="preserve"> Recommendation, taking into account national, regional and local circumstances, </w:t>
      </w:r>
      <w:r w:rsidR="003117FE" w:rsidRPr="00B82010">
        <w:rPr>
          <w:noProof/>
          <w:lang w:eastAsia="en-GB"/>
        </w:rPr>
        <w:t xml:space="preserve">and </w:t>
      </w:r>
      <w:r w:rsidR="003117FE">
        <w:rPr>
          <w:noProof/>
          <w:lang w:eastAsia="en-GB"/>
        </w:rPr>
        <w:t>subsequently regular progress reports</w:t>
      </w:r>
      <w:r w:rsidR="003117FE" w:rsidRPr="00B82010">
        <w:rPr>
          <w:noProof/>
          <w:lang w:eastAsia="en-GB"/>
        </w:rPr>
        <w:t>.</w:t>
      </w:r>
    </w:p>
    <w:p w14:paraId="4F923B24" w14:textId="1593273C" w:rsidR="00C947A4" w:rsidRPr="00C947A4" w:rsidRDefault="00455E94" w:rsidP="00455E94">
      <w:pPr>
        <w:pStyle w:val="ManualNumPar1"/>
        <w:rPr>
          <w:noProof/>
        </w:rPr>
      </w:pPr>
      <w:r w:rsidRPr="00455E94">
        <w:t>12.</w:t>
      </w:r>
      <w:r w:rsidRPr="00455E94">
        <w:tab/>
      </w:r>
      <w:r w:rsidR="00C947A4" w:rsidRPr="00C947A4">
        <w:rPr>
          <w:noProof/>
        </w:rPr>
        <w:t>The Council welcomes the Commission’s intention to:</w:t>
      </w:r>
    </w:p>
    <w:p w14:paraId="37F3BD34" w14:textId="3BBB254F" w:rsidR="00C947A4" w:rsidRPr="00C947A4" w:rsidRDefault="00455E94" w:rsidP="00455E94">
      <w:pPr>
        <w:pStyle w:val="Point1"/>
        <w:rPr>
          <w:noProof/>
          <w:lang w:eastAsia="en-GB"/>
        </w:rPr>
      </w:pPr>
      <w:r w:rsidRPr="00455E94">
        <w:t>(a)</w:t>
      </w:r>
      <w:r w:rsidRPr="00455E94">
        <w:tab/>
      </w:r>
      <w:r w:rsidR="00C947A4" w:rsidRPr="00C947A4">
        <w:rPr>
          <w:noProof/>
          <w:lang w:eastAsia="en-GB"/>
        </w:rPr>
        <w:t xml:space="preserve">mobilise Union funding </w:t>
      </w:r>
      <w:r w:rsidR="00370811">
        <w:rPr>
          <w:noProof/>
          <w:lang w:eastAsia="en-GB"/>
        </w:rPr>
        <w:t xml:space="preserve">and technical support </w:t>
      </w:r>
      <w:r w:rsidR="00C947A4" w:rsidRPr="00C947A4">
        <w:rPr>
          <w:noProof/>
          <w:lang w:eastAsia="en-GB"/>
        </w:rPr>
        <w:t xml:space="preserve">to </w:t>
      </w:r>
      <w:r w:rsidR="00370811">
        <w:rPr>
          <w:noProof/>
          <w:lang w:eastAsia="en-GB"/>
        </w:rPr>
        <w:t>promote</w:t>
      </w:r>
      <w:r w:rsidR="00370811" w:rsidRPr="00C947A4">
        <w:rPr>
          <w:noProof/>
          <w:lang w:eastAsia="en-GB"/>
        </w:rPr>
        <w:t xml:space="preserve"> </w:t>
      </w:r>
      <w:r w:rsidR="00C947A4" w:rsidRPr="00C947A4">
        <w:rPr>
          <w:noProof/>
          <w:lang w:eastAsia="en-GB"/>
        </w:rPr>
        <w:t>national reforms and social innovation in long-term care</w:t>
      </w:r>
      <w:r w:rsidR="00210D93">
        <w:rPr>
          <w:noProof/>
          <w:lang w:eastAsia="en-GB"/>
        </w:rPr>
        <w:t>;</w:t>
      </w:r>
    </w:p>
    <w:p w14:paraId="1CAE47AA" w14:textId="63BBEE8B" w:rsidR="00C947A4" w:rsidRPr="00C947A4" w:rsidRDefault="00455E94" w:rsidP="00455E94">
      <w:pPr>
        <w:pStyle w:val="Point1"/>
        <w:rPr>
          <w:noProof/>
          <w:lang w:eastAsia="en-GB"/>
        </w:rPr>
      </w:pPr>
      <w:r w:rsidRPr="00455E94">
        <w:t>(b)</w:t>
      </w:r>
      <w:r w:rsidRPr="00455E94">
        <w:tab/>
      </w:r>
      <w:r w:rsidR="00C947A4" w:rsidRPr="00C947A4">
        <w:rPr>
          <w:noProof/>
          <w:lang w:eastAsia="en-GB"/>
        </w:rPr>
        <w:t xml:space="preserve">monitor progress in implementing this Recommendation in the context of the European Semester, taking stock of progress regularly with the Social Protection Committee and, whenever relevant, the Employment Committee, </w:t>
      </w:r>
      <w:r w:rsidR="00F27756" w:rsidRPr="00C947A4">
        <w:rPr>
          <w:noProof/>
          <w:lang w:eastAsia="en-GB"/>
        </w:rPr>
        <w:t>based on</w:t>
      </w:r>
      <w:r w:rsidR="00C947A4" w:rsidRPr="00C947A4">
        <w:rPr>
          <w:noProof/>
          <w:lang w:eastAsia="en-GB"/>
        </w:rPr>
        <w:t xml:space="preserve"> national action plans and progress reports from Member States</w:t>
      </w:r>
      <w:r w:rsidR="000067FB">
        <w:rPr>
          <w:noProof/>
          <w:lang w:eastAsia="en-GB"/>
        </w:rPr>
        <w:t xml:space="preserve"> and </w:t>
      </w:r>
      <w:r w:rsidR="00F27756">
        <w:rPr>
          <w:noProof/>
          <w:lang w:eastAsia="en-GB"/>
        </w:rPr>
        <w:t xml:space="preserve">on </w:t>
      </w:r>
      <w:r w:rsidR="000067FB">
        <w:rPr>
          <w:noProof/>
          <w:lang w:eastAsia="en-GB"/>
        </w:rPr>
        <w:t xml:space="preserve">the framework of indicators referred to in </w:t>
      </w:r>
      <w:r w:rsidR="000067FB" w:rsidRPr="004D6FC3">
        <w:rPr>
          <w:noProof/>
          <w:lang w:eastAsia="en-GB"/>
        </w:rPr>
        <w:t>point</w:t>
      </w:r>
      <w:r w:rsidR="000067FB">
        <w:rPr>
          <w:noProof/>
          <w:lang w:eastAsia="en-GB"/>
        </w:rPr>
        <w:t xml:space="preserve"> (e)</w:t>
      </w:r>
      <w:r w:rsidR="00C947A4" w:rsidRPr="00C947A4">
        <w:rPr>
          <w:noProof/>
          <w:lang w:eastAsia="en-GB"/>
        </w:rPr>
        <w:t xml:space="preserve">, and report to the Council within </w:t>
      </w:r>
      <w:r w:rsidR="007D0777">
        <w:rPr>
          <w:noProof/>
          <w:lang w:eastAsia="en-GB"/>
        </w:rPr>
        <w:t>5</w:t>
      </w:r>
      <w:r w:rsidR="002E4B27" w:rsidRPr="00C947A4">
        <w:rPr>
          <w:noProof/>
          <w:lang w:eastAsia="en-GB"/>
        </w:rPr>
        <w:t xml:space="preserve"> </w:t>
      </w:r>
      <w:r w:rsidR="00C947A4" w:rsidRPr="00C947A4">
        <w:rPr>
          <w:noProof/>
          <w:lang w:eastAsia="en-GB"/>
        </w:rPr>
        <w:t>years of the adoption of this Recommendation</w:t>
      </w:r>
      <w:r w:rsidR="00210D93">
        <w:rPr>
          <w:noProof/>
          <w:lang w:eastAsia="en-GB"/>
        </w:rPr>
        <w:t>;</w:t>
      </w:r>
    </w:p>
    <w:p w14:paraId="64FFFB14" w14:textId="049F0628" w:rsidR="00C947A4" w:rsidRPr="00C947A4" w:rsidRDefault="00455E94" w:rsidP="00455E94">
      <w:pPr>
        <w:pStyle w:val="Point1"/>
        <w:rPr>
          <w:noProof/>
          <w:lang w:eastAsia="en-GB"/>
        </w:rPr>
      </w:pPr>
      <w:r w:rsidRPr="00455E94">
        <w:t>(c)</w:t>
      </w:r>
      <w:r w:rsidRPr="00455E94">
        <w:tab/>
      </w:r>
      <w:r w:rsidR="00C947A4" w:rsidRPr="00C947A4">
        <w:rPr>
          <w:noProof/>
          <w:lang w:eastAsia="en-GB"/>
        </w:rPr>
        <w:t xml:space="preserve">work jointly with Member States, </w:t>
      </w:r>
      <w:r w:rsidR="00210D93">
        <w:rPr>
          <w:noProof/>
          <w:lang w:eastAsia="en-GB"/>
        </w:rPr>
        <w:t>through</w:t>
      </w:r>
      <w:r w:rsidR="00210D93" w:rsidRPr="00C947A4">
        <w:rPr>
          <w:noProof/>
          <w:lang w:eastAsia="en-GB"/>
        </w:rPr>
        <w:t xml:space="preserve"> </w:t>
      </w:r>
      <w:r w:rsidR="00C947A4" w:rsidRPr="00C947A4">
        <w:rPr>
          <w:noProof/>
          <w:lang w:eastAsia="en-GB"/>
        </w:rPr>
        <w:t>the national long-term care coordinators</w:t>
      </w:r>
      <w:r w:rsidR="00152377">
        <w:rPr>
          <w:noProof/>
          <w:lang w:eastAsia="en-GB"/>
        </w:rPr>
        <w:t>,</w:t>
      </w:r>
      <w:r w:rsidR="00C947A4" w:rsidRPr="00C947A4">
        <w:rPr>
          <w:noProof/>
          <w:lang w:eastAsia="en-GB"/>
        </w:rPr>
        <w:t xml:space="preserve"> the Social Protection </w:t>
      </w:r>
      <w:r w:rsidR="00F27756" w:rsidRPr="00C947A4">
        <w:rPr>
          <w:noProof/>
          <w:lang w:eastAsia="en-GB"/>
        </w:rPr>
        <w:t>Committee</w:t>
      </w:r>
      <w:r w:rsidR="00152377">
        <w:rPr>
          <w:noProof/>
          <w:lang w:eastAsia="en-GB"/>
        </w:rPr>
        <w:t>,</w:t>
      </w:r>
      <w:r w:rsidR="00F27756" w:rsidRPr="00C947A4">
        <w:rPr>
          <w:noProof/>
          <w:lang w:eastAsia="en-GB"/>
        </w:rPr>
        <w:t xml:space="preserve"> </w:t>
      </w:r>
      <w:r w:rsidR="00C947A4" w:rsidRPr="00C947A4">
        <w:rPr>
          <w:noProof/>
          <w:lang w:eastAsia="en-GB"/>
        </w:rPr>
        <w:t xml:space="preserve">and </w:t>
      </w:r>
      <w:r w:rsidR="00F27756">
        <w:rPr>
          <w:noProof/>
          <w:lang w:eastAsia="en-GB"/>
        </w:rPr>
        <w:t xml:space="preserve">the </w:t>
      </w:r>
      <w:r w:rsidR="00C947A4" w:rsidRPr="00C947A4">
        <w:rPr>
          <w:noProof/>
          <w:lang w:eastAsia="en-GB"/>
        </w:rPr>
        <w:t>Employment Committee, with social partners, civil society organisations, social economy actors, and other stakeholders to facilitate mutual learning, share experiences</w:t>
      </w:r>
      <w:r w:rsidR="00F27756">
        <w:rPr>
          <w:noProof/>
          <w:lang w:eastAsia="en-GB"/>
        </w:rPr>
        <w:t>,</w:t>
      </w:r>
      <w:r w:rsidR="00C947A4" w:rsidRPr="00C947A4">
        <w:rPr>
          <w:noProof/>
          <w:lang w:eastAsia="en-GB"/>
        </w:rPr>
        <w:t xml:space="preserve"> and follow up on actions taken in response to this Recommendation as set out in the relevant national action plans</w:t>
      </w:r>
      <w:r w:rsidR="00210D93">
        <w:rPr>
          <w:noProof/>
          <w:lang w:eastAsia="en-GB"/>
        </w:rPr>
        <w:t xml:space="preserve"> </w:t>
      </w:r>
      <w:r w:rsidR="00210D93" w:rsidRPr="00210D93">
        <w:rPr>
          <w:noProof/>
          <w:lang w:eastAsia="en-GB"/>
        </w:rPr>
        <w:t>referred to in point 11</w:t>
      </w:r>
      <w:r w:rsidR="00210D93">
        <w:rPr>
          <w:noProof/>
          <w:lang w:eastAsia="en-GB"/>
        </w:rPr>
        <w:t>;</w:t>
      </w:r>
    </w:p>
    <w:p w14:paraId="4B50228E" w14:textId="3A19A36B" w:rsidR="00C947A4" w:rsidRPr="00C947A4" w:rsidRDefault="00455E94" w:rsidP="00455E94">
      <w:pPr>
        <w:pStyle w:val="Point1"/>
        <w:rPr>
          <w:noProof/>
          <w:lang w:eastAsia="en-GB"/>
        </w:rPr>
      </w:pPr>
      <w:r w:rsidRPr="00455E94">
        <w:t>(d)</w:t>
      </w:r>
      <w:r w:rsidRPr="00455E94">
        <w:tab/>
      </w:r>
      <w:r w:rsidR="00C947A4" w:rsidRPr="00C947A4">
        <w:rPr>
          <w:noProof/>
          <w:lang w:eastAsia="en-GB"/>
        </w:rPr>
        <w:t>work with Member States to enhance the availability, scope and relevance of comparable data on long-term care at Union level</w:t>
      </w:r>
      <w:r w:rsidR="001A070E">
        <w:rPr>
          <w:noProof/>
          <w:lang w:eastAsia="en-GB"/>
        </w:rPr>
        <w:t xml:space="preserve">, building on the forthcoming results of the </w:t>
      </w:r>
      <w:r w:rsidR="007B76FD">
        <w:rPr>
          <w:noProof/>
          <w:lang w:eastAsia="en-GB"/>
        </w:rPr>
        <w:t>Commission</w:t>
      </w:r>
      <w:r w:rsidR="00F27756">
        <w:rPr>
          <w:noProof/>
          <w:lang w:eastAsia="en-GB"/>
        </w:rPr>
        <w:t xml:space="preserve"> t</w:t>
      </w:r>
      <w:r w:rsidR="001A070E">
        <w:rPr>
          <w:noProof/>
          <w:lang w:eastAsia="en-GB"/>
        </w:rPr>
        <w:t xml:space="preserve">ask </w:t>
      </w:r>
      <w:r w:rsidR="00F27756">
        <w:rPr>
          <w:noProof/>
          <w:lang w:eastAsia="en-GB"/>
        </w:rPr>
        <w:t>f</w:t>
      </w:r>
      <w:r w:rsidR="001A070E">
        <w:rPr>
          <w:noProof/>
          <w:lang w:eastAsia="en-GB"/>
        </w:rPr>
        <w:t xml:space="preserve">orce on </w:t>
      </w:r>
      <w:r w:rsidR="00FF722B">
        <w:rPr>
          <w:noProof/>
          <w:lang w:eastAsia="en-GB"/>
        </w:rPr>
        <w:t>long-term care</w:t>
      </w:r>
      <w:r w:rsidR="007B76FD">
        <w:rPr>
          <w:noProof/>
          <w:lang w:eastAsia="en-GB"/>
        </w:rPr>
        <w:t xml:space="preserve"> statistics</w:t>
      </w:r>
      <w:r w:rsidR="00210D93">
        <w:rPr>
          <w:noProof/>
          <w:lang w:eastAsia="en-GB"/>
        </w:rPr>
        <w:t>;</w:t>
      </w:r>
    </w:p>
    <w:p w14:paraId="5C4A77D4" w14:textId="076EA0C0" w:rsidR="00210D93" w:rsidRDefault="00455E94" w:rsidP="00455E94">
      <w:pPr>
        <w:pStyle w:val="Point1"/>
        <w:rPr>
          <w:noProof/>
          <w:lang w:eastAsia="en-GB"/>
        </w:rPr>
      </w:pPr>
      <w:r w:rsidRPr="00455E94">
        <w:t>(e)</w:t>
      </w:r>
      <w:r w:rsidRPr="00455E94">
        <w:tab/>
      </w:r>
      <w:r w:rsidR="00C947A4" w:rsidRPr="00C947A4">
        <w:rPr>
          <w:noProof/>
          <w:lang w:eastAsia="en-GB"/>
        </w:rPr>
        <w:t xml:space="preserve">work with the Social Protection Committee to establish a </w:t>
      </w:r>
      <w:r w:rsidR="003F532A">
        <w:rPr>
          <w:noProof/>
          <w:lang w:eastAsia="en-GB"/>
        </w:rPr>
        <w:t xml:space="preserve">framework of indicators for </w:t>
      </w:r>
      <w:r w:rsidR="00C947A4" w:rsidRPr="00C947A4">
        <w:rPr>
          <w:noProof/>
          <w:lang w:eastAsia="en-GB"/>
        </w:rPr>
        <w:t>monitoring the implementation of this Recommendation, building on the joint work on common indicators on long-term care</w:t>
      </w:r>
      <w:r w:rsidR="00BC67C7">
        <w:rPr>
          <w:noProof/>
          <w:lang w:eastAsia="en-GB"/>
        </w:rPr>
        <w:t xml:space="preserve"> and other monitoring frameworks to avoid duplication</w:t>
      </w:r>
      <w:r w:rsidR="00210D93">
        <w:rPr>
          <w:noProof/>
          <w:lang w:eastAsia="en-GB"/>
        </w:rPr>
        <w:t xml:space="preserve"> of work</w:t>
      </w:r>
      <w:r w:rsidR="00BC67C7">
        <w:rPr>
          <w:noProof/>
          <w:lang w:eastAsia="en-GB"/>
        </w:rPr>
        <w:t xml:space="preserve"> and limit administrative burden</w:t>
      </w:r>
      <w:r w:rsidR="00210D93">
        <w:rPr>
          <w:noProof/>
          <w:lang w:eastAsia="en-GB"/>
        </w:rPr>
        <w:t>;</w:t>
      </w:r>
      <w:r w:rsidR="00C947A4" w:rsidRPr="00C947A4">
        <w:rPr>
          <w:noProof/>
          <w:lang w:eastAsia="en-GB"/>
        </w:rPr>
        <w:t xml:space="preserve"> </w:t>
      </w:r>
    </w:p>
    <w:p w14:paraId="2FE3DC7A" w14:textId="535538BE" w:rsidR="00C947A4" w:rsidRPr="00C947A4" w:rsidRDefault="00455E94" w:rsidP="00455E94">
      <w:pPr>
        <w:pStyle w:val="Point1"/>
        <w:rPr>
          <w:noProof/>
          <w:lang w:eastAsia="en-GB"/>
        </w:rPr>
      </w:pPr>
      <w:r w:rsidRPr="00455E94">
        <w:t>(f)</w:t>
      </w:r>
      <w:r w:rsidRPr="00455E94">
        <w:tab/>
      </w:r>
      <w:r w:rsidR="00210D93">
        <w:rPr>
          <w:noProof/>
          <w:lang w:eastAsia="en-GB"/>
        </w:rPr>
        <w:t>draw up joint report</w:t>
      </w:r>
      <w:r w:rsidR="004140AB">
        <w:rPr>
          <w:noProof/>
          <w:lang w:eastAsia="en-GB"/>
        </w:rPr>
        <w:t>s</w:t>
      </w:r>
      <w:r w:rsidR="00210D93">
        <w:rPr>
          <w:noProof/>
          <w:lang w:eastAsia="en-GB"/>
        </w:rPr>
        <w:t xml:space="preserve"> </w:t>
      </w:r>
      <w:r w:rsidR="00094B15">
        <w:rPr>
          <w:noProof/>
          <w:lang w:eastAsia="en-GB"/>
        </w:rPr>
        <w:t xml:space="preserve">with the Social Protection Committee </w:t>
      </w:r>
      <w:r w:rsidR="00210D93">
        <w:rPr>
          <w:noProof/>
          <w:lang w:eastAsia="en-GB"/>
        </w:rPr>
        <w:t xml:space="preserve">on long-term care which </w:t>
      </w:r>
      <w:r w:rsidR="00C947A4" w:rsidRPr="00C947A4">
        <w:rPr>
          <w:noProof/>
          <w:lang w:eastAsia="en-GB"/>
        </w:rPr>
        <w:t xml:space="preserve">analyse common long-term care challenges and </w:t>
      </w:r>
      <w:r w:rsidR="00210D93">
        <w:rPr>
          <w:noProof/>
          <w:lang w:eastAsia="en-GB"/>
        </w:rPr>
        <w:t>the mea</w:t>
      </w:r>
      <w:r w:rsidR="00F55951">
        <w:rPr>
          <w:noProof/>
          <w:lang w:eastAsia="en-GB"/>
        </w:rPr>
        <w:t>sures adopted by</w:t>
      </w:r>
      <w:r w:rsidR="00C947A4" w:rsidRPr="00C947A4">
        <w:rPr>
          <w:noProof/>
          <w:lang w:eastAsia="en-GB"/>
        </w:rPr>
        <w:t xml:space="preserve"> Member States </w:t>
      </w:r>
      <w:r w:rsidR="00210D93">
        <w:rPr>
          <w:noProof/>
          <w:lang w:eastAsia="en-GB"/>
        </w:rPr>
        <w:t>to address them;</w:t>
      </w:r>
    </w:p>
    <w:p w14:paraId="538E13B4" w14:textId="12F4C5CE" w:rsidR="00C947A4" w:rsidRPr="00C947A4" w:rsidRDefault="00455E94" w:rsidP="00455E94">
      <w:pPr>
        <w:pStyle w:val="Point1"/>
        <w:rPr>
          <w:noProof/>
          <w:lang w:eastAsia="en-GB"/>
        </w:rPr>
      </w:pPr>
      <w:r w:rsidRPr="00455E94">
        <w:t>(g)</w:t>
      </w:r>
      <w:r w:rsidRPr="00455E94">
        <w:tab/>
      </w:r>
      <w:r w:rsidR="00C947A4" w:rsidRPr="00C947A4">
        <w:rPr>
          <w:noProof/>
          <w:lang w:eastAsia="en-GB"/>
        </w:rPr>
        <w:t>strengthen awareness raising and communication efforts at Union level and among Member States and</w:t>
      </w:r>
      <w:r w:rsidR="00210D93">
        <w:rPr>
          <w:noProof/>
          <w:lang w:eastAsia="en-GB"/>
        </w:rPr>
        <w:t xml:space="preserve"> the</w:t>
      </w:r>
      <w:r w:rsidR="00C947A4" w:rsidRPr="00C947A4">
        <w:rPr>
          <w:noProof/>
          <w:lang w:eastAsia="en-GB"/>
        </w:rPr>
        <w:t xml:space="preserve"> relevant stakeholders.</w:t>
      </w:r>
    </w:p>
    <w:p w14:paraId="0C96C300" w14:textId="1EB513E7" w:rsidR="001112E6" w:rsidRPr="00804C2D" w:rsidRDefault="00D14ED1" w:rsidP="00814892">
      <w:pPr>
        <w:pStyle w:val="Fait"/>
        <w:rPr>
          <w:noProof/>
        </w:rPr>
      </w:pPr>
      <w:r w:rsidRPr="00D14ED1">
        <w:t>Done at Brussels,</w:t>
      </w:r>
    </w:p>
    <w:p w14:paraId="0EC38BFA" w14:textId="77777777" w:rsidR="001112E6" w:rsidRPr="00804C2D" w:rsidRDefault="001112E6" w:rsidP="00814892">
      <w:pPr>
        <w:pStyle w:val="Institutionquisigne"/>
        <w:rPr>
          <w:noProof/>
        </w:rPr>
      </w:pPr>
      <w:r w:rsidRPr="00804C2D">
        <w:rPr>
          <w:noProof/>
        </w:rPr>
        <w:tab/>
        <w:t>For the Council</w:t>
      </w:r>
    </w:p>
    <w:p w14:paraId="7EDDB967" w14:textId="77777777" w:rsidR="005E2448" w:rsidRPr="00804C2D" w:rsidRDefault="001112E6" w:rsidP="00804C2D">
      <w:pPr>
        <w:pStyle w:val="Personnequisigne"/>
        <w:rPr>
          <w:i w:val="0"/>
          <w:noProof/>
          <w:highlight w:val="red"/>
        </w:rPr>
      </w:pPr>
      <w:r w:rsidRPr="00804C2D">
        <w:rPr>
          <w:noProof/>
        </w:rPr>
        <w:tab/>
        <w:t>The President</w:t>
      </w:r>
    </w:p>
    <w:sectPr w:rsidR="005E2448" w:rsidRPr="00804C2D" w:rsidSect="003E271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D1DA0" w14:textId="77777777" w:rsidR="00910CFC" w:rsidRDefault="00910CFC" w:rsidP="001112E6">
      <w:pPr>
        <w:spacing w:before="0" w:after="0"/>
      </w:pPr>
      <w:r>
        <w:separator/>
      </w:r>
    </w:p>
  </w:endnote>
  <w:endnote w:type="continuationSeparator" w:id="0">
    <w:p w14:paraId="72480C94" w14:textId="77777777" w:rsidR="00910CFC" w:rsidRDefault="00910CFC" w:rsidP="001112E6">
      <w:pPr>
        <w:spacing w:before="0" w:after="0"/>
      </w:pPr>
      <w:r>
        <w:continuationSeparator/>
      </w:r>
    </w:p>
  </w:endnote>
  <w:endnote w:type="continuationNotice" w:id="1">
    <w:p w14:paraId="0D517539" w14:textId="77777777" w:rsidR="00910CFC" w:rsidRDefault="00910C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FEFF" w14:textId="7D2093BB" w:rsidR="00AA2786" w:rsidRPr="003E271A" w:rsidRDefault="003E271A" w:rsidP="003E271A">
    <w:pPr>
      <w:pStyle w:val="Footer"/>
      <w:rPr>
        <w:rFonts w:ascii="Arial" w:hAnsi="Arial" w:cs="Arial"/>
        <w:b/>
        <w:sz w:val="48"/>
      </w:rPr>
    </w:pPr>
    <w:r w:rsidRPr="003E271A">
      <w:rPr>
        <w:rFonts w:ascii="Arial" w:hAnsi="Arial" w:cs="Arial"/>
        <w:b/>
        <w:sz w:val="48"/>
      </w:rPr>
      <w:t>EN</w:t>
    </w:r>
    <w:r w:rsidRPr="003E271A">
      <w:rPr>
        <w:rFonts w:ascii="Arial" w:hAnsi="Arial" w:cs="Arial"/>
        <w:b/>
        <w:sz w:val="48"/>
      </w:rPr>
      <w:tab/>
    </w:r>
    <w:r w:rsidRPr="003E271A">
      <w:rPr>
        <w:rFonts w:ascii="Arial" w:hAnsi="Arial" w:cs="Arial"/>
        <w:b/>
        <w:sz w:val="48"/>
      </w:rPr>
      <w:tab/>
    </w:r>
    <w:r w:rsidRPr="003E271A">
      <w:tab/>
    </w:r>
    <w:r w:rsidRPr="003E271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F268" w14:textId="78B62368" w:rsidR="003E271A" w:rsidRPr="003E271A" w:rsidRDefault="003E271A" w:rsidP="003E271A">
    <w:pPr>
      <w:pStyle w:val="Footer"/>
      <w:rPr>
        <w:rFonts w:ascii="Arial" w:hAnsi="Arial" w:cs="Arial"/>
        <w:b/>
        <w:sz w:val="48"/>
      </w:rPr>
    </w:pPr>
    <w:r w:rsidRPr="003E271A">
      <w:rPr>
        <w:rFonts w:ascii="Arial" w:hAnsi="Arial" w:cs="Arial"/>
        <w:b/>
        <w:sz w:val="48"/>
      </w:rPr>
      <w:t>EN</w:t>
    </w:r>
    <w:r w:rsidRPr="003E271A">
      <w:rPr>
        <w:rFonts w:ascii="Arial" w:hAnsi="Arial" w:cs="Arial"/>
        <w:b/>
        <w:sz w:val="48"/>
      </w:rPr>
      <w:tab/>
    </w:r>
    <w:r>
      <w:fldChar w:fldCharType="begin"/>
    </w:r>
    <w:r>
      <w:instrText xml:space="preserve"> PAGE  \* MERGEFORMAT </w:instrText>
    </w:r>
    <w:r>
      <w:fldChar w:fldCharType="separate"/>
    </w:r>
    <w:r w:rsidR="00814892">
      <w:rPr>
        <w:noProof/>
      </w:rPr>
      <w:t>23</w:t>
    </w:r>
    <w:r>
      <w:fldChar w:fldCharType="end"/>
    </w:r>
    <w:r>
      <w:tab/>
    </w:r>
    <w:r w:rsidRPr="003E271A">
      <w:tab/>
    </w:r>
    <w:r w:rsidRPr="003E271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D84A" w14:textId="77777777" w:rsidR="003E271A" w:rsidRPr="003E271A" w:rsidRDefault="003E271A" w:rsidP="003E2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080B" w14:textId="77777777" w:rsidR="00910CFC" w:rsidRDefault="00910CFC" w:rsidP="001112E6">
      <w:pPr>
        <w:spacing w:before="0" w:after="0"/>
      </w:pPr>
      <w:r>
        <w:separator/>
      </w:r>
    </w:p>
  </w:footnote>
  <w:footnote w:type="continuationSeparator" w:id="0">
    <w:p w14:paraId="5C2ED63B" w14:textId="77777777" w:rsidR="00910CFC" w:rsidRDefault="00910CFC" w:rsidP="001112E6">
      <w:pPr>
        <w:spacing w:before="0" w:after="0"/>
      </w:pPr>
      <w:r>
        <w:continuationSeparator/>
      </w:r>
    </w:p>
  </w:footnote>
  <w:footnote w:type="continuationNotice" w:id="1">
    <w:p w14:paraId="487008B2" w14:textId="77777777" w:rsidR="00910CFC" w:rsidRDefault="00910CFC">
      <w:pPr>
        <w:spacing w:before="0" w:after="0"/>
      </w:pPr>
    </w:p>
  </w:footnote>
  <w:footnote w:id="2">
    <w:p w14:paraId="20E28145" w14:textId="77777777" w:rsidR="00AA2786" w:rsidRPr="009E5AA7" w:rsidRDefault="00AA2786" w:rsidP="002646A8">
      <w:pPr>
        <w:pStyle w:val="FootnoteText"/>
        <w:rPr>
          <w:rFonts w:eastAsia="Calibri"/>
          <w:bCs/>
        </w:rPr>
      </w:pPr>
      <w:r w:rsidRPr="00706F00">
        <w:rPr>
          <w:rStyle w:val="FootnoteReference"/>
        </w:rPr>
        <w:footnoteRef/>
      </w:r>
      <w:r w:rsidRPr="00A65231">
        <w:tab/>
      </w:r>
      <w:r w:rsidRPr="009E5AA7">
        <w:t>L</w:t>
      </w:r>
      <w:r w:rsidRPr="009E5AA7">
        <w:rPr>
          <w:rFonts w:eastAsia="Calibri"/>
          <w:bCs/>
        </w:rPr>
        <w:t>ong-term care is a range of services and assistance for people who, as a result of mental and/or physical frailty and/or disability over an extended period of time, depend on help with daily living activities and/or are in need of some permanent nursing care. The daily living activities for which help is needed may be the self-care activities that a person must perform every day (Activities of Daily Living, such as bathing, dressing, eating, getting in and out of bed or a chair, moving around, using the toilet, and controlling bladder and bowel functions) or may be related to independent living (Instrumental Activities of Daily Living, such as preparing meals, managing money, shopping for groceries or personal items, performing light or heavy housework, and using a telephone).</w:t>
      </w:r>
    </w:p>
  </w:footnote>
  <w:footnote w:id="3">
    <w:p w14:paraId="2C85FEEC" w14:textId="77777777" w:rsidR="00AA2786" w:rsidRPr="009E5AA7" w:rsidRDefault="00AA2786" w:rsidP="00D12A97">
      <w:pPr>
        <w:pStyle w:val="FootnoteText"/>
      </w:pPr>
      <w:r w:rsidRPr="00706F00">
        <w:rPr>
          <w:rStyle w:val="FootnoteReference"/>
        </w:rPr>
        <w:footnoteRef/>
      </w:r>
      <w:r w:rsidRPr="009E5AA7">
        <w:tab/>
        <w:t xml:space="preserve">European Commission and Economic Policy Committee, 2021, </w:t>
      </w:r>
      <w:hyperlink r:id="rId1" w:history="1">
        <w:r w:rsidRPr="009E5AA7">
          <w:rPr>
            <w:rStyle w:val="Hyperlink"/>
            <w:i/>
            <w:iCs/>
          </w:rPr>
          <w:t>The 2021 Ageing Report</w:t>
        </w:r>
      </w:hyperlink>
      <w:r w:rsidRPr="009E5AA7">
        <w:rPr>
          <w:i/>
          <w:iCs/>
        </w:rPr>
        <w:t xml:space="preserve"> – Economic and Budgetary Projections for the EU Member States (2019-2070)</w:t>
      </w:r>
      <w:r w:rsidRPr="009E5AA7">
        <w:t>, Publications Office of the European Union, Luxembourg.</w:t>
      </w:r>
    </w:p>
  </w:footnote>
  <w:footnote w:id="4">
    <w:p w14:paraId="2B9168D2" w14:textId="77777777" w:rsidR="00AA2786" w:rsidRPr="009E5AA7" w:rsidRDefault="00AA2786" w:rsidP="00D12A97">
      <w:pPr>
        <w:pStyle w:val="FootnoteText"/>
      </w:pPr>
      <w:r w:rsidRPr="00706F00">
        <w:rPr>
          <w:rStyle w:val="FootnoteReference"/>
        </w:rPr>
        <w:footnoteRef/>
      </w:r>
      <w:r w:rsidRPr="00A65231">
        <w:tab/>
      </w:r>
      <w:r w:rsidRPr="009E5AA7">
        <w:t xml:space="preserve">European Commission and Social Protection Committee, 2021, </w:t>
      </w:r>
      <w:hyperlink r:id="rId2" w:history="1">
        <w:r w:rsidRPr="009E5AA7">
          <w:rPr>
            <w:rStyle w:val="Hyperlink"/>
            <w:i/>
            <w:iCs/>
          </w:rPr>
          <w:t>Long-term care report</w:t>
        </w:r>
      </w:hyperlink>
      <w:r w:rsidRPr="009E5AA7">
        <w:rPr>
          <w:i/>
          <w:iCs/>
        </w:rPr>
        <w:t>: trends, challenges and opportunities in an ageing society</w:t>
      </w:r>
      <w:r w:rsidRPr="009E5AA7">
        <w:t xml:space="preserve">, Volume I, Publications Office of the European Union, Luxembourg. </w:t>
      </w:r>
    </w:p>
  </w:footnote>
  <w:footnote w:id="5">
    <w:p w14:paraId="046F05E7" w14:textId="77777777" w:rsidR="00AA2786" w:rsidRPr="009E5AA7" w:rsidRDefault="00AA2786" w:rsidP="00D12A97">
      <w:pPr>
        <w:pStyle w:val="FootnoteText"/>
      </w:pPr>
      <w:r w:rsidRPr="00706F00">
        <w:rPr>
          <w:rStyle w:val="FootnoteReference"/>
        </w:rPr>
        <w:footnoteRef/>
      </w:r>
      <w:r w:rsidRPr="009E5AA7">
        <w:tab/>
      </w:r>
      <w:hyperlink r:id="rId3" w:history="1">
        <w:r w:rsidRPr="009E5AA7">
          <w:rPr>
            <w:rStyle w:val="Hyperlink"/>
            <w:i/>
            <w:iCs/>
          </w:rPr>
          <w:t>Study on the long-term care supply and market in EU Member States</w:t>
        </w:r>
      </w:hyperlink>
      <w:r w:rsidRPr="009E5AA7">
        <w:t>, by KPMG for the European Commission, Luxembourg: Publications Office of the European Union, 2022.</w:t>
      </w:r>
    </w:p>
  </w:footnote>
  <w:footnote w:id="6">
    <w:p w14:paraId="32421894" w14:textId="77777777" w:rsidR="00AA2786" w:rsidRPr="009E5AA7" w:rsidRDefault="00AA2786" w:rsidP="002646A8">
      <w:pPr>
        <w:pStyle w:val="FootnoteText"/>
      </w:pPr>
      <w:r w:rsidRPr="00706F00">
        <w:rPr>
          <w:rStyle w:val="FootnoteReference"/>
        </w:rPr>
        <w:footnoteRef/>
      </w:r>
      <w:r w:rsidRPr="009E5AA7">
        <w:tab/>
        <w:t xml:space="preserve">Spasova, S., Baeten, R., Coster, S., Ghailani, D., Peña-Casas, R. and Vanhercke, B., 2018, </w:t>
      </w:r>
      <w:hyperlink r:id="rId4" w:history="1">
        <w:r w:rsidRPr="009E5AA7">
          <w:rPr>
            <w:rStyle w:val="Hyperlink"/>
            <w:i/>
            <w:iCs/>
          </w:rPr>
          <w:t>Challenges in long-term care in Europe</w:t>
        </w:r>
      </w:hyperlink>
      <w:r w:rsidRPr="009E5AA7">
        <w:rPr>
          <w:i/>
          <w:iCs/>
        </w:rPr>
        <w:t>. A study of national policies</w:t>
      </w:r>
      <w:r w:rsidRPr="009E5AA7">
        <w:t>, European Social Policy Network (ESPN), Brussels: European Commission.</w:t>
      </w:r>
    </w:p>
  </w:footnote>
  <w:footnote w:id="7">
    <w:p w14:paraId="2CB5BF4E" w14:textId="77777777" w:rsidR="00AA2786" w:rsidRPr="009E5AA7" w:rsidRDefault="00AA2786" w:rsidP="002646A8">
      <w:pPr>
        <w:pStyle w:val="FootnoteText"/>
        <w:rPr>
          <w:lang w:val="en-IE"/>
        </w:rPr>
      </w:pPr>
      <w:r w:rsidRPr="00706F00">
        <w:rPr>
          <w:rStyle w:val="FootnoteReference"/>
        </w:rPr>
        <w:footnoteRef/>
      </w:r>
      <w:r w:rsidRPr="009E5AA7">
        <w:tab/>
        <w:t xml:space="preserve">Eurofound, 2020, </w:t>
      </w:r>
      <w:hyperlink r:id="rId5" w:history="1">
        <w:r w:rsidRPr="009E5AA7">
          <w:rPr>
            <w:rStyle w:val="Hyperlink"/>
            <w:i/>
            <w:iCs/>
          </w:rPr>
          <w:t>Long-term care workforce</w:t>
        </w:r>
      </w:hyperlink>
      <w:r w:rsidRPr="009E5AA7">
        <w:rPr>
          <w:i/>
          <w:iCs/>
        </w:rPr>
        <w:t>: Employment and working conditions</w:t>
      </w:r>
      <w:r w:rsidRPr="009E5AA7">
        <w:t>, Publications Office of the European Union, Luxembourg.</w:t>
      </w:r>
    </w:p>
  </w:footnote>
  <w:footnote w:id="8">
    <w:p w14:paraId="5378EF7F" w14:textId="77777777" w:rsidR="00AA2786" w:rsidRPr="00706F00" w:rsidRDefault="00AA2786">
      <w:pPr>
        <w:pStyle w:val="FootnoteText"/>
        <w:rPr>
          <w:lang w:val="en-IE"/>
        </w:rPr>
      </w:pPr>
      <w:r w:rsidRPr="00706F00">
        <w:rPr>
          <w:rStyle w:val="FootnoteReference"/>
        </w:rPr>
        <w:footnoteRef/>
      </w:r>
      <w:r w:rsidRPr="00706F00">
        <w:tab/>
      </w:r>
      <w:r w:rsidRPr="009E5AA7">
        <w:t>Migrant workers are to be understood in the context of this proposal for a Council recommendation as non-EU citizens. Mobile workers are those without a fixed workplace or working at various locations.</w:t>
      </w:r>
    </w:p>
  </w:footnote>
  <w:footnote w:id="9">
    <w:p w14:paraId="6188C502" w14:textId="77777777" w:rsidR="00AA2786" w:rsidRPr="009E5AA7" w:rsidRDefault="00AA2786" w:rsidP="002646A8">
      <w:pPr>
        <w:pStyle w:val="FootnoteText"/>
        <w:rPr>
          <w:lang w:val="en-IE"/>
        </w:rPr>
      </w:pPr>
      <w:r w:rsidRPr="00706F00">
        <w:rPr>
          <w:rStyle w:val="FootnoteReference"/>
        </w:rPr>
        <w:footnoteRef/>
      </w:r>
      <w:r w:rsidRPr="009E5AA7">
        <w:tab/>
        <w:t xml:space="preserve">Eurofound, 2020, </w:t>
      </w:r>
      <w:hyperlink r:id="rId6" w:history="1">
        <w:r w:rsidRPr="009E5AA7">
          <w:rPr>
            <w:rStyle w:val="Hyperlink"/>
            <w:i/>
            <w:iCs/>
          </w:rPr>
          <w:t>Long-term care workforce</w:t>
        </w:r>
      </w:hyperlink>
      <w:r w:rsidRPr="009E5AA7">
        <w:rPr>
          <w:i/>
          <w:iCs/>
        </w:rPr>
        <w:t>: Employment and working conditions</w:t>
      </w:r>
      <w:r w:rsidRPr="009E5AA7">
        <w:t>, Publications Office of the European Union, Luxembourg.</w:t>
      </w:r>
    </w:p>
  </w:footnote>
  <w:footnote w:id="10">
    <w:p w14:paraId="56FAD0D1" w14:textId="77777777" w:rsidR="00AA2786" w:rsidRPr="009E5AA7" w:rsidRDefault="00AA2786" w:rsidP="002646A8">
      <w:pPr>
        <w:pStyle w:val="FootnoteText"/>
        <w:rPr>
          <w:lang w:val="en-IE"/>
        </w:rPr>
      </w:pPr>
      <w:r w:rsidRPr="00706F00">
        <w:rPr>
          <w:rStyle w:val="FootnoteReference"/>
        </w:rPr>
        <w:footnoteRef/>
      </w:r>
      <w:r w:rsidRPr="009E5AA7">
        <w:tab/>
      </w:r>
      <w:r w:rsidRPr="009E5AA7">
        <w:rPr>
          <w:lang w:val="en-IE"/>
        </w:rPr>
        <w:t xml:space="preserve">Rogalewski, A., Florek, K., 2020, </w:t>
      </w:r>
      <w:hyperlink r:id="rId7" w:history="1">
        <w:r w:rsidRPr="009E5AA7">
          <w:rPr>
            <w:rStyle w:val="Hyperlink"/>
            <w:i/>
            <w:iCs/>
            <w:lang w:val="en-IE"/>
          </w:rPr>
          <w:t>The future of live-in care work in Europe</w:t>
        </w:r>
      </w:hyperlink>
      <w:r w:rsidRPr="009E5AA7">
        <w:rPr>
          <w:lang w:val="en-IE"/>
        </w:rPr>
        <w:t xml:space="preserve">. European Economic and Social Committee. </w:t>
      </w:r>
    </w:p>
  </w:footnote>
  <w:footnote w:id="11">
    <w:p w14:paraId="6F29BBC3" w14:textId="77777777" w:rsidR="00AA2786" w:rsidRPr="009E5AA7" w:rsidRDefault="00AA2786" w:rsidP="002646A8">
      <w:pPr>
        <w:pStyle w:val="FootnoteText"/>
        <w:rPr>
          <w:lang w:val="en-IE"/>
        </w:rPr>
      </w:pPr>
      <w:r w:rsidRPr="00706F00">
        <w:rPr>
          <w:rStyle w:val="FootnoteReference"/>
        </w:rPr>
        <w:footnoteRef/>
      </w:r>
      <w:r w:rsidRPr="009E5AA7">
        <w:tab/>
        <w:t>Van der Ende, M. et al.</w:t>
      </w:r>
      <w:r w:rsidRPr="009E5AA7">
        <w:rPr>
          <w:lang w:val="en-IE"/>
        </w:rPr>
        <w:t xml:space="preserve">, 2021, </w:t>
      </w:r>
      <w:hyperlink r:id="rId8" w:history="1">
        <w:r w:rsidRPr="009E5AA7">
          <w:rPr>
            <w:rStyle w:val="Hyperlink"/>
            <w:i/>
            <w:iCs/>
            <w:lang w:val="en-IE"/>
          </w:rPr>
          <w:t>Study on exploring the incidence and costs of informal long-term care in the EU</w:t>
        </w:r>
      </w:hyperlink>
      <w:r w:rsidRPr="009E5AA7">
        <w:rPr>
          <w:lang w:val="en-IE"/>
        </w:rPr>
        <w:t>.</w:t>
      </w:r>
    </w:p>
  </w:footnote>
  <w:footnote w:id="12">
    <w:p w14:paraId="2F151FE0" w14:textId="77777777" w:rsidR="00AA2786" w:rsidRPr="009E5AA7" w:rsidRDefault="00AA2786" w:rsidP="00D12A97">
      <w:pPr>
        <w:pStyle w:val="FootnoteText"/>
      </w:pPr>
      <w:r w:rsidRPr="00706F00">
        <w:rPr>
          <w:rStyle w:val="FootnoteReference"/>
        </w:rPr>
        <w:footnoteRef/>
      </w:r>
      <w:r w:rsidRPr="009E5AA7">
        <w:tab/>
        <w:t xml:space="preserve">European Commission and Economic Policy Committee (EPC), </w:t>
      </w:r>
      <w:hyperlink r:id="rId9" w:history="1">
        <w:r w:rsidRPr="009E5AA7">
          <w:rPr>
            <w:rStyle w:val="Hyperlink"/>
            <w:i/>
            <w:iCs/>
          </w:rPr>
          <w:t>The 2021 Ageing Report</w:t>
        </w:r>
      </w:hyperlink>
      <w:r w:rsidRPr="009E5AA7">
        <w:rPr>
          <w:i/>
          <w:iCs/>
        </w:rPr>
        <w:t xml:space="preserve"> - Economic and Budgetary Projections for the EU Member States (2019-2070)</w:t>
      </w:r>
      <w:r w:rsidRPr="009E5AA7">
        <w:t>, Publications Office of the European Union, Luxembourg, 2021.</w:t>
      </w:r>
    </w:p>
  </w:footnote>
  <w:footnote w:id="13">
    <w:p w14:paraId="5874ADEA" w14:textId="77777777" w:rsidR="00AA2786" w:rsidRPr="009E5AA7" w:rsidRDefault="00AA2786" w:rsidP="002646A8">
      <w:pPr>
        <w:pStyle w:val="FootnoteText"/>
        <w:rPr>
          <w:lang w:val="en-IE"/>
        </w:rPr>
      </w:pPr>
      <w:r w:rsidRPr="00706F00">
        <w:rPr>
          <w:rStyle w:val="FootnoteReference"/>
        </w:rPr>
        <w:footnoteRef/>
      </w:r>
      <w:r w:rsidRPr="009E5AA7">
        <w:tab/>
        <w:t>Van der Ende, M. et al.</w:t>
      </w:r>
      <w:r w:rsidRPr="009E5AA7">
        <w:rPr>
          <w:lang w:val="en-IE"/>
        </w:rPr>
        <w:t xml:space="preserve">, 2021, </w:t>
      </w:r>
      <w:hyperlink r:id="rId10" w:history="1">
        <w:r w:rsidRPr="009E5AA7">
          <w:rPr>
            <w:rStyle w:val="Hyperlink"/>
            <w:i/>
            <w:lang w:val="en-IE"/>
          </w:rPr>
          <w:t>Study on exploring the incidence and costs of informal long-term care in the EU</w:t>
        </w:r>
      </w:hyperlink>
      <w:r w:rsidRPr="009E5AA7">
        <w:t>.</w:t>
      </w:r>
    </w:p>
  </w:footnote>
  <w:footnote w:id="14">
    <w:p w14:paraId="0F40C62C" w14:textId="77777777" w:rsidR="00AA2786" w:rsidRPr="00706F00" w:rsidRDefault="00AA2786" w:rsidP="007B4E13">
      <w:pPr>
        <w:pStyle w:val="FootnoteText"/>
        <w:rPr>
          <w:lang w:val="en-IE"/>
        </w:rPr>
      </w:pPr>
      <w:r w:rsidRPr="002F4227">
        <w:rPr>
          <w:rStyle w:val="FootnoteReference"/>
        </w:rPr>
        <w:footnoteRef/>
      </w:r>
      <w:r>
        <w:tab/>
      </w:r>
      <w:r w:rsidRPr="00706F00">
        <w:t>Communication from the Commission to the European Parliament, the Council, the European Economic and Social Committee and the Committee of the Regions on the European Pillar of Social Rights Action Plan, COM/2021/102 final</w:t>
      </w:r>
      <w:r>
        <w:t>.</w:t>
      </w:r>
    </w:p>
  </w:footnote>
  <w:footnote w:id="15">
    <w:p w14:paraId="42FF497F" w14:textId="77777777" w:rsidR="00AA2786" w:rsidRPr="00706F00" w:rsidRDefault="00AA2786">
      <w:pPr>
        <w:pStyle w:val="FootnoteText"/>
        <w:rPr>
          <w:lang w:val="en-IE"/>
        </w:rPr>
      </w:pPr>
      <w:r w:rsidRPr="002F4227">
        <w:rPr>
          <w:rStyle w:val="FootnoteReference"/>
        </w:rPr>
        <w:footnoteRef/>
      </w:r>
      <w:r>
        <w:tab/>
      </w:r>
      <w:r w:rsidRPr="00706F00">
        <w:t>Interinstitutional Proclamation on the European Pillar of Social Rights (OJ C 428, 13.12.2017, p. 10).</w:t>
      </w:r>
    </w:p>
  </w:footnote>
  <w:footnote w:id="16">
    <w:p w14:paraId="56B359DD" w14:textId="286089E3" w:rsidR="00AA2786" w:rsidRPr="00FC053C" w:rsidRDefault="00AA2786" w:rsidP="00C93A8C">
      <w:pPr>
        <w:pStyle w:val="FootnoteText"/>
        <w:rPr>
          <w:lang w:val="en-IE"/>
        </w:rPr>
      </w:pPr>
      <w:r w:rsidRPr="002F4227">
        <w:rPr>
          <w:rStyle w:val="FootnoteReference"/>
        </w:rPr>
        <w:footnoteRef/>
      </w:r>
      <w:r>
        <w:tab/>
      </w:r>
      <w:r w:rsidR="00A7221E">
        <w:t>Communication from the Commission to the European Parliament, the Council, t</w:t>
      </w:r>
      <w:r w:rsidR="00A7221E" w:rsidRPr="00A7221E">
        <w:t>he European</w:t>
      </w:r>
      <w:r w:rsidR="00A7221E">
        <w:t xml:space="preserve"> Economic </w:t>
      </w:r>
      <w:r w:rsidR="0023126C">
        <w:t>a</w:t>
      </w:r>
      <w:r w:rsidR="00A7221E">
        <w:t>nd Social Committee and t</w:t>
      </w:r>
      <w:r w:rsidR="00A7221E" w:rsidRPr="00A7221E">
        <w:t>he Comm</w:t>
      </w:r>
      <w:r w:rsidR="00A7221E">
        <w:t>ittee of t</w:t>
      </w:r>
      <w:r w:rsidR="00A7221E" w:rsidRPr="00A7221E">
        <w:t>he Regions on the European care strategy – COM(2022) 440</w:t>
      </w:r>
    </w:p>
  </w:footnote>
  <w:footnote w:id="17">
    <w:p w14:paraId="398B4D20" w14:textId="77777777" w:rsidR="00AA2786" w:rsidRPr="009E5AA7" w:rsidRDefault="00AA2786" w:rsidP="002646A8">
      <w:pPr>
        <w:pStyle w:val="FootnoteText"/>
      </w:pPr>
      <w:r w:rsidRPr="00706F00">
        <w:rPr>
          <w:rStyle w:val="FootnoteReference"/>
        </w:rPr>
        <w:footnoteRef/>
      </w:r>
      <w:r w:rsidRPr="00A65231">
        <w:tab/>
      </w:r>
      <w:hyperlink r:id="rId11" w:history="1">
        <w:r w:rsidRPr="009E5AA7">
          <w:rPr>
            <w:rStyle w:val="Hyperlink"/>
          </w:rPr>
          <w:t>Directive (EU) 2019/1158</w:t>
        </w:r>
      </w:hyperlink>
      <w:r w:rsidRPr="009E5AA7">
        <w:t xml:space="preserve"> of the European Parliament and of the Council of 20 June 2019 on work-life balance for parents and carers and repealing Council Directive 2010/18/EU.</w:t>
      </w:r>
    </w:p>
  </w:footnote>
  <w:footnote w:id="18">
    <w:p w14:paraId="301A964C" w14:textId="77777777" w:rsidR="00AA2786" w:rsidRPr="009E5AA7" w:rsidRDefault="00AA2786" w:rsidP="009E6E7F">
      <w:pPr>
        <w:pStyle w:val="FootnoteText"/>
      </w:pPr>
      <w:r w:rsidRPr="00706F00">
        <w:rPr>
          <w:rStyle w:val="FootnoteReference"/>
        </w:rPr>
        <w:footnoteRef/>
      </w:r>
      <w:r w:rsidRPr="009E5AA7">
        <w:tab/>
      </w:r>
      <w:hyperlink r:id="rId12" w:history="1">
        <w:r w:rsidRPr="009E5AA7">
          <w:rPr>
            <w:rStyle w:val="Hyperlink"/>
          </w:rPr>
          <w:t>Proposal</w:t>
        </w:r>
      </w:hyperlink>
      <w:r w:rsidRPr="009E5AA7">
        <w:t xml:space="preserve"> for a Regulation of the European Parliament and of the Council amending Regulation (EC) No 883/2004 on the coordination of social security systems and regulation (EC) No 987/2009 laying down the procedure for implementing Regulation (EC) No 883/2004 (Text with relevance for the EEA and Switzerland), COM/2016/0815 final - 2016/0397 (COD)</w:t>
      </w:r>
      <w:r>
        <w:t>.</w:t>
      </w:r>
    </w:p>
  </w:footnote>
  <w:footnote w:id="19">
    <w:p w14:paraId="0704BB01" w14:textId="77777777" w:rsidR="00AA2786" w:rsidRPr="00706F00" w:rsidRDefault="00AA2786" w:rsidP="009E6E7F">
      <w:pPr>
        <w:pStyle w:val="FootnoteText"/>
      </w:pPr>
      <w:r w:rsidRPr="002F4227">
        <w:rPr>
          <w:rStyle w:val="FootnoteReference"/>
        </w:rPr>
        <w:footnoteRef/>
      </w:r>
      <w:r>
        <w:tab/>
      </w:r>
      <w:r w:rsidRPr="00706F00">
        <w:t>Regulation (EC) No 883/2004 of the European Parliament and of the Council of 29 April 2004 on the coordination of social security systems (OJ L 166, 30.4.2004, p. 1)</w:t>
      </w:r>
      <w:r>
        <w:t>.</w:t>
      </w:r>
    </w:p>
  </w:footnote>
  <w:footnote w:id="20">
    <w:p w14:paraId="5B86BD39" w14:textId="77777777" w:rsidR="00AA2786" w:rsidRPr="009E5AA7" w:rsidRDefault="00AA2786" w:rsidP="002646A8">
      <w:pPr>
        <w:pStyle w:val="FootnoteText"/>
      </w:pPr>
      <w:r w:rsidRPr="00706F00">
        <w:rPr>
          <w:rStyle w:val="FootnoteReference"/>
        </w:rPr>
        <w:footnoteRef/>
      </w:r>
      <w:r w:rsidRPr="00A65231">
        <w:tab/>
      </w:r>
      <w:hyperlink r:id="rId13" w:history="1">
        <w:r w:rsidRPr="009E5AA7">
          <w:rPr>
            <w:rStyle w:val="Hyperlink"/>
          </w:rPr>
          <w:t>Directive</w:t>
        </w:r>
      </w:hyperlink>
      <w:r w:rsidRPr="009E5AA7">
        <w:t xml:space="preserve"> (EU) 2019/882 of the European Parliament and of the Council of 17 April 2019 on the accessibility requirements for products and services (Text with EEA relevance) - PE/81/2018/REV/1</w:t>
      </w:r>
      <w:r>
        <w:t>.</w:t>
      </w:r>
    </w:p>
  </w:footnote>
  <w:footnote w:id="21">
    <w:p w14:paraId="5B1625D2" w14:textId="77777777" w:rsidR="00AA2786" w:rsidRPr="009E5AA7" w:rsidRDefault="00AA2786" w:rsidP="00901B06">
      <w:pPr>
        <w:pStyle w:val="FootnoteText"/>
      </w:pPr>
      <w:r w:rsidRPr="00706F00">
        <w:rPr>
          <w:rStyle w:val="FootnoteReference"/>
        </w:rPr>
        <w:footnoteRef/>
      </w:r>
      <w:r w:rsidRPr="00706F00">
        <w:tab/>
      </w:r>
      <w:hyperlink r:id="rId14" w:history="1">
        <w:r w:rsidRPr="009E5AA7">
          <w:rPr>
            <w:rStyle w:val="Hyperlink"/>
          </w:rPr>
          <w:t>Directive (EU) 2016/2102</w:t>
        </w:r>
      </w:hyperlink>
      <w:r w:rsidRPr="009E5AA7">
        <w:t xml:space="preserve"> of the European Parliament and of the Council of 26 October 2016 on the accessibility of the websites and mobile applications of public sector bodies.</w:t>
      </w:r>
    </w:p>
  </w:footnote>
  <w:footnote w:id="22">
    <w:p w14:paraId="7BB5DBA0" w14:textId="77777777" w:rsidR="00AA2786" w:rsidRPr="00706F00" w:rsidRDefault="00AA2786" w:rsidP="00BC67C7">
      <w:pPr>
        <w:pStyle w:val="FootnoteText"/>
        <w:rPr>
          <w:lang w:val="en-IE"/>
        </w:rPr>
      </w:pPr>
      <w:r w:rsidRPr="00706F00">
        <w:rPr>
          <w:rStyle w:val="FootnoteReference"/>
        </w:rPr>
        <w:footnoteRef/>
      </w:r>
      <w:r w:rsidRPr="00706F00">
        <w:tab/>
        <w:t>See, for instance, Decision (EU) 2015/2240 of the European Parliament and of the Council of 25 November 2015 establishing a programme on interoperability solutions and common frameworks for European public administrations, businesses and citizens (ISA2 programme) as a means for modernising the public sector, OJ L 318, 4.12.2015, p. 1, Commission Recommendation (EU) 2019/1019 of 7 June 2019 on building modernisation, OJ L 165, 21.6.2019, p. 70 and 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 OJ L 328, 18.12.2019, p. 7</w:t>
      </w:r>
    </w:p>
  </w:footnote>
  <w:footnote w:id="23">
    <w:p w14:paraId="0AB79060" w14:textId="77777777" w:rsidR="00AA2786" w:rsidRPr="009E5AA7" w:rsidRDefault="00AA2786" w:rsidP="00D12A97">
      <w:pPr>
        <w:pStyle w:val="FootnoteText"/>
        <w:rPr>
          <w:lang w:val="en-IE"/>
        </w:rPr>
      </w:pPr>
      <w:r w:rsidRPr="00706F00">
        <w:rPr>
          <w:rStyle w:val="FootnoteReference"/>
        </w:rPr>
        <w:footnoteRef/>
      </w:r>
      <w:r w:rsidRPr="00A65231">
        <w:rPr>
          <w:lang w:val="en-US"/>
        </w:rPr>
        <w:tab/>
      </w:r>
      <w:r w:rsidRPr="009E5AA7">
        <w:rPr>
          <w:lang w:val="en-US"/>
        </w:rPr>
        <w:t xml:space="preserve">Own-initiative opinion on </w:t>
      </w:r>
      <w:hyperlink r:id="rId15" w:history="1">
        <w:r w:rsidRPr="009E5AA7">
          <w:rPr>
            <w:rStyle w:val="Hyperlink"/>
            <w:i/>
            <w:lang w:val="en-US"/>
          </w:rPr>
          <w:t>T</w:t>
        </w:r>
        <w:r w:rsidRPr="009E5AA7">
          <w:rPr>
            <w:rStyle w:val="Hyperlink"/>
            <w:i/>
            <w:iCs/>
            <w:lang w:val="en-US"/>
          </w:rPr>
          <w:t>he rights of live-in care workers</w:t>
        </w:r>
      </w:hyperlink>
      <w:r w:rsidRPr="009E5AA7">
        <w:rPr>
          <w:lang w:val="en-US"/>
        </w:rPr>
        <w:t xml:space="preserve"> (SOC/535), 2016, and a follow-up report </w:t>
      </w:r>
      <w:hyperlink r:id="rId16" w:history="1">
        <w:r w:rsidRPr="009E5AA7">
          <w:rPr>
            <w:rStyle w:val="Hyperlink"/>
            <w:i/>
            <w:iCs/>
            <w:lang w:val="en-US"/>
          </w:rPr>
          <w:t>The future of live-in care work in Europe</w:t>
        </w:r>
      </w:hyperlink>
      <w:r w:rsidRPr="009E5AA7">
        <w:rPr>
          <w:lang w:val="en-US"/>
        </w:rPr>
        <w:t>, 2020.</w:t>
      </w:r>
    </w:p>
  </w:footnote>
  <w:footnote w:id="24">
    <w:p w14:paraId="3F2A611B" w14:textId="77777777" w:rsidR="00AA2786" w:rsidRPr="009E5AA7" w:rsidRDefault="00AA2786" w:rsidP="002646A8">
      <w:pPr>
        <w:pStyle w:val="FootnoteText"/>
        <w:rPr>
          <w:lang w:val="en-US"/>
        </w:rPr>
      </w:pPr>
      <w:r w:rsidRPr="00706F00">
        <w:rPr>
          <w:rStyle w:val="FootnoteReference"/>
        </w:rPr>
        <w:footnoteRef/>
      </w:r>
      <w:r w:rsidRPr="009E5AA7">
        <w:rPr>
          <w:lang w:val="en-US"/>
        </w:rPr>
        <w:tab/>
        <w:t>Own-initiative opinion “</w:t>
      </w:r>
      <w:hyperlink r:id="rId17" w:history="1">
        <w:r w:rsidRPr="009E5AA7">
          <w:rPr>
            <w:rStyle w:val="Hyperlink"/>
            <w:lang w:val="en-US"/>
          </w:rPr>
          <w:t>Towards a New Care Model for the Elderly: learning from the Covid-19 pandemic</w:t>
        </w:r>
      </w:hyperlink>
      <w:r w:rsidRPr="009E5AA7">
        <w:rPr>
          <w:lang w:val="en-US"/>
        </w:rPr>
        <w:t>” (SOC/687)</w:t>
      </w:r>
      <w:r>
        <w:rPr>
          <w:lang w:val="en-US"/>
        </w:rPr>
        <w:t>.</w:t>
      </w:r>
    </w:p>
  </w:footnote>
  <w:footnote w:id="25">
    <w:p w14:paraId="57DC256B" w14:textId="77777777" w:rsidR="00AA2786" w:rsidRPr="009E5AA7" w:rsidRDefault="00AA2786" w:rsidP="00D809D9">
      <w:pPr>
        <w:pStyle w:val="FootnoteText"/>
        <w:rPr>
          <w:lang w:val="en-US"/>
        </w:rPr>
      </w:pPr>
      <w:r w:rsidRPr="00706F00">
        <w:rPr>
          <w:rStyle w:val="FootnoteReference"/>
        </w:rPr>
        <w:footnoteRef/>
      </w:r>
      <w:r w:rsidRPr="009E5AA7">
        <w:rPr>
          <w:lang w:val="en-US"/>
        </w:rPr>
        <w:tab/>
      </w:r>
      <w:hyperlink r:id="rId18" w:history="1">
        <w:r w:rsidRPr="009E5AA7">
          <w:rPr>
            <w:rStyle w:val="Hyperlink"/>
            <w:lang w:val="en-US"/>
          </w:rPr>
          <w:t>https://webapi2016.cor.europa.eu/v1/documents/cor-2020-05862-00-02-ac-tra-en.docx/content</w:t>
        </w:r>
      </w:hyperlink>
      <w:r w:rsidRPr="009E5AA7" w:rsidDel="000839A3">
        <w:rPr>
          <w:lang w:val="en-US"/>
        </w:rPr>
        <w:t xml:space="preserve"> </w:t>
      </w:r>
    </w:p>
  </w:footnote>
  <w:footnote w:id="26">
    <w:p w14:paraId="33946731" w14:textId="77777777" w:rsidR="00AA2786" w:rsidRPr="009E5AA7" w:rsidRDefault="00AA2786" w:rsidP="00D809D9">
      <w:pPr>
        <w:pStyle w:val="FootnoteText"/>
        <w:rPr>
          <w:lang w:val="en-IE"/>
        </w:rPr>
      </w:pPr>
      <w:r w:rsidRPr="00706F00">
        <w:rPr>
          <w:rStyle w:val="FootnoteReference"/>
        </w:rPr>
        <w:footnoteRef/>
      </w:r>
      <w:r w:rsidRPr="009E5AA7">
        <w:tab/>
        <w:t xml:space="preserve">European Parliament resolution of 17 December 2020 on a </w:t>
      </w:r>
      <w:hyperlink r:id="rId19" w:history="1">
        <w:r w:rsidRPr="009E5AA7">
          <w:rPr>
            <w:rStyle w:val="Hyperlink"/>
          </w:rPr>
          <w:t>strong social Europe for Just Transitions</w:t>
        </w:r>
      </w:hyperlink>
      <w:r w:rsidRPr="009E5AA7">
        <w:t xml:space="preserve"> (2020/2084(I</w:t>
      </w:r>
      <w:r>
        <w:t>NI))</w:t>
      </w:r>
      <w:r w:rsidRPr="009E5AA7">
        <w:t>.</w:t>
      </w:r>
    </w:p>
  </w:footnote>
  <w:footnote w:id="27">
    <w:p w14:paraId="5F479D2A" w14:textId="77777777" w:rsidR="00AA2786" w:rsidRPr="009E5AA7" w:rsidRDefault="00AA2786" w:rsidP="00D809D9">
      <w:pPr>
        <w:pStyle w:val="FootnoteText"/>
        <w:rPr>
          <w:lang w:val="en-IE"/>
        </w:rPr>
      </w:pPr>
      <w:r w:rsidRPr="00706F00">
        <w:rPr>
          <w:rStyle w:val="FootnoteReference"/>
        </w:rPr>
        <w:footnoteRef/>
      </w:r>
      <w:r w:rsidRPr="009E5AA7">
        <w:tab/>
        <w:t xml:space="preserve">European Parliament resolution of 7 July 2021 on </w:t>
      </w:r>
      <w:hyperlink r:id="rId20" w:history="1">
        <w:r w:rsidRPr="009E5AA7">
          <w:rPr>
            <w:rStyle w:val="Hyperlink"/>
          </w:rPr>
          <w:t>an old continent growing older – possibilities and challenges related to ageing policy post-2020</w:t>
        </w:r>
      </w:hyperlink>
      <w:r w:rsidRPr="009E5AA7">
        <w:t xml:space="preserve"> (2020/2008(INI)).</w:t>
      </w:r>
    </w:p>
  </w:footnote>
  <w:footnote w:id="28">
    <w:p w14:paraId="59653058" w14:textId="77777777" w:rsidR="00AA2786" w:rsidRPr="009E5AA7" w:rsidRDefault="00AA2786" w:rsidP="00D809D9">
      <w:pPr>
        <w:pStyle w:val="FootnoteText"/>
        <w:rPr>
          <w:lang w:val="en-IE"/>
        </w:rPr>
      </w:pPr>
      <w:r w:rsidRPr="00706F00">
        <w:rPr>
          <w:rStyle w:val="FootnoteReference"/>
        </w:rPr>
        <w:footnoteRef/>
      </w:r>
      <w:r w:rsidRPr="009E5AA7">
        <w:tab/>
        <w:t xml:space="preserve">European Parliament resolution of 17 December 2020 on a </w:t>
      </w:r>
      <w:hyperlink r:id="rId21" w:history="1">
        <w:r w:rsidRPr="009E5AA7">
          <w:rPr>
            <w:rStyle w:val="Hyperlink"/>
          </w:rPr>
          <w:t>strong social Europe for Just Transitions</w:t>
        </w:r>
      </w:hyperlink>
      <w:r w:rsidRPr="009E5AA7">
        <w:t xml:space="preserve"> (2020/2084(INI)).</w:t>
      </w:r>
    </w:p>
  </w:footnote>
  <w:footnote w:id="29">
    <w:p w14:paraId="19FC82E0" w14:textId="77777777" w:rsidR="00AA2786" w:rsidRPr="009E5AA7" w:rsidRDefault="00AA2786">
      <w:pPr>
        <w:pStyle w:val="FootnoteText"/>
        <w:rPr>
          <w:lang w:val="en-IE"/>
        </w:rPr>
      </w:pPr>
      <w:r w:rsidRPr="002F4227">
        <w:rPr>
          <w:rStyle w:val="FootnoteReference"/>
        </w:rPr>
        <w:footnoteRef/>
      </w:r>
      <w:r>
        <w:tab/>
      </w:r>
      <w:r w:rsidRPr="00706F00">
        <w:t>European Parliament resolution of 5 July 2022 towards a common European action on care (2021/2253(INI))</w:t>
      </w:r>
      <w:r>
        <w:t>.</w:t>
      </w:r>
    </w:p>
  </w:footnote>
  <w:footnote w:id="30">
    <w:p w14:paraId="07359C3A" w14:textId="77777777" w:rsidR="00AA2786" w:rsidRPr="009E5AA7" w:rsidRDefault="00AA2786" w:rsidP="0070625F">
      <w:pPr>
        <w:pStyle w:val="FootnoteText"/>
        <w:rPr>
          <w:lang w:val="en-IE"/>
        </w:rPr>
      </w:pPr>
      <w:r w:rsidRPr="00706F00">
        <w:rPr>
          <w:rStyle w:val="FootnoteReference"/>
        </w:rPr>
        <w:footnoteRef/>
      </w:r>
      <w:r w:rsidRPr="009E5AA7">
        <w:tab/>
        <w:t>Council Conclusions on ‘</w:t>
      </w:r>
      <w:hyperlink r:id="rId22" w:history="1">
        <w:r w:rsidRPr="009E5AA7">
          <w:rPr>
            <w:rStyle w:val="Hyperlink"/>
          </w:rPr>
          <w:t>Demographic Challenges – the Way Ahead</w:t>
        </w:r>
      </w:hyperlink>
      <w:r w:rsidRPr="009E5AA7">
        <w:t>’ 2020/C 205/03 of 19 June 2020</w:t>
      </w:r>
    </w:p>
  </w:footnote>
  <w:footnote w:id="31">
    <w:p w14:paraId="2EB7102C" w14:textId="7A7B5242" w:rsidR="00AA2786" w:rsidRPr="009E5AA7" w:rsidRDefault="00AA2786" w:rsidP="0070625F">
      <w:pPr>
        <w:pStyle w:val="FootnoteText"/>
        <w:rPr>
          <w:lang w:val="en-IE"/>
        </w:rPr>
      </w:pPr>
      <w:r w:rsidRPr="00706F00">
        <w:rPr>
          <w:rStyle w:val="FootnoteReference"/>
        </w:rPr>
        <w:footnoteRef/>
      </w:r>
      <w:r w:rsidRPr="009E5AA7">
        <w:tab/>
        <w:t xml:space="preserve">Council Conclusions on </w:t>
      </w:r>
      <w:hyperlink r:id="rId23" w:history="1">
        <w:r w:rsidRPr="009E5AA7">
          <w:rPr>
            <w:rStyle w:val="Hyperlink"/>
          </w:rPr>
          <w:t>Human Rights, Participation and Well-Being of Older Persons in the Era of Digitalisation</w:t>
        </w:r>
      </w:hyperlink>
      <w:r>
        <w:t xml:space="preserve"> of 9 </w:t>
      </w:r>
      <w:r w:rsidR="00E51277">
        <w:t>October</w:t>
      </w:r>
      <w:r>
        <w:t xml:space="preserve"> 2020.</w:t>
      </w:r>
    </w:p>
  </w:footnote>
  <w:footnote w:id="32">
    <w:p w14:paraId="3FF43D2E" w14:textId="77777777" w:rsidR="00AA2786" w:rsidRPr="009E5AA7" w:rsidRDefault="00AA2786" w:rsidP="0070625F">
      <w:pPr>
        <w:pStyle w:val="FootnoteText"/>
        <w:rPr>
          <w:lang w:val="en-IE"/>
        </w:rPr>
      </w:pPr>
      <w:r w:rsidRPr="00706F00">
        <w:rPr>
          <w:rStyle w:val="FootnoteReference"/>
        </w:rPr>
        <w:footnoteRef/>
      </w:r>
      <w:r w:rsidRPr="009E5AA7">
        <w:tab/>
        <w:t xml:space="preserve">Council Conclusions on </w:t>
      </w:r>
      <w:hyperlink r:id="rId24" w:history="1">
        <w:r w:rsidRPr="009E5AA7">
          <w:rPr>
            <w:rStyle w:val="Hyperlink"/>
          </w:rPr>
          <w:t>Mainstreaming Ageing in Public Policies</w:t>
        </w:r>
      </w:hyperlink>
      <w:r w:rsidRPr="009E5AA7">
        <w:t xml:space="preserve"> of 12 March 2021</w:t>
      </w:r>
      <w:r>
        <w:t>.</w:t>
      </w:r>
    </w:p>
  </w:footnote>
  <w:footnote w:id="33">
    <w:p w14:paraId="17DBD558" w14:textId="21F467A8" w:rsidR="00AA2786" w:rsidRPr="00624A4C" w:rsidRDefault="00AA2786">
      <w:pPr>
        <w:pStyle w:val="FootnoteText"/>
        <w:rPr>
          <w:lang w:val="en-IE"/>
        </w:rPr>
      </w:pPr>
      <w:r w:rsidRPr="002F4227">
        <w:rPr>
          <w:rStyle w:val="FootnoteReference"/>
        </w:rPr>
        <w:footnoteRef/>
      </w:r>
      <w:r>
        <w:tab/>
      </w:r>
      <w:r w:rsidR="00A7221E">
        <w:rPr>
          <w:lang w:val="en-IE"/>
        </w:rPr>
        <w:t>C</w:t>
      </w:r>
      <w:r w:rsidR="0023126C">
        <w:rPr>
          <w:lang w:val="en-IE"/>
        </w:rPr>
        <w:t xml:space="preserve">ommission </w:t>
      </w:r>
      <w:r w:rsidR="00A7221E">
        <w:rPr>
          <w:lang w:val="en-IE"/>
        </w:rPr>
        <w:t>Staff Working Document accompanying the proposal for a Council Recommendation on access to affordable high-quality long-term care</w:t>
      </w:r>
      <w:r w:rsidR="00A7221E">
        <w:rPr>
          <w:color w:val="1F497D"/>
          <w:lang w:val="en-IE"/>
        </w:rPr>
        <w:t xml:space="preserve"> – </w:t>
      </w:r>
      <w:r w:rsidR="00A7221E" w:rsidRPr="00624A4C">
        <w:rPr>
          <w:bCs/>
          <w:lang w:val="en-IE"/>
        </w:rPr>
        <w:t>SWD(2022) 441</w:t>
      </w:r>
    </w:p>
  </w:footnote>
  <w:footnote w:id="34">
    <w:p w14:paraId="67945D52" w14:textId="77777777" w:rsidR="00AA2786" w:rsidRPr="00706F00" w:rsidRDefault="00AA2786" w:rsidP="00FC10A0">
      <w:pPr>
        <w:pStyle w:val="FootnoteText"/>
      </w:pPr>
      <w:r w:rsidRPr="002F4227">
        <w:rPr>
          <w:rStyle w:val="FootnoteReference"/>
        </w:rPr>
        <w:footnoteRef/>
      </w:r>
      <w:r>
        <w:tab/>
      </w:r>
      <w:r w:rsidRPr="00706F00">
        <w:t>Interinstitutional Proclamation on the European Pillar of Social Rights (OJ C 428, 13.12.2017, p. 10).</w:t>
      </w:r>
    </w:p>
  </w:footnote>
  <w:footnote w:id="35">
    <w:p w14:paraId="41CCF026" w14:textId="77777777" w:rsidR="00AA2786" w:rsidRPr="009E5AA7" w:rsidRDefault="00AA2786" w:rsidP="00D809D9">
      <w:pPr>
        <w:pStyle w:val="FootnoteText"/>
        <w:rPr>
          <w:lang w:val="en-IE"/>
        </w:rPr>
      </w:pPr>
      <w:r w:rsidRPr="00706F00">
        <w:rPr>
          <w:rStyle w:val="FootnoteReference"/>
        </w:rPr>
        <w:footnoteRef/>
      </w:r>
      <w:r w:rsidRPr="009E5AA7">
        <w:tab/>
      </w:r>
      <w:r w:rsidRPr="00706F00">
        <w:t>Charter of Fundamental Rights of the European Union</w:t>
      </w:r>
      <w:r w:rsidRPr="009E5AA7">
        <w:rPr>
          <w:lang w:val="en-IE"/>
        </w:rPr>
        <w:t>, (OJ C 326, 26.10.2012, p. 391)</w:t>
      </w:r>
      <w:r>
        <w:rPr>
          <w:lang w:val="en-IE"/>
        </w:rPr>
        <w:t>.</w:t>
      </w:r>
    </w:p>
  </w:footnote>
  <w:footnote w:id="36">
    <w:p w14:paraId="6E25C814" w14:textId="77777777" w:rsidR="00AA2786" w:rsidRPr="001D00B1" w:rsidRDefault="00AA2786" w:rsidP="00D809D9">
      <w:pPr>
        <w:pStyle w:val="FootnoteText"/>
        <w:rPr>
          <w:lang w:val="en-US"/>
        </w:rPr>
      </w:pPr>
      <w:r w:rsidRPr="00706F00">
        <w:rPr>
          <w:rStyle w:val="FootnoteReference"/>
        </w:rPr>
        <w:footnoteRef/>
      </w:r>
      <w:r w:rsidRPr="00A65231">
        <w:tab/>
      </w:r>
      <w:r w:rsidRPr="001D00B1">
        <w:rPr>
          <w:rStyle w:val="Hyperlink"/>
        </w:rPr>
        <w:t>https://www.un.org/development/desa/disabilities/convention-on-the-rights-of-persons-with-disabilities.html</w:t>
      </w:r>
      <w:r>
        <w:rPr>
          <w:rStyle w:val="Hyperlink"/>
        </w:rPr>
        <w:t>.</w:t>
      </w:r>
    </w:p>
  </w:footnote>
  <w:footnote w:id="37">
    <w:p w14:paraId="3A79A525" w14:textId="77777777" w:rsidR="00AA2786" w:rsidRPr="001D00B1" w:rsidRDefault="00AA2786" w:rsidP="00D12A97">
      <w:pPr>
        <w:pStyle w:val="FootnoteText"/>
        <w:rPr>
          <w:lang w:val="en-IE"/>
        </w:rPr>
      </w:pPr>
      <w:r w:rsidRPr="00706F00">
        <w:rPr>
          <w:rStyle w:val="FootnoteReference"/>
        </w:rPr>
        <w:footnoteRef/>
      </w:r>
      <w:r w:rsidRPr="001D00B1">
        <w:tab/>
        <w:t xml:space="preserve">European Commission, Directorate-General for Employment, Social Affairs and Inclusion and the Social Protection Committee, </w:t>
      </w:r>
      <w:hyperlink r:id="rId25" w:history="1">
        <w:r w:rsidRPr="001D00B1">
          <w:rPr>
            <w:rStyle w:val="Hyperlink"/>
            <w:i/>
          </w:rPr>
          <w:t>Long-term care</w:t>
        </w:r>
        <w:r w:rsidRPr="001D00B1">
          <w:rPr>
            <w:rStyle w:val="Hyperlink"/>
            <w:i/>
            <w:iCs/>
          </w:rPr>
          <w:t xml:space="preserve"> </w:t>
        </w:r>
        <w:r w:rsidRPr="001D00B1">
          <w:rPr>
            <w:rStyle w:val="Hyperlink"/>
            <w:i/>
          </w:rPr>
          <w:t>report: trends, challenges and opportunities in an ageing society</w:t>
        </w:r>
      </w:hyperlink>
      <w:r w:rsidRPr="001D00B1">
        <w:rPr>
          <w:i/>
          <w:iCs/>
        </w:rPr>
        <w:t>.</w:t>
      </w:r>
      <w:r w:rsidRPr="001D00B1">
        <w:t xml:space="preserve"> Publications Office, 2021.</w:t>
      </w:r>
    </w:p>
  </w:footnote>
  <w:footnote w:id="38">
    <w:p w14:paraId="67C15C46" w14:textId="77777777" w:rsidR="00AA2786" w:rsidRPr="00E855D5" w:rsidRDefault="00AA2786">
      <w:pPr>
        <w:pStyle w:val="FootnoteText"/>
      </w:pPr>
      <w:r w:rsidRPr="002F4227">
        <w:rPr>
          <w:rStyle w:val="FootnoteReference"/>
        </w:rPr>
        <w:footnoteRef/>
      </w:r>
      <w:r>
        <w:tab/>
        <w:t>E</w:t>
      </w:r>
      <w:r w:rsidRPr="00E855D5">
        <w:t>stablished by Council Decision (EU) 2015/773</w:t>
      </w:r>
      <w:r>
        <w:t>.</w:t>
      </w:r>
    </w:p>
  </w:footnote>
  <w:footnote w:id="39">
    <w:p w14:paraId="7FFDCF7A" w14:textId="69ADBC89" w:rsidR="00AA2786" w:rsidRPr="001D00B1" w:rsidRDefault="00AA2786" w:rsidP="00D12A97">
      <w:pPr>
        <w:pStyle w:val="FootnoteText"/>
      </w:pPr>
      <w:r w:rsidRPr="00706F00">
        <w:rPr>
          <w:rStyle w:val="FootnoteReference"/>
        </w:rPr>
        <w:footnoteRef/>
      </w:r>
      <w:r w:rsidRPr="001D00B1">
        <w:tab/>
      </w:r>
      <w:r w:rsidRPr="002956ED">
        <w:t xml:space="preserve"> </w:t>
      </w:r>
      <w:r w:rsidRPr="001D00B1">
        <w:t xml:space="preserve">European Commission, Directorate-General for Employment, Social Affairs and Inclusion and the Social Protection Committee, </w:t>
      </w:r>
      <w:hyperlink r:id="rId26" w:history="1">
        <w:r w:rsidRPr="001D00B1">
          <w:rPr>
            <w:rStyle w:val="Hyperlink"/>
            <w:i/>
          </w:rPr>
          <w:t>Long-term care</w:t>
        </w:r>
        <w:r w:rsidRPr="001D00B1">
          <w:rPr>
            <w:rStyle w:val="Hyperlink"/>
            <w:i/>
            <w:iCs/>
          </w:rPr>
          <w:t xml:space="preserve"> </w:t>
        </w:r>
        <w:r w:rsidRPr="001D00B1">
          <w:rPr>
            <w:rStyle w:val="Hyperlink"/>
            <w:i/>
          </w:rPr>
          <w:t>report: trends, challenges and opportunities in an ageing society</w:t>
        </w:r>
      </w:hyperlink>
      <w:r w:rsidRPr="001D00B1">
        <w:rPr>
          <w:i/>
          <w:iCs/>
        </w:rPr>
        <w:t>.</w:t>
      </w:r>
      <w:r w:rsidRPr="001D00B1">
        <w:t xml:space="preserve"> Publications Office, 2021.</w:t>
      </w:r>
    </w:p>
  </w:footnote>
  <w:footnote w:id="40">
    <w:p w14:paraId="470D8AA8" w14:textId="77777777" w:rsidR="00AA2786" w:rsidRPr="001D00B1" w:rsidRDefault="00AA2786" w:rsidP="00365E77">
      <w:pPr>
        <w:pStyle w:val="FootnoteText"/>
      </w:pPr>
      <w:r w:rsidRPr="00706F00">
        <w:rPr>
          <w:rStyle w:val="FootnoteReference"/>
        </w:rPr>
        <w:footnoteRef/>
      </w:r>
      <w:r w:rsidRPr="001D00B1">
        <w:tab/>
      </w:r>
      <w:r w:rsidRPr="00365E77">
        <w:t xml:space="preserve">European Commission and Economic Policy Committee, 2021, </w:t>
      </w:r>
      <w:hyperlink r:id="rId27" w:history="1">
        <w:r w:rsidRPr="00365E77">
          <w:rPr>
            <w:i/>
            <w:iCs/>
            <w:color w:val="0000FF" w:themeColor="hyperlink"/>
            <w:u w:val="single"/>
          </w:rPr>
          <w:t>The 2021 Ageing Report</w:t>
        </w:r>
      </w:hyperlink>
      <w:r w:rsidRPr="00365E77">
        <w:rPr>
          <w:i/>
          <w:iCs/>
        </w:rPr>
        <w:t xml:space="preserve"> – Economic and Budgetary Projections for the EU Member States (2019-2070)</w:t>
      </w:r>
      <w:r w:rsidRPr="00365E77">
        <w:t>, Publications Office of the European Union, Luxembourg.</w:t>
      </w:r>
    </w:p>
  </w:footnote>
  <w:footnote w:id="41">
    <w:p w14:paraId="6D8D3B4D" w14:textId="77777777" w:rsidR="00AA2786" w:rsidRPr="001D00B1" w:rsidRDefault="00AA2786" w:rsidP="00D12A97">
      <w:pPr>
        <w:pStyle w:val="FootnoteText"/>
      </w:pPr>
      <w:r w:rsidRPr="00706F00">
        <w:rPr>
          <w:rStyle w:val="FootnoteReference"/>
        </w:rPr>
        <w:footnoteRef/>
      </w:r>
      <w:r w:rsidRPr="001D00B1">
        <w:tab/>
      </w:r>
      <w:r w:rsidRPr="00CE1CC3">
        <w:t>I</w:t>
      </w:r>
      <w:r w:rsidRPr="001D00B1">
        <w:t>bid</w:t>
      </w:r>
      <w:r>
        <w:t>.</w:t>
      </w:r>
    </w:p>
  </w:footnote>
  <w:footnote w:id="42">
    <w:p w14:paraId="5E28E4DE" w14:textId="77777777" w:rsidR="00AA2786" w:rsidRPr="001D00B1" w:rsidRDefault="00AA2786" w:rsidP="002646A8">
      <w:pPr>
        <w:pStyle w:val="FootnoteText"/>
      </w:pPr>
      <w:r w:rsidRPr="00706F00">
        <w:rPr>
          <w:rStyle w:val="FootnoteReference"/>
        </w:rPr>
        <w:footnoteRef/>
      </w:r>
      <w:r w:rsidRPr="001D00B1">
        <w:tab/>
      </w:r>
      <w:r w:rsidRPr="009E5AA7">
        <w:t>Van der Ende, M. et al.</w:t>
      </w:r>
      <w:r w:rsidRPr="009E5AA7">
        <w:rPr>
          <w:lang w:val="en-IE"/>
        </w:rPr>
        <w:t xml:space="preserve">, 2021, </w:t>
      </w:r>
      <w:hyperlink r:id="rId28" w:history="1">
        <w:r w:rsidRPr="009E5AA7">
          <w:rPr>
            <w:rStyle w:val="Hyperlink"/>
            <w:i/>
            <w:lang w:val="en-IE"/>
          </w:rPr>
          <w:t>Study on exploring the incidence and costs of informal long-term care in the EU</w:t>
        </w:r>
      </w:hyperlink>
      <w:r w:rsidRPr="009E5AA7">
        <w:t>.</w:t>
      </w:r>
    </w:p>
  </w:footnote>
  <w:footnote w:id="43">
    <w:p w14:paraId="61E10811" w14:textId="77777777" w:rsidR="00AA2786" w:rsidRPr="001D00B1" w:rsidRDefault="00AA2786" w:rsidP="00D809D9">
      <w:pPr>
        <w:pStyle w:val="FootnoteText"/>
        <w:rPr>
          <w:lang w:val="en-IE"/>
        </w:rPr>
      </w:pPr>
      <w:r w:rsidRPr="00706F00">
        <w:rPr>
          <w:rStyle w:val="FootnoteReference"/>
        </w:rPr>
        <w:footnoteRef/>
      </w:r>
      <w:r w:rsidRPr="00A65231">
        <w:tab/>
      </w:r>
      <w:r w:rsidRPr="00706F00">
        <w:t>Domestic Workers Convention</w:t>
      </w:r>
      <w:r w:rsidRPr="001D00B1">
        <w:rPr>
          <w:lang w:val="en-IE"/>
        </w:rPr>
        <w:t>, 2011 (No. 189)</w:t>
      </w:r>
      <w:r>
        <w:rPr>
          <w:lang w:val="en-IE"/>
        </w:rPr>
        <w:t>.</w:t>
      </w:r>
    </w:p>
  </w:footnote>
  <w:footnote w:id="44">
    <w:p w14:paraId="10FF51D7" w14:textId="77777777" w:rsidR="00AA2786" w:rsidRPr="001D00B1" w:rsidRDefault="00AA2786" w:rsidP="00D809D9">
      <w:pPr>
        <w:pStyle w:val="FootnoteText"/>
        <w:rPr>
          <w:lang w:val="en-IE"/>
        </w:rPr>
      </w:pPr>
      <w:r w:rsidRPr="00706F00">
        <w:rPr>
          <w:rStyle w:val="FootnoteReference"/>
        </w:rPr>
        <w:footnoteRef/>
      </w:r>
      <w:r w:rsidRPr="001D00B1">
        <w:tab/>
      </w:r>
      <w:r w:rsidRPr="00706F00">
        <w:t>Council Decision (EU) 2018/1215 of 16 July 2018 on guidelines for the employment policies of the Member States</w:t>
      </w:r>
      <w:r>
        <w:rPr>
          <w:rStyle w:val="Hyperlink"/>
          <w:lang w:val="en-IE"/>
        </w:rPr>
        <w:t>.</w:t>
      </w:r>
    </w:p>
  </w:footnote>
  <w:footnote w:id="45">
    <w:p w14:paraId="2DF35A88" w14:textId="77777777" w:rsidR="00AA2786" w:rsidRPr="001D00B1" w:rsidRDefault="00AA2786" w:rsidP="00D809D9">
      <w:pPr>
        <w:pStyle w:val="FootnoteText"/>
        <w:rPr>
          <w:lang w:val="en-IE"/>
        </w:rPr>
      </w:pPr>
      <w:r w:rsidRPr="00706F00">
        <w:rPr>
          <w:rStyle w:val="FootnoteReference"/>
        </w:rPr>
        <w:footnoteRef/>
      </w:r>
      <w:r w:rsidRPr="001D00B1">
        <w:tab/>
      </w:r>
      <w:r w:rsidRPr="00706F00">
        <w:t>A voluntary European quality framework for social services</w:t>
      </w:r>
      <w:r w:rsidRPr="001D00B1">
        <w:rPr>
          <w:lang w:val="en-IE"/>
        </w:rPr>
        <w:t>, SPC/2010/10/8 final</w:t>
      </w:r>
      <w:r>
        <w:rPr>
          <w:lang w:val="en-IE"/>
        </w:rPr>
        <w:t>.</w:t>
      </w:r>
    </w:p>
  </w:footnote>
  <w:footnote w:id="46">
    <w:p w14:paraId="6BE4DA70" w14:textId="77777777" w:rsidR="00AA2786" w:rsidRPr="001D00B1" w:rsidRDefault="00AA2786" w:rsidP="00D12A97">
      <w:pPr>
        <w:pStyle w:val="FootnoteText"/>
      </w:pPr>
      <w:r w:rsidRPr="00706F00">
        <w:rPr>
          <w:rStyle w:val="FootnoteReference"/>
        </w:rPr>
        <w:footnoteRef/>
      </w:r>
      <w:r w:rsidRPr="00A65231">
        <w:tab/>
      </w:r>
      <w:hyperlink r:id="rId29" w:history="1">
        <w:r w:rsidRPr="001D00B1">
          <w:rPr>
            <w:rStyle w:val="Hyperlink"/>
          </w:rPr>
          <w:t>Directive 2003/88/EC</w:t>
        </w:r>
      </w:hyperlink>
      <w:r w:rsidRPr="001D00B1">
        <w:t xml:space="preserve"> of the European Parliament and of the Council of 4 November 2003 concerning certain aspects of the organisation of working time; </w:t>
      </w:r>
      <w:hyperlink r:id="rId30" w:history="1">
        <w:r w:rsidRPr="001D00B1">
          <w:rPr>
            <w:rStyle w:val="Hyperlink"/>
          </w:rPr>
          <w:t>Directive (EU) 2019/1152</w:t>
        </w:r>
      </w:hyperlink>
      <w:r w:rsidRPr="001D00B1">
        <w:t xml:space="preserve"> of the European Parliament and of the Council of 20 June 2019 on transparent and predictable working conditions; </w:t>
      </w:r>
      <w:hyperlink r:id="rId31" w:history="1">
        <w:r w:rsidRPr="001D00B1">
          <w:rPr>
            <w:rStyle w:val="Hyperlink"/>
          </w:rPr>
          <w:t>Directive 96/71/EC</w:t>
        </w:r>
      </w:hyperlink>
      <w:r w:rsidRPr="001D00B1">
        <w:t xml:space="preserve"> of the European Parliament and of the Council of 16 December 1996 concerning the posting of workers in the framework of the provision of services; proposal for a </w:t>
      </w:r>
      <w:hyperlink r:id="rId32" w:history="1">
        <w:r w:rsidRPr="001D00B1">
          <w:t>Directive on adequate minimum wages</w:t>
        </w:r>
      </w:hyperlink>
      <w:r w:rsidRPr="001D00B1">
        <w:t xml:space="preserve"> in the European Union (</w:t>
      </w:r>
      <w:hyperlink r:id="rId33" w:history="1">
        <w:r w:rsidRPr="001D00B1">
          <w:rPr>
            <w:rStyle w:val="Hyperlink"/>
          </w:rPr>
          <w:t>COM/2020/682 final</w:t>
        </w:r>
      </w:hyperlink>
      <w:r w:rsidRPr="001D00B1">
        <w:t>); proposal for a Directive of the European Parliament and of the Council to strengthen the application of the principle of equal pay for equal work or work of equal value between men and women through pay transparency and enforcement mechanisms (</w:t>
      </w:r>
      <w:hyperlink r:id="rId34" w:history="1">
        <w:r w:rsidRPr="001D00B1">
          <w:rPr>
            <w:rStyle w:val="Hyperlink"/>
          </w:rPr>
          <w:t>COM/2021/93 final</w:t>
        </w:r>
      </w:hyperlink>
      <w:r w:rsidRPr="001D00B1">
        <w:t>).</w:t>
      </w:r>
    </w:p>
  </w:footnote>
  <w:footnote w:id="47">
    <w:p w14:paraId="459CDC05" w14:textId="77777777" w:rsidR="00AA2786" w:rsidRPr="001D00B1" w:rsidRDefault="00AA2786" w:rsidP="00D12A97">
      <w:pPr>
        <w:pStyle w:val="FootnoteText"/>
      </w:pPr>
      <w:r w:rsidRPr="001D00B1">
        <w:rPr>
          <w:rStyle w:val="FootnoteReference"/>
        </w:rPr>
        <w:footnoteRef/>
      </w:r>
      <w:r w:rsidRPr="001D00B1">
        <w:tab/>
      </w:r>
      <w:hyperlink r:id="rId35" w:history="1">
        <w:r w:rsidRPr="001D00B1">
          <w:rPr>
            <w:rStyle w:val="Hyperlink"/>
          </w:rPr>
          <w:t>Directive (EU) 2019/1158</w:t>
        </w:r>
      </w:hyperlink>
      <w:r w:rsidRPr="001D00B1">
        <w:t xml:space="preserve"> of the European Parliament and of the Council of 20 June 2019 on work-life balance for parents and carers and repealing Council Directive 2010/18/EU.</w:t>
      </w:r>
    </w:p>
  </w:footnote>
  <w:footnote w:id="48">
    <w:p w14:paraId="2DB183DC" w14:textId="77777777" w:rsidR="00AA2786" w:rsidRPr="001D00B1" w:rsidRDefault="00AA2786" w:rsidP="00D12A97">
      <w:pPr>
        <w:pStyle w:val="FootnoteText"/>
        <w:rPr>
          <w:lang w:val="en-IE"/>
        </w:rPr>
      </w:pPr>
      <w:r w:rsidRPr="00706F00">
        <w:rPr>
          <w:rStyle w:val="FootnoteReference"/>
        </w:rPr>
        <w:footnoteRef/>
      </w:r>
      <w:r w:rsidRPr="001D00B1">
        <w:tab/>
      </w:r>
      <w:hyperlink r:id="rId36" w:history="1">
        <w:r w:rsidRPr="001D00B1">
          <w:rPr>
            <w:rStyle w:val="Hyperlink"/>
          </w:rPr>
          <w:t>Council Directive 89/391/EEC</w:t>
        </w:r>
      </w:hyperlink>
      <w:r w:rsidRPr="001D00B1">
        <w:t xml:space="preserve"> of 12 June 1989 on the introduction of measures to encourage improvements in the safety and health of workers at work; </w:t>
      </w:r>
      <w:hyperlink r:id="rId37" w:history="1">
        <w:r w:rsidRPr="001D00B1">
          <w:rPr>
            <w:rStyle w:val="Hyperlink"/>
          </w:rPr>
          <w:t>Directive 2000/54/EC</w:t>
        </w:r>
      </w:hyperlink>
      <w:r w:rsidRPr="001D00B1">
        <w:t xml:space="preserve"> of the European Parliament and of the Council of 18 September 2000 on the protection of workers from risks related to exposure to biological agents at work; </w:t>
      </w:r>
      <w:hyperlink r:id="rId38" w:history="1">
        <w:r w:rsidRPr="001D00B1">
          <w:rPr>
            <w:rStyle w:val="Hyperlink"/>
          </w:rPr>
          <w:t>Council Directive 90/269/EEC</w:t>
        </w:r>
      </w:hyperlink>
      <w:r w:rsidRPr="001D00B1">
        <w:t xml:space="preserve"> of 29 May 1990 on the minimum health and safety requirements for the manual handling of loads where there is a risk particularly of back injury to workers; </w:t>
      </w:r>
      <w:hyperlink r:id="rId39" w:history="1">
        <w:r w:rsidRPr="001D00B1">
          <w:rPr>
            <w:rStyle w:val="Hyperlink"/>
          </w:rPr>
          <w:t>Council Directive 98/24/EC</w:t>
        </w:r>
      </w:hyperlink>
      <w:r w:rsidRPr="001D00B1">
        <w:t xml:space="preserve"> of 7 April 1998 on the protection of the health and safety of workers from the risks related to chemical agents at work; </w:t>
      </w:r>
      <w:hyperlink r:id="rId40" w:history="1">
        <w:r w:rsidRPr="001D00B1">
          <w:rPr>
            <w:rStyle w:val="Hyperlink"/>
          </w:rPr>
          <w:t>Directive 2004/37/EC</w:t>
        </w:r>
      </w:hyperlink>
      <w:r w:rsidRPr="001D00B1">
        <w:t xml:space="preserve"> of 29 April 2004 on the protection of workers from the risks related to exposure to carcinogens or mutagens at work; </w:t>
      </w:r>
      <w:hyperlink r:id="rId41" w:history="1">
        <w:r w:rsidRPr="001D00B1">
          <w:rPr>
            <w:rStyle w:val="Hyperlink"/>
          </w:rPr>
          <w:t>Directive 2013/35/EU</w:t>
        </w:r>
      </w:hyperlink>
      <w:r w:rsidRPr="001D00B1">
        <w:t xml:space="preserve"> of 26 June 2013 on the minimum health and safety requirements regarding the exposure of workers to the risks arising from physical agents (electromagnetic fields); </w:t>
      </w:r>
      <w:hyperlink r:id="rId42" w:history="1">
        <w:r w:rsidRPr="001D00B1">
          <w:rPr>
            <w:rStyle w:val="Hyperlink"/>
          </w:rPr>
          <w:t>Council Directive 89/656/EEC</w:t>
        </w:r>
      </w:hyperlink>
      <w:r w:rsidRPr="001D00B1">
        <w:t xml:space="preserve"> of 30 November 1989 on the minimum health and safety requirements for the use by workers of personal protective equipment at the workplace. See consolidated text: https://eur-lex.europa.eu/legal-content/EN/TXT/?uri=CELEX%3A01989L0656-20191120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C7239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64EEFD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BEA543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8F20E8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5423A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970CDE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C747BA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D36486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num>
  <w:num w:numId="11">
    <w:abstractNumId w:val="15"/>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
  </w:num>
  <w:num w:numId="21">
    <w:abstractNumId w:val="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 w:numId="39">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6" w:nlCheck="1" w:checkStyle="0"/>
  <w:activeWritingStyle w:appName="MSWord" w:lang="pt-P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8-30 15:23:08"/>
    <w:docVar w:name="DQCRepairStyles" w:val=";Footnote Text;Point 2 (number);Point 1 (letter);Point 2 (letter);Footnote Text;"/>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CC7C3A2B-7695-4AE9-B227-C73E58451786"/>
    <w:docVar w:name="LW_COVERPAGE_TYPE" w:val="1"/>
    <w:docVar w:name="LW_CROSSREFERENCE" w:val="{SWD(2022) 441 final}"/>
    <w:docVar w:name="LW_DocType" w:val="COM"/>
    <w:docVar w:name="LW_EMISSION" w:val="7.9.2022"/>
    <w:docVar w:name="LW_EMISSION_ISODATE" w:val="2022-09-07"/>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64"/>
    <w:docVar w:name="LW_REF.II.NEW.CP_YEAR" w:val="2022"/>
    <w:docVar w:name="LW_REF.INST.NEW" w:val="COM"/>
    <w:docVar w:name="LW_REF.INST.NEW_ADOPTED" w:val="final"/>
    <w:docVar w:name="LW_REF.INST.NEW_TEXT" w:val="(2022)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ccess to affordable high-quality long-term care"/>
    <w:docVar w:name="LW_TYPE.DOC.CP" w:val="COUNCIL RECOMMENDATION"/>
    <w:docVar w:name="LwApiVersions" w:val="LW4CoDe 1.23.2.0; LW 8.0, Build 20211117"/>
  </w:docVars>
  <w:rsids>
    <w:rsidRoot w:val="001112E6"/>
    <w:rsid w:val="000002E2"/>
    <w:rsid w:val="00000D9D"/>
    <w:rsid w:val="00002C2F"/>
    <w:rsid w:val="00002FEE"/>
    <w:rsid w:val="000041AB"/>
    <w:rsid w:val="00006044"/>
    <w:rsid w:val="0000673B"/>
    <w:rsid w:val="000067FB"/>
    <w:rsid w:val="00007DE5"/>
    <w:rsid w:val="00010A7F"/>
    <w:rsid w:val="0001120A"/>
    <w:rsid w:val="00011A41"/>
    <w:rsid w:val="00012357"/>
    <w:rsid w:val="00014CD7"/>
    <w:rsid w:val="0001534B"/>
    <w:rsid w:val="000202A2"/>
    <w:rsid w:val="00022CC2"/>
    <w:rsid w:val="00023082"/>
    <w:rsid w:val="00023D91"/>
    <w:rsid w:val="00023E1E"/>
    <w:rsid w:val="00024BC7"/>
    <w:rsid w:val="00024DDF"/>
    <w:rsid w:val="000252A8"/>
    <w:rsid w:val="00025B66"/>
    <w:rsid w:val="00025D38"/>
    <w:rsid w:val="00025EDC"/>
    <w:rsid w:val="00026018"/>
    <w:rsid w:val="000260B0"/>
    <w:rsid w:val="000263F7"/>
    <w:rsid w:val="0002671B"/>
    <w:rsid w:val="0003038D"/>
    <w:rsid w:val="000305BF"/>
    <w:rsid w:val="00031243"/>
    <w:rsid w:val="00032444"/>
    <w:rsid w:val="0003264D"/>
    <w:rsid w:val="000329A9"/>
    <w:rsid w:val="00032A64"/>
    <w:rsid w:val="00033439"/>
    <w:rsid w:val="000335BA"/>
    <w:rsid w:val="000345EB"/>
    <w:rsid w:val="00034AD3"/>
    <w:rsid w:val="00036050"/>
    <w:rsid w:val="00037557"/>
    <w:rsid w:val="000402A0"/>
    <w:rsid w:val="00040365"/>
    <w:rsid w:val="00040FDB"/>
    <w:rsid w:val="00042A16"/>
    <w:rsid w:val="00042ED1"/>
    <w:rsid w:val="00044B3C"/>
    <w:rsid w:val="00044CFF"/>
    <w:rsid w:val="00045645"/>
    <w:rsid w:val="000460DB"/>
    <w:rsid w:val="0004624B"/>
    <w:rsid w:val="0004754C"/>
    <w:rsid w:val="00050BFB"/>
    <w:rsid w:val="0005141C"/>
    <w:rsid w:val="00053BDE"/>
    <w:rsid w:val="000559AB"/>
    <w:rsid w:val="00055E02"/>
    <w:rsid w:val="00057906"/>
    <w:rsid w:val="00060F7E"/>
    <w:rsid w:val="000679EB"/>
    <w:rsid w:val="0007126B"/>
    <w:rsid w:val="000728F0"/>
    <w:rsid w:val="0007399F"/>
    <w:rsid w:val="00074731"/>
    <w:rsid w:val="00074DDD"/>
    <w:rsid w:val="00074E3E"/>
    <w:rsid w:val="00075714"/>
    <w:rsid w:val="0007673D"/>
    <w:rsid w:val="00077935"/>
    <w:rsid w:val="00081406"/>
    <w:rsid w:val="000815EC"/>
    <w:rsid w:val="00081E85"/>
    <w:rsid w:val="000820CD"/>
    <w:rsid w:val="00082873"/>
    <w:rsid w:val="00082910"/>
    <w:rsid w:val="000846D5"/>
    <w:rsid w:val="00084B51"/>
    <w:rsid w:val="00085CA0"/>
    <w:rsid w:val="00086046"/>
    <w:rsid w:val="00086050"/>
    <w:rsid w:val="000873A5"/>
    <w:rsid w:val="00087768"/>
    <w:rsid w:val="00087984"/>
    <w:rsid w:val="00087D07"/>
    <w:rsid w:val="00089587"/>
    <w:rsid w:val="0009032C"/>
    <w:rsid w:val="0009107B"/>
    <w:rsid w:val="0009167E"/>
    <w:rsid w:val="00091694"/>
    <w:rsid w:val="00091C38"/>
    <w:rsid w:val="00092833"/>
    <w:rsid w:val="0009371A"/>
    <w:rsid w:val="00094B15"/>
    <w:rsid w:val="00094D75"/>
    <w:rsid w:val="000963F4"/>
    <w:rsid w:val="00097726"/>
    <w:rsid w:val="000A1D27"/>
    <w:rsid w:val="000A2D18"/>
    <w:rsid w:val="000A4536"/>
    <w:rsid w:val="000A45FE"/>
    <w:rsid w:val="000A4FE5"/>
    <w:rsid w:val="000A5355"/>
    <w:rsid w:val="000A6D06"/>
    <w:rsid w:val="000A7197"/>
    <w:rsid w:val="000A7517"/>
    <w:rsid w:val="000A757E"/>
    <w:rsid w:val="000A76CA"/>
    <w:rsid w:val="000A7B01"/>
    <w:rsid w:val="000A7E99"/>
    <w:rsid w:val="000B0C1D"/>
    <w:rsid w:val="000B15AC"/>
    <w:rsid w:val="000B1732"/>
    <w:rsid w:val="000B18EC"/>
    <w:rsid w:val="000B1ABA"/>
    <w:rsid w:val="000B28EE"/>
    <w:rsid w:val="000B4CF5"/>
    <w:rsid w:val="000B6131"/>
    <w:rsid w:val="000B6BD1"/>
    <w:rsid w:val="000B7171"/>
    <w:rsid w:val="000B7748"/>
    <w:rsid w:val="000C05FD"/>
    <w:rsid w:val="000C2529"/>
    <w:rsid w:val="000C2E07"/>
    <w:rsid w:val="000C2F9F"/>
    <w:rsid w:val="000C3937"/>
    <w:rsid w:val="000C39EC"/>
    <w:rsid w:val="000C3DDC"/>
    <w:rsid w:val="000C47E3"/>
    <w:rsid w:val="000C4A16"/>
    <w:rsid w:val="000C5044"/>
    <w:rsid w:val="000C5914"/>
    <w:rsid w:val="000C5D09"/>
    <w:rsid w:val="000C60F8"/>
    <w:rsid w:val="000C6E87"/>
    <w:rsid w:val="000D07EF"/>
    <w:rsid w:val="000D2E9E"/>
    <w:rsid w:val="000D2F12"/>
    <w:rsid w:val="000D42FB"/>
    <w:rsid w:val="000D5FD5"/>
    <w:rsid w:val="000D5FFD"/>
    <w:rsid w:val="000D7BB6"/>
    <w:rsid w:val="000E060F"/>
    <w:rsid w:val="000E198E"/>
    <w:rsid w:val="000E32A0"/>
    <w:rsid w:val="000E3C98"/>
    <w:rsid w:val="000E3DC3"/>
    <w:rsid w:val="000E3F35"/>
    <w:rsid w:val="000E6315"/>
    <w:rsid w:val="000E685C"/>
    <w:rsid w:val="000E6B5B"/>
    <w:rsid w:val="000E6ED1"/>
    <w:rsid w:val="000E73EA"/>
    <w:rsid w:val="000E7440"/>
    <w:rsid w:val="000E7CC5"/>
    <w:rsid w:val="000E7FEE"/>
    <w:rsid w:val="000F1654"/>
    <w:rsid w:val="000F4AB2"/>
    <w:rsid w:val="000F60E2"/>
    <w:rsid w:val="00100146"/>
    <w:rsid w:val="00100357"/>
    <w:rsid w:val="001013B2"/>
    <w:rsid w:val="00102FB7"/>
    <w:rsid w:val="00107663"/>
    <w:rsid w:val="001079DC"/>
    <w:rsid w:val="00110262"/>
    <w:rsid w:val="00110785"/>
    <w:rsid w:val="0011083B"/>
    <w:rsid w:val="00111051"/>
    <w:rsid w:val="001112E6"/>
    <w:rsid w:val="00111394"/>
    <w:rsid w:val="00113D4A"/>
    <w:rsid w:val="00113F42"/>
    <w:rsid w:val="00114307"/>
    <w:rsid w:val="00115B26"/>
    <w:rsid w:val="00116104"/>
    <w:rsid w:val="00117531"/>
    <w:rsid w:val="001218C4"/>
    <w:rsid w:val="00122287"/>
    <w:rsid w:val="0012261B"/>
    <w:rsid w:val="0012314C"/>
    <w:rsid w:val="00124068"/>
    <w:rsid w:val="0012464D"/>
    <w:rsid w:val="001249FE"/>
    <w:rsid w:val="00124C23"/>
    <w:rsid w:val="00127F05"/>
    <w:rsid w:val="00130044"/>
    <w:rsid w:val="00130718"/>
    <w:rsid w:val="00130980"/>
    <w:rsid w:val="00130CB3"/>
    <w:rsid w:val="0013251F"/>
    <w:rsid w:val="00133719"/>
    <w:rsid w:val="00133E3F"/>
    <w:rsid w:val="00134362"/>
    <w:rsid w:val="001345A8"/>
    <w:rsid w:val="00134E44"/>
    <w:rsid w:val="00135A4B"/>
    <w:rsid w:val="00136497"/>
    <w:rsid w:val="00140B1B"/>
    <w:rsid w:val="00141555"/>
    <w:rsid w:val="001416B5"/>
    <w:rsid w:val="00141E76"/>
    <w:rsid w:val="001435FE"/>
    <w:rsid w:val="00146C8D"/>
    <w:rsid w:val="00147D42"/>
    <w:rsid w:val="0015070E"/>
    <w:rsid w:val="00150849"/>
    <w:rsid w:val="00150C03"/>
    <w:rsid w:val="001516D7"/>
    <w:rsid w:val="00152377"/>
    <w:rsid w:val="0015283F"/>
    <w:rsid w:val="001534E7"/>
    <w:rsid w:val="00153AD1"/>
    <w:rsid w:val="00154843"/>
    <w:rsid w:val="00154A89"/>
    <w:rsid w:val="001553FF"/>
    <w:rsid w:val="00156D0E"/>
    <w:rsid w:val="00157E32"/>
    <w:rsid w:val="00162942"/>
    <w:rsid w:val="00162B9B"/>
    <w:rsid w:val="00164430"/>
    <w:rsid w:val="001655B7"/>
    <w:rsid w:val="001665F5"/>
    <w:rsid w:val="001669BB"/>
    <w:rsid w:val="00166ED1"/>
    <w:rsid w:val="00167A6C"/>
    <w:rsid w:val="00170228"/>
    <w:rsid w:val="00171315"/>
    <w:rsid w:val="0017146C"/>
    <w:rsid w:val="00171514"/>
    <w:rsid w:val="0017388E"/>
    <w:rsid w:val="00173A00"/>
    <w:rsid w:val="001746BA"/>
    <w:rsid w:val="001758D1"/>
    <w:rsid w:val="00175A28"/>
    <w:rsid w:val="00175BB2"/>
    <w:rsid w:val="00176C06"/>
    <w:rsid w:val="00176F5D"/>
    <w:rsid w:val="00177111"/>
    <w:rsid w:val="00177790"/>
    <w:rsid w:val="00181DBF"/>
    <w:rsid w:val="00181DF6"/>
    <w:rsid w:val="00183727"/>
    <w:rsid w:val="00186287"/>
    <w:rsid w:val="00186BC4"/>
    <w:rsid w:val="001877A9"/>
    <w:rsid w:val="001924FA"/>
    <w:rsid w:val="001935A4"/>
    <w:rsid w:val="001938C6"/>
    <w:rsid w:val="00194CC7"/>
    <w:rsid w:val="00195940"/>
    <w:rsid w:val="001A070E"/>
    <w:rsid w:val="001A07B1"/>
    <w:rsid w:val="001A2EB2"/>
    <w:rsid w:val="001A3113"/>
    <w:rsid w:val="001A3DA7"/>
    <w:rsid w:val="001A4DE7"/>
    <w:rsid w:val="001A62E8"/>
    <w:rsid w:val="001A7442"/>
    <w:rsid w:val="001B0CE7"/>
    <w:rsid w:val="001B0F16"/>
    <w:rsid w:val="001B10F4"/>
    <w:rsid w:val="001B1370"/>
    <w:rsid w:val="001B16C6"/>
    <w:rsid w:val="001B2C5E"/>
    <w:rsid w:val="001B2E69"/>
    <w:rsid w:val="001B35F1"/>
    <w:rsid w:val="001B3892"/>
    <w:rsid w:val="001B4E5A"/>
    <w:rsid w:val="001B50DE"/>
    <w:rsid w:val="001B5544"/>
    <w:rsid w:val="001B5DAD"/>
    <w:rsid w:val="001B6998"/>
    <w:rsid w:val="001B7062"/>
    <w:rsid w:val="001C0B66"/>
    <w:rsid w:val="001C1FA8"/>
    <w:rsid w:val="001C2260"/>
    <w:rsid w:val="001C2816"/>
    <w:rsid w:val="001C6494"/>
    <w:rsid w:val="001C794C"/>
    <w:rsid w:val="001C9B95"/>
    <w:rsid w:val="001D00B1"/>
    <w:rsid w:val="001D04C4"/>
    <w:rsid w:val="001D12C0"/>
    <w:rsid w:val="001D2311"/>
    <w:rsid w:val="001D2980"/>
    <w:rsid w:val="001D3DD7"/>
    <w:rsid w:val="001D502A"/>
    <w:rsid w:val="001D5770"/>
    <w:rsid w:val="001D6988"/>
    <w:rsid w:val="001D6E2C"/>
    <w:rsid w:val="001D6EE8"/>
    <w:rsid w:val="001E1586"/>
    <w:rsid w:val="001E159D"/>
    <w:rsid w:val="001E4011"/>
    <w:rsid w:val="001E563D"/>
    <w:rsid w:val="001E6032"/>
    <w:rsid w:val="001F01F4"/>
    <w:rsid w:val="001F1EAE"/>
    <w:rsid w:val="001F3AFB"/>
    <w:rsid w:val="001F3E5E"/>
    <w:rsid w:val="001F480F"/>
    <w:rsid w:val="001F7CB7"/>
    <w:rsid w:val="001F7D9F"/>
    <w:rsid w:val="001F7ECE"/>
    <w:rsid w:val="002002AB"/>
    <w:rsid w:val="002009C9"/>
    <w:rsid w:val="00200BBC"/>
    <w:rsid w:val="00201155"/>
    <w:rsid w:val="002011C4"/>
    <w:rsid w:val="00201D4A"/>
    <w:rsid w:val="00202413"/>
    <w:rsid w:val="002024C0"/>
    <w:rsid w:val="002032D7"/>
    <w:rsid w:val="00206299"/>
    <w:rsid w:val="00207398"/>
    <w:rsid w:val="00207631"/>
    <w:rsid w:val="00207CE1"/>
    <w:rsid w:val="0020A2F7"/>
    <w:rsid w:val="00210242"/>
    <w:rsid w:val="00210774"/>
    <w:rsid w:val="00210D93"/>
    <w:rsid w:val="00211CBD"/>
    <w:rsid w:val="00211EE4"/>
    <w:rsid w:val="00213652"/>
    <w:rsid w:val="00215615"/>
    <w:rsid w:val="002165A5"/>
    <w:rsid w:val="002172CD"/>
    <w:rsid w:val="002226E3"/>
    <w:rsid w:val="00224656"/>
    <w:rsid w:val="00225AFE"/>
    <w:rsid w:val="00225B24"/>
    <w:rsid w:val="00225C1B"/>
    <w:rsid w:val="0022699A"/>
    <w:rsid w:val="00227106"/>
    <w:rsid w:val="00227DDE"/>
    <w:rsid w:val="002300CD"/>
    <w:rsid w:val="0023126C"/>
    <w:rsid w:val="0023144E"/>
    <w:rsid w:val="00231F9A"/>
    <w:rsid w:val="002326D9"/>
    <w:rsid w:val="00232E98"/>
    <w:rsid w:val="00233348"/>
    <w:rsid w:val="00233853"/>
    <w:rsid w:val="00233C01"/>
    <w:rsid w:val="00233CBC"/>
    <w:rsid w:val="00234A76"/>
    <w:rsid w:val="002361EA"/>
    <w:rsid w:val="00236321"/>
    <w:rsid w:val="002365FB"/>
    <w:rsid w:val="002408D5"/>
    <w:rsid w:val="00242295"/>
    <w:rsid w:val="00242700"/>
    <w:rsid w:val="00242E8F"/>
    <w:rsid w:val="002430C6"/>
    <w:rsid w:val="002449D3"/>
    <w:rsid w:val="00245B80"/>
    <w:rsid w:val="00245D58"/>
    <w:rsid w:val="002468FA"/>
    <w:rsid w:val="0024761D"/>
    <w:rsid w:val="00247E4B"/>
    <w:rsid w:val="002500F7"/>
    <w:rsid w:val="002508FC"/>
    <w:rsid w:val="00250D57"/>
    <w:rsid w:val="002524F7"/>
    <w:rsid w:val="00254BE3"/>
    <w:rsid w:val="00256839"/>
    <w:rsid w:val="002577D3"/>
    <w:rsid w:val="00257FEE"/>
    <w:rsid w:val="002603D3"/>
    <w:rsid w:val="00260792"/>
    <w:rsid w:val="00262967"/>
    <w:rsid w:val="002631B4"/>
    <w:rsid w:val="00263326"/>
    <w:rsid w:val="002646A8"/>
    <w:rsid w:val="00264BD0"/>
    <w:rsid w:val="0026500A"/>
    <w:rsid w:val="0026612C"/>
    <w:rsid w:val="00270B7E"/>
    <w:rsid w:val="002717D3"/>
    <w:rsid w:val="00272376"/>
    <w:rsid w:val="002728F5"/>
    <w:rsid w:val="00272AEE"/>
    <w:rsid w:val="002757DC"/>
    <w:rsid w:val="0027588F"/>
    <w:rsid w:val="002767B7"/>
    <w:rsid w:val="00277B7C"/>
    <w:rsid w:val="00282FF2"/>
    <w:rsid w:val="0028341E"/>
    <w:rsid w:val="002839DC"/>
    <w:rsid w:val="0028413A"/>
    <w:rsid w:val="00285FBA"/>
    <w:rsid w:val="0028712E"/>
    <w:rsid w:val="00287521"/>
    <w:rsid w:val="002875E6"/>
    <w:rsid w:val="0028780B"/>
    <w:rsid w:val="00290215"/>
    <w:rsid w:val="00290483"/>
    <w:rsid w:val="00291C31"/>
    <w:rsid w:val="00291E02"/>
    <w:rsid w:val="002924A5"/>
    <w:rsid w:val="002925A8"/>
    <w:rsid w:val="002927B0"/>
    <w:rsid w:val="002928C6"/>
    <w:rsid w:val="00292EA1"/>
    <w:rsid w:val="002932B1"/>
    <w:rsid w:val="0029365C"/>
    <w:rsid w:val="00294E24"/>
    <w:rsid w:val="00295487"/>
    <w:rsid w:val="002956ED"/>
    <w:rsid w:val="00296030"/>
    <w:rsid w:val="00296584"/>
    <w:rsid w:val="002974B9"/>
    <w:rsid w:val="00297EB9"/>
    <w:rsid w:val="002A15F0"/>
    <w:rsid w:val="002A19EB"/>
    <w:rsid w:val="002A231C"/>
    <w:rsid w:val="002A27A4"/>
    <w:rsid w:val="002A3810"/>
    <w:rsid w:val="002A497E"/>
    <w:rsid w:val="002A4D35"/>
    <w:rsid w:val="002A53B8"/>
    <w:rsid w:val="002A6301"/>
    <w:rsid w:val="002A6794"/>
    <w:rsid w:val="002A7029"/>
    <w:rsid w:val="002A7DDE"/>
    <w:rsid w:val="002B08A9"/>
    <w:rsid w:val="002B4FD0"/>
    <w:rsid w:val="002B5689"/>
    <w:rsid w:val="002B5BA1"/>
    <w:rsid w:val="002B651C"/>
    <w:rsid w:val="002B6566"/>
    <w:rsid w:val="002B6BEB"/>
    <w:rsid w:val="002B7F52"/>
    <w:rsid w:val="002C1069"/>
    <w:rsid w:val="002C2120"/>
    <w:rsid w:val="002C4100"/>
    <w:rsid w:val="002C4D22"/>
    <w:rsid w:val="002C51A6"/>
    <w:rsid w:val="002C5C7F"/>
    <w:rsid w:val="002C5F86"/>
    <w:rsid w:val="002C64EC"/>
    <w:rsid w:val="002C705F"/>
    <w:rsid w:val="002C74E7"/>
    <w:rsid w:val="002C75B4"/>
    <w:rsid w:val="002C7A50"/>
    <w:rsid w:val="002C7EA4"/>
    <w:rsid w:val="002C7EB3"/>
    <w:rsid w:val="002C7F6E"/>
    <w:rsid w:val="002D00ED"/>
    <w:rsid w:val="002D0D94"/>
    <w:rsid w:val="002D136D"/>
    <w:rsid w:val="002D28E5"/>
    <w:rsid w:val="002D36BC"/>
    <w:rsid w:val="002D552D"/>
    <w:rsid w:val="002D60C2"/>
    <w:rsid w:val="002E12BE"/>
    <w:rsid w:val="002E2937"/>
    <w:rsid w:val="002E30BC"/>
    <w:rsid w:val="002E3DA7"/>
    <w:rsid w:val="002E4B27"/>
    <w:rsid w:val="002E4BD7"/>
    <w:rsid w:val="002E5E84"/>
    <w:rsid w:val="002E7447"/>
    <w:rsid w:val="002E75E6"/>
    <w:rsid w:val="002F0240"/>
    <w:rsid w:val="002F1880"/>
    <w:rsid w:val="002F2337"/>
    <w:rsid w:val="002F37C7"/>
    <w:rsid w:val="002F3A2B"/>
    <w:rsid w:val="002F3BA5"/>
    <w:rsid w:val="002F41F3"/>
    <w:rsid w:val="002F4227"/>
    <w:rsid w:val="002F4295"/>
    <w:rsid w:val="002F44A2"/>
    <w:rsid w:val="002F4620"/>
    <w:rsid w:val="002F4630"/>
    <w:rsid w:val="002F50A1"/>
    <w:rsid w:val="002F626C"/>
    <w:rsid w:val="002F672E"/>
    <w:rsid w:val="002F674B"/>
    <w:rsid w:val="002F69EF"/>
    <w:rsid w:val="00300C7B"/>
    <w:rsid w:val="003018D7"/>
    <w:rsid w:val="00302C62"/>
    <w:rsid w:val="00302F28"/>
    <w:rsid w:val="00303802"/>
    <w:rsid w:val="00305F78"/>
    <w:rsid w:val="0030743A"/>
    <w:rsid w:val="003075B1"/>
    <w:rsid w:val="003100F8"/>
    <w:rsid w:val="00310368"/>
    <w:rsid w:val="003106C4"/>
    <w:rsid w:val="00310C41"/>
    <w:rsid w:val="003117FE"/>
    <w:rsid w:val="00312167"/>
    <w:rsid w:val="00312341"/>
    <w:rsid w:val="00312E77"/>
    <w:rsid w:val="0031341F"/>
    <w:rsid w:val="003142A5"/>
    <w:rsid w:val="00315230"/>
    <w:rsid w:val="00315464"/>
    <w:rsid w:val="00315A18"/>
    <w:rsid w:val="00316A95"/>
    <w:rsid w:val="00320484"/>
    <w:rsid w:val="00320A38"/>
    <w:rsid w:val="0032158A"/>
    <w:rsid w:val="00321637"/>
    <w:rsid w:val="00322624"/>
    <w:rsid w:val="00322CE7"/>
    <w:rsid w:val="00322E4C"/>
    <w:rsid w:val="00323643"/>
    <w:rsid w:val="00323DB3"/>
    <w:rsid w:val="003250FE"/>
    <w:rsid w:val="00325CEE"/>
    <w:rsid w:val="0032672F"/>
    <w:rsid w:val="0032687C"/>
    <w:rsid w:val="003271BC"/>
    <w:rsid w:val="003275EF"/>
    <w:rsid w:val="00330201"/>
    <w:rsid w:val="00330847"/>
    <w:rsid w:val="00332693"/>
    <w:rsid w:val="003327F8"/>
    <w:rsid w:val="00333FC0"/>
    <w:rsid w:val="00334310"/>
    <w:rsid w:val="00334845"/>
    <w:rsid w:val="00335924"/>
    <w:rsid w:val="003361E2"/>
    <w:rsid w:val="00336410"/>
    <w:rsid w:val="00337BF7"/>
    <w:rsid w:val="00337DDB"/>
    <w:rsid w:val="00340825"/>
    <w:rsid w:val="00341FF4"/>
    <w:rsid w:val="00343368"/>
    <w:rsid w:val="00343679"/>
    <w:rsid w:val="00343902"/>
    <w:rsid w:val="003441D0"/>
    <w:rsid w:val="00344A39"/>
    <w:rsid w:val="00344C7D"/>
    <w:rsid w:val="00344CF0"/>
    <w:rsid w:val="00345D26"/>
    <w:rsid w:val="00346C00"/>
    <w:rsid w:val="00346C7A"/>
    <w:rsid w:val="00347216"/>
    <w:rsid w:val="00347DA6"/>
    <w:rsid w:val="003510F0"/>
    <w:rsid w:val="00351547"/>
    <w:rsid w:val="003519B4"/>
    <w:rsid w:val="003526BA"/>
    <w:rsid w:val="00352A69"/>
    <w:rsid w:val="00353769"/>
    <w:rsid w:val="003538A8"/>
    <w:rsid w:val="00353B63"/>
    <w:rsid w:val="0035543A"/>
    <w:rsid w:val="00355B92"/>
    <w:rsid w:val="00356556"/>
    <w:rsid w:val="00356562"/>
    <w:rsid w:val="003565BD"/>
    <w:rsid w:val="0035709D"/>
    <w:rsid w:val="00357633"/>
    <w:rsid w:val="00357B92"/>
    <w:rsid w:val="00357F79"/>
    <w:rsid w:val="0036034E"/>
    <w:rsid w:val="00361B86"/>
    <w:rsid w:val="00362D30"/>
    <w:rsid w:val="00363FEB"/>
    <w:rsid w:val="003644DC"/>
    <w:rsid w:val="003654C6"/>
    <w:rsid w:val="00365B5D"/>
    <w:rsid w:val="00365E77"/>
    <w:rsid w:val="00366258"/>
    <w:rsid w:val="003663DB"/>
    <w:rsid w:val="0036655C"/>
    <w:rsid w:val="00367344"/>
    <w:rsid w:val="00367B8B"/>
    <w:rsid w:val="00367DCA"/>
    <w:rsid w:val="00367FFA"/>
    <w:rsid w:val="00370811"/>
    <w:rsid w:val="00370A22"/>
    <w:rsid w:val="003767AF"/>
    <w:rsid w:val="00376D64"/>
    <w:rsid w:val="00376EFE"/>
    <w:rsid w:val="00376FAD"/>
    <w:rsid w:val="003778AA"/>
    <w:rsid w:val="00380DA1"/>
    <w:rsid w:val="0038121F"/>
    <w:rsid w:val="0038179D"/>
    <w:rsid w:val="00381E42"/>
    <w:rsid w:val="003824EA"/>
    <w:rsid w:val="00382790"/>
    <w:rsid w:val="0038329C"/>
    <w:rsid w:val="003837FC"/>
    <w:rsid w:val="0038424A"/>
    <w:rsid w:val="00385129"/>
    <w:rsid w:val="00385A0B"/>
    <w:rsid w:val="00385F0C"/>
    <w:rsid w:val="00387268"/>
    <w:rsid w:val="00387DFF"/>
    <w:rsid w:val="00390DAC"/>
    <w:rsid w:val="00391058"/>
    <w:rsid w:val="00393790"/>
    <w:rsid w:val="003937F6"/>
    <w:rsid w:val="00393CC1"/>
    <w:rsid w:val="0039432A"/>
    <w:rsid w:val="003945CB"/>
    <w:rsid w:val="003954FC"/>
    <w:rsid w:val="00395C22"/>
    <w:rsid w:val="00396ADA"/>
    <w:rsid w:val="00396EDE"/>
    <w:rsid w:val="003A018E"/>
    <w:rsid w:val="003A0525"/>
    <w:rsid w:val="003A05BB"/>
    <w:rsid w:val="003A0CAE"/>
    <w:rsid w:val="003A11C0"/>
    <w:rsid w:val="003A1525"/>
    <w:rsid w:val="003A1A10"/>
    <w:rsid w:val="003A27A5"/>
    <w:rsid w:val="003A3209"/>
    <w:rsid w:val="003A43F8"/>
    <w:rsid w:val="003A547B"/>
    <w:rsid w:val="003A5823"/>
    <w:rsid w:val="003A652D"/>
    <w:rsid w:val="003A6BBA"/>
    <w:rsid w:val="003B3844"/>
    <w:rsid w:val="003B45C1"/>
    <w:rsid w:val="003B544B"/>
    <w:rsid w:val="003B6117"/>
    <w:rsid w:val="003B6935"/>
    <w:rsid w:val="003B7A8C"/>
    <w:rsid w:val="003B7FBD"/>
    <w:rsid w:val="003C0899"/>
    <w:rsid w:val="003C0CE8"/>
    <w:rsid w:val="003C0F6B"/>
    <w:rsid w:val="003C16B8"/>
    <w:rsid w:val="003C1EEB"/>
    <w:rsid w:val="003C4E33"/>
    <w:rsid w:val="003C5D4D"/>
    <w:rsid w:val="003C741A"/>
    <w:rsid w:val="003D09F4"/>
    <w:rsid w:val="003D1C9B"/>
    <w:rsid w:val="003D26FE"/>
    <w:rsid w:val="003D29EA"/>
    <w:rsid w:val="003D2A3C"/>
    <w:rsid w:val="003D2C64"/>
    <w:rsid w:val="003D2CBE"/>
    <w:rsid w:val="003D2E5C"/>
    <w:rsid w:val="003D3054"/>
    <w:rsid w:val="003D5246"/>
    <w:rsid w:val="003D5AA9"/>
    <w:rsid w:val="003D5E02"/>
    <w:rsid w:val="003D5EC6"/>
    <w:rsid w:val="003D6D78"/>
    <w:rsid w:val="003D7DDE"/>
    <w:rsid w:val="003D7FAC"/>
    <w:rsid w:val="003E0A99"/>
    <w:rsid w:val="003E2459"/>
    <w:rsid w:val="003E267A"/>
    <w:rsid w:val="003E271A"/>
    <w:rsid w:val="003E30B8"/>
    <w:rsid w:val="003E3F6C"/>
    <w:rsid w:val="003E43E4"/>
    <w:rsid w:val="003E4492"/>
    <w:rsid w:val="003E471D"/>
    <w:rsid w:val="003E5C05"/>
    <w:rsid w:val="003E5DC6"/>
    <w:rsid w:val="003E64B5"/>
    <w:rsid w:val="003E68B4"/>
    <w:rsid w:val="003F06E2"/>
    <w:rsid w:val="003F0F85"/>
    <w:rsid w:val="003F0FF0"/>
    <w:rsid w:val="003F13A6"/>
    <w:rsid w:val="003F2A91"/>
    <w:rsid w:val="003F2EC2"/>
    <w:rsid w:val="003F4044"/>
    <w:rsid w:val="003F532A"/>
    <w:rsid w:val="003F53E6"/>
    <w:rsid w:val="003F58E3"/>
    <w:rsid w:val="003F6633"/>
    <w:rsid w:val="003F67BD"/>
    <w:rsid w:val="003F7EB8"/>
    <w:rsid w:val="00400AA2"/>
    <w:rsid w:val="00401CDD"/>
    <w:rsid w:val="00405597"/>
    <w:rsid w:val="004055F9"/>
    <w:rsid w:val="00406C66"/>
    <w:rsid w:val="0040765A"/>
    <w:rsid w:val="0041081E"/>
    <w:rsid w:val="00410CE3"/>
    <w:rsid w:val="00412023"/>
    <w:rsid w:val="00412CF3"/>
    <w:rsid w:val="00413E21"/>
    <w:rsid w:val="004140AB"/>
    <w:rsid w:val="00416108"/>
    <w:rsid w:val="0041697F"/>
    <w:rsid w:val="0041727E"/>
    <w:rsid w:val="0041778C"/>
    <w:rsid w:val="00417AB5"/>
    <w:rsid w:val="004202D9"/>
    <w:rsid w:val="004211B9"/>
    <w:rsid w:val="0042174D"/>
    <w:rsid w:val="00421DD4"/>
    <w:rsid w:val="004226C2"/>
    <w:rsid w:val="004226E6"/>
    <w:rsid w:val="0042450F"/>
    <w:rsid w:val="004261CF"/>
    <w:rsid w:val="0043008C"/>
    <w:rsid w:val="00430B4F"/>
    <w:rsid w:val="00431E28"/>
    <w:rsid w:val="004329DE"/>
    <w:rsid w:val="00432CF1"/>
    <w:rsid w:val="00433798"/>
    <w:rsid w:val="00433DDC"/>
    <w:rsid w:val="0043468C"/>
    <w:rsid w:val="00434B5B"/>
    <w:rsid w:val="004407F2"/>
    <w:rsid w:val="00440C70"/>
    <w:rsid w:val="00440D86"/>
    <w:rsid w:val="00440DFD"/>
    <w:rsid w:val="004413A4"/>
    <w:rsid w:val="00441429"/>
    <w:rsid w:val="0044202E"/>
    <w:rsid w:val="004421EF"/>
    <w:rsid w:val="0044248D"/>
    <w:rsid w:val="00442D1B"/>
    <w:rsid w:val="00442FA0"/>
    <w:rsid w:val="0044325E"/>
    <w:rsid w:val="00444407"/>
    <w:rsid w:val="00445293"/>
    <w:rsid w:val="0044576A"/>
    <w:rsid w:val="00447F3F"/>
    <w:rsid w:val="00451103"/>
    <w:rsid w:val="00451854"/>
    <w:rsid w:val="00451C9A"/>
    <w:rsid w:val="00452267"/>
    <w:rsid w:val="004528CF"/>
    <w:rsid w:val="0045357E"/>
    <w:rsid w:val="00453B36"/>
    <w:rsid w:val="004549E0"/>
    <w:rsid w:val="00454C99"/>
    <w:rsid w:val="004558BC"/>
    <w:rsid w:val="00455E94"/>
    <w:rsid w:val="00456B7A"/>
    <w:rsid w:val="00457DBB"/>
    <w:rsid w:val="00460680"/>
    <w:rsid w:val="00461880"/>
    <w:rsid w:val="00462C10"/>
    <w:rsid w:val="00463CEF"/>
    <w:rsid w:val="00463EB5"/>
    <w:rsid w:val="0046582C"/>
    <w:rsid w:val="00466034"/>
    <w:rsid w:val="00466144"/>
    <w:rsid w:val="00466A75"/>
    <w:rsid w:val="004706C4"/>
    <w:rsid w:val="00470A4F"/>
    <w:rsid w:val="00470C6E"/>
    <w:rsid w:val="00470FF2"/>
    <w:rsid w:val="004719C0"/>
    <w:rsid w:val="00471B01"/>
    <w:rsid w:val="00471B5E"/>
    <w:rsid w:val="00471FD3"/>
    <w:rsid w:val="004727A3"/>
    <w:rsid w:val="00473CD1"/>
    <w:rsid w:val="004740FC"/>
    <w:rsid w:val="004764EF"/>
    <w:rsid w:val="004777C3"/>
    <w:rsid w:val="004778F1"/>
    <w:rsid w:val="00480C2C"/>
    <w:rsid w:val="00481D1A"/>
    <w:rsid w:val="00484B18"/>
    <w:rsid w:val="004865B4"/>
    <w:rsid w:val="00486F5D"/>
    <w:rsid w:val="00487D4D"/>
    <w:rsid w:val="00487DE4"/>
    <w:rsid w:val="004903D8"/>
    <w:rsid w:val="00494D36"/>
    <w:rsid w:val="00495B99"/>
    <w:rsid w:val="004967EB"/>
    <w:rsid w:val="00496C66"/>
    <w:rsid w:val="004972E2"/>
    <w:rsid w:val="00497EFB"/>
    <w:rsid w:val="004A092B"/>
    <w:rsid w:val="004A1633"/>
    <w:rsid w:val="004A253A"/>
    <w:rsid w:val="004A302F"/>
    <w:rsid w:val="004A3611"/>
    <w:rsid w:val="004A5223"/>
    <w:rsid w:val="004A54BC"/>
    <w:rsid w:val="004A5EC2"/>
    <w:rsid w:val="004A6C0C"/>
    <w:rsid w:val="004A6EBC"/>
    <w:rsid w:val="004A6EF3"/>
    <w:rsid w:val="004A756F"/>
    <w:rsid w:val="004A75E8"/>
    <w:rsid w:val="004A76E1"/>
    <w:rsid w:val="004A7A4F"/>
    <w:rsid w:val="004B0816"/>
    <w:rsid w:val="004B0886"/>
    <w:rsid w:val="004B19DD"/>
    <w:rsid w:val="004B3E2C"/>
    <w:rsid w:val="004B6142"/>
    <w:rsid w:val="004B6546"/>
    <w:rsid w:val="004B7A40"/>
    <w:rsid w:val="004B7D45"/>
    <w:rsid w:val="004C0455"/>
    <w:rsid w:val="004C15E5"/>
    <w:rsid w:val="004C23E1"/>
    <w:rsid w:val="004C2FBE"/>
    <w:rsid w:val="004C3E18"/>
    <w:rsid w:val="004C46EC"/>
    <w:rsid w:val="004C58CA"/>
    <w:rsid w:val="004C59A5"/>
    <w:rsid w:val="004D0382"/>
    <w:rsid w:val="004D0C18"/>
    <w:rsid w:val="004D130B"/>
    <w:rsid w:val="004D31C7"/>
    <w:rsid w:val="004D3D42"/>
    <w:rsid w:val="004D3F15"/>
    <w:rsid w:val="004D4AF8"/>
    <w:rsid w:val="004D624D"/>
    <w:rsid w:val="004D6559"/>
    <w:rsid w:val="004D6FC3"/>
    <w:rsid w:val="004D7423"/>
    <w:rsid w:val="004D759B"/>
    <w:rsid w:val="004D76C3"/>
    <w:rsid w:val="004E011A"/>
    <w:rsid w:val="004E0237"/>
    <w:rsid w:val="004E09EB"/>
    <w:rsid w:val="004E1085"/>
    <w:rsid w:val="004E13AF"/>
    <w:rsid w:val="004E23CF"/>
    <w:rsid w:val="004E2859"/>
    <w:rsid w:val="004E3546"/>
    <w:rsid w:val="004E3793"/>
    <w:rsid w:val="004E387E"/>
    <w:rsid w:val="004E38D1"/>
    <w:rsid w:val="004E38F8"/>
    <w:rsid w:val="004E3AFB"/>
    <w:rsid w:val="004E3E2E"/>
    <w:rsid w:val="004E51D8"/>
    <w:rsid w:val="004E7E0E"/>
    <w:rsid w:val="004E7F7A"/>
    <w:rsid w:val="004F1306"/>
    <w:rsid w:val="004F199D"/>
    <w:rsid w:val="004F31A2"/>
    <w:rsid w:val="004F339D"/>
    <w:rsid w:val="004F370A"/>
    <w:rsid w:val="004F3A31"/>
    <w:rsid w:val="004F4A95"/>
    <w:rsid w:val="004F4EFE"/>
    <w:rsid w:val="004F60DF"/>
    <w:rsid w:val="004F6351"/>
    <w:rsid w:val="004F66BD"/>
    <w:rsid w:val="004F7B27"/>
    <w:rsid w:val="004F7F91"/>
    <w:rsid w:val="00500310"/>
    <w:rsid w:val="005024EB"/>
    <w:rsid w:val="005024F8"/>
    <w:rsid w:val="005041DC"/>
    <w:rsid w:val="0050628A"/>
    <w:rsid w:val="00506AE4"/>
    <w:rsid w:val="00510BA3"/>
    <w:rsid w:val="00510D5D"/>
    <w:rsid w:val="0051118A"/>
    <w:rsid w:val="00512159"/>
    <w:rsid w:val="00512545"/>
    <w:rsid w:val="00513F80"/>
    <w:rsid w:val="005141BA"/>
    <w:rsid w:val="0051426D"/>
    <w:rsid w:val="00514E65"/>
    <w:rsid w:val="00516524"/>
    <w:rsid w:val="00516DA7"/>
    <w:rsid w:val="00517D4B"/>
    <w:rsid w:val="00520047"/>
    <w:rsid w:val="00520447"/>
    <w:rsid w:val="005216E1"/>
    <w:rsid w:val="0052380A"/>
    <w:rsid w:val="00524072"/>
    <w:rsid w:val="00524CA0"/>
    <w:rsid w:val="00525F12"/>
    <w:rsid w:val="005268BC"/>
    <w:rsid w:val="00526AE8"/>
    <w:rsid w:val="00526FEA"/>
    <w:rsid w:val="00527D57"/>
    <w:rsid w:val="005308D9"/>
    <w:rsid w:val="005310C0"/>
    <w:rsid w:val="00532E2A"/>
    <w:rsid w:val="00532EDE"/>
    <w:rsid w:val="005330CE"/>
    <w:rsid w:val="00533E28"/>
    <w:rsid w:val="0053445D"/>
    <w:rsid w:val="00535E4E"/>
    <w:rsid w:val="00537439"/>
    <w:rsid w:val="005377C4"/>
    <w:rsid w:val="00537930"/>
    <w:rsid w:val="00537A93"/>
    <w:rsid w:val="00537F05"/>
    <w:rsid w:val="005402CD"/>
    <w:rsid w:val="005416F3"/>
    <w:rsid w:val="00541C83"/>
    <w:rsid w:val="00541EEE"/>
    <w:rsid w:val="005437B2"/>
    <w:rsid w:val="005441CF"/>
    <w:rsid w:val="005443B9"/>
    <w:rsid w:val="00544D0C"/>
    <w:rsid w:val="00544EE8"/>
    <w:rsid w:val="00545F0F"/>
    <w:rsid w:val="005460C2"/>
    <w:rsid w:val="00546D0D"/>
    <w:rsid w:val="00547A3C"/>
    <w:rsid w:val="00547BD4"/>
    <w:rsid w:val="0055023A"/>
    <w:rsid w:val="005508A1"/>
    <w:rsid w:val="00550BFE"/>
    <w:rsid w:val="00550C86"/>
    <w:rsid w:val="00555182"/>
    <w:rsid w:val="00555745"/>
    <w:rsid w:val="00555E2F"/>
    <w:rsid w:val="0056048D"/>
    <w:rsid w:val="005613F1"/>
    <w:rsid w:val="00561ED6"/>
    <w:rsid w:val="005627F3"/>
    <w:rsid w:val="00562AB0"/>
    <w:rsid w:val="00562EBB"/>
    <w:rsid w:val="005635C2"/>
    <w:rsid w:val="00563D78"/>
    <w:rsid w:val="005646A3"/>
    <w:rsid w:val="00564F71"/>
    <w:rsid w:val="0057344C"/>
    <w:rsid w:val="00574017"/>
    <w:rsid w:val="00574332"/>
    <w:rsid w:val="00574E83"/>
    <w:rsid w:val="005750A4"/>
    <w:rsid w:val="00576BDD"/>
    <w:rsid w:val="00576C80"/>
    <w:rsid w:val="00577AAD"/>
    <w:rsid w:val="00580164"/>
    <w:rsid w:val="005801D9"/>
    <w:rsid w:val="00580659"/>
    <w:rsid w:val="00581C9B"/>
    <w:rsid w:val="005839A7"/>
    <w:rsid w:val="00586BD3"/>
    <w:rsid w:val="005915AE"/>
    <w:rsid w:val="005917B0"/>
    <w:rsid w:val="00591CC9"/>
    <w:rsid w:val="00591E4A"/>
    <w:rsid w:val="005920A8"/>
    <w:rsid w:val="00595B29"/>
    <w:rsid w:val="00596136"/>
    <w:rsid w:val="0059618C"/>
    <w:rsid w:val="005961E5"/>
    <w:rsid w:val="005A0C68"/>
    <w:rsid w:val="005A1452"/>
    <w:rsid w:val="005A3966"/>
    <w:rsid w:val="005A3DC4"/>
    <w:rsid w:val="005A43B9"/>
    <w:rsid w:val="005A5F15"/>
    <w:rsid w:val="005A70A6"/>
    <w:rsid w:val="005A735A"/>
    <w:rsid w:val="005A78F6"/>
    <w:rsid w:val="005A7EA2"/>
    <w:rsid w:val="005B1E09"/>
    <w:rsid w:val="005B3DF9"/>
    <w:rsid w:val="005B4973"/>
    <w:rsid w:val="005B7277"/>
    <w:rsid w:val="005B77A8"/>
    <w:rsid w:val="005C0AB9"/>
    <w:rsid w:val="005C0DD1"/>
    <w:rsid w:val="005C2CD6"/>
    <w:rsid w:val="005C3282"/>
    <w:rsid w:val="005C3418"/>
    <w:rsid w:val="005C3BFC"/>
    <w:rsid w:val="005C429A"/>
    <w:rsid w:val="005C5236"/>
    <w:rsid w:val="005C55C8"/>
    <w:rsid w:val="005C6D0A"/>
    <w:rsid w:val="005D000A"/>
    <w:rsid w:val="005D0B13"/>
    <w:rsid w:val="005D1A00"/>
    <w:rsid w:val="005D1A56"/>
    <w:rsid w:val="005D1F04"/>
    <w:rsid w:val="005D2803"/>
    <w:rsid w:val="005D3E3A"/>
    <w:rsid w:val="005D54D9"/>
    <w:rsid w:val="005D73DD"/>
    <w:rsid w:val="005E0C34"/>
    <w:rsid w:val="005E1176"/>
    <w:rsid w:val="005E1821"/>
    <w:rsid w:val="005E2448"/>
    <w:rsid w:val="005E2D62"/>
    <w:rsid w:val="005E4A1D"/>
    <w:rsid w:val="005E4BE3"/>
    <w:rsid w:val="005E4D65"/>
    <w:rsid w:val="005E7DD9"/>
    <w:rsid w:val="005F04AA"/>
    <w:rsid w:val="005F0FD4"/>
    <w:rsid w:val="005F1455"/>
    <w:rsid w:val="005F1B23"/>
    <w:rsid w:val="005F2707"/>
    <w:rsid w:val="005F283F"/>
    <w:rsid w:val="005F2D7E"/>
    <w:rsid w:val="005F2FA6"/>
    <w:rsid w:val="005F39F5"/>
    <w:rsid w:val="005F407E"/>
    <w:rsid w:val="005F5BD6"/>
    <w:rsid w:val="005F61F3"/>
    <w:rsid w:val="006012A9"/>
    <w:rsid w:val="0060234B"/>
    <w:rsid w:val="0060239E"/>
    <w:rsid w:val="006029A2"/>
    <w:rsid w:val="006036D6"/>
    <w:rsid w:val="006042B4"/>
    <w:rsid w:val="0060470E"/>
    <w:rsid w:val="006049CF"/>
    <w:rsid w:val="006076ED"/>
    <w:rsid w:val="006102F0"/>
    <w:rsid w:val="006137B3"/>
    <w:rsid w:val="00613D6B"/>
    <w:rsid w:val="006150A8"/>
    <w:rsid w:val="00615621"/>
    <w:rsid w:val="0061585D"/>
    <w:rsid w:val="006164A6"/>
    <w:rsid w:val="006166E6"/>
    <w:rsid w:val="0061732C"/>
    <w:rsid w:val="00617DF3"/>
    <w:rsid w:val="006202D1"/>
    <w:rsid w:val="006209DB"/>
    <w:rsid w:val="00620C89"/>
    <w:rsid w:val="00620CB4"/>
    <w:rsid w:val="00620D3D"/>
    <w:rsid w:val="006211EC"/>
    <w:rsid w:val="00622BCA"/>
    <w:rsid w:val="00622D9D"/>
    <w:rsid w:val="00623476"/>
    <w:rsid w:val="006242B7"/>
    <w:rsid w:val="00624A4C"/>
    <w:rsid w:val="006260EA"/>
    <w:rsid w:val="0062668D"/>
    <w:rsid w:val="00626924"/>
    <w:rsid w:val="00627DDF"/>
    <w:rsid w:val="00630FD3"/>
    <w:rsid w:val="006311FF"/>
    <w:rsid w:val="00632046"/>
    <w:rsid w:val="00632214"/>
    <w:rsid w:val="006328A1"/>
    <w:rsid w:val="00636362"/>
    <w:rsid w:val="00636492"/>
    <w:rsid w:val="00636EA4"/>
    <w:rsid w:val="00640E6F"/>
    <w:rsid w:val="00643646"/>
    <w:rsid w:val="00643811"/>
    <w:rsid w:val="00644588"/>
    <w:rsid w:val="00646EB2"/>
    <w:rsid w:val="00647BAC"/>
    <w:rsid w:val="00647E15"/>
    <w:rsid w:val="006500DA"/>
    <w:rsid w:val="00650F97"/>
    <w:rsid w:val="00651172"/>
    <w:rsid w:val="00651877"/>
    <w:rsid w:val="00652190"/>
    <w:rsid w:val="006522C3"/>
    <w:rsid w:val="00652BC5"/>
    <w:rsid w:val="00652ED3"/>
    <w:rsid w:val="006541C8"/>
    <w:rsid w:val="0065668F"/>
    <w:rsid w:val="0065704F"/>
    <w:rsid w:val="00657773"/>
    <w:rsid w:val="00657A94"/>
    <w:rsid w:val="00657D0C"/>
    <w:rsid w:val="00661EA7"/>
    <w:rsid w:val="00661FF4"/>
    <w:rsid w:val="006621DC"/>
    <w:rsid w:val="00662696"/>
    <w:rsid w:val="006627F7"/>
    <w:rsid w:val="00662FC2"/>
    <w:rsid w:val="00665AD5"/>
    <w:rsid w:val="00671F22"/>
    <w:rsid w:val="006744ED"/>
    <w:rsid w:val="00675398"/>
    <w:rsid w:val="00675591"/>
    <w:rsid w:val="0067602B"/>
    <w:rsid w:val="00676ECE"/>
    <w:rsid w:val="00677908"/>
    <w:rsid w:val="00677F27"/>
    <w:rsid w:val="00681A4D"/>
    <w:rsid w:val="00682B0D"/>
    <w:rsid w:val="00683D2F"/>
    <w:rsid w:val="0068644E"/>
    <w:rsid w:val="00686451"/>
    <w:rsid w:val="00686883"/>
    <w:rsid w:val="0068772E"/>
    <w:rsid w:val="00687F8D"/>
    <w:rsid w:val="00690FE9"/>
    <w:rsid w:val="0069149F"/>
    <w:rsid w:val="006915B5"/>
    <w:rsid w:val="0069204F"/>
    <w:rsid w:val="00693BC2"/>
    <w:rsid w:val="00694E6E"/>
    <w:rsid w:val="00695C2A"/>
    <w:rsid w:val="0069611D"/>
    <w:rsid w:val="00696D92"/>
    <w:rsid w:val="00697952"/>
    <w:rsid w:val="006A085E"/>
    <w:rsid w:val="006A1A3F"/>
    <w:rsid w:val="006A3576"/>
    <w:rsid w:val="006A3BB7"/>
    <w:rsid w:val="006A4CD4"/>
    <w:rsid w:val="006A59BF"/>
    <w:rsid w:val="006A6BDB"/>
    <w:rsid w:val="006A7406"/>
    <w:rsid w:val="006B075C"/>
    <w:rsid w:val="006B0F4E"/>
    <w:rsid w:val="006B16A8"/>
    <w:rsid w:val="006B1C6E"/>
    <w:rsid w:val="006B2132"/>
    <w:rsid w:val="006B26BA"/>
    <w:rsid w:val="006B387C"/>
    <w:rsid w:val="006B3B06"/>
    <w:rsid w:val="006B4399"/>
    <w:rsid w:val="006B4CAD"/>
    <w:rsid w:val="006B4D77"/>
    <w:rsid w:val="006B58B9"/>
    <w:rsid w:val="006B6E72"/>
    <w:rsid w:val="006B73D9"/>
    <w:rsid w:val="006B753E"/>
    <w:rsid w:val="006C3201"/>
    <w:rsid w:val="006C38D3"/>
    <w:rsid w:val="006C440B"/>
    <w:rsid w:val="006C4D2F"/>
    <w:rsid w:val="006C5495"/>
    <w:rsid w:val="006C682E"/>
    <w:rsid w:val="006C68AD"/>
    <w:rsid w:val="006C7056"/>
    <w:rsid w:val="006C74F8"/>
    <w:rsid w:val="006D0319"/>
    <w:rsid w:val="006D0414"/>
    <w:rsid w:val="006D286B"/>
    <w:rsid w:val="006D2AEB"/>
    <w:rsid w:val="006D3146"/>
    <w:rsid w:val="006D317D"/>
    <w:rsid w:val="006D4A61"/>
    <w:rsid w:val="006D57B6"/>
    <w:rsid w:val="006D7600"/>
    <w:rsid w:val="006D7DAC"/>
    <w:rsid w:val="006E032C"/>
    <w:rsid w:val="006E07F3"/>
    <w:rsid w:val="006E0B98"/>
    <w:rsid w:val="006E0D56"/>
    <w:rsid w:val="006E1368"/>
    <w:rsid w:val="006E187E"/>
    <w:rsid w:val="006E1D78"/>
    <w:rsid w:val="006E1FC3"/>
    <w:rsid w:val="006E26E5"/>
    <w:rsid w:val="006E2A97"/>
    <w:rsid w:val="006E43BE"/>
    <w:rsid w:val="006E481E"/>
    <w:rsid w:val="006E6A69"/>
    <w:rsid w:val="006E722B"/>
    <w:rsid w:val="006E7FCD"/>
    <w:rsid w:val="006F0AA5"/>
    <w:rsid w:val="006F0DAB"/>
    <w:rsid w:val="006F0DC8"/>
    <w:rsid w:val="006F0FBA"/>
    <w:rsid w:val="006F1A4D"/>
    <w:rsid w:val="006F1A6D"/>
    <w:rsid w:val="006F1F13"/>
    <w:rsid w:val="006F2372"/>
    <w:rsid w:val="006F2A60"/>
    <w:rsid w:val="006F339B"/>
    <w:rsid w:val="006F3C27"/>
    <w:rsid w:val="006F4E45"/>
    <w:rsid w:val="006F4EE7"/>
    <w:rsid w:val="006F5729"/>
    <w:rsid w:val="006F5836"/>
    <w:rsid w:val="006F64C2"/>
    <w:rsid w:val="006F754B"/>
    <w:rsid w:val="00700B64"/>
    <w:rsid w:val="0070114C"/>
    <w:rsid w:val="007011C8"/>
    <w:rsid w:val="0070128F"/>
    <w:rsid w:val="007018CE"/>
    <w:rsid w:val="00702559"/>
    <w:rsid w:val="00702924"/>
    <w:rsid w:val="00703094"/>
    <w:rsid w:val="00703B40"/>
    <w:rsid w:val="00703DF3"/>
    <w:rsid w:val="007044D1"/>
    <w:rsid w:val="00704BAA"/>
    <w:rsid w:val="00705D6E"/>
    <w:rsid w:val="0070617A"/>
    <w:rsid w:val="0070625F"/>
    <w:rsid w:val="007066FD"/>
    <w:rsid w:val="00706863"/>
    <w:rsid w:val="00706E0F"/>
    <w:rsid w:val="00706F00"/>
    <w:rsid w:val="00707962"/>
    <w:rsid w:val="00707A25"/>
    <w:rsid w:val="00707A90"/>
    <w:rsid w:val="00710D47"/>
    <w:rsid w:val="00710D95"/>
    <w:rsid w:val="007110A9"/>
    <w:rsid w:val="00711CC7"/>
    <w:rsid w:val="007142C6"/>
    <w:rsid w:val="007146E9"/>
    <w:rsid w:val="00714AA4"/>
    <w:rsid w:val="00715CDF"/>
    <w:rsid w:val="00715D86"/>
    <w:rsid w:val="007169FD"/>
    <w:rsid w:val="00717648"/>
    <w:rsid w:val="00717FC8"/>
    <w:rsid w:val="0072077C"/>
    <w:rsid w:val="00723832"/>
    <w:rsid w:val="00723C69"/>
    <w:rsid w:val="00723EA8"/>
    <w:rsid w:val="007246CE"/>
    <w:rsid w:val="00725A67"/>
    <w:rsid w:val="00725B1F"/>
    <w:rsid w:val="00725CE8"/>
    <w:rsid w:val="007270D0"/>
    <w:rsid w:val="00730C19"/>
    <w:rsid w:val="0073267B"/>
    <w:rsid w:val="00732AB5"/>
    <w:rsid w:val="007338EE"/>
    <w:rsid w:val="007339C0"/>
    <w:rsid w:val="007347C5"/>
    <w:rsid w:val="00735AEC"/>
    <w:rsid w:val="00737930"/>
    <w:rsid w:val="00737F9E"/>
    <w:rsid w:val="007414E7"/>
    <w:rsid w:val="00741E3B"/>
    <w:rsid w:val="00742430"/>
    <w:rsid w:val="0074270C"/>
    <w:rsid w:val="00743798"/>
    <w:rsid w:val="00744922"/>
    <w:rsid w:val="007449B2"/>
    <w:rsid w:val="00744A19"/>
    <w:rsid w:val="00744C0E"/>
    <w:rsid w:val="00744EB1"/>
    <w:rsid w:val="00744F7B"/>
    <w:rsid w:val="00744F83"/>
    <w:rsid w:val="007453DC"/>
    <w:rsid w:val="0074581B"/>
    <w:rsid w:val="0074599F"/>
    <w:rsid w:val="00746133"/>
    <w:rsid w:val="00746786"/>
    <w:rsid w:val="00747A0C"/>
    <w:rsid w:val="00747A65"/>
    <w:rsid w:val="00747CE1"/>
    <w:rsid w:val="00752359"/>
    <w:rsid w:val="00752DB9"/>
    <w:rsid w:val="00753AFC"/>
    <w:rsid w:val="00754237"/>
    <w:rsid w:val="00761134"/>
    <w:rsid w:val="00761C24"/>
    <w:rsid w:val="00762175"/>
    <w:rsid w:val="0076224B"/>
    <w:rsid w:val="00762B98"/>
    <w:rsid w:val="00762E9B"/>
    <w:rsid w:val="00764305"/>
    <w:rsid w:val="007650A5"/>
    <w:rsid w:val="0076578B"/>
    <w:rsid w:val="0076667E"/>
    <w:rsid w:val="00766E26"/>
    <w:rsid w:val="00766F9F"/>
    <w:rsid w:val="0076720D"/>
    <w:rsid w:val="00767FA5"/>
    <w:rsid w:val="00770244"/>
    <w:rsid w:val="00771220"/>
    <w:rsid w:val="00771336"/>
    <w:rsid w:val="00771BB7"/>
    <w:rsid w:val="007729FC"/>
    <w:rsid w:val="007737F2"/>
    <w:rsid w:val="00775289"/>
    <w:rsid w:val="00776A60"/>
    <w:rsid w:val="00776DFC"/>
    <w:rsid w:val="00777B92"/>
    <w:rsid w:val="00780054"/>
    <w:rsid w:val="00781A62"/>
    <w:rsid w:val="00782BFC"/>
    <w:rsid w:val="00782D30"/>
    <w:rsid w:val="00784565"/>
    <w:rsid w:val="00784625"/>
    <w:rsid w:val="007862F4"/>
    <w:rsid w:val="00786A10"/>
    <w:rsid w:val="00786D70"/>
    <w:rsid w:val="00791715"/>
    <w:rsid w:val="007946A5"/>
    <w:rsid w:val="00794E89"/>
    <w:rsid w:val="00795808"/>
    <w:rsid w:val="007961B2"/>
    <w:rsid w:val="00796D3D"/>
    <w:rsid w:val="00796E0F"/>
    <w:rsid w:val="00797B47"/>
    <w:rsid w:val="007A1EBE"/>
    <w:rsid w:val="007A2014"/>
    <w:rsid w:val="007A33BC"/>
    <w:rsid w:val="007A4320"/>
    <w:rsid w:val="007A5907"/>
    <w:rsid w:val="007A5DDC"/>
    <w:rsid w:val="007A5E28"/>
    <w:rsid w:val="007A5E7F"/>
    <w:rsid w:val="007A6FC4"/>
    <w:rsid w:val="007A788E"/>
    <w:rsid w:val="007B044E"/>
    <w:rsid w:val="007B0E82"/>
    <w:rsid w:val="007B10FD"/>
    <w:rsid w:val="007B2F0F"/>
    <w:rsid w:val="007B375C"/>
    <w:rsid w:val="007B3783"/>
    <w:rsid w:val="007B3B86"/>
    <w:rsid w:val="007B3B8E"/>
    <w:rsid w:val="007B4A97"/>
    <w:rsid w:val="007B4E13"/>
    <w:rsid w:val="007B6554"/>
    <w:rsid w:val="007B6E38"/>
    <w:rsid w:val="007B76FD"/>
    <w:rsid w:val="007B7A44"/>
    <w:rsid w:val="007B7CCC"/>
    <w:rsid w:val="007B7CE8"/>
    <w:rsid w:val="007C025F"/>
    <w:rsid w:val="007C06F6"/>
    <w:rsid w:val="007C1754"/>
    <w:rsid w:val="007C1816"/>
    <w:rsid w:val="007C193D"/>
    <w:rsid w:val="007C2604"/>
    <w:rsid w:val="007C2C3F"/>
    <w:rsid w:val="007C319E"/>
    <w:rsid w:val="007C451F"/>
    <w:rsid w:val="007C4537"/>
    <w:rsid w:val="007C46DE"/>
    <w:rsid w:val="007C471F"/>
    <w:rsid w:val="007C473C"/>
    <w:rsid w:val="007C4EDC"/>
    <w:rsid w:val="007C5409"/>
    <w:rsid w:val="007C5D47"/>
    <w:rsid w:val="007C5F22"/>
    <w:rsid w:val="007C6834"/>
    <w:rsid w:val="007C7773"/>
    <w:rsid w:val="007D0777"/>
    <w:rsid w:val="007D0828"/>
    <w:rsid w:val="007D1148"/>
    <w:rsid w:val="007D17A8"/>
    <w:rsid w:val="007D1A96"/>
    <w:rsid w:val="007D1CC6"/>
    <w:rsid w:val="007D2CDE"/>
    <w:rsid w:val="007D4286"/>
    <w:rsid w:val="007D436B"/>
    <w:rsid w:val="007D4665"/>
    <w:rsid w:val="007D498C"/>
    <w:rsid w:val="007D4DA2"/>
    <w:rsid w:val="007D51B1"/>
    <w:rsid w:val="007D55AA"/>
    <w:rsid w:val="007D5996"/>
    <w:rsid w:val="007D789E"/>
    <w:rsid w:val="007E268E"/>
    <w:rsid w:val="007E2693"/>
    <w:rsid w:val="007E34BC"/>
    <w:rsid w:val="007E3960"/>
    <w:rsid w:val="007E3DB8"/>
    <w:rsid w:val="007E4214"/>
    <w:rsid w:val="007E482E"/>
    <w:rsid w:val="007E4F37"/>
    <w:rsid w:val="007E513D"/>
    <w:rsid w:val="007E5BA9"/>
    <w:rsid w:val="007E5D0D"/>
    <w:rsid w:val="007E7864"/>
    <w:rsid w:val="007F032A"/>
    <w:rsid w:val="007F18CF"/>
    <w:rsid w:val="007F2127"/>
    <w:rsid w:val="007F2E17"/>
    <w:rsid w:val="007F3219"/>
    <w:rsid w:val="007F3DE6"/>
    <w:rsid w:val="007F442B"/>
    <w:rsid w:val="007F50D1"/>
    <w:rsid w:val="007F570D"/>
    <w:rsid w:val="007F7AF9"/>
    <w:rsid w:val="00800BDA"/>
    <w:rsid w:val="00800C29"/>
    <w:rsid w:val="00801127"/>
    <w:rsid w:val="0080165B"/>
    <w:rsid w:val="008026BE"/>
    <w:rsid w:val="00802A79"/>
    <w:rsid w:val="0080351B"/>
    <w:rsid w:val="0080385D"/>
    <w:rsid w:val="00804C2D"/>
    <w:rsid w:val="00805278"/>
    <w:rsid w:val="00806C07"/>
    <w:rsid w:val="00806D90"/>
    <w:rsid w:val="00806E0B"/>
    <w:rsid w:val="0081020B"/>
    <w:rsid w:val="008109A3"/>
    <w:rsid w:val="008115EF"/>
    <w:rsid w:val="00811F0C"/>
    <w:rsid w:val="00813048"/>
    <w:rsid w:val="00813D8D"/>
    <w:rsid w:val="00814892"/>
    <w:rsid w:val="00814965"/>
    <w:rsid w:val="00814B80"/>
    <w:rsid w:val="00815350"/>
    <w:rsid w:val="0081588F"/>
    <w:rsid w:val="00816DDD"/>
    <w:rsid w:val="00817349"/>
    <w:rsid w:val="00820EAB"/>
    <w:rsid w:val="00821489"/>
    <w:rsid w:val="0082401C"/>
    <w:rsid w:val="008303D4"/>
    <w:rsid w:val="00830940"/>
    <w:rsid w:val="00832AA4"/>
    <w:rsid w:val="00832CC7"/>
    <w:rsid w:val="00833BE3"/>
    <w:rsid w:val="008350C2"/>
    <w:rsid w:val="00836026"/>
    <w:rsid w:val="008376B0"/>
    <w:rsid w:val="00837E82"/>
    <w:rsid w:val="00837EAA"/>
    <w:rsid w:val="00840539"/>
    <w:rsid w:val="008408D0"/>
    <w:rsid w:val="00840B97"/>
    <w:rsid w:val="0084159B"/>
    <w:rsid w:val="0084173F"/>
    <w:rsid w:val="00842515"/>
    <w:rsid w:val="00842656"/>
    <w:rsid w:val="00842E7E"/>
    <w:rsid w:val="00843E92"/>
    <w:rsid w:val="008442C7"/>
    <w:rsid w:val="00845092"/>
    <w:rsid w:val="008456C1"/>
    <w:rsid w:val="0084586B"/>
    <w:rsid w:val="00846287"/>
    <w:rsid w:val="00846D33"/>
    <w:rsid w:val="00847814"/>
    <w:rsid w:val="00847CB3"/>
    <w:rsid w:val="008500AA"/>
    <w:rsid w:val="008501A8"/>
    <w:rsid w:val="00854046"/>
    <w:rsid w:val="008540CC"/>
    <w:rsid w:val="008547A0"/>
    <w:rsid w:val="00855682"/>
    <w:rsid w:val="00855966"/>
    <w:rsid w:val="008562AC"/>
    <w:rsid w:val="0085633E"/>
    <w:rsid w:val="00856689"/>
    <w:rsid w:val="00856A30"/>
    <w:rsid w:val="008607D5"/>
    <w:rsid w:val="00860918"/>
    <w:rsid w:val="00861254"/>
    <w:rsid w:val="00861CC0"/>
    <w:rsid w:val="00861F47"/>
    <w:rsid w:val="00862024"/>
    <w:rsid w:val="008632BC"/>
    <w:rsid w:val="00863E8B"/>
    <w:rsid w:val="00866DEA"/>
    <w:rsid w:val="008675E1"/>
    <w:rsid w:val="00867860"/>
    <w:rsid w:val="00870990"/>
    <w:rsid w:val="00870CB0"/>
    <w:rsid w:val="00870D0A"/>
    <w:rsid w:val="00870D93"/>
    <w:rsid w:val="00870DF2"/>
    <w:rsid w:val="008711EE"/>
    <w:rsid w:val="00871290"/>
    <w:rsid w:val="008729FC"/>
    <w:rsid w:val="00872EF0"/>
    <w:rsid w:val="008731BD"/>
    <w:rsid w:val="008735AE"/>
    <w:rsid w:val="00873AE3"/>
    <w:rsid w:val="00873F8E"/>
    <w:rsid w:val="00877683"/>
    <w:rsid w:val="00880782"/>
    <w:rsid w:val="00880E4B"/>
    <w:rsid w:val="00880F01"/>
    <w:rsid w:val="008814DB"/>
    <w:rsid w:val="00881B8B"/>
    <w:rsid w:val="00882475"/>
    <w:rsid w:val="00882C24"/>
    <w:rsid w:val="00883ABD"/>
    <w:rsid w:val="008842E6"/>
    <w:rsid w:val="00885EAE"/>
    <w:rsid w:val="0088643E"/>
    <w:rsid w:val="0088652B"/>
    <w:rsid w:val="008869FA"/>
    <w:rsid w:val="008872C9"/>
    <w:rsid w:val="00887A29"/>
    <w:rsid w:val="00887D48"/>
    <w:rsid w:val="00890448"/>
    <w:rsid w:val="0089095E"/>
    <w:rsid w:val="00890A90"/>
    <w:rsid w:val="00890C55"/>
    <w:rsid w:val="00890DD8"/>
    <w:rsid w:val="008920CF"/>
    <w:rsid w:val="008921CA"/>
    <w:rsid w:val="0089299B"/>
    <w:rsid w:val="008932B0"/>
    <w:rsid w:val="0089532C"/>
    <w:rsid w:val="0089686F"/>
    <w:rsid w:val="00897571"/>
    <w:rsid w:val="008979CA"/>
    <w:rsid w:val="008A027E"/>
    <w:rsid w:val="008A30A9"/>
    <w:rsid w:val="008A49D2"/>
    <w:rsid w:val="008A4E9D"/>
    <w:rsid w:val="008A6C64"/>
    <w:rsid w:val="008A6D60"/>
    <w:rsid w:val="008A71D9"/>
    <w:rsid w:val="008B00A7"/>
    <w:rsid w:val="008B06D7"/>
    <w:rsid w:val="008B0875"/>
    <w:rsid w:val="008B0A69"/>
    <w:rsid w:val="008B1945"/>
    <w:rsid w:val="008B2478"/>
    <w:rsid w:val="008B2643"/>
    <w:rsid w:val="008B2FE6"/>
    <w:rsid w:val="008B34CE"/>
    <w:rsid w:val="008B362F"/>
    <w:rsid w:val="008B4840"/>
    <w:rsid w:val="008B4A61"/>
    <w:rsid w:val="008B5B77"/>
    <w:rsid w:val="008B6923"/>
    <w:rsid w:val="008B6E39"/>
    <w:rsid w:val="008B6F7B"/>
    <w:rsid w:val="008B71B3"/>
    <w:rsid w:val="008B77BF"/>
    <w:rsid w:val="008B7A52"/>
    <w:rsid w:val="008C02B2"/>
    <w:rsid w:val="008C0C1C"/>
    <w:rsid w:val="008C0F43"/>
    <w:rsid w:val="008C1699"/>
    <w:rsid w:val="008C2986"/>
    <w:rsid w:val="008C3030"/>
    <w:rsid w:val="008C353E"/>
    <w:rsid w:val="008C36AC"/>
    <w:rsid w:val="008C5040"/>
    <w:rsid w:val="008C6040"/>
    <w:rsid w:val="008C6825"/>
    <w:rsid w:val="008C79B3"/>
    <w:rsid w:val="008C7BA9"/>
    <w:rsid w:val="008C7D93"/>
    <w:rsid w:val="008D0A2A"/>
    <w:rsid w:val="008D0F20"/>
    <w:rsid w:val="008D159C"/>
    <w:rsid w:val="008D4124"/>
    <w:rsid w:val="008D4752"/>
    <w:rsid w:val="008D506D"/>
    <w:rsid w:val="008D7413"/>
    <w:rsid w:val="008E09A4"/>
    <w:rsid w:val="008E0DD3"/>
    <w:rsid w:val="008E11E9"/>
    <w:rsid w:val="008E16FC"/>
    <w:rsid w:val="008E51BB"/>
    <w:rsid w:val="008E55B3"/>
    <w:rsid w:val="008E5BB9"/>
    <w:rsid w:val="008E6462"/>
    <w:rsid w:val="008E7764"/>
    <w:rsid w:val="008E7EAB"/>
    <w:rsid w:val="008F0641"/>
    <w:rsid w:val="008F0C44"/>
    <w:rsid w:val="008F1491"/>
    <w:rsid w:val="008F15CC"/>
    <w:rsid w:val="008F16EC"/>
    <w:rsid w:val="008F27E0"/>
    <w:rsid w:val="008F37CD"/>
    <w:rsid w:val="008F4BE0"/>
    <w:rsid w:val="008F52B2"/>
    <w:rsid w:val="008F5498"/>
    <w:rsid w:val="008F5918"/>
    <w:rsid w:val="008F593A"/>
    <w:rsid w:val="008F59F1"/>
    <w:rsid w:val="008F5A99"/>
    <w:rsid w:val="008F6397"/>
    <w:rsid w:val="008F66BB"/>
    <w:rsid w:val="008F7872"/>
    <w:rsid w:val="008F7F05"/>
    <w:rsid w:val="00901035"/>
    <w:rsid w:val="0090123B"/>
    <w:rsid w:val="00901AF7"/>
    <w:rsid w:val="00901B06"/>
    <w:rsid w:val="00901DEF"/>
    <w:rsid w:val="00904F70"/>
    <w:rsid w:val="00906C46"/>
    <w:rsid w:val="009102D0"/>
    <w:rsid w:val="009103C2"/>
    <w:rsid w:val="0091046D"/>
    <w:rsid w:val="009107A6"/>
    <w:rsid w:val="00910B23"/>
    <w:rsid w:val="00910CFC"/>
    <w:rsid w:val="00911385"/>
    <w:rsid w:val="00912270"/>
    <w:rsid w:val="00912BE0"/>
    <w:rsid w:val="00913A18"/>
    <w:rsid w:val="00914350"/>
    <w:rsid w:val="00916364"/>
    <w:rsid w:val="0091782D"/>
    <w:rsid w:val="00917A64"/>
    <w:rsid w:val="00917A8C"/>
    <w:rsid w:val="009200D8"/>
    <w:rsid w:val="00920819"/>
    <w:rsid w:val="00921AE5"/>
    <w:rsid w:val="00923A55"/>
    <w:rsid w:val="00924E58"/>
    <w:rsid w:val="00925E76"/>
    <w:rsid w:val="00930958"/>
    <w:rsid w:val="00931354"/>
    <w:rsid w:val="00931396"/>
    <w:rsid w:val="00931562"/>
    <w:rsid w:val="00933DA8"/>
    <w:rsid w:val="009344E1"/>
    <w:rsid w:val="00936177"/>
    <w:rsid w:val="00936AC2"/>
    <w:rsid w:val="009371DE"/>
    <w:rsid w:val="00937346"/>
    <w:rsid w:val="00941E45"/>
    <w:rsid w:val="00941EE3"/>
    <w:rsid w:val="00942805"/>
    <w:rsid w:val="009436C9"/>
    <w:rsid w:val="00945999"/>
    <w:rsid w:val="00945E14"/>
    <w:rsid w:val="00945F39"/>
    <w:rsid w:val="0094746B"/>
    <w:rsid w:val="00947AD2"/>
    <w:rsid w:val="00947F50"/>
    <w:rsid w:val="00947FB0"/>
    <w:rsid w:val="0095076F"/>
    <w:rsid w:val="00951804"/>
    <w:rsid w:val="0095223A"/>
    <w:rsid w:val="009533AD"/>
    <w:rsid w:val="00954C58"/>
    <w:rsid w:val="00955524"/>
    <w:rsid w:val="00956497"/>
    <w:rsid w:val="00956B6A"/>
    <w:rsid w:val="00956F90"/>
    <w:rsid w:val="00960612"/>
    <w:rsid w:val="00960EFB"/>
    <w:rsid w:val="00961191"/>
    <w:rsid w:val="00961299"/>
    <w:rsid w:val="00961E92"/>
    <w:rsid w:val="0096239D"/>
    <w:rsid w:val="009636AC"/>
    <w:rsid w:val="00963B61"/>
    <w:rsid w:val="00964E87"/>
    <w:rsid w:val="0096527E"/>
    <w:rsid w:val="0096562D"/>
    <w:rsid w:val="00965CEC"/>
    <w:rsid w:val="009707F1"/>
    <w:rsid w:val="00970DCE"/>
    <w:rsid w:val="009715AE"/>
    <w:rsid w:val="0097400B"/>
    <w:rsid w:val="009743D1"/>
    <w:rsid w:val="00974C35"/>
    <w:rsid w:val="00975C29"/>
    <w:rsid w:val="00980573"/>
    <w:rsid w:val="00980E99"/>
    <w:rsid w:val="00980ECF"/>
    <w:rsid w:val="009811B9"/>
    <w:rsid w:val="00981F83"/>
    <w:rsid w:val="00982A42"/>
    <w:rsid w:val="00982C62"/>
    <w:rsid w:val="00983772"/>
    <w:rsid w:val="00983BBC"/>
    <w:rsid w:val="00983D85"/>
    <w:rsid w:val="009845B7"/>
    <w:rsid w:val="00984853"/>
    <w:rsid w:val="00984C4C"/>
    <w:rsid w:val="00985191"/>
    <w:rsid w:val="0098684D"/>
    <w:rsid w:val="00986B33"/>
    <w:rsid w:val="00987AD5"/>
    <w:rsid w:val="00987BDB"/>
    <w:rsid w:val="00987C69"/>
    <w:rsid w:val="00987E48"/>
    <w:rsid w:val="0099073A"/>
    <w:rsid w:val="009940AB"/>
    <w:rsid w:val="00994902"/>
    <w:rsid w:val="009956F1"/>
    <w:rsid w:val="009962FC"/>
    <w:rsid w:val="00996702"/>
    <w:rsid w:val="00996863"/>
    <w:rsid w:val="00996FBD"/>
    <w:rsid w:val="00997918"/>
    <w:rsid w:val="00997C99"/>
    <w:rsid w:val="00997FDA"/>
    <w:rsid w:val="009A0A0A"/>
    <w:rsid w:val="009A1140"/>
    <w:rsid w:val="009A172A"/>
    <w:rsid w:val="009A1E11"/>
    <w:rsid w:val="009A242F"/>
    <w:rsid w:val="009A26BA"/>
    <w:rsid w:val="009A3C62"/>
    <w:rsid w:val="009A54C3"/>
    <w:rsid w:val="009A61AA"/>
    <w:rsid w:val="009A6B08"/>
    <w:rsid w:val="009A6CAD"/>
    <w:rsid w:val="009A6DFE"/>
    <w:rsid w:val="009A7336"/>
    <w:rsid w:val="009A7A77"/>
    <w:rsid w:val="009B1C76"/>
    <w:rsid w:val="009B3017"/>
    <w:rsid w:val="009B4524"/>
    <w:rsid w:val="009B4689"/>
    <w:rsid w:val="009B632C"/>
    <w:rsid w:val="009B6A8B"/>
    <w:rsid w:val="009B6DE0"/>
    <w:rsid w:val="009B7138"/>
    <w:rsid w:val="009B71B6"/>
    <w:rsid w:val="009B745E"/>
    <w:rsid w:val="009B74D1"/>
    <w:rsid w:val="009B7E7E"/>
    <w:rsid w:val="009B7FED"/>
    <w:rsid w:val="009C10FB"/>
    <w:rsid w:val="009C220A"/>
    <w:rsid w:val="009C2E9B"/>
    <w:rsid w:val="009C311C"/>
    <w:rsid w:val="009C3CFE"/>
    <w:rsid w:val="009C474D"/>
    <w:rsid w:val="009C58B4"/>
    <w:rsid w:val="009C6C1D"/>
    <w:rsid w:val="009C7552"/>
    <w:rsid w:val="009D056C"/>
    <w:rsid w:val="009D1DFA"/>
    <w:rsid w:val="009D1F92"/>
    <w:rsid w:val="009D20C1"/>
    <w:rsid w:val="009D2EED"/>
    <w:rsid w:val="009D4A1F"/>
    <w:rsid w:val="009D4E13"/>
    <w:rsid w:val="009D5D45"/>
    <w:rsid w:val="009D61A2"/>
    <w:rsid w:val="009D74BF"/>
    <w:rsid w:val="009D7E9F"/>
    <w:rsid w:val="009D7FEC"/>
    <w:rsid w:val="009E0413"/>
    <w:rsid w:val="009E0841"/>
    <w:rsid w:val="009E0B8C"/>
    <w:rsid w:val="009E14F6"/>
    <w:rsid w:val="009E2755"/>
    <w:rsid w:val="009E3434"/>
    <w:rsid w:val="009E4441"/>
    <w:rsid w:val="009E48FF"/>
    <w:rsid w:val="009E496E"/>
    <w:rsid w:val="009E5AA7"/>
    <w:rsid w:val="009E5CEF"/>
    <w:rsid w:val="009E60B5"/>
    <w:rsid w:val="009E630B"/>
    <w:rsid w:val="009E6592"/>
    <w:rsid w:val="009E6E7F"/>
    <w:rsid w:val="009F030C"/>
    <w:rsid w:val="009F117D"/>
    <w:rsid w:val="009F1B8D"/>
    <w:rsid w:val="009F1C7A"/>
    <w:rsid w:val="009F1EF7"/>
    <w:rsid w:val="009F21B0"/>
    <w:rsid w:val="009F2717"/>
    <w:rsid w:val="009F273E"/>
    <w:rsid w:val="009F3585"/>
    <w:rsid w:val="009F3C03"/>
    <w:rsid w:val="009F46C1"/>
    <w:rsid w:val="009F4E2F"/>
    <w:rsid w:val="009F5257"/>
    <w:rsid w:val="009F571B"/>
    <w:rsid w:val="009F6820"/>
    <w:rsid w:val="009F6825"/>
    <w:rsid w:val="009F6DFB"/>
    <w:rsid w:val="009F75E2"/>
    <w:rsid w:val="009F7B53"/>
    <w:rsid w:val="009F7F31"/>
    <w:rsid w:val="00A006D5"/>
    <w:rsid w:val="00A04A9D"/>
    <w:rsid w:val="00A04BD2"/>
    <w:rsid w:val="00A04E37"/>
    <w:rsid w:val="00A0587E"/>
    <w:rsid w:val="00A100A6"/>
    <w:rsid w:val="00A1106B"/>
    <w:rsid w:val="00A118E0"/>
    <w:rsid w:val="00A12AD7"/>
    <w:rsid w:val="00A12C4A"/>
    <w:rsid w:val="00A12FF6"/>
    <w:rsid w:val="00A1356D"/>
    <w:rsid w:val="00A13A32"/>
    <w:rsid w:val="00A14423"/>
    <w:rsid w:val="00A15EEA"/>
    <w:rsid w:val="00A16E03"/>
    <w:rsid w:val="00A174BC"/>
    <w:rsid w:val="00A211B4"/>
    <w:rsid w:val="00A22198"/>
    <w:rsid w:val="00A23256"/>
    <w:rsid w:val="00A23B36"/>
    <w:rsid w:val="00A2543C"/>
    <w:rsid w:val="00A254A2"/>
    <w:rsid w:val="00A26867"/>
    <w:rsid w:val="00A26C5E"/>
    <w:rsid w:val="00A27B7E"/>
    <w:rsid w:val="00A33245"/>
    <w:rsid w:val="00A344C9"/>
    <w:rsid w:val="00A3497B"/>
    <w:rsid w:val="00A350D8"/>
    <w:rsid w:val="00A3575E"/>
    <w:rsid w:val="00A36051"/>
    <w:rsid w:val="00A3616B"/>
    <w:rsid w:val="00A36DB4"/>
    <w:rsid w:val="00A400A7"/>
    <w:rsid w:val="00A41836"/>
    <w:rsid w:val="00A41A37"/>
    <w:rsid w:val="00A4215F"/>
    <w:rsid w:val="00A426C3"/>
    <w:rsid w:val="00A42B89"/>
    <w:rsid w:val="00A42BE6"/>
    <w:rsid w:val="00A432DC"/>
    <w:rsid w:val="00A443D9"/>
    <w:rsid w:val="00A45B50"/>
    <w:rsid w:val="00A47647"/>
    <w:rsid w:val="00A47A78"/>
    <w:rsid w:val="00A47DD3"/>
    <w:rsid w:val="00A50786"/>
    <w:rsid w:val="00A5271A"/>
    <w:rsid w:val="00A52B46"/>
    <w:rsid w:val="00A52B7E"/>
    <w:rsid w:val="00A53307"/>
    <w:rsid w:val="00A56723"/>
    <w:rsid w:val="00A5780F"/>
    <w:rsid w:val="00A61457"/>
    <w:rsid w:val="00A64BF4"/>
    <w:rsid w:val="00A65231"/>
    <w:rsid w:val="00A6550D"/>
    <w:rsid w:val="00A67027"/>
    <w:rsid w:val="00A70358"/>
    <w:rsid w:val="00A70663"/>
    <w:rsid w:val="00A70A47"/>
    <w:rsid w:val="00A70F01"/>
    <w:rsid w:val="00A70FCF"/>
    <w:rsid w:val="00A7213C"/>
    <w:rsid w:val="00A7221E"/>
    <w:rsid w:val="00A73E4E"/>
    <w:rsid w:val="00A7486B"/>
    <w:rsid w:val="00A75A4D"/>
    <w:rsid w:val="00A762C4"/>
    <w:rsid w:val="00A76742"/>
    <w:rsid w:val="00A76AE9"/>
    <w:rsid w:val="00A76B0E"/>
    <w:rsid w:val="00A7737B"/>
    <w:rsid w:val="00A77FAD"/>
    <w:rsid w:val="00A83080"/>
    <w:rsid w:val="00A8390F"/>
    <w:rsid w:val="00A83DE2"/>
    <w:rsid w:val="00A854EC"/>
    <w:rsid w:val="00A855B4"/>
    <w:rsid w:val="00A8577F"/>
    <w:rsid w:val="00A85B54"/>
    <w:rsid w:val="00A8677E"/>
    <w:rsid w:val="00A86994"/>
    <w:rsid w:val="00A86BC4"/>
    <w:rsid w:val="00A86E1A"/>
    <w:rsid w:val="00A86F85"/>
    <w:rsid w:val="00A873FC"/>
    <w:rsid w:val="00A903CC"/>
    <w:rsid w:val="00A90777"/>
    <w:rsid w:val="00A912EF"/>
    <w:rsid w:val="00A91B02"/>
    <w:rsid w:val="00A928EF"/>
    <w:rsid w:val="00A92D94"/>
    <w:rsid w:val="00A92FEC"/>
    <w:rsid w:val="00A94673"/>
    <w:rsid w:val="00A96C8E"/>
    <w:rsid w:val="00A976C1"/>
    <w:rsid w:val="00AA0285"/>
    <w:rsid w:val="00AA0C40"/>
    <w:rsid w:val="00AA2786"/>
    <w:rsid w:val="00AA2A22"/>
    <w:rsid w:val="00AA2EA0"/>
    <w:rsid w:val="00AA437F"/>
    <w:rsid w:val="00AA43C3"/>
    <w:rsid w:val="00AA5C79"/>
    <w:rsid w:val="00AA70A0"/>
    <w:rsid w:val="00AA775B"/>
    <w:rsid w:val="00AB03C3"/>
    <w:rsid w:val="00AB0D02"/>
    <w:rsid w:val="00AB2707"/>
    <w:rsid w:val="00AB344C"/>
    <w:rsid w:val="00AB641E"/>
    <w:rsid w:val="00AB793D"/>
    <w:rsid w:val="00AB7EB3"/>
    <w:rsid w:val="00AC0E73"/>
    <w:rsid w:val="00AC1A33"/>
    <w:rsid w:val="00AC29B6"/>
    <w:rsid w:val="00AC4992"/>
    <w:rsid w:val="00AC5118"/>
    <w:rsid w:val="00AC52D1"/>
    <w:rsid w:val="00AC5319"/>
    <w:rsid w:val="00AC557B"/>
    <w:rsid w:val="00AC55E2"/>
    <w:rsid w:val="00AC654F"/>
    <w:rsid w:val="00AC771D"/>
    <w:rsid w:val="00AD04DD"/>
    <w:rsid w:val="00AD0B16"/>
    <w:rsid w:val="00AD0FE9"/>
    <w:rsid w:val="00AD3446"/>
    <w:rsid w:val="00AD47D4"/>
    <w:rsid w:val="00AD5041"/>
    <w:rsid w:val="00AD59FF"/>
    <w:rsid w:val="00AD5E59"/>
    <w:rsid w:val="00AD6C78"/>
    <w:rsid w:val="00AD788C"/>
    <w:rsid w:val="00AE1833"/>
    <w:rsid w:val="00AE1B71"/>
    <w:rsid w:val="00AE29E8"/>
    <w:rsid w:val="00AE3231"/>
    <w:rsid w:val="00AE32B3"/>
    <w:rsid w:val="00AE49E9"/>
    <w:rsid w:val="00AE4DCE"/>
    <w:rsid w:val="00AE5883"/>
    <w:rsid w:val="00AE5885"/>
    <w:rsid w:val="00AE6047"/>
    <w:rsid w:val="00AE6B4E"/>
    <w:rsid w:val="00AE701A"/>
    <w:rsid w:val="00AE733B"/>
    <w:rsid w:val="00AE7CF7"/>
    <w:rsid w:val="00AF1C47"/>
    <w:rsid w:val="00AF1D24"/>
    <w:rsid w:val="00AF4B69"/>
    <w:rsid w:val="00AF4EFE"/>
    <w:rsid w:val="00AF5742"/>
    <w:rsid w:val="00B0120D"/>
    <w:rsid w:val="00B013FD"/>
    <w:rsid w:val="00B01CD0"/>
    <w:rsid w:val="00B03E74"/>
    <w:rsid w:val="00B042E9"/>
    <w:rsid w:val="00B0519E"/>
    <w:rsid w:val="00B057FD"/>
    <w:rsid w:val="00B05DC0"/>
    <w:rsid w:val="00B10780"/>
    <w:rsid w:val="00B10814"/>
    <w:rsid w:val="00B10FDC"/>
    <w:rsid w:val="00B12D03"/>
    <w:rsid w:val="00B130F3"/>
    <w:rsid w:val="00B13A08"/>
    <w:rsid w:val="00B13B69"/>
    <w:rsid w:val="00B14C21"/>
    <w:rsid w:val="00B1538E"/>
    <w:rsid w:val="00B153E9"/>
    <w:rsid w:val="00B155AB"/>
    <w:rsid w:val="00B16C2A"/>
    <w:rsid w:val="00B16DF1"/>
    <w:rsid w:val="00B17FD8"/>
    <w:rsid w:val="00B21BF5"/>
    <w:rsid w:val="00B21C8B"/>
    <w:rsid w:val="00B21E6D"/>
    <w:rsid w:val="00B22302"/>
    <w:rsid w:val="00B22729"/>
    <w:rsid w:val="00B22BCB"/>
    <w:rsid w:val="00B22FFA"/>
    <w:rsid w:val="00B240C7"/>
    <w:rsid w:val="00B24FE2"/>
    <w:rsid w:val="00B276FE"/>
    <w:rsid w:val="00B314EA"/>
    <w:rsid w:val="00B32506"/>
    <w:rsid w:val="00B32F0D"/>
    <w:rsid w:val="00B33C5A"/>
    <w:rsid w:val="00B35D95"/>
    <w:rsid w:val="00B3628C"/>
    <w:rsid w:val="00B365DF"/>
    <w:rsid w:val="00B3681A"/>
    <w:rsid w:val="00B36A06"/>
    <w:rsid w:val="00B37158"/>
    <w:rsid w:val="00B37FCA"/>
    <w:rsid w:val="00B4162F"/>
    <w:rsid w:val="00B416EF"/>
    <w:rsid w:val="00B41D55"/>
    <w:rsid w:val="00B42071"/>
    <w:rsid w:val="00B43568"/>
    <w:rsid w:val="00B43CC6"/>
    <w:rsid w:val="00B47744"/>
    <w:rsid w:val="00B503E5"/>
    <w:rsid w:val="00B5062B"/>
    <w:rsid w:val="00B50C8B"/>
    <w:rsid w:val="00B52A10"/>
    <w:rsid w:val="00B536E6"/>
    <w:rsid w:val="00B53C85"/>
    <w:rsid w:val="00B541D8"/>
    <w:rsid w:val="00B54791"/>
    <w:rsid w:val="00B55FFD"/>
    <w:rsid w:val="00B568D3"/>
    <w:rsid w:val="00B56C74"/>
    <w:rsid w:val="00B56D5E"/>
    <w:rsid w:val="00B5727E"/>
    <w:rsid w:val="00B60803"/>
    <w:rsid w:val="00B6137C"/>
    <w:rsid w:val="00B62438"/>
    <w:rsid w:val="00B624A2"/>
    <w:rsid w:val="00B62FBC"/>
    <w:rsid w:val="00B6430D"/>
    <w:rsid w:val="00B65109"/>
    <w:rsid w:val="00B668D9"/>
    <w:rsid w:val="00B73060"/>
    <w:rsid w:val="00B73101"/>
    <w:rsid w:val="00B74538"/>
    <w:rsid w:val="00B808AE"/>
    <w:rsid w:val="00B81888"/>
    <w:rsid w:val="00B82010"/>
    <w:rsid w:val="00B823E6"/>
    <w:rsid w:val="00B82C58"/>
    <w:rsid w:val="00B830DA"/>
    <w:rsid w:val="00B83234"/>
    <w:rsid w:val="00B832AB"/>
    <w:rsid w:val="00B833BB"/>
    <w:rsid w:val="00B833F0"/>
    <w:rsid w:val="00B83F8A"/>
    <w:rsid w:val="00B8482A"/>
    <w:rsid w:val="00B84E4E"/>
    <w:rsid w:val="00B85297"/>
    <w:rsid w:val="00B85DCC"/>
    <w:rsid w:val="00B862A9"/>
    <w:rsid w:val="00B87022"/>
    <w:rsid w:val="00B9031D"/>
    <w:rsid w:val="00B90897"/>
    <w:rsid w:val="00B91435"/>
    <w:rsid w:val="00B93996"/>
    <w:rsid w:val="00B939E3"/>
    <w:rsid w:val="00B93C1F"/>
    <w:rsid w:val="00B94969"/>
    <w:rsid w:val="00B94E23"/>
    <w:rsid w:val="00B96BDB"/>
    <w:rsid w:val="00B97630"/>
    <w:rsid w:val="00B97C6C"/>
    <w:rsid w:val="00BA0054"/>
    <w:rsid w:val="00BA01FC"/>
    <w:rsid w:val="00BA0607"/>
    <w:rsid w:val="00BA0A67"/>
    <w:rsid w:val="00BA135B"/>
    <w:rsid w:val="00BA13BE"/>
    <w:rsid w:val="00BA4A59"/>
    <w:rsid w:val="00BA5353"/>
    <w:rsid w:val="00BA5D91"/>
    <w:rsid w:val="00BA6DB6"/>
    <w:rsid w:val="00BA7BB2"/>
    <w:rsid w:val="00BA7D62"/>
    <w:rsid w:val="00BA7E15"/>
    <w:rsid w:val="00BB0A87"/>
    <w:rsid w:val="00BB2910"/>
    <w:rsid w:val="00BB3848"/>
    <w:rsid w:val="00BB3A3A"/>
    <w:rsid w:val="00BB42BE"/>
    <w:rsid w:val="00BB5DC8"/>
    <w:rsid w:val="00BB6422"/>
    <w:rsid w:val="00BC0FB6"/>
    <w:rsid w:val="00BC17FF"/>
    <w:rsid w:val="00BC1956"/>
    <w:rsid w:val="00BC2550"/>
    <w:rsid w:val="00BC2E91"/>
    <w:rsid w:val="00BC336C"/>
    <w:rsid w:val="00BC367D"/>
    <w:rsid w:val="00BC38C6"/>
    <w:rsid w:val="00BC3C5F"/>
    <w:rsid w:val="00BC5378"/>
    <w:rsid w:val="00BC58B8"/>
    <w:rsid w:val="00BC5D0C"/>
    <w:rsid w:val="00BC638C"/>
    <w:rsid w:val="00BC67C7"/>
    <w:rsid w:val="00BC694B"/>
    <w:rsid w:val="00BC6B62"/>
    <w:rsid w:val="00BC6EBE"/>
    <w:rsid w:val="00BD1A4E"/>
    <w:rsid w:val="00BD30A5"/>
    <w:rsid w:val="00BD34D2"/>
    <w:rsid w:val="00BD39A9"/>
    <w:rsid w:val="00BD6930"/>
    <w:rsid w:val="00BD6DC5"/>
    <w:rsid w:val="00BD73ED"/>
    <w:rsid w:val="00BD7C1E"/>
    <w:rsid w:val="00BE0871"/>
    <w:rsid w:val="00BE0CE7"/>
    <w:rsid w:val="00BE128F"/>
    <w:rsid w:val="00BE193D"/>
    <w:rsid w:val="00BE246D"/>
    <w:rsid w:val="00BE2E69"/>
    <w:rsid w:val="00BE31BD"/>
    <w:rsid w:val="00BE3664"/>
    <w:rsid w:val="00BE384A"/>
    <w:rsid w:val="00BE45D3"/>
    <w:rsid w:val="00BE4A9F"/>
    <w:rsid w:val="00BE56A3"/>
    <w:rsid w:val="00BE6EE5"/>
    <w:rsid w:val="00BE7292"/>
    <w:rsid w:val="00BE7476"/>
    <w:rsid w:val="00BE783E"/>
    <w:rsid w:val="00BF0200"/>
    <w:rsid w:val="00BF0B01"/>
    <w:rsid w:val="00BF0F4E"/>
    <w:rsid w:val="00BF17AA"/>
    <w:rsid w:val="00BF1AD5"/>
    <w:rsid w:val="00BF2F87"/>
    <w:rsid w:val="00BF36BB"/>
    <w:rsid w:val="00BF440E"/>
    <w:rsid w:val="00BF4567"/>
    <w:rsid w:val="00BF4568"/>
    <w:rsid w:val="00BF5B43"/>
    <w:rsid w:val="00BF6CC3"/>
    <w:rsid w:val="00C00053"/>
    <w:rsid w:val="00C00E47"/>
    <w:rsid w:val="00C0131A"/>
    <w:rsid w:val="00C02E21"/>
    <w:rsid w:val="00C0343A"/>
    <w:rsid w:val="00C03B47"/>
    <w:rsid w:val="00C04714"/>
    <w:rsid w:val="00C057C1"/>
    <w:rsid w:val="00C0669E"/>
    <w:rsid w:val="00C06801"/>
    <w:rsid w:val="00C06B1B"/>
    <w:rsid w:val="00C100B8"/>
    <w:rsid w:val="00C10905"/>
    <w:rsid w:val="00C109D4"/>
    <w:rsid w:val="00C10DA2"/>
    <w:rsid w:val="00C11520"/>
    <w:rsid w:val="00C140A8"/>
    <w:rsid w:val="00C14341"/>
    <w:rsid w:val="00C14366"/>
    <w:rsid w:val="00C14C85"/>
    <w:rsid w:val="00C14D5F"/>
    <w:rsid w:val="00C14F56"/>
    <w:rsid w:val="00C15299"/>
    <w:rsid w:val="00C16606"/>
    <w:rsid w:val="00C17154"/>
    <w:rsid w:val="00C1781C"/>
    <w:rsid w:val="00C1796C"/>
    <w:rsid w:val="00C17C2C"/>
    <w:rsid w:val="00C20B69"/>
    <w:rsid w:val="00C216C6"/>
    <w:rsid w:val="00C21765"/>
    <w:rsid w:val="00C22705"/>
    <w:rsid w:val="00C2273A"/>
    <w:rsid w:val="00C22869"/>
    <w:rsid w:val="00C22B4B"/>
    <w:rsid w:val="00C243FE"/>
    <w:rsid w:val="00C24556"/>
    <w:rsid w:val="00C24DBE"/>
    <w:rsid w:val="00C25A2C"/>
    <w:rsid w:val="00C25EF2"/>
    <w:rsid w:val="00C26FC2"/>
    <w:rsid w:val="00C273F5"/>
    <w:rsid w:val="00C30A2D"/>
    <w:rsid w:val="00C30FF6"/>
    <w:rsid w:val="00C30FFE"/>
    <w:rsid w:val="00C31D1F"/>
    <w:rsid w:val="00C326B0"/>
    <w:rsid w:val="00C337F4"/>
    <w:rsid w:val="00C339C8"/>
    <w:rsid w:val="00C33FF9"/>
    <w:rsid w:val="00C34132"/>
    <w:rsid w:val="00C35111"/>
    <w:rsid w:val="00C36092"/>
    <w:rsid w:val="00C36370"/>
    <w:rsid w:val="00C36E73"/>
    <w:rsid w:val="00C370D5"/>
    <w:rsid w:val="00C40051"/>
    <w:rsid w:val="00C41283"/>
    <w:rsid w:val="00C41CF6"/>
    <w:rsid w:val="00C42C0C"/>
    <w:rsid w:val="00C431B5"/>
    <w:rsid w:val="00C4382F"/>
    <w:rsid w:val="00C438A8"/>
    <w:rsid w:val="00C43C19"/>
    <w:rsid w:val="00C442E5"/>
    <w:rsid w:val="00C44766"/>
    <w:rsid w:val="00C457CE"/>
    <w:rsid w:val="00C464BC"/>
    <w:rsid w:val="00C469FA"/>
    <w:rsid w:val="00C50940"/>
    <w:rsid w:val="00C510EB"/>
    <w:rsid w:val="00C51984"/>
    <w:rsid w:val="00C51B98"/>
    <w:rsid w:val="00C51C3C"/>
    <w:rsid w:val="00C53560"/>
    <w:rsid w:val="00C55520"/>
    <w:rsid w:val="00C55C4A"/>
    <w:rsid w:val="00C560AB"/>
    <w:rsid w:val="00C5648C"/>
    <w:rsid w:val="00C565F2"/>
    <w:rsid w:val="00C56E23"/>
    <w:rsid w:val="00C57563"/>
    <w:rsid w:val="00C60705"/>
    <w:rsid w:val="00C61C88"/>
    <w:rsid w:val="00C621E7"/>
    <w:rsid w:val="00C62CC5"/>
    <w:rsid w:val="00C646F9"/>
    <w:rsid w:val="00C647B5"/>
    <w:rsid w:val="00C702E7"/>
    <w:rsid w:val="00C7050B"/>
    <w:rsid w:val="00C70689"/>
    <w:rsid w:val="00C70A7E"/>
    <w:rsid w:val="00C7148E"/>
    <w:rsid w:val="00C71D47"/>
    <w:rsid w:val="00C74398"/>
    <w:rsid w:val="00C7477B"/>
    <w:rsid w:val="00C7584D"/>
    <w:rsid w:val="00C7669E"/>
    <w:rsid w:val="00C767F4"/>
    <w:rsid w:val="00C76864"/>
    <w:rsid w:val="00C76878"/>
    <w:rsid w:val="00C76C00"/>
    <w:rsid w:val="00C770F6"/>
    <w:rsid w:val="00C77171"/>
    <w:rsid w:val="00C7785E"/>
    <w:rsid w:val="00C8198B"/>
    <w:rsid w:val="00C82540"/>
    <w:rsid w:val="00C83B7D"/>
    <w:rsid w:val="00C83C6B"/>
    <w:rsid w:val="00C8459D"/>
    <w:rsid w:val="00C84A13"/>
    <w:rsid w:val="00C84DA9"/>
    <w:rsid w:val="00C84F9B"/>
    <w:rsid w:val="00C85BEC"/>
    <w:rsid w:val="00C87B88"/>
    <w:rsid w:val="00C87F5F"/>
    <w:rsid w:val="00C911ED"/>
    <w:rsid w:val="00C924E6"/>
    <w:rsid w:val="00C927B9"/>
    <w:rsid w:val="00C92822"/>
    <w:rsid w:val="00C928B2"/>
    <w:rsid w:val="00C92990"/>
    <w:rsid w:val="00C92AC6"/>
    <w:rsid w:val="00C92D13"/>
    <w:rsid w:val="00C93A8C"/>
    <w:rsid w:val="00C93D79"/>
    <w:rsid w:val="00C946FE"/>
    <w:rsid w:val="00C947A4"/>
    <w:rsid w:val="00C94A41"/>
    <w:rsid w:val="00C94D82"/>
    <w:rsid w:val="00C95A0B"/>
    <w:rsid w:val="00C95C6D"/>
    <w:rsid w:val="00C95EB4"/>
    <w:rsid w:val="00C963BD"/>
    <w:rsid w:val="00C9765B"/>
    <w:rsid w:val="00CA046C"/>
    <w:rsid w:val="00CA0DFB"/>
    <w:rsid w:val="00CA0F13"/>
    <w:rsid w:val="00CA1AA8"/>
    <w:rsid w:val="00CA34FD"/>
    <w:rsid w:val="00CA3CE0"/>
    <w:rsid w:val="00CA4412"/>
    <w:rsid w:val="00CA4535"/>
    <w:rsid w:val="00CA6933"/>
    <w:rsid w:val="00CB0500"/>
    <w:rsid w:val="00CB0D26"/>
    <w:rsid w:val="00CB1C7F"/>
    <w:rsid w:val="00CB208E"/>
    <w:rsid w:val="00CB4AA7"/>
    <w:rsid w:val="00CB7961"/>
    <w:rsid w:val="00CC1584"/>
    <w:rsid w:val="00CC198B"/>
    <w:rsid w:val="00CC22A6"/>
    <w:rsid w:val="00CC2D40"/>
    <w:rsid w:val="00CC4806"/>
    <w:rsid w:val="00CC4C9B"/>
    <w:rsid w:val="00CC4CE2"/>
    <w:rsid w:val="00CC4F98"/>
    <w:rsid w:val="00CC4FD9"/>
    <w:rsid w:val="00CC5CB9"/>
    <w:rsid w:val="00CC625C"/>
    <w:rsid w:val="00CC7F8B"/>
    <w:rsid w:val="00CD10A6"/>
    <w:rsid w:val="00CD11FE"/>
    <w:rsid w:val="00CD1321"/>
    <w:rsid w:val="00CD1611"/>
    <w:rsid w:val="00CD1C73"/>
    <w:rsid w:val="00CD2758"/>
    <w:rsid w:val="00CD4919"/>
    <w:rsid w:val="00CD4BDF"/>
    <w:rsid w:val="00CD5154"/>
    <w:rsid w:val="00CD622A"/>
    <w:rsid w:val="00CD6689"/>
    <w:rsid w:val="00CD6A55"/>
    <w:rsid w:val="00CD7C90"/>
    <w:rsid w:val="00CE007A"/>
    <w:rsid w:val="00CE0B40"/>
    <w:rsid w:val="00CE0E90"/>
    <w:rsid w:val="00CE147A"/>
    <w:rsid w:val="00CE18DC"/>
    <w:rsid w:val="00CE1CC3"/>
    <w:rsid w:val="00CE2B30"/>
    <w:rsid w:val="00CE2C7B"/>
    <w:rsid w:val="00CE2F18"/>
    <w:rsid w:val="00CE2FA9"/>
    <w:rsid w:val="00CE3173"/>
    <w:rsid w:val="00CE41ED"/>
    <w:rsid w:val="00CE42A6"/>
    <w:rsid w:val="00CE45DD"/>
    <w:rsid w:val="00CE4B71"/>
    <w:rsid w:val="00CE4C9E"/>
    <w:rsid w:val="00CE5564"/>
    <w:rsid w:val="00CE6742"/>
    <w:rsid w:val="00CE73B2"/>
    <w:rsid w:val="00CE740E"/>
    <w:rsid w:val="00CE7716"/>
    <w:rsid w:val="00CE7D94"/>
    <w:rsid w:val="00CF01B2"/>
    <w:rsid w:val="00CF0F60"/>
    <w:rsid w:val="00CF4F13"/>
    <w:rsid w:val="00CF4F66"/>
    <w:rsid w:val="00CF57D4"/>
    <w:rsid w:val="00CF603D"/>
    <w:rsid w:val="00CF60C4"/>
    <w:rsid w:val="00CF682E"/>
    <w:rsid w:val="00CF7798"/>
    <w:rsid w:val="00D00781"/>
    <w:rsid w:val="00D018BB"/>
    <w:rsid w:val="00D02603"/>
    <w:rsid w:val="00D053D6"/>
    <w:rsid w:val="00D057F2"/>
    <w:rsid w:val="00D06B9A"/>
    <w:rsid w:val="00D072B8"/>
    <w:rsid w:val="00D10C66"/>
    <w:rsid w:val="00D11E59"/>
    <w:rsid w:val="00D12A97"/>
    <w:rsid w:val="00D132BE"/>
    <w:rsid w:val="00D13D9B"/>
    <w:rsid w:val="00D13FE6"/>
    <w:rsid w:val="00D14B8C"/>
    <w:rsid w:val="00D14B9F"/>
    <w:rsid w:val="00D14E7F"/>
    <w:rsid w:val="00D14ED1"/>
    <w:rsid w:val="00D15F90"/>
    <w:rsid w:val="00D16CE7"/>
    <w:rsid w:val="00D16D97"/>
    <w:rsid w:val="00D17239"/>
    <w:rsid w:val="00D17645"/>
    <w:rsid w:val="00D2138A"/>
    <w:rsid w:val="00D21904"/>
    <w:rsid w:val="00D21F72"/>
    <w:rsid w:val="00D2224B"/>
    <w:rsid w:val="00D23119"/>
    <w:rsid w:val="00D234D2"/>
    <w:rsid w:val="00D23BB4"/>
    <w:rsid w:val="00D24C10"/>
    <w:rsid w:val="00D252CC"/>
    <w:rsid w:val="00D25598"/>
    <w:rsid w:val="00D27389"/>
    <w:rsid w:val="00D275AA"/>
    <w:rsid w:val="00D27CB3"/>
    <w:rsid w:val="00D301A7"/>
    <w:rsid w:val="00D30B2F"/>
    <w:rsid w:val="00D3149E"/>
    <w:rsid w:val="00D3183E"/>
    <w:rsid w:val="00D31F6A"/>
    <w:rsid w:val="00D325B4"/>
    <w:rsid w:val="00D33B17"/>
    <w:rsid w:val="00D34412"/>
    <w:rsid w:val="00D3549E"/>
    <w:rsid w:val="00D35909"/>
    <w:rsid w:val="00D36341"/>
    <w:rsid w:val="00D3642E"/>
    <w:rsid w:val="00D365FF"/>
    <w:rsid w:val="00D36B52"/>
    <w:rsid w:val="00D4051A"/>
    <w:rsid w:val="00D41030"/>
    <w:rsid w:val="00D4321C"/>
    <w:rsid w:val="00D438A8"/>
    <w:rsid w:val="00D45457"/>
    <w:rsid w:val="00D45527"/>
    <w:rsid w:val="00D45885"/>
    <w:rsid w:val="00D459A4"/>
    <w:rsid w:val="00D45A0F"/>
    <w:rsid w:val="00D45BC9"/>
    <w:rsid w:val="00D462E7"/>
    <w:rsid w:val="00D47347"/>
    <w:rsid w:val="00D47C84"/>
    <w:rsid w:val="00D50E94"/>
    <w:rsid w:val="00D50E9A"/>
    <w:rsid w:val="00D52176"/>
    <w:rsid w:val="00D523BC"/>
    <w:rsid w:val="00D52CFE"/>
    <w:rsid w:val="00D53158"/>
    <w:rsid w:val="00D542BD"/>
    <w:rsid w:val="00D54B83"/>
    <w:rsid w:val="00D5501C"/>
    <w:rsid w:val="00D5522D"/>
    <w:rsid w:val="00D57A7D"/>
    <w:rsid w:val="00D57A93"/>
    <w:rsid w:val="00D60B76"/>
    <w:rsid w:val="00D60F50"/>
    <w:rsid w:val="00D621DB"/>
    <w:rsid w:val="00D63237"/>
    <w:rsid w:val="00D635ED"/>
    <w:rsid w:val="00D6419E"/>
    <w:rsid w:val="00D64739"/>
    <w:rsid w:val="00D654C3"/>
    <w:rsid w:val="00D65E12"/>
    <w:rsid w:val="00D66163"/>
    <w:rsid w:val="00D67E52"/>
    <w:rsid w:val="00D70DB8"/>
    <w:rsid w:val="00D720B4"/>
    <w:rsid w:val="00D726B6"/>
    <w:rsid w:val="00D74AF8"/>
    <w:rsid w:val="00D751BC"/>
    <w:rsid w:val="00D76924"/>
    <w:rsid w:val="00D77324"/>
    <w:rsid w:val="00D77CFF"/>
    <w:rsid w:val="00D803E1"/>
    <w:rsid w:val="00D804EE"/>
    <w:rsid w:val="00D809D9"/>
    <w:rsid w:val="00D8103B"/>
    <w:rsid w:val="00D81283"/>
    <w:rsid w:val="00D814D4"/>
    <w:rsid w:val="00D816CF"/>
    <w:rsid w:val="00D81969"/>
    <w:rsid w:val="00D81A5C"/>
    <w:rsid w:val="00D81B31"/>
    <w:rsid w:val="00D82188"/>
    <w:rsid w:val="00D82C12"/>
    <w:rsid w:val="00D831F4"/>
    <w:rsid w:val="00D83602"/>
    <w:rsid w:val="00D83952"/>
    <w:rsid w:val="00D8458D"/>
    <w:rsid w:val="00D90014"/>
    <w:rsid w:val="00D9002C"/>
    <w:rsid w:val="00D90761"/>
    <w:rsid w:val="00D90B7C"/>
    <w:rsid w:val="00D910EB"/>
    <w:rsid w:val="00D9159D"/>
    <w:rsid w:val="00D935D0"/>
    <w:rsid w:val="00D94C7A"/>
    <w:rsid w:val="00D95DF7"/>
    <w:rsid w:val="00D9621D"/>
    <w:rsid w:val="00D96A6F"/>
    <w:rsid w:val="00D96ADD"/>
    <w:rsid w:val="00D97066"/>
    <w:rsid w:val="00D97310"/>
    <w:rsid w:val="00DA18C3"/>
    <w:rsid w:val="00DA23CD"/>
    <w:rsid w:val="00DA40A4"/>
    <w:rsid w:val="00DA42FF"/>
    <w:rsid w:val="00DA494F"/>
    <w:rsid w:val="00DA5413"/>
    <w:rsid w:val="00DA62F3"/>
    <w:rsid w:val="00DB0062"/>
    <w:rsid w:val="00DB08F5"/>
    <w:rsid w:val="00DB1C6F"/>
    <w:rsid w:val="00DB1E6F"/>
    <w:rsid w:val="00DB2197"/>
    <w:rsid w:val="00DB21F3"/>
    <w:rsid w:val="00DB2F4B"/>
    <w:rsid w:val="00DB303B"/>
    <w:rsid w:val="00DB5321"/>
    <w:rsid w:val="00DB6D1B"/>
    <w:rsid w:val="00DB722E"/>
    <w:rsid w:val="00DB7274"/>
    <w:rsid w:val="00DC1526"/>
    <w:rsid w:val="00DC1C4B"/>
    <w:rsid w:val="00DC2CC3"/>
    <w:rsid w:val="00DC34E0"/>
    <w:rsid w:val="00DC581B"/>
    <w:rsid w:val="00DC7592"/>
    <w:rsid w:val="00DC7F86"/>
    <w:rsid w:val="00DD09D8"/>
    <w:rsid w:val="00DD28DA"/>
    <w:rsid w:val="00DD3530"/>
    <w:rsid w:val="00DD361E"/>
    <w:rsid w:val="00DD3C9E"/>
    <w:rsid w:val="00DD4591"/>
    <w:rsid w:val="00DD4864"/>
    <w:rsid w:val="00DD4BD1"/>
    <w:rsid w:val="00DD5065"/>
    <w:rsid w:val="00DD6D4D"/>
    <w:rsid w:val="00DD7051"/>
    <w:rsid w:val="00DD717E"/>
    <w:rsid w:val="00DD7E64"/>
    <w:rsid w:val="00DD7F8F"/>
    <w:rsid w:val="00DE025D"/>
    <w:rsid w:val="00DE0F30"/>
    <w:rsid w:val="00DE249A"/>
    <w:rsid w:val="00DE2504"/>
    <w:rsid w:val="00DE2BAE"/>
    <w:rsid w:val="00DE2BE7"/>
    <w:rsid w:val="00DE3BAC"/>
    <w:rsid w:val="00DE3C26"/>
    <w:rsid w:val="00DE42A5"/>
    <w:rsid w:val="00DE5482"/>
    <w:rsid w:val="00DE6120"/>
    <w:rsid w:val="00DE6648"/>
    <w:rsid w:val="00DE6D82"/>
    <w:rsid w:val="00DE728E"/>
    <w:rsid w:val="00DE7A36"/>
    <w:rsid w:val="00DE7AE9"/>
    <w:rsid w:val="00DF058E"/>
    <w:rsid w:val="00DF0929"/>
    <w:rsid w:val="00DF262B"/>
    <w:rsid w:val="00DF303D"/>
    <w:rsid w:val="00DF39AD"/>
    <w:rsid w:val="00DF4FD6"/>
    <w:rsid w:val="00DF5132"/>
    <w:rsid w:val="00DF568F"/>
    <w:rsid w:val="00DF5AE5"/>
    <w:rsid w:val="00DF693C"/>
    <w:rsid w:val="00DF6BA3"/>
    <w:rsid w:val="00DF6D4E"/>
    <w:rsid w:val="00DF6E63"/>
    <w:rsid w:val="00DF7B8D"/>
    <w:rsid w:val="00E00840"/>
    <w:rsid w:val="00E00D43"/>
    <w:rsid w:val="00E0111A"/>
    <w:rsid w:val="00E020AF"/>
    <w:rsid w:val="00E0269B"/>
    <w:rsid w:val="00E038FA"/>
    <w:rsid w:val="00E03B8C"/>
    <w:rsid w:val="00E03FAA"/>
    <w:rsid w:val="00E046DC"/>
    <w:rsid w:val="00E04AEB"/>
    <w:rsid w:val="00E04D0E"/>
    <w:rsid w:val="00E05B03"/>
    <w:rsid w:val="00E06D48"/>
    <w:rsid w:val="00E07297"/>
    <w:rsid w:val="00E10AD3"/>
    <w:rsid w:val="00E10E4B"/>
    <w:rsid w:val="00E125FC"/>
    <w:rsid w:val="00E1276A"/>
    <w:rsid w:val="00E13715"/>
    <w:rsid w:val="00E139BE"/>
    <w:rsid w:val="00E148AF"/>
    <w:rsid w:val="00E17AF3"/>
    <w:rsid w:val="00E17BAD"/>
    <w:rsid w:val="00E20D4F"/>
    <w:rsid w:val="00E212E3"/>
    <w:rsid w:val="00E21F52"/>
    <w:rsid w:val="00E220E4"/>
    <w:rsid w:val="00E225CC"/>
    <w:rsid w:val="00E24E2A"/>
    <w:rsid w:val="00E2594B"/>
    <w:rsid w:val="00E26BE9"/>
    <w:rsid w:val="00E26D81"/>
    <w:rsid w:val="00E26FE7"/>
    <w:rsid w:val="00E27040"/>
    <w:rsid w:val="00E27BC0"/>
    <w:rsid w:val="00E30446"/>
    <w:rsid w:val="00E345FB"/>
    <w:rsid w:val="00E37EB2"/>
    <w:rsid w:val="00E402BC"/>
    <w:rsid w:val="00E40E36"/>
    <w:rsid w:val="00E4116C"/>
    <w:rsid w:val="00E415CF"/>
    <w:rsid w:val="00E41C96"/>
    <w:rsid w:val="00E42B36"/>
    <w:rsid w:val="00E43454"/>
    <w:rsid w:val="00E45065"/>
    <w:rsid w:val="00E455D1"/>
    <w:rsid w:val="00E459C6"/>
    <w:rsid w:val="00E45C7F"/>
    <w:rsid w:val="00E45E64"/>
    <w:rsid w:val="00E4637C"/>
    <w:rsid w:val="00E466E5"/>
    <w:rsid w:val="00E468A5"/>
    <w:rsid w:val="00E46BEC"/>
    <w:rsid w:val="00E51277"/>
    <w:rsid w:val="00E514F5"/>
    <w:rsid w:val="00E531FD"/>
    <w:rsid w:val="00E535B2"/>
    <w:rsid w:val="00E53B91"/>
    <w:rsid w:val="00E542E1"/>
    <w:rsid w:val="00E54507"/>
    <w:rsid w:val="00E54F9F"/>
    <w:rsid w:val="00E5556C"/>
    <w:rsid w:val="00E55EAC"/>
    <w:rsid w:val="00E57B1F"/>
    <w:rsid w:val="00E60C69"/>
    <w:rsid w:val="00E63681"/>
    <w:rsid w:val="00E639D8"/>
    <w:rsid w:val="00E6504B"/>
    <w:rsid w:val="00E65806"/>
    <w:rsid w:val="00E66704"/>
    <w:rsid w:val="00E66BED"/>
    <w:rsid w:val="00E7021A"/>
    <w:rsid w:val="00E71A97"/>
    <w:rsid w:val="00E7205E"/>
    <w:rsid w:val="00E752BA"/>
    <w:rsid w:val="00E7579F"/>
    <w:rsid w:val="00E76599"/>
    <w:rsid w:val="00E76C47"/>
    <w:rsid w:val="00E77B3E"/>
    <w:rsid w:val="00E77D1C"/>
    <w:rsid w:val="00E77FC7"/>
    <w:rsid w:val="00E805B1"/>
    <w:rsid w:val="00E8097C"/>
    <w:rsid w:val="00E81484"/>
    <w:rsid w:val="00E823B7"/>
    <w:rsid w:val="00E82AE1"/>
    <w:rsid w:val="00E83166"/>
    <w:rsid w:val="00E832A7"/>
    <w:rsid w:val="00E84E0C"/>
    <w:rsid w:val="00E855D5"/>
    <w:rsid w:val="00E85B0E"/>
    <w:rsid w:val="00E86309"/>
    <w:rsid w:val="00E863D6"/>
    <w:rsid w:val="00E8666F"/>
    <w:rsid w:val="00E866EC"/>
    <w:rsid w:val="00E904B4"/>
    <w:rsid w:val="00E9218C"/>
    <w:rsid w:val="00E926A2"/>
    <w:rsid w:val="00E92B07"/>
    <w:rsid w:val="00E951AA"/>
    <w:rsid w:val="00E95346"/>
    <w:rsid w:val="00E96A70"/>
    <w:rsid w:val="00E975EF"/>
    <w:rsid w:val="00E976E7"/>
    <w:rsid w:val="00EA0CBE"/>
    <w:rsid w:val="00EA0DEA"/>
    <w:rsid w:val="00EA12B3"/>
    <w:rsid w:val="00EA353C"/>
    <w:rsid w:val="00EA3DE9"/>
    <w:rsid w:val="00EA42FF"/>
    <w:rsid w:val="00EA4C3A"/>
    <w:rsid w:val="00EA7699"/>
    <w:rsid w:val="00EA79B1"/>
    <w:rsid w:val="00EB04D1"/>
    <w:rsid w:val="00EB05F3"/>
    <w:rsid w:val="00EB15BD"/>
    <w:rsid w:val="00EB2DD5"/>
    <w:rsid w:val="00EB47A9"/>
    <w:rsid w:val="00EB5628"/>
    <w:rsid w:val="00EB7684"/>
    <w:rsid w:val="00EB7901"/>
    <w:rsid w:val="00EC00F0"/>
    <w:rsid w:val="00EC1111"/>
    <w:rsid w:val="00EC174E"/>
    <w:rsid w:val="00EC3A9C"/>
    <w:rsid w:val="00EC47E9"/>
    <w:rsid w:val="00EC4CA8"/>
    <w:rsid w:val="00EC5063"/>
    <w:rsid w:val="00EC59FE"/>
    <w:rsid w:val="00EC5A26"/>
    <w:rsid w:val="00EC61EB"/>
    <w:rsid w:val="00EC64AB"/>
    <w:rsid w:val="00EC7491"/>
    <w:rsid w:val="00ED095A"/>
    <w:rsid w:val="00ED21A9"/>
    <w:rsid w:val="00ED2413"/>
    <w:rsid w:val="00ED3133"/>
    <w:rsid w:val="00ED40C3"/>
    <w:rsid w:val="00ED43EC"/>
    <w:rsid w:val="00ED498D"/>
    <w:rsid w:val="00ED52C7"/>
    <w:rsid w:val="00ED6E99"/>
    <w:rsid w:val="00ED7D67"/>
    <w:rsid w:val="00EE0292"/>
    <w:rsid w:val="00EE0D4D"/>
    <w:rsid w:val="00EE15A7"/>
    <w:rsid w:val="00EE1AE1"/>
    <w:rsid w:val="00EE20C1"/>
    <w:rsid w:val="00EE28D9"/>
    <w:rsid w:val="00EE2B36"/>
    <w:rsid w:val="00EE3782"/>
    <w:rsid w:val="00EE3EA2"/>
    <w:rsid w:val="00EE5118"/>
    <w:rsid w:val="00EE56B3"/>
    <w:rsid w:val="00EE7037"/>
    <w:rsid w:val="00EE7BF4"/>
    <w:rsid w:val="00EE7F81"/>
    <w:rsid w:val="00EF0A86"/>
    <w:rsid w:val="00EF0FC2"/>
    <w:rsid w:val="00EF16FD"/>
    <w:rsid w:val="00EF2850"/>
    <w:rsid w:val="00EF3447"/>
    <w:rsid w:val="00EF470F"/>
    <w:rsid w:val="00EF4930"/>
    <w:rsid w:val="00EF5AA0"/>
    <w:rsid w:val="00EF5B54"/>
    <w:rsid w:val="00EF6C0D"/>
    <w:rsid w:val="00F006E1"/>
    <w:rsid w:val="00F01302"/>
    <w:rsid w:val="00F03FC0"/>
    <w:rsid w:val="00F045F0"/>
    <w:rsid w:val="00F04850"/>
    <w:rsid w:val="00F04929"/>
    <w:rsid w:val="00F05744"/>
    <w:rsid w:val="00F059A8"/>
    <w:rsid w:val="00F06206"/>
    <w:rsid w:val="00F06CF4"/>
    <w:rsid w:val="00F072BF"/>
    <w:rsid w:val="00F07B10"/>
    <w:rsid w:val="00F0E27B"/>
    <w:rsid w:val="00F103B0"/>
    <w:rsid w:val="00F10763"/>
    <w:rsid w:val="00F107F9"/>
    <w:rsid w:val="00F1482E"/>
    <w:rsid w:val="00F14CB7"/>
    <w:rsid w:val="00F16AAC"/>
    <w:rsid w:val="00F16B7C"/>
    <w:rsid w:val="00F16C1E"/>
    <w:rsid w:val="00F175A6"/>
    <w:rsid w:val="00F17B7D"/>
    <w:rsid w:val="00F20062"/>
    <w:rsid w:val="00F20ADB"/>
    <w:rsid w:val="00F213C1"/>
    <w:rsid w:val="00F22352"/>
    <w:rsid w:val="00F230C3"/>
    <w:rsid w:val="00F23EBB"/>
    <w:rsid w:val="00F2422B"/>
    <w:rsid w:val="00F25220"/>
    <w:rsid w:val="00F25480"/>
    <w:rsid w:val="00F27756"/>
    <w:rsid w:val="00F27EBD"/>
    <w:rsid w:val="00F31053"/>
    <w:rsid w:val="00F314A7"/>
    <w:rsid w:val="00F322CD"/>
    <w:rsid w:val="00F32D4B"/>
    <w:rsid w:val="00F33530"/>
    <w:rsid w:val="00F34016"/>
    <w:rsid w:val="00F3442A"/>
    <w:rsid w:val="00F34F6F"/>
    <w:rsid w:val="00F35641"/>
    <w:rsid w:val="00F365E5"/>
    <w:rsid w:val="00F369D2"/>
    <w:rsid w:val="00F36B22"/>
    <w:rsid w:val="00F36F68"/>
    <w:rsid w:val="00F37413"/>
    <w:rsid w:val="00F37D8B"/>
    <w:rsid w:val="00F40F9E"/>
    <w:rsid w:val="00F4125F"/>
    <w:rsid w:val="00F42266"/>
    <w:rsid w:val="00F43854"/>
    <w:rsid w:val="00F45F20"/>
    <w:rsid w:val="00F46E1B"/>
    <w:rsid w:val="00F50236"/>
    <w:rsid w:val="00F515D5"/>
    <w:rsid w:val="00F517CD"/>
    <w:rsid w:val="00F5212D"/>
    <w:rsid w:val="00F5225F"/>
    <w:rsid w:val="00F52D0A"/>
    <w:rsid w:val="00F52FB8"/>
    <w:rsid w:val="00F5300C"/>
    <w:rsid w:val="00F54E42"/>
    <w:rsid w:val="00F552E4"/>
    <w:rsid w:val="00F55951"/>
    <w:rsid w:val="00F56C6B"/>
    <w:rsid w:val="00F56E4E"/>
    <w:rsid w:val="00F56FC3"/>
    <w:rsid w:val="00F575F8"/>
    <w:rsid w:val="00F57EC5"/>
    <w:rsid w:val="00F60CE3"/>
    <w:rsid w:val="00F61C88"/>
    <w:rsid w:val="00F6394E"/>
    <w:rsid w:val="00F63DCE"/>
    <w:rsid w:val="00F640DA"/>
    <w:rsid w:val="00F649AA"/>
    <w:rsid w:val="00F66181"/>
    <w:rsid w:val="00F676D3"/>
    <w:rsid w:val="00F7081A"/>
    <w:rsid w:val="00F708C2"/>
    <w:rsid w:val="00F71130"/>
    <w:rsid w:val="00F7130F"/>
    <w:rsid w:val="00F72AB5"/>
    <w:rsid w:val="00F72DC6"/>
    <w:rsid w:val="00F74E60"/>
    <w:rsid w:val="00F77697"/>
    <w:rsid w:val="00F7796A"/>
    <w:rsid w:val="00F77CB4"/>
    <w:rsid w:val="00F805B4"/>
    <w:rsid w:val="00F80ADB"/>
    <w:rsid w:val="00F8190F"/>
    <w:rsid w:val="00F81B55"/>
    <w:rsid w:val="00F82222"/>
    <w:rsid w:val="00F82339"/>
    <w:rsid w:val="00F84D7A"/>
    <w:rsid w:val="00F8557F"/>
    <w:rsid w:val="00F85814"/>
    <w:rsid w:val="00F85BCD"/>
    <w:rsid w:val="00F86E7B"/>
    <w:rsid w:val="00F873FA"/>
    <w:rsid w:val="00F90ACB"/>
    <w:rsid w:val="00F90D54"/>
    <w:rsid w:val="00F92730"/>
    <w:rsid w:val="00F931C2"/>
    <w:rsid w:val="00F9345F"/>
    <w:rsid w:val="00F95F66"/>
    <w:rsid w:val="00F96A0A"/>
    <w:rsid w:val="00F97027"/>
    <w:rsid w:val="00F97055"/>
    <w:rsid w:val="00FA09F0"/>
    <w:rsid w:val="00FA1BD0"/>
    <w:rsid w:val="00FA350B"/>
    <w:rsid w:val="00FA425F"/>
    <w:rsid w:val="00FA5065"/>
    <w:rsid w:val="00FA6B2D"/>
    <w:rsid w:val="00FA72F9"/>
    <w:rsid w:val="00FA7358"/>
    <w:rsid w:val="00FA77A3"/>
    <w:rsid w:val="00FA7BAB"/>
    <w:rsid w:val="00FA7D75"/>
    <w:rsid w:val="00FB067E"/>
    <w:rsid w:val="00FB167C"/>
    <w:rsid w:val="00FB1FA6"/>
    <w:rsid w:val="00FB3034"/>
    <w:rsid w:val="00FB415E"/>
    <w:rsid w:val="00FB419F"/>
    <w:rsid w:val="00FB43ED"/>
    <w:rsid w:val="00FB5EF1"/>
    <w:rsid w:val="00FB70EE"/>
    <w:rsid w:val="00FB7CD1"/>
    <w:rsid w:val="00FC04C5"/>
    <w:rsid w:val="00FC053C"/>
    <w:rsid w:val="00FC07CC"/>
    <w:rsid w:val="00FC10A0"/>
    <w:rsid w:val="00FC37EB"/>
    <w:rsid w:val="00FC4BCD"/>
    <w:rsid w:val="00FC55A2"/>
    <w:rsid w:val="00FC7ACD"/>
    <w:rsid w:val="00FD026D"/>
    <w:rsid w:val="00FD0D1C"/>
    <w:rsid w:val="00FD16FC"/>
    <w:rsid w:val="00FD18EB"/>
    <w:rsid w:val="00FD278D"/>
    <w:rsid w:val="00FD2AF8"/>
    <w:rsid w:val="00FD30A1"/>
    <w:rsid w:val="00FD3442"/>
    <w:rsid w:val="00FD4F27"/>
    <w:rsid w:val="00FD513F"/>
    <w:rsid w:val="00FD55F4"/>
    <w:rsid w:val="00FD690E"/>
    <w:rsid w:val="00FD6A81"/>
    <w:rsid w:val="00FD784E"/>
    <w:rsid w:val="00FD7C4B"/>
    <w:rsid w:val="00FD7DA0"/>
    <w:rsid w:val="00FE04FE"/>
    <w:rsid w:val="00FE05E4"/>
    <w:rsid w:val="00FE1E26"/>
    <w:rsid w:val="00FE298D"/>
    <w:rsid w:val="00FE2EA0"/>
    <w:rsid w:val="00FE3FA5"/>
    <w:rsid w:val="00FE49D9"/>
    <w:rsid w:val="00FE527E"/>
    <w:rsid w:val="00FE5311"/>
    <w:rsid w:val="00FE5A36"/>
    <w:rsid w:val="00FE6EB7"/>
    <w:rsid w:val="00FE7373"/>
    <w:rsid w:val="00FF0AC9"/>
    <w:rsid w:val="00FF0B01"/>
    <w:rsid w:val="00FF2252"/>
    <w:rsid w:val="00FF2D09"/>
    <w:rsid w:val="00FF324E"/>
    <w:rsid w:val="00FF33E9"/>
    <w:rsid w:val="00FF3862"/>
    <w:rsid w:val="00FF4272"/>
    <w:rsid w:val="00FF522F"/>
    <w:rsid w:val="00FF528E"/>
    <w:rsid w:val="00FF611C"/>
    <w:rsid w:val="00FF6F2B"/>
    <w:rsid w:val="00FF6F54"/>
    <w:rsid w:val="00FF722B"/>
    <w:rsid w:val="00FF783C"/>
    <w:rsid w:val="01350B58"/>
    <w:rsid w:val="0172C45E"/>
    <w:rsid w:val="01A8C7B9"/>
    <w:rsid w:val="01B3535C"/>
    <w:rsid w:val="01C06F2B"/>
    <w:rsid w:val="01E6D88B"/>
    <w:rsid w:val="01E9304F"/>
    <w:rsid w:val="01FF7C4B"/>
    <w:rsid w:val="0201E028"/>
    <w:rsid w:val="0214BEDE"/>
    <w:rsid w:val="02460196"/>
    <w:rsid w:val="02487859"/>
    <w:rsid w:val="026213C4"/>
    <w:rsid w:val="02856AAA"/>
    <w:rsid w:val="028A53C5"/>
    <w:rsid w:val="028CAFEF"/>
    <w:rsid w:val="029A1470"/>
    <w:rsid w:val="02A2BF31"/>
    <w:rsid w:val="02A2CD55"/>
    <w:rsid w:val="02AA8242"/>
    <w:rsid w:val="02BF68EA"/>
    <w:rsid w:val="02C94BB7"/>
    <w:rsid w:val="02D62EA6"/>
    <w:rsid w:val="02EF491E"/>
    <w:rsid w:val="02F455F1"/>
    <w:rsid w:val="030B1FCC"/>
    <w:rsid w:val="0355154B"/>
    <w:rsid w:val="0357E66F"/>
    <w:rsid w:val="037D5771"/>
    <w:rsid w:val="03939C66"/>
    <w:rsid w:val="03946935"/>
    <w:rsid w:val="039DB37F"/>
    <w:rsid w:val="03A249D6"/>
    <w:rsid w:val="03A385E5"/>
    <w:rsid w:val="03B30268"/>
    <w:rsid w:val="03CAA040"/>
    <w:rsid w:val="03D3C186"/>
    <w:rsid w:val="03EFE778"/>
    <w:rsid w:val="042434F3"/>
    <w:rsid w:val="0454AEE3"/>
    <w:rsid w:val="04693B44"/>
    <w:rsid w:val="047A3676"/>
    <w:rsid w:val="04985C3E"/>
    <w:rsid w:val="04E7C2F6"/>
    <w:rsid w:val="055C57BB"/>
    <w:rsid w:val="057462F2"/>
    <w:rsid w:val="057CC270"/>
    <w:rsid w:val="0598C515"/>
    <w:rsid w:val="059AAD17"/>
    <w:rsid w:val="05BCECDD"/>
    <w:rsid w:val="05C01EB4"/>
    <w:rsid w:val="05CD7C8F"/>
    <w:rsid w:val="05D88170"/>
    <w:rsid w:val="05E21890"/>
    <w:rsid w:val="05E43672"/>
    <w:rsid w:val="05FF59ED"/>
    <w:rsid w:val="06008399"/>
    <w:rsid w:val="060BB330"/>
    <w:rsid w:val="062E66A7"/>
    <w:rsid w:val="0631B6E5"/>
    <w:rsid w:val="06402DA2"/>
    <w:rsid w:val="0640BD99"/>
    <w:rsid w:val="064B1761"/>
    <w:rsid w:val="0662580C"/>
    <w:rsid w:val="06844D37"/>
    <w:rsid w:val="06B67C49"/>
    <w:rsid w:val="06FB0D4E"/>
    <w:rsid w:val="074C93DC"/>
    <w:rsid w:val="07546F3F"/>
    <w:rsid w:val="07953AA7"/>
    <w:rsid w:val="0799F1BF"/>
    <w:rsid w:val="07A0998D"/>
    <w:rsid w:val="07ACFC1D"/>
    <w:rsid w:val="07BC9625"/>
    <w:rsid w:val="07CE0F1F"/>
    <w:rsid w:val="08295DF1"/>
    <w:rsid w:val="086A5CAA"/>
    <w:rsid w:val="088BCE84"/>
    <w:rsid w:val="0896F504"/>
    <w:rsid w:val="08B5F894"/>
    <w:rsid w:val="08E25DD7"/>
    <w:rsid w:val="08F2CAA8"/>
    <w:rsid w:val="08FCFA96"/>
    <w:rsid w:val="09699499"/>
    <w:rsid w:val="099C10FE"/>
    <w:rsid w:val="09AB2CA2"/>
    <w:rsid w:val="09E911E6"/>
    <w:rsid w:val="09FFF16C"/>
    <w:rsid w:val="0A0EDBC1"/>
    <w:rsid w:val="0A1AA551"/>
    <w:rsid w:val="0A26C6C7"/>
    <w:rsid w:val="0A2D7E68"/>
    <w:rsid w:val="0A5EC04D"/>
    <w:rsid w:val="0A919263"/>
    <w:rsid w:val="0AB65769"/>
    <w:rsid w:val="0AFAA7D1"/>
    <w:rsid w:val="0B0D5319"/>
    <w:rsid w:val="0B1E8884"/>
    <w:rsid w:val="0B2D60D5"/>
    <w:rsid w:val="0B352D7F"/>
    <w:rsid w:val="0B3CAE8F"/>
    <w:rsid w:val="0B46FE2F"/>
    <w:rsid w:val="0B54B183"/>
    <w:rsid w:val="0B5C5C90"/>
    <w:rsid w:val="0BAEF1F9"/>
    <w:rsid w:val="0BED1B4F"/>
    <w:rsid w:val="0BF43411"/>
    <w:rsid w:val="0BFBE191"/>
    <w:rsid w:val="0C3AD97C"/>
    <w:rsid w:val="0C5C5938"/>
    <w:rsid w:val="0C7B5643"/>
    <w:rsid w:val="0CD87EF0"/>
    <w:rsid w:val="0CF8428F"/>
    <w:rsid w:val="0D09326D"/>
    <w:rsid w:val="0D1E6330"/>
    <w:rsid w:val="0D37C309"/>
    <w:rsid w:val="0D61D139"/>
    <w:rsid w:val="0D80C2D6"/>
    <w:rsid w:val="0DA26FAC"/>
    <w:rsid w:val="0DA7849C"/>
    <w:rsid w:val="0DA98CC4"/>
    <w:rsid w:val="0DC48BBE"/>
    <w:rsid w:val="0E7D02E8"/>
    <w:rsid w:val="0EB0587E"/>
    <w:rsid w:val="0ECFC561"/>
    <w:rsid w:val="0EE1A16D"/>
    <w:rsid w:val="0F069BBD"/>
    <w:rsid w:val="0F0FBE7D"/>
    <w:rsid w:val="0F373909"/>
    <w:rsid w:val="0F649CDD"/>
    <w:rsid w:val="0F725FE4"/>
    <w:rsid w:val="0FA2C10D"/>
    <w:rsid w:val="0FBEF807"/>
    <w:rsid w:val="0FC30F6C"/>
    <w:rsid w:val="0FCADA61"/>
    <w:rsid w:val="0FD17C37"/>
    <w:rsid w:val="0FD88407"/>
    <w:rsid w:val="100DD868"/>
    <w:rsid w:val="105D2039"/>
    <w:rsid w:val="109971FB"/>
    <w:rsid w:val="10B34FF8"/>
    <w:rsid w:val="10E23D19"/>
    <w:rsid w:val="10E83F5A"/>
    <w:rsid w:val="1119439A"/>
    <w:rsid w:val="11996AE4"/>
    <w:rsid w:val="11B02EE4"/>
    <w:rsid w:val="11EEFB96"/>
    <w:rsid w:val="11F9A26D"/>
    <w:rsid w:val="121A31DB"/>
    <w:rsid w:val="124425BB"/>
    <w:rsid w:val="12523AEC"/>
    <w:rsid w:val="128594C4"/>
    <w:rsid w:val="12998C90"/>
    <w:rsid w:val="129A6D28"/>
    <w:rsid w:val="12C32BA7"/>
    <w:rsid w:val="13345922"/>
    <w:rsid w:val="13501CC2"/>
    <w:rsid w:val="136324CC"/>
    <w:rsid w:val="137DC994"/>
    <w:rsid w:val="138786B5"/>
    <w:rsid w:val="13A6A506"/>
    <w:rsid w:val="13B6B8AE"/>
    <w:rsid w:val="13BA3C01"/>
    <w:rsid w:val="13C4F879"/>
    <w:rsid w:val="13C9A8B4"/>
    <w:rsid w:val="1425D493"/>
    <w:rsid w:val="14BDE61E"/>
    <w:rsid w:val="150C8693"/>
    <w:rsid w:val="15277355"/>
    <w:rsid w:val="15294217"/>
    <w:rsid w:val="152D93FF"/>
    <w:rsid w:val="154B1D0B"/>
    <w:rsid w:val="15687C04"/>
    <w:rsid w:val="157015BB"/>
    <w:rsid w:val="1574EDCB"/>
    <w:rsid w:val="159672F2"/>
    <w:rsid w:val="15A2C44E"/>
    <w:rsid w:val="16240C06"/>
    <w:rsid w:val="16259D50"/>
    <w:rsid w:val="162F3E3C"/>
    <w:rsid w:val="164EE273"/>
    <w:rsid w:val="1651586C"/>
    <w:rsid w:val="16CB3DEF"/>
    <w:rsid w:val="1754B966"/>
    <w:rsid w:val="17C0A168"/>
    <w:rsid w:val="17C8383A"/>
    <w:rsid w:val="17E563B7"/>
    <w:rsid w:val="17F004C5"/>
    <w:rsid w:val="17F82F27"/>
    <w:rsid w:val="17FEE445"/>
    <w:rsid w:val="180A2ED3"/>
    <w:rsid w:val="1836BD54"/>
    <w:rsid w:val="18905550"/>
    <w:rsid w:val="18BCA030"/>
    <w:rsid w:val="18C77AA9"/>
    <w:rsid w:val="19077612"/>
    <w:rsid w:val="192DAED2"/>
    <w:rsid w:val="192E1507"/>
    <w:rsid w:val="196DF6E2"/>
    <w:rsid w:val="197F9668"/>
    <w:rsid w:val="198F73CA"/>
    <w:rsid w:val="1992015D"/>
    <w:rsid w:val="19AD9844"/>
    <w:rsid w:val="19C035DF"/>
    <w:rsid w:val="19EAA697"/>
    <w:rsid w:val="1A02F368"/>
    <w:rsid w:val="1A03688C"/>
    <w:rsid w:val="1A2A9371"/>
    <w:rsid w:val="1A3AC19D"/>
    <w:rsid w:val="1A462A69"/>
    <w:rsid w:val="1A6EE3AA"/>
    <w:rsid w:val="1A7264F8"/>
    <w:rsid w:val="1AE201B7"/>
    <w:rsid w:val="1AE641AA"/>
    <w:rsid w:val="1AF70CD0"/>
    <w:rsid w:val="1B3E0DF2"/>
    <w:rsid w:val="1B43EB14"/>
    <w:rsid w:val="1B584457"/>
    <w:rsid w:val="1B5BF114"/>
    <w:rsid w:val="1B86BBF2"/>
    <w:rsid w:val="1BC06755"/>
    <w:rsid w:val="1BCC6CE4"/>
    <w:rsid w:val="1BEC357A"/>
    <w:rsid w:val="1C0ECC66"/>
    <w:rsid w:val="1C4B7414"/>
    <w:rsid w:val="1C7DD218"/>
    <w:rsid w:val="1C852B18"/>
    <w:rsid w:val="1C940664"/>
    <w:rsid w:val="1CC99D99"/>
    <w:rsid w:val="1D042BA0"/>
    <w:rsid w:val="1D188264"/>
    <w:rsid w:val="1D188388"/>
    <w:rsid w:val="1D3D1319"/>
    <w:rsid w:val="1D4EBB42"/>
    <w:rsid w:val="1D66DB7A"/>
    <w:rsid w:val="1D775574"/>
    <w:rsid w:val="1DB0CA4F"/>
    <w:rsid w:val="1DEC6063"/>
    <w:rsid w:val="1E3AA057"/>
    <w:rsid w:val="1E444471"/>
    <w:rsid w:val="1E48A954"/>
    <w:rsid w:val="1ED60E3F"/>
    <w:rsid w:val="1ED6B4FA"/>
    <w:rsid w:val="1F0C12A8"/>
    <w:rsid w:val="1F0E5940"/>
    <w:rsid w:val="1F379FCE"/>
    <w:rsid w:val="1F50C50C"/>
    <w:rsid w:val="1F71B761"/>
    <w:rsid w:val="1FB75347"/>
    <w:rsid w:val="2002480F"/>
    <w:rsid w:val="2005BD19"/>
    <w:rsid w:val="2013B4DD"/>
    <w:rsid w:val="2036BE99"/>
    <w:rsid w:val="2042927E"/>
    <w:rsid w:val="204B42DE"/>
    <w:rsid w:val="20788563"/>
    <w:rsid w:val="20C36E6E"/>
    <w:rsid w:val="20C895E9"/>
    <w:rsid w:val="20D7710A"/>
    <w:rsid w:val="20E2B807"/>
    <w:rsid w:val="210BEC4B"/>
    <w:rsid w:val="2135DAA5"/>
    <w:rsid w:val="218091DA"/>
    <w:rsid w:val="21921C37"/>
    <w:rsid w:val="21C6A84D"/>
    <w:rsid w:val="21F7220B"/>
    <w:rsid w:val="2220CAB6"/>
    <w:rsid w:val="222ACD4D"/>
    <w:rsid w:val="2237C586"/>
    <w:rsid w:val="22B546BC"/>
    <w:rsid w:val="22C7BFD6"/>
    <w:rsid w:val="2310994C"/>
    <w:rsid w:val="235EEF23"/>
    <w:rsid w:val="23621E9B"/>
    <w:rsid w:val="2366FEA2"/>
    <w:rsid w:val="236C770F"/>
    <w:rsid w:val="23922603"/>
    <w:rsid w:val="23E43303"/>
    <w:rsid w:val="23ED4896"/>
    <w:rsid w:val="246D5C2F"/>
    <w:rsid w:val="2473F2E7"/>
    <w:rsid w:val="24870A9B"/>
    <w:rsid w:val="24959132"/>
    <w:rsid w:val="24E1116E"/>
    <w:rsid w:val="24E5C04F"/>
    <w:rsid w:val="25039426"/>
    <w:rsid w:val="25177BF5"/>
    <w:rsid w:val="252A04E4"/>
    <w:rsid w:val="2550B33A"/>
    <w:rsid w:val="2551F633"/>
    <w:rsid w:val="255B455F"/>
    <w:rsid w:val="2568275F"/>
    <w:rsid w:val="2595505D"/>
    <w:rsid w:val="25A5390B"/>
    <w:rsid w:val="25B09D00"/>
    <w:rsid w:val="25B106EC"/>
    <w:rsid w:val="25B6292A"/>
    <w:rsid w:val="25B9296A"/>
    <w:rsid w:val="26158103"/>
    <w:rsid w:val="263013E1"/>
    <w:rsid w:val="266D25F2"/>
    <w:rsid w:val="26A83823"/>
    <w:rsid w:val="26C088FB"/>
    <w:rsid w:val="26E68662"/>
    <w:rsid w:val="27059A56"/>
    <w:rsid w:val="270C5785"/>
    <w:rsid w:val="270E9891"/>
    <w:rsid w:val="274FD41C"/>
    <w:rsid w:val="27680C16"/>
    <w:rsid w:val="27689E86"/>
    <w:rsid w:val="27BCB0EA"/>
    <w:rsid w:val="27D303FE"/>
    <w:rsid w:val="280A82E3"/>
    <w:rsid w:val="2826DE33"/>
    <w:rsid w:val="2833FA4D"/>
    <w:rsid w:val="285079CC"/>
    <w:rsid w:val="28513C29"/>
    <w:rsid w:val="2864DA48"/>
    <w:rsid w:val="28AC70B8"/>
    <w:rsid w:val="28BE68F7"/>
    <w:rsid w:val="28C5D055"/>
    <w:rsid w:val="28C8B9C3"/>
    <w:rsid w:val="2914C13D"/>
    <w:rsid w:val="291B4FFC"/>
    <w:rsid w:val="293E1AC1"/>
    <w:rsid w:val="2942FBD2"/>
    <w:rsid w:val="295F76A2"/>
    <w:rsid w:val="296B3C05"/>
    <w:rsid w:val="297089DD"/>
    <w:rsid w:val="29AB29D6"/>
    <w:rsid w:val="29B9741E"/>
    <w:rsid w:val="29D5E0B3"/>
    <w:rsid w:val="2A008153"/>
    <w:rsid w:val="2A0E44E8"/>
    <w:rsid w:val="2A152140"/>
    <w:rsid w:val="2A435510"/>
    <w:rsid w:val="2A67E788"/>
    <w:rsid w:val="2A683F63"/>
    <w:rsid w:val="2A7D3D57"/>
    <w:rsid w:val="2A899D0F"/>
    <w:rsid w:val="2A9E2C77"/>
    <w:rsid w:val="2AD1C302"/>
    <w:rsid w:val="2ADC7472"/>
    <w:rsid w:val="2AEC4EDC"/>
    <w:rsid w:val="2AFC754B"/>
    <w:rsid w:val="2B0227FD"/>
    <w:rsid w:val="2B0B1D10"/>
    <w:rsid w:val="2B21A7CE"/>
    <w:rsid w:val="2B389DC5"/>
    <w:rsid w:val="2B44E83E"/>
    <w:rsid w:val="2B54F84E"/>
    <w:rsid w:val="2B83C76E"/>
    <w:rsid w:val="2BAB57D4"/>
    <w:rsid w:val="2BB87027"/>
    <w:rsid w:val="2C067089"/>
    <w:rsid w:val="2C11C75C"/>
    <w:rsid w:val="2C7BEEE4"/>
    <w:rsid w:val="2C881F3D"/>
    <w:rsid w:val="2C951059"/>
    <w:rsid w:val="2CB7D0A2"/>
    <w:rsid w:val="2CC17439"/>
    <w:rsid w:val="2CD5A735"/>
    <w:rsid w:val="2CDB91D0"/>
    <w:rsid w:val="2CF5731B"/>
    <w:rsid w:val="2CFF94B5"/>
    <w:rsid w:val="2D0DB96C"/>
    <w:rsid w:val="2D153E88"/>
    <w:rsid w:val="2D249996"/>
    <w:rsid w:val="2D469465"/>
    <w:rsid w:val="2D517BF4"/>
    <w:rsid w:val="2D5B216F"/>
    <w:rsid w:val="2DA59FBE"/>
    <w:rsid w:val="2DA5CFF6"/>
    <w:rsid w:val="2DC6E527"/>
    <w:rsid w:val="2DF3E2C0"/>
    <w:rsid w:val="2DFB77EE"/>
    <w:rsid w:val="2E103519"/>
    <w:rsid w:val="2E4A8AA7"/>
    <w:rsid w:val="2ED094F2"/>
    <w:rsid w:val="2ED41BCC"/>
    <w:rsid w:val="2EDFB01C"/>
    <w:rsid w:val="2EE5CE1F"/>
    <w:rsid w:val="2EE73214"/>
    <w:rsid w:val="2F1D2287"/>
    <w:rsid w:val="2F35441E"/>
    <w:rsid w:val="2F517E53"/>
    <w:rsid w:val="2F5219F0"/>
    <w:rsid w:val="2F67A1E9"/>
    <w:rsid w:val="2F6B2885"/>
    <w:rsid w:val="2F705C78"/>
    <w:rsid w:val="2FC01F33"/>
    <w:rsid w:val="2FEFF9FB"/>
    <w:rsid w:val="300A05B3"/>
    <w:rsid w:val="301C4E28"/>
    <w:rsid w:val="304DF7AE"/>
    <w:rsid w:val="30762424"/>
    <w:rsid w:val="308342C0"/>
    <w:rsid w:val="30838D61"/>
    <w:rsid w:val="30872548"/>
    <w:rsid w:val="30DEEA10"/>
    <w:rsid w:val="30E0FD77"/>
    <w:rsid w:val="30F6739B"/>
    <w:rsid w:val="312B3B11"/>
    <w:rsid w:val="31401739"/>
    <w:rsid w:val="314DA60A"/>
    <w:rsid w:val="316554EF"/>
    <w:rsid w:val="3181E050"/>
    <w:rsid w:val="31A2119E"/>
    <w:rsid w:val="31A97748"/>
    <w:rsid w:val="31ACDD75"/>
    <w:rsid w:val="31C9BB68"/>
    <w:rsid w:val="31F51CF0"/>
    <w:rsid w:val="3229C4DD"/>
    <w:rsid w:val="3234E8C2"/>
    <w:rsid w:val="32435CB2"/>
    <w:rsid w:val="3264F91F"/>
    <w:rsid w:val="326A93B6"/>
    <w:rsid w:val="326C8F1F"/>
    <w:rsid w:val="32788B3A"/>
    <w:rsid w:val="329CB4EC"/>
    <w:rsid w:val="32ADE3F7"/>
    <w:rsid w:val="32E6797D"/>
    <w:rsid w:val="32F9C180"/>
    <w:rsid w:val="32FB5751"/>
    <w:rsid w:val="3332EBCD"/>
    <w:rsid w:val="3343F9C6"/>
    <w:rsid w:val="33677F4E"/>
    <w:rsid w:val="338E24BF"/>
    <w:rsid w:val="33BF4B9A"/>
    <w:rsid w:val="33C72C17"/>
    <w:rsid w:val="34050147"/>
    <w:rsid w:val="340777A9"/>
    <w:rsid w:val="34473991"/>
    <w:rsid w:val="3489B2A6"/>
    <w:rsid w:val="349D0FAF"/>
    <w:rsid w:val="34D3914E"/>
    <w:rsid w:val="34F9AF4C"/>
    <w:rsid w:val="350F1E07"/>
    <w:rsid w:val="355FA1F1"/>
    <w:rsid w:val="356CE444"/>
    <w:rsid w:val="356E8CDE"/>
    <w:rsid w:val="357273F3"/>
    <w:rsid w:val="357C19D7"/>
    <w:rsid w:val="3592554E"/>
    <w:rsid w:val="35B1C551"/>
    <w:rsid w:val="3600E1C9"/>
    <w:rsid w:val="361FCAEC"/>
    <w:rsid w:val="362FCCAA"/>
    <w:rsid w:val="36652C1C"/>
    <w:rsid w:val="36684090"/>
    <w:rsid w:val="36A43117"/>
    <w:rsid w:val="36DCBA88"/>
    <w:rsid w:val="36E2FA5E"/>
    <w:rsid w:val="36F0E8B0"/>
    <w:rsid w:val="3705B2FE"/>
    <w:rsid w:val="3767A68A"/>
    <w:rsid w:val="378988D9"/>
    <w:rsid w:val="37A180A4"/>
    <w:rsid w:val="37A862A3"/>
    <w:rsid w:val="37A89DDA"/>
    <w:rsid w:val="37C15563"/>
    <w:rsid w:val="37D120FA"/>
    <w:rsid w:val="37F51877"/>
    <w:rsid w:val="37FAF809"/>
    <w:rsid w:val="3801BB69"/>
    <w:rsid w:val="380C8863"/>
    <w:rsid w:val="380D8822"/>
    <w:rsid w:val="3817921C"/>
    <w:rsid w:val="381D589F"/>
    <w:rsid w:val="38259D4F"/>
    <w:rsid w:val="38264B83"/>
    <w:rsid w:val="38506CB8"/>
    <w:rsid w:val="38A577E5"/>
    <w:rsid w:val="38BA1619"/>
    <w:rsid w:val="38D30068"/>
    <w:rsid w:val="3923835A"/>
    <w:rsid w:val="3953C0C1"/>
    <w:rsid w:val="39975A9B"/>
    <w:rsid w:val="39A1F0B7"/>
    <w:rsid w:val="39A39D26"/>
    <w:rsid w:val="39A89132"/>
    <w:rsid w:val="39EC636D"/>
    <w:rsid w:val="3A461295"/>
    <w:rsid w:val="3A530804"/>
    <w:rsid w:val="3AD519C5"/>
    <w:rsid w:val="3ADB16BF"/>
    <w:rsid w:val="3B17937F"/>
    <w:rsid w:val="3B303C5B"/>
    <w:rsid w:val="3B3C8D55"/>
    <w:rsid w:val="3B41D3AE"/>
    <w:rsid w:val="3B64B4CD"/>
    <w:rsid w:val="3B6C655B"/>
    <w:rsid w:val="3B7A58AD"/>
    <w:rsid w:val="3B836225"/>
    <w:rsid w:val="3B8E515B"/>
    <w:rsid w:val="3B92EED4"/>
    <w:rsid w:val="3BE95166"/>
    <w:rsid w:val="3BEC1D7E"/>
    <w:rsid w:val="3BF04449"/>
    <w:rsid w:val="3C1A4A5A"/>
    <w:rsid w:val="3C372272"/>
    <w:rsid w:val="3C8675D6"/>
    <w:rsid w:val="3CA2D3D7"/>
    <w:rsid w:val="3CA392ED"/>
    <w:rsid w:val="3CA970DC"/>
    <w:rsid w:val="3CC0A990"/>
    <w:rsid w:val="3D2B92C5"/>
    <w:rsid w:val="3D31A649"/>
    <w:rsid w:val="3D3641D7"/>
    <w:rsid w:val="3D38B209"/>
    <w:rsid w:val="3D427097"/>
    <w:rsid w:val="3D78D53A"/>
    <w:rsid w:val="3D804922"/>
    <w:rsid w:val="3DD1F538"/>
    <w:rsid w:val="3E14060F"/>
    <w:rsid w:val="3E2AEB35"/>
    <w:rsid w:val="3E486622"/>
    <w:rsid w:val="3E866426"/>
    <w:rsid w:val="3EA62879"/>
    <w:rsid w:val="3F29EC25"/>
    <w:rsid w:val="3F9705BF"/>
    <w:rsid w:val="3FA654AC"/>
    <w:rsid w:val="3FBA5725"/>
    <w:rsid w:val="3FE381EA"/>
    <w:rsid w:val="40183680"/>
    <w:rsid w:val="4022FAD8"/>
    <w:rsid w:val="403581DA"/>
    <w:rsid w:val="4056AF53"/>
    <w:rsid w:val="405AAFA6"/>
    <w:rsid w:val="40886A17"/>
    <w:rsid w:val="408BC800"/>
    <w:rsid w:val="40C7B487"/>
    <w:rsid w:val="40C8B4DC"/>
    <w:rsid w:val="40F2AC53"/>
    <w:rsid w:val="40F82F23"/>
    <w:rsid w:val="41413A94"/>
    <w:rsid w:val="414F81CC"/>
    <w:rsid w:val="418126B5"/>
    <w:rsid w:val="41B1F99B"/>
    <w:rsid w:val="41BB1CBC"/>
    <w:rsid w:val="41C2B1D6"/>
    <w:rsid w:val="41CEBF3B"/>
    <w:rsid w:val="41EF4BCC"/>
    <w:rsid w:val="42033846"/>
    <w:rsid w:val="420C6821"/>
    <w:rsid w:val="421A5519"/>
    <w:rsid w:val="423ADE96"/>
    <w:rsid w:val="423C7456"/>
    <w:rsid w:val="4264F167"/>
    <w:rsid w:val="4272A47F"/>
    <w:rsid w:val="42B13D43"/>
    <w:rsid w:val="42D414FC"/>
    <w:rsid w:val="42D6F748"/>
    <w:rsid w:val="42F4A826"/>
    <w:rsid w:val="42FDB6C9"/>
    <w:rsid w:val="432641EF"/>
    <w:rsid w:val="4327A6DF"/>
    <w:rsid w:val="4331CEA3"/>
    <w:rsid w:val="433B18B3"/>
    <w:rsid w:val="434E0C09"/>
    <w:rsid w:val="435B5DC5"/>
    <w:rsid w:val="43D1871C"/>
    <w:rsid w:val="43DB2D46"/>
    <w:rsid w:val="43F3414B"/>
    <w:rsid w:val="44035A5F"/>
    <w:rsid w:val="4407101A"/>
    <w:rsid w:val="442BEE4D"/>
    <w:rsid w:val="4445644C"/>
    <w:rsid w:val="44670ECC"/>
    <w:rsid w:val="4471DD19"/>
    <w:rsid w:val="44996FD1"/>
    <w:rsid w:val="449A5C9F"/>
    <w:rsid w:val="44C5B77E"/>
    <w:rsid w:val="44DAF5B6"/>
    <w:rsid w:val="44ECED01"/>
    <w:rsid w:val="44EEDCB5"/>
    <w:rsid w:val="451A8AD2"/>
    <w:rsid w:val="451D7C4D"/>
    <w:rsid w:val="45326E33"/>
    <w:rsid w:val="45452A49"/>
    <w:rsid w:val="45990EC4"/>
    <w:rsid w:val="45D377F0"/>
    <w:rsid w:val="45D52E43"/>
    <w:rsid w:val="45F56CA0"/>
    <w:rsid w:val="46055F1A"/>
    <w:rsid w:val="4647F120"/>
    <w:rsid w:val="46511F83"/>
    <w:rsid w:val="4678633B"/>
    <w:rsid w:val="4681B0ED"/>
    <w:rsid w:val="4697A46E"/>
    <w:rsid w:val="46A46665"/>
    <w:rsid w:val="46A57945"/>
    <w:rsid w:val="46C0A306"/>
    <w:rsid w:val="46C6B9C0"/>
    <w:rsid w:val="46DE3D25"/>
    <w:rsid w:val="46EB7357"/>
    <w:rsid w:val="4720C6CD"/>
    <w:rsid w:val="47210BD3"/>
    <w:rsid w:val="475350C9"/>
    <w:rsid w:val="47BA98A1"/>
    <w:rsid w:val="47DD2AFF"/>
    <w:rsid w:val="482A971D"/>
    <w:rsid w:val="485D49BA"/>
    <w:rsid w:val="487835A2"/>
    <w:rsid w:val="48969883"/>
    <w:rsid w:val="48E2F374"/>
    <w:rsid w:val="4902981E"/>
    <w:rsid w:val="493417B5"/>
    <w:rsid w:val="4949D656"/>
    <w:rsid w:val="4968740A"/>
    <w:rsid w:val="496E70DF"/>
    <w:rsid w:val="4982202D"/>
    <w:rsid w:val="49865471"/>
    <w:rsid w:val="49884608"/>
    <w:rsid w:val="4993A042"/>
    <w:rsid w:val="49AA0501"/>
    <w:rsid w:val="49E95475"/>
    <w:rsid w:val="49EF28EE"/>
    <w:rsid w:val="4A438CE4"/>
    <w:rsid w:val="4A43C18C"/>
    <w:rsid w:val="4A4AFE21"/>
    <w:rsid w:val="4A75B538"/>
    <w:rsid w:val="4AC7291B"/>
    <w:rsid w:val="4AC7310B"/>
    <w:rsid w:val="4AE7A5D0"/>
    <w:rsid w:val="4B1DF08E"/>
    <w:rsid w:val="4B4BEB3E"/>
    <w:rsid w:val="4B8867A7"/>
    <w:rsid w:val="4B936220"/>
    <w:rsid w:val="4B960952"/>
    <w:rsid w:val="4B96A838"/>
    <w:rsid w:val="4BC11618"/>
    <w:rsid w:val="4BC1F835"/>
    <w:rsid w:val="4BE72C49"/>
    <w:rsid w:val="4C1F31D6"/>
    <w:rsid w:val="4C5D2327"/>
    <w:rsid w:val="4C5D6469"/>
    <w:rsid w:val="4C80BDA6"/>
    <w:rsid w:val="4C967989"/>
    <w:rsid w:val="4CB7B758"/>
    <w:rsid w:val="4CBBFA00"/>
    <w:rsid w:val="4CC9FAD0"/>
    <w:rsid w:val="4CF20D79"/>
    <w:rsid w:val="4D0DBB27"/>
    <w:rsid w:val="4D0E358E"/>
    <w:rsid w:val="4D42C922"/>
    <w:rsid w:val="4D5205E8"/>
    <w:rsid w:val="4D69CE6B"/>
    <w:rsid w:val="4D986A1E"/>
    <w:rsid w:val="4E2A6D31"/>
    <w:rsid w:val="4E88D9B4"/>
    <w:rsid w:val="4EBE07A0"/>
    <w:rsid w:val="4EE65AAD"/>
    <w:rsid w:val="4F072D6A"/>
    <w:rsid w:val="4F0C4866"/>
    <w:rsid w:val="4F0F7648"/>
    <w:rsid w:val="4F18A00C"/>
    <w:rsid w:val="4F204B7F"/>
    <w:rsid w:val="4F4FEAF5"/>
    <w:rsid w:val="4F5BE9BF"/>
    <w:rsid w:val="4F6F89C6"/>
    <w:rsid w:val="4FB4C0BE"/>
    <w:rsid w:val="4FD8B349"/>
    <w:rsid w:val="50001454"/>
    <w:rsid w:val="5007A829"/>
    <w:rsid w:val="500CB528"/>
    <w:rsid w:val="5048CA0B"/>
    <w:rsid w:val="50809EA8"/>
    <w:rsid w:val="5081995C"/>
    <w:rsid w:val="50B898BF"/>
    <w:rsid w:val="50C13DF7"/>
    <w:rsid w:val="50E4357B"/>
    <w:rsid w:val="50EE0817"/>
    <w:rsid w:val="51031B7C"/>
    <w:rsid w:val="511694BC"/>
    <w:rsid w:val="512B4E51"/>
    <w:rsid w:val="512F4E79"/>
    <w:rsid w:val="51545587"/>
    <w:rsid w:val="517DA1EE"/>
    <w:rsid w:val="519D44CA"/>
    <w:rsid w:val="51C131F5"/>
    <w:rsid w:val="51C5965A"/>
    <w:rsid w:val="51C9A7CE"/>
    <w:rsid w:val="51D88E6D"/>
    <w:rsid w:val="51DD33CE"/>
    <w:rsid w:val="520C5167"/>
    <w:rsid w:val="5232FDBC"/>
    <w:rsid w:val="5238E682"/>
    <w:rsid w:val="524B5C9F"/>
    <w:rsid w:val="52577F5C"/>
    <w:rsid w:val="526B80B2"/>
    <w:rsid w:val="526D08B5"/>
    <w:rsid w:val="52770CF6"/>
    <w:rsid w:val="529CFCF9"/>
    <w:rsid w:val="52AEEA00"/>
    <w:rsid w:val="52B5CCA8"/>
    <w:rsid w:val="52BD418F"/>
    <w:rsid w:val="52C57639"/>
    <w:rsid w:val="530B3026"/>
    <w:rsid w:val="53212A3B"/>
    <w:rsid w:val="53636005"/>
    <w:rsid w:val="53676BA0"/>
    <w:rsid w:val="5373E266"/>
    <w:rsid w:val="53A8F329"/>
    <w:rsid w:val="53D63AE0"/>
    <w:rsid w:val="53FB617A"/>
    <w:rsid w:val="53FBFC77"/>
    <w:rsid w:val="5418901D"/>
    <w:rsid w:val="5431B1E3"/>
    <w:rsid w:val="545A4FD2"/>
    <w:rsid w:val="547150AD"/>
    <w:rsid w:val="548869A3"/>
    <w:rsid w:val="549641BB"/>
    <w:rsid w:val="54A2CD17"/>
    <w:rsid w:val="54A397D3"/>
    <w:rsid w:val="54BB4214"/>
    <w:rsid w:val="54CA42E5"/>
    <w:rsid w:val="54CD9827"/>
    <w:rsid w:val="5511E626"/>
    <w:rsid w:val="551ECED3"/>
    <w:rsid w:val="55388AC1"/>
    <w:rsid w:val="5544E6F8"/>
    <w:rsid w:val="556346D2"/>
    <w:rsid w:val="5576650F"/>
    <w:rsid w:val="55BF98D1"/>
    <w:rsid w:val="55CD3ABD"/>
    <w:rsid w:val="55EE8848"/>
    <w:rsid w:val="55FC5573"/>
    <w:rsid w:val="560E9E77"/>
    <w:rsid w:val="5642D0E8"/>
    <w:rsid w:val="566361AF"/>
    <w:rsid w:val="5682ABAE"/>
    <w:rsid w:val="5684623A"/>
    <w:rsid w:val="569B56B7"/>
    <w:rsid w:val="56CC76B8"/>
    <w:rsid w:val="5733A326"/>
    <w:rsid w:val="57A047FC"/>
    <w:rsid w:val="57B4F32D"/>
    <w:rsid w:val="57B997C5"/>
    <w:rsid w:val="57BD6693"/>
    <w:rsid w:val="57D1D6DE"/>
    <w:rsid w:val="57DEA149"/>
    <w:rsid w:val="57E115E7"/>
    <w:rsid w:val="581B8B1B"/>
    <w:rsid w:val="58408B4F"/>
    <w:rsid w:val="584F8AE5"/>
    <w:rsid w:val="58AB18A6"/>
    <w:rsid w:val="58CA2871"/>
    <w:rsid w:val="58D0BBEA"/>
    <w:rsid w:val="58D7AF5F"/>
    <w:rsid w:val="58DED7F9"/>
    <w:rsid w:val="58F9B928"/>
    <w:rsid w:val="591AEC5B"/>
    <w:rsid w:val="5963DDEB"/>
    <w:rsid w:val="596A12DF"/>
    <w:rsid w:val="596C59D0"/>
    <w:rsid w:val="5980FB15"/>
    <w:rsid w:val="598840D0"/>
    <w:rsid w:val="59B66AFD"/>
    <w:rsid w:val="59CD3EAF"/>
    <w:rsid w:val="59FB2B57"/>
    <w:rsid w:val="5A025BC0"/>
    <w:rsid w:val="5A20040E"/>
    <w:rsid w:val="5A355A1D"/>
    <w:rsid w:val="5A412569"/>
    <w:rsid w:val="5A44E424"/>
    <w:rsid w:val="5A4E393F"/>
    <w:rsid w:val="5A560BCE"/>
    <w:rsid w:val="5A71F315"/>
    <w:rsid w:val="5A7687F4"/>
    <w:rsid w:val="5A83C413"/>
    <w:rsid w:val="5A8A885F"/>
    <w:rsid w:val="5A92960C"/>
    <w:rsid w:val="5A9CA46D"/>
    <w:rsid w:val="5AA762D6"/>
    <w:rsid w:val="5AAA619E"/>
    <w:rsid w:val="5AABD7B1"/>
    <w:rsid w:val="5AB24715"/>
    <w:rsid w:val="5AC38BF8"/>
    <w:rsid w:val="5AC82D71"/>
    <w:rsid w:val="5ADF7569"/>
    <w:rsid w:val="5B03A212"/>
    <w:rsid w:val="5B045A6F"/>
    <w:rsid w:val="5B0532A9"/>
    <w:rsid w:val="5B1E94FB"/>
    <w:rsid w:val="5B3A2B91"/>
    <w:rsid w:val="5B481F05"/>
    <w:rsid w:val="5B4ED160"/>
    <w:rsid w:val="5B5A0A0A"/>
    <w:rsid w:val="5B8006A4"/>
    <w:rsid w:val="5B813EE9"/>
    <w:rsid w:val="5BC20AFD"/>
    <w:rsid w:val="5BC60A5E"/>
    <w:rsid w:val="5C03F9DB"/>
    <w:rsid w:val="5C0CEB42"/>
    <w:rsid w:val="5C52E985"/>
    <w:rsid w:val="5C638C3C"/>
    <w:rsid w:val="5C9C23C8"/>
    <w:rsid w:val="5CACCAD8"/>
    <w:rsid w:val="5CB747CA"/>
    <w:rsid w:val="5D098EF1"/>
    <w:rsid w:val="5D4FFD25"/>
    <w:rsid w:val="5D76923E"/>
    <w:rsid w:val="5D78C62B"/>
    <w:rsid w:val="5D7E4567"/>
    <w:rsid w:val="5DCDF27B"/>
    <w:rsid w:val="5DDF000C"/>
    <w:rsid w:val="5E2A4DCF"/>
    <w:rsid w:val="5E4EA323"/>
    <w:rsid w:val="5E52789A"/>
    <w:rsid w:val="5E592DB0"/>
    <w:rsid w:val="5E84678D"/>
    <w:rsid w:val="5E8E9E38"/>
    <w:rsid w:val="5E9CDA54"/>
    <w:rsid w:val="5EC49283"/>
    <w:rsid w:val="5EE3AB27"/>
    <w:rsid w:val="5EEC5A4A"/>
    <w:rsid w:val="5EFC9F56"/>
    <w:rsid w:val="5F12D722"/>
    <w:rsid w:val="5F369391"/>
    <w:rsid w:val="5F39C199"/>
    <w:rsid w:val="5F418042"/>
    <w:rsid w:val="5F6FF6FF"/>
    <w:rsid w:val="5F712C6A"/>
    <w:rsid w:val="5F985E29"/>
    <w:rsid w:val="5FA2EF20"/>
    <w:rsid w:val="5FCF8EC1"/>
    <w:rsid w:val="5FE83F6A"/>
    <w:rsid w:val="5FED8698"/>
    <w:rsid w:val="60211480"/>
    <w:rsid w:val="606054E8"/>
    <w:rsid w:val="609C8802"/>
    <w:rsid w:val="60B1BB0B"/>
    <w:rsid w:val="60B9B144"/>
    <w:rsid w:val="60BBB0B2"/>
    <w:rsid w:val="60D3FA40"/>
    <w:rsid w:val="61104EE1"/>
    <w:rsid w:val="613FD62A"/>
    <w:rsid w:val="61696851"/>
    <w:rsid w:val="6172866B"/>
    <w:rsid w:val="618B31B3"/>
    <w:rsid w:val="61A0CFE1"/>
    <w:rsid w:val="61AE33FD"/>
    <w:rsid w:val="61FC2549"/>
    <w:rsid w:val="620101B5"/>
    <w:rsid w:val="627E91A5"/>
    <w:rsid w:val="6296F157"/>
    <w:rsid w:val="62A089CF"/>
    <w:rsid w:val="62CC099B"/>
    <w:rsid w:val="62ED1BC9"/>
    <w:rsid w:val="62F74326"/>
    <w:rsid w:val="630C81E7"/>
    <w:rsid w:val="6329B48A"/>
    <w:rsid w:val="632B66BF"/>
    <w:rsid w:val="63D404C9"/>
    <w:rsid w:val="63DF5704"/>
    <w:rsid w:val="6415CEA8"/>
    <w:rsid w:val="641C7905"/>
    <w:rsid w:val="64453DD4"/>
    <w:rsid w:val="644BF30E"/>
    <w:rsid w:val="64664E91"/>
    <w:rsid w:val="64B0117F"/>
    <w:rsid w:val="64B3580C"/>
    <w:rsid w:val="64B49D81"/>
    <w:rsid w:val="64D61820"/>
    <w:rsid w:val="6501C5AA"/>
    <w:rsid w:val="650327FB"/>
    <w:rsid w:val="650B4D8B"/>
    <w:rsid w:val="65269D5D"/>
    <w:rsid w:val="6534A809"/>
    <w:rsid w:val="65510407"/>
    <w:rsid w:val="6552D226"/>
    <w:rsid w:val="655543D4"/>
    <w:rsid w:val="6593470B"/>
    <w:rsid w:val="65A734AE"/>
    <w:rsid w:val="65B60015"/>
    <w:rsid w:val="65B942CD"/>
    <w:rsid w:val="65C0435C"/>
    <w:rsid w:val="65D1B10D"/>
    <w:rsid w:val="65F5BAA0"/>
    <w:rsid w:val="662E48DE"/>
    <w:rsid w:val="664D182C"/>
    <w:rsid w:val="664F286D"/>
    <w:rsid w:val="6690FEA7"/>
    <w:rsid w:val="66A3B33F"/>
    <w:rsid w:val="66A81429"/>
    <w:rsid w:val="66B32AA3"/>
    <w:rsid w:val="66ECD468"/>
    <w:rsid w:val="66F768EF"/>
    <w:rsid w:val="6705AF36"/>
    <w:rsid w:val="672A7C3C"/>
    <w:rsid w:val="6761D17F"/>
    <w:rsid w:val="678D87CF"/>
    <w:rsid w:val="67AA9D06"/>
    <w:rsid w:val="67E5EC9C"/>
    <w:rsid w:val="6804D371"/>
    <w:rsid w:val="68277819"/>
    <w:rsid w:val="689D3287"/>
    <w:rsid w:val="690DD160"/>
    <w:rsid w:val="690E896D"/>
    <w:rsid w:val="69164CFB"/>
    <w:rsid w:val="692E7457"/>
    <w:rsid w:val="69B3B6E8"/>
    <w:rsid w:val="69DC5D68"/>
    <w:rsid w:val="69E1961C"/>
    <w:rsid w:val="69EABA20"/>
    <w:rsid w:val="6A00FEC2"/>
    <w:rsid w:val="6A1F1751"/>
    <w:rsid w:val="6A2E601E"/>
    <w:rsid w:val="6A380E8A"/>
    <w:rsid w:val="6A3D16E1"/>
    <w:rsid w:val="6A606F46"/>
    <w:rsid w:val="6A8B02AB"/>
    <w:rsid w:val="6AA0CBF2"/>
    <w:rsid w:val="6AFD47DC"/>
    <w:rsid w:val="6B26BE71"/>
    <w:rsid w:val="6B363AC4"/>
    <w:rsid w:val="6BC22450"/>
    <w:rsid w:val="6BCAD128"/>
    <w:rsid w:val="6BD57B44"/>
    <w:rsid w:val="6BDB7B18"/>
    <w:rsid w:val="6C122FBD"/>
    <w:rsid w:val="6C2F1B82"/>
    <w:rsid w:val="6C690215"/>
    <w:rsid w:val="6C97FFD4"/>
    <w:rsid w:val="6CC250FA"/>
    <w:rsid w:val="6CFBB4F4"/>
    <w:rsid w:val="6D12195D"/>
    <w:rsid w:val="6D147C2A"/>
    <w:rsid w:val="6D2A14AA"/>
    <w:rsid w:val="6D4559C2"/>
    <w:rsid w:val="6D5DF920"/>
    <w:rsid w:val="6D95BEB5"/>
    <w:rsid w:val="6D9987F6"/>
    <w:rsid w:val="6DB244F7"/>
    <w:rsid w:val="6DB83CE0"/>
    <w:rsid w:val="6DD9DD9D"/>
    <w:rsid w:val="6E177C5A"/>
    <w:rsid w:val="6E9DAA38"/>
    <w:rsid w:val="6EA0782E"/>
    <w:rsid w:val="6EA6A29E"/>
    <w:rsid w:val="6EA9C9A3"/>
    <w:rsid w:val="6EB471B1"/>
    <w:rsid w:val="6ED3B7E7"/>
    <w:rsid w:val="6EF3FE92"/>
    <w:rsid w:val="6F00EAC4"/>
    <w:rsid w:val="6F02BF9A"/>
    <w:rsid w:val="6F167188"/>
    <w:rsid w:val="6F203A11"/>
    <w:rsid w:val="6F7C64C7"/>
    <w:rsid w:val="6FB05F5A"/>
    <w:rsid w:val="6FC64B42"/>
    <w:rsid w:val="6FC72743"/>
    <w:rsid w:val="70004350"/>
    <w:rsid w:val="700C3445"/>
    <w:rsid w:val="701A8A51"/>
    <w:rsid w:val="70211826"/>
    <w:rsid w:val="70237D95"/>
    <w:rsid w:val="70711CA5"/>
    <w:rsid w:val="709DD88D"/>
    <w:rsid w:val="70C3C830"/>
    <w:rsid w:val="70D4A9BE"/>
    <w:rsid w:val="70FA3561"/>
    <w:rsid w:val="711DF120"/>
    <w:rsid w:val="7159FA98"/>
    <w:rsid w:val="71663BA7"/>
    <w:rsid w:val="7182767A"/>
    <w:rsid w:val="719A0DAF"/>
    <w:rsid w:val="71C296BC"/>
    <w:rsid w:val="71D00581"/>
    <w:rsid w:val="71F168C0"/>
    <w:rsid w:val="720E7227"/>
    <w:rsid w:val="72670F9B"/>
    <w:rsid w:val="7277EA7A"/>
    <w:rsid w:val="72AF0C34"/>
    <w:rsid w:val="72B299DE"/>
    <w:rsid w:val="72CAB0EF"/>
    <w:rsid w:val="72CB41DA"/>
    <w:rsid w:val="72D21674"/>
    <w:rsid w:val="7317CF2B"/>
    <w:rsid w:val="732BD49A"/>
    <w:rsid w:val="733D42DC"/>
    <w:rsid w:val="735F43E0"/>
    <w:rsid w:val="7367547E"/>
    <w:rsid w:val="736F5005"/>
    <w:rsid w:val="73B9785C"/>
    <w:rsid w:val="73C1046F"/>
    <w:rsid w:val="73D884EA"/>
    <w:rsid w:val="73F995E1"/>
    <w:rsid w:val="740507C2"/>
    <w:rsid w:val="743B4028"/>
    <w:rsid w:val="744985F4"/>
    <w:rsid w:val="744A00C6"/>
    <w:rsid w:val="744E2154"/>
    <w:rsid w:val="744E59D5"/>
    <w:rsid w:val="747EF63C"/>
    <w:rsid w:val="749053D4"/>
    <w:rsid w:val="749BE21C"/>
    <w:rsid w:val="749D4AAD"/>
    <w:rsid w:val="74A11FA1"/>
    <w:rsid w:val="74B8B17C"/>
    <w:rsid w:val="74C143B4"/>
    <w:rsid w:val="74C89BAC"/>
    <w:rsid w:val="74CA3AF4"/>
    <w:rsid w:val="74E39149"/>
    <w:rsid w:val="74EAE46B"/>
    <w:rsid w:val="7526EA07"/>
    <w:rsid w:val="7577CC20"/>
    <w:rsid w:val="757FBC03"/>
    <w:rsid w:val="7598E4BA"/>
    <w:rsid w:val="75A8F7E8"/>
    <w:rsid w:val="75C1B539"/>
    <w:rsid w:val="75F84F90"/>
    <w:rsid w:val="76020AAD"/>
    <w:rsid w:val="762D120C"/>
    <w:rsid w:val="7632BEB5"/>
    <w:rsid w:val="763C53AB"/>
    <w:rsid w:val="76566764"/>
    <w:rsid w:val="76872F3F"/>
    <w:rsid w:val="768766C4"/>
    <w:rsid w:val="76A10E2C"/>
    <w:rsid w:val="76A2525B"/>
    <w:rsid w:val="76ACFB3F"/>
    <w:rsid w:val="76CA69D4"/>
    <w:rsid w:val="76F68C66"/>
    <w:rsid w:val="76FFBF87"/>
    <w:rsid w:val="7702C9C5"/>
    <w:rsid w:val="772F930F"/>
    <w:rsid w:val="773A14F1"/>
    <w:rsid w:val="774A4A5D"/>
    <w:rsid w:val="77596309"/>
    <w:rsid w:val="7767D519"/>
    <w:rsid w:val="77AEC55A"/>
    <w:rsid w:val="77BEE0CF"/>
    <w:rsid w:val="77C59661"/>
    <w:rsid w:val="77F7FEDD"/>
    <w:rsid w:val="77FC6D1F"/>
    <w:rsid w:val="78393CEC"/>
    <w:rsid w:val="78430CC5"/>
    <w:rsid w:val="7864A56B"/>
    <w:rsid w:val="787CD923"/>
    <w:rsid w:val="787D828E"/>
    <w:rsid w:val="788F8F16"/>
    <w:rsid w:val="78906686"/>
    <w:rsid w:val="78CDA5FF"/>
    <w:rsid w:val="78FA22F7"/>
    <w:rsid w:val="78FCF8BF"/>
    <w:rsid w:val="78FDA3C8"/>
    <w:rsid w:val="795523DE"/>
    <w:rsid w:val="7964A6D2"/>
    <w:rsid w:val="796F2BC5"/>
    <w:rsid w:val="7971CBC7"/>
    <w:rsid w:val="7999383D"/>
    <w:rsid w:val="79BD4BAF"/>
    <w:rsid w:val="79E40EEC"/>
    <w:rsid w:val="79EB8811"/>
    <w:rsid w:val="7A00C63F"/>
    <w:rsid w:val="7A14B719"/>
    <w:rsid w:val="7A162929"/>
    <w:rsid w:val="7A39E4D2"/>
    <w:rsid w:val="7A3B4EF5"/>
    <w:rsid w:val="7A7B6E71"/>
    <w:rsid w:val="7A80A448"/>
    <w:rsid w:val="7A95F358"/>
    <w:rsid w:val="7A9B6E24"/>
    <w:rsid w:val="7AAF9907"/>
    <w:rsid w:val="7AB80EC6"/>
    <w:rsid w:val="7ABA31F6"/>
    <w:rsid w:val="7ABD6987"/>
    <w:rsid w:val="7AC3ACE6"/>
    <w:rsid w:val="7B007733"/>
    <w:rsid w:val="7B088062"/>
    <w:rsid w:val="7B2041BF"/>
    <w:rsid w:val="7B5A5AD3"/>
    <w:rsid w:val="7B5A7A4E"/>
    <w:rsid w:val="7B609F2E"/>
    <w:rsid w:val="7B65CD3E"/>
    <w:rsid w:val="7B74A13B"/>
    <w:rsid w:val="7B7D7904"/>
    <w:rsid w:val="7B8CB66C"/>
    <w:rsid w:val="7B98A42B"/>
    <w:rsid w:val="7B9AF334"/>
    <w:rsid w:val="7BB27EB8"/>
    <w:rsid w:val="7BB7FD82"/>
    <w:rsid w:val="7BCAF6F4"/>
    <w:rsid w:val="7BD518C0"/>
    <w:rsid w:val="7BEE1468"/>
    <w:rsid w:val="7C4A814E"/>
    <w:rsid w:val="7C6A7117"/>
    <w:rsid w:val="7C6B29B3"/>
    <w:rsid w:val="7CC9B236"/>
    <w:rsid w:val="7CCF3B31"/>
    <w:rsid w:val="7CCFD6DA"/>
    <w:rsid w:val="7CDB3868"/>
    <w:rsid w:val="7CFF5A68"/>
    <w:rsid w:val="7D0F6CED"/>
    <w:rsid w:val="7D1E11F3"/>
    <w:rsid w:val="7D25F52C"/>
    <w:rsid w:val="7D46DE9E"/>
    <w:rsid w:val="7D4A83EB"/>
    <w:rsid w:val="7D89075D"/>
    <w:rsid w:val="7DC98DE6"/>
    <w:rsid w:val="7DD0FB12"/>
    <w:rsid w:val="7DE7B605"/>
    <w:rsid w:val="7DEA5CCC"/>
    <w:rsid w:val="7DFDD4AA"/>
    <w:rsid w:val="7E0AF0F0"/>
    <w:rsid w:val="7E179A85"/>
    <w:rsid w:val="7E2EF0EF"/>
    <w:rsid w:val="7E317990"/>
    <w:rsid w:val="7E67A393"/>
    <w:rsid w:val="7E7D8F0E"/>
    <w:rsid w:val="7E82E663"/>
    <w:rsid w:val="7EB3A910"/>
    <w:rsid w:val="7EDE8AED"/>
    <w:rsid w:val="7EE340FD"/>
    <w:rsid w:val="7EF41EEC"/>
    <w:rsid w:val="7F2485D5"/>
    <w:rsid w:val="7F4372E6"/>
    <w:rsid w:val="7F85EFED"/>
    <w:rsid w:val="7F9F9A64"/>
    <w:rsid w:val="7FC56006"/>
    <w:rsid w:val="7FCBDDF2"/>
    <w:rsid w:val="7FDA0298"/>
    <w:rsid w:val="7FF02C2B"/>
    <w:rsid w:val="7FFAF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609304"/>
  <w15:docId w15:val="{E620B703-19E7-482D-A972-834A87B2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B03E74"/>
    <w:pPr>
      <w:numPr>
        <w:numId w:val="1"/>
      </w:numPr>
      <w:contextualSpacing/>
    </w:pPr>
  </w:style>
  <w:style w:type="paragraph" w:styleId="ListBullet2">
    <w:name w:val="List Bullet 2"/>
    <w:basedOn w:val="Normal"/>
    <w:uiPriority w:val="99"/>
    <w:semiHidden/>
    <w:unhideWhenUsed/>
    <w:rsid w:val="00B03E74"/>
    <w:pPr>
      <w:numPr>
        <w:numId w:val="2"/>
      </w:numPr>
      <w:contextualSpacing/>
    </w:pPr>
  </w:style>
  <w:style w:type="paragraph" w:styleId="ListBullet3">
    <w:name w:val="List Bullet 3"/>
    <w:basedOn w:val="Normal"/>
    <w:uiPriority w:val="99"/>
    <w:semiHidden/>
    <w:unhideWhenUsed/>
    <w:rsid w:val="00B03E74"/>
    <w:pPr>
      <w:numPr>
        <w:numId w:val="3"/>
      </w:numPr>
      <w:contextualSpacing/>
    </w:pPr>
  </w:style>
  <w:style w:type="paragraph" w:styleId="ListBullet4">
    <w:name w:val="List Bullet 4"/>
    <w:basedOn w:val="Normal"/>
    <w:uiPriority w:val="99"/>
    <w:semiHidden/>
    <w:unhideWhenUsed/>
    <w:rsid w:val="00B03E74"/>
    <w:pPr>
      <w:numPr>
        <w:numId w:val="4"/>
      </w:numPr>
      <w:contextualSpacing/>
    </w:pPr>
  </w:style>
  <w:style w:type="paragraph" w:styleId="ListParagraph">
    <w:name w:val="List Paragraph"/>
    <w:basedOn w:val="Normal"/>
    <w:uiPriority w:val="34"/>
    <w:qFormat/>
    <w:rsid w:val="00B03E74"/>
    <w:pPr>
      <w:ind w:left="720"/>
      <w:contextualSpacing/>
    </w:pPr>
  </w:style>
  <w:style w:type="paragraph" w:customStyle="1" w:styleId="li">
    <w:name w:val="li"/>
    <w:basedOn w:val="Normal"/>
    <w:rsid w:val="00233348"/>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233348"/>
  </w:style>
  <w:style w:type="character" w:styleId="Hyperlink">
    <w:name w:val="Hyperlink"/>
    <w:basedOn w:val="DefaultParagraphFont"/>
    <w:uiPriority w:val="99"/>
    <w:unhideWhenUsed/>
    <w:rsid w:val="00D77CFF"/>
    <w:rPr>
      <w:color w:val="0000FF" w:themeColor="hyperlink"/>
      <w:u w:val="single"/>
    </w:rPr>
  </w:style>
  <w:style w:type="character" w:styleId="CommentReference">
    <w:name w:val="annotation reference"/>
    <w:basedOn w:val="DefaultParagraphFont"/>
    <w:uiPriority w:val="99"/>
    <w:semiHidden/>
    <w:unhideWhenUsed/>
    <w:rsid w:val="00C109D4"/>
    <w:rPr>
      <w:sz w:val="16"/>
      <w:szCs w:val="16"/>
    </w:rPr>
  </w:style>
  <w:style w:type="paragraph" w:styleId="CommentText">
    <w:name w:val="annotation text"/>
    <w:basedOn w:val="Normal"/>
    <w:link w:val="CommentTextChar"/>
    <w:uiPriority w:val="99"/>
    <w:unhideWhenUsed/>
    <w:rsid w:val="00C109D4"/>
    <w:rPr>
      <w:sz w:val="20"/>
      <w:szCs w:val="20"/>
    </w:rPr>
  </w:style>
  <w:style w:type="character" w:customStyle="1" w:styleId="CommentTextChar">
    <w:name w:val="Comment Text Char"/>
    <w:basedOn w:val="DefaultParagraphFont"/>
    <w:link w:val="CommentText"/>
    <w:uiPriority w:val="99"/>
    <w:rsid w:val="00C109D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109D4"/>
    <w:rPr>
      <w:b/>
      <w:bCs/>
    </w:rPr>
  </w:style>
  <w:style w:type="character" w:customStyle="1" w:styleId="CommentSubjectChar">
    <w:name w:val="Comment Subject Char"/>
    <w:basedOn w:val="CommentTextChar"/>
    <w:link w:val="CommentSubject"/>
    <w:uiPriority w:val="99"/>
    <w:semiHidden/>
    <w:rsid w:val="00C109D4"/>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109D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D4"/>
    <w:rPr>
      <w:rFonts w:ascii="Segoe UI" w:hAnsi="Segoe UI" w:cs="Segoe UI"/>
      <w:sz w:val="18"/>
      <w:szCs w:val="18"/>
      <w:lang w:val="en-GB"/>
    </w:rPr>
  </w:style>
  <w:style w:type="paragraph" w:styleId="Revision">
    <w:name w:val="Revision"/>
    <w:hidden/>
    <w:uiPriority w:val="99"/>
    <w:semiHidden/>
    <w:rsid w:val="001B7062"/>
    <w:pPr>
      <w:spacing w:after="0" w:line="240" w:lineRule="auto"/>
    </w:pPr>
    <w:rPr>
      <w:rFonts w:ascii="Times New Roman" w:hAnsi="Times New Roman" w:cs="Times New Roman"/>
      <w:sz w:val="24"/>
      <w:lang w:val="en-GB"/>
    </w:rPr>
  </w:style>
  <w:style w:type="character" w:customStyle="1" w:styleId="None">
    <w:name w:val="None"/>
    <w:rsid w:val="00E55EAC"/>
  </w:style>
  <w:style w:type="character" w:styleId="FollowedHyperlink">
    <w:name w:val="FollowedHyperlink"/>
    <w:basedOn w:val="DefaultParagraphFont"/>
    <w:uiPriority w:val="99"/>
    <w:semiHidden/>
    <w:unhideWhenUsed/>
    <w:rsid w:val="00C92D13"/>
    <w:rPr>
      <w:color w:val="800080" w:themeColor="followedHyperlink"/>
      <w:u w:val="single"/>
    </w:rPr>
  </w:style>
  <w:style w:type="character" w:customStyle="1" w:styleId="markedcontent">
    <w:name w:val="markedcontent"/>
    <w:basedOn w:val="DefaultParagraphFont"/>
    <w:rsid w:val="00315A18"/>
  </w:style>
  <w:style w:type="character" w:customStyle="1" w:styleId="highlight">
    <w:name w:val="highlight"/>
    <w:basedOn w:val="DefaultParagraphFont"/>
    <w:rsid w:val="009E6592"/>
  </w:style>
  <w:style w:type="character" w:styleId="Strong">
    <w:name w:val="Strong"/>
    <w:basedOn w:val="DefaultParagraphFont"/>
    <w:uiPriority w:val="22"/>
    <w:qFormat/>
    <w:rsid w:val="006B1C6E"/>
    <w:rPr>
      <w:b/>
      <w:bCs/>
    </w:rPr>
  </w:style>
  <w:style w:type="paragraph" w:customStyle="1" w:styleId="Normal1">
    <w:name w:val="Normal1"/>
    <w:basedOn w:val="Normal"/>
    <w:rsid w:val="00D21F72"/>
    <w:pPr>
      <w:spacing w:before="100" w:beforeAutospacing="1" w:after="100" w:afterAutospacing="1"/>
      <w:jc w:val="left"/>
    </w:pPr>
    <w:rPr>
      <w:rFonts w:eastAsia="Times New Roman"/>
      <w:szCs w:val="24"/>
      <w:lang w:eastAsia="en-GB"/>
    </w:rPr>
  </w:style>
  <w:style w:type="paragraph" w:customStyle="1" w:styleId="FootnoteESPN">
    <w:name w:val="Footnote ESPN"/>
    <w:basedOn w:val="Normal"/>
    <w:qFormat/>
    <w:rsid w:val="00037557"/>
    <w:pPr>
      <w:suppressAutoHyphens/>
      <w:autoSpaceDN w:val="0"/>
      <w:spacing w:line="276" w:lineRule="auto"/>
      <w:contextualSpacing/>
      <w:jc w:val="left"/>
      <w:textAlignment w:val="baseline"/>
    </w:pPr>
    <w:rPr>
      <w:rFonts w:eastAsia="Calibri"/>
      <w:bCs/>
      <w:sz w:val="18"/>
      <w:szCs w:val="18"/>
      <w:lang w:val="en-IE"/>
    </w:rPr>
  </w:style>
  <w:style w:type="paragraph" w:customStyle="1" w:styleId="paragraph">
    <w:name w:val="paragraph"/>
    <w:basedOn w:val="Normal"/>
    <w:rsid w:val="00176F5D"/>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176F5D"/>
  </w:style>
  <w:style w:type="character" w:customStyle="1" w:styleId="superscript">
    <w:name w:val="superscript"/>
    <w:basedOn w:val="DefaultParagraphFont"/>
    <w:rsid w:val="00176F5D"/>
  </w:style>
  <w:style w:type="character" w:customStyle="1" w:styleId="eop">
    <w:name w:val="eop"/>
    <w:basedOn w:val="DefaultParagraphFont"/>
    <w:rsid w:val="00176F5D"/>
  </w:style>
  <w:style w:type="paragraph" w:styleId="Caption">
    <w:name w:val="caption"/>
    <w:basedOn w:val="Normal"/>
    <w:next w:val="Normal"/>
    <w:uiPriority w:val="35"/>
    <w:semiHidden/>
    <w:unhideWhenUsed/>
    <w:qFormat/>
    <w:rsid w:val="005460C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460C2"/>
    <w:pPr>
      <w:spacing w:after="0"/>
    </w:pPr>
  </w:style>
  <w:style w:type="paragraph" w:styleId="ListNumber">
    <w:name w:val="List Number"/>
    <w:basedOn w:val="Normal"/>
    <w:uiPriority w:val="99"/>
    <w:semiHidden/>
    <w:unhideWhenUsed/>
    <w:rsid w:val="005460C2"/>
    <w:pPr>
      <w:numPr>
        <w:numId w:val="18"/>
      </w:numPr>
      <w:contextualSpacing/>
    </w:pPr>
  </w:style>
  <w:style w:type="paragraph" w:styleId="ListNumber2">
    <w:name w:val="List Number 2"/>
    <w:basedOn w:val="Normal"/>
    <w:uiPriority w:val="99"/>
    <w:semiHidden/>
    <w:unhideWhenUsed/>
    <w:rsid w:val="005460C2"/>
    <w:pPr>
      <w:numPr>
        <w:numId w:val="19"/>
      </w:numPr>
      <w:contextualSpacing/>
    </w:pPr>
  </w:style>
  <w:style w:type="paragraph" w:styleId="ListNumber3">
    <w:name w:val="List Number 3"/>
    <w:basedOn w:val="Normal"/>
    <w:uiPriority w:val="99"/>
    <w:semiHidden/>
    <w:unhideWhenUsed/>
    <w:rsid w:val="005460C2"/>
    <w:pPr>
      <w:numPr>
        <w:numId w:val="20"/>
      </w:numPr>
      <w:contextualSpacing/>
    </w:pPr>
  </w:style>
  <w:style w:type="paragraph" w:styleId="ListNumber4">
    <w:name w:val="List Number 4"/>
    <w:basedOn w:val="Normal"/>
    <w:uiPriority w:val="99"/>
    <w:semiHidden/>
    <w:unhideWhenUsed/>
    <w:rsid w:val="005460C2"/>
    <w:pPr>
      <w:numPr>
        <w:numId w:val="21"/>
      </w:numPr>
      <w:contextualSpacing/>
    </w:pPr>
  </w:style>
  <w:style w:type="paragraph" w:customStyle="1" w:styleId="FootnoteReferneceCarcter">
    <w:name w:val="Footnote Refernece Carácter"/>
    <w:aliases w:val="ftref Carácter,4_G Carácter"/>
    <w:basedOn w:val="Normal"/>
    <w:uiPriority w:val="99"/>
    <w:rsid w:val="0000673B"/>
    <w:pPr>
      <w:spacing w:after="160" w:line="240" w:lineRule="exact"/>
    </w:pPr>
    <w:rPr>
      <w:rFonts w:asciiTheme="minorHAnsi" w:hAnsiTheme="minorHAnsi" w:cstheme="minorBidi"/>
      <w:sz w:val="22"/>
      <w:vertAlign w:val="superscript"/>
      <w:lang w:val="en-US"/>
    </w:rPr>
  </w:style>
  <w:style w:type="paragraph" w:styleId="Header">
    <w:name w:val="header"/>
    <w:basedOn w:val="Normal"/>
    <w:link w:val="HeaderChar"/>
    <w:uiPriority w:val="99"/>
    <w:unhideWhenUsed/>
    <w:rsid w:val="003E271A"/>
    <w:pPr>
      <w:tabs>
        <w:tab w:val="center" w:pos="4535"/>
        <w:tab w:val="right" w:pos="9071"/>
      </w:tabs>
      <w:spacing w:before="0"/>
    </w:pPr>
  </w:style>
  <w:style w:type="character" w:customStyle="1" w:styleId="HeaderChar">
    <w:name w:val="Header Char"/>
    <w:basedOn w:val="DefaultParagraphFont"/>
    <w:link w:val="Header"/>
    <w:uiPriority w:val="99"/>
    <w:rsid w:val="003E271A"/>
    <w:rPr>
      <w:rFonts w:ascii="Times New Roman" w:hAnsi="Times New Roman" w:cs="Times New Roman"/>
      <w:sz w:val="24"/>
      <w:lang w:val="en-GB"/>
    </w:rPr>
  </w:style>
  <w:style w:type="paragraph" w:styleId="Footer">
    <w:name w:val="footer"/>
    <w:basedOn w:val="Normal"/>
    <w:link w:val="FooterChar"/>
    <w:uiPriority w:val="99"/>
    <w:unhideWhenUsed/>
    <w:rsid w:val="003E271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E271A"/>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3E271A"/>
    <w:pPr>
      <w:tabs>
        <w:tab w:val="center" w:pos="7285"/>
        <w:tab w:val="right" w:pos="14003"/>
      </w:tabs>
      <w:spacing w:before="0"/>
    </w:pPr>
  </w:style>
  <w:style w:type="paragraph" w:customStyle="1" w:styleId="FooterLandscape">
    <w:name w:val="FooterLandscape"/>
    <w:basedOn w:val="Normal"/>
    <w:rsid w:val="003E271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3E271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E271A"/>
    <w:pPr>
      <w:spacing w:before="0"/>
      <w:jc w:val="right"/>
    </w:pPr>
    <w:rPr>
      <w:sz w:val="28"/>
    </w:rPr>
  </w:style>
  <w:style w:type="paragraph" w:customStyle="1" w:styleId="FooterSensitivity">
    <w:name w:val="Footer Sensitivity"/>
    <w:basedOn w:val="Normal"/>
    <w:rsid w:val="003E271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4"/>
      </w:numPr>
    </w:pPr>
  </w:style>
  <w:style w:type="paragraph" w:customStyle="1" w:styleId="Tiret1">
    <w:name w:val="Tiret 1"/>
    <w:basedOn w:val="Point1"/>
    <w:rsid w:val="00517205"/>
    <w:pPr>
      <w:numPr>
        <w:numId w:val="25"/>
      </w:numPr>
    </w:pPr>
  </w:style>
  <w:style w:type="paragraph" w:customStyle="1" w:styleId="Tiret2">
    <w:name w:val="Tiret 2"/>
    <w:basedOn w:val="Point2"/>
    <w:rsid w:val="00517205"/>
    <w:pPr>
      <w:numPr>
        <w:numId w:val="26"/>
      </w:numPr>
    </w:pPr>
  </w:style>
  <w:style w:type="paragraph" w:customStyle="1" w:styleId="Tiret3">
    <w:name w:val="Tiret 3"/>
    <w:basedOn w:val="Point3"/>
    <w:rsid w:val="00517205"/>
    <w:pPr>
      <w:numPr>
        <w:numId w:val="27"/>
      </w:numPr>
    </w:pPr>
  </w:style>
  <w:style w:type="paragraph" w:customStyle="1" w:styleId="Tiret4">
    <w:name w:val="Tiret 4"/>
    <w:basedOn w:val="Point4"/>
    <w:rsid w:val="00517205"/>
    <w:pPr>
      <w:numPr>
        <w:numId w:val="28"/>
      </w:numPr>
    </w:pPr>
  </w:style>
  <w:style w:type="paragraph" w:customStyle="1" w:styleId="Tiret5">
    <w:name w:val="Tiret 5"/>
    <w:basedOn w:val="Point5"/>
    <w:rsid w:val="00517205"/>
    <w:pPr>
      <w:numPr>
        <w:numId w:val="29"/>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0"/>
      </w:numPr>
    </w:pPr>
  </w:style>
  <w:style w:type="paragraph" w:customStyle="1" w:styleId="NumPar2">
    <w:name w:val="NumPar 2"/>
    <w:basedOn w:val="Normal"/>
    <w:next w:val="Text1"/>
    <w:rsid w:val="00517205"/>
    <w:pPr>
      <w:numPr>
        <w:ilvl w:val="1"/>
        <w:numId w:val="30"/>
      </w:numPr>
    </w:pPr>
  </w:style>
  <w:style w:type="paragraph" w:customStyle="1" w:styleId="NumPar3">
    <w:name w:val="NumPar 3"/>
    <w:basedOn w:val="Normal"/>
    <w:next w:val="Text1"/>
    <w:rsid w:val="00517205"/>
    <w:pPr>
      <w:numPr>
        <w:ilvl w:val="2"/>
        <w:numId w:val="30"/>
      </w:numPr>
    </w:pPr>
  </w:style>
  <w:style w:type="paragraph" w:customStyle="1" w:styleId="NumPar4">
    <w:name w:val="NumPar 4"/>
    <w:basedOn w:val="Normal"/>
    <w:next w:val="Text1"/>
    <w:rsid w:val="00517205"/>
    <w:pPr>
      <w:numPr>
        <w:ilvl w:val="3"/>
        <w:numId w:val="30"/>
      </w:numPr>
    </w:pPr>
  </w:style>
  <w:style w:type="paragraph" w:customStyle="1" w:styleId="NumPar5">
    <w:name w:val="NumPar 5"/>
    <w:basedOn w:val="Normal"/>
    <w:next w:val="Text2"/>
    <w:rsid w:val="00517205"/>
    <w:pPr>
      <w:numPr>
        <w:ilvl w:val="4"/>
        <w:numId w:val="30"/>
      </w:numPr>
    </w:pPr>
  </w:style>
  <w:style w:type="paragraph" w:customStyle="1" w:styleId="NumPar6">
    <w:name w:val="NumPar 6"/>
    <w:basedOn w:val="Normal"/>
    <w:next w:val="Text2"/>
    <w:rsid w:val="00517205"/>
    <w:pPr>
      <w:numPr>
        <w:ilvl w:val="5"/>
        <w:numId w:val="30"/>
      </w:numPr>
    </w:pPr>
  </w:style>
  <w:style w:type="paragraph" w:customStyle="1" w:styleId="NumPar7">
    <w:name w:val="NumPar 7"/>
    <w:basedOn w:val="Normal"/>
    <w:next w:val="Text2"/>
    <w:rsid w:val="00517205"/>
    <w:pPr>
      <w:numPr>
        <w:ilvl w:val="6"/>
        <w:numId w:val="30"/>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2"/>
      </w:numPr>
    </w:pPr>
  </w:style>
  <w:style w:type="paragraph" w:customStyle="1" w:styleId="Point1number">
    <w:name w:val="Point 1 (number)"/>
    <w:basedOn w:val="Normal"/>
    <w:rsid w:val="00517205"/>
    <w:pPr>
      <w:numPr>
        <w:ilvl w:val="2"/>
        <w:numId w:val="32"/>
      </w:numPr>
    </w:pPr>
  </w:style>
  <w:style w:type="paragraph" w:customStyle="1" w:styleId="Point2number">
    <w:name w:val="Point 2 (number)"/>
    <w:basedOn w:val="Normal"/>
    <w:rsid w:val="00517205"/>
    <w:pPr>
      <w:numPr>
        <w:ilvl w:val="4"/>
        <w:numId w:val="32"/>
      </w:numPr>
    </w:pPr>
  </w:style>
  <w:style w:type="paragraph" w:customStyle="1" w:styleId="Point3number">
    <w:name w:val="Point 3 (number)"/>
    <w:basedOn w:val="Normal"/>
    <w:rsid w:val="00517205"/>
    <w:pPr>
      <w:numPr>
        <w:ilvl w:val="6"/>
        <w:numId w:val="32"/>
      </w:numPr>
    </w:pPr>
  </w:style>
  <w:style w:type="paragraph" w:customStyle="1" w:styleId="Point0letter">
    <w:name w:val="Point 0 (letter)"/>
    <w:basedOn w:val="Normal"/>
    <w:rsid w:val="00517205"/>
    <w:pPr>
      <w:numPr>
        <w:ilvl w:val="1"/>
        <w:numId w:val="32"/>
      </w:numPr>
    </w:pPr>
  </w:style>
  <w:style w:type="paragraph" w:customStyle="1" w:styleId="Point1letter">
    <w:name w:val="Point 1 (letter)"/>
    <w:basedOn w:val="Normal"/>
    <w:rsid w:val="00517205"/>
    <w:pPr>
      <w:numPr>
        <w:ilvl w:val="3"/>
        <w:numId w:val="32"/>
      </w:numPr>
    </w:pPr>
  </w:style>
  <w:style w:type="paragraph" w:customStyle="1" w:styleId="Point2letter">
    <w:name w:val="Point 2 (letter)"/>
    <w:basedOn w:val="Normal"/>
    <w:rsid w:val="00517205"/>
    <w:pPr>
      <w:numPr>
        <w:ilvl w:val="5"/>
        <w:numId w:val="32"/>
      </w:numPr>
    </w:pPr>
  </w:style>
  <w:style w:type="paragraph" w:customStyle="1" w:styleId="Point3letter">
    <w:name w:val="Point 3 (letter)"/>
    <w:basedOn w:val="Normal"/>
    <w:rsid w:val="00517205"/>
    <w:pPr>
      <w:numPr>
        <w:ilvl w:val="7"/>
        <w:numId w:val="32"/>
      </w:numPr>
    </w:pPr>
  </w:style>
  <w:style w:type="paragraph" w:customStyle="1" w:styleId="Point4letter">
    <w:name w:val="Point 4 (letter)"/>
    <w:basedOn w:val="Normal"/>
    <w:rsid w:val="00517205"/>
    <w:pPr>
      <w:numPr>
        <w:ilvl w:val="8"/>
        <w:numId w:val="32"/>
      </w:numPr>
    </w:pPr>
  </w:style>
  <w:style w:type="paragraph" w:customStyle="1" w:styleId="Bullet0">
    <w:name w:val="Bullet 0"/>
    <w:basedOn w:val="Normal"/>
    <w:rsid w:val="00517205"/>
    <w:pPr>
      <w:numPr>
        <w:numId w:val="33"/>
      </w:numPr>
    </w:pPr>
  </w:style>
  <w:style w:type="paragraph" w:customStyle="1" w:styleId="Bullet1">
    <w:name w:val="Bullet 1"/>
    <w:basedOn w:val="Normal"/>
    <w:rsid w:val="00517205"/>
    <w:pPr>
      <w:numPr>
        <w:numId w:val="34"/>
      </w:numPr>
    </w:pPr>
  </w:style>
  <w:style w:type="paragraph" w:customStyle="1" w:styleId="Bullet2">
    <w:name w:val="Bullet 2"/>
    <w:basedOn w:val="Normal"/>
    <w:rsid w:val="00517205"/>
    <w:pPr>
      <w:numPr>
        <w:numId w:val="35"/>
      </w:numPr>
    </w:pPr>
  </w:style>
  <w:style w:type="paragraph" w:customStyle="1" w:styleId="Bullet3">
    <w:name w:val="Bullet 3"/>
    <w:basedOn w:val="Normal"/>
    <w:rsid w:val="00517205"/>
    <w:pPr>
      <w:numPr>
        <w:numId w:val="36"/>
      </w:numPr>
    </w:pPr>
  </w:style>
  <w:style w:type="paragraph" w:customStyle="1" w:styleId="Bullet4">
    <w:name w:val="Bullet 4"/>
    <w:basedOn w:val="Normal"/>
    <w:rsid w:val="00517205"/>
    <w:pPr>
      <w:numPr>
        <w:numId w:val="37"/>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8"/>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2298">
      <w:bodyDiv w:val="1"/>
      <w:marLeft w:val="0"/>
      <w:marRight w:val="0"/>
      <w:marTop w:val="0"/>
      <w:marBottom w:val="0"/>
      <w:divBdr>
        <w:top w:val="none" w:sz="0" w:space="0" w:color="auto"/>
        <w:left w:val="none" w:sz="0" w:space="0" w:color="auto"/>
        <w:bottom w:val="none" w:sz="0" w:space="0" w:color="auto"/>
        <w:right w:val="none" w:sz="0" w:space="0" w:color="auto"/>
      </w:divBdr>
    </w:div>
    <w:div w:id="149642981">
      <w:bodyDiv w:val="1"/>
      <w:marLeft w:val="0"/>
      <w:marRight w:val="0"/>
      <w:marTop w:val="0"/>
      <w:marBottom w:val="0"/>
      <w:divBdr>
        <w:top w:val="none" w:sz="0" w:space="0" w:color="auto"/>
        <w:left w:val="none" w:sz="0" w:space="0" w:color="auto"/>
        <w:bottom w:val="none" w:sz="0" w:space="0" w:color="auto"/>
        <w:right w:val="none" w:sz="0" w:space="0" w:color="auto"/>
      </w:divBdr>
    </w:div>
    <w:div w:id="177543266">
      <w:bodyDiv w:val="1"/>
      <w:marLeft w:val="0"/>
      <w:marRight w:val="0"/>
      <w:marTop w:val="0"/>
      <w:marBottom w:val="0"/>
      <w:divBdr>
        <w:top w:val="none" w:sz="0" w:space="0" w:color="auto"/>
        <w:left w:val="none" w:sz="0" w:space="0" w:color="auto"/>
        <w:bottom w:val="none" w:sz="0" w:space="0" w:color="auto"/>
        <w:right w:val="none" w:sz="0" w:space="0" w:color="auto"/>
      </w:divBdr>
    </w:div>
    <w:div w:id="288051487">
      <w:bodyDiv w:val="1"/>
      <w:marLeft w:val="0"/>
      <w:marRight w:val="0"/>
      <w:marTop w:val="0"/>
      <w:marBottom w:val="0"/>
      <w:divBdr>
        <w:top w:val="none" w:sz="0" w:space="0" w:color="auto"/>
        <w:left w:val="none" w:sz="0" w:space="0" w:color="auto"/>
        <w:bottom w:val="none" w:sz="0" w:space="0" w:color="auto"/>
        <w:right w:val="none" w:sz="0" w:space="0" w:color="auto"/>
      </w:divBdr>
    </w:div>
    <w:div w:id="371080890">
      <w:bodyDiv w:val="1"/>
      <w:marLeft w:val="0"/>
      <w:marRight w:val="0"/>
      <w:marTop w:val="0"/>
      <w:marBottom w:val="0"/>
      <w:divBdr>
        <w:top w:val="none" w:sz="0" w:space="0" w:color="auto"/>
        <w:left w:val="none" w:sz="0" w:space="0" w:color="auto"/>
        <w:bottom w:val="none" w:sz="0" w:space="0" w:color="auto"/>
        <w:right w:val="none" w:sz="0" w:space="0" w:color="auto"/>
      </w:divBdr>
    </w:div>
    <w:div w:id="447698247">
      <w:bodyDiv w:val="1"/>
      <w:marLeft w:val="0"/>
      <w:marRight w:val="0"/>
      <w:marTop w:val="0"/>
      <w:marBottom w:val="0"/>
      <w:divBdr>
        <w:top w:val="none" w:sz="0" w:space="0" w:color="auto"/>
        <w:left w:val="none" w:sz="0" w:space="0" w:color="auto"/>
        <w:bottom w:val="none" w:sz="0" w:space="0" w:color="auto"/>
        <w:right w:val="none" w:sz="0" w:space="0" w:color="auto"/>
      </w:divBdr>
      <w:divsChild>
        <w:div w:id="1154294889">
          <w:marLeft w:val="0"/>
          <w:marRight w:val="0"/>
          <w:marTop w:val="0"/>
          <w:marBottom w:val="0"/>
          <w:divBdr>
            <w:top w:val="none" w:sz="0" w:space="0" w:color="auto"/>
            <w:left w:val="none" w:sz="0" w:space="0" w:color="auto"/>
            <w:bottom w:val="none" w:sz="0" w:space="0" w:color="auto"/>
            <w:right w:val="none" w:sz="0" w:space="0" w:color="auto"/>
          </w:divBdr>
          <w:divsChild>
            <w:div w:id="168639784">
              <w:marLeft w:val="0"/>
              <w:marRight w:val="0"/>
              <w:marTop w:val="0"/>
              <w:marBottom w:val="0"/>
              <w:divBdr>
                <w:top w:val="none" w:sz="0" w:space="0" w:color="auto"/>
                <w:left w:val="none" w:sz="0" w:space="0" w:color="auto"/>
                <w:bottom w:val="none" w:sz="0" w:space="0" w:color="auto"/>
                <w:right w:val="none" w:sz="0" w:space="0" w:color="auto"/>
              </w:divBdr>
              <w:divsChild>
                <w:div w:id="3303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8165">
          <w:marLeft w:val="0"/>
          <w:marRight w:val="0"/>
          <w:marTop w:val="0"/>
          <w:marBottom w:val="0"/>
          <w:divBdr>
            <w:top w:val="none" w:sz="0" w:space="0" w:color="auto"/>
            <w:left w:val="none" w:sz="0" w:space="0" w:color="auto"/>
            <w:bottom w:val="none" w:sz="0" w:space="0" w:color="auto"/>
            <w:right w:val="none" w:sz="0" w:space="0" w:color="auto"/>
          </w:divBdr>
          <w:divsChild>
            <w:div w:id="1623923753">
              <w:marLeft w:val="0"/>
              <w:marRight w:val="0"/>
              <w:marTop w:val="0"/>
              <w:marBottom w:val="0"/>
              <w:divBdr>
                <w:top w:val="none" w:sz="0" w:space="0" w:color="auto"/>
                <w:left w:val="none" w:sz="0" w:space="0" w:color="auto"/>
                <w:bottom w:val="none" w:sz="0" w:space="0" w:color="auto"/>
                <w:right w:val="none" w:sz="0" w:space="0" w:color="auto"/>
              </w:divBdr>
              <w:divsChild>
                <w:div w:id="1053695998">
                  <w:marLeft w:val="0"/>
                  <w:marRight w:val="0"/>
                  <w:marTop w:val="0"/>
                  <w:marBottom w:val="0"/>
                  <w:divBdr>
                    <w:top w:val="none" w:sz="0" w:space="0" w:color="auto"/>
                    <w:left w:val="none" w:sz="0" w:space="0" w:color="auto"/>
                    <w:bottom w:val="none" w:sz="0" w:space="0" w:color="auto"/>
                    <w:right w:val="none" w:sz="0" w:space="0" w:color="auto"/>
                  </w:divBdr>
                  <w:divsChild>
                    <w:div w:id="1845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67252">
      <w:bodyDiv w:val="1"/>
      <w:marLeft w:val="0"/>
      <w:marRight w:val="0"/>
      <w:marTop w:val="0"/>
      <w:marBottom w:val="0"/>
      <w:divBdr>
        <w:top w:val="none" w:sz="0" w:space="0" w:color="auto"/>
        <w:left w:val="none" w:sz="0" w:space="0" w:color="auto"/>
        <w:bottom w:val="none" w:sz="0" w:space="0" w:color="auto"/>
        <w:right w:val="none" w:sz="0" w:space="0" w:color="auto"/>
      </w:divBdr>
    </w:div>
    <w:div w:id="930091244">
      <w:bodyDiv w:val="1"/>
      <w:marLeft w:val="0"/>
      <w:marRight w:val="0"/>
      <w:marTop w:val="0"/>
      <w:marBottom w:val="0"/>
      <w:divBdr>
        <w:top w:val="none" w:sz="0" w:space="0" w:color="auto"/>
        <w:left w:val="none" w:sz="0" w:space="0" w:color="auto"/>
        <w:bottom w:val="none" w:sz="0" w:space="0" w:color="auto"/>
        <w:right w:val="none" w:sz="0" w:space="0" w:color="auto"/>
      </w:divBdr>
    </w:div>
    <w:div w:id="1109159781">
      <w:bodyDiv w:val="1"/>
      <w:marLeft w:val="0"/>
      <w:marRight w:val="0"/>
      <w:marTop w:val="0"/>
      <w:marBottom w:val="0"/>
      <w:divBdr>
        <w:top w:val="none" w:sz="0" w:space="0" w:color="auto"/>
        <w:left w:val="none" w:sz="0" w:space="0" w:color="auto"/>
        <w:bottom w:val="none" w:sz="0" w:space="0" w:color="auto"/>
        <w:right w:val="none" w:sz="0" w:space="0" w:color="auto"/>
      </w:divBdr>
      <w:divsChild>
        <w:div w:id="1301152843">
          <w:marLeft w:val="0"/>
          <w:marRight w:val="0"/>
          <w:marTop w:val="0"/>
          <w:marBottom w:val="0"/>
          <w:divBdr>
            <w:top w:val="none" w:sz="0" w:space="0" w:color="auto"/>
            <w:left w:val="none" w:sz="0" w:space="0" w:color="auto"/>
            <w:bottom w:val="none" w:sz="0" w:space="0" w:color="auto"/>
            <w:right w:val="none" w:sz="0" w:space="0" w:color="auto"/>
          </w:divBdr>
        </w:div>
        <w:div w:id="877664803">
          <w:marLeft w:val="0"/>
          <w:marRight w:val="0"/>
          <w:marTop w:val="0"/>
          <w:marBottom w:val="0"/>
          <w:divBdr>
            <w:top w:val="none" w:sz="0" w:space="0" w:color="auto"/>
            <w:left w:val="none" w:sz="0" w:space="0" w:color="auto"/>
            <w:bottom w:val="none" w:sz="0" w:space="0" w:color="auto"/>
            <w:right w:val="none" w:sz="0" w:space="0" w:color="auto"/>
          </w:divBdr>
        </w:div>
      </w:divsChild>
    </w:div>
    <w:div w:id="1239708216">
      <w:bodyDiv w:val="1"/>
      <w:marLeft w:val="0"/>
      <w:marRight w:val="0"/>
      <w:marTop w:val="0"/>
      <w:marBottom w:val="0"/>
      <w:divBdr>
        <w:top w:val="none" w:sz="0" w:space="0" w:color="auto"/>
        <w:left w:val="none" w:sz="0" w:space="0" w:color="auto"/>
        <w:bottom w:val="none" w:sz="0" w:space="0" w:color="auto"/>
        <w:right w:val="none" w:sz="0" w:space="0" w:color="auto"/>
      </w:divBdr>
    </w:div>
    <w:div w:id="1269199563">
      <w:bodyDiv w:val="1"/>
      <w:marLeft w:val="0"/>
      <w:marRight w:val="0"/>
      <w:marTop w:val="0"/>
      <w:marBottom w:val="0"/>
      <w:divBdr>
        <w:top w:val="none" w:sz="0" w:space="0" w:color="auto"/>
        <w:left w:val="none" w:sz="0" w:space="0" w:color="auto"/>
        <w:bottom w:val="none" w:sz="0" w:space="0" w:color="auto"/>
        <w:right w:val="none" w:sz="0" w:space="0" w:color="auto"/>
      </w:divBdr>
    </w:div>
    <w:div w:id="1346711962">
      <w:bodyDiv w:val="1"/>
      <w:marLeft w:val="0"/>
      <w:marRight w:val="0"/>
      <w:marTop w:val="0"/>
      <w:marBottom w:val="0"/>
      <w:divBdr>
        <w:top w:val="none" w:sz="0" w:space="0" w:color="auto"/>
        <w:left w:val="none" w:sz="0" w:space="0" w:color="auto"/>
        <w:bottom w:val="none" w:sz="0" w:space="0" w:color="auto"/>
        <w:right w:val="none" w:sz="0" w:space="0" w:color="auto"/>
      </w:divBdr>
      <w:divsChild>
        <w:div w:id="113183232">
          <w:marLeft w:val="0"/>
          <w:marRight w:val="0"/>
          <w:marTop w:val="0"/>
          <w:marBottom w:val="0"/>
          <w:divBdr>
            <w:top w:val="none" w:sz="0" w:space="0" w:color="auto"/>
            <w:left w:val="none" w:sz="0" w:space="0" w:color="auto"/>
            <w:bottom w:val="none" w:sz="0" w:space="0" w:color="auto"/>
            <w:right w:val="none" w:sz="0" w:space="0" w:color="auto"/>
          </w:divBdr>
          <w:divsChild>
            <w:div w:id="2081709443">
              <w:marLeft w:val="0"/>
              <w:marRight w:val="0"/>
              <w:marTop w:val="0"/>
              <w:marBottom w:val="0"/>
              <w:divBdr>
                <w:top w:val="none" w:sz="0" w:space="0" w:color="auto"/>
                <w:left w:val="none" w:sz="0" w:space="0" w:color="auto"/>
                <w:bottom w:val="none" w:sz="0" w:space="0" w:color="auto"/>
                <w:right w:val="none" w:sz="0" w:space="0" w:color="auto"/>
              </w:divBdr>
              <w:divsChild>
                <w:div w:id="18888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263">
          <w:marLeft w:val="0"/>
          <w:marRight w:val="0"/>
          <w:marTop w:val="0"/>
          <w:marBottom w:val="0"/>
          <w:divBdr>
            <w:top w:val="none" w:sz="0" w:space="0" w:color="auto"/>
            <w:left w:val="none" w:sz="0" w:space="0" w:color="auto"/>
            <w:bottom w:val="none" w:sz="0" w:space="0" w:color="auto"/>
            <w:right w:val="none" w:sz="0" w:space="0" w:color="auto"/>
          </w:divBdr>
          <w:divsChild>
            <w:div w:id="267586235">
              <w:marLeft w:val="0"/>
              <w:marRight w:val="0"/>
              <w:marTop w:val="0"/>
              <w:marBottom w:val="0"/>
              <w:divBdr>
                <w:top w:val="none" w:sz="0" w:space="0" w:color="auto"/>
                <w:left w:val="none" w:sz="0" w:space="0" w:color="auto"/>
                <w:bottom w:val="none" w:sz="0" w:space="0" w:color="auto"/>
                <w:right w:val="none" w:sz="0" w:space="0" w:color="auto"/>
              </w:divBdr>
              <w:divsChild>
                <w:div w:id="882450945">
                  <w:marLeft w:val="0"/>
                  <w:marRight w:val="0"/>
                  <w:marTop w:val="0"/>
                  <w:marBottom w:val="0"/>
                  <w:divBdr>
                    <w:top w:val="none" w:sz="0" w:space="0" w:color="auto"/>
                    <w:left w:val="none" w:sz="0" w:space="0" w:color="auto"/>
                    <w:bottom w:val="none" w:sz="0" w:space="0" w:color="auto"/>
                    <w:right w:val="none" w:sz="0" w:space="0" w:color="auto"/>
                  </w:divBdr>
                  <w:divsChild>
                    <w:div w:id="4748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66057">
      <w:bodyDiv w:val="1"/>
      <w:marLeft w:val="0"/>
      <w:marRight w:val="0"/>
      <w:marTop w:val="0"/>
      <w:marBottom w:val="0"/>
      <w:divBdr>
        <w:top w:val="none" w:sz="0" w:space="0" w:color="auto"/>
        <w:left w:val="none" w:sz="0" w:space="0" w:color="auto"/>
        <w:bottom w:val="none" w:sz="0" w:space="0" w:color="auto"/>
        <w:right w:val="none" w:sz="0" w:space="0" w:color="auto"/>
      </w:divBdr>
    </w:div>
    <w:div w:id="1463694192">
      <w:bodyDiv w:val="1"/>
      <w:marLeft w:val="0"/>
      <w:marRight w:val="0"/>
      <w:marTop w:val="0"/>
      <w:marBottom w:val="0"/>
      <w:divBdr>
        <w:top w:val="none" w:sz="0" w:space="0" w:color="auto"/>
        <w:left w:val="none" w:sz="0" w:space="0" w:color="auto"/>
        <w:bottom w:val="none" w:sz="0" w:space="0" w:color="auto"/>
        <w:right w:val="none" w:sz="0" w:space="0" w:color="auto"/>
      </w:divBdr>
    </w:div>
    <w:div w:id="1610818055">
      <w:bodyDiv w:val="1"/>
      <w:marLeft w:val="0"/>
      <w:marRight w:val="0"/>
      <w:marTop w:val="0"/>
      <w:marBottom w:val="0"/>
      <w:divBdr>
        <w:top w:val="none" w:sz="0" w:space="0" w:color="auto"/>
        <w:left w:val="none" w:sz="0" w:space="0" w:color="auto"/>
        <w:bottom w:val="none" w:sz="0" w:space="0" w:color="auto"/>
        <w:right w:val="none" w:sz="0" w:space="0" w:color="auto"/>
      </w:divBdr>
    </w:div>
    <w:div w:id="1621229974">
      <w:bodyDiv w:val="1"/>
      <w:marLeft w:val="0"/>
      <w:marRight w:val="0"/>
      <w:marTop w:val="0"/>
      <w:marBottom w:val="0"/>
      <w:divBdr>
        <w:top w:val="none" w:sz="0" w:space="0" w:color="auto"/>
        <w:left w:val="none" w:sz="0" w:space="0" w:color="auto"/>
        <w:bottom w:val="none" w:sz="0" w:space="0" w:color="auto"/>
        <w:right w:val="none" w:sz="0" w:space="0" w:color="auto"/>
      </w:divBdr>
    </w:div>
    <w:div w:id="18061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webpub/empl/european-pillar-of-social-rights/en/" TargetMode="External"/><Relationship Id="rId18" Type="http://schemas.openxmlformats.org/officeDocument/2006/relationships/hyperlink" Target="https://ec.europa.eu/social/main.jsp?catId=738&amp;langId=en&amp;pubId=8396" TargetMode="External"/><Relationship Id="rId26" Type="http://schemas.openxmlformats.org/officeDocument/2006/relationships/hyperlink" Target="file:///C:\Users\eriksdi\AppData\Local\Temp\1\Building%20an%20economy%20that%20works%20for%20people%20-%20an%20action%20plan%20for%20the%20social%20economy.pdf" TargetMode="External"/><Relationship Id="rId39" Type="http://schemas.openxmlformats.org/officeDocument/2006/relationships/hyperlink" Target="https://ec.europa.eu/info/overview-funding-programmes/technical-support-instrument-tsi_en" TargetMode="External"/><Relationship Id="rId21" Type="http://schemas.openxmlformats.org/officeDocument/2006/relationships/hyperlink" Target="https://ec.europa.eu/social/main.jsp?catId=1223&amp;langId=en" TargetMode="External"/><Relationship Id="rId34" Type="http://schemas.openxmlformats.org/officeDocument/2006/relationships/hyperlink" Target="https://ec.europa.eu/regional_policy/en/policy/what/glossary/e/european-agricultural-fund-for-rural-development" TargetMode="External"/><Relationship Id="rId42" Type="http://schemas.openxmlformats.org/officeDocument/2006/relationships/hyperlink" Target="https://ec.europa.eu/social/main.jsp?catId=738&amp;langId=en&amp;pubId=8396" TargetMode="External"/><Relationship Id="rId47" Type="http://schemas.openxmlformats.org/officeDocument/2006/relationships/hyperlink" Target="https://www.eurofound.europa.eu/publications/report/2022/covid-19-and-older-people-impact-on-their-lives-support-and-care" TargetMode="External"/><Relationship Id="rId50" Type="http://schemas.openxmlformats.org/officeDocument/2006/relationships/hyperlink" Target="https://ec.europa.eu/info/publications/2021-ageing-report-economic-and-budgetary-projections-eu-member-states-2019-2070_en"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info/publications/2022-european-semester-proposal-joint-employment-report_en" TargetMode="External"/><Relationship Id="rId25" Type="http://schemas.openxmlformats.org/officeDocument/2006/relationships/hyperlink" Target="https://eur-lex.europa.eu/legal-content/EN/TXT/?uri=COM%3A2017%3A252%3AFIN" TargetMode="External"/><Relationship Id="rId33" Type="http://schemas.openxmlformats.org/officeDocument/2006/relationships/hyperlink" Target="https://ec.europa.eu/european-social-fund-plus/en/esf-direct-easi" TargetMode="External"/><Relationship Id="rId38" Type="http://schemas.openxmlformats.org/officeDocument/2006/relationships/hyperlink" Target="https://ec.europa.eu/info/business-economy-euro/recovery-coronavirus/recovery-and-resilience-facility_en" TargetMode="External"/><Relationship Id="rId46" Type="http://schemas.openxmlformats.org/officeDocument/2006/relationships/hyperlink" Target="https://ec.europa.eu/social/main.jsp?catId=738&amp;langId=en&amp;pubId=8448&amp;furtherPubs=yes" TargetMode="External"/><Relationship Id="rId2" Type="http://schemas.openxmlformats.org/officeDocument/2006/relationships/customXml" Target="../customXml/item2.xml"/><Relationship Id="rId16" Type="http://schemas.openxmlformats.org/officeDocument/2006/relationships/hyperlink" Target="file:///C:\Users\eriksdi\AppData\Local\Temp\1\1_EN_ACT_part1_v4.pdf" TargetMode="External"/><Relationship Id="rId20" Type="http://schemas.openxmlformats.org/officeDocument/2006/relationships/hyperlink" Target="https://ec.europa.eu/social/main.jsp?catId=738&amp;langId=en&amp;pubId=8376&amp;furtherPubs=yes" TargetMode="External"/><Relationship Id="rId29" Type="http://schemas.openxmlformats.org/officeDocument/2006/relationships/hyperlink" Target="https://eur-lex.europa.eu/legal-content/EN/TXT/?uri=COM%3A2018%3A233%3AFIN" TargetMode="External"/><Relationship Id="rId41" Type="http://schemas.openxmlformats.org/officeDocument/2006/relationships/hyperlink" Target="https://ec.europa.eu/info/law/better-regulation/have-your-say/initiatives/13298-European-care-strategy_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ur-lex.europa.eu/legal-content/EN/TXT/?uri=CELEX%3A52020DC0152" TargetMode="External"/><Relationship Id="rId32" Type="http://schemas.openxmlformats.org/officeDocument/2006/relationships/hyperlink" Target="https://ec.europa.eu/european-social-fund-plus/en" TargetMode="External"/><Relationship Id="rId37" Type="http://schemas.openxmlformats.org/officeDocument/2006/relationships/hyperlink" Target="https://ec.europa.eu/info/funding-tenders/find-funding/eu-funding-programmes/digital-europe-programme_en" TargetMode="External"/><Relationship Id="rId40" Type="http://schemas.openxmlformats.org/officeDocument/2006/relationships/hyperlink" Target="https://ec.europa.eu/info/strategy/priorities-2019-2024/economy-works-people/jobs-growth-and-investment/european-pillar-social-rights/european-pillar-social-rights-20-principles_en" TargetMode="External"/><Relationship Id="rId45" Type="http://schemas.openxmlformats.org/officeDocument/2006/relationships/hyperlink" Target="https://op.europa.eu/en/publication-detail/-/publication/bafbb918-2197-11ec-bd8e-01aa75ed71a1/language-pl"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c.europa.eu/info/strategy/priorities-2019-2024/economy-works-people/jobs-growth-and-investment/european-pillar-social-rights/european-pillar-social-rights-20-principles_en" TargetMode="External"/><Relationship Id="rId23" Type="http://schemas.openxmlformats.org/officeDocument/2006/relationships/hyperlink" Target="https://ec.europa.eu/commission/presscorner/detail/en/ip_22_2654" TargetMode="External"/><Relationship Id="rId28" Type="http://schemas.openxmlformats.org/officeDocument/2006/relationships/hyperlink" Target="https://health.ec.europa.eu/system/files/2022-02/eu_cancer-plan_en_0.pdf" TargetMode="External"/><Relationship Id="rId36" Type="http://schemas.openxmlformats.org/officeDocument/2006/relationships/hyperlink" Target="https://ec.europa.eu/info/research-and-innovation/funding/funding-opportunities/funding-programmes-and-open-calls/horizon-europe_en" TargetMode="External"/><Relationship Id="rId49" Type="http://schemas.openxmlformats.org/officeDocument/2006/relationships/hyperlink" Target="https://www.eurofound.europa.eu/publications/customised-report/2020/long-term-care-workforce-employment-and-working-conditions" TargetMode="External"/><Relationship Id="rId10" Type="http://schemas.openxmlformats.org/officeDocument/2006/relationships/endnotes" Target="endnotes.xml"/><Relationship Id="rId19" Type="http://schemas.openxmlformats.org/officeDocument/2006/relationships/hyperlink" Target="https://ec.europa.eu/info/sites/default/files/1_en_act_part1_v8_0.pdf" TargetMode="External"/><Relationship Id="rId31" Type="http://schemas.openxmlformats.org/officeDocument/2006/relationships/hyperlink" Target="https://ec.europa.eu/regional_policy/en/funding/erdf/" TargetMode="External"/><Relationship Id="rId44" Type="http://schemas.openxmlformats.org/officeDocument/2006/relationships/hyperlink" Target="https://ec.europa.eu/social/main.jsp?catId=1135&amp;langId=en"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strategy/strategic-planning/state-union-addresses/state-union-2021_en" TargetMode="External"/><Relationship Id="rId22" Type="http://schemas.openxmlformats.org/officeDocument/2006/relationships/hyperlink" Target="https://ec.europa.eu/info/strategy/priorities-2019-2024/promoting-our-european-way-life/new-pact-migration-and-asylum_en" TargetMode="External"/><Relationship Id="rId27" Type="http://schemas.openxmlformats.org/officeDocument/2006/relationships/hyperlink" Target="https://ec.europa.eu/health/ph_information/documents/healthier_en.pdf" TargetMode="External"/><Relationship Id="rId30" Type="http://schemas.openxmlformats.org/officeDocument/2006/relationships/hyperlink" Target="https://ec.europa.eu/commission/presscorner/detail/en/IP_22_2763" TargetMode="External"/><Relationship Id="rId35" Type="http://schemas.openxmlformats.org/officeDocument/2006/relationships/hyperlink" Target="https://ec.europa.eu/info/funding-tenders/find-funding/eu-funding-programmes/just-transition-fund_en" TargetMode="External"/><Relationship Id="rId43" Type="http://schemas.openxmlformats.org/officeDocument/2006/relationships/hyperlink" Target="https://ec.europa.eu/social/main.jsp?catId=738&amp;langId=en&amp;pubId=8128&amp;furtherPubs=yes" TargetMode="External"/><Relationship Id="rId48" Type="http://schemas.openxmlformats.org/officeDocument/2006/relationships/hyperlink" Target="https://www.oecd.org/fr/publications/who-cares-attracting-and-retaining-elderly-care-workers-92c0ef68-en.htm" TargetMode="External"/><Relationship Id="rId8" Type="http://schemas.openxmlformats.org/officeDocument/2006/relationships/webSettings" Target="webSettings.xml"/><Relationship Id="rId51" Type="http://schemas.openxmlformats.org/officeDocument/2006/relationships/hyperlink" Target="https://eur-lex.europa.eu/legal-content/EN/TXT/?uri=celex%3A12012P%2FTXT"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main.jsp?catId=738&amp;langId=en&amp;pubId=8423&amp;furtherPubs=yes" TargetMode="External"/><Relationship Id="rId13" Type="http://schemas.openxmlformats.org/officeDocument/2006/relationships/hyperlink" Target="https://eur-lex.europa.eu/legal-content/EN/TXT/?uri=CELEX%3A32019L0882" TargetMode="External"/><Relationship Id="rId18" Type="http://schemas.openxmlformats.org/officeDocument/2006/relationships/hyperlink" Target="https://webapi2016.cor.europa.eu/v1/documents/cor-2020-05862-00-02-ac-tra-en.docx/content%20" TargetMode="External"/><Relationship Id="rId26" Type="http://schemas.openxmlformats.org/officeDocument/2006/relationships/hyperlink" Target="https://data.europa.eu/doi/10.2767/183997" TargetMode="External"/><Relationship Id="rId39" Type="http://schemas.openxmlformats.org/officeDocument/2006/relationships/hyperlink" Target="https://eur-lex.europa.eu/legal-content/EN/TXT/?uri=celex%3A31998L0024" TargetMode="External"/><Relationship Id="rId3" Type="http://schemas.openxmlformats.org/officeDocument/2006/relationships/hyperlink" Target="https://ec.europa.eu/social/main.jsp?catId=738&amp;langId=en&amp;pubId=8448&amp;furtherPubs=yes" TargetMode="External"/><Relationship Id="rId21" Type="http://schemas.openxmlformats.org/officeDocument/2006/relationships/hyperlink" Target="https://eur-lex.europa.eu/legal-content/EN/TXT/?uri=CELEX%3A52020IP0371" TargetMode="External"/><Relationship Id="rId34" Type="http://schemas.openxmlformats.org/officeDocument/2006/relationships/hyperlink" Target="https://eur-lex.europa.eu/legal-content/EN/TXT/?uri=CELEX%3A52021PC0093" TargetMode="External"/><Relationship Id="rId42" Type="http://schemas.openxmlformats.org/officeDocument/2006/relationships/hyperlink" Target="https://eur-lex.europa.eu/legal-content/EN/ALL/?uri=celex%3A31989L0656" TargetMode="External"/><Relationship Id="rId7" Type="http://schemas.openxmlformats.org/officeDocument/2006/relationships/hyperlink" Target="https://www.eesc.europa.eu/en/our-work/publications-other-work/publications/future-live-care-work-europe" TargetMode="External"/><Relationship Id="rId12" Type="http://schemas.openxmlformats.org/officeDocument/2006/relationships/hyperlink" Target="https://eur-lex.europa.eu/legal-content/EN/TXT/?uri=CELEX%3A52016PC0815" TargetMode="External"/><Relationship Id="rId17" Type="http://schemas.openxmlformats.org/officeDocument/2006/relationships/hyperlink" Target="https://www.eesc.europa.eu/en/our-work/opinions-information-reports/opinions/towards-new-care-model-elderly-learning-covid-19-pandemic-own-initiative-opinion-gr-iii" TargetMode="External"/><Relationship Id="rId25" Type="http://schemas.openxmlformats.org/officeDocument/2006/relationships/hyperlink" Target="https://data.europa.eu/doi/10.2767/183997" TargetMode="External"/><Relationship Id="rId33" Type="http://schemas.openxmlformats.org/officeDocument/2006/relationships/hyperlink" Target="https://eur-lex.europa.eu/legal-content/EN/TXT/?uri=CELEX%3A52020PC0682" TargetMode="External"/><Relationship Id="rId38" Type="http://schemas.openxmlformats.org/officeDocument/2006/relationships/hyperlink" Target="https://eur-lex.europa.eu/legal-content/EN/TXT/?uri=celex%3A31990L0269" TargetMode="External"/><Relationship Id="rId2" Type="http://schemas.openxmlformats.org/officeDocument/2006/relationships/hyperlink" Target="https://ec.europa.eu/social/main.jsp?catId=738&amp;langId=en&amp;pubId=8396" TargetMode="External"/><Relationship Id="rId16" Type="http://schemas.openxmlformats.org/officeDocument/2006/relationships/hyperlink" Target="https://www.eesc.europa.eu/en/our-work/publications-other-work/publications/future-live-care-work-europe" TargetMode="External"/><Relationship Id="rId20" Type="http://schemas.openxmlformats.org/officeDocument/2006/relationships/hyperlink" Target="https://www.europarl.europa.eu/doceo/document/TA-9-2021-0347_EN.html" TargetMode="External"/><Relationship Id="rId29" Type="http://schemas.openxmlformats.org/officeDocument/2006/relationships/hyperlink" Target="https://eur-lex.europa.eu/legal-content/EN/TXT/?uri=celex%3A32003L0088" TargetMode="External"/><Relationship Id="rId41" Type="http://schemas.openxmlformats.org/officeDocument/2006/relationships/hyperlink" Target="https://osha.europa.eu/en/legislation/directives/directive-2013-35-eu-electromagnetic-fields" TargetMode="External"/><Relationship Id="rId1" Type="http://schemas.openxmlformats.org/officeDocument/2006/relationships/hyperlink" Target="https://ec.europa.eu/info/sites/default/files/economy-finance/ip148_en.pdf" TargetMode="External"/><Relationship Id="rId6" Type="http://schemas.openxmlformats.org/officeDocument/2006/relationships/hyperlink" Target="https://www.eurofound.europa.eu/publications/customised-report/2020/long-term-care-workforce-employment-and-working-conditions" TargetMode="External"/><Relationship Id="rId11" Type="http://schemas.openxmlformats.org/officeDocument/2006/relationships/hyperlink" Target="https://eur-lex.europa.eu/legal-content/EN/TXT/?uri=celex%3A32019L1158" TargetMode="External"/><Relationship Id="rId24" Type="http://schemas.openxmlformats.org/officeDocument/2006/relationships/hyperlink" Target="https://data.consilium.europa.eu/doc/document/ST-6976-2021-INIT/en/pdf" TargetMode="External"/><Relationship Id="rId32" Type="http://schemas.openxmlformats.org/officeDocument/2006/relationships/hyperlink" Target="https://eur-lex.europa.eu/legal-content/EN/TXT/?uri=CELEX%3A52020PC0682" TargetMode="External"/><Relationship Id="rId37" Type="http://schemas.openxmlformats.org/officeDocument/2006/relationships/hyperlink" Target="https://eur-lex.europa.eu/legal-content/EN/ALL/?uri=CELEX%3A32000L0054" TargetMode="External"/><Relationship Id="rId40" Type="http://schemas.openxmlformats.org/officeDocument/2006/relationships/hyperlink" Target="https://osha.europa.eu/en/legislation/directive/directive-200437ec-carcinogens-or-mutagens-work" TargetMode="External"/><Relationship Id="rId5" Type="http://schemas.openxmlformats.org/officeDocument/2006/relationships/hyperlink" Target="https://www.eurofound.europa.eu/publications/customised-report/2020/long-term-care-workforce-employment-and-working-conditions" TargetMode="External"/><Relationship Id="rId15" Type="http://schemas.openxmlformats.org/officeDocument/2006/relationships/hyperlink" Target="https://www.eesc.europa.eu/en/our-work/opinions-information-reports/opinions/rights-live-care-workers-own-initiative-opinion" TargetMode="External"/><Relationship Id="rId23" Type="http://schemas.openxmlformats.org/officeDocument/2006/relationships/hyperlink" Target="https://data.consilium.europa.eu/doc/document/ST-11717-2020-INIT/en/pdf" TargetMode="External"/><Relationship Id="rId28" Type="http://schemas.openxmlformats.org/officeDocument/2006/relationships/hyperlink" Target="https://ec.europa.eu/social/main.jsp?catId=738&amp;langId=en&amp;pubId=8423&amp;furtherPubs=yes" TargetMode="External"/><Relationship Id="rId36" Type="http://schemas.openxmlformats.org/officeDocument/2006/relationships/hyperlink" Target="https://eur-lex.europa.eu/legal-content/EN/ALL/?uri=celex%3A31989L0391" TargetMode="External"/><Relationship Id="rId10" Type="http://schemas.openxmlformats.org/officeDocument/2006/relationships/hyperlink" Target="https://ec.europa.eu/social/main.jsp?catId=738&amp;langId=en&amp;pubId=8423&amp;furtherPubs=yes" TargetMode="External"/><Relationship Id="rId19" Type="http://schemas.openxmlformats.org/officeDocument/2006/relationships/hyperlink" Target="https://eur-lex.europa.eu/legal-content/EN/TXT/?uri=CELEX%3A52020IP0371" TargetMode="External"/><Relationship Id="rId31" Type="http://schemas.openxmlformats.org/officeDocument/2006/relationships/hyperlink" Target="https://eur-lex.europa.eu/legal-content/EN/ALL/?uri=celex%3A31996L0071" TargetMode="External"/><Relationship Id="rId4" Type="http://schemas.openxmlformats.org/officeDocument/2006/relationships/hyperlink" Target="https://ec.europa.eu/social/main.jsp?langId=en&amp;catId=1135&amp;moreDocuments=yes" TargetMode="External"/><Relationship Id="rId9" Type="http://schemas.openxmlformats.org/officeDocument/2006/relationships/hyperlink" Target="https://ec.europa.eu/info/publications/2021-ageing-report-economic-and-budgetary-projections-eu-member-states-2019-2070_en" TargetMode="External"/><Relationship Id="rId14" Type="http://schemas.openxmlformats.org/officeDocument/2006/relationships/hyperlink" Target="https://eur-lex.europa.eu/eli/dir/2016/2102/oj" TargetMode="External"/><Relationship Id="rId22" Type="http://schemas.openxmlformats.org/officeDocument/2006/relationships/hyperlink" Target="https://eur-lex.europa.eu/legal-content/EN/TXT/?uri=CELEX%3A52020XG0619%2801%29" TargetMode="External"/><Relationship Id="rId27" Type="http://schemas.openxmlformats.org/officeDocument/2006/relationships/hyperlink" Target="https://ec.europa.eu/info/sites/default/files/economy-finance/ip148_en.pdf" TargetMode="External"/><Relationship Id="rId30" Type="http://schemas.openxmlformats.org/officeDocument/2006/relationships/hyperlink" Target="https://eur-lex.europa.eu/legal-content/en/TXT/?uri=CELEX:32019L1152" TargetMode="External"/><Relationship Id="rId35" Type="http://schemas.openxmlformats.org/officeDocument/2006/relationships/hyperlink" Target="https://eur-lex.europa.eu/legal-content/EN/TXT/?uri=celex%3A32019L11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41d02a6f-903c-4b9d-a083-5f9ff305879a">EN</EC_Collab_DocumentLanguage>
    <_Status xmlns="http://schemas.microsoft.com/sharepoint/v3/fields">Not Started</_Status>
    <EC_Collab_Status xmlns="41d02a6f-903c-4b9d-a083-5f9ff305879a">Not Started</EC_Collab_Status>
    <EC_Collab_Reference xmlns="41d02a6f-903c-4b9d-a083-5f9ff305879a" xsi:nil="true"/>
    <SharedWithUsers xmlns="8a68f991-bb43-476d-a127-2c04dd804a86">
      <UserInfo>
        <DisplayName>TEODOSIU Flaviana</DisplayName>
        <AccountId>879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85751619BFE9D4C98B8D389A36426F9" ma:contentTypeVersion="2" ma:contentTypeDescription="Create a new document in this library." ma:contentTypeScope="" ma:versionID="e775856cf55a2ccce50fcf6e74175c73">
  <xsd:schema xmlns:xsd="http://www.w3.org/2001/XMLSchema" xmlns:xs="http://www.w3.org/2001/XMLSchema" xmlns:p="http://schemas.microsoft.com/office/2006/metadata/properties" xmlns:ns2="http://schemas.microsoft.com/sharepoint/v3/fields" xmlns:ns3="41d02a6f-903c-4b9d-a083-5f9ff305879a" xmlns:ns4="8a68f991-bb43-476d-a127-2c04dd804a86" targetNamespace="http://schemas.microsoft.com/office/2006/metadata/properties" ma:root="true" ma:fieldsID="aab2b6e91607a594e3b5a057ae48dea6" ns2:_="" ns3:_="" ns4:_="">
    <xsd:import namespace="http://schemas.microsoft.com/sharepoint/v3/fields"/>
    <xsd:import namespace="41d02a6f-903c-4b9d-a083-5f9ff305879a"/>
    <xsd:import namespace="8a68f991-bb43-476d-a127-2c04dd804a8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1d02a6f-903c-4b9d-a083-5f9ff305879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8a68f991-bb43-476d-a127-2c04dd804a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3201-C885-4FAE-9555-D70AFDE7A80F}">
  <ds:schemaRefs>
    <ds:schemaRef ds:uri="http://schemas.microsoft.com/sharepoint/v3/contenttype/forms"/>
  </ds:schemaRefs>
</ds:datastoreItem>
</file>

<file path=customXml/itemProps2.xml><?xml version="1.0" encoding="utf-8"?>
<ds:datastoreItem xmlns:ds="http://schemas.openxmlformats.org/officeDocument/2006/customXml" ds:itemID="{66D39074-BDD3-4F2E-93FC-AE7633ADE53B}">
  <ds:schemaRefs>
    <ds:schemaRef ds:uri="41d02a6f-903c-4b9d-a083-5f9ff305879a"/>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8a68f991-bb43-476d-a127-2c04dd804a86"/>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35C12836-9DF0-49B1-B8B2-2E1FC1038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1d02a6f-903c-4b9d-a083-5f9ff305879a"/>
    <ds:schemaRef ds:uri="8a68f991-bb43-476d-a127-2c04dd804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8D3C7-E8A6-4829-B97E-BD545CC9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10323</Words>
  <Characters>59362</Characters>
  <Application>Microsoft Office Word</Application>
  <DocSecurity>0</DocSecurity>
  <Lines>927</Lines>
  <Paragraphs>266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2022-07-07T07:40:00Z</cp:lastPrinted>
  <dcterms:created xsi:type="dcterms:W3CDTF">2022-09-06T12:15:00Z</dcterms:created>
  <dcterms:modified xsi:type="dcterms:W3CDTF">2022-09-06T19:29:00Z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8.0.1, Build 20220429</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ContentTypeId">
    <vt:lpwstr>0x010100258AA79CEB83498886A3A0868112325000E85751619BFE9D4C98B8D389A36426F9</vt:lpwstr>
  </property>
  <property fmtid="{D5CDD505-2E9C-101B-9397-08002B2CF9AE}" pid="11" name="MSIP_Label_6bd9ddd1-4d20-43f6-abfa-fc3c07406f94_Enabled">
    <vt:lpwstr>true</vt:lpwstr>
  </property>
  <property fmtid="{D5CDD505-2E9C-101B-9397-08002B2CF9AE}" pid="12" name="MSIP_Label_6bd9ddd1-4d20-43f6-abfa-fc3c07406f94_SetDate">
    <vt:lpwstr>2022-04-20T10:24:15Z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a3b42465-4fc6-41f7-bb9f-e0c74e9493f8</vt:lpwstr>
  </property>
  <property fmtid="{D5CDD505-2E9C-101B-9397-08002B2CF9AE}" pid="17" name="MSIP_Label_6bd9ddd1-4d20-43f6-abfa-fc3c07406f94_ContentBits">
    <vt:lpwstr>0</vt:lpwstr>
  </property>
  <property fmtid="{D5CDD505-2E9C-101B-9397-08002B2CF9AE}" pid="18" name="DQCStatus">
    <vt:lpwstr>Yellow (DQC version 03)</vt:lpwstr>
  </property>
</Properties>
</file>